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Osa III.6 – </w:t>
            </w:r>
          </w:p>
          <w:p w14:paraId="3B04212E" w14:textId="4CB6C070" w:rsidR="000442F5" w:rsidRPr="00AC286A" w:rsidRDefault="52B947EB" w:rsidP="007B485D">
            <w:pPr>
              <w:pStyle w:val="Heading2"/>
              <w:spacing w:before="240" w:after="240"/>
              <w:jc w:val="center"/>
              <w:rPr>
                <w:sz w:val="32"/>
                <w:szCs w:val="32"/>
              </w:rPr>
            </w:pPr>
            <w:r>
              <w:rPr>
                <w:sz w:val="32"/>
              </w:rPr>
              <w:t>Päivitetty* Lisätietolomake – Ilmastotoimiin, ympäristönsuojeluun ja energia-alalle myönnettävää valtiontukea koskevien vuoden 2022 suuntaviivojen</w:t>
            </w:r>
            <w:r>
              <w:rPr>
                <w:sz w:val="32"/>
                <w:szCs w:val="32"/>
                <w:vertAlign w:val="superscript"/>
              </w:rPr>
              <w:footnoteReference w:id="2"/>
            </w:r>
            <w:r>
              <w:rPr>
                <w:sz w:val="32"/>
              </w:rPr>
              <w:t xml:space="preserve"> mukaisesti myönnetty valtiontuki </w:t>
            </w:r>
            <w:bookmarkEnd w:id="0"/>
            <w:bookmarkEnd w:id="1"/>
          </w:p>
          <w:p w14:paraId="2917BBF5" w14:textId="77777777" w:rsidR="002B52B3" w:rsidRDefault="00126157" w:rsidP="00341A04">
            <w:pPr>
              <w:jc w:val="center"/>
              <w:rPr>
                <w:sz w:val="32"/>
                <w:szCs w:val="32"/>
              </w:rPr>
            </w:pPr>
            <w:r>
              <w:rPr>
                <w:sz w:val="32"/>
              </w:rPr>
              <w:t>4.3.1 luku –Tuki puhtaiden liikennevälineiden ja puhtaan liikkuvan tukikaluston hankintaan ja leasing-vuokraukseen sekä liikennevälineiden ja liikkuvan tukikaluston jälkiasennuksiin</w:t>
            </w:r>
          </w:p>
          <w:p w14:paraId="774A46C9" w14:textId="77777777" w:rsidR="00412002" w:rsidRDefault="00412002" w:rsidP="00D30BFF">
            <w:pPr>
              <w:rPr>
                <w:sz w:val="32"/>
                <w:szCs w:val="32"/>
              </w:rPr>
            </w:pPr>
          </w:p>
          <w:p w14:paraId="61FFF7AD" w14:textId="2E71C309" w:rsidR="00FD562C" w:rsidRPr="00AC286A" w:rsidRDefault="00412002" w:rsidP="00412002">
            <w:r>
              <w:t>* Ei vielä virallisesti hyväksytty.</w:t>
            </w:r>
          </w:p>
        </w:tc>
      </w:tr>
    </w:tbl>
    <w:p w14:paraId="70D7CD5F" w14:textId="3293E4E6" w:rsidR="000442F5" w:rsidRPr="00AC286A" w:rsidRDefault="000442F5" w:rsidP="000442F5">
      <w:pPr>
        <w:spacing w:before="120" w:after="120"/>
        <w:ind w:right="-142"/>
        <w:jc w:val="both"/>
        <w:rPr>
          <w:i/>
          <w:iCs/>
        </w:rPr>
      </w:pPr>
      <w:r>
        <w:rPr>
          <w:i/>
        </w:rPr>
        <w:t>Tätä lisätietolomaketta on käytettävä ilmoitettaessa tuesta, joka kuuluu ilmastotoimiin, ympäristönsuojeluun ja energia-alalle myönnettävää valtiontukea koskevien vuoden 2022 suuntaviivojen, jäljempänä ’suuntaviivat’, soveltamisalaan.</w:t>
      </w:r>
    </w:p>
    <w:p w14:paraId="21EE9DF7" w14:textId="23106001" w:rsidR="009E2EA1" w:rsidRPr="00AC286A" w:rsidRDefault="0072538B" w:rsidP="009E2EA1">
      <w:pPr>
        <w:spacing w:before="120" w:after="120"/>
        <w:ind w:right="-142"/>
        <w:jc w:val="both"/>
        <w:rPr>
          <w:i/>
          <w:iCs/>
        </w:rPr>
      </w:pPr>
      <w:r>
        <w:rPr>
          <w:i/>
        </w:rPr>
        <w:t xml:space="preserve">Tämä lisätietolomake koskee suuntaviivojen 4.3.1 luvun piiriin kuuluvia toimenpiteitä. Jos ilmoitus koskee toimenpiteitä, jotka kuuluvat useamman kuin yhden suuntaviivojen luvun piiriin, täyttäkää kaikkia kyseeseen tulevia lukuja koskevat lisätietolomakkeet, kun ne tulevat saataville. </w:t>
      </w:r>
    </w:p>
    <w:p w14:paraId="5A2EC84C" w14:textId="37CB7BF5" w:rsidR="009E2EA1" w:rsidRPr="00AC286A" w:rsidRDefault="009E2EA1" w:rsidP="009E2EA1">
      <w:pPr>
        <w:spacing w:before="120" w:after="120"/>
        <w:ind w:right="-142"/>
        <w:jc w:val="both"/>
        <w:rPr>
          <w:i/>
          <w:iCs/>
        </w:rPr>
      </w:pPr>
      <w:r>
        <w:rPr>
          <w:i/>
        </w:rPr>
        <w:t>Kaikki asiakirjat, jotka jäsenvaltiot esittävät tämän lisätietolomakkeen liitteinä, on numeroitava, ja asiakirjojen numerot on mainittava tämän lisätietolomakkeen asianomaisissa jaksoissa.</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lastRenderedPageBreak/>
              <w:br w:type="page"/>
            </w:r>
            <w:r>
              <w:br w:type="page"/>
            </w:r>
            <w:r>
              <w:rPr>
                <w:b/>
                <w:sz w:val="32"/>
              </w:rPr>
              <w:t>Jakso A: Yhteenveto ilmoitetun toimenpiteen tärkeimmistä ominaispiirteistä</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Ilmoitetun toimenpiteen tausta ja tavoitteet</w:t>
      </w:r>
    </w:p>
    <w:p w14:paraId="5BFA68C4" w14:textId="7CB889B5" w:rsidR="00A16B2C" w:rsidRPr="00AC286A" w:rsidRDefault="00A16B2C" w:rsidP="0000132C">
      <w:pPr>
        <w:pStyle w:val="ListParagraph"/>
        <w:numPr>
          <w:ilvl w:val="0"/>
          <w:numId w:val="25"/>
        </w:numPr>
        <w:spacing w:after="120"/>
        <w:jc w:val="both"/>
      </w:pPr>
      <w:r>
        <w:t xml:space="preserve">Ilmoittakaa tausta ja päätavoite, mukaan lukien mahdolliset liikenteen päästöjen vähentämistä koskevat unionin tavoitteet, joita toimenpiteellä on tarkoitus tukea, jos tätä ei ole jo käsitelty yleistietolomakkeen (osa I) kohdassa 5.2. </w:t>
      </w:r>
    </w:p>
    <w:p w14:paraId="7ADBCE0C" w14:textId="297D6FB7" w:rsidR="007302C9" w:rsidRPr="00DC75A6" w:rsidRDefault="007302C9" w:rsidP="00B16D28">
      <w:pPr>
        <w:tabs>
          <w:tab w:val="left" w:leader="dot" w:pos="9072"/>
        </w:tabs>
        <w:spacing w:before="120" w:after="120"/>
        <w:ind w:left="1440"/>
        <w:jc w:val="both"/>
      </w:pPr>
      <w:r>
        <w:tab/>
      </w:r>
    </w:p>
    <w:p w14:paraId="3CD0D15C" w14:textId="230296C3" w:rsidR="00A16B2C" w:rsidRPr="00AC286A" w:rsidRDefault="00A16B2C" w:rsidP="0000132C">
      <w:pPr>
        <w:pStyle w:val="ListParagraph"/>
        <w:numPr>
          <w:ilvl w:val="0"/>
          <w:numId w:val="25"/>
        </w:numPr>
        <w:spacing w:after="120"/>
        <w:jc w:val="both"/>
      </w:pPr>
      <w:r>
        <w:t xml:space="preserve">Ilmoittakaa toimenpiteen mahdolliset muut tavoitteet. Jos tavoitteet eivät liity ainoastaan ympäristöön, selittäkää, voivatko ne johtaa kilpailun vääristymiseen sisämarkkinoilla.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57360D11" w:rsidR="005A412F" w:rsidRPr="00AC286A" w:rsidRDefault="0086184C" w:rsidP="0000132C">
      <w:pPr>
        <w:pStyle w:val="ListParagraph"/>
        <w:numPr>
          <w:ilvl w:val="0"/>
          <w:numId w:val="4"/>
        </w:numPr>
        <w:spacing w:before="120" w:after="120"/>
        <w:ind w:left="567" w:hanging="567"/>
        <w:contextualSpacing w:val="0"/>
        <w:jc w:val="both"/>
      </w:pPr>
      <w:r>
        <w:rPr>
          <w:b/>
        </w:rPr>
        <w:t>Voimaantulo</w:t>
      </w:r>
      <w:r>
        <w:t xml:space="preserve"> </w:t>
      </w:r>
      <w:r>
        <w:rPr>
          <w:b/>
        </w:rPr>
        <w:t>ja kesto</w:t>
      </w:r>
    </w:p>
    <w:p w14:paraId="0635286B" w14:textId="137F0160" w:rsidR="00CA0EC2" w:rsidRPr="00AC286A" w:rsidRDefault="00CA0EC2" w:rsidP="0000132C">
      <w:pPr>
        <w:pStyle w:val="ListParagraph"/>
        <w:numPr>
          <w:ilvl w:val="0"/>
          <w:numId w:val="31"/>
        </w:numPr>
        <w:spacing w:after="120"/>
        <w:jc w:val="both"/>
        <w:rPr>
          <w:szCs w:val="24"/>
        </w:rPr>
      </w:pPr>
      <w:r>
        <w:t>Ilmoittakaa päivämäärä, josta alkaen tukiohjelman on tarkoitus tulla voimaan, jos sitä ei ole jo ilmoitettu yleistietolomakkeen (osa I) kohdassa 5.5.</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Ilmoittakaa ohjelman kesto.</w:t>
      </w:r>
      <w:r>
        <w:rPr>
          <w:szCs w:val="24"/>
          <w:vertAlign w:val="superscript"/>
        </w:rPr>
        <w:footnoteReference w:id="3"/>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rFonts w:cs="Arial Unicode MS"/>
          <w:b/>
          <w:bCs/>
        </w:rPr>
      </w:pPr>
      <w:r>
        <w:rPr>
          <w:b/>
        </w:rPr>
        <w:t>Tuensaaja(t)</w:t>
      </w:r>
      <w:r>
        <w:tab/>
      </w:r>
    </w:p>
    <w:p w14:paraId="15587BED" w14:textId="19EBDAD1" w:rsidR="00BC5DDD" w:rsidRPr="00AC286A" w:rsidRDefault="002F1ECC" w:rsidP="0000132C">
      <w:pPr>
        <w:pStyle w:val="ListParagraph"/>
        <w:numPr>
          <w:ilvl w:val="0"/>
          <w:numId w:val="32"/>
        </w:numPr>
        <w:spacing w:after="120"/>
        <w:jc w:val="both"/>
        <w:rPr>
          <w:szCs w:val="24"/>
        </w:rPr>
      </w:pPr>
      <w:r>
        <w:t>Kuvailkaa toimenpiteen (mahdolliset) tuensaajat, ellei niitä ole jo ilmoitettu yleistietolomakkeen (osa I) kohdassa 3.</w:t>
      </w:r>
    </w:p>
    <w:p w14:paraId="7E96EB84" w14:textId="77777777" w:rsidR="00C90797" w:rsidRPr="00AC286A" w:rsidRDefault="00564D5B" w:rsidP="00092882">
      <w:pPr>
        <w:tabs>
          <w:tab w:val="left" w:leader="dot" w:pos="9072"/>
        </w:tabs>
        <w:spacing w:before="120" w:after="120"/>
        <w:ind w:left="1440"/>
        <w:jc w:val="both"/>
      </w:pPr>
      <w:r>
        <w:tab/>
      </w:r>
    </w:p>
    <w:p w14:paraId="7C1841ED" w14:textId="02E828AC" w:rsidR="00F33CC0" w:rsidRPr="00AC286A" w:rsidRDefault="00DB40A5" w:rsidP="0000132C">
      <w:pPr>
        <w:pStyle w:val="ListParagraph"/>
        <w:numPr>
          <w:ilvl w:val="0"/>
          <w:numId w:val="32"/>
        </w:numPr>
        <w:spacing w:after="120"/>
        <w:jc w:val="both"/>
        <w:rPr>
          <w:szCs w:val="24"/>
        </w:rPr>
      </w:pPr>
      <w:r>
        <w:t>Ilmoittakaa (mahdollisten) tuensaajien sijainti (ts. voivatko toimenpiteeseen osallistua ainoastaan asianomaisessa jäsenvaltiossa vai myös muissa jäsenvaltioissa sijaitsevat taloudelliset yksiköt).</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Täsmentäkää suuntaviivojen 15 kappaleen noudattamisen arvioimiseksi, myönnetäänkö toimenpiteestä (yksittäistä tai ohjelman osana) tukea yritykselle, jolle on annettu aiempaan komission päätökseen perustuva perintämääräys tuen sääntöjenvastaisuuden ja sisämarkkinoille soveltumattomuuden takia mutta perintämääräys on vielä maksamatta. </w:t>
      </w:r>
    </w:p>
    <w:p w14:paraId="6DDF7802" w14:textId="77777777" w:rsidR="00E4424D" w:rsidRPr="00AC286A" w:rsidRDefault="00E4424D" w:rsidP="00E4424D">
      <w:pPr>
        <w:pStyle w:val="ListParagraph"/>
        <w:rPr>
          <w:szCs w:val="24"/>
        </w:rPr>
      </w:pPr>
    </w:p>
    <w:p w14:paraId="310BC443" w14:textId="5739CB04" w:rsidR="003C33B1" w:rsidRPr="00AC286A" w:rsidRDefault="00181BB0" w:rsidP="00E1762F">
      <w:pPr>
        <w:pStyle w:val="ListParagraph"/>
        <w:ind w:left="1077"/>
        <w:jc w:val="both"/>
        <w:rPr>
          <w:szCs w:val="24"/>
        </w:rPr>
      </w:pPr>
      <w:r>
        <w:t xml:space="preserve">Jos kyllä, antakaa tiedot vielä perimättä olevan tuen määrästä, jotta komissio voi ottaa sen huomioon arvioidessaan tukitoimenpidettä. </w:t>
      </w:r>
    </w:p>
    <w:p w14:paraId="2B750898" w14:textId="77777777" w:rsidR="003C33B1" w:rsidRPr="00AC286A" w:rsidRDefault="003C33B1" w:rsidP="00B16D28">
      <w:pPr>
        <w:tabs>
          <w:tab w:val="left" w:leader="dot" w:pos="9072"/>
        </w:tabs>
        <w:spacing w:before="120" w:after="120"/>
        <w:ind w:left="1077"/>
        <w:jc w:val="both"/>
      </w:pPr>
      <w:r>
        <w:lastRenderedPageBreak/>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t>Vahvistakaa, että toimenpiteeseen ei sisälly tukea toimintoihin, jotka eivät kuulu suuntaviivojen soveltamisalaan (ks. suuntaviivojen 13 kappale). Muussa tapauksessa antakaa lisätietoa.</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rPr>
      </w:pPr>
      <w:r>
        <w:rPr>
          <w:b/>
        </w:rPr>
        <w:t>Toimenpiteen budjetti ja rahoitus</w:t>
      </w:r>
    </w:p>
    <w:p w14:paraId="44F1A49C" w14:textId="7E324D11" w:rsidR="00115C85" w:rsidRPr="00AC286A" w:rsidRDefault="00AE07BB" w:rsidP="0000132C">
      <w:pPr>
        <w:pStyle w:val="ListParagraph"/>
        <w:numPr>
          <w:ilvl w:val="0"/>
          <w:numId w:val="33"/>
        </w:numPr>
        <w:spacing w:after="120"/>
        <w:jc w:val="both"/>
        <w:rPr>
          <w:rFonts w:cs="Arial Unicode MS"/>
          <w:bCs/>
        </w:rPr>
      </w:pPr>
      <w:r>
        <w:t>Ilmoittakaa vuotuinen budjetti ja/tai kokonaisbudjetti toimenpiteen koko keston ajalta, jos sitä ei ole jo mainittu yleistietolomakkeen (osa I) kohdassa 7.1 olevassa taulukossa. Jos kokonaisbudjetti ei ole tiedossa (esimerkiksi siksi, että se riippuu tarjouskilpailujen tuloksista), ilmoittakaa alustava budjetti, mukaan lukien sen laskennassa käytetyt oletukset.</w:t>
      </w:r>
      <w:r>
        <w:rPr>
          <w:rFonts w:cs="Arial Unicode MS"/>
          <w:bCs/>
          <w:vertAlign w:val="superscript"/>
          <w:lang w:bidi="si-LK"/>
        </w:rPr>
        <w:footnoteReference w:id="4"/>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rFonts w:cs="Arial Unicode MS"/>
          <w:bCs/>
        </w:rPr>
      </w:pPr>
      <w:bookmarkStart w:id="2" w:name="_Ref155782335"/>
      <w:r>
        <w:t>Jos toimenpiteen rahoittamiseksi peritään maksuja, täsmentäkää,</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rFonts w:cs="Arial Unicode MS"/>
          <w:bCs/>
        </w:rPr>
      </w:pPr>
      <w:r>
        <w:t>säädetäänkö maksusta laissa tai muussa säädöksessä; jos kyllä, ilmoittakaa säädöksen nimi, numero, antamis- ja voimaantulopäivä sekä linkki säädökseen;</w:t>
      </w:r>
    </w:p>
    <w:p w14:paraId="7559C1DC" w14:textId="2DF352B8" w:rsidR="007210BF" w:rsidRPr="00AC286A" w:rsidRDefault="007210BF" w:rsidP="00B16D28">
      <w:pPr>
        <w:tabs>
          <w:tab w:val="left" w:leader="dot" w:pos="9072"/>
        </w:tabs>
        <w:spacing w:before="120" w:after="120"/>
        <w:ind w:left="1429"/>
        <w:jc w:val="both"/>
        <w:rPr>
          <w:rFonts w:cs="Arial Unicode MS"/>
          <w:bC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kohdistuuko maksu yhtäläisesti kotimaisiin tuotteisiin ja tuontituotteisiin;</w:t>
      </w:r>
    </w:p>
    <w:p w14:paraId="24D969DB" w14:textId="77777777" w:rsidR="007210BF" w:rsidRPr="007210BF" w:rsidRDefault="007210BF" w:rsidP="00B16D28">
      <w:pPr>
        <w:tabs>
          <w:tab w:val="left" w:leader="dot" w:pos="9072"/>
        </w:tabs>
        <w:spacing w:before="120" w:after="120"/>
        <w:ind w:left="1429"/>
        <w:jc w:val="both"/>
      </w:pPr>
      <w:r>
        <w:tab/>
      </w:r>
    </w:p>
    <w:p w14:paraId="43BEB965" w14:textId="13B4F335" w:rsidR="007210BF" w:rsidRPr="007210BF" w:rsidRDefault="007210BF" w:rsidP="0000132C">
      <w:pPr>
        <w:pStyle w:val="ListParagraph"/>
        <w:numPr>
          <w:ilvl w:val="0"/>
          <w:numId w:val="26"/>
        </w:numPr>
        <w:spacing w:before="120" w:after="120"/>
        <w:contextualSpacing w:val="0"/>
        <w:jc w:val="both"/>
        <w:rPr>
          <w:bCs/>
        </w:rPr>
      </w:pPr>
      <w:r>
        <w:t>hyödyttääkö ilmoitettu toimenpide yhtä lailla kotimaisia tuottajia ja tuontituotteiden tuottajia;</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rahoitetaanko toimenpide maksuilla kokonaan vai vain osittain. Jos toimenpide rahoitetaan maksuilla vain osittain, ilmoittakaa toimenpiteen muut rahoituslähteet ja niiden osuudet;</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rahoitetaanko ilmoitetun toimenpiteen rahoittamiseksi perittävillä maksuilla myös muita tukitoimenpiteitä. Jos kyllä, luetelkaa tässä muut kyseisillä maksuilla rahoitettavat tukitoimenpiteet.</w:t>
      </w:r>
    </w:p>
    <w:p w14:paraId="79481611" w14:textId="77777777" w:rsidR="005D4997" w:rsidRPr="007210BF" w:rsidRDefault="005D4997" w:rsidP="005D4997">
      <w:pPr>
        <w:tabs>
          <w:tab w:val="left" w:leader="dot" w:pos="9072"/>
        </w:tabs>
        <w:spacing w:before="120" w:after="120"/>
        <w:ind w:left="1440"/>
        <w:jc w:val="both"/>
      </w:pPr>
      <w:r>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t>Jakso B: Tuen sisämarkkinoille soveltuvuuden arviointi</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t>Positiivinen edellytys: tuen on edistettävä tietyn taloudellisen toiminnan kehitystä</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lastRenderedPageBreak/>
              <w:t>Tietyn taloudellisen toiminnan kehityksen edistäminen</w:t>
            </w:r>
          </w:p>
        </w:tc>
      </w:tr>
    </w:tbl>
    <w:p w14:paraId="2959A7B8" w14:textId="196EFBC3" w:rsidR="00C62AF1" w:rsidRPr="001631E6" w:rsidRDefault="00C62AF1" w:rsidP="001631E6">
      <w:pPr>
        <w:spacing w:before="360" w:after="120"/>
        <w:jc w:val="both"/>
        <w:rPr>
          <w:i/>
        </w:rPr>
      </w:pPr>
      <w:r>
        <w:rPr>
          <w:i/>
        </w:rPr>
        <w:t xml:space="preserve">Tämän jakson tietoja varten ks. suuntaviivojen 3.1.1 kohta (23–25 kappale), 4.3.1.1 kohta (160 ja 161 kappale) ja 4.3.1.2 kohta (162 ja 163 kappale). </w:t>
      </w:r>
    </w:p>
    <w:p w14:paraId="1CB15DF1" w14:textId="2D8B1F68" w:rsidR="00805350" w:rsidRPr="00AC286A" w:rsidRDefault="00805350" w:rsidP="0000132C">
      <w:pPr>
        <w:pStyle w:val="ListParagraph"/>
        <w:numPr>
          <w:ilvl w:val="0"/>
          <w:numId w:val="4"/>
        </w:numPr>
        <w:spacing w:before="120" w:after="120"/>
        <w:ind w:left="567" w:hanging="567"/>
        <w:contextualSpacing w:val="0"/>
        <w:jc w:val="both"/>
      </w:pPr>
      <w:r>
        <w:t>Euroopan unionin toiminnasta tehdyn sopimuksen (SEUT) 107 artiklan 3 kohdan c alakohdan mukaan komissio voi pitää sisämarkkinoille soveltuvana ”</w:t>
      </w:r>
      <w:r>
        <w:rPr>
          <w:i/>
        </w:rPr>
        <w:t>tukea tietyn taloudellisen toiminnan tai talousalueen kehityksen edistämiseen, jos tuki ei muuta kaupankäynnin edellytyksiä yhteisen edun kanssa ristiriitaisella tavalla</w:t>
      </w:r>
      <w:r>
        <w:t xml:space="preserve">”. Sen vuoksi kyseisen määräyksen mukaisen tuen on edistettävä tietyn taloudellisen toiminnan kehitystä. </w:t>
      </w:r>
    </w:p>
    <w:p w14:paraId="6F83F969" w14:textId="283F3881" w:rsidR="00C62AF1" w:rsidRPr="00AC286A" w:rsidRDefault="00805350" w:rsidP="00C62AF1">
      <w:pPr>
        <w:pStyle w:val="ListParagraph"/>
        <w:spacing w:before="120" w:after="120"/>
        <w:ind w:left="567"/>
        <w:contextualSpacing w:val="0"/>
        <w:jc w:val="both"/>
      </w:pPr>
      <w:r>
        <w:t>Yksilöikää suuntaviivojen 23 kappaleen noudattamisen arvioimiseksi taloudellinen toiminta, jota tuella edistetään, ja se, miten kyseistä toimintaa tuetaan.</w:t>
      </w:r>
    </w:p>
    <w:p w14:paraId="35041A7F" w14:textId="77777777" w:rsidR="00C62AF1" w:rsidRPr="00AC286A" w:rsidRDefault="00C62AF1" w:rsidP="00C62AF1">
      <w:pPr>
        <w:tabs>
          <w:tab w:val="left" w:leader="dot" w:pos="9072"/>
        </w:tabs>
        <w:spacing w:before="120" w:after="120"/>
        <w:ind w:left="567"/>
        <w:jc w:val="both"/>
      </w:pPr>
      <w:r>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pPr>
      <w:r>
        <w:t>Kuvatkaa suuntaviivojen 25 kappaleen noudattamisen arvioimiseksi ”</w:t>
      </w:r>
      <w:r>
        <w:rPr>
          <w:i/>
        </w:rPr>
        <w:t>mahdollinen unionin ilmasto-, ympäristö- ja energiapolitiikan tavoitteiden saavuttamista edistävä vaikutus ja erityisesti tuen odotetut hyödyt, jotka liittyvät sen olennaiseen vaikutukseen ympäristönsuojeluun, mukaan lukien ilmastonmuutoksen hillitseminen, tai energian sisämarkkinoiden tehokkaaseen toimintaan</w:t>
      </w:r>
      <w:r>
        <w:t xml:space="preserve">”. </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Lisäksi täsmentäkää, missä määrin tuki liittyy suuntaviivojen 160 ja 161 kappaleessa kuvattuihin toimintapolitiikkoihin. </w:t>
      </w:r>
    </w:p>
    <w:p w14:paraId="2937060E" w14:textId="625EA8B8" w:rsidR="00A742C7" w:rsidRPr="00AC286A" w:rsidRDefault="00A742C7" w:rsidP="00822B32">
      <w:pPr>
        <w:tabs>
          <w:tab w:val="left" w:leader="dot" w:pos="9072"/>
        </w:tabs>
        <w:spacing w:before="120" w:after="120"/>
        <w:ind w:left="567"/>
        <w:jc w:val="both"/>
      </w:pPr>
      <w:r>
        <w:tab/>
      </w:r>
    </w:p>
    <w:p w14:paraId="60227438" w14:textId="3B5E9699" w:rsidR="00703D03" w:rsidRPr="00AC286A" w:rsidRDefault="13A30BC6" w:rsidP="0000132C">
      <w:pPr>
        <w:pStyle w:val="ListParagraph"/>
        <w:numPr>
          <w:ilvl w:val="0"/>
          <w:numId w:val="4"/>
        </w:numPr>
        <w:spacing w:before="120" w:after="120"/>
        <w:ind w:left="567" w:hanging="567"/>
        <w:jc w:val="both"/>
      </w:pPr>
      <w:r>
        <w:t>Kuvailkaa tuensaajiin sovellettavat tukikelpoisuusvaatimukset ilmoittaen muun muassa kaikki tekniset, ympäristöön liittyvät (eli ympäristöluvat), rahoitukseen liittyvät (eli vakuudet) tai muut vaatimukset, joita tuensaajien on noudatettava.</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5F711C5A" w:rsidR="00BA210A" w:rsidRPr="00AC286A" w:rsidRDefault="00BA210A" w:rsidP="0000132C">
      <w:pPr>
        <w:pStyle w:val="ListParagraph"/>
        <w:numPr>
          <w:ilvl w:val="0"/>
          <w:numId w:val="4"/>
        </w:numPr>
        <w:spacing w:before="120" w:after="120"/>
        <w:ind w:left="567" w:hanging="567"/>
        <w:contextualSpacing w:val="0"/>
        <w:jc w:val="both"/>
      </w:pPr>
      <w:r>
        <w:t xml:space="preserve">Antakaa täsmälliset tiedot tukitoimenpiteen laajuudesta ja sillä tuetusta toiminnasta suuntaviivojen 4.3.1.2 kohdan 162 ja 163 kappaleen mukaisesti. </w:t>
      </w:r>
    </w:p>
    <w:p w14:paraId="7C50A2C6" w14:textId="3A3F595B" w:rsidR="00C62AF1" w:rsidRPr="00AC286A" w:rsidRDefault="00703D03" w:rsidP="00B16D28">
      <w:pPr>
        <w:tabs>
          <w:tab w:val="left" w:leader="dot" w:pos="9072"/>
        </w:tabs>
        <w:spacing w:before="120" w:after="120"/>
        <w:ind w:left="567"/>
        <w:jc w:val="both"/>
      </w:pPr>
      <w:r>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Pr>
                <w:sz w:val="24"/>
              </w:rPr>
              <w:t>Kannustava vaikutus</w:t>
            </w:r>
          </w:p>
        </w:tc>
      </w:tr>
    </w:tbl>
    <w:p w14:paraId="194E3512" w14:textId="63AD156A" w:rsidR="00C62AF1" w:rsidRPr="00AC286A" w:rsidRDefault="00C62AF1" w:rsidP="00C62AF1">
      <w:pPr>
        <w:spacing w:before="360" w:after="120"/>
        <w:jc w:val="both"/>
        <w:rPr>
          <w:i/>
        </w:rPr>
      </w:pPr>
      <w:r>
        <w:rPr>
          <w:i/>
        </w:rPr>
        <w:t xml:space="preserve">Tämän jakson tietoja varten ks. suuntaviivojen 3.1.2 kohta (26–32 kappale) ja 4.3.1.3 kohta (164–169 kappale).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t>Tuen voidaan katsoa edistävän taloudellista toimintaa vain, jos sillä on kannustava vaikutus. Selostakaa suuntaviivojen 26 kappaleen noudattamisen arvioimiseksi, miten toimenpide ”</w:t>
      </w:r>
      <w:r>
        <w:rPr>
          <w:i/>
        </w:rPr>
        <w:t>kannustaa tuensaajaa muuttamaan käyttäytymistään, harjoittamaan lisää taloudellista toimintaa tai harjoittamaan ympäristöystävällisempää taloudellista toimintaa, jota se ei harjoittaisi ilman tukea tai harjoittaisi rajallisemmin tai eri tavalla</w:t>
      </w:r>
      <w:r>
        <w:t>”.</w:t>
      </w:r>
      <w:r>
        <w:rPr>
          <w:i/>
        </w:rPr>
        <w:t xml:space="preserve">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Suuntaviivojen 28 kappaleen mukaisesti:</w:t>
      </w:r>
      <w:bookmarkEnd w:id="3"/>
      <w:r>
        <w:t xml:space="preserve"> </w:t>
      </w:r>
    </w:p>
    <w:p w14:paraId="70E1329C" w14:textId="77777777" w:rsidR="003115D9" w:rsidRDefault="003115D9" w:rsidP="00450097">
      <w:pPr>
        <w:pStyle w:val="ListParagraph"/>
      </w:pPr>
    </w:p>
    <w:p w14:paraId="64E8DA17" w14:textId="261B3510" w:rsidR="004A2BAC" w:rsidRPr="00176F09" w:rsidRDefault="003115D9" w:rsidP="0000132C">
      <w:pPr>
        <w:pStyle w:val="ListParagraph"/>
        <w:numPr>
          <w:ilvl w:val="0"/>
          <w:numId w:val="29"/>
        </w:numPr>
        <w:spacing w:before="120" w:after="120"/>
        <w:jc w:val="both"/>
      </w:pPr>
      <w:r>
        <w:t>Esittäkää kattava kuvaus tosiasiallisesta skenaariosta, joka tukitoimenpiteestä odotetaan seuraavan, ja ilman tukea todennäköisesti toteutuvasta vaihtoehtoisesta skenaariosta.</w:t>
      </w:r>
      <w:r>
        <w:rPr>
          <w:rStyle w:val="FootnoteReference"/>
        </w:rPr>
        <w:footnoteReference w:id="5"/>
      </w:r>
      <w:r>
        <w:t xml:space="preserve"> Jos odotatte, että tukea voidaan myöntää eri tuensaajaryhmille, varmistakaa, että vaihtoehtoinen skenaario on uskottava kunkin ryhmän osalta.</w:t>
      </w:r>
      <w:bookmarkEnd w:id="4"/>
      <w:r>
        <w:t xml:space="preserve"> Huomatkaa, että suuntaviivojen 165 kappaleessa edellytetään, että vaihtoehtoisena skenaariona on investointi, jolla on sama kapasiteetti, elinikä ja tarvittaessa muut asiaankuuluvat tekniset ominaisuudet kuin ympäristöystävällisellä investoinnilla. Huomatkaa, että suuntaviivojen 165–169 kappaleessa asetetaan vaihtoehtoiselle skenaariolle lisävaatimuksia:</w:t>
      </w:r>
    </w:p>
    <w:p w14:paraId="5EB0E490" w14:textId="77777777" w:rsidR="003115D9" w:rsidRPr="003115D9" w:rsidRDefault="003115D9" w:rsidP="00176F09">
      <w:pPr>
        <w:pStyle w:val="ListParagraph"/>
        <w:spacing w:before="120" w:after="120"/>
        <w:ind w:left="1287"/>
        <w:jc w:val="both"/>
        <w:rPr>
          <w:lang w:val="en-IE"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Jos vaihtoehtoisessa skenaariossa hankitaan tai leasing-vuokrataan vähemmän ympäristöystävällisiä liikennevälineitä tai liikkuvaa tukikalustoa, jotka kuuluvat samaan luokkaan ja ovat kapasiteetiltaan samanlaisia kuin päästötön tai puhdas liikenneväline, osoittakaa, että vähemmän ympäristöystävälliset liikennevälineet tai kalusto ovat vähintään unionin normien mukaisia, jos niille sellaisia on asetettu.</w:t>
      </w:r>
    </w:p>
    <w:p w14:paraId="281AF2A9" w14:textId="06087810" w:rsidR="004A2BAC" w:rsidRPr="009E1064" w:rsidRDefault="009E1064" w:rsidP="009E1064">
      <w:pPr>
        <w:tabs>
          <w:tab w:val="left" w:leader="dot" w:pos="9072"/>
        </w:tabs>
        <w:spacing w:before="120" w:after="120"/>
        <w:ind w:left="1287"/>
        <w:jc w:val="both"/>
      </w:pPr>
      <w:r>
        <w:tab/>
      </w:r>
    </w:p>
    <w:p w14:paraId="2CDC0E65" w14:textId="023D87D1" w:rsidR="004A2BAC" w:rsidRDefault="00723574" w:rsidP="0000132C">
      <w:pPr>
        <w:pStyle w:val="ListParagraph"/>
        <w:numPr>
          <w:ilvl w:val="0"/>
          <w:numId w:val="24"/>
        </w:numPr>
        <w:spacing w:before="120" w:after="120"/>
        <w:contextualSpacing w:val="0"/>
        <w:jc w:val="both"/>
      </w:pPr>
      <w:r>
        <w:t xml:space="preserve">Jos vaihtoehtoisessa skenaariossa olemassa oleva liikenneväline tai liikkuva tukikalusto pidetään käytössä ympäristöystävällisen investoinnin eliniän ajan, on otettava huomioon diskontatut huolto-, korjaus- ja uudistamiskustannukset kyseisenä ajanjaksona. </w:t>
      </w:r>
    </w:p>
    <w:p w14:paraId="1120F9BB" w14:textId="18D6FA2B" w:rsidR="004A2BAC" w:rsidRPr="009E1064" w:rsidRDefault="009E1064" w:rsidP="009E1064">
      <w:pPr>
        <w:tabs>
          <w:tab w:val="left" w:leader="dot" w:pos="9072"/>
        </w:tabs>
        <w:spacing w:before="120" w:after="120"/>
        <w:ind w:left="1287"/>
        <w:jc w:val="both"/>
      </w:pPr>
      <w:r>
        <w:tab/>
      </w:r>
    </w:p>
    <w:p w14:paraId="391947E3" w14:textId="521E8E0A" w:rsidR="004A2BAC" w:rsidRDefault="004A2BAC" w:rsidP="0000132C">
      <w:pPr>
        <w:pStyle w:val="ListParagraph"/>
        <w:numPr>
          <w:ilvl w:val="0"/>
          <w:numId w:val="24"/>
        </w:numPr>
        <w:spacing w:before="120" w:after="120"/>
        <w:contextualSpacing w:val="0"/>
        <w:jc w:val="both"/>
      </w:pPr>
      <w:r>
        <w:t xml:space="preserve">Jos vaihtoehtoinen skenaario muodostuu liikennevälineen tai liikkuvan tukikaluston korvaamisesta vasta myöhemmässä vaiheessa, ilmoittakaa liikennevälineen tai liikkuvan tukikaluston diskontattu arvo, jotta kaluston taloudellisen käyttöiän erot voidaan ottaa huomioon. </w:t>
      </w:r>
    </w:p>
    <w:p w14:paraId="19E797D9" w14:textId="10A22C0E" w:rsidR="004A2BAC" w:rsidRPr="009E1064" w:rsidRDefault="009E1064" w:rsidP="009E1064">
      <w:pPr>
        <w:tabs>
          <w:tab w:val="left" w:leader="dot" w:pos="9072"/>
        </w:tabs>
        <w:spacing w:before="120" w:after="120"/>
        <w:ind w:left="1287"/>
        <w:jc w:val="both"/>
      </w:pPr>
      <w:r>
        <w:tab/>
      </w:r>
    </w:p>
    <w:p w14:paraId="64B92524" w14:textId="467C782C" w:rsidR="004A2BAC" w:rsidRDefault="004A2BAC" w:rsidP="0000132C">
      <w:pPr>
        <w:pStyle w:val="ListParagraph"/>
        <w:numPr>
          <w:ilvl w:val="0"/>
          <w:numId w:val="24"/>
        </w:numPr>
        <w:spacing w:before="120" w:after="120"/>
        <w:contextualSpacing w:val="0"/>
        <w:jc w:val="both"/>
      </w:pPr>
      <w:r>
        <w:t>Jos kyseessä on leasing-järjestelyn alainen liikenneväline tai liikkuva tukikalusto, verratkaa puhtaan liikennevälineen tai puhtaan liikkuvan tukikaluston leasing-vuokrauksen diskontattua arvoa ilman tukea käytettävän vähemmän ympäristöystävällisen liikennevälineen tai liikkuvan tukikaluston leasing-vuokrauksen diskontattuun arvoon.</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t>Jos investointi koostuu laitteiden lisäämisestä olemassa olevaan liikennevälineeseen tai liikkuvaan tukikalustoon sen ympäristötehokkuuden parantamiseksi (esimerkiksi päästövalvontajärjestelmän jälkiasentaminen), selittäkää, muodostuuko vaihtoehtoinen skenaario siitä, että liikennevälineen käyttöä jatketaan ilman jälkiasennusinvestointia. Tässä tapauksessa tukikelpoisia voivat olla investoinnin kokonaiskustannukset.</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lastRenderedPageBreak/>
        <w:t xml:space="preserve">Esittäkää lyhyesti perustelut todennäköisen vaihtoehtoisen skenaarion valinnalle ottaen tarvittaessa huomioon ehdotetut eri tuensaajaryhmät. </w:t>
      </w:r>
    </w:p>
    <w:p w14:paraId="04B6371D" w14:textId="1C872F1E" w:rsidR="00407DEA" w:rsidRPr="00AC286A" w:rsidRDefault="009926B4" w:rsidP="00DB6946">
      <w:pPr>
        <w:tabs>
          <w:tab w:val="left" w:leader="dot" w:pos="9072"/>
        </w:tabs>
        <w:spacing w:before="120" w:after="120"/>
        <w:ind w:left="1287"/>
        <w:jc w:val="both"/>
      </w:pPr>
      <w:r>
        <w:t>.</w:t>
      </w:r>
      <w:bookmarkEnd w:id="5"/>
      <w:r>
        <w:t>…………………………………………………………………………………</w:t>
      </w:r>
    </w:p>
    <w:p w14:paraId="433D9E5F" w14:textId="0325E626" w:rsidR="003115D9" w:rsidRDefault="007D18EE" w:rsidP="0000132C">
      <w:pPr>
        <w:pStyle w:val="ListParagraph"/>
        <w:numPr>
          <w:ilvl w:val="0"/>
          <w:numId w:val="29"/>
        </w:numPr>
        <w:jc w:val="both"/>
        <w:rPr>
          <w:rFonts w:eastAsia="Times New Roman"/>
          <w:szCs w:val="24"/>
        </w:rPr>
      </w:pPr>
      <w:bookmarkStart w:id="6" w:name="_Ref165985385"/>
      <w:r>
        <w:t>Määrittäkää tosiasiallisten ja vaihtoehtoisten skenaarioiden kustannukset ja tulot seuraavasti:</w:t>
      </w:r>
      <w:bookmarkEnd w:id="6"/>
      <w: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Jos tuki myönnetään </w:t>
      </w:r>
      <w:r>
        <w:rPr>
          <w:u w:val="single"/>
        </w:rPr>
        <w:t>ilman tarjouskilpailumenettelyä</w:t>
      </w:r>
      <w:r>
        <w:t>, perustelkaa käyttäytymisen muutos tarvittaessa kunkin tuensaajaryhmän osalta asianomaisen viitehankkeen</w:t>
      </w:r>
      <w:r>
        <w:rPr>
          <w:vertAlign w:val="superscript"/>
        </w:rPr>
        <w:footnoteReference w:id="6"/>
      </w:r>
      <w:r>
        <w:t>, vastaavien vaihtoehtoisten skenaarioiden ja niihin perustuvan rahoitusvajeen perusteella.</w:t>
      </w:r>
    </w:p>
    <w:p w14:paraId="4250665E" w14:textId="60CD941C" w:rsidR="003115D9" w:rsidRPr="0082588A" w:rsidRDefault="00DB6946" w:rsidP="0082588A">
      <w:pPr>
        <w:tabs>
          <w:tab w:val="left" w:leader="dot" w:pos="9072"/>
        </w:tabs>
        <w:spacing w:before="120" w:after="120"/>
        <w:ind w:left="1287"/>
        <w:jc w:val="both"/>
      </w:pPr>
      <w:r>
        <w:tab/>
      </w:r>
    </w:p>
    <w:p w14:paraId="296ACE13" w14:textId="38081C56" w:rsidR="009926B4" w:rsidRPr="00AC286A" w:rsidRDefault="003115D9" w:rsidP="00176F09">
      <w:pPr>
        <w:pStyle w:val="ListParagraph"/>
        <w:ind w:left="1287"/>
        <w:jc w:val="both"/>
      </w:pPr>
      <w:r>
        <w:t xml:space="preserve">ii) Jos tuki myönnetään </w:t>
      </w:r>
      <w:r>
        <w:rPr>
          <w:u w:val="single"/>
        </w:rPr>
        <w:t>tarjouskilpailumenettelyn perusteella</w:t>
      </w:r>
      <w:r>
        <w:t>, perustelkaa käyttäytymisen muutos (tarvittaessa kunkin tuensaajaryhmän/viitehankkeen osalta) käyttäen samaa näyttöä kuin kohdan C luetelmakohdassa i tai vaihtoehtoisesti esittäkää merkityksellinen määrällinen näyttö, joka perustuu markkinatutkimuksiin, sijoittajasuunnitelmiin, tilinpäätöksiin tai muuhun määrälliseen näyttöön, mukaan lukien vastaaviin hankkeisiin tehdyt viimeaikaiset tarjoukset tarjouskilpailumenettelyissä.</w:t>
      </w:r>
      <w:r>
        <w:rPr>
          <w:vertAlign w:val="superscript"/>
        </w:rPr>
        <w:footnoteReference w:id="7"/>
      </w:r>
      <w:r>
        <w:t xml:space="preserve"> </w:t>
      </w:r>
    </w:p>
    <w:p w14:paraId="01F8BD26" w14:textId="1DF0DE8B" w:rsidR="009926B4" w:rsidRPr="00AC286A" w:rsidRDefault="009926B4" w:rsidP="00DB6946">
      <w:pPr>
        <w:tabs>
          <w:tab w:val="left" w:leader="dot" w:pos="9072"/>
        </w:tabs>
        <w:spacing w:before="120" w:after="120"/>
        <w:ind w:left="1287"/>
        <w:jc w:val="both"/>
      </w:pPr>
      <w:r>
        <w:tab/>
      </w:r>
    </w:p>
    <w:p w14:paraId="10245BFB" w14:textId="53D54A5D" w:rsidR="00C62AF1" w:rsidRDefault="00C62AF1" w:rsidP="0000132C">
      <w:pPr>
        <w:numPr>
          <w:ilvl w:val="0"/>
          <w:numId w:val="4"/>
        </w:numPr>
        <w:spacing w:before="120" w:after="120"/>
        <w:ind w:left="567" w:hanging="567"/>
        <w:jc w:val="both"/>
      </w:pPr>
      <w:bookmarkStart w:id="7" w:name="_Ref165988476"/>
      <w:r>
        <w:t>Esittäkää suuntaviivojen 27 kappaleen noudattamisen arvioimiseksi tiedot, jotka vahvistavat, että tuella ei kateta kustannuksia toiminnasta, jota tuensaaja harjoittaisi joka tapauksessa, ja että sillä ei kompensoida taloudelliseen toimintaan liittyvää tavanomaista liiketoimintariskiä.</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58F66CA9" w:rsidR="00C62AF1" w:rsidRPr="00AC286A" w:rsidRDefault="00C62AF1" w:rsidP="0000132C">
      <w:pPr>
        <w:numPr>
          <w:ilvl w:val="0"/>
          <w:numId w:val="4"/>
        </w:numPr>
        <w:spacing w:before="120" w:after="120"/>
        <w:ind w:left="567" w:hanging="567"/>
        <w:jc w:val="both"/>
      </w:pPr>
      <w:r>
        <w:t>Suuntaviivojen 29 ja 31 kappaleen noudattamisen osoittamiseksi:</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t xml:space="preserve">Vahvistakaa, että hankkeeseen tai toimintaan liittyviä töitä ei ollut aloitettu ennen kuin tuensaaja jätti kirjallisen tukihakemuksen kansallisille viranomaisille; </w:t>
      </w:r>
    </w:p>
    <w:p w14:paraId="32242483" w14:textId="4448D932" w:rsidR="00C62AF1" w:rsidRPr="00F27797" w:rsidRDefault="00BA4BD6" w:rsidP="00C62AF1">
      <w:pPr>
        <w:pStyle w:val="ListParagraph"/>
        <w:spacing w:before="120" w:after="120"/>
        <w:ind w:left="993"/>
        <w:contextualSpacing w:val="0"/>
        <w:jc w:val="both"/>
      </w:pPr>
      <w:r>
        <w:rPr>
          <w:i/>
        </w:rPr>
        <w:t>TAI</w:t>
      </w:r>
    </w:p>
    <w:p w14:paraId="2F9980BF" w14:textId="06CA3BB2" w:rsidR="00C62AF1" w:rsidRPr="00AC286A" w:rsidRDefault="00935E92" w:rsidP="0000132C">
      <w:pPr>
        <w:pStyle w:val="ListParagraph"/>
        <w:numPr>
          <w:ilvl w:val="0"/>
          <w:numId w:val="21"/>
        </w:numPr>
        <w:spacing w:before="120" w:after="120"/>
        <w:ind w:left="993" w:hanging="284"/>
        <w:contextualSpacing w:val="0"/>
        <w:jc w:val="both"/>
      </w:pPr>
      <w:r>
        <w:t xml:space="preserve">Osoittakaa, että jos hanke on alkanut ennen tukihakemuksen jättämistä, sitä koskee jokin suuntaviivojen 31 kappaleessa tarkoitetuista poikkeustapauksista (a, b tai c kohta).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 xml:space="preserve">Vahvistakaa suuntaviivojen 30 kappaleen noudattamisen osoittamiseksi, että tukihakemuksessa on vähintään hakijan nimi, kuvaus hankkeesta tai toiminnasta, </w:t>
      </w:r>
      <w:r>
        <w:lastRenderedPageBreak/>
        <w:t>mukaan lukien sen sijainti, sekä hankkeen tai toiminnan toteuttamiseen tarvittavan tuen määrä.</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t>Ilmoittakaa suuntaviivojen 32 kappaleen noudattamisen osoittamiseksi, sovelletaanko ilmoitettuihin toimenpiteisiin unionin normeja</w:t>
      </w:r>
      <w:r>
        <w:rPr>
          <w:rStyle w:val="FootnoteReference"/>
          <w:lang w:val="en-IE" w:eastAsia="en-GB"/>
        </w:rPr>
        <w:footnoteReference w:id="8"/>
      </w:r>
      <w:r>
        <w:t>, velvoittavia kansallisia normeja, jotka ovat tiukempia tai kunnianhimoisempia kuin vastaavat unionin normit, tai unionin normien puuttuessa hyväksyttyjä velvoittavia kansallisia normeja. Esittäkää tässä yhteydessä tietoa kannustavan vaikutuksen osoittamiseksi.</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7777777" w:rsidR="00C62AF1" w:rsidRPr="00AC286A" w:rsidRDefault="00C62AF1" w:rsidP="0000132C">
      <w:pPr>
        <w:numPr>
          <w:ilvl w:val="0"/>
          <w:numId w:val="4"/>
        </w:numPr>
        <w:spacing w:before="120" w:after="120"/>
        <w:ind w:left="567" w:hanging="567"/>
        <w:jc w:val="both"/>
      </w:pPr>
      <w:r>
        <w:t xml:space="preserve">Jos kyseinen unionin normi on jo hyväksytty mutta ei vielä voimassa, osoittakaa, että tuella on kannustava vaikutus, koska se kannustaa investoinnin toteuttamiseen ja loppuunsaattamiseen vähintään 18 kuukautta ennen normin voimaantuloa. </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Mitään asiaan liittyvää unionin oikeuden säännöstä ei rikota</w:t>
            </w:r>
          </w:p>
        </w:tc>
      </w:tr>
    </w:tbl>
    <w:p w14:paraId="5CC837C1" w14:textId="2249AE98" w:rsidR="00C62AF1" w:rsidRPr="00AC286A" w:rsidRDefault="00C62AF1" w:rsidP="00C62AF1">
      <w:pPr>
        <w:spacing w:before="360" w:after="120"/>
        <w:jc w:val="both"/>
        <w:rPr>
          <w:i/>
        </w:rPr>
      </w:pPr>
      <w:r>
        <w:rPr>
          <w:i/>
        </w:rPr>
        <w:t xml:space="preserve">Tämän jakson tietoja varten ks. suuntaviivojen 3.1.3 kohta (33 kappale). </w:t>
      </w:r>
    </w:p>
    <w:p w14:paraId="63B710C7" w14:textId="77777777" w:rsidR="00C62AF1" w:rsidRPr="00AC286A" w:rsidRDefault="00C62AF1" w:rsidP="0000132C">
      <w:pPr>
        <w:numPr>
          <w:ilvl w:val="0"/>
          <w:numId w:val="4"/>
        </w:numPr>
        <w:spacing w:before="120" w:after="120"/>
        <w:ind w:left="567" w:hanging="567"/>
        <w:jc w:val="both"/>
      </w:pPr>
      <w:r>
        <w:t>Antakaa tiedot, jotka vahvistavat, että asiaa koskevia EU:n lainsäädännön säännöksiä on noudatettu suuntaviivojen 33 kappaleen mukaisesti.</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tab/>
      </w:r>
    </w:p>
    <w:p w14:paraId="35829E07" w14:textId="5DC263B3" w:rsidR="00C62AF1" w:rsidRPr="00AC286A" w:rsidRDefault="00C62AF1" w:rsidP="0000132C">
      <w:pPr>
        <w:numPr>
          <w:ilvl w:val="0"/>
          <w:numId w:val="4"/>
        </w:numPr>
        <w:spacing w:before="120" w:after="120"/>
        <w:ind w:left="567" w:hanging="567"/>
        <w:jc w:val="both"/>
        <w:rPr>
          <w:i/>
          <w:color w:val="000000"/>
        </w:rPr>
      </w:pPr>
      <w:r>
        <w:t>Jos toimenpiteen rahoittamiseksi peritään maksuja, täsmentäkää, onko toimenpidettä tarpeen arvioida SEUT-sopimuksen 30 ja 110 artiklan näkökulmasta. Jos kyllä, osoittakaa, millä tavoin toimenpide on SEUT-sopimuksen 30 ja 110 artiklan määräysten mukainen.</w:t>
      </w:r>
      <w:r>
        <w:rPr>
          <w:i/>
        </w:rPr>
        <w:t xml:space="preserve"> </w:t>
      </w:r>
      <w:r>
        <w:t xml:space="preserve">Tässä yhteydessä voidaan viitata kysymyksen 5 luetelmakohdan </w:t>
      </w:r>
      <w:r>
        <w:fldChar w:fldCharType="begin"/>
      </w:r>
      <w:r>
        <w:instrText xml:space="preserve"> REF _Ref155782335 \r \h  \* MERGEFORMAT </w:instrText>
      </w:r>
      <w:r>
        <w:fldChar w:fldCharType="separate"/>
      </w:r>
      <w:r>
        <w:t>ii</w:t>
      </w:r>
      <w:r>
        <w:fldChar w:fldCharType="end"/>
      </w:r>
      <w:r>
        <w:t xml:space="preserve"> yhteydessä esitettyihin tietoihin, jos ilmoitetun toimenpiteen rahoittamiseksi peritään maksuja.</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Negatiivinen edellytys: tuki ei saa perusteettomasti vaikuttaa kaupankäynnin edellytyksiin yhteisen edun vastaisesti</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lastRenderedPageBreak/>
              <w:t xml:space="preserve">2.1. Kilpailun ja kaupan vääristymien minimointi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t>Tuen tarpeellisuus</w:t>
            </w:r>
          </w:p>
        </w:tc>
      </w:tr>
    </w:tbl>
    <w:p w14:paraId="61C0E123" w14:textId="66E25735" w:rsidR="00C62AF1" w:rsidRPr="00AC286A" w:rsidRDefault="00C62AF1" w:rsidP="00C62AF1">
      <w:pPr>
        <w:spacing w:before="360" w:after="120"/>
        <w:jc w:val="both"/>
        <w:rPr>
          <w:i/>
          <w:color w:val="000000"/>
        </w:rPr>
      </w:pPr>
      <w:r>
        <w:rPr>
          <w:i/>
        </w:rPr>
        <w:t>Tämän jakson tietoja varten ks. suuntaviivojen 3.2.1.1 kohta (34–38 kappale).</w:t>
      </w:r>
      <w:r>
        <w:rPr>
          <w:i/>
          <w:color w:val="000000"/>
        </w:rPr>
        <w:t xml:space="preserve"> </w:t>
      </w:r>
    </w:p>
    <w:p w14:paraId="2684B23E" w14:textId="02B8C1F8" w:rsidR="00C62AF1" w:rsidRDefault="00C62AF1" w:rsidP="0000132C">
      <w:pPr>
        <w:numPr>
          <w:ilvl w:val="0"/>
          <w:numId w:val="4"/>
        </w:numPr>
        <w:spacing w:before="120" w:after="120"/>
        <w:ind w:left="567" w:hanging="567"/>
        <w:jc w:val="both"/>
      </w:pPr>
      <w:r>
        <w:t>Selittäkää, minkä markkinoiden toimintapuutteen maanne viranomaiset ovat havainneet estävän riittävän ympäristönsuojelun tason saavuttamisen. Täsmentäkää, mihin luokkaan havaitut markkinoiden toimintapuutteet kuuluvat, viitaten suuntaviivojen 34 kappaleen a, b, c tai d kohtaan.</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34CC3196" w:rsidR="005D2CD7" w:rsidRDefault="000178B0" w:rsidP="0000132C">
      <w:pPr>
        <w:numPr>
          <w:ilvl w:val="0"/>
          <w:numId w:val="4"/>
        </w:numPr>
        <w:spacing w:before="120" w:after="120"/>
        <w:ind w:left="567" w:hanging="567"/>
        <w:jc w:val="both"/>
      </w:pPr>
      <w:r>
        <w:t>Esittäkää suuntaviivojen 35 kappaleen mukaisesti tiedot mahdollisista olemassa olevista toimintapolitiikoista ja toimenpiteistä, joita maanne viranomaiset ovat määritelleet ja jotka jo kohdistuvat havaittuihin sääntely- tai markkinapuutteisiin.</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Esittäkää suuntaviivojen 36 kappaleen noudattamisen osoittamiseksi tiedot, jotka osoittavat, että tuki kohdistuu tuloksellisesti markkinoiden jäljellä oleviin toimintapuutteisiin, ottaen huomioon myös muut jo käytössä olevat toimintapolitiikat ja toimenpiteet, joilla puututaan osaan havaituista markkinoiden toimintapuutteista.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t>Selittäkää suuntaviivojen 37 kappaleen noudattamisen osoittamiseksi, ovatko ilmoitetun toimenpiteen piiriin kuuluvat hankkeet tai toiminnot maanne viranomaisten tiedon mukaan tekniseltä sisällöltään, riskitasoltaan ja kooltaan samantapaisia kuin ne hankkeet, joita jo toteutetaan unionissa markkinaehdoin. Jos kyllä, esittäkää lisänäyttöä valtiontuen tarpeellisuuden osoittamiseksi.</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40FC96B3" w:rsidR="00F43AD8" w:rsidRDefault="00D0579C" w:rsidP="0000132C">
      <w:pPr>
        <w:numPr>
          <w:ilvl w:val="0"/>
          <w:numId w:val="4"/>
        </w:numPr>
        <w:spacing w:before="120" w:after="120"/>
        <w:ind w:left="567" w:hanging="567"/>
        <w:jc w:val="both"/>
      </w:pPr>
      <w:r>
        <w:t xml:space="preserve">Osoittakaa suuntaviivojen 38 kappaleen noudattaminen viittaamalla kysymyksen </w:t>
      </w:r>
      <w:r>
        <w:fldChar w:fldCharType="begin"/>
      </w:r>
      <w:r>
        <w:instrText xml:space="preserve"> REF _Ref161224203 \r \h </w:instrText>
      </w:r>
      <w:r>
        <w:fldChar w:fldCharType="separate"/>
      </w:r>
      <w:r>
        <w:t>12</w:t>
      </w:r>
      <w:r>
        <w:fldChar w:fldCharType="end"/>
      </w:r>
      <w:r>
        <w:t xml:space="preserve"> kohdan </w:t>
      </w:r>
      <w:r>
        <w:fldChar w:fldCharType="begin"/>
      </w:r>
      <w:r>
        <w:instrText xml:space="preserve"> REF _Ref165985385 \r \h </w:instrText>
      </w:r>
      <w:r>
        <w:fldChar w:fldCharType="separate"/>
      </w:r>
      <w:r>
        <w:t>C)</w:t>
      </w:r>
      <w:r>
        <w:fldChar w:fldCharType="end"/>
      </w:r>
      <w:r>
        <w:t xml:space="preserve"> yhteydessä jo esitettyyn määrälliseen näyttöön. </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Tarkoituksenmukaisuus</w:t>
            </w:r>
          </w:p>
        </w:tc>
      </w:tr>
    </w:tbl>
    <w:bookmarkEnd w:id="8"/>
    <w:p w14:paraId="564078A7" w14:textId="5B9E20CC" w:rsidR="00C62AF1" w:rsidRDefault="00C62AF1" w:rsidP="05E51075">
      <w:pPr>
        <w:spacing w:before="360" w:after="120"/>
        <w:jc w:val="both"/>
        <w:rPr>
          <w:i/>
          <w:iCs/>
          <w:color w:val="000000"/>
        </w:rPr>
      </w:pPr>
      <w:r>
        <w:rPr>
          <w:i/>
        </w:rPr>
        <w:t>Tämän jakson tietoja varten ks. suuntaviivojen 3.2.1.2 kohta (39–46 kappale) ja 4.3.1.4.1 kohta (171 kappale).</w:t>
      </w:r>
      <w:r>
        <w:rPr>
          <w:i/>
          <w:color w:val="000000" w:themeColor="text1"/>
        </w:rPr>
        <w:t xml:space="preserve">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r>
        <w:t xml:space="preserve">Osoittakaa suuntaviivojen 41 kappaleen noudattamisen todentamiseksi, että tukitoimenpide on suunniteltu siten, että se ei heikennä muiden sellaisten toimenpiteiden tehokkuutta, joilla pyritään korjaamaan samoja markkinoiden toimintapuutteita, kuten markkinapohjaiset mekanismit (esim. EU:n päästökauppajärjestelmä).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78F5FC62" w:rsidR="00C62AF1" w:rsidRPr="00AC286A" w:rsidRDefault="00C62AF1" w:rsidP="0000132C">
      <w:pPr>
        <w:numPr>
          <w:ilvl w:val="0"/>
          <w:numId w:val="4"/>
        </w:numPr>
        <w:spacing w:before="120" w:after="120"/>
        <w:ind w:left="567" w:hanging="567"/>
        <w:jc w:val="both"/>
      </w:pPr>
      <w:r>
        <w:lastRenderedPageBreak/>
        <w:t>Vahvistakaa suuntaviivojen 42 kappaleen noudattamisen todentamiseksi, että tukitoimenpiteen yhdenkään tuensaajan ei voida katsoa olevan vastuussa kyseessä olevasta saastumisesta voimassa olevan unionin tai jäsenvaltion lainsäädännön nojalla (</w:t>
      </w:r>
      <w:r>
        <w:rPr>
          <w:i/>
        </w:rPr>
        <w:t>”saastuttaja maksaa” -periaate</w:t>
      </w:r>
      <w:r>
        <w:t>).</w:t>
      </w:r>
      <w:r>
        <w:rPr>
          <w:shd w:val="clear" w:color="auto" w:fill="FFFFFF"/>
        </w:rPr>
        <w:t xml:space="preserve"> </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6ED7F872" w:rsidR="00FE373B" w:rsidRDefault="002360FE" w:rsidP="0000132C">
      <w:pPr>
        <w:numPr>
          <w:ilvl w:val="0"/>
          <w:numId w:val="4"/>
        </w:numPr>
        <w:spacing w:before="120" w:after="120"/>
        <w:ind w:left="567" w:hanging="567"/>
        <w:jc w:val="both"/>
      </w:pPr>
      <w:r>
        <w:t xml:space="preserve">Esittäkää seuraavat tiedot suuntaviivojen 43–46 kappaleen noudattamisen todentamiseksi ja sen osoittamiseksi, että valittu tukimuoto on eri tukimuodoista tarkoituksenmukaisin: </w:t>
      </w:r>
    </w:p>
    <w:p w14:paraId="50891D0D" w14:textId="0B4D0D67" w:rsidR="00C62AF1" w:rsidRPr="00AC286A" w:rsidRDefault="00C62AF1" w:rsidP="0000132C">
      <w:pPr>
        <w:pStyle w:val="ListParagraph"/>
        <w:numPr>
          <w:ilvl w:val="0"/>
          <w:numId w:val="34"/>
        </w:numPr>
        <w:spacing w:after="120"/>
        <w:jc w:val="both"/>
      </w:pPr>
      <w:r>
        <w:t>Osoittakaa, miksi muut mahdollisesti kilpailua vähemmän vääristävät tukimuodot ovat vähemmän tarkoituksenmukaisia, kuten suuntaviivojen 44 kappaleessa edellytetään. Vähemmän vääristävät tukimuodot voivat olla takaisinmaksettavia ennakkoja suorien avustusten sijasta, verohyvityksiä veronalennusten sijasta tai tukimuotoja, jotka perustuvat rahoitusinstrumentteihin, vieraan tai oman pääoman ehtoisten instrumenttien sijasta, esimerkiksi matalakorkoiset lainat tai korkotuet, valtion takaukset tai jokin vaihtoehtoinen tapa tarjota rahoitusta suotuisin ehdoin.</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t>Osoittakaa, kuten suuntaviivojen 45 kappaleessa edellytetään, että valittu tukiväline on tarkoituksenmukainen suhteessa markkinoiden toimintapuutteeseen, jota tukitoimenpiteellä pyritään korjaamaan.</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t>Selittäkää, miten tukitoimenpide ja sen rakenne soveltuvat sen toimenpiteen tavoitteen saavuttamiseen, johon tuki kohdistuu (suuntaviivojen 46 kappale).</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Selittäkää suuntaviivojen 40 ja 171 kappaleen noudattamisen todentamiseksi, voisivatko muun tyyppiset interventiot kuin valtiontukitoimet edistää puhtaan liikenteen markkinoiden kehitystä, ja kuvatkaa niiden odotettu vaikutus verrattuna ehdotetun toimenpiteen vaikutuksiin. Tällaisia muun tyyppisiä interventioita voivat olla yleiset toimenpiteet, joilla pyritään edistämään puhtaiden liikennevälineiden hankintaa, kuten ekobonus- tai romutusohjelmat tai vähäpäästöisten vyöhykkeiden luominen kyseiseen jäsenvaltioon.</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Oikeasuhteisuus</w:t>
            </w:r>
          </w:p>
        </w:tc>
      </w:tr>
    </w:tbl>
    <w:p w14:paraId="4583CF53" w14:textId="484D45EB" w:rsidR="002E4A39" w:rsidRPr="00AC286A" w:rsidRDefault="002E4A39" w:rsidP="001F1E32">
      <w:pPr>
        <w:spacing w:before="360" w:after="120"/>
        <w:jc w:val="both"/>
        <w:rPr>
          <w:i/>
        </w:rPr>
      </w:pPr>
      <w:r>
        <w:rPr>
          <w:i/>
        </w:rPr>
        <w:t xml:space="preserve">Tämän jakson tietoja varten ks. suuntaviivojen 3.2.1.3 kohta (47–55 kappale) ja 4.3.1.4.2 kohta (172–181 kappale). Huom. </w:t>
      </w:r>
      <w:r>
        <w:rPr>
          <w:i/>
          <w:u w:val="single"/>
        </w:rPr>
        <w:t>Seuraavat jaksot 2.1.3.1 ja 2.1.3.2 ovat toisilleen vaihtoehtoisia</w:t>
      </w:r>
      <w:r>
        <w:rPr>
          <w:i/>
        </w:rPr>
        <w:t>. Vastatkaa vain ehdotetun toimenpiteen rakenteen mukaiseen jaksoon.</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t>2.1.3.1. Tarjouskilpailumenettelyssä myönnettävän tuen oikeasuhteisuus</w:t>
            </w:r>
          </w:p>
        </w:tc>
      </w:tr>
    </w:tbl>
    <w:p w14:paraId="7AD4AA0A" w14:textId="77F5469E" w:rsidR="00A84671" w:rsidRPr="00AC286A" w:rsidRDefault="00C62AF1" w:rsidP="009854EF">
      <w:pPr>
        <w:pStyle w:val="ListParagraph"/>
        <w:spacing w:before="120" w:after="120"/>
        <w:ind w:left="0"/>
        <w:contextualSpacing w:val="0"/>
        <w:jc w:val="both"/>
      </w:pPr>
      <w:r>
        <w:rPr>
          <w:i/>
        </w:rPr>
        <w:t>Tämän jakson tietoja varten ks. suuntaviivojen 49, 50, 173, 174 ja 175 kappale</w:t>
      </w:r>
      <w:r>
        <w:t>.</w:t>
      </w:r>
    </w:p>
    <w:p w14:paraId="488BAFA9" w14:textId="7E072642" w:rsidR="00C62AF1" w:rsidRPr="00AC286A" w:rsidRDefault="00C62AF1" w:rsidP="0000132C">
      <w:pPr>
        <w:numPr>
          <w:ilvl w:val="0"/>
          <w:numId w:val="4"/>
        </w:numPr>
        <w:spacing w:before="120" w:after="120"/>
        <w:ind w:left="567" w:hanging="567"/>
        <w:jc w:val="both"/>
      </w:pPr>
      <w:bookmarkStart w:id="9" w:name="_Ref155798173"/>
      <w:r>
        <w:lastRenderedPageBreak/>
        <w:t>Suuntaviivojen 49, 50 ja 173 kappaleen noudattamisen todentamiseksi:</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t xml:space="preserve">Selostakaa, miten viranomaiset varmistavat, että tarjouskilpailumenettely on avoin, selkeä, läpinäkyvä ja syrjimätön ja pohjautuu puolueettomiin perusteisiin, jotka määritellään etukäteen toimenpiteen tavoitteen mukaisesti ja joilla minimoidaan strategisten tarjousten riski (suuntaviivojen 49 kappaleen a kohta). </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A91BAD5" w:rsidR="0082588A" w:rsidRPr="00AC286A" w:rsidRDefault="070CBB00" w:rsidP="0000132C">
      <w:pPr>
        <w:pStyle w:val="ListParagraph"/>
        <w:numPr>
          <w:ilvl w:val="0"/>
          <w:numId w:val="35"/>
        </w:numPr>
        <w:spacing w:before="120" w:after="120"/>
        <w:contextualSpacing w:val="0"/>
        <w:jc w:val="both"/>
      </w:pPr>
      <w:r>
        <w:t xml:space="preserve">Valintaperusteet, joita käytetään tarjousten paremmuusjärjestykseen asettamiseen ja viime kädessä tuen tason määrittämiseen tarjouskilpailumenettelyssä. Eli: </w:t>
      </w:r>
    </w:p>
    <w:p w14:paraId="321C47E7" w14:textId="77777777" w:rsidR="00C62AF1" w:rsidRPr="00AC286A" w:rsidRDefault="00C62AF1" w:rsidP="0000132C">
      <w:pPr>
        <w:pStyle w:val="ListParagraph"/>
        <w:numPr>
          <w:ilvl w:val="1"/>
          <w:numId w:val="22"/>
        </w:numPr>
        <w:spacing w:before="120" w:after="120"/>
        <w:contextualSpacing w:val="0"/>
        <w:jc w:val="both"/>
      </w:pPr>
      <w:r>
        <w:t>Luetelkaa valintaperusteet ja täsmentäkää, mitkä niistä liittyvät ja mitkä eivät liity suoraan tai välillisesti toimenpiteen päätavoitteisiin. Ilmoittakaa eri perusteiden painotukset.</w:t>
      </w:r>
    </w:p>
    <w:p w14:paraId="01FF411D" w14:textId="77777777" w:rsidR="00C62AF1" w:rsidRPr="00AC286A" w:rsidRDefault="00C62AF1" w:rsidP="001631E6">
      <w:pPr>
        <w:tabs>
          <w:tab w:val="left" w:leader="dot" w:pos="9072"/>
        </w:tabs>
        <w:spacing w:before="120" w:after="120"/>
        <w:ind w:left="1800"/>
        <w:jc w:val="both"/>
      </w:pPr>
      <w:r>
        <w:tab/>
      </w:r>
    </w:p>
    <w:p w14:paraId="3871A0FF" w14:textId="0D8DE64E" w:rsidR="00C62AF1" w:rsidRPr="00AC286A" w:rsidRDefault="00C62AF1" w:rsidP="0000132C">
      <w:pPr>
        <w:pStyle w:val="ListParagraph"/>
        <w:numPr>
          <w:ilvl w:val="1"/>
          <w:numId w:val="22"/>
        </w:numPr>
        <w:spacing w:before="120" w:after="120"/>
        <w:contextualSpacing w:val="0"/>
        <w:jc w:val="both"/>
      </w:pPr>
      <w:r>
        <w:t>Selittäkää, miten valintaperusteissa suhteutetaan myötävaikutus toimenpiteen päätavoitteisiin suoraan tai välillisesti hakijan pyytämään tukimäärään. Tämä voidaan ilmaista esimerkiksi tukena ympäristönsuojeluyksikköä tai puhdasta/päästötöntä liikennevälinettä kohti (suuntaviivojen 50 kappale ja alaviite 44).</w:t>
      </w:r>
    </w:p>
    <w:p w14:paraId="7A3A1799" w14:textId="77777777" w:rsidR="00C62AF1" w:rsidRPr="00AC286A" w:rsidRDefault="00C62AF1" w:rsidP="001631E6">
      <w:pPr>
        <w:tabs>
          <w:tab w:val="left" w:leader="dot" w:pos="9072"/>
        </w:tabs>
        <w:spacing w:before="120" w:after="120"/>
        <w:ind w:left="1800"/>
        <w:jc w:val="both"/>
      </w:pPr>
      <w:r>
        <w:tab/>
      </w:r>
    </w:p>
    <w:p w14:paraId="21A84BEF" w14:textId="15D41F31" w:rsidR="00CD4F93" w:rsidRPr="00AC286A" w:rsidRDefault="00C62AF1" w:rsidP="0000132C">
      <w:pPr>
        <w:pStyle w:val="ListParagraph"/>
        <w:numPr>
          <w:ilvl w:val="1"/>
          <w:numId w:val="22"/>
        </w:numPr>
        <w:spacing w:before="120" w:after="120"/>
        <w:contextualSpacing w:val="0"/>
        <w:jc w:val="both"/>
      </w:pPr>
      <w:r>
        <w:t xml:space="preserve">Jos on muita valintaperusteita, jotka eivät suoraan tai välillisesti liity toimenpiteen päätavoitteisiin, esittäkää perustelut ehdotetulle lähestymistavalle ja selittäkää, miten se on asianmukainen toimenpiteen tavoitteiden kannalta. Vahvistakaa myös, että näiden perusteiden osuus on enintään 30 prosenttia kaikkien valintaperusteiden painotuksesta (suuntaviivojen 50 ja 174 kappale). </w:t>
      </w:r>
    </w:p>
    <w:p w14:paraId="59CA41EE" w14:textId="20D14AB4" w:rsidR="00C62AF1" w:rsidRPr="00AC286A" w:rsidRDefault="00CD4F93" w:rsidP="00443E1F">
      <w:pPr>
        <w:tabs>
          <w:tab w:val="left" w:leader="dot" w:pos="9072"/>
        </w:tabs>
        <w:spacing w:before="120" w:after="120"/>
        <w:ind w:left="1800"/>
        <w:jc w:val="both"/>
      </w:pPr>
      <w:r>
        <w:tab/>
      </w:r>
    </w:p>
    <w:p w14:paraId="3F503F7F" w14:textId="2618367E" w:rsidR="00C62AF1" w:rsidRPr="00AC286A" w:rsidRDefault="070CBB00" w:rsidP="0000132C">
      <w:pPr>
        <w:pStyle w:val="ListParagraph"/>
        <w:numPr>
          <w:ilvl w:val="1"/>
          <w:numId w:val="22"/>
        </w:numPr>
        <w:spacing w:before="120" w:after="120"/>
        <w:jc w:val="both"/>
      </w:pPr>
      <w:r>
        <w:rPr>
          <w:color w:val="000000"/>
        </w:rPr>
        <w:t xml:space="preserve">Selittäkää, </w:t>
      </w:r>
      <w:r>
        <w:rPr>
          <w:color w:val="000000" w:themeColor="text1"/>
        </w:rPr>
        <w:t>kuinka paljon ennen kunkin tarjouskilpailumenettelyn hakemusten jättämisen määräaikaa</w:t>
      </w:r>
      <w:r>
        <w:rPr>
          <w:color w:val="000000"/>
        </w:rPr>
        <w:t xml:space="preserve"> valintaperusteet julkaistaan</w:t>
      </w:r>
      <w:r>
        <w:t xml:space="preserve"> (suuntaviivojen 49 kappaleen b kohta ja alaviite 43)</w:t>
      </w:r>
      <w:r>
        <w:rPr>
          <w:shd w:val="clear" w:color="auto" w:fill="FFFFFF"/>
        </w:rPr>
        <w:t>.</w:t>
      </w:r>
    </w:p>
    <w:p w14:paraId="04A0C488" w14:textId="77777777" w:rsidR="00C62AF1" w:rsidRPr="00AC286A" w:rsidRDefault="00C62AF1" w:rsidP="001631E6">
      <w:pPr>
        <w:tabs>
          <w:tab w:val="left" w:leader="dot" w:pos="9072"/>
        </w:tabs>
        <w:spacing w:before="120" w:after="120"/>
        <w:ind w:left="1800"/>
        <w:jc w:val="both"/>
      </w:pPr>
      <w:r>
        <w:tab/>
      </w:r>
    </w:p>
    <w:p w14:paraId="19160455" w14:textId="530B6ED4" w:rsidR="00A84671" w:rsidRPr="0018778D" w:rsidRDefault="00A84671" w:rsidP="0000132C">
      <w:pPr>
        <w:pStyle w:val="ListParagraph"/>
        <w:numPr>
          <w:ilvl w:val="0"/>
          <w:numId w:val="35"/>
        </w:numPr>
        <w:spacing w:before="120" w:after="120"/>
        <w:contextualSpacing w:val="0"/>
        <w:jc w:val="both"/>
        <w:rPr>
          <w:shd w:val="clear" w:color="auto" w:fill="FFFFFF"/>
        </w:rPr>
      </w:pPr>
      <w:r>
        <w:t>Selittäkää seikat, joihin perustatte oletuksenne siitä, että tarjouskilpailu on avoin ja tarjoajien määrä tarkoituksenmukainen eli että voidaan olettaa, että kaikki tarjoajat eivät tule saamaan tukea ja että tarjoajien odotettu määrä on riittävä tosiasiallisen kilpailun varmistamiseksi koko ohjelman ajan (suuntaviivojen 49 kappaleen c kohta).</w:t>
      </w:r>
      <w:r>
        <w:rPr>
          <w:shd w:val="clear" w:color="auto" w:fill="FFFFFF"/>
        </w:rPr>
        <w:t xml:space="preserve"> Huomioikaa selvityksessänne ohjelman budjetti tai volyymi. Viitatkaa tarvittaessa näyttöön, jonka esititte kysymyksen </w:t>
      </w:r>
      <w:r>
        <w:rPr>
          <w:shd w:val="clear" w:color="auto" w:fill="FFFFFF"/>
        </w:rPr>
        <w:fldChar w:fldCharType="begin"/>
      </w:r>
      <w:r>
        <w:rPr>
          <w:shd w:val="clear" w:color="auto" w:fill="FFFFFF"/>
        </w:rPr>
        <w:instrText xml:space="preserve"> REF _Ref150179558 \r \h  \* MERGEFORMAT </w:instrText>
      </w:r>
      <w:r>
        <w:rPr>
          <w:shd w:val="clear" w:color="auto" w:fill="FFFFFF"/>
        </w:rPr>
      </w:r>
      <w:r>
        <w:rPr>
          <w:shd w:val="clear" w:color="auto" w:fill="FFFFFF"/>
        </w:rPr>
        <w:fldChar w:fldCharType="separate"/>
      </w:r>
      <w:r>
        <w:rPr>
          <w:shd w:val="clear" w:color="auto" w:fill="FFFFFF"/>
        </w:rPr>
        <w:t>12</w:t>
      </w:r>
      <w:r>
        <w:rPr>
          <w:shd w:val="clear" w:color="auto" w:fill="FFFFFF"/>
        </w:rPr>
        <w:fldChar w:fldCharType="end"/>
      </w:r>
      <w:r>
        <w:rPr>
          <w:shd w:val="clear" w:color="auto" w:fill="FFFFFF"/>
        </w:rPr>
        <w:t xml:space="preserve"> yhteydessä. </w:t>
      </w:r>
    </w:p>
    <w:p w14:paraId="7CB0F67C" w14:textId="3C43A678" w:rsidR="00A84671" w:rsidRPr="00AC286A" w:rsidRDefault="00A84671" w:rsidP="001C4C34">
      <w:pPr>
        <w:tabs>
          <w:tab w:val="left" w:leader="dot" w:pos="9072"/>
        </w:tabs>
        <w:spacing w:before="120" w:after="120"/>
        <w:ind w:left="1560"/>
        <w:jc w:val="both"/>
      </w:pPr>
      <w:r>
        <w:t>…………………………………………………………………………………</w:t>
      </w:r>
    </w:p>
    <w:p w14:paraId="05788345" w14:textId="0EF6C912" w:rsidR="00C62AF1" w:rsidRPr="00AC286A" w:rsidRDefault="00C62AF1" w:rsidP="00874EB7">
      <w:pPr>
        <w:pStyle w:val="ListParagraph"/>
        <w:numPr>
          <w:ilvl w:val="0"/>
          <w:numId w:val="35"/>
        </w:numPr>
        <w:spacing w:before="120" w:after="120"/>
        <w:contextualSpacing w:val="0"/>
        <w:jc w:val="both"/>
      </w:pPr>
      <w:r>
        <w:t>Antakaa tiedot suunniteltujen tarjouskierrosten määrästä ja tarjoajien odotetusta määrästä ensimmäisellä kierroksella ja ajan mittaan.</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6A613B09" w:rsidR="00C62AF1" w:rsidRPr="00AC286A" w:rsidRDefault="00071F5F" w:rsidP="00874EB7">
      <w:pPr>
        <w:pStyle w:val="ListParagraph"/>
        <w:numPr>
          <w:ilvl w:val="0"/>
          <w:numId w:val="35"/>
        </w:numPr>
        <w:spacing w:before="120" w:after="120"/>
        <w:contextualSpacing w:val="0"/>
        <w:jc w:val="both"/>
      </w:pPr>
      <w:r>
        <w:lastRenderedPageBreak/>
        <w:t>Jos yksi tai useampi tarjousprosessi on alitarjottu, selittäkää, miten tarjousmenettelyjen rakennetta korjataan ohjelman aikana tosiasiallisen kilpailun palauttamiseksi ja milloin nämä korjaukset tehdään (suuntaviivojen 49 kappaleen c kohta).</w:t>
      </w:r>
      <w:r>
        <w:rPr>
          <w:shd w:val="clear" w:color="auto" w:fill="FFFFFF"/>
        </w:rPr>
        <w:t xml:space="preserve"> </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874EB7">
      <w:pPr>
        <w:pStyle w:val="ListParagraph"/>
        <w:numPr>
          <w:ilvl w:val="0"/>
          <w:numId w:val="35"/>
        </w:numPr>
        <w:spacing w:before="120" w:after="120"/>
        <w:contextualSpacing w:val="0"/>
        <w:jc w:val="both"/>
      </w:pPr>
      <w:r>
        <w:t>Vahvistakaa, että tarjousprosessin tulokseen jälkikäteen tehtävät muutokset (kuten myöhemmät neuvottelut tarjoustuloksista tai pisteytyksistä) vältetään (suuntaviivojen 49 kappaleen d kohta).</w:t>
      </w:r>
    </w:p>
    <w:p w14:paraId="15E4B563" w14:textId="77777777" w:rsidR="00C62AF1" w:rsidRPr="00AC286A" w:rsidRDefault="00C62AF1" w:rsidP="0082588A">
      <w:pPr>
        <w:tabs>
          <w:tab w:val="left" w:leader="dot" w:pos="9072"/>
        </w:tabs>
        <w:spacing w:before="120" w:after="120"/>
        <w:ind w:left="1080" w:firstLine="763"/>
        <w:jc w:val="both"/>
      </w:pPr>
      <w:r>
        <w:tab/>
      </w:r>
    </w:p>
    <w:p w14:paraId="020F4E1E" w14:textId="26E05E28" w:rsidR="00C62AF1" w:rsidRPr="00AC286A" w:rsidRDefault="00C62AF1" w:rsidP="00874EB7">
      <w:pPr>
        <w:pStyle w:val="ListParagraph"/>
        <w:numPr>
          <w:ilvl w:val="0"/>
          <w:numId w:val="35"/>
        </w:numPr>
        <w:spacing w:before="120" w:after="120"/>
        <w:contextualSpacing w:val="0"/>
        <w:jc w:val="both"/>
      </w:pPr>
      <w:r>
        <w:t xml:space="preserve">Jos ns. nollatukitarjoukset ovat mahdollisia, selittäkää, miten oikeasuhteisuus varmistetaan (ks. suuntaviivojen 49 kappaleen alaviite 42). </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1D925FCB" w:rsidR="00443E1F" w:rsidRDefault="00C62AF1" w:rsidP="00874EB7">
      <w:pPr>
        <w:pStyle w:val="ListParagraph"/>
        <w:numPr>
          <w:ilvl w:val="0"/>
          <w:numId w:val="35"/>
        </w:numPr>
        <w:spacing w:before="120" w:after="120"/>
        <w:contextualSpacing w:val="0"/>
        <w:jc w:val="both"/>
      </w:pPr>
      <w:r>
        <w:t>Täsmentäkää, suunnittelevatko viranomaiset pohjahintojen tai hintakattojen käyttöä tarjouskilpailumenettelyssä. Jos kyllä, perustelkaa niiden käyttö ja selittäkää, miten ne eivät rajoita tarjouskilpailumenettelyä (suuntaviivojen 49 kappale ja alaviite 42).</w:t>
      </w:r>
    </w:p>
    <w:p w14:paraId="65B75D11" w14:textId="77777777" w:rsidR="00443E1F" w:rsidRPr="00AC286A" w:rsidRDefault="00443E1F" w:rsidP="0082588A">
      <w:pPr>
        <w:tabs>
          <w:tab w:val="left" w:leader="dot" w:pos="9072"/>
        </w:tabs>
        <w:spacing w:before="120" w:after="120"/>
        <w:ind w:left="1080" w:firstLine="763"/>
        <w:jc w:val="both"/>
      </w:pPr>
      <w:r>
        <w:tab/>
      </w:r>
    </w:p>
    <w:p w14:paraId="5C9F3D54" w14:textId="1383C4E2" w:rsidR="00CD4F93" w:rsidRPr="00AC286A" w:rsidRDefault="00C62AF1" w:rsidP="0000132C">
      <w:pPr>
        <w:numPr>
          <w:ilvl w:val="0"/>
          <w:numId w:val="4"/>
        </w:numPr>
        <w:spacing w:before="120" w:after="120"/>
        <w:ind w:left="567" w:hanging="567"/>
        <w:jc w:val="both"/>
        <w:rPr>
          <w:sz w:val="22"/>
        </w:rPr>
      </w:pPr>
      <w:r>
        <w:t>Selittäkää, miten tarjouskilpailumenettelyn rakenteessa varmistetaan, että hakijoille jää riittävästi kannustimia tehdä tarjouksia hankkeista, jotka koskevat päästöttömien liikennevälineiden, jotka ovat yleensä kalliimpia kuin vähemmän ympäristöystävälliset vaihtoehdot, hankintaa, jos sellaisia on saatavilla kyseisessä liikennemuodossa. Selittäkää esimerkiksi, kuuluuko tarjouskilpailun rakenteeseen preemioita, joiden avulla sellaisille hankkeille, joista seuraavat ympäristöhyödyt ylittävät tukikelpoisuusvaatimuksista tai toimenpiteen ensisijaisesta tavoitteesta johtuvat hyödyt, voidaan antaa korkeampi pistemäärä (suuntaviivojen 175 kappale).</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 Tuen oikeasuhteisuus, kun tukea </w:t>
            </w:r>
            <w:r>
              <w:rPr>
                <w:sz w:val="24"/>
                <w:u w:val="single"/>
              </w:rPr>
              <w:t>ei</w:t>
            </w:r>
            <w:r>
              <w:rPr>
                <w:sz w:val="24"/>
              </w:rPr>
              <w:t xml:space="preserve"> myönnetä tarjouskilpailumenettelyssä</w:t>
            </w:r>
          </w:p>
        </w:tc>
      </w:tr>
    </w:tbl>
    <w:p w14:paraId="422D5582" w14:textId="3525E601" w:rsidR="00C62AF1" w:rsidRPr="00AC286A" w:rsidRDefault="00C62AF1" w:rsidP="009854EF">
      <w:pPr>
        <w:pStyle w:val="ListParagraph"/>
        <w:spacing w:before="120" w:after="120"/>
        <w:ind w:left="0"/>
        <w:contextualSpacing w:val="0"/>
        <w:jc w:val="both"/>
      </w:pPr>
      <w:r>
        <w:rPr>
          <w:i/>
        </w:rPr>
        <w:t>Tämän jakson tietoja varten ks. suuntaviivojen 51–55 ja 176–181 kappale</w:t>
      </w:r>
      <w:r>
        <w:t>.</w:t>
      </w:r>
    </w:p>
    <w:p w14:paraId="1F6FE818" w14:textId="1814D969" w:rsidR="00EF71CF" w:rsidRPr="00EF71CF" w:rsidRDefault="00EF71CF" w:rsidP="0000132C">
      <w:pPr>
        <w:numPr>
          <w:ilvl w:val="0"/>
          <w:numId w:val="4"/>
        </w:numPr>
        <w:spacing w:before="120" w:after="120"/>
        <w:ind w:left="567" w:hanging="567"/>
        <w:jc w:val="both"/>
      </w:pPr>
      <w:r>
        <w:t xml:space="preserve">Selittäkää, miksi tarjouskilpailumenettelyä ei käytetä (viitaten suuntaviivojen 176 kappaleessa esitettyihin poikkeuksiin): </w:t>
      </w:r>
    </w:p>
    <w:p w14:paraId="662CF7E0" w14:textId="77777777" w:rsidR="001A514F" w:rsidRPr="001A514F" w:rsidRDefault="009A3188" w:rsidP="0000132C">
      <w:pPr>
        <w:pStyle w:val="ListParagraph"/>
        <w:numPr>
          <w:ilvl w:val="0"/>
          <w:numId w:val="37"/>
        </w:numPr>
        <w:spacing w:before="120" w:after="120"/>
        <w:contextualSpacing w:val="0"/>
        <w:jc w:val="both"/>
      </w:pPr>
      <w:r>
        <w:t xml:space="preserve">osallistujien odotettu määrä ei riitä varmistamaan tosiasiallista kilpailua tai välttämään strategisia tarjouksia </w:t>
      </w:r>
      <w:r>
        <w:rPr>
          <w:i/>
        </w:rPr>
        <w:t>TAI</w:t>
      </w:r>
    </w:p>
    <w:p w14:paraId="2BE7768F" w14:textId="52FE47F8" w:rsidR="001A514F" w:rsidRDefault="009A3188" w:rsidP="0000132C">
      <w:pPr>
        <w:pStyle w:val="ListParagraph"/>
        <w:numPr>
          <w:ilvl w:val="0"/>
          <w:numId w:val="37"/>
        </w:numPr>
        <w:spacing w:before="120" w:after="120"/>
        <w:contextualSpacing w:val="0"/>
        <w:jc w:val="both"/>
      </w:pPr>
      <w:r>
        <w:t xml:space="preserve">suuntaviivojen 49 ja 50 kappaleessa kuvattu tarjouskilpailumenettely ei ole tuen oikeasuhteisuuden varmistamisen kannalta tarkoituksenmukainen, ja 177–180 kappaleessa kuvattujen oikeasuhteisuuden osoittamiseen käytettävien vaihtoehtoisten menetelmien käyttäminen ei lisäisi kilpailun perusteettoman vääristymisen riskiä, riippuen toimenpiteen tai asianomaisten toimialojen tai liikennemuotojen ominaispiirteistä </w:t>
      </w:r>
      <w:r>
        <w:rPr>
          <w:i/>
        </w:rPr>
        <w:t>TAI</w:t>
      </w:r>
      <w:r>
        <w:t xml:space="preserve"> </w:t>
      </w:r>
    </w:p>
    <w:p w14:paraId="5D52BE55" w14:textId="25904D05" w:rsidR="009A3188" w:rsidRDefault="009A3188" w:rsidP="0000132C">
      <w:pPr>
        <w:pStyle w:val="ListParagraph"/>
        <w:numPr>
          <w:ilvl w:val="0"/>
          <w:numId w:val="37"/>
        </w:numPr>
        <w:spacing w:before="120" w:after="120"/>
        <w:contextualSpacing w:val="0"/>
        <w:jc w:val="both"/>
      </w:pPr>
      <w:r>
        <w:t>tuki myönnetään sellaisten liikennevälineiden hankintaan tai leasing-vuokraukseen, jotka on tarkoitettu tie-, raide- tai vesiliikenteen julkisen matkustajaliikenteen alalla toimivien yritysten käyttöön.</w:t>
      </w:r>
    </w:p>
    <w:p w14:paraId="35C3311B" w14:textId="5F324DD8" w:rsidR="00A84671" w:rsidRPr="001631E6" w:rsidRDefault="003115D9" w:rsidP="001C4C34">
      <w:pPr>
        <w:ind w:left="1560" w:hanging="142"/>
        <w:jc w:val="both"/>
      </w:pPr>
      <w:r>
        <w:t>…………………………………………………………………………………</w:t>
      </w:r>
    </w:p>
    <w:p w14:paraId="3DE19FEA" w14:textId="23F4A917" w:rsidR="008E430F" w:rsidRDefault="00B63C98" w:rsidP="0000132C">
      <w:pPr>
        <w:numPr>
          <w:ilvl w:val="0"/>
          <w:numId w:val="4"/>
        </w:numPr>
        <w:spacing w:before="120" w:after="120"/>
        <w:ind w:left="567" w:hanging="567"/>
        <w:jc w:val="both"/>
      </w:pPr>
      <w:r>
        <w:lastRenderedPageBreak/>
        <w:t xml:space="preserve">Ilmoittakaa investoinnin ylimääräiset nettokustannukset. Ne lasketaan yhtäältä tuella hankittavaksi tai leasing-vuokrattavaksi kaavaillun puhtaan liikennevälineen omistamisen kokonaiskustannusten ja toisaalta vaihtoehtoisessa skenaariossa syntyvien omistamisen kokonaiskustannusten välisenä erotuksena, pois lukien kustannukset, jotka eivät liity suoraan korkeamman ympäristönsuojelun tason saavuttamiseen. Liikennevälineiden tai liikkuvan tukikaluston jälkiasennuksissa tukikelpoisia voivat olla jälkiasennusten kokonaiskustannukset olettaen, että vaihtoehtoehtoisessa skenaariossa liikennevälineet tai liikkuva tukikalusto saavuttavat saman taloudellisen käyttöiän ilman jälkiasennusta (suuntaviivojen 178–179 kappale).  </w:t>
      </w:r>
    </w:p>
    <w:p w14:paraId="64429EE1" w14:textId="0F7509E8" w:rsidR="00443E1F" w:rsidRPr="001631E6" w:rsidRDefault="008E430F" w:rsidP="001C4C34">
      <w:pPr>
        <w:pStyle w:val="ListParagraph"/>
        <w:tabs>
          <w:tab w:val="left" w:leader="dot" w:pos="9072"/>
        </w:tabs>
        <w:spacing w:before="120" w:after="120"/>
        <w:ind w:left="567"/>
        <w:jc w:val="both"/>
      </w:pPr>
      <w:r>
        <w:tab/>
      </w:r>
      <w:r>
        <w:tab/>
      </w:r>
      <w:r>
        <w:tab/>
      </w:r>
    </w:p>
    <w:p w14:paraId="3AE8D48B" w14:textId="7C078CC7" w:rsidR="008E430F" w:rsidRDefault="009A3188" w:rsidP="0000132C">
      <w:pPr>
        <w:numPr>
          <w:ilvl w:val="0"/>
          <w:numId w:val="4"/>
        </w:numPr>
        <w:spacing w:before="120" w:after="120"/>
        <w:ind w:left="567" w:hanging="567"/>
        <w:jc w:val="both"/>
      </w:pPr>
      <w:r>
        <w:t xml:space="preserve">Ilmoittakaa toimenpiteen mukaiset tuen enimmäisintensiteetit ja ilmoittakaa, sovelletaanko korotuksia (kuvattu suuntaviivojen 177 kappaleessa).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1B7892A7" w:rsidR="001C4C34" w:rsidRDefault="00E161E7" w:rsidP="00A72937">
      <w:pPr>
        <w:numPr>
          <w:ilvl w:val="0"/>
          <w:numId w:val="4"/>
        </w:numPr>
        <w:spacing w:after="120"/>
        <w:ind w:left="567" w:hanging="567"/>
        <w:jc w:val="both"/>
      </w:pPr>
      <w:bookmarkStart w:id="10" w:name="_Ref170739959"/>
      <w:r>
        <w:t xml:space="preserve">Jos katsotaan, että suuntaviivojen 177–179 kappaleesta poiketen tarvitaan tukea, joka ylittää suuntaviivojen 177 kappaleessa esitetyt tuen enimmäisintensiteetit, ilmoittakaa tarpeelliseksi katsotun tuen taso ja perustelkaa se rahoitusvajeanalyysillä, joka koskee viitehankkeita kysymyksen </w:t>
      </w:r>
      <w:r>
        <w:fldChar w:fldCharType="begin"/>
      </w:r>
      <w:r>
        <w:instrText xml:space="preserve"> REF _Ref161224203 \r \h </w:instrText>
      </w:r>
      <w:r>
        <w:fldChar w:fldCharType="separate"/>
      </w:r>
      <w:r>
        <w:t>12</w:t>
      </w:r>
      <w:r>
        <w:fldChar w:fldCharType="end"/>
      </w:r>
      <w:r>
        <w:t xml:space="preserve"> kohdan C luetelmakohdan i yhteydessä yksilöidyissä tosiasiallisissa ja vaihtoehtoisissa skenaarioissa, suuntaviivojen 51–52 kappaleen mukaisesti.</w:t>
      </w:r>
      <w:bookmarkEnd w:id="10"/>
    </w:p>
    <w:p w14:paraId="264FE08C" w14:textId="6A1796CC" w:rsidR="00F4008F" w:rsidRDefault="6554BC11" w:rsidP="001C4C34">
      <w:pPr>
        <w:spacing w:before="120" w:after="120"/>
        <w:ind w:left="567"/>
        <w:jc w:val="both"/>
      </w:pPr>
      <w:r>
        <w:t xml:space="preserve">Esittäkää tätä rahoitusvajeanalyysiä varten kysymyksen </w:t>
      </w:r>
      <w:r>
        <w:fldChar w:fldCharType="begin"/>
      </w:r>
      <w:r>
        <w:instrText xml:space="preserve"> REF _Ref161224203 \r \h </w:instrText>
      </w:r>
      <w:r>
        <w:fldChar w:fldCharType="separate"/>
      </w:r>
      <w:r>
        <w:t>12</w:t>
      </w:r>
      <w:r>
        <w:fldChar w:fldCharType="end"/>
      </w:r>
      <w:r>
        <w:t xml:space="preserve"> yhteydessä yksilöidyn tosiasiallisen skenaarion ja realistisen vaihtoehtoisen skenaarion</w:t>
      </w:r>
      <w:r>
        <w:rPr>
          <w:rStyle w:val="FootnoteReference"/>
          <w:lang w:val="en-IE"/>
        </w:rPr>
        <w:footnoteReference w:id="9"/>
      </w:r>
      <w:r>
        <w:t xml:space="preserve"> osalta määrällinen arvio kaikista pääasiallisista kustannuksista ja tuloista, tuensaajien (tai viitehankkeiden) arvioiduista painotetuista keskimääräisistä pääomakustannuksista tulevien kassavirtojen diskonttaamiseksi sekä tosiasiallisen ja vaihtoehtoisen skenaarion nettonykyarvosta hankkeen/viitehankkeen elinkaaren ajalta. </w:t>
      </w:r>
    </w:p>
    <w:p w14:paraId="45BB3A0D" w14:textId="77777777" w:rsidR="002F62D3" w:rsidRPr="008B5F31" w:rsidRDefault="002F62D3" w:rsidP="007002B0">
      <w:pPr>
        <w:pStyle w:val="ListParagraph"/>
        <w:spacing w:before="120" w:after="120" w:line="259" w:lineRule="auto"/>
        <w:ind w:left="927"/>
        <w:jc w:val="both"/>
        <w:rPr>
          <w:lang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Ilmoittakaa nämä tiedot tämän ilmoituslomakkeen liitteessä (käyttäkää Excel-tiedostoa, jossa kaikki kaavat ovat näkyvissä).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t>Esittäkää yksityiskohtaiset tiedot oletuksista, menetelmistä, perusteluista ja niiden taustalla olevista lähteistä, joita on käytetty kustannusten ja tulojen kvantifioinnin kunkin osa-alueen osalta tosiasiallisessa skenaariossa ja todennäköisessä vaihtoehtoisessa skenaariossa (esittäkää esimerkiksi skenaarioiden laatimisessa käytetyt oletukset ja näiden oletusten lähde/perustelut).</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Kun on kyse yksittäisistä tuista ja ohjelmista, jotka hyödyttävät erityisen vähäistä määrää tuensaajia, jäsenvaltion on esitettävä asiaa tukeva näyttö hankekohtaisen liiketoimintasuunnitelman tasolla.</w:t>
      </w:r>
    </w:p>
    <w:p w14:paraId="1610350D" w14:textId="77777777" w:rsidR="002712FE" w:rsidRPr="00AC286A" w:rsidRDefault="002712FE" w:rsidP="001C4C34">
      <w:pPr>
        <w:ind w:left="1440"/>
        <w:jc w:val="both"/>
        <w:rPr>
          <w:shd w:val="clear" w:color="auto" w:fill="FFFFFF"/>
        </w:rPr>
      </w:pPr>
      <w:r>
        <w:rPr>
          <w:shd w:val="clear" w:color="auto" w:fill="FFFFFF"/>
        </w:rPr>
        <w:t>Tukiohjelmien osalta jäsenvaltion on esitettävä asiaa tukeva näyttö yhden tai useamman viitehankkeen perusteella.</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lastRenderedPageBreak/>
        <w:t xml:space="preserve">Voitte </w:t>
      </w:r>
      <w:r>
        <w:rPr>
          <w:shd w:val="clear" w:color="auto" w:fill="FFFFFF"/>
        </w:rPr>
        <w:t>liittää</w:t>
      </w:r>
      <w:r>
        <w:t xml:space="preserve"> tähän ilmoituslomakkeeseen myös suuntaviivojen alaviitteessä 39 mainitut asiakirjat. Yritysten hallintoelinten asiakirjat voivat olla erityisen hyödyllisiä, kun on kyse yksittäisistä tukitoimenpiteistä tai tukiohjelmista, jotka hyödyttävät erityisen vähäistä määrää tuensaajia. Jos ilmoituslomakkeeseen liitetään tällaisia asiakirjoja, luetelkaa ne alla ja ilmoittakaa laatija, laatimispäivä ja asiayhteys, jossa asiakirjaa käytettiin.</w:t>
      </w:r>
    </w:p>
    <w:p w14:paraId="0EB45229" w14:textId="77777777" w:rsidR="00F4008F" w:rsidRDefault="00F4008F" w:rsidP="00F37133">
      <w:pPr>
        <w:tabs>
          <w:tab w:val="left" w:leader="dot" w:pos="9072"/>
        </w:tabs>
        <w:spacing w:before="120" w:after="120"/>
        <w:ind w:left="1080" w:firstLine="338"/>
        <w:jc w:val="both"/>
        <w:rPr>
          <w:color w:val="000000"/>
        </w:rPr>
      </w:pPr>
      <w:r>
        <w:tab/>
      </w:r>
    </w:p>
    <w:p w14:paraId="3898CD7E" w14:textId="7DC7EFD2" w:rsidR="00E15BFB" w:rsidRDefault="00E15BFB" w:rsidP="0000132C">
      <w:pPr>
        <w:numPr>
          <w:ilvl w:val="0"/>
          <w:numId w:val="4"/>
        </w:numPr>
        <w:spacing w:before="120" w:after="120"/>
        <w:ind w:left="567" w:hanging="567"/>
        <w:jc w:val="both"/>
      </w:pPr>
      <w:r>
        <w:t xml:space="preserve">Osoittakaa myös, että </w:t>
      </w:r>
      <w:r>
        <w:rPr>
          <w:shd w:val="clear" w:color="auto" w:fill="FFFFFF"/>
        </w:rPr>
        <w:t xml:space="preserve">kysymyksen </w:t>
      </w:r>
      <w:r>
        <w:rPr>
          <w:shd w:val="clear" w:color="auto" w:fill="FFFFFF"/>
        </w:rPr>
        <w:fldChar w:fldCharType="begin"/>
      </w:r>
      <w:r>
        <w:rPr>
          <w:shd w:val="clear" w:color="auto" w:fill="FFFFFF"/>
        </w:rPr>
        <w:instrText xml:space="preserve"> REF _Ref170739959 \r \h </w:instrText>
      </w:r>
      <w:r>
        <w:rPr>
          <w:shd w:val="clear" w:color="auto" w:fill="FFFFFF"/>
        </w:rPr>
      </w:r>
      <w:r>
        <w:rPr>
          <w:shd w:val="clear" w:color="auto" w:fill="FFFFFF"/>
        </w:rPr>
        <w:fldChar w:fldCharType="separate"/>
      </w:r>
      <w:r>
        <w:rPr>
          <w:shd w:val="clear" w:color="auto" w:fill="FFFFFF"/>
        </w:rPr>
        <w:t>34</w:t>
      </w:r>
      <w:r>
        <w:rPr>
          <w:shd w:val="clear" w:color="auto" w:fill="FFFFFF"/>
        </w:rPr>
        <w:fldChar w:fldCharType="end"/>
      </w:r>
      <w:r>
        <w:t xml:space="preserve"> yhteydessä esitetyn mukaisesti määritetyn korkeamman tuen soveltaminen ei johtaisi siihen, että tuki ylittää rahoitusvajeen.  </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000FB885" w:rsidR="00301F4E" w:rsidRDefault="2E89C838" w:rsidP="0000132C">
      <w:pPr>
        <w:numPr>
          <w:ilvl w:val="0"/>
          <w:numId w:val="4"/>
        </w:numPr>
        <w:spacing w:before="120" w:after="120"/>
        <w:ind w:left="567" w:hanging="567"/>
        <w:jc w:val="both"/>
      </w:pPr>
      <w:r>
        <w:t>Jos kyseessä on suuntaviivojen 52 kappaleen mukainen tilanne eli todennäköisin vaihtoehtoinen skenaario muodostuu siitä, että tuensaaja ei toteuta tiettyä toimenpidettä tai investointia tai jatkaa toimintaansa muutoksitta, esittäkää näyttöä tämän oletuksen tueksi.</w:t>
      </w:r>
      <w:r>
        <w:rPr>
          <w:rStyle w:val="FootnoteReference"/>
          <w:lang w:eastAsia="en-GB"/>
        </w:rPr>
        <w:footnoteReference w:id="10"/>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3460C739" w:rsidR="00C62AF1" w:rsidRDefault="602E7F5B" w:rsidP="0000132C">
      <w:pPr>
        <w:numPr>
          <w:ilvl w:val="0"/>
          <w:numId w:val="4"/>
        </w:numPr>
        <w:spacing w:before="120" w:after="120"/>
        <w:ind w:left="567" w:hanging="567"/>
        <w:jc w:val="both"/>
        <w:rPr>
          <w:shd w:val="clear" w:color="auto" w:fill="FFFFFF"/>
        </w:rPr>
      </w:pPr>
      <w:r>
        <w:t>Kaikissa tapauksissa, joissa oikeasuhteisuus on perusteltu rahoitusvajeanalyysin perusteella, vahvistakaa myös, että maanne viranomaiset toteuttavat jälkikäteisvalvonnan tarvittavan tuen tasoa koskevien oletusten todentamiseksi ja ottavat käyttöön takaisinperintämekanismin.</w:t>
      </w:r>
      <w:r>
        <w:rPr>
          <w:shd w:val="clear" w:color="auto" w:fill="FFFFFF"/>
        </w:rPr>
        <w:t xml:space="preserve"> </w:t>
      </w:r>
      <w:r>
        <w:t>Kuvailkaa seuranta- ja takaisinperintämekanismi, jota maanne viranomaiset aikovat käyttää (suuntaviivojen 180 kappale).</w:t>
      </w:r>
      <w:r>
        <w:rPr>
          <w:shd w:val="clear" w:color="auto" w:fill="FFFFFF"/>
        </w:rPr>
        <w:t xml:space="preserve">  </w:t>
      </w:r>
    </w:p>
    <w:p w14:paraId="1CA6D18F" w14:textId="5F9B90F4" w:rsidR="00C62AF1" w:rsidRPr="00F37133" w:rsidRDefault="002712FE" w:rsidP="00F37133">
      <w:pPr>
        <w:pStyle w:val="ListParagraph"/>
        <w:tabs>
          <w:tab w:val="left" w:leader="dot" w:pos="9072"/>
        </w:tabs>
        <w:spacing w:before="120" w:after="120"/>
        <w:ind w:left="567"/>
        <w:jc w:val="both"/>
      </w:pPr>
      <w:r>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2.1.4. Kasautuminen</w:t>
            </w:r>
          </w:p>
        </w:tc>
      </w:tr>
    </w:tbl>
    <w:p w14:paraId="7AD631CF" w14:textId="77777777" w:rsidR="00C62AF1" w:rsidRPr="00AC286A" w:rsidRDefault="00C62AF1" w:rsidP="00FC5BDD">
      <w:pPr>
        <w:pStyle w:val="ListParagraph"/>
        <w:spacing w:before="120" w:after="120"/>
        <w:ind w:left="0"/>
        <w:contextualSpacing w:val="0"/>
        <w:jc w:val="both"/>
      </w:pPr>
      <w:r>
        <w:rPr>
          <w:i/>
        </w:rPr>
        <w:t>Tämän jakson tietoja varten ks. suuntaviivojen 56–57 kappale</w:t>
      </w:r>
      <w:r>
        <w:t>.</w:t>
      </w:r>
    </w:p>
    <w:p w14:paraId="25823321" w14:textId="6CE5B214" w:rsidR="00C62AF1" w:rsidRPr="00FC5BDD" w:rsidRDefault="5B40C1FF" w:rsidP="0000132C">
      <w:pPr>
        <w:numPr>
          <w:ilvl w:val="0"/>
          <w:numId w:val="4"/>
        </w:numPr>
        <w:spacing w:before="120" w:after="120"/>
        <w:ind w:left="567" w:hanging="567"/>
        <w:jc w:val="both"/>
      </w:pPr>
      <w:bookmarkStart w:id="11" w:name="_Ref114155671"/>
      <w:r>
        <w:t xml:space="preserve">Täsmentäkää suuntaviivojen 56 kappaleen </w:t>
      </w:r>
      <w:r>
        <w:rPr>
          <w:shd w:val="clear" w:color="auto" w:fill="FFFFFF"/>
        </w:rPr>
        <w:t>noudattamisen</w:t>
      </w:r>
      <w:r>
        <w:t xml:space="preserve"> todentamiseksi, voidaanko ilmoitetun toimenpiteen mukaista tukea myöntää samanaikaisesti useista tukiohjelmista tai voiko se kasautua samoihin tukikelpoisiin kustannuksiin kohdistuvan tapauskohtaisen tai vähämerkityksisen tuen kanssa, siltä osin kuin asiaa ei ole jo ilmoitettu yleisen ilmoituslomakkeen osassa I. Jos näin on, esittäkää tiedot kyseisistä tukiohjelmista, tapauskohtaisesta tuesta tai vähämerkityksisestä tuesta sekä siitä, miten tuki kasautuu.</w:t>
      </w:r>
      <w:bookmarkEnd w:id="11"/>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26AA2F7E" w:rsidR="00C62AF1" w:rsidRPr="00AC286A" w:rsidRDefault="61E4A1D4" w:rsidP="0000132C">
      <w:pPr>
        <w:numPr>
          <w:ilvl w:val="0"/>
          <w:numId w:val="4"/>
        </w:numPr>
        <w:spacing w:before="120" w:after="120"/>
        <w:ind w:left="567" w:hanging="567"/>
        <w:jc w:val="both"/>
      </w:pPr>
      <w:r>
        <w:t xml:space="preserve"> Jos kyseessä on suuntaviivojen 56 kappaleen mukainen tilanne, perustelkaa, miten ilmoitetusta toimenpiteestä hankkeelle tai toiminnalle myönnettävän tuen kokonaismäärä ei johda ylikompensaatioon tai ylitä suuntaviivojen 173, 177 tai 180 kappaleessa kuvattuja sallittuja tuen enimmäismääriä. Täsmentäkää kullekin toimenpiteelle, jonka kanssa ilmoitetusta toimenpiteestä myönnetty tuki voi kasautua, menetelmä, jolla varmistetaan suuntaviivojen 56 kappaleessa kuvattujen ehtojen täyttyminen.</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lastRenderedPageBreak/>
        <w:t>Jos kyseessä on suuntaviivojen 57 kappaleen mukainen tilanne eli jos ilmoitetusta toimenpiteestä myönnetty tuki yhdistetään keskitetysti hallinnoituun unionin rahoitukseen</w:t>
      </w:r>
      <w:r>
        <w:rPr>
          <w:rStyle w:val="FootnoteReference"/>
          <w:lang w:eastAsia="en-GB"/>
        </w:rPr>
        <w:footnoteReference w:id="11"/>
      </w:r>
      <w:r>
        <w:t xml:space="preserve"> (joka ei ole valtiontukea), perustelkaa, miten </w:t>
      </w:r>
      <w:r>
        <w:rPr>
          <w:shd w:val="clear" w:color="auto" w:fill="FFFFFF"/>
        </w:rPr>
        <w:t>samoihin tukikelpoisiin kustannuksiin myönnetyn julkisen rahoituksen kokonaismäärä ei johda ylikompensaatioon</w:t>
      </w:r>
      <w:r>
        <w:t>.</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2.1.5. Läpinäkyvyys</w:t>
            </w:r>
          </w:p>
        </w:tc>
      </w:tr>
    </w:tbl>
    <w:p w14:paraId="19C31F80" w14:textId="2D4539B5" w:rsidR="00C62AF1" w:rsidRPr="00AC286A" w:rsidRDefault="00C62AF1" w:rsidP="00C62AF1">
      <w:pPr>
        <w:spacing w:before="360" w:after="120"/>
        <w:jc w:val="both"/>
        <w:rPr>
          <w:i/>
        </w:rPr>
      </w:pPr>
      <w:r>
        <w:rPr>
          <w:i/>
        </w:rPr>
        <w:t xml:space="preserve">Tämän jakson tietoja varten ks. suuntaviivojen 3.2.1.4 kohta (58–61 kappale). </w:t>
      </w:r>
    </w:p>
    <w:p w14:paraId="4211141D" w14:textId="58565510" w:rsidR="008E430F" w:rsidRDefault="1C6367A9" w:rsidP="0000132C">
      <w:pPr>
        <w:numPr>
          <w:ilvl w:val="0"/>
          <w:numId w:val="4"/>
        </w:numPr>
        <w:spacing w:before="120" w:after="120"/>
        <w:ind w:left="567" w:hanging="567"/>
        <w:jc w:val="both"/>
      </w:pPr>
      <w:r>
        <w:t xml:space="preserve">Vahvistakaa, että jäsenvaltio noudattaa suuntaviivojen 58–61 kappaleessa kuvattuja läpinäkyvyysvaatimuksia.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27283177" w:rsidR="008E430F" w:rsidRPr="00AC286A" w:rsidRDefault="067498DD" w:rsidP="0000132C">
      <w:pPr>
        <w:numPr>
          <w:ilvl w:val="0"/>
          <w:numId w:val="4"/>
        </w:numPr>
        <w:spacing w:before="120" w:after="120"/>
        <w:ind w:left="567" w:hanging="567"/>
        <w:jc w:val="both"/>
        <w:rPr>
          <w:rFonts w:eastAsia="Times New Roman"/>
          <w:szCs w:val="24"/>
        </w:rPr>
      </w:pPr>
      <w:r>
        <w:t xml:space="preserve">Antakaa linkki verkkosivulle, jolla julkaistaan hyväksytyn tukiohjelman tai yksittäisen tuen myöntämistä koskevan päätöksen ja sen täytäntöönpanosääntöjen koko teksti sekä tiedot kustakin yksittäisestä tuesta, joka on myönnetty tapauskohtaisesti tai suuntaviivojen perusteella hyväksytyn tukiohjelman puitteissa ja joka ylittää 100 000 euroa.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2" w:name="_Hlk153378978"/>
            <w:r>
              <w:rPr>
                <w:sz w:val="24"/>
              </w:rPr>
              <w:t>2.2. Kilpailuun ja kauppaan kohdistuvien kohtuuttomien kielteisten vaikutusten välttäminen ja punninta</w:t>
            </w:r>
            <w:bookmarkEnd w:id="12"/>
          </w:p>
        </w:tc>
      </w:tr>
    </w:tbl>
    <w:p w14:paraId="27571D47" w14:textId="2341FA1A" w:rsidR="00C62AF1" w:rsidRPr="00AC286A" w:rsidRDefault="00C62AF1" w:rsidP="00C62AF1">
      <w:pPr>
        <w:spacing w:before="360" w:after="120"/>
        <w:jc w:val="both"/>
        <w:rPr>
          <w:i/>
        </w:rPr>
      </w:pPr>
      <w:r>
        <w:rPr>
          <w:i/>
        </w:rPr>
        <w:t xml:space="preserve">Tämän jakson tietoja varten ks. suuntaviivojen 3.2.2 kohta (63–70 kappale) ja 4.3.1.5 kohta (183–189 kappale). </w:t>
      </w:r>
    </w:p>
    <w:p w14:paraId="5724A4A1" w14:textId="77777777" w:rsidR="000C4C25" w:rsidRDefault="19967884" w:rsidP="0000132C">
      <w:pPr>
        <w:numPr>
          <w:ilvl w:val="0"/>
          <w:numId w:val="4"/>
        </w:numPr>
        <w:spacing w:before="120" w:after="120"/>
        <w:ind w:left="567" w:hanging="567"/>
        <w:jc w:val="both"/>
      </w:pPr>
      <w:r>
        <w:t xml:space="preserve">Antakaa suuntaviivojen 67 kappaleen noudattamisen todentamiseksi tiedot ilmoitettujen toimenpiteiden mahdollisista kilpailuun ja kauppaan kohdistuvista lyhyen ja pitkän aikavälin kielteisistä vaikutuksista. </w:t>
      </w:r>
    </w:p>
    <w:p w14:paraId="49343A1C" w14:textId="55EA9C97" w:rsidR="000C4C25" w:rsidRPr="008E430F" w:rsidRDefault="000C4C25" w:rsidP="00F37133">
      <w:pPr>
        <w:pStyle w:val="ListParagraph"/>
        <w:tabs>
          <w:tab w:val="left" w:leader="dot" w:pos="9072"/>
        </w:tabs>
        <w:spacing w:before="120" w:after="120"/>
        <w:ind w:left="567"/>
        <w:jc w:val="both"/>
      </w:pPr>
      <w:r>
        <w:tab/>
      </w:r>
      <w:r>
        <w:tab/>
      </w:r>
    </w:p>
    <w:p w14:paraId="56DF7954" w14:textId="2F07684E" w:rsidR="0082588A" w:rsidRDefault="19967884" w:rsidP="0000132C">
      <w:pPr>
        <w:numPr>
          <w:ilvl w:val="0"/>
          <w:numId w:val="4"/>
        </w:numPr>
        <w:spacing w:before="120" w:after="120"/>
        <w:ind w:left="567" w:hanging="567"/>
        <w:jc w:val="both"/>
      </w:pPr>
      <w:r>
        <w:t xml:space="preserve">Selittäkää, päteekö toimenpiteeseen jokin seuraavista: </w:t>
      </w:r>
    </w:p>
    <w:p w14:paraId="600A6180" w14:textId="7392E57E" w:rsidR="00F43AD8" w:rsidRDefault="005E6D02" w:rsidP="0000132C">
      <w:pPr>
        <w:pStyle w:val="ListParagraph"/>
        <w:numPr>
          <w:ilvl w:val="0"/>
          <w:numId w:val="39"/>
        </w:numPr>
        <w:spacing w:before="120" w:after="120"/>
        <w:contextualSpacing w:val="0"/>
        <w:jc w:val="both"/>
      </w:pPr>
      <w:r>
        <w:t>Se koskee markkinoita, joilla vakiintuneet toimijat ovat saaneet markkinavoimansa ennen markkinoiden vapauttamista.</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Siinä on kyse tarjouskilpailumenettelyistä vasta kehittymässä olevilla markkinoilla, joilla on vahvan markkina-aseman omaava toimija.</w:t>
      </w:r>
    </w:p>
    <w:p w14:paraId="01FE220D" w14:textId="5A1754DD" w:rsidR="00F43AD8" w:rsidRDefault="00F43AD8" w:rsidP="00F37133">
      <w:pPr>
        <w:tabs>
          <w:tab w:val="left" w:leader="dot" w:pos="9072"/>
        </w:tabs>
        <w:spacing w:before="120" w:after="120"/>
        <w:ind w:left="1080" w:firstLine="338"/>
        <w:jc w:val="both"/>
      </w:pPr>
      <w:r>
        <w:tab/>
      </w:r>
      <w:r>
        <w:tab/>
      </w:r>
      <w:r>
        <w:tab/>
      </w:r>
    </w:p>
    <w:p w14:paraId="042757B6" w14:textId="4EDC9AC6" w:rsidR="005E6D02" w:rsidRDefault="005E6D02" w:rsidP="0000132C">
      <w:pPr>
        <w:pStyle w:val="ListParagraph"/>
        <w:numPr>
          <w:ilvl w:val="0"/>
          <w:numId w:val="39"/>
        </w:numPr>
        <w:spacing w:before="120" w:after="120"/>
        <w:contextualSpacing w:val="0"/>
        <w:jc w:val="both"/>
      </w:pPr>
      <w:r>
        <w:t>Se hyödyttää vain yhtä tuensaajaa tai erityisen vähäistä määrää tuensaajia.</w:t>
      </w:r>
    </w:p>
    <w:p w14:paraId="7F228503" w14:textId="28C27ADD" w:rsidR="00A30A2E" w:rsidRDefault="00F43AD8" w:rsidP="00F37133">
      <w:pPr>
        <w:tabs>
          <w:tab w:val="left" w:leader="dot" w:pos="9072"/>
        </w:tabs>
        <w:spacing w:before="120" w:after="120"/>
        <w:ind w:left="1080" w:firstLine="338"/>
        <w:jc w:val="both"/>
      </w:pPr>
      <w:r>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lastRenderedPageBreak/>
        <w:t>Jos tukitoimenpide keskittyy tiettyyn teknologiavalintaan/-polkuun, perustelkaa teknologiavalinnan syy ja selittäkää, miksi se ei estä puhtaampien teknologioiden käyttöönottoa.</w:t>
      </w:r>
    </w:p>
    <w:p w14:paraId="286330D3" w14:textId="4D8B229E" w:rsidR="00A30A2E" w:rsidRDefault="005D2CD7" w:rsidP="0082588A">
      <w:pPr>
        <w:tabs>
          <w:tab w:val="left" w:leader="dot" w:pos="9072"/>
        </w:tabs>
        <w:spacing w:before="120" w:after="120"/>
        <w:ind w:left="567"/>
        <w:jc w:val="both"/>
      </w:pPr>
      <w:r>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Antakaa suuntaviivojen 68 kappaleen noudattamisen todentamiseksi seuraavat tiedot, jos ilmoitettu toimenpide hyödyttää vain yhtä tuensaajaa tai erityisen vähäistä määrää tuensaajia:</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Selittäkää, lisääkö tai ylläpitääkö ilmoitettu toimenpide tuensaajan markkinavoimaa, estääkö se olemassa olevien kilpailijoiden laajentumista, aiheuttaako se niiden poistumista markkinoilta tai estääkö se uusien kilpailijoiden tuloa markkinoille. Selittäkää tässä yhteydessä myös, lisääkö tukitoimenpide tuensaajan tuotantokapasiteettia. </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1ED88AAE" w14:textId="5BCFE4D6" w:rsidR="00C62AF1" w:rsidRPr="00AC286A" w:rsidRDefault="00A30A2E" w:rsidP="0000132C">
      <w:pPr>
        <w:pStyle w:val="ListParagraph"/>
        <w:numPr>
          <w:ilvl w:val="0"/>
          <w:numId w:val="40"/>
        </w:numPr>
        <w:spacing w:before="120" w:after="120"/>
        <w:jc w:val="both"/>
      </w:pPr>
      <w:r>
        <w:t xml:space="preserve">Kuvatkaa toimenpiteet, joiden tarkoituksena on rajoittaa kilpailun vääristymistä, jota tuen myöntäminen tuensaajalle mahdollisesti aiheuttaa.    </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Selittäkää suuntaviivojen 69 kappaleen noudattamisen todentamiseksi seuraavat: </w:t>
      </w:r>
    </w:p>
    <w:p w14:paraId="32E33C0A" w14:textId="66BA9774" w:rsidR="00CA77F0" w:rsidRDefault="00CA77F0" w:rsidP="0000132C">
      <w:pPr>
        <w:pStyle w:val="ListParagraph"/>
        <w:numPr>
          <w:ilvl w:val="0"/>
          <w:numId w:val="41"/>
        </w:numPr>
        <w:spacing w:before="120" w:after="120"/>
        <w:jc w:val="both"/>
      </w:pPr>
      <w:r>
        <w:t xml:space="preserve">Pyritäänkö ilmoitetusta toimenpiteestä myönnetyllä tuella säilyttämään taloudellista toimintaa tietyllä alueella tai houkuttelemaan sitä pois muilta alueilta sisämarkkinoilla?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Jos kyllä, täsmentäkää, mikä on ilmoitetun toimenpiteen nettovaikutus ympäristöön ja miten ilmoitettu toimenpide parantaa ympäristönsuojelun nykytasoa jäsenvaltioissa.</w:t>
      </w:r>
    </w:p>
    <w:p w14:paraId="393D4851" w14:textId="74E10939" w:rsidR="00802B8C" w:rsidRDefault="00802B8C" w:rsidP="0000132C">
      <w:pPr>
        <w:tabs>
          <w:tab w:val="left" w:leader="dot" w:pos="9072"/>
        </w:tabs>
        <w:spacing w:before="120" w:after="120"/>
        <w:ind w:left="1080" w:firstLine="338"/>
        <w:jc w:val="both"/>
      </w:pPr>
      <w:r>
        <w:tab/>
      </w:r>
    </w:p>
    <w:p w14:paraId="3018A09E" w14:textId="77777777" w:rsidR="008C42CB" w:rsidRDefault="00CA77F0" w:rsidP="0000132C">
      <w:pPr>
        <w:pStyle w:val="ListParagraph"/>
        <w:numPr>
          <w:ilvl w:val="0"/>
          <w:numId w:val="41"/>
        </w:numPr>
        <w:spacing w:before="120" w:after="120"/>
        <w:jc w:val="both"/>
      </w:pPr>
      <w:r>
        <w:t xml:space="preserve">Miten ilmoitetusta toimenpiteestä myönnetyllä tuella ei ole ilmeisen kielteisiä vaikutuksia kilpailuun ja kauppaan?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t>Jos kyseessä on yksittäinen tuki, tärkeimmät tekijät, jotka vaikuttavat tuensaajan tekemien investointien sijaintipaikan valintaan.</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Suuntaviivojen 70 kappaleen noudattamisen todentamiseksi:</w:t>
      </w:r>
    </w:p>
    <w:p w14:paraId="78257B32" w14:textId="7E691F3C" w:rsidR="00C62AF1" w:rsidRPr="00AC286A" w:rsidRDefault="00C62AF1" w:rsidP="0000132C">
      <w:pPr>
        <w:pStyle w:val="ListParagraph"/>
        <w:numPr>
          <w:ilvl w:val="0"/>
          <w:numId w:val="42"/>
        </w:numPr>
        <w:spacing w:before="120" w:after="120"/>
        <w:jc w:val="both"/>
      </w:pPr>
      <w:r>
        <w:t xml:space="preserve">Vahvistakaa, että ilmoitetusta toimenpiteestä voidaan myöntää tukea enintään 10 vuoden ajan siitä, kun komissio on antanut tiedoksi päätöksensä, jolla se toteaa tuen sisämarkkinoille soveltuvaksi.  </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t xml:space="preserve">Vahvistakaa, että jos maanne viranomaiset haluavat jatkaa toimenpiteen kestoa yli tämän enimmäisajan, ne ilmoittavat toimenpiteestä uudelleen.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 xml:space="preserve">Jos ilmoitettu toimenpide voi kannustaa tekemään uusia investointeja maakaasua käyttäviin liikennevälineisiin ja liikkuvaan tukikalustoon, selittäkää, millä perusteella </w:t>
      </w:r>
      <w:r>
        <w:lastRenderedPageBreak/>
        <w:t>voidaan katsoa, että toimenpiteellä ei ole pitkän aikavälin lukkiutumisvaikutuksia eikä se syrjäytä investointeja puhtaampiin vaihtoehtoihin. Osoittakaa sen vuoksi paineistettua tai nesteytettyä maakaasua käyttävän vesiliikennevälineen tai liikkuvan tukikaluston hankintaan tai leasing-vuokraukseen myönnettävän tuen osalta, että markkinoilla ei ole valmiina saatavilla puhtaampia vaihtoehtoja kyseisen liikennemuodon irrottamiseksi hiilestä eikä niitä odoteta tulevan saataville lyhyellä aikavälillä. Tarkastelkaa tätä varten 2–5 vuoden ajanjaksoa tukitoimenpiteen ilmoittamisesta lähtien (tai muuta asianmukaisesti perusteltua ajanjaksoa), ja toimittakaa näkemyksenne tueksi riippumattomia markkinatutkimuksia tai muuta asianmukaista näyttöä.</w:t>
      </w:r>
    </w:p>
    <w:p w14:paraId="03059722" w14:textId="0615090E" w:rsidR="00D87BD9" w:rsidRPr="00AC286A" w:rsidRDefault="00F80982" w:rsidP="0000132C">
      <w:pPr>
        <w:tabs>
          <w:tab w:val="left" w:leader="dot" w:pos="9072"/>
        </w:tabs>
        <w:spacing w:before="120" w:after="120"/>
        <w:ind w:left="567"/>
        <w:jc w:val="both"/>
      </w:pPr>
      <w:r>
        <w:tab/>
      </w:r>
    </w:p>
    <w:p w14:paraId="0883AC27" w14:textId="797EDE04" w:rsidR="00F80982" w:rsidRPr="00AC286A" w:rsidRDefault="0A6EE3E2" w:rsidP="0000132C">
      <w:pPr>
        <w:pStyle w:val="ListParagraph"/>
        <w:numPr>
          <w:ilvl w:val="0"/>
          <w:numId w:val="4"/>
        </w:numPr>
        <w:spacing w:before="120" w:after="120"/>
        <w:ind w:left="567" w:hanging="567"/>
        <w:contextualSpacing w:val="0"/>
        <w:jc w:val="both"/>
      </w:pPr>
      <w:r>
        <w:t xml:space="preserve">Jos ilmoitettu toimenpide voi kannustaa investoimaan fossiilisia polttoaineita käyttäviin puhtaisiin ilma-aluksiin (muihin kuin päästöttömiin ilma-aluksiin), osoittakaa, että tuki edistää uusien, tehokkaampien ja huomattavasti ympäristöystävällisempien ilma-alusten markkinoille tuloa tai niiden nopeampaa käyttöönottoa. Selittäkää myös, miten tällaiset investoinnit ovat ilmastoneutraaliuteen tähtäävän kehityspolun mukaisia ja miten toimenpiteessä vältetään riski siitä, että lukkiudutaan perinteisiin teknologioihin ja syrjäytetään investointeja puhtaampiin vaihtoehtoihin.  </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Jos toimenpide koskee lentoliikennepalveluja, selittäkää, aikovatko maanne viranomaiset vaatia, että tuensaaja poistaa käytöstä vastaavan määrän vähemmän ympäristöystävällisiä ilma-aluksia, joiden lentoonlähtömassa on samanlainen kuin valtiontuella hankitun tai leasing-vuokratun ilma-aluksen, lieventääkseen tuen mahdollisia tuensaajan markkina-asemaan liittyviä vääristäviä vaikutuksia tai lisätäkseen tukitoimenpiteen myönteisiä vaikutuksia.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Selittäkää liikennevälineiden tai liikkuvan tukikaluston hankintaan tai leasing-vuokraukseen myönnettävän tuen osalta, johtaisiko uusien liikennevälineiden käyttöönotto kyseisellä toimialalla uusiin markkinoiden toimintapuutteisiin, kuten ylikapasiteettiin, tai pahentaisiko se jo olemassa olevia tällaisia markkinoiden toimintapuutteita.</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Jos ilmoitetulla toimenpiteellä myönnetään kohdennettua tukea yksittäiselle tuensaajalle tai vähäiselle määrälle tiettyjä tuensaajia ilman tarjouskilpailua, perustelkaa toimenpiteen rakenne, selittäkää, miksi se ei ole avoin kaikille kilpailijoille, jotka haluavat tarjota samaa palvelua, tuotetta tai hyötyä, ja osoittakaa, että suurempiin kilpailun vääristymisen riskeihin on puututtu asianmukaisesti. </w:t>
      </w:r>
    </w:p>
    <w:p w14:paraId="63AA617C" w14:textId="77777777" w:rsidR="00F80982" w:rsidRPr="00AC286A" w:rsidRDefault="00F80982" w:rsidP="0000132C">
      <w:pPr>
        <w:tabs>
          <w:tab w:val="left" w:leader="dot" w:pos="9072"/>
        </w:tabs>
        <w:spacing w:before="120" w:after="120"/>
        <w:ind w:left="567"/>
        <w:jc w:val="both"/>
      </w:pPr>
      <w:r>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Pr>
                <w:i/>
                <w:color w:val="000000"/>
                <w:sz w:val="28"/>
              </w:rPr>
              <w:t>Tuen myönteisten vaikutusten punnitseminen suhteessa kilpailuun ja kauppaan kohdistuviin kielteisiin vaikutuksiin</w:t>
            </w:r>
          </w:p>
        </w:tc>
      </w:tr>
    </w:tbl>
    <w:p w14:paraId="21499FBD" w14:textId="74D3BCF1" w:rsidR="00C62AF1" w:rsidRPr="00AC286A" w:rsidRDefault="00C62AF1" w:rsidP="00C62AF1">
      <w:pPr>
        <w:spacing w:before="360" w:after="120"/>
        <w:jc w:val="both"/>
        <w:rPr>
          <w:i/>
          <w:color w:val="000000"/>
        </w:rPr>
      </w:pPr>
      <w:r>
        <w:rPr>
          <w:i/>
        </w:rPr>
        <w:t>Tämän jakson tietoja varten ks. suuntaviivojen 3.3 kohta (71–76 kappale).</w:t>
      </w:r>
      <w:r>
        <w:rPr>
          <w:i/>
          <w:color w:val="000000"/>
        </w:rPr>
        <w:t xml:space="preserve">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lastRenderedPageBreak/>
        <w:t>Selittäkää suuntaviivojen 72 kappaleen noudattamisen todentamiseksi, täyttävätkö ilmoitetun toimenpiteen nojalla tuetut toiminnot Euroopan parlamentin ja neuvoston asetuksen (EU) 2020/852</w:t>
      </w:r>
      <w:r>
        <w:rPr>
          <w:rStyle w:val="FootnoteReference"/>
          <w:lang w:eastAsia="en-GB"/>
        </w:rPr>
        <w:footnoteReference w:id="12"/>
      </w:r>
      <w:r>
        <w:t xml:space="preserve"> 3 artiklassa säädetyt ympäristön kannalta kestäviä taloudellisia toimintoja koskevat kriteerit, mukaan lukien ”ei merkittävää haittaa” -periaate, tai muiden vastaavien arviointitapojen kriteerit.</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(Jos kyseessä on tarjouskilpailumenettely:) Selittäkää, sisältyykö ilmoitettuun toimenpiteeseen ominaisuuksia, jotka helpottavat pk-yritysten osallistumista tarjouskilpailumenettelyihin. Jos kyllä, antakaa tiedot näistä ominaisuuksista ja perustelkaa, miten myönteiset vaikutukset siitä, että varmistetaan pk-yritysten osallistuminen ilmoitettuun toimenpiteeseen, ovat suuremmat kuin mahdolliset kilpailua vääristävät vaikutukset.</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rFonts w:eastAsia="Times New Roman"/>
                <w:b/>
                <w:i/>
                <w:color w:val="000000"/>
                <w:sz w:val="28"/>
                <w:szCs w:val="28"/>
              </w:rPr>
            </w:pPr>
            <w:r>
              <w:rPr>
                <w:b/>
                <w:sz w:val="32"/>
              </w:rPr>
              <w:t>Jakso C: Arviointi</w:t>
            </w:r>
            <w:r>
              <w:rPr>
                <w:b/>
                <w:i/>
                <w:color w:val="000000"/>
                <w:sz w:val="28"/>
              </w:rPr>
              <w:t xml:space="preserve"> </w:t>
            </w:r>
          </w:p>
        </w:tc>
      </w:tr>
    </w:tbl>
    <w:p w14:paraId="39FD16EF" w14:textId="121AFA9D" w:rsidR="00C62AF1" w:rsidRPr="00AC286A" w:rsidRDefault="00C62AF1" w:rsidP="009854EF">
      <w:pPr>
        <w:tabs>
          <w:tab w:val="left" w:leader="dot" w:pos="9072"/>
        </w:tabs>
        <w:spacing w:before="120" w:after="120"/>
        <w:jc w:val="both"/>
      </w:pPr>
      <w:r>
        <w:rPr>
          <w:i/>
        </w:rPr>
        <w:t>Tämän jakson tietoja varten ks. suuntaviivojen 5 luku (455–463 kappale).</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Jos ilmoitettu toimenpide ylittää suuntaviivojen 456 kappaleessa esitetyt budjetin/menojen kynnysarvot, selittäkää, miksi mielestänne olisi sovellettava suuntaviivojen 457 kappaleen mukaista poikkeusta, tai liittäkää tähän ilmoituslomakkeeseen liite, joka sisältää luonnoksen suuntaviivojen 458 kappaleessa mainitut seikat kattavaksi arviointisuunnitelmaksi</w:t>
      </w:r>
      <w:r>
        <w:rPr>
          <w:rStyle w:val="FootnoteReference"/>
          <w:lang w:eastAsia="en-GB"/>
        </w:rPr>
        <w:footnoteReference w:id="13"/>
      </w:r>
      <w:r>
        <w:t>.</w:t>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Jos toimitatte arviointisuunnitelman luonnoksen,</w:t>
      </w:r>
    </w:p>
    <w:p w14:paraId="637F0B69" w14:textId="77777777" w:rsidR="002578DB" w:rsidRPr="00AC286A" w:rsidRDefault="002578DB" w:rsidP="0000132C">
      <w:pPr>
        <w:pStyle w:val="ListParagraph"/>
        <w:numPr>
          <w:ilvl w:val="0"/>
          <w:numId w:val="43"/>
        </w:numPr>
        <w:spacing w:before="120" w:after="120"/>
        <w:jc w:val="both"/>
      </w:pPr>
      <w:r>
        <w:t>esittäkää alla yhteenveto liitteessä olevasta arviointisuunnitelman luonnoksesta;</w:t>
      </w:r>
    </w:p>
    <w:p w14:paraId="2F4039F9" w14:textId="152B422C" w:rsidR="002578DB" w:rsidRPr="00AC286A" w:rsidRDefault="002578DB" w:rsidP="00C961E4">
      <w:pPr>
        <w:pStyle w:val="ListParagraph"/>
        <w:spacing w:before="120" w:after="120"/>
        <w:ind w:left="1440"/>
        <w:contextualSpacing w:val="0"/>
        <w:jc w:val="both"/>
      </w:pPr>
      <w:r>
        <w:t>………………………………………………………………………………….</w:t>
      </w:r>
    </w:p>
    <w:p w14:paraId="4E5BC5D5" w14:textId="6215C340" w:rsidR="007268FD" w:rsidRPr="00AC286A" w:rsidRDefault="007268FD" w:rsidP="0000132C">
      <w:pPr>
        <w:pStyle w:val="ListParagraph"/>
        <w:numPr>
          <w:ilvl w:val="0"/>
          <w:numId w:val="43"/>
        </w:numPr>
        <w:spacing w:before="120" w:after="120"/>
        <w:contextualSpacing w:val="0"/>
        <w:jc w:val="both"/>
      </w:pPr>
      <w:r>
        <w:t>vahvistakaa, että suuntaviivojen 460 kappaletta noudatetaan;</w:t>
      </w:r>
    </w:p>
    <w:p w14:paraId="31C15A1E" w14:textId="53101DDA" w:rsidR="007268FD" w:rsidRPr="00AC286A" w:rsidRDefault="002578DB" w:rsidP="00C961E4">
      <w:pPr>
        <w:pStyle w:val="ListParagraph"/>
        <w:spacing w:before="120" w:after="120"/>
        <w:ind w:left="1440"/>
        <w:contextualSpacing w:val="0"/>
        <w:jc w:val="both"/>
      </w:pPr>
      <w:r>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t>antakaa linkki verkkosivulle, jolla arviointisuunnitelma julkaistaan, ja ilmoittakaa julkaisemisen päivämäärä.</w:t>
      </w:r>
    </w:p>
    <w:p w14:paraId="68E3D092" w14:textId="54FE0E7D" w:rsidR="002578DB" w:rsidRPr="00AC286A" w:rsidRDefault="002578DB" w:rsidP="00C961E4">
      <w:pPr>
        <w:pStyle w:val="ListParagraph"/>
        <w:spacing w:before="120" w:after="120"/>
        <w:ind w:left="1440"/>
        <w:contextualSpacing w:val="0"/>
        <w:jc w:val="both"/>
      </w:pPr>
      <w: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t xml:space="preserve">Jos tukiohjelmaan ei tällä hetkellä sovelleta jälkiarviointia ja sen kesto on yli kolme vuotta, vahvistakaa suuntaviivojen 459 kappaleen b kohdan noudattamisen todentamiseksi, että ilmoitatte arviointisuunnitelman luonnoksen 30 työpäivän kuluessa </w:t>
      </w:r>
      <w:r>
        <w:lastRenderedPageBreak/>
        <w:t xml:space="preserve">merkittävästä muutoksesta, joka kasvattaa ohjelman budjetin jonakin vuotena yli 150 miljoonaan euroon tai ohjelman koko keston aikana yli 750 miljoonaan euroon. </w:t>
      </w:r>
    </w:p>
    <w:p w14:paraId="755E1927" w14:textId="77777777" w:rsidR="00C62AF1" w:rsidRPr="00AC286A" w:rsidRDefault="00C62AF1" w:rsidP="00C62AF1">
      <w:pPr>
        <w:tabs>
          <w:tab w:val="left" w:leader="dot" w:pos="9072"/>
        </w:tabs>
        <w:spacing w:before="120" w:after="120"/>
        <w:ind w:left="567"/>
        <w:jc w:val="both"/>
      </w:pPr>
      <w:r>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t xml:space="preserve">Jos tukiohjelmaan ei tällä hetkellä sovelleta jälkiarviointia, esittäkää suuntaviivojen 459 kappaleen c kohdan noudattamisen todentamiseksi alla sitoumus, jonka mukaan jäsenvaltio ilmoittaa arviointisuunnitelman luonnoksen 30 työpäivän kuluessa siitä, kun viralliseen tilinpäätökseen on kirjattu yli 150 miljoonan euron menot edelliseltä vuodelta. </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Suuntaviivojen 461 kappaleen noudattamisen todentamiseksi:</w:t>
      </w:r>
    </w:p>
    <w:p w14:paraId="323279C4" w14:textId="26AA9A6C" w:rsidR="002578DB" w:rsidRPr="00AC286A" w:rsidRDefault="002578DB" w:rsidP="0000132C">
      <w:pPr>
        <w:pStyle w:val="ListParagraph"/>
        <w:numPr>
          <w:ilvl w:val="0"/>
          <w:numId w:val="28"/>
        </w:numPr>
        <w:spacing w:before="120" w:after="120"/>
        <w:contextualSpacing w:val="0"/>
        <w:jc w:val="both"/>
      </w:pPr>
      <w:r>
        <w:t>täsmentäkää, onko riippumaton asiantuntija jo valittu vai valitaanko tämä tulevaisuudessa;</w:t>
      </w:r>
    </w:p>
    <w:p w14:paraId="557627AC" w14:textId="77777777" w:rsidR="002578DB" w:rsidRPr="00AC286A" w:rsidRDefault="002578DB" w:rsidP="002578DB">
      <w:pPr>
        <w:pStyle w:val="ListParagraph"/>
        <w:spacing w:before="120" w:after="120"/>
        <w:ind w:left="1440"/>
        <w:contextualSpacing w:val="0"/>
        <w:jc w:val="both"/>
      </w:pPr>
      <w:r>
        <w:t>…………………………………………………………………………………..</w:t>
      </w:r>
    </w:p>
    <w:p w14:paraId="30DCD8A9" w14:textId="77777777" w:rsidR="002578DB" w:rsidRPr="00AC286A" w:rsidRDefault="002578DB" w:rsidP="0000132C">
      <w:pPr>
        <w:pStyle w:val="ListParagraph"/>
        <w:numPr>
          <w:ilvl w:val="0"/>
          <w:numId w:val="28"/>
        </w:numPr>
        <w:spacing w:before="120" w:after="120"/>
        <w:contextualSpacing w:val="0"/>
        <w:jc w:val="both"/>
      </w:pPr>
      <w:r>
        <w:t>antakaa tiedot asiantuntijan valintamenettelystä;</w:t>
      </w:r>
    </w:p>
    <w:p w14:paraId="2370A9CE" w14:textId="77777777" w:rsidR="002578DB" w:rsidRPr="00AC286A" w:rsidRDefault="002578DB" w:rsidP="002578DB">
      <w:pPr>
        <w:pStyle w:val="ListParagraph"/>
        <w:spacing w:before="120" w:after="120"/>
        <w:ind w:left="1440"/>
        <w:contextualSpacing w:val="0"/>
        <w:jc w:val="both"/>
      </w:pPr>
      <w:r>
        <w:t>………………………………………………………………………………….</w:t>
      </w:r>
    </w:p>
    <w:p w14:paraId="342F1895" w14:textId="77777777" w:rsidR="002578DB" w:rsidRPr="00AC286A" w:rsidRDefault="002578DB" w:rsidP="0000132C">
      <w:pPr>
        <w:pStyle w:val="ListParagraph"/>
        <w:numPr>
          <w:ilvl w:val="0"/>
          <w:numId w:val="28"/>
        </w:numPr>
        <w:spacing w:before="120" w:after="120"/>
        <w:contextualSpacing w:val="0"/>
        <w:jc w:val="both"/>
      </w:pPr>
      <w:r>
        <w:t>perustelkaa, miten asiantuntija on riippumaton tuen myöntävästä viranomaisesta.</w:t>
      </w:r>
    </w:p>
    <w:p w14:paraId="0DCED051" w14:textId="77777777" w:rsidR="002578DB" w:rsidRPr="00AC286A" w:rsidRDefault="002578DB" w:rsidP="002578DB">
      <w:pPr>
        <w:pStyle w:val="ListParagraph"/>
        <w:spacing w:before="120" w:after="120"/>
        <w:ind w:left="1440"/>
        <w:contextualSpacing w:val="0"/>
        <w:jc w:val="both"/>
      </w:pPr>
      <w: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r>
        <w:t xml:space="preserve">Suuntaviivojen 461 kappaleen noudattamisen todentamiseksi: </w:t>
      </w:r>
    </w:p>
    <w:p w14:paraId="5B99AA31" w14:textId="36AF6516" w:rsidR="002578DB" w:rsidRPr="00AC286A" w:rsidRDefault="002578DB" w:rsidP="0000132C">
      <w:pPr>
        <w:pStyle w:val="ListParagraph"/>
        <w:numPr>
          <w:ilvl w:val="0"/>
          <w:numId w:val="44"/>
        </w:numPr>
        <w:spacing w:before="120" w:after="120"/>
        <w:jc w:val="both"/>
      </w:pPr>
      <w:r>
        <w:t>Ilmoittakaa ehdottamanne määräajat väliarviointiraportin ja lopullisen arviointiraportin toimittamiselle. Huomatkaa, että suuntaviivojen 463 kappaleen mukaan jälkiarviointiraportti on toimitettava komissiolle riittävän ajoissa, jotta komissio voi arvioida tukiohjelman voimassaolon mahdollista jatkamista, ja viimeistään yhdeksän kuukautta ennen sen voimassaolon päättymistä. Huomatkaa, että tätä määräaikaa voidaan lyhentää ohjelmissa, joihin kohdistuu arviointivaatimus niiden kahden viimeisen toteutusvuoden aikana.</w:t>
      </w:r>
    </w:p>
    <w:p w14:paraId="3122EED8" w14:textId="24EC6719" w:rsidR="002578DB" w:rsidRPr="00AC286A" w:rsidRDefault="002578DB" w:rsidP="00C961E4">
      <w:pPr>
        <w:pStyle w:val="ListParagraph"/>
        <w:spacing w:before="120" w:after="120"/>
        <w:ind w:left="1080" w:firstLine="360"/>
        <w:contextualSpacing w:val="0"/>
        <w:jc w:val="both"/>
      </w:pPr>
      <w:bookmarkStart w:id="14" w:name="_Hlk155794566"/>
      <w:r>
        <w:t xml:space="preserve">………………………………………………………………………………….. </w:t>
      </w:r>
    </w:p>
    <w:bookmarkEnd w:id="14"/>
    <w:p w14:paraId="2431B487" w14:textId="259F914D" w:rsidR="002578DB" w:rsidRPr="00AC286A" w:rsidRDefault="002578DB" w:rsidP="0000132C">
      <w:pPr>
        <w:pStyle w:val="ListParagraph"/>
        <w:numPr>
          <w:ilvl w:val="0"/>
          <w:numId w:val="44"/>
        </w:numPr>
        <w:spacing w:before="120" w:after="120"/>
        <w:jc w:val="both"/>
      </w:pPr>
      <w:r>
        <w:t xml:space="preserve">Vahvistakaa, että väliarviointiraportti ja lopullinen arviointiraportti julkistetaan. Antakaa linkki verkkosivulle, jolla raportit julkaistaan, ja ilmoittakaa julkaisemisen päivämäärä. </w:t>
      </w:r>
    </w:p>
    <w:p w14:paraId="6F7F7DFB" w14:textId="65DD66EB" w:rsidR="00C62AF1" w:rsidRPr="00AC286A" w:rsidRDefault="00C961E4" w:rsidP="00C961E4">
      <w:pPr>
        <w:pStyle w:val="ListParagraph"/>
        <w:spacing w:before="120" w:after="120"/>
        <w:ind w:left="1080" w:firstLine="360"/>
        <w:contextualSpacing w:val="0"/>
        <w:jc w:val="both"/>
      </w:pP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287E927">
            <w:pPr>
              <w:spacing w:line="259" w:lineRule="auto"/>
              <w:ind w:left="2160"/>
              <w:rPr>
                <w:rFonts w:eastAsia="Times New Roman"/>
                <w:b/>
                <w:bCs/>
                <w:i/>
                <w:iCs/>
                <w:sz w:val="28"/>
                <w:szCs w:val="28"/>
              </w:rPr>
            </w:pPr>
            <w:r>
              <w:rPr>
                <w:b/>
                <w:sz w:val="32"/>
              </w:rPr>
              <w:t>Jakso D: Raportointi ja seuranta</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Tämän jakson tietoja varten ks. suuntaviivojen 6 luku (464–465 kappale).</w:t>
      </w:r>
    </w:p>
    <w:p w14:paraId="3E33F579" w14:textId="35E63F92" w:rsidR="00C62AF1" w:rsidRDefault="070CBB00" w:rsidP="0000132C">
      <w:pPr>
        <w:pStyle w:val="ListParagraph"/>
        <w:numPr>
          <w:ilvl w:val="0"/>
          <w:numId w:val="4"/>
        </w:numPr>
        <w:spacing w:before="120" w:after="120"/>
        <w:ind w:left="567" w:hanging="567"/>
        <w:contextualSpacing w:val="0"/>
        <w:jc w:val="both"/>
      </w:pPr>
      <w:r>
        <w:t>Vahvistakaa, että jäsenvaltio noudattaa suuntaviivojen 6 luvun 464 ja 465 kappaleessa esitettyjä raportointi- ja seurantavaatimuksia.</w:t>
      </w:r>
    </w:p>
    <w:p w14:paraId="0DDB55BF" w14:textId="77777777" w:rsidR="00034ACF" w:rsidRPr="00AC286A" w:rsidRDefault="00034ACF" w:rsidP="0000132C">
      <w:pPr>
        <w:tabs>
          <w:tab w:val="left" w:leader="dot" w:pos="9072"/>
        </w:tabs>
        <w:spacing w:before="120" w:after="120"/>
        <w:ind w:left="567"/>
        <w:jc w:val="both"/>
      </w:pPr>
      <w:r>
        <w:t xml:space="preserve">………………………………………………………………………………….. </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67B1" w14:textId="77777777" w:rsidR="00E71560" w:rsidRDefault="00E71560" w:rsidP="000442F5">
      <w:r>
        <w:separator/>
      </w:r>
    </w:p>
  </w:endnote>
  <w:endnote w:type="continuationSeparator" w:id="0">
    <w:p w14:paraId="5D963F60" w14:textId="77777777" w:rsidR="00E71560" w:rsidRDefault="00E71560" w:rsidP="000442F5">
      <w:r>
        <w:continuationSeparator/>
      </w:r>
    </w:p>
  </w:endnote>
  <w:endnote w:type="continuationNotice" w:id="1">
    <w:p w14:paraId="69C28661" w14:textId="77777777" w:rsidR="00E71560"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t>22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8C0D" w14:textId="77777777" w:rsidR="00E71560" w:rsidRDefault="00E71560" w:rsidP="000442F5">
      <w:r>
        <w:separator/>
      </w:r>
    </w:p>
  </w:footnote>
  <w:footnote w:type="continuationSeparator" w:id="0">
    <w:p w14:paraId="7C997862" w14:textId="77777777" w:rsidR="00E71560" w:rsidRDefault="00E71560" w:rsidP="000442F5">
      <w:r>
        <w:continuationSeparator/>
      </w:r>
    </w:p>
  </w:footnote>
  <w:footnote w:type="continuationNotice" w:id="1">
    <w:p w14:paraId="3A935846" w14:textId="77777777" w:rsidR="00E71560" w:rsidRDefault="00E71560"/>
  </w:footnote>
  <w:footnote w:id="2">
    <w:p w14:paraId="0DA60B72" w14:textId="141AA9D1" w:rsidR="009560B9" w:rsidRPr="0067348B" w:rsidRDefault="009560B9" w:rsidP="007B485D">
      <w:pPr>
        <w:pStyle w:val="FootnoteText"/>
      </w:pPr>
      <w:r>
        <w:rPr>
          <w:rStyle w:val="FootnoteReference"/>
        </w:rPr>
        <w:footnoteRef/>
      </w:r>
      <w:r>
        <w:tab/>
        <w:t>EUVL C 80, 18.2.2022, s. 1.</w:t>
      </w:r>
    </w:p>
  </w:footnote>
  <w:footnote w:id="3">
    <w:p w14:paraId="162040A0" w14:textId="77777777" w:rsidR="00CA0EC2" w:rsidRPr="0067348B" w:rsidRDefault="00CA0EC2" w:rsidP="00CA0EC2">
      <w:pPr>
        <w:pStyle w:val="FootnoteText"/>
      </w:pPr>
      <w:r>
        <w:rPr>
          <w:rStyle w:val="FootnoteReference"/>
        </w:rPr>
        <w:footnoteRef/>
      </w:r>
      <w:r>
        <w:tab/>
        <w:t>Huomatkaa, että tukiohjelman kesto on se ajanjakso, jona tukea voidaan hakea ja jona siitä voidaan päättää (mukaan lukien aika, jonka kansalliset viranomaiset tarvitsevat tukihakemusten hyväksymiseen). Tässä kysymyksessä tarkoitettu kesto ei liity tukiohjelman puitteissa tehtyjen sopimusten kestoon, vaan sopimukset voivat jatkua myös toimenpiteen päättymisen jälkeen.</w:t>
      </w:r>
    </w:p>
  </w:footnote>
  <w:footnote w:id="4">
    <w:p w14:paraId="0476288F" w14:textId="5910BFC5" w:rsidR="003037AB" w:rsidRPr="0067348B" w:rsidRDefault="003037AB" w:rsidP="003037AB">
      <w:pPr>
        <w:pStyle w:val="FootnoteText"/>
      </w:pPr>
      <w:r>
        <w:rPr>
          <w:rStyle w:val="FootnoteReference"/>
        </w:rPr>
        <w:footnoteRef/>
      </w:r>
      <w:r>
        <w:tab/>
        <w:t>Huomatkaa, että toteutuvan tai alustavan budjetin muutos voi vaikuttaa tukitoimenpiteeseen siinä määrin että siitä on tehtävä uusi ilmoitus.</w:t>
      </w:r>
    </w:p>
  </w:footnote>
  <w:footnote w:id="5">
    <w:p w14:paraId="01706528" w14:textId="42D8E4DE" w:rsidR="009926B4" w:rsidRPr="00CF158B" w:rsidRDefault="009926B4" w:rsidP="009926B4">
      <w:pPr>
        <w:pStyle w:val="FootnoteText"/>
      </w:pPr>
      <w:r>
        <w:rPr>
          <w:rStyle w:val="FootnoteReference"/>
        </w:rPr>
        <w:footnoteRef/>
      </w:r>
      <w:r>
        <w:tab/>
        <w:t>Huomatkaa, että suuntaviivojen 38, 52, 165, 166 ja 167 kappaleessa sekä alaviitteissä 39 ja 45 annetaan lisäohjeita siitä, miten todennäköinen vaihtoehtoinen skenaario olisi laadittava.</w:t>
      </w:r>
    </w:p>
  </w:footnote>
  <w:footnote w:id="6">
    <w:p w14:paraId="439F37C9" w14:textId="60002BCF" w:rsidR="009B7B9E" w:rsidRPr="00C9125D" w:rsidRDefault="009B7B9E">
      <w:pPr>
        <w:pStyle w:val="FootnoteText"/>
      </w:pPr>
      <w:r>
        <w:rPr>
          <w:rStyle w:val="FootnoteReference"/>
        </w:rPr>
        <w:footnoteRef/>
      </w:r>
      <w:r>
        <w:tab/>
        <w:t xml:space="preserve">’Viitehanke’ määritellään suuntaviivojen 19 kappaleen 63 kohdassa. </w:t>
      </w:r>
    </w:p>
  </w:footnote>
  <w:footnote w:id="7">
    <w:p w14:paraId="4FE55020" w14:textId="77777777" w:rsidR="009926B4" w:rsidRDefault="009926B4" w:rsidP="009926B4">
      <w:pPr>
        <w:pStyle w:val="FootnoteText"/>
      </w:pPr>
      <w:r>
        <w:rPr>
          <w:rStyle w:val="FootnoteReference"/>
        </w:rPr>
        <w:footnoteRef/>
      </w:r>
      <w:r>
        <w:tab/>
        <w:t>Jos tukeudutaan viimeaikaiseen tarjouskilpailumenettelyyn, selittäkää, millä perusteella kyseinen menettely voidaan katsoa kilpailulliseksi, mukaan lukien se, miten satunnaiset voitot vältettiin tarjouskilpailumenettelyyn sisällytettyjen eri teknologioiden osalta, ja miten menettely on vertailukelpoinen. Vastatkaa muun muassa seuraaviin kysymyksiin:</w:t>
      </w:r>
    </w:p>
    <w:p w14:paraId="2B3FB5FE" w14:textId="77777777" w:rsidR="009926B4" w:rsidRDefault="009926B4" w:rsidP="0000132C">
      <w:pPr>
        <w:pStyle w:val="FootnoteText"/>
        <w:numPr>
          <w:ilvl w:val="0"/>
          <w:numId w:val="27"/>
        </w:numPr>
      </w:pPr>
      <w:r>
        <w:t>Vastasivatko olosuhteet (esim. sopimuksen ehdot ja kesto, investointien määräajat, se, onko tukimaksut indeksoitu inflaatioon vai ei) ilmoitetussa toimenpiteessä ehdotettuja olosuhteita?</w:t>
      </w:r>
    </w:p>
    <w:p w14:paraId="46359276" w14:textId="77777777" w:rsidR="009926B4" w:rsidRDefault="009926B4" w:rsidP="0000132C">
      <w:pPr>
        <w:pStyle w:val="FootnoteText"/>
        <w:numPr>
          <w:ilvl w:val="0"/>
          <w:numId w:val="27"/>
        </w:numPr>
      </w:pPr>
      <w:r>
        <w:t>Toteutettiinko kilpailuprosessi samankaltaisissa makrotaloudellisissa olosuhteissa?</w:t>
      </w:r>
    </w:p>
    <w:p w14:paraId="104093C2" w14:textId="087CE78F" w:rsidR="009926B4" w:rsidRDefault="009926B4" w:rsidP="0000132C">
      <w:pPr>
        <w:pStyle w:val="FootnoteText"/>
        <w:numPr>
          <w:ilvl w:val="0"/>
          <w:numId w:val="27"/>
        </w:numPr>
      </w:pPr>
      <w:r>
        <w:t>Olivatko teknologiat/hanketyypit samankaltaisia?</w:t>
      </w:r>
    </w:p>
  </w:footnote>
  <w:footnote w:id="8">
    <w:p w14:paraId="676CCD61" w14:textId="77777777" w:rsidR="009560B9" w:rsidRDefault="009560B9" w:rsidP="00C62AF1">
      <w:pPr>
        <w:pStyle w:val="FootnoteText"/>
      </w:pPr>
      <w:r>
        <w:rPr>
          <w:rStyle w:val="FootnoteReference"/>
        </w:rPr>
        <w:footnoteRef/>
      </w:r>
      <w:r>
        <w:tab/>
        <w:t>Suuntaviivojen 19 kappaleen 89 kohdan mukaan ’unionin normilla’ tarkoitetaan</w:t>
      </w:r>
    </w:p>
    <w:p w14:paraId="540FE298" w14:textId="77777777" w:rsidR="009560B9" w:rsidRPr="004B74BC" w:rsidRDefault="009560B9" w:rsidP="0000132C">
      <w:pPr>
        <w:pStyle w:val="FootnoteText"/>
        <w:numPr>
          <w:ilvl w:val="0"/>
          <w:numId w:val="23"/>
        </w:numPr>
        <w:rPr>
          <w:i/>
        </w:rPr>
      </w:pPr>
      <w:r>
        <w:rPr>
          <w:i/>
        </w:rPr>
        <w:t>pakollista unionin normia, jossa vahvistetaan tasot, jotka yksittäisten yritysten on saavutettava ympäristön kannalta, lukuun ottamatta unionin tasolla asetettuja normeja tai tavoitteita, jotka sitovat jäsenvaltioita mutta eivät yksittäisiä yrityksiä;</w:t>
      </w:r>
    </w:p>
    <w:p w14:paraId="0074D1B1" w14:textId="6CDC8890" w:rsidR="009560B9" w:rsidRDefault="009560B9" w:rsidP="0000132C">
      <w:pPr>
        <w:pStyle w:val="FootnoteText"/>
        <w:numPr>
          <w:ilvl w:val="0"/>
          <w:numId w:val="23"/>
        </w:numPr>
      </w:pPr>
      <w:r>
        <w:rPr>
          <w:i/>
        </w:rPr>
        <w:t>velvoitetta käyttää parasta käytettävissä olevaa tekniikkaa (BAT), siten kuin se on määritelty direktiivissä 2010/75/EU, ja sen varmistamista, että päästötasot eivät ylitä tasoa, joka saavutettaisiin soveltamalla parasta käytettävissä olevaa tekniikkaa; kun parhaaseen käytettävissä olevaan tekniikkaan liittyvät päästötasot on määritelty direktiivin 2010/75/EU tai muiden sovellettavien direktiivien nojalla annetuissa täytäntöönpanosäädöksissä, kyseisiä tasoja käytetään näitä suuntaviivoja sovellettaessa; jos nämä tasot ilmaistaan vaihteluvälinä, sovelletaan sitä raja-arvoa, jonka kyseinen yritys saavuttaa parhaalla käytettävissä olevalla tekniikalla ensimmäisen kerran.</w:t>
      </w:r>
    </w:p>
  </w:footnote>
  <w:footnote w:id="9">
    <w:p w14:paraId="0D510CDC" w14:textId="77777777" w:rsidR="00F4008F" w:rsidRPr="0095488F" w:rsidRDefault="00F4008F" w:rsidP="00F4008F">
      <w:pPr>
        <w:pStyle w:val="FootnoteText"/>
      </w:pPr>
      <w:r>
        <w:rPr>
          <w:rStyle w:val="FootnoteReference"/>
        </w:rPr>
        <w:footnoteRef/>
      </w:r>
      <w:r>
        <w:tab/>
        <w:t>Ks. myös lisätiedot suuntaviivojen 51–53 ja 165–167 kappaleessa sekä alaviitteissä 45 ja 46.</w:t>
      </w:r>
    </w:p>
  </w:footnote>
  <w:footnote w:id="10">
    <w:p w14:paraId="60C95F86" w14:textId="77777777" w:rsidR="00597575" w:rsidRDefault="00597575"/>
  </w:footnote>
  <w:footnote w:id="11">
    <w:p w14:paraId="31D32D3C" w14:textId="21AAC1EB" w:rsidR="00BF1E81" w:rsidRDefault="00BF1E81" w:rsidP="00BF1E81">
      <w:pPr>
        <w:pStyle w:val="FootnoteText"/>
      </w:pPr>
      <w:r>
        <w:rPr>
          <w:rStyle w:val="FootnoteReference"/>
        </w:rPr>
        <w:footnoteRef/>
      </w:r>
      <w:r>
        <w:t xml:space="preserve"> </w:t>
      </w:r>
      <w:r>
        <w:tab/>
        <w:t>Keskitetysti hallinnoitu unionin rahoitus on Euroopan unionin toimielinten, virastojen, yhteisyritysten tai muiden elinten keskitetysti hallinnoimaa unionin rahoitusta, joka ei kuulu suoraan tai välillisesti jäsenvaltion määräysvaltaan.</w:t>
      </w:r>
    </w:p>
  </w:footnote>
  <w:footnote w:id="12">
    <w:p w14:paraId="0336C302" w14:textId="77777777" w:rsidR="00796DA4" w:rsidRPr="008772CC" w:rsidRDefault="00796DA4" w:rsidP="00796DA4">
      <w:pPr>
        <w:pStyle w:val="FootnoteText"/>
      </w:pPr>
      <w:r>
        <w:rPr>
          <w:rStyle w:val="FootnoteReference"/>
        </w:rPr>
        <w:footnoteRef/>
      </w:r>
      <w:r>
        <w:tab/>
        <w:t>Euroopan parlamentin ja neuvoston asetus (EU) 2020/852, annettu 18 päivänä kesäkuuta 2020, kestävää sijoittamista helpottavasta kehyksestä ja asetuksen (EU) 2019/2088 muuttamisesta (EUVL L 198, 22.6.2020, s. 13).</w:t>
      </w:r>
    </w:p>
  </w:footnote>
  <w:footnote w:id="13">
    <w:p w14:paraId="7517D6A8" w14:textId="10237949" w:rsidR="002578DB" w:rsidRDefault="002578DB" w:rsidP="002578DB">
      <w:pPr>
        <w:pStyle w:val="FootnoteText"/>
      </w:pPr>
      <w:r>
        <w:rPr>
          <w:rStyle w:val="FootnoteReference"/>
        </w:rPr>
        <w:footnoteRef/>
      </w:r>
      <w:r>
        <w:t xml:space="preserve"> </w:t>
      </w:r>
      <w:r>
        <w:tab/>
        <w:t xml:space="preserve">Arviointisuunnitelman ilmoittamiseen käytettävän lisätietolomakkeen malli (osa III.8) on saatavilla täällä: </w:t>
      </w:r>
      <w:hyperlink r:id="rId1" w:anchor="evaluation-plan" w:history="1">
        <w:r w:rsidR="00BD38FD">
          <w:rPr>
            <w:rStyle w:val="Hyperlink"/>
            <w:color w:val="auto"/>
          </w:rPr>
          <w:t>https://competition-policy.ec.europa.eu/state-aid/legislation/forms-notifications-and-reporting_fi#evaluation-plan</w:t>
        </w:r>
      </w:hyperlink>
      <w:r w:rsidR="008B5F31" w:rsidRPr="008B5F31">
        <w:rPr>
          <w:rStyle w:val="Hyperlink"/>
          <w:color w:val="auto"/>
          <w:u w: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5F31"/>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38FD"/>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i-FI"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i-FI"/>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i-F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prefLang=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customXml/itemProps2.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3924</Words>
  <Characters>33206</Characters>
  <DocSecurity>0</DocSecurity>
  <Lines>691</Lines>
  <Paragraphs>207</Paragraphs>
  <ScaleCrop>false</ScaleCrop>
  <LinksUpToDate>false</LinksUpToDate>
  <CharactersWithSpaces>36923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2024-11-28T13:56:00Z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