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Μέρος III.6 — </w:t>
            </w:r>
          </w:p>
          <w:p w14:paraId="3B04212E" w14:textId="23D4972C" w:rsidR="000442F5" w:rsidRPr="00AC286A" w:rsidRDefault="52B947EB" w:rsidP="007B485D">
            <w:pPr>
              <w:pStyle w:val="Heading2"/>
              <w:spacing w:before="240" w:after="240"/>
              <w:jc w:val="center"/>
              <w:rPr>
                <w:sz w:val="32"/>
                <w:szCs w:val="32"/>
              </w:rPr>
            </w:pPr>
            <w:r>
              <w:rPr>
                <w:sz w:val="32"/>
              </w:rPr>
              <w:t xml:space="preserve">Επικαιροποιημένο* </w:t>
            </w:r>
            <w:r w:rsidR="0041193C">
              <w:rPr>
                <w:sz w:val="32"/>
              </w:rPr>
              <w:t>σ</w:t>
            </w:r>
            <w:r>
              <w:rPr>
                <w:sz w:val="32"/>
              </w:rPr>
              <w:t>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(ΚΓΕΚΕΠ)</w:t>
            </w:r>
            <w:r w:rsidR="007B485D" w:rsidRPr="00AC286A">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Κεφάλαιο 4.3.1 — Ενισχύσεις για την αγορά και τη χρηματοδοτική μίσθωση καθαρών οχημάτων και καθαρού κινητού εξοπλισμού υπηρεσιών και για τη μετασκευή οχημάτων και κινητού εξοπλισμού υπηρεσιών</w:t>
            </w:r>
          </w:p>
          <w:p w14:paraId="774A46C9" w14:textId="77777777" w:rsidR="00412002" w:rsidRDefault="00412002" w:rsidP="00D30BFF">
            <w:pPr>
              <w:rPr>
                <w:sz w:val="32"/>
                <w:szCs w:val="32"/>
              </w:rPr>
            </w:pPr>
          </w:p>
          <w:p w14:paraId="61FFF7AD" w14:textId="72D834E1" w:rsidR="00FD562C" w:rsidRPr="00AC286A" w:rsidRDefault="00412002" w:rsidP="00412002">
            <w:r>
              <w:t>*δεν έχει εγκριθεί ακόμη επίσημα.</w:t>
            </w:r>
          </w:p>
        </w:tc>
      </w:tr>
    </w:tbl>
    <w:p w14:paraId="70D7CD5F" w14:textId="3293E4E6" w:rsidR="000442F5" w:rsidRPr="00AC286A" w:rsidRDefault="000442F5" w:rsidP="000442F5">
      <w:pPr>
        <w:spacing w:before="120" w:after="120"/>
        <w:ind w:right="-142"/>
        <w:jc w:val="both"/>
        <w:rPr>
          <w:i/>
          <w:iCs/>
        </w:rPr>
      </w:pPr>
      <w:r>
        <w:rPr>
          <w:i/>
        </w:rPr>
        <w:t>Το παρόν συμπληρωματικό δελτίο πληροφοριών πρέπει να χρησιμοποιείται για την κοινοποίηση κάθε ενίσχυσης που καλύπτεται από τις κατευθυντήριες γραμμές του 2022 για τις κρατικές ενισχύσεις στους τομείς του κλίματος, του περιβάλλοντος και της ενέργειας (στο εξής: ΚΓΕΚΕΠ).</w:t>
      </w:r>
    </w:p>
    <w:p w14:paraId="21EE9DF7" w14:textId="23106001" w:rsidR="009E2EA1" w:rsidRPr="00AC286A" w:rsidRDefault="0072538B" w:rsidP="009E2EA1">
      <w:pPr>
        <w:spacing w:before="120" w:after="120"/>
        <w:ind w:right="-142"/>
        <w:jc w:val="both"/>
        <w:rPr>
          <w:i/>
          <w:iCs/>
        </w:rPr>
      </w:pPr>
      <w:r>
        <w:rPr>
          <w:i/>
        </w:rPr>
        <w:t xml:space="preserve">Το παρόν συμπληρωματικό δελτίο πληροφοριών αφορά μέτρα που καλύπτονται από το κεφάλαιο 4.3.1 των ΚΓΕΚΕΠ. Εάν η κοινοποίηση περιλαμβάνει μέτρα που καλύπτονται από περισσότερα του ενός κεφάλαια των ΚΓΕΚΕΠ, συμπληρώνεται επίσης, μόλις είναι διαθέσιμο, το αντίστοιχο συμπληρωματικό δελτίο πληροφοριών που αφορά το αντίστοιχο κεφάλαιο των ΚΓΕΚΕΠ. </w:t>
      </w:r>
    </w:p>
    <w:p w14:paraId="5A2EC84C" w14:textId="37CB7BF5" w:rsidR="009E2EA1" w:rsidRPr="00AC286A" w:rsidRDefault="009E2EA1" w:rsidP="009E2EA1">
      <w:pPr>
        <w:spacing w:before="120" w:after="120"/>
        <w:ind w:right="-142"/>
        <w:jc w:val="both"/>
        <w:rPr>
          <w:i/>
          <w:iCs/>
        </w:rPr>
      </w:pPr>
      <w:r>
        <w:rPr>
          <w:i/>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Τμήμα Α: Σύνοψη των κύριων χαρακτηριστικών των κοινοποιηθέντων μέτρων</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Ιστορικό και στόχος/-οι του/των κοινοποιηθέντος/-ων μέτρου/-ων</w:t>
      </w:r>
    </w:p>
    <w:p w14:paraId="5BFA68C4" w14:textId="7CB889B5" w:rsidR="00A16B2C" w:rsidRPr="00AC286A" w:rsidRDefault="00A16B2C" w:rsidP="0000132C">
      <w:pPr>
        <w:pStyle w:val="ListParagraph"/>
        <w:numPr>
          <w:ilvl w:val="0"/>
          <w:numId w:val="25"/>
        </w:numPr>
        <w:spacing w:after="120"/>
        <w:jc w:val="both"/>
      </w:pPr>
      <w:r>
        <w:t xml:space="preserve">Εάν δεν γίνεται ήδη σχετική εκτενής αναφορά στο τμήμα 5.2 του εντύπου γενικών πληροφοριών (μέρος I), αναφέρετε το ιστορικό και τον κύριο στόχο, συμπεριλαμβανομένων τυχόν ενωσιακών στόχων για τη μείωση των εκπομπών των μεταφορών, στη στήριξη των οποίων αποσκοπεί το μέτρο.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του ανταγωνισμού στην εσωτερική αγορά.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Έναρξη ισχύος</w:t>
      </w:r>
      <w:r>
        <w:t xml:space="preserve"> </w:t>
      </w:r>
      <w:r>
        <w:rPr>
          <w:b/>
        </w:rPr>
        <w:t>και διάρκεια</w:t>
      </w:r>
      <w:r>
        <w:t>:</w:t>
      </w:r>
    </w:p>
    <w:p w14:paraId="0635286B" w14:textId="137F0160" w:rsidR="00CA0EC2" w:rsidRPr="00AC286A" w:rsidRDefault="00CA0EC2" w:rsidP="0000132C">
      <w:pPr>
        <w:pStyle w:val="ListParagraph"/>
        <w:numPr>
          <w:ilvl w:val="0"/>
          <w:numId w:val="31"/>
        </w:numPr>
        <w:spacing w:after="120"/>
        <w:jc w:val="both"/>
        <w:rPr>
          <w:szCs w:val="24"/>
        </w:rPr>
      </w:pPr>
      <w:r>
        <w:t>Εφόσον δεν γίνεται ήδη σχετική αναφορά στο τμήμα 5.5 του εντύπου γενικών πληροφοριών (μέρος I), αναγράψτε την ημερομηνία από την οποία προβλέπεται να αρχίσει να ισχύει το καθεστώς ενισχύσεων·</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Αναφέρετε τη διάρκεια του καθεστώτος</w:t>
      </w:r>
      <w:r w:rsidRPr="00AC286A">
        <w:rPr>
          <w:szCs w:val="24"/>
          <w:vertAlign w:val="superscript"/>
        </w:rPr>
        <w:footnoteReference w:id="3"/>
      </w:r>
      <w:r>
        <w:t>.</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Δικαιούχος/-οι</w:t>
      </w:r>
      <w:r>
        <w:rPr>
          <w:b/>
        </w:rPr>
        <w:tab/>
      </w:r>
    </w:p>
    <w:p w14:paraId="15587BED" w14:textId="19EBDAD1" w:rsidR="00BC5DDD" w:rsidRPr="00AC286A" w:rsidRDefault="002F1ECC" w:rsidP="0000132C">
      <w:pPr>
        <w:pStyle w:val="ListParagraph"/>
        <w:numPr>
          <w:ilvl w:val="0"/>
          <w:numId w:val="32"/>
        </w:numPr>
        <w:spacing w:after="120"/>
        <w:jc w:val="both"/>
        <w:rPr>
          <w:szCs w:val="24"/>
        </w:rPr>
      </w:pPr>
      <w:r>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του/των μέτρου/-ων·</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Αναφέρετε τον τόπο εγκατάστασης του (δυνητικού) δικαιούχου ή των (δυνητικών) δικαιούχων (δηλαδή εάν είναι επιλέξιμες για συμμετοχή στο μέτρο μόνο οικονομικές οντότητες εγκατεστημένες στα αντίστοιχα κράτη μέλη ή και σε άλλα κράτη μέλη).</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Για την αξιολόγηση της συμμόρφωσης με το σημείο 15 των ΚΓΕΚΕΠ, διευκρινίστε αν χορηγείται ενίσχυση (μεμονωμένη ή ως μέρος καθεστώτος) βάσει του μέτρου ή των μέτρων σε επιχείρηση για την οποία εκκρεμεί εντολή </w:t>
      </w:r>
      <w:r>
        <w:lastRenderedPageBreak/>
        <w:t xml:space="preserve">ανάκτησης κατόπιν προηγούμενης απόφασης της Επιτροπής, με την οποία μια ενίσχυση κηρύσσεται παράνομη και ασυμβίβαστη με την εσωτερική αγορά.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Επιβεβαιώστε ότι το/τα μέτρο/-α δεν περιλαμβάνει/-ουν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Προϋπολογισμός και χρηματοδότηση του/των μέτρου/-ων</w:t>
      </w:r>
    </w:p>
    <w:p w14:paraId="44F1A49C" w14:textId="7E324D11" w:rsidR="00115C85" w:rsidRPr="00AC286A" w:rsidRDefault="00AE07BB" w:rsidP="0000132C">
      <w:pPr>
        <w:pStyle w:val="ListParagraph"/>
        <w:numPr>
          <w:ilvl w:val="0"/>
          <w:numId w:val="33"/>
        </w:numPr>
        <w:spacing w:after="120"/>
        <w:jc w:val="both"/>
        <w:rPr>
          <w:rFonts w:cs="Arial Unicode MS"/>
          <w:bCs/>
        </w:rPr>
      </w:pPr>
      <w: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003037AB" w:rsidRPr="00AC286A">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Εάν το μέτρο χρηματοδοτείται μέσω εισφοράς, διευκρινίστε αν:</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η εισφορά επιβάλλεται εξίσου στα εγχώρια και στα εισαγόμενα προϊόντα·</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το κοινοποιηθέν μέτρο θα ωφελήσει εξίσου τα εγχώρια και τα εισαγόμενα προϊόντα·</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η εισφορά χρηματοδοτεί το μέτρο πλήρως ή μόνο εν μέρει. Εάν η εισφορά χρηματοδοτεί το μέτρο μόνο εν μέρει, αναφέρετε τις άλλες πηγές χρηματοδότησης του μέτρου και το αντίστοιχο ποσοστό τους·</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η εισφορά που χρηματοδοτεί το κοινοποιηθέν μέτρο χρηματοδοτεί και άλλα μέτρα ενίσχυσης. Εάν ναι, αναφέρετε τα άλλα μέτρα ενίσχυσης που χρηματοδοτούνται από τη σχετική εισφορά.</w:t>
      </w:r>
    </w:p>
    <w:p w14:paraId="79481611" w14:textId="77777777" w:rsidR="005D4997" w:rsidRPr="007210BF" w:rsidRDefault="005D4997" w:rsidP="005D4997">
      <w:pPr>
        <w:tabs>
          <w:tab w:val="left" w:leader="dot" w:pos="9072"/>
        </w:tabs>
        <w:spacing w:before="120" w:after="120"/>
        <w:ind w:left="1440"/>
        <w:jc w:val="both"/>
      </w:pPr>
      <w:r>
        <w:lastRenderedPageBreak/>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Τμήμα Β: Εκτίμηση της συμβατότητας της ενίσχυσης</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Θετική προϋπόθεση: η ενίσχυση πρέπει να προωθεί την ανάπτυξη οικονομικής δραστηριότητας</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Συμβολή στην ανάπτυξη οικονομικής δραστηριότητας</w:t>
            </w:r>
          </w:p>
        </w:tc>
      </w:tr>
    </w:tbl>
    <w:p w14:paraId="2959A7B8" w14:textId="196EFBC3" w:rsidR="00C62AF1" w:rsidRPr="001631E6" w:rsidRDefault="00C62AF1" w:rsidP="001631E6">
      <w:pPr>
        <w:spacing w:before="360" w:after="120"/>
        <w:jc w:val="both"/>
        <w:rPr>
          <w:i/>
        </w:rPr>
      </w:pPr>
      <w:r>
        <w:rPr>
          <w:i/>
        </w:rPr>
        <w:t xml:space="preserve">Για να συμπληρώσετε τις πληροφορίες στο παρόν τμήμα, συμβουλευτείτε το τμήμα 3.1.1 (παράγραφοι 23-25) και </w:t>
      </w:r>
      <w:r>
        <w:rPr>
          <w:i/>
          <w:color w:val="000000"/>
        </w:rPr>
        <w:t>τα τμήματα 4.3.1.1 (σημεία 160 και 161) και 4.3.1.2 (σημεία 162 και 163) των</w:t>
      </w:r>
      <w:r>
        <w:rPr>
          <w:i/>
        </w:rPr>
        <w:t xml:space="preserve"> ΚΓΕΚΕΠ.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Το άρθρο 107 παράγραφος 3 στοιχείο γ) της Συνθήκης για τη λειτουργία της Ευρωπαϊκής Ένωσης (ΣΛΕΕ) προβλέπει ότι η Επιτροπή μπορεί να θεωρήσει ότι είναι συμβατές «</w:t>
      </w:r>
      <w:r>
        <w:rPr>
          <w:i/>
        </w:rPr>
        <w:t>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w:t>
      </w:r>
      <w:r>
        <w:t xml:space="preserve">». Συνεπώς, οι συμβατές ενισχύσεις βάσει της εν λόγω διάταξης της ΣΛΕΕ πρέπει να συμβάλλουν στην ανάπτυξη ορισμένων οικονομικών δραστηριοτήτων. </w:t>
      </w:r>
    </w:p>
    <w:p w14:paraId="6F83F969" w14:textId="283F3881" w:rsidR="00C62AF1" w:rsidRPr="00AC286A" w:rsidRDefault="00805350" w:rsidP="00C62AF1">
      <w:pPr>
        <w:pStyle w:val="ListParagraph"/>
        <w:spacing w:before="120" w:after="120"/>
        <w:ind w:left="567"/>
        <w:contextualSpacing w:val="0"/>
        <w:jc w:val="both"/>
      </w:pPr>
      <w:r>
        <w:t>Για την αξιολόγηση της συμμόρφωσης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Για την αξιολόγηση της συμμόρφωσης με το σημείο 25 των ΚΓΕΚΕΠ, περιγράψτε «</w:t>
      </w:r>
      <w:r>
        <w:rPr>
          <w:i/>
        </w:rPr>
        <w:t>αν και πώς η ενίσχυση θα συμβάλει στην επίτευξη των στόχων της ενωσιακής πολιτικής για το κλίμα, της περιβαλλοντικής πολιτικής και της ενεργειακής πολιτικής και, ειδικότερα, τα αναμενόμενα οφέλη της ενίσχυσης όσον αφορά την 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w:t>
      </w:r>
      <w:r>
        <w:t xml:space="preserv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Επιπλέον, αναφέρετε σε ποιον βαθμό η ενίσχυση σχετίζεται με τις πολιτικές που περιγράφονται στα σημεία 160 και 161 των ΚΓΕΚΕΠ.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Περιγράψτε τις απαιτήσεις επιλεξιμότητας που ισχύουν για τον/τους δικαιούχο/-ους [π.χ. συμπεριλαμβάνοντας τυχόν τεχνικές, περιβαλλοντικές (δηλ. άδειες), χρηματοοικονομικές (δηλ. εξασφαλίσεις) ή άλλες απαιτήσεις με τις οποίες πρέπει να συμμορφώνεται/-ονται ο/οι δικαιούχος/-οι].</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Παραθέστε πληροφορίες σχετικά με το ακριβές πεδίο εφαρμογής και τις ακριβείς υποστηριζόμενες δραστηριότητες του/των μέτρου/-ων ενίσχυσης, όπως προβλέπεται στο τμήμα 4.3.1.2 (σημεία 162 και 163) των ΚΓΕΚΕΠ. </w:t>
      </w:r>
    </w:p>
    <w:p w14:paraId="7C50A2C6" w14:textId="3A3F595B" w:rsidR="00C62AF1" w:rsidRPr="00AC286A" w:rsidRDefault="00703D03" w:rsidP="00B16D28">
      <w:pPr>
        <w:tabs>
          <w:tab w:val="left" w:leader="dot" w:pos="9072"/>
        </w:tabs>
        <w:spacing w:before="120" w:after="120"/>
        <w:ind w:left="567"/>
        <w:jc w:val="both"/>
      </w:pPr>
      <w:r>
        <w:lastRenderedPageBreak/>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Χαρακτήρας κινήτρου</w:t>
            </w:r>
          </w:p>
        </w:tc>
      </w:tr>
    </w:tbl>
    <w:p w14:paraId="194E3512" w14:textId="63AD156A" w:rsidR="00C62AF1" w:rsidRPr="00AC286A" w:rsidRDefault="00C62AF1" w:rsidP="00C62AF1">
      <w:pPr>
        <w:spacing w:before="360" w:after="120"/>
        <w:jc w:val="both"/>
        <w:rPr>
          <w:i/>
        </w:rPr>
      </w:pPr>
      <w:r>
        <w:rPr>
          <w:i/>
        </w:rPr>
        <w:t xml:space="preserve">Για να συμπληρώσετε τις πληροφορίες στο παρόν τμήμα, συμβουλευτείτε το τμήμα 3.1.2 (σημεία 26-32) και το τμήμα 4.3.1.3 (σημεία 164-169) των ΚΓΕΚΕΠ.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Μια ενίσχυση μπορεί να θεωρηθεί ότι προωθεί μια οικονομική δραστηριότητα μόνο εάν έχει χαρακτήρα κινήτρου. Για την αξιολόγηση της συμμόρφωσης με το σημείο 26 των ΚΓΕΚΕΠ, εξηγήστε τον τρόπο με τον οποίο το/τα μέτρο/-α «</w:t>
      </w:r>
      <w:r>
        <w:rPr>
          <w:i/>
        </w:rPr>
        <w:t>ωθεί τον δικαιούχο να αλλάξει τη συμπεριφορά του, να ασκήσει πρόσθετη οικονομική 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w:t>
      </w:r>
      <w:r>
        <w:t>».</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Σύμφωνα με το σημείο 28 των ΚΓΕΚΕΠ:</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Παραθέστε ολοκληρωμένη περιγραφή του πραγματικού σεναρίου που αναμένεται να προκύψει από το μέτρο ενίσχυσης και το πιθανό ή τα πιθανά σενάρια αντιπαραδείγματος ελλείψει του μέτρου ενίσχυσης</w:t>
      </w:r>
      <w:r w:rsidR="009926B4" w:rsidRPr="00AC286A">
        <w:rPr>
          <w:rStyle w:val="FootnoteReference"/>
        </w:rPr>
        <w:footnoteReference w:id="5"/>
      </w:r>
      <w:r>
        <w:t>. Εάν αναμένετε ότι μπορεί να υποστηριχθούν διάφορες κατηγορίες δικαιούχων, βεβαιωθείτε ότι το αντιπαράδειγμα είναι αξιόπιστο για καθεμία από τις κατηγορίες αυτές.</w:t>
      </w:r>
      <w:bookmarkEnd w:id="4"/>
      <w:r>
        <w:t xml:space="preserve"> Επισημαίνεται ότι, σύμφωνα με σημείο 165 των ΚΓΕΚΕΠ, το σενάριο αντιπαραδείγματος πρέπει να συνίσταται σε επένδυση με την ίδια δυναμικότητα, διάρκεια ζωής και, κατά περίπτωση, άλλα σχετικά τεχνικά χαρακτηριστικά, όπως η φιλική προς το περιβάλλον επένδυση. Σημειωτέον ότι τα σημεία 165 έως 169 των ΚΓΕΚΕΠ επιβάλλουν πρόσθετες εναλλακτικές απαιτήσεις για το σενάριο αντιπαραδείγματος:</w:t>
      </w:r>
    </w:p>
    <w:p w14:paraId="5EB0E490" w14:textId="77777777" w:rsidR="003115D9" w:rsidRPr="0041193C" w:rsidRDefault="003115D9" w:rsidP="00176F09">
      <w:pPr>
        <w:pStyle w:val="ListParagraph"/>
        <w:spacing w:before="120" w:after="120"/>
        <w:ind w:left="1287"/>
        <w:jc w:val="both"/>
        <w:rPr>
          <w:lang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Όταν το σενάριο αντιπαραδείγματος συνίσταται στην αγορά ή τη χρηματοδοτική μίσθωση λιγότερο φιλικών προς το περιβάλλον οχημάτων ή λιγότερο φιλικού προς το περιβάλλον κινητού εξοπλισμού υπηρεσιών της ίδιας κατηγορίας και της ίδιας χωρητικότητας με οχήματα μηδενικών εκπομπών ή με καθαρά οχήματα, καταδείξτε ότι το λιγότερο φιλικό προς το περιβάλλον όχημα ή ο λιγότερο φιλικός προς το περιβάλλον εξοπλισμός συμμορφώνεται τουλάχιστον με τα ενωσιακά πρότυπα, κατά περίπτωση.</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Όταν το σενάριο αντιπαραδείγματος συνίσταται στη διατήρηση του υφιστάμενου οχήματος ή κινητού εξοπλισμού υπηρεσιών εξοπλισμού σε λειτουργία για περίοδο που αντιστοιχεί στη διάρκεια ζωής της φιλικής προς το περιβάλλον επένδυσης, επισημαίνεται ότι θα πρέπει να λαμβάνεται υπόψη το προεξοφλημένο κόστος συντήρησης, επισκευής και εκσυγχρονισμού κατά την εν λόγω περίοδο.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lastRenderedPageBreak/>
        <w:t xml:space="preserve">Εάν το σενάριο του αντιπαραδείγματος αφορά μεταγενέστερη αντικατάσταση του οχήματος ή του κινητού εξοπλισμού υπηρεσιών, αναφέρετε την προεξοφλημένη αξία του οχήματος ή του κινητού εξοπλισμού υπηρεσιών, ώστε να ληφθεί υπόψη η διαφορά στην αντίστοιχη οικονομική διάρκεια ζωής του εξοπλισμού.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Στην περίπτωση οχημάτων ή κινητού εξοπλισμού υπηρεσιών που υπόκεινται σε μισθωτικές συμφωνίες, παραθέστε σύγκριση της προεξοφλημένης αξίας της χρηματοδοτικής μίσθωσης των καθαρών οχημάτων ή του καθαρού κινητού εξοπλισμού υπηρεσιών με την προεξοφλημένη αξία της χρηματοδοτικής μίσθωσης του λιγότερο φιλικού προς το περιβάλλον οχήματος ή κινητού εξοπλισμού υπηρεσιών που θα χρησιμοποιούνταν χωρίς την ενίσχυση.</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Όταν η επένδυση συνίσταται στην προσθήκη εξοπλισμού σε υφιστάμενο όχημα ή κινητό εξοπλισμό υπηρεσιών για τη βελτίωση των περιβαλλοντικών επιδόσεών του (για παράδειγμα, με τη μετασκευή συστημάτων ελέγχου της ρύπανσης), διευκρινίστε αν το σενάριο αντιπαραδείγματος συνίσταται στη συνέχιση της χρήσης του οχήματος χωρίς την επένδυση μετασκευής. Στην περίπτωση αυτή, οι επιλέξιμες δαπάνες μπορούν να συνίστανται στο συνολικό επενδυτικό κόστος.</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Παραθέστε σύντομη επεξήγηση του σκεπτικού για την επιλογή του πιθανού ή των πιθανών σεναρίων αντιπαραδείγματος, λαμβανομένων υπόψη των προτεινόμενων διαφορετικών κατηγοριών δικαιούχων, κατά περίπτωση.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Προσδιορίστε ποσοτικά τις δαπάνες και τα έσοδα του πραγματικού σεναρίου και του σεναρίου αντιπαραδείγματος ως εξής:</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Σε περίπτωση που η ενίσχυση χορηγείται </w:t>
      </w:r>
      <w:r>
        <w:rPr>
          <w:u w:val="single"/>
        </w:rPr>
        <w:t>χωρίς ανταγωνιστική διαδικασία υποβολής προσφορών</w:t>
      </w:r>
      <w:r>
        <w:t>, αιτιολογήστε την αλλαγή συμπεριφοράς, κατά περίπτωση, για κάθε κατηγορία δικαιούχων, με βάση το αντίστοιχο έργο αναφοράς</w:t>
      </w:r>
      <w:r w:rsidR="009B7B9E" w:rsidRPr="007B7540">
        <w:rPr>
          <w:vertAlign w:val="superscript"/>
        </w:rPr>
        <w:footnoteReference w:id="6"/>
      </w:r>
      <w:r>
        <w:t>, τα αντίστοιχα αντιπαραδείγματα και το έλλειμμα χρηματοδότησης που προκύπτει.</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Σε περίπτωση που η ενίσχυση χορηγείται </w:t>
      </w:r>
      <w:r>
        <w:rPr>
          <w:u w:val="single"/>
        </w:rPr>
        <w:t>βάσει ανταγωνιστικής διαδικασίας υποβολής προσφορών</w:t>
      </w:r>
      <w:r>
        <w:t>, αιτιολογήστε την αλλαγή συμπεριφοράς (κατά περίπτωση, για κάθε κατηγορία δικαιούχου / έργο αναφοράς), χρησιμοποιώντας τα ίδια αποδεικτικά στοιχεία που απαιτούνται σύμφωνα με το στοιχείο Γ σημείο i) ανωτέρω ή, εναλλακτικά, παραθέστε σχετικά ποσοτικά αποδεικτικά στοιχεία με βάση μελέτες της αγοράς, σχέδια επενδυτών, οικονομικές εκθέσεις ή άλλα ποσοτικά αποδεικτικά στοιχεία, συμπεριλαμβανομένων προσφορών που υποβλήθηκαν για παρόμοια έργα στο πλαίσιο πρόσφατων συγκρίσιμων ανταγωνιστικών διαδικασιών υποβολής προσφορών</w:t>
      </w:r>
      <w:r w:rsidR="009926B4" w:rsidRPr="00AC286A">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lastRenderedPageBreak/>
        <w:tab/>
      </w:r>
    </w:p>
    <w:p w14:paraId="10245BFB" w14:textId="53D54A5D" w:rsidR="00C62AF1" w:rsidRDefault="00C62AF1" w:rsidP="0000132C">
      <w:pPr>
        <w:numPr>
          <w:ilvl w:val="0"/>
          <w:numId w:val="4"/>
        </w:numPr>
        <w:spacing w:before="120" w:after="120"/>
        <w:ind w:left="567" w:hanging="567"/>
        <w:jc w:val="both"/>
      </w:pPr>
      <w:bookmarkStart w:id="7" w:name="_Ref165988476"/>
      <w:r>
        <w:t>Για την αξιολόγηση της συμμόρφωσης με το σημείο 27 των ΚΓΕΚΕΠ, παραθέστε πληροφορίες που να επιβεβαιώνουν ότι η ενίσχυση δεν στηρίζει το κόστος μιας δραστηριότητας το οποίο ο δικαιούχος της ενίσχυσης θα πραγματοποιούσε ούτως ή άλλως και δεν αντισταθμίζει τον συνήθη επιχειρηματικό κίνδυνο μιας οικονομικής δραστηριότητας.</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Για να αποδείξετε τη συμμόρφωση με τα σημεία 29 και 31 των ΚΓΕΚΕΠ:</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επιβεβαιώστε ότι η έναρξη των εργασιών για το έργο ή τη δραστηριότητα δεν έλαβε χώρα πριν ο δικαιούχος υποβάλει γραπτή αίτηση ενίσχυσης στις εθνικές αρχές· </w:t>
      </w:r>
    </w:p>
    <w:p w14:paraId="32242483" w14:textId="4448D932" w:rsidR="00C62AF1" w:rsidRPr="00F27797" w:rsidRDefault="00BA4BD6" w:rsidP="00C62AF1">
      <w:pPr>
        <w:pStyle w:val="ListParagraph"/>
        <w:spacing w:before="120" w:after="120"/>
        <w:ind w:left="993"/>
        <w:contextualSpacing w:val="0"/>
        <w:jc w:val="both"/>
      </w:pPr>
      <w:r>
        <w:rPr>
          <w:i/>
        </w:rPr>
        <w:t>Ή</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όσον αφορά τα έργα που ξεκίνησαν πριν από την αίτηση ενίσχυσης, καταδείξτε ότι το έργο εμπίπτει σε μία από τις εξαιρετικές περιπτώσεις που προβλέπονται στο σημείο 31 στοιχείο α), β) ή γ) των ΚΓΕΚΕΠ.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Για να αποδείξετε τη συμμόρφωση με το σημείο 32 των ΚΓΕΚΕΠ, αναφέρετε αν εφαρμόζονται ενωσιακά πρότυπα</w:t>
      </w:r>
      <w:r w:rsidRPr="00AC286A">
        <w:rPr>
          <w:rStyle w:val="FootnoteReference"/>
          <w:lang w:val="en-IE" w:eastAsia="en-GB"/>
        </w:rPr>
        <w:footnoteReference w:id="8"/>
      </w:r>
      <w:r>
        <w:t xml:space="preserve"> για το κοινοποιηθέν ή τα κοινοποιηθέντα μέτρα, υποχρεωτικά εθνικά πρότυπα που είναι πιο αυστηρά ή φιλόδοξα από τα αντίστοιχα ενωσιακά πρότυπα ή που εκδίδονται ελλείψει ενωσιακών προτύπων. Στο πλαίσιο αυτό, παραθέστε πληροφορίες για να καταδείξετε τον χαρακτήρα κινήτρου.</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lastRenderedPageBreak/>
        <w:t xml:space="preserve">Σε περιπτώσεις στις οποίες το σχετικό ενωσιακό πρότυπο έχει ήδη εγκριθεί αλλά δεν έχει ακόμη αρχίσει να ισχύει, καταδείξτε ότι η ενίσχυση μπορεί να έχει χαρακτήρα κινήτρου επειδή παρέχει κίνητρα υλοποίησης και ολοκλήρωσης της επένδυσης τουλάχιστον 18 μήνες πριν από την ημερομηνία έναρξης ισχύος του προτύπου.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Απουσία παραβίασης οποιασδήποτε σχετικής διάταξης του δικαίου της Ένωσης</w:t>
            </w:r>
          </w:p>
        </w:tc>
      </w:tr>
    </w:tbl>
    <w:p w14:paraId="5CC837C1" w14:textId="2249AE98" w:rsidR="00C62AF1" w:rsidRPr="00AC286A" w:rsidRDefault="00C62AF1" w:rsidP="00C62AF1">
      <w:pPr>
        <w:spacing w:before="360" w:after="120"/>
        <w:jc w:val="both"/>
        <w:rPr>
          <w:i/>
        </w:rPr>
      </w:pPr>
      <w:r>
        <w:rPr>
          <w:i/>
        </w:rPr>
        <w:t xml:space="preserve">Για να συμπληρώσετε τις πληροφορίες στο παρόν τμήμα, συμβουλευτείτε το τμήμα 3.1.3 (σημείο 33) των ΚΓΕΚΕΠ. </w:t>
      </w:r>
    </w:p>
    <w:p w14:paraId="63B710C7" w14:textId="77777777" w:rsidR="00C62AF1" w:rsidRPr="00AC286A" w:rsidRDefault="00C62AF1" w:rsidP="0000132C">
      <w:pPr>
        <w:numPr>
          <w:ilvl w:val="0"/>
          <w:numId w:val="4"/>
        </w:numPr>
        <w:spacing w:before="120" w:after="120"/>
        <w:ind w:left="567" w:hanging="567"/>
        <w:jc w:val="both"/>
      </w:pPr>
      <w:r>
        <w:t>Παραθέστε πληροφορίες για να επιβεβαιώσετε τη συμμόρφωση με τις σχετικές διατάξεις του δικαίου της ΕΕ, σύμφωνα με το σημείο 33 των ΚΓΕΚΕΠ.</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t>Εάν χρησιμοποιείται εισφορά για τη χρηματοδότηση του μέτρου ή των μέτρων, διευκρινίστε αν πρέπει να διενεργηθεί η αξιολόγηση της συμμόρφωσης με τα άρθρα 30 και 110 της ΣΛΕΕ. Σε περίπτωση καταφατικής απάντησης, καταδείξτε τον τρόπο με τον οποίο το μέτρο συμμορφώνεται με τις διατάξεις των άρθρων 30 και 110 της ΣΛΕΕ.</w:t>
      </w:r>
      <w:r>
        <w:rPr>
          <w:i/>
        </w:rPr>
        <w:t xml:space="preserve"> </w:t>
      </w:r>
      <w:r>
        <w:t>Στο πλαίσιο αυτό, μπορείτε να αναφερθείτε στις πληροφορίες που έχετε παράσχει στην ερώτηση 5 σημείο </w:t>
      </w:r>
      <w:r w:rsidR="00D55863" w:rsidRPr="00AC286A">
        <w:fldChar w:fldCharType="begin"/>
      </w:r>
      <w:r w:rsidR="00D55863" w:rsidRPr="00AC286A">
        <w:instrText xml:space="preserve"> REF _Ref155782335 \r \h </w:instrText>
      </w:r>
      <w:r w:rsidR="00AC286A">
        <w:instrText xml:space="preserve"> \* MERGEFORMAT </w:instrText>
      </w:r>
      <w:r w:rsidR="00D55863" w:rsidRPr="00AC286A">
        <w:fldChar w:fldCharType="separate"/>
      </w:r>
      <w:r w:rsidR="00B965D5">
        <w:t>ii</w:t>
      </w:r>
      <w:r w:rsidR="00D55863" w:rsidRPr="00AC286A">
        <w:fldChar w:fldCharType="end"/>
      </w:r>
      <w:r>
        <w:t xml:space="preserve"> ανωτέρω, σε περίπτωση που το κοινοποιηθέν ή τα κοινοποιηθέντα μέτρα χρηματοδοτούνται μέσω εισφοράς.</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Ελαχιστοποίηση των στρεβλώσεων του ανταγωνισμού και των συναλλαγών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Αναγκαιότητα της ενίσχυσης</w:t>
            </w:r>
          </w:p>
        </w:tc>
      </w:tr>
    </w:tbl>
    <w:p w14:paraId="61C0E123" w14:textId="66E25735" w:rsidR="00C62AF1" w:rsidRPr="00AC286A" w:rsidRDefault="00C62AF1" w:rsidP="00C62AF1">
      <w:pPr>
        <w:spacing w:before="360" w:after="120"/>
        <w:jc w:val="both"/>
        <w:rPr>
          <w:i/>
          <w:color w:val="000000"/>
        </w:rPr>
      </w:pPr>
      <w:r>
        <w:rPr>
          <w:i/>
        </w:rPr>
        <w:t xml:space="preserve">Για να συμπληρώσετε τις πληροφορίες </w:t>
      </w:r>
      <w:r>
        <w:rPr>
          <w:i/>
          <w:color w:val="000000"/>
        </w:rPr>
        <w:t xml:space="preserve">στο παρόν τμήμα, συμβουλευτείτε το τμήμα 3.2.1.1 (σημεία 34-38) των ΚΓΕΚΕΠ. </w:t>
      </w:r>
    </w:p>
    <w:p w14:paraId="2684B23E" w14:textId="02B8C1F8" w:rsidR="00C62AF1" w:rsidRDefault="00C62AF1" w:rsidP="0000132C">
      <w:pPr>
        <w:numPr>
          <w:ilvl w:val="0"/>
          <w:numId w:val="4"/>
        </w:numPr>
        <w:spacing w:before="120" w:after="120"/>
        <w:ind w:left="567" w:hanging="567"/>
        <w:jc w:val="both"/>
      </w:pPr>
      <w:r>
        <w:t>Εξηγήστε τι είδους ανεπάρκειες της αγοράς έχουν εντοπίσει οι αρχές της χώρας σας οι οποίες αποτρέπουν την επίτευξη επαρκούς επιπέδου προστασίας του περιβάλλοντος. Διευκρινίστε σε ποια κατηγορία εμπίπτουν οι ανεπάρκειες της αγοράς που έχουν εντοπιστεί με αναφορά στο σημείο 34 στοιχεία α), β), γ) ή δ) των ΚΓΕΚΕΠ.</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lastRenderedPageBreak/>
        <w:t>Σύμφωνα με το σημείο 35 των ΚΓΕΚΕΠ, παραθέστε πληροφορίες σχετικά με τυχόν υφιστάμενες πολιτικές και μέτρα που έχουν προσδιορίσει οι αρχές της χώρας σας και στοχεύουν ήδη στις κανονιστικές ανεπάρκειες ή στις ανεπάρκειες της αγοράς.</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Για να αποδείξετε τη συμμόρφωση με το σημείο 36 των ΚΓΕΚΕΠ, παραθέστε πληροφορίες οι οποίες καταδεικνύουν ότι η ενίσχυση στοχεύει αποτελεσματικά στις εναπομένουσες ανεπάρκειες της αγοράς, λαμβάνοντας επίσης υπόψη τυχόν άλλες πολιτικές και μέτρα που εφαρμόζονται ήδη για την αντιμετώπιση ορισμένων από τις διαπιστωθείσες ανεπάρκειες της αγοράς.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 xml:space="preserve">Για </w:t>
      </w:r>
      <w:r>
        <w:rPr>
          <w:shd w:val="clear" w:color="auto" w:fill="FFFFFF"/>
        </w:rPr>
        <w:t>να</w:t>
      </w:r>
      <w:r>
        <w:t xml:space="preserve"> αποδείξετε τη συμμόρφωση με το σημείο 37 των ΚΓΕΚΕΠ, διευκρινίστε αν, εξ όσων γνωρίζουν οι αρχές της χώρας σας, </w:t>
      </w:r>
      <w:r>
        <w:rPr>
          <w:color w:val="000000"/>
          <w:shd w:val="clear" w:color="auto" w:fill="FFFFFF"/>
        </w:rPr>
        <w:t xml:space="preserve">έργα ή δραστηριότητες που, </w:t>
      </w:r>
      <w:r>
        <w:t xml:space="preserve">σε σχέση με το τεχνολογικό περιεχόμενο, επίπεδο κινδύνου και μέγεθός τους, </w:t>
      </w:r>
      <w:r>
        <w:rPr>
          <w:color w:val="000000"/>
          <w:shd w:val="clear" w:color="auto" w:fill="FFFFFF"/>
        </w:rPr>
        <w:t xml:space="preserve">είναι </w:t>
      </w:r>
      <w:r>
        <w:t xml:space="preserve">παρόμοια </w:t>
      </w:r>
      <w:r>
        <w:rPr>
          <w:color w:val="000000"/>
          <w:shd w:val="clear" w:color="auto" w:fill="FFFFFF"/>
        </w:rPr>
        <w:t>με έργα ή δραστηριότητες που καλύπτονται από το κοινοποιηθέν ή τα κοινοποιηθέντα μέτρα που εκτελούνται ήδη στην Ένωση υπό όρους της αγοράς</w:t>
      </w:r>
      <w:r>
        <w:t>. Σε περίπτωση καταφατικής απάντησης, παραθέστε περαιτέρω στοιχεία για την απόδειξη της αναγκαιότητας της κρατικής ενίσχυσης.</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Για να αποδείξετε τη συμμόρφωση με το σημείο 38 των ΚΓΕΚΕΠ, αναφερθείτε στα ποσοτικά αποδεικτικά στοιχεία που έχετε ήδη παράσχει στην ερώτηση </w:t>
      </w:r>
      <w:r w:rsidR="00D71A01">
        <w:fldChar w:fldCharType="begin"/>
      </w:r>
      <w:r w:rsidR="00D71A01">
        <w:instrText xml:space="preserve"> REF _Ref161224203 \r \h </w:instrText>
      </w:r>
      <w:r w:rsidR="00D71A01">
        <w:fldChar w:fldCharType="separate"/>
      </w:r>
      <w:r w:rsidR="00B965D5">
        <w:t>12</w:t>
      </w:r>
      <w:r w:rsidR="00D71A01">
        <w:fldChar w:fldCharType="end"/>
      </w:r>
      <w:r>
        <w:t xml:space="preserve"> στοιχείο </w:t>
      </w:r>
      <w:r w:rsidR="0014665E">
        <w:fldChar w:fldCharType="begin"/>
      </w:r>
      <w:r w:rsidR="0014665E">
        <w:instrText xml:space="preserve"> REF _Ref165985385 \r \h </w:instrText>
      </w:r>
      <w:r w:rsidR="0014665E">
        <w:fldChar w:fldCharType="separate"/>
      </w:r>
      <w:r w:rsidR="00B965D5">
        <w:t>C)</w:t>
      </w:r>
      <w:r w:rsidR="0014665E">
        <w:fldChar w:fldCharType="end"/>
      </w:r>
      <w:r>
        <w:t xml:space="preserve"> ανωτέρω.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Καταλληλότητα</w:t>
            </w:r>
          </w:p>
        </w:tc>
      </w:tr>
    </w:tbl>
    <w:bookmarkEnd w:id="8"/>
    <w:p w14:paraId="564078A7" w14:textId="5B9E20CC" w:rsidR="00C62AF1" w:rsidRDefault="00C62AF1" w:rsidP="05E51075">
      <w:pPr>
        <w:spacing w:before="360" w:after="120"/>
        <w:jc w:val="both"/>
        <w:rPr>
          <w:i/>
          <w:iCs/>
          <w:color w:val="000000"/>
        </w:rPr>
      </w:pPr>
      <w:r>
        <w:rPr>
          <w:i/>
          <w:color w:val="000000" w:themeColor="text1"/>
        </w:rPr>
        <w:t xml:space="preserve">Για να </w:t>
      </w:r>
      <w:r>
        <w:rPr>
          <w:i/>
        </w:rPr>
        <w:t xml:space="preserve">συμπληρώσετε τις πληροφορίες </w:t>
      </w:r>
      <w:r>
        <w:rPr>
          <w:i/>
          <w:color w:val="000000" w:themeColor="text1"/>
        </w:rPr>
        <w:t xml:space="preserve">στο παρόν τμήμα, συμβουλευτείτε το τμήμα 3.2.1.2 (σημεία 39-46) και το τμήμα 4.3.1.4.1 (σημείο 171) των ΚΓΕΚΕΠ.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Για την επαλήθευση της συμμόρφωσης με το σημείο 41 των ΚΓΕΚΕΠ, καταδείξτε ότι το μέτρο ενίσχυσης έχει σχεδιαστεί κατά τρόπο ώστε να μην υπονομεύεται η αποτελεσματικότητα άλλων μέτρων που αποσκοπούν στην αποκατάσταση της ίδιας ανεπάρκειας της αγοράς, όπως οι μηχανισμοί που βασίζονται στην αγορά (π.χ. το ΣΕΔΕ της ΕΕ).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Για την επαλήθευση της συμμόρφωσης με το σημείο 42 των ΚΓΕΚΕΠ, επιβεβαιώστε ότι δεν υπάρχει πιθανότητα να θεωρηθεί ότι οποιοσδήποτε από τους </w:t>
      </w:r>
      <w:r>
        <w:rPr>
          <w:color w:val="000000"/>
          <w:shd w:val="clear" w:color="auto" w:fill="FFFFFF"/>
        </w:rPr>
        <w:t xml:space="preserve">δικαιούχους του μέτρου ή των μέτρων ενίσχυσης υπέχει ευθύνη για ρύπανση δυνάμει της </w:t>
      </w:r>
      <w:r>
        <w:rPr>
          <w:shd w:val="clear" w:color="auto" w:fill="FFFFFF"/>
        </w:rPr>
        <w:t>ισχύουσας ενωσιακής ή εθνικής νομοθεσίας (</w:t>
      </w:r>
      <w:r>
        <w:rPr>
          <w:i/>
          <w:shd w:val="clear" w:color="auto" w:fill="FFFFFF"/>
        </w:rPr>
        <w:t>αρχή «ο ρυπαίνων πληρώνει»</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Για την επαλήθευση της συμμόρφωσης με τα σημεία 43 έως 46 των ΚΓΕΚΕΠ, και για την απόδειξη της καταλληλότητας της ενίσχυσης έναντι εναλλακτικών μέσων ενίσχυσης, παραθέστε τις ακόλουθες πληροφορίες: </w:t>
      </w:r>
    </w:p>
    <w:p w14:paraId="50891D0D" w14:textId="0B4D0D67" w:rsidR="00C62AF1" w:rsidRPr="00AC286A" w:rsidRDefault="00C62AF1" w:rsidP="0000132C">
      <w:pPr>
        <w:pStyle w:val="ListParagraph"/>
        <w:numPr>
          <w:ilvl w:val="0"/>
          <w:numId w:val="34"/>
        </w:numPr>
        <w:spacing w:after="120"/>
        <w:jc w:val="both"/>
      </w:pPr>
      <w:r>
        <w:lastRenderedPageBreak/>
        <w:t>Εξηγήστε γιατί άλλες δυνητικά λιγότερο στρεβλωτικές μορφές ενισχύσεων είναι λιγότερο κατάλληλες, όπως απαιτείται βάσει του σημείου 44 των ΚΓΕΚΕΠ. Οι λιγότερο στρεβλωτικές μορφές ενισχύσεων μπορεί να είναι επιστρεπτέες προκαταβολές σε σύγκριση με τις άμεσες επιχορηγήσεις· πιστώσεις φόρου σε σύγκριση με μειώσεις φόρου· ή μορφές ενίσχυσης που βασίζονται σε χρηματοδοτικά μέσα, όπως χρεωστικά μέσα σε σύγκριση με μετοχικό κεφάλαιο, συμπεριλαμβανομένων, για παράδειγμα, χαμηλότοκων δανείων ή επιδοτήσεων επιτοκίου, κρατικών εγγυήσεων ή εναλλακτικής παροχής χρηματοδότησης με ευνοϊκούς όρους.</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Αποδείξτε ότι η επιλογή του μέσου ενίσχυσης είναι συναφής με την ανεπάρκεια της αγοράς την οποία το μέτρο ή τα μέτρα ενίσχυσης αποσκοπούν να αντιμετωπίσουν, όπως απαιτείται σύμφωνα με το σημείο 45 των ΚΓΕΚΕΠ.</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 xml:space="preserve">Εξηγήστε τον τρόπο με τον οποίο </w:t>
      </w:r>
      <w:r>
        <w:rPr>
          <w:color w:val="000000"/>
          <w:shd w:val="clear" w:color="auto" w:fill="FFFFFF"/>
        </w:rPr>
        <w:t xml:space="preserve">το μέτρο ενίσχυσης και ο </w:t>
      </w:r>
      <w:r>
        <w:t>σχεδιασμός</w:t>
      </w:r>
      <w:r>
        <w:rPr>
          <w:color w:val="000000"/>
          <w:shd w:val="clear" w:color="auto" w:fill="FFFFFF"/>
        </w:rPr>
        <w:t xml:space="preserve"> του είναι κατάλληλα για την επίτευξη του στόχου του μέτρου στο οποίο στοχεύει η ενίσχυση (σημείο 46 των ΚΓΕΚΕΠ)</w:t>
      </w:r>
      <w:r>
        <w:t>.</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Για την επαλήθευση της συμμόρφωσης με τα σημεία 40 και 171 των ΚΓΕΚΕΠ, διευκρινίστε αν δεν υπάρχουν δυνατότητες άλλων τύπων παρεμβάσεων εκτός των κρατικών ενισχύσεων για την τόνωση της ανάπτυξης της αγοράς καθαρής κινητικότητας και περιγράψτε τον αναμενόμενο αντίκτυπό τους σε σύγκριση με το προτεινόμενο μέτρο. Τέτοια άλλα είδη παρεμβάσεων μπορεί να περιλαμβάνουν τη θέσπιση γενικών μέτρων με στόχο την προώθηση της αγοράς καθαρών οχημάτων, όπως καθεστώτα οικολογικής πριμοδότησης ή καθεστώτα απόσυρσης ή δημιουργία ζωνών χαμηλών εκπομπών στο οικείο κράτος μέλος.</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Αναλογικότητα</w:t>
            </w:r>
          </w:p>
        </w:tc>
      </w:tr>
    </w:tbl>
    <w:p w14:paraId="4583CF53" w14:textId="484D45EB" w:rsidR="002E4A39" w:rsidRPr="00AC286A" w:rsidRDefault="002E4A39" w:rsidP="001F1E32">
      <w:pPr>
        <w:spacing w:before="360" w:after="120"/>
        <w:jc w:val="both"/>
        <w:rPr>
          <w:i/>
        </w:rPr>
      </w:pPr>
      <w:r>
        <w:rPr>
          <w:i/>
        </w:rPr>
        <w:t xml:space="preserve">Για να συμπληρώσετε τις πληροφορίες στο παρόν τμήμα, συμβουλευτείτε το τμήμα 3.2.1.3 (σημεία 47-55) και το τμήμα 4.3.1.4.2 (σημεία 172-181) των ΚΓΕΚΕΠ. Επισημαίνεται ότι </w:t>
      </w:r>
      <w:r>
        <w:rPr>
          <w:i/>
          <w:u w:val="single"/>
        </w:rPr>
        <w:t>τα ακόλουθα δύο τμήματα 2.1.3.1. και 2.1.3.2. είναι εναλλακτικού χαρακτήρα</w:t>
      </w:r>
      <w:r>
        <w:rPr>
          <w:i/>
        </w:rPr>
        <w:t>. Απαντήστε μόνο στο σχετικό τμήμα, ανάλογα με τον σχεδιασμό του προτεινόμενου μέτρου.</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Αναλογικότητα των ενισχύσεων που χορηγούνται μέσω ανταγωνιστικής διαδικασίας υποβολής προσφορών</w:t>
            </w:r>
          </w:p>
        </w:tc>
      </w:tr>
    </w:tbl>
    <w:p w14:paraId="7AD4AA0A" w14:textId="77F5469E" w:rsidR="00A84671" w:rsidRPr="00AC286A" w:rsidRDefault="00C62AF1" w:rsidP="009854EF">
      <w:pPr>
        <w:pStyle w:val="ListParagraph"/>
        <w:spacing w:before="120" w:after="120"/>
        <w:ind w:left="0"/>
        <w:contextualSpacing w:val="0"/>
        <w:jc w:val="both"/>
      </w:pPr>
      <w:r>
        <w:rPr>
          <w:i/>
        </w:rPr>
        <w:t>Για να συμπληρώσετε τις πληροφορίες στο παρόν τμήμα, συμβουλευτείτε τα σημεία 49, 50, 173, 174 και 175 των ΚΓΕΚΕΠ.</w:t>
      </w:r>
    </w:p>
    <w:p w14:paraId="488BAFA9" w14:textId="7E072642" w:rsidR="00C62AF1" w:rsidRPr="00AC286A" w:rsidRDefault="00C62AF1" w:rsidP="0000132C">
      <w:pPr>
        <w:numPr>
          <w:ilvl w:val="0"/>
          <w:numId w:val="4"/>
        </w:numPr>
        <w:spacing w:before="120" w:after="120"/>
        <w:ind w:left="567" w:hanging="567"/>
        <w:jc w:val="both"/>
      </w:pPr>
      <w:bookmarkStart w:id="9" w:name="_Ref155798173"/>
      <w:r>
        <w:t>Για την επαλήθευση της συμμόρφωσης με τα σημεία 49, 50 και 173 των ΚΓΕΚΕΠ, παραθέστε τα ακόλουθα στοιχεία:</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lastRenderedPageBreak/>
        <w:t xml:space="preserve">Εξηγήστε τον τρόπο με τον οποίο διασφαλίζεται ότι η διαδικασία υποβολής προσφορών είναι ανοικτή, σαφής, διαφανής και αμερόληπτη, βασίζεται σε αντικειμενικά κριτήρια, καθορίζεται εκ των προτέρων σύμφωνα με τον στόχο του μέτρου και ελαχιστοποιεί τον κίνδυνο στρατηγικής υποβολής προσφορών [σημείο 49 στοιχείο α) των ΚΓΕΚΕΠ].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Τα κριτήρια επιλογής που χρησιμοποιούνται για την κατάταξη των προσφορών και, τελικά, για τον προσδιορισμό του επιπέδου της ενίσχυσης στο πλαίσιο της ανταγωνιστικής διαδικασίας υποβολής προσφορών. Ειδικότερα: </w:t>
      </w:r>
    </w:p>
    <w:p w14:paraId="321C47E7" w14:textId="77777777" w:rsidR="00C62AF1" w:rsidRPr="00AC286A" w:rsidRDefault="00C62AF1" w:rsidP="0000132C">
      <w:pPr>
        <w:pStyle w:val="ListParagraph"/>
        <w:numPr>
          <w:ilvl w:val="1"/>
          <w:numId w:val="22"/>
        </w:numPr>
        <w:spacing w:before="120" w:after="120"/>
        <w:contextualSpacing w:val="0"/>
        <w:jc w:val="both"/>
      </w:pPr>
      <w:r>
        <w:t>Παραθέστε τον κατάλογο των κριτηρίων επιλογής και διευκρινίστε ποια από αυτά συνδέονται / δεν συνδέονται άμεσα ή έμμεσα με τους κύριους στόχους του μέτρου ή των μέτρων. Συμπεριλάβετε και τη στάθμισή τους.</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Εξηγήστε τον τρόπο με τον οποίο τα κριτήρια επιλογής έχουν άμεση ή έμμεση σχέση με το ποσό της ενίσχυσης που ζητεί ο αιτών για την επίτευξη των κύριων στόχων του μέτρου ή των μέτρων. Αυτό μπορεί να εκφράζεται, για παράδειγμα, με τη μορφή ενισχύσεων ανά μονάδα προστασίας του περιβάλλοντος ή με τη μορφή ενισχύσεων ανά καθαρό όχημα ή ανά όχημα μηδενικών εκπομπών (σημείο 50 και υποσημείωση 44 των ΚΓΕΚΕΠ).</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Σε περίπτωση που υπάρχουν άλλα κριτήρια επιλογής που δεν συνδέονται άμεσα ή έμμεσα με τους κύριους στόχους του μέτρου ή των μέτρων, αιτιολογήστε την προτεινόμενη προσέγγιση και εξηγήστε τον τρόπο με τον οποίο διασφαλίζεται ότι είναι κατάλληλη για τους επιδιωκόμενους στόχους του μέτρου ή των μέτρων. Επιβεβαιώστε επίσης ότι τα εν λόγω κριτήρια δεν αντιστοιχούν σε ποσοστό άνω του 30 % της στάθμισης όλων των κριτηρίων επιλογής (σημεία 50 και 174 των ΚΓΕΚΕΠ).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rPr>
          <w:color w:val="000000"/>
        </w:rPr>
        <w:t xml:space="preserve">Διευκρινίστε </w:t>
      </w:r>
      <w:r>
        <w:rPr>
          <w:color w:val="000000" w:themeColor="text1"/>
        </w:rPr>
        <w:t xml:space="preserve">ποιο είναι το ενδεδειγμένο χρονικό διάστημα για την έγκαιρη δημοσίευση των κριτηρίων πριν από την προθεσμία υποβολής των αιτήσεων στο πλαίσιο κάθε </w:t>
      </w:r>
      <w:r>
        <w:rPr>
          <w:color w:val="000000"/>
        </w:rPr>
        <w:t xml:space="preserve">ανταγωνιστικής διαδικασίας υποβολής προσφορών </w:t>
      </w:r>
      <w:r>
        <w:t>[σημείο 49 στοιχείο β) και υποσημείωση 43 των ΚΓΕΚΕΠ]</w:t>
      </w:r>
      <w:r>
        <w:rPr>
          <w:shd w:val="clear" w:color="auto" w:fill="FFFFFF"/>
        </w:rPr>
        <w:t>.</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t>Εξηγήστε</w:t>
      </w:r>
      <w:r>
        <w:rPr>
          <w:shd w:val="clear" w:color="auto" w:fill="FFFFFF"/>
        </w:rPr>
        <w:t xml:space="preserve"> </w:t>
      </w:r>
      <w:r>
        <w:t>τα</w:t>
      </w:r>
      <w:r>
        <w:rPr>
          <w:shd w:val="clear" w:color="auto" w:fill="FFFFFF"/>
        </w:rPr>
        <w:t xml:space="preserve"> στοιχεία στα οποία βασιστήκατε για την παραδοχή ότι η διαδικασία υποβολής προσφορών θα είναι ανοικτή και με ενδεδειγμένο αριθμό συμμετοχών, δηλαδή ότι είναι δυνατόν να μη λάβουν ενίσχυση όλοι οι υποψήφιοι και ότι ο αναμενόμενος αριθμός προσφερόντων επαρκεί για την εξασφάλιση αποτελεσματικού ανταγωνισμού κατά τη διάρκεια του καθεστώτος [σημείο 49 στοιχείο γ) των ΚΓΕΚΕΠ]. Στην εξήγησή σας, θα πρέπει να λάβετε υπόψη τον προϋπολογισμό ή τον όγκο του καθεστώτος. Κατά περίπτωση, αναφερθείτε στα αποδεικτικά στοιχεία που έχετε παράσχει ως απάντηση στην ερώτηση</w:t>
      </w:r>
      <w:r w:rsidRPr="0018778D">
        <w:rPr>
          <w:shd w:val="clear" w:color="auto" w:fill="FFFFFF"/>
        </w:rPr>
        <w:fldChar w:fldCharType="begin"/>
      </w:r>
      <w:r w:rsidRPr="0018778D">
        <w:rPr>
          <w:shd w:val="clear" w:color="auto" w:fill="FFFFFF"/>
        </w:rPr>
        <w:instrText xml:space="preserve"> REF _Ref150179558 \r \h  \* MERGEFORMAT </w:instrText>
      </w:r>
      <w:r w:rsidRPr="0018778D">
        <w:rPr>
          <w:shd w:val="clear" w:color="auto" w:fill="FFFFFF"/>
        </w:rPr>
      </w:r>
      <w:r w:rsidRPr="0018778D">
        <w:rPr>
          <w:shd w:val="clear" w:color="auto" w:fill="FFFFFF"/>
        </w:rPr>
        <w:fldChar w:fldCharType="separate"/>
      </w:r>
      <w:r w:rsidR="00B965D5">
        <w:rPr>
          <w:shd w:val="clear" w:color="auto" w:fill="FFFFFF"/>
        </w:rPr>
        <w:t>12</w:t>
      </w:r>
      <w:r w:rsidRPr="0018778D">
        <w:rPr>
          <w:shd w:val="clear" w:color="auto" w:fill="FFFFFF"/>
        </w:rPr>
        <w:fldChar w:fldCharType="end"/>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874EB7">
      <w:pPr>
        <w:pStyle w:val="ListParagraph"/>
        <w:numPr>
          <w:ilvl w:val="0"/>
          <w:numId w:val="35"/>
        </w:numPr>
        <w:spacing w:before="120" w:after="120"/>
        <w:contextualSpacing w:val="0"/>
        <w:jc w:val="both"/>
      </w:pPr>
      <w:r>
        <w:rPr>
          <w:color w:val="000000"/>
        </w:rPr>
        <w:lastRenderedPageBreak/>
        <w:t>Παραθέστε</w:t>
      </w:r>
      <w:r>
        <w:rPr>
          <w:shd w:val="clear" w:color="auto" w:fill="FFFFFF"/>
        </w:rPr>
        <w:t xml:space="preserve"> πληροφορίες </w:t>
      </w:r>
      <w:r>
        <w:t>σχετικά με</w:t>
      </w:r>
      <w:r>
        <w:rPr>
          <w:shd w:val="clear" w:color="auto" w:fill="FFFFFF"/>
        </w:rPr>
        <w:t xml:space="preserve"> τον αριθμό των προβλεπόμενων γύρων υποβολής προσφορών και τον αναμενόμενο αριθμό προσφερόντων στον πρώτο γύρο και με την πάροδο του χρόνου.</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rPr>
          <w:shd w:val="clear" w:color="auto" w:fill="FFFFFF"/>
        </w:rPr>
        <w:t>Σε περίπτωση μίας ή περισσότερων διαδικασιών υποβολής προσφορών με χαμηλό αριθμό συμμετοχών, εξηγήστε τον τρόπο με τον οποίο θα διορθωθεί ο σχεδιασμός των διαδικασιών υποβολής προσφορών κατά τη διάρκεια της εφαρμογής του καθεστώτος ώστε να αποκατασταθεί ο αποτελεσματικός ανταγωνισμός στις εν λόγω διαδικασίες υποβολής προσφορών, καθώς και πότε θα συμβεί αυτό</w:t>
      </w:r>
      <w:r>
        <w:t xml:space="preserve"> [σημείο 49 στοιχείο γ) των ΚΓΕΚΕΠ]</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t>Επιβεβαιώστε</w:t>
      </w:r>
      <w:r>
        <w:rPr>
          <w:rStyle w:val="oj-italic"/>
          <w:color w:val="000000"/>
          <w:shd w:val="clear" w:color="auto" w:fill="FFFFFF"/>
        </w:rPr>
        <w:t xml:space="preserve"> ότι αποφεύγονται οι εκ των υστέρων</w:t>
      </w:r>
      <w:r>
        <w:rPr>
          <w:color w:val="000000"/>
          <w:shd w:val="clear" w:color="auto" w:fill="FFFFFF"/>
        </w:rPr>
        <w:t xml:space="preserve"> προσαρμογές στο αποτέλεσμα της διαδικασίας υποβολής προσφορών (όπως οι μεταγενέστερες </w:t>
      </w:r>
      <w:r>
        <w:rPr>
          <w:shd w:val="clear" w:color="auto" w:fill="FFFFFF"/>
        </w:rPr>
        <w:t xml:space="preserve">διαπραγματεύσεις για τα αποτελέσματα των προσφορών ή τον καθορισμό των ποσών) </w:t>
      </w:r>
      <w:r>
        <w:t>[σημείο 49 στοιχείο δ) των ΚΓΕΚΕΠ]</w:t>
      </w:r>
      <w:r>
        <w:rPr>
          <w:shd w:val="clear" w:color="auto" w:fill="FFFFFF"/>
        </w:rPr>
        <w:t>.</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Σε περίπτωση </w:t>
      </w:r>
      <w:r>
        <w:rPr>
          <w:color w:val="000000"/>
          <w:shd w:val="clear" w:color="auto" w:fill="FFFFFF"/>
        </w:rPr>
        <w:t>που</w:t>
      </w:r>
      <w:r>
        <w:t xml:space="preserve"> υπάρχει δυνατότητα «</w:t>
      </w:r>
      <w:r>
        <w:rPr>
          <w:i/>
        </w:rPr>
        <w:t>υποβολής προσφορών μηδενικής επιδότησης</w:t>
      </w:r>
      <w:r>
        <w:t xml:space="preserve">», εξηγήστε τον τρόπο με τον οποίο </w:t>
      </w:r>
      <w:r>
        <w:rPr>
          <w:shd w:val="clear" w:color="auto" w:fill="FFFFFF"/>
        </w:rPr>
        <w:t>θα</w:t>
      </w:r>
      <w:r>
        <w:t xml:space="preserve"> διασφαλιστεί η </w:t>
      </w:r>
      <w:r>
        <w:rPr>
          <w:rStyle w:val="oj-italic"/>
          <w:color w:val="000000"/>
          <w:shd w:val="clear" w:color="auto" w:fill="FFFFFF"/>
        </w:rPr>
        <w:t>αναλογικότητα</w:t>
      </w:r>
      <w:r>
        <w:t xml:space="preserve"> (βλ. σημείο 49 υποσημείωση 42 των ΚΓΕΚΕΠ).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Διευκρινίστε αν οι αρχές προβλέπουν τη χρήση ελάχιστων ή ανώτατων ορίων τιμών στο πλαίσιο της ανταγωνιστικής διαδικασίας υποβολής προσφορών. Σε περίπτωση καταφατικής απάντησης, αιτιολογήστε τη χρήση τους και εξηγήστε τον τρόπο με τον οποίο δεν περιορίζουν την ανταγωνιστική διαδικασία υποβολής προσφορών (σημείο 49 και υποσημείωση 42 των ΚΓΕΚΕΠ).</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Εξηγήστε τον τρόπο με τον οποίο ο σχεδιασμός της ανταγωνιστικής διαδικασίας υποβολής προσφορών διασφαλίζει ότι εξακολουθούν να παρέχονται επαρκή κίνητρα στους αιτούντες για την υποβολή προσφορών για έργα που αφορούν την αγορά οχημάτων μηδενικών εκπομπών, τα οποία είναι κατά γενικό κανόνα ακριβότερα από τις λιγότερο φιλικές προς το περιβάλλον εναλλακτικές λύσεις, εφόσον αυτές είναι διαθέσιμες για το συγκεκριμένο μέσο μεταφοράς. Για παράδειγμα, διευκρινίστε αν ο σχεδιασμός της ανταγωνιστικής διαδικασίας υποβολής προσφορών περιλαμβάνει πριμοδοτήσεις που επιτρέπουν την απόδοση υψηλότερης βαθμολογίας σε έργα τα οποία αποφέρουν περιβαλλοντικά οφέλη πέραν εκείνων που απορρέουν από τις απαιτήσεις επιλεξιμότητας ή από τον πρωταρχικό στόχο του μέτρου (σημείο 175 των ΚΓΕΚΕΠ).</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Αναλογικότητα των ενισχύσεων που </w:t>
            </w:r>
            <w:r>
              <w:rPr>
                <w:sz w:val="24"/>
                <w:u w:val="single"/>
              </w:rPr>
              <w:t>δεν</w:t>
            </w:r>
            <w:r>
              <w:rPr>
                <w:sz w:val="24"/>
              </w:rPr>
              <w:t xml:space="preserve"> χορηγούνται μέσω ανταγωνιστικής διαδικασίας υποβολής προσφορών</w:t>
            </w:r>
          </w:p>
        </w:tc>
      </w:tr>
    </w:tbl>
    <w:p w14:paraId="422D5582" w14:textId="3525E601" w:rsidR="00C62AF1" w:rsidRPr="00AC286A" w:rsidRDefault="00C62AF1" w:rsidP="009854EF">
      <w:pPr>
        <w:pStyle w:val="ListParagraph"/>
        <w:spacing w:before="120" w:after="120"/>
        <w:ind w:left="0"/>
        <w:contextualSpacing w:val="0"/>
        <w:jc w:val="both"/>
      </w:pPr>
      <w:r>
        <w:rPr>
          <w:i/>
        </w:rPr>
        <w:t>Για να συμπληρώσετε τις πληροφορίες στο παρόν τμήμα, συμβουλευτείτε τα σημεία 51-55 και 176-181 των ΚΓΕΚΕΠ.</w:t>
      </w:r>
    </w:p>
    <w:p w14:paraId="1F6FE818" w14:textId="1814D969" w:rsidR="00EF71CF" w:rsidRPr="00EF71CF" w:rsidRDefault="00EF71CF" w:rsidP="0000132C">
      <w:pPr>
        <w:numPr>
          <w:ilvl w:val="0"/>
          <w:numId w:val="4"/>
        </w:numPr>
        <w:spacing w:before="120" w:after="120"/>
        <w:ind w:left="567" w:hanging="567"/>
        <w:jc w:val="both"/>
      </w:pPr>
      <w:r>
        <w:t xml:space="preserve">Εξηγήστε τον λόγο για τον οποίο δεν χρησιμοποιείται ανταγωνιστική διαδικασία υποβολής προσφορών (με αναφορά στις εξαιρέσεις που προβλέπονται στο σημείο 176 των ΚΓΕΚΕΠ): </w:t>
      </w:r>
    </w:p>
    <w:p w14:paraId="662CF7E0" w14:textId="77777777" w:rsidR="001A514F" w:rsidRPr="001A514F" w:rsidRDefault="009A3188" w:rsidP="0000132C">
      <w:pPr>
        <w:pStyle w:val="ListParagraph"/>
        <w:numPr>
          <w:ilvl w:val="0"/>
          <w:numId w:val="37"/>
        </w:numPr>
        <w:spacing w:before="120" w:after="120"/>
        <w:contextualSpacing w:val="0"/>
        <w:jc w:val="both"/>
      </w:pPr>
      <w:r>
        <w:lastRenderedPageBreak/>
        <w:t xml:space="preserve">ο αναμενόμενος αριθμός συμμετεχόντων δεν είναι επαρκής για την εξασφάλιση αποτελεσματικού ανταγωνισμού ή για την αποφυγή στρατηγικής υποβολής προσφορών· </w:t>
      </w:r>
      <w:r>
        <w:rPr>
          <w:i/>
        </w:rPr>
        <w:t>Ή</w:t>
      </w:r>
    </w:p>
    <w:p w14:paraId="2BE7768F" w14:textId="52FE47F8" w:rsidR="001A514F" w:rsidRDefault="009A3188" w:rsidP="0000132C">
      <w:pPr>
        <w:pStyle w:val="ListParagraph"/>
        <w:numPr>
          <w:ilvl w:val="0"/>
          <w:numId w:val="37"/>
        </w:numPr>
        <w:spacing w:before="120" w:after="120"/>
        <w:contextualSpacing w:val="0"/>
        <w:jc w:val="both"/>
      </w:pPr>
      <w:r>
        <w:t xml:space="preserve">μια ανταγωνιστική διαδικασία υποβολής προσφορών, όπως περιγράφεται στα σημεία 49 και 50, δεν είναι κατάλληλη για τη διασφάλιση της αναλογικότητας της ενίσχυσης και ότι η χρήση των εναλλακτικών μεθόδων που αναφέρονται στα σημεία 177 έως 180 των ΚΓΕΚΕΠ δεν θα αύξανε τον κίνδυνο αδικαιολόγητων στρεβλώσεων του ανταγωνισμού, ανάλογα με τα χαρακτηριστικά του μέτρου ή των σχετικών τομέων ή τρόπων μεταφοράς· </w:t>
      </w:r>
      <w:r>
        <w:rPr>
          <w:i/>
        </w:rPr>
        <w:t>Ή</w:t>
      </w:r>
      <w:r>
        <w:t xml:space="preserve"> </w:t>
      </w:r>
    </w:p>
    <w:p w14:paraId="5D52BE55" w14:textId="25904D05" w:rsidR="009A3188" w:rsidRDefault="009A3188" w:rsidP="0000132C">
      <w:pPr>
        <w:pStyle w:val="ListParagraph"/>
        <w:numPr>
          <w:ilvl w:val="0"/>
          <w:numId w:val="37"/>
        </w:numPr>
        <w:spacing w:before="120" w:after="120"/>
        <w:contextualSpacing w:val="0"/>
        <w:jc w:val="both"/>
      </w:pPr>
      <w:r>
        <w:t>η ενίσχυση χορηγείται για την αγορά ή τη χρηματοδοτική μίσθωση οχημάτων που προορίζονται για χρήση από επιχειρήσεις που δραστηριοποιούνται στον τομέα των δημόσιων χερσαίων, σιδηροδρομικών ή θαλάσσιων μεταφορών επιβατών.</w:t>
      </w:r>
    </w:p>
    <w:p w14:paraId="35C3311B" w14:textId="5F324DD8" w:rsidR="00A84671" w:rsidRPr="001631E6" w:rsidRDefault="003115D9" w:rsidP="001C4C34">
      <w:pPr>
        <w:ind w:left="1560" w:hanging="142"/>
        <w:jc w:val="both"/>
      </w:pPr>
      <w:r>
        <w:t>…………………………………………………………………………………</w:t>
      </w:r>
    </w:p>
    <w:p w14:paraId="3DE19FEA" w14:textId="23F4A917" w:rsidR="008E430F" w:rsidRDefault="00B63C98" w:rsidP="0000132C">
      <w:pPr>
        <w:numPr>
          <w:ilvl w:val="0"/>
          <w:numId w:val="4"/>
        </w:numPr>
        <w:spacing w:before="120" w:after="120"/>
        <w:ind w:left="567" w:hanging="567"/>
        <w:jc w:val="both"/>
      </w:pPr>
      <w:r>
        <w:t xml:space="preserve">Προσδιορίστε το καθαρό πρόσθετο κόστος της επένδυσης. Το κόστος αυτό υπολογίζεται ως η διαφορά, αφενός, μεταξύ του συνολικού κόστους κυριότητας των καθαρών οχημάτων μεταφορών που προβλέπεται να αποτελέσουν αντικείμενο αγοράς ή χρηματοδοτικής μίσθωσης και, αφετέρου, του συνολικού κόστους κυριότητας στο σενάριο αντιπαραδείγματος, εξαιρουμένων των δαπανών που δεν συνδέονται άμεσα με την επίτευξη του υψηλότερου επιπέδου προστασίας του περιβάλλοντος. Όσον αφορά τη μετασκευή οχημάτων ή κινητού εξοπλισμού υπηρεσιών, οι επιλέξιμες δαπάνες μπορούν να αποτελούν το συνολικό κόστος της μετασκευής, υπό την προϋπόθεση ότι, στο σενάριο αντιπαραδείγματος, τα οχήματα ή ο κινητός εξοπλισμός υπηρεσιών διατηρούν την ίδια οικονομική διάρκεια ζωής ελλείψει της μετασκευής (σημεία 178-179 των ΚΓΕΚΕΠ).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Αναφέρετε τις μέγιστες εντάσεις ενίσχυσης που ισχύουν στο πλαίσιο του μέτρου και διευκρινίστε αν ισχύουν τυχόν πριμοδοτήσεις (όπως περιγράφονται στο σημείο 177 των ΚΓΕΚΕΠ).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Εάν, κατά παρέκκλιση από τα σημεία 177-179 των ΚΓΕΚΕΠ, θεωρηθεί ότι απαιτείται ενίσχυση πέραν των μέγιστων εντάσεων ενίσχυσης που καθορίζονται στο σημείο 177 των ΚΓΕΚΕΠ, αναφέρετε το επίπεδο της ενίσχυσης που θεωρείται αναγκαίο και αιτιολογήστε το βάσει ανάλυσης του ελλείμματος χρηματοδότησης για τα έργα αναφοράς του πραγματικού σεναρίου και του σεναρίου αντιπαραδείγματος, όπως προσδιορίζονται στην απάντηση στην ερώτηση </w:t>
      </w:r>
      <w:r w:rsidR="00A72937">
        <w:fldChar w:fldCharType="begin"/>
      </w:r>
      <w:r w:rsidR="00A72937">
        <w:instrText xml:space="preserve"> REF _Ref161224203 \r \h </w:instrText>
      </w:r>
      <w:r w:rsidR="00A72937">
        <w:fldChar w:fldCharType="separate"/>
      </w:r>
      <w:r w:rsidR="00B965D5">
        <w:t>12</w:t>
      </w:r>
      <w:r w:rsidR="00A72937">
        <w:fldChar w:fldCharType="end"/>
      </w:r>
      <w:r>
        <w:t xml:space="preserve"> στοιχείο Γ σημείο i) ανωτέρω, σύμφωνα με τα σημεία 51-52 των ΚΓΕΚΕΠ.</w:t>
      </w:r>
      <w:bookmarkEnd w:id="10"/>
    </w:p>
    <w:p w14:paraId="264FE08C" w14:textId="6A1796CC" w:rsidR="00F4008F" w:rsidRDefault="6554BC11" w:rsidP="001C4C34">
      <w:pPr>
        <w:spacing w:before="120" w:after="120"/>
        <w:ind w:left="567"/>
        <w:jc w:val="both"/>
      </w:pPr>
      <w:r>
        <w:t>Για την ανάλυση του ελλείμματος χρηματοδότησης, υποβάλετε ποσοτικό προσδιορισμό, για το πραγματικό σενάριο και ένα ρεαλιστικό σενάριο αντιπαραδείγματος</w:t>
      </w:r>
      <w:r w:rsidR="00F4008F" w:rsidRPr="00BA5885">
        <w:rPr>
          <w:rStyle w:val="FootnoteReference"/>
          <w:lang w:val="en-IE"/>
        </w:rPr>
        <w:footnoteReference w:id="9"/>
      </w:r>
      <w:r>
        <w:t xml:space="preserve"> —όπως προσδιορίζονται στην απάντηση στην ερώτηση </w:t>
      </w:r>
      <w:r w:rsidR="00453EBB">
        <w:fldChar w:fldCharType="begin"/>
      </w:r>
      <w:r w:rsidR="00453EBB">
        <w:instrText xml:space="preserve"> REF _Ref161224203 \r \h </w:instrText>
      </w:r>
      <w:r w:rsidR="00453EBB">
        <w:fldChar w:fldCharType="separate"/>
      </w:r>
      <w:r w:rsidR="00B965D5">
        <w:t>12</w:t>
      </w:r>
      <w:r w:rsidR="00453EBB">
        <w:fldChar w:fldCharType="end"/>
      </w:r>
      <w:r>
        <w:t xml:space="preserve"> ανωτέρω—, όλων των κύριων δαπανών και εσόδων, του εκτιμώμενου μέσου σταθμισμένου κόστους κεφαλαίου (ΜΣΚΚ) των δικαιούχων (ή των έργων αναφοράς) για την προεξόφληση μελλοντικών </w:t>
      </w:r>
      <w:r>
        <w:lastRenderedPageBreak/>
        <w:t xml:space="preserve">ταμειακών ροών, καθώς και της καθαρής παρούσας αξίας (ΚΠΑ) για το πραγματικό σενάριο και για το σενάριο αντιπαραδείγματος, κατά τη διάρκεια ζωής του έργου / έργου αναφοράς. </w:t>
      </w:r>
    </w:p>
    <w:p w14:paraId="45BB3A0D" w14:textId="77777777" w:rsidR="002F62D3" w:rsidRPr="0041193C" w:rsidRDefault="002F62D3" w:rsidP="007002B0">
      <w:pPr>
        <w:pStyle w:val="ListParagraph"/>
        <w:spacing w:before="120" w:after="120" w:line="259" w:lineRule="auto"/>
        <w:ind w:left="927"/>
        <w:jc w:val="both"/>
        <w:rPr>
          <w:lang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Παραθέστε τα στοιχεία αυτά με τη μορφή παραρτήματος του παρόντος εντύπου κοινοποίησης (χρησιμοποιώντας αρχείο Excel, στο οποίο θα είναι ορατοί όλοι οι τύποι).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t>Συμπεριλάβετε</w:t>
      </w:r>
      <w:r>
        <w:t xml:space="preserve"> λεπτομερείς πληροφορίες σχετικά με τις παραδοχές, τις μεθοδολογίες, το σκεπτικό και τις υποκείμενες πηγές τους που χρησιμοποιήθηκαν για κάθε πτυχή του ποσοτικού προσδιορισμού των δαπανών και των εσόδων στο πραγματικό σενάριο και στο πιθανό σενάριο αντιπαραδείγματος (π.χ. συμπεριλάβετε τις παραδοχές που χρησιμοποιήθηκαν για την ανάπτυξη των εν λόγω σεναρίων, καθώς και την πηγή / το σκεπτικό των εν λόγω παραδοχών).</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Για τις περιπτώσεις μεμονωμένων ενισχύσεων και καθεστώτων που ωφελούν ιδιαίτερα περιορισμένο αριθμό δικαιούχων, το κράτος μέλος πρέπει να παρουσιάζει τα αποδεικτικά στοιχεία στο επίπεδο του λεπτομερούς επιχειρηματικού σχεδίου του έργου.</w:t>
      </w:r>
    </w:p>
    <w:p w14:paraId="1610350D" w14:textId="77777777" w:rsidR="002712FE" w:rsidRPr="00AC286A" w:rsidRDefault="002712FE" w:rsidP="001C4C34">
      <w:pPr>
        <w:ind w:left="1440"/>
        <w:jc w:val="both"/>
        <w:rPr>
          <w:shd w:val="clear" w:color="auto" w:fill="FFFFFF"/>
        </w:rPr>
      </w:pPr>
      <w:r>
        <w:rPr>
          <w:shd w:val="clear" w:color="auto" w:fill="FFFFFF"/>
        </w:rPr>
        <w:t>Για τις περιπτώσεις καθεστώτων ενισχύσεων, το κράτος μέλος πρέπει να παρουσιάζει τα αποδεικτικά στοιχεία βάσει ενός ή περισσότερων έργων αναφοράς.</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Μπορείτε επίσης να </w:t>
      </w:r>
      <w:r>
        <w:rPr>
          <w:shd w:val="clear" w:color="auto" w:fill="FFFFFF"/>
        </w:rPr>
        <w:t>επισυνάψετε</w:t>
      </w:r>
      <w:r>
        <w:t xml:space="preserve"> στο παρόν έντυπο κοινοποίησης τα έγγραφα που αναφέρονται στην υποσημείωση 39 των ΚΓΕΚΕΠ. Τα έγγραφα διοικητικών συμβουλίων ενδέχεται να είναι ιδιαίτερα χρήσιμα για μέτρα ή καθεστώτα μεμονωμένων ενισχύσεων που ωφελούν ιδιαίτερα περιορισμένο αριθμό δικαιούχων. Εάν τα εν λόγω έγγραφα επισυνάπτονται στο έντυπο κοινοποίησης, παραθέστε κατωτέρω κατάλογο των εγγράφων αυτών, αναφέροντας τον συντάκτη τους, την ημερομηνία σύνταξής τους και το σχετικό πλαίσιο κατά τον χρόνο χρήσης τους.</w:t>
      </w:r>
    </w:p>
    <w:p w14:paraId="0EB45229" w14:textId="77777777" w:rsidR="00F4008F" w:rsidRDefault="00F4008F" w:rsidP="00F37133">
      <w:pPr>
        <w:tabs>
          <w:tab w:val="left" w:leader="dot" w:pos="9072"/>
        </w:tabs>
        <w:spacing w:before="120" w:after="120"/>
        <w:ind w:left="1080" w:firstLine="338"/>
        <w:jc w:val="both"/>
        <w:rPr>
          <w:color w:val="000000"/>
        </w:rPr>
      </w:pPr>
      <w:r>
        <w:rPr>
          <w:color w:val="000000"/>
        </w:rPr>
        <w:tab/>
      </w:r>
    </w:p>
    <w:p w14:paraId="3898CD7E" w14:textId="7DC7EFD2" w:rsidR="00E15BFB" w:rsidRDefault="00E15BFB" w:rsidP="0000132C">
      <w:pPr>
        <w:numPr>
          <w:ilvl w:val="0"/>
          <w:numId w:val="4"/>
        </w:numPr>
        <w:spacing w:before="120" w:after="120"/>
        <w:ind w:left="567" w:hanging="567"/>
        <w:jc w:val="both"/>
      </w:pPr>
      <w:r>
        <w:t xml:space="preserve">Καταδείξτε ότι η εφαρμογή υψηλότερου επιπέδου ενίσχυσης που καθορίζεται όπως αναφέρεται </w:t>
      </w:r>
      <w:r>
        <w:rPr>
          <w:shd w:val="clear" w:color="auto" w:fill="FFFFFF"/>
        </w:rPr>
        <w:t xml:space="preserve">στην ερώτηση </w:t>
      </w:r>
      <w:r w:rsidR="00443AEC">
        <w:rPr>
          <w:shd w:val="clear" w:color="auto" w:fill="FFFFFF"/>
        </w:rPr>
        <w:fldChar w:fldCharType="begin"/>
      </w:r>
      <w:r w:rsidR="00443AEC">
        <w:rPr>
          <w:shd w:val="clear" w:color="auto" w:fill="FFFFFF"/>
        </w:rPr>
        <w:instrText xml:space="preserve"> REF _Ref170739959 \r \h </w:instrText>
      </w:r>
      <w:r w:rsidR="00443AEC">
        <w:rPr>
          <w:shd w:val="clear" w:color="auto" w:fill="FFFFFF"/>
        </w:rPr>
      </w:r>
      <w:r w:rsidR="00443AEC">
        <w:rPr>
          <w:shd w:val="clear" w:color="auto" w:fill="FFFFFF"/>
        </w:rPr>
        <w:fldChar w:fldCharType="separate"/>
      </w:r>
      <w:r w:rsidR="00443AEC">
        <w:rPr>
          <w:shd w:val="clear" w:color="auto" w:fill="FFFFFF"/>
        </w:rPr>
        <w:t>34</w:t>
      </w:r>
      <w:r w:rsidR="00443AEC">
        <w:rPr>
          <w:shd w:val="clear" w:color="auto" w:fill="FFFFFF"/>
        </w:rPr>
        <w:fldChar w:fldCharType="end"/>
      </w:r>
      <w:r>
        <w:t xml:space="preserve"> δεν θα συνεπαγόταν ενίσχυση καθ’ υπέρβαση του ελλείμματος χρηματοδότησης.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Σε περίπτωση που έχει εφαρμογή το σημείο 52 των ΚΓΕΚΕΠ, δηλαδή </w:t>
      </w:r>
      <w:r>
        <w:rPr>
          <w:shd w:val="clear" w:color="auto" w:fill="FFFFFF"/>
        </w:rPr>
        <w:t xml:space="preserve">το πιθανότερο σενάριο αντιπαραδείγματος να συνίσταται </w:t>
      </w:r>
      <w:r>
        <w:t>στη</w:t>
      </w:r>
      <w:r>
        <w:rPr>
          <w:shd w:val="clear" w:color="auto" w:fill="FFFFFF"/>
        </w:rPr>
        <w:t xml:space="preserve"> μη πραγματοποίηση μιας δραστηριότητας ή επένδυσης από τον δικαιούχο ή στη συνέχιση της δραστηριότητάς του χωρίς αλλαγές, </w:t>
      </w:r>
      <w:r>
        <w:t>παραθέστε αποδεικτικά στοιχεία για την υποστήριξη αυτής της παραδοχής</w:t>
      </w:r>
      <w:r w:rsidR="00301F4E" w:rsidRPr="00AC286A">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3460C739" w:rsidR="00C62AF1" w:rsidRDefault="602E7F5B" w:rsidP="0000132C">
      <w:pPr>
        <w:numPr>
          <w:ilvl w:val="0"/>
          <w:numId w:val="4"/>
        </w:numPr>
        <w:spacing w:before="120" w:after="120"/>
        <w:ind w:left="567" w:hanging="567"/>
        <w:jc w:val="both"/>
        <w:rPr>
          <w:shd w:val="clear" w:color="auto" w:fill="FFFFFF"/>
        </w:rPr>
      </w:pPr>
      <w:r>
        <w:rPr>
          <w:shd w:val="clear" w:color="auto" w:fill="FFFFFF"/>
        </w:rPr>
        <w:lastRenderedPageBreak/>
        <w:t xml:space="preserve">Σε όλες τις περιπτώσεις στις οποίες η </w:t>
      </w:r>
      <w:r>
        <w:t>αναλογικότητα</w:t>
      </w:r>
      <w:r>
        <w:rPr>
          <w:shd w:val="clear" w:color="auto" w:fill="FFFFFF"/>
        </w:rPr>
        <w:t xml:space="preserve"> αιτιολογείται βάσει ανάλυσης του ελλείμματος χρηματοδότησης, επιβεβαιώστε επίσης ότι οι αρχές της χώρας σας θα προβούν σε εκ των υστέρων παρακολούθηση για να επαληθεύσουν τις παραδοχές σχετικά με το επίπεδο της απαιτούμενης ενίσχυσης και να θέσουν σε εφαρμογή μηχανισμό ανάκτησης. Περιγράψτε επίσης τους </w:t>
      </w:r>
      <w:r>
        <w:t>μηχανισμούς παρακολούθησης και</w:t>
      </w:r>
      <w:r>
        <w:rPr>
          <w:shd w:val="clear" w:color="auto" w:fill="FFFFFF"/>
        </w:rPr>
        <w:t xml:space="preserve"> ανάκτησης που σκοπεύουν να εφαρμόσουν οι αρχές της χώρας σας (σημείο 180 των ΚΓΕΚΕΠ).  </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Σώρευση</w:t>
            </w:r>
          </w:p>
        </w:tc>
      </w:tr>
    </w:tbl>
    <w:p w14:paraId="7AD631CF" w14:textId="77777777" w:rsidR="00C62AF1" w:rsidRPr="00AC286A" w:rsidRDefault="00C62AF1" w:rsidP="00FC5BDD">
      <w:pPr>
        <w:pStyle w:val="ListParagraph"/>
        <w:spacing w:before="120" w:after="120"/>
        <w:ind w:left="0"/>
        <w:contextualSpacing w:val="0"/>
        <w:jc w:val="both"/>
      </w:pPr>
      <w:r>
        <w:rPr>
          <w:i/>
        </w:rPr>
        <w:t>Για να συμπληρώσετε τις πληροφορίες στο παρόν τμήμα, συμβουλευτείτε τα σημεία 56 και 57 των ΚΓΕΚΕΠ.</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Εφόσον δεν γίνεται ήδη σχετική αναφορά στο μέρος I του γενικού εντύπου κοινοποίησης, και προκειμένου να επαληθευτεί η </w:t>
      </w:r>
      <w:r>
        <w:rPr>
          <w:shd w:val="clear" w:color="auto" w:fill="FFFFFF"/>
        </w:rPr>
        <w:t>συμμόρφωση</w:t>
      </w:r>
      <w:r>
        <w:t xml:space="preserve"> με το σημείο 56 των ΚΓΕΚΕΠ, διευκρινίστε αν η ενίσχυση στο πλαίσιο του κοινοποιηθέντος ή των κοινοποιηθέντων μέτρων μπορεί να χορηγηθεί ταυτόχρονα στο πλαίσιο διαφόρων καθεστώτων ενισχύσεων ή να σωρευθεί με ad hoc ή ήσσονος σημασίας ενισχύσεις σε σχέση με τις ίδιες επιλέξιμες δαπάνες. Στην περίπτωση αυτή, 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σωρευθούν οι ενισχύσεις.</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Εάν έχει εφαρμογή το σημείο 56 των ΚΓΕΚΕΠ, αιτιολογήστε τον τρόπο με τον οποίο το συνολικό ποσό της ενίσχυσης που χορηγείται στο πλαίσιο του κοινοποιηθέντος ή των κοινοποιηθέντων μέτρων για το έργο ή τη δραστηριότητα δεν οδηγεί σε υπεραντιστάθμιση ούτε υπερβαίνει </w:t>
      </w:r>
      <w:r>
        <w:rPr>
          <w:shd w:val="clear" w:color="auto" w:fill="FFFFFF"/>
        </w:rPr>
        <w:t>το</w:t>
      </w:r>
      <w:r>
        <w:t xml:space="preserve"> μέγιστο ποσό της ενίσχυσης που επιτρέπεται βάσει των σημείων 173, 177 και180 των ΚΓΕΚΕΠ. Προσδιορίστε, για κάθε μέτρο με το οποίο μπορεί να σωρευτεί η ενίσχυση που χορηγείται στο πλαίσιο του κοινοποιηθέντος μέτρου ή των κοινοποιηθέντων μέτρων ενίσχυσης, τη μέθοδο που χρησιμοποιείται για τη διασφάλιση της συμμόρφωσης με τις προϋποθέσεις που καθορίζονται στο σημείο 56 των ΚΓΕΚΕΠ.</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Σε περίπτωση που έχει εφαρμογή το σημείο 57 των ΚΓΕΚΕΠ, δηλαδή η ενίσχυση που χορηγείται στο πλαίσιο του κοινοποιηθέντος ή των κοινοποιηθέντων μέτρων συνδυάζεται με ενωσιακή χρηματοδότηση υπό κεντρική διαχείριση</w:t>
      </w:r>
      <w:r w:rsidR="00BF1E81" w:rsidRPr="00AC286A">
        <w:rPr>
          <w:rStyle w:val="FootnoteReference"/>
          <w:lang w:eastAsia="en-GB"/>
        </w:rPr>
        <w:footnoteReference w:id="11"/>
      </w:r>
      <w:r>
        <w:t xml:space="preserve"> (η οποία δεν συνιστά κρατική ενίσχυση), αιτιολογήστε τον τρόπο με τον οποίο </w:t>
      </w:r>
      <w:r>
        <w:rPr>
          <w:shd w:val="clear" w:color="auto" w:fill="FFFFFF"/>
        </w:rPr>
        <w:t>το συνολικό ποσό της δημόσιας χρηματοδότησης που χορηγείται σε σχέση με τις ίδιες επιλέξιμες δαπάνες δεν οδηγεί σε υπεραντιστάθμιση.</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Διαφάνεια</w:t>
            </w:r>
          </w:p>
        </w:tc>
      </w:tr>
    </w:tbl>
    <w:p w14:paraId="19C31F80" w14:textId="2D4539B5" w:rsidR="00C62AF1" w:rsidRPr="00AC286A" w:rsidRDefault="00C62AF1" w:rsidP="00C62AF1">
      <w:pPr>
        <w:spacing w:before="360" w:after="120"/>
        <w:jc w:val="both"/>
        <w:rPr>
          <w:i/>
        </w:rPr>
      </w:pPr>
      <w:r>
        <w:rPr>
          <w:i/>
          <w:color w:val="000000"/>
        </w:rPr>
        <w:lastRenderedPageBreak/>
        <w:t xml:space="preserve">Για να </w:t>
      </w:r>
      <w:r>
        <w:rPr>
          <w:i/>
        </w:rPr>
        <w:t xml:space="preserve">συμπληρώσετε τις πληροφορίες </w:t>
      </w:r>
      <w:r>
        <w:rPr>
          <w:i/>
          <w:color w:val="000000"/>
        </w:rPr>
        <w:t>στο παρόν τμήμα, συμβουλευτείτε το τμήμα 3.2.1.4 (σημεία 58-61) των ΚΓΕΚΕΠ.</w:t>
      </w:r>
      <w:r>
        <w:rPr>
          <w:i/>
        </w:rPr>
        <w:t xml:space="preserve"> </w:t>
      </w:r>
    </w:p>
    <w:p w14:paraId="4211141D" w14:textId="58565510" w:rsidR="008E430F" w:rsidRDefault="1C6367A9" w:rsidP="0000132C">
      <w:pPr>
        <w:numPr>
          <w:ilvl w:val="0"/>
          <w:numId w:val="4"/>
        </w:numPr>
        <w:spacing w:before="120" w:after="120"/>
        <w:ind w:left="567" w:hanging="567"/>
        <w:jc w:val="both"/>
      </w:pPr>
      <w:r>
        <w:t xml:space="preserve">Επιβεβαιώστε ότι το κράτος μέλος θα συμμορφώνεται με τις απαιτήσεις διαφάνειας που </w:t>
      </w:r>
      <w:r>
        <w:rPr>
          <w:shd w:val="clear" w:color="auto" w:fill="FFFFFF"/>
        </w:rPr>
        <w:t>καθορίζονται</w:t>
      </w:r>
      <w:r>
        <w:t xml:space="preserve"> στα σημεία 58-61 των ΚΓΕΚΕΠ.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rFonts w:eastAsia="Times New Roman"/>
          <w:szCs w:val="24"/>
        </w:rPr>
      </w:pPr>
      <w:r>
        <w:t xml:space="preserve">Παραθέστε τον διαδικτυακό σύνδεσμο στον οποίο θα δημοσιευτούν, αφενός, το πλήρες κείμενο του εγκεκριμένου καθεστώτος ενισχύσεων ή της απόφασης χορήγησης μεμονωμένης ενίσχυσης και οι σχετικές διατάξεις εφαρμογής και, αφετέρου, οι πληροφορίες για κάθε μεμονωμένη ενίσχυση που χορηγήθηκε ad hoc ή στο πλαίσιο εγκεκριμένου καθεστώτος ενισχύσεων με βάση τις ΚΓΕΚΕΠ και υπερβαίνει τα 100 000 EUR.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2.2 Αποφυγή αδικαιολόγητων αρνητικών επιπτώσεων στον ανταγωνισμό, τις συναλλαγές και την εξισορρόπηση</w:t>
            </w:r>
            <w:bookmarkEnd w:id="12"/>
          </w:p>
        </w:tc>
      </w:tr>
    </w:tbl>
    <w:p w14:paraId="27571D47" w14:textId="2341FA1A" w:rsidR="00C62AF1" w:rsidRPr="00AC286A" w:rsidRDefault="00C62AF1" w:rsidP="00C62AF1">
      <w:pPr>
        <w:spacing w:before="360" w:after="120"/>
        <w:jc w:val="both"/>
        <w:rPr>
          <w:i/>
        </w:rPr>
      </w:pPr>
      <w:r>
        <w:rPr>
          <w:i/>
          <w:color w:val="000000"/>
        </w:rPr>
        <w:t xml:space="preserve">Για να </w:t>
      </w:r>
      <w:r>
        <w:rPr>
          <w:i/>
        </w:rPr>
        <w:t xml:space="preserve">συμπληρώσετε τις πληροφορίες στο παρόν τμήμα, συμβουλευτείτε το τμήμα 3.2.2 (σημεία 63-70) και το τμήμα 4.3.1.5 (σημεία 183-189) των ΚΓΕΚΕΠ. </w:t>
      </w:r>
    </w:p>
    <w:p w14:paraId="5724A4A1" w14:textId="77777777" w:rsidR="000C4C25" w:rsidRDefault="19967884" w:rsidP="0000132C">
      <w:pPr>
        <w:numPr>
          <w:ilvl w:val="0"/>
          <w:numId w:val="4"/>
        </w:numPr>
        <w:spacing w:before="120" w:after="120"/>
        <w:ind w:left="567" w:hanging="567"/>
        <w:jc w:val="both"/>
      </w:pPr>
      <w:r>
        <w:t xml:space="preserve">Για την επαλήθευση της συμμόρφωσης με το σημείο 67 των ΚΓΕΚΕΠ, παραθέστε πληροφορίες σχετικά με τις πιθανές βραχυπρόθεσμες και μακροπρόθεσμες αρνητικές επιπτώσεις του κοινοποιηθέντος ή των κοινοποιηθέντων μέτρων στον ανταγωνισμό και τις συναλλαγές.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Διευκρινίστε αν το μέτρο εμπίπτει σε οποιαδήποτε από τις ακόλουθες περιπτώσεις: </w:t>
      </w:r>
    </w:p>
    <w:p w14:paraId="600A6180" w14:textId="7392E57E" w:rsidR="00F43AD8" w:rsidRDefault="005E6D02" w:rsidP="0000132C">
      <w:pPr>
        <w:pStyle w:val="ListParagraph"/>
        <w:numPr>
          <w:ilvl w:val="0"/>
          <w:numId w:val="39"/>
        </w:numPr>
        <w:spacing w:before="120" w:after="120"/>
        <w:contextualSpacing w:val="0"/>
        <w:jc w:val="both"/>
      </w:pPr>
      <w:r>
        <w:t>αφορά αγορά (ή αγορές) όπου οι κατεστημένοι φορείς απέκτησαν ισχύ στην αγορά πριν από την ελευθέρωση της αγοράς·</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περιλαμβάνει ανταγωνιστικές διαδικασίες υποβολής προσφορών σε αναδυόμενη ή σε αναδυόμενες αγορές, όταν υπάρχει παράγοντας με ισχυρή θέση στην αγορά·</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θα ωφελήσει μόνο έναν δικαιούχο ή έναν ιδιαίτερα περιορισμένο αριθμό δικαιούχων.</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Σε περίπτωση που το μέτρο ενίσχυσης εστιάζει σε συγκεκριμένη τεχνολογική επιλογή/πορεία, αιτιολογήστε την τεχνολογική επιλογή και το γεγονός ότι δεν θα είναι αποθαρρυντική για την ανάπτυξη καθαρότερων τεχνολογιών.</w:t>
      </w:r>
    </w:p>
    <w:p w14:paraId="286330D3" w14:textId="4D8B229E" w:rsidR="00A30A2E" w:rsidRDefault="005D2CD7" w:rsidP="0082588A">
      <w:pPr>
        <w:tabs>
          <w:tab w:val="left" w:leader="dot" w:pos="9072"/>
        </w:tabs>
        <w:spacing w:before="120" w:after="120"/>
        <w:ind w:left="567"/>
        <w:jc w:val="both"/>
      </w:pPr>
      <w:r>
        <w:lastRenderedPageBreak/>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Εάν το κοινοποιηθέν ή τα κοινοποιηθέντα μέτρα θα ωφελήσουν μόνο έναν δικαιούχο ή έναν ιδιαίτερα περιορισμένο αριθμό δικαιούχων, για την επαλήθευση της συμμόρφωσης με το σημείο 68 των ΚΓΕΚΕΠ:</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Διευκρινίστε αν το κοινοποιηθέν ή τα κοινοποιηθέντα μέτρα αυξάνουν ή διατηρούν τη σημαντική ισχύ του δικαιούχου ή των δικαιούχων στην αγορά ή αν αποθαρρύνουν την επέκταση των υφιστάμενων ανταγωνιστών ή αν δημιουργούν κίνητρα για την έξοδό τους ή την αποθάρρυνση της εισόδου νέων ανταγωνιστών. Διευκρινίστε επίσης εν προκειμένω αν το μέτρο ενίσχυσης θα οδηγήσει σε αύξηση της παραγωγικής ικανότητας του δικαιούχου.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5BCFE4D6" w:rsidR="00C62AF1" w:rsidRPr="00AC286A" w:rsidRDefault="00A30A2E" w:rsidP="0000132C">
      <w:pPr>
        <w:pStyle w:val="ListParagraph"/>
        <w:numPr>
          <w:ilvl w:val="0"/>
          <w:numId w:val="40"/>
        </w:numPr>
        <w:spacing w:before="120" w:after="120"/>
        <w:jc w:val="both"/>
      </w:pPr>
      <w:r>
        <w:t xml:space="preserve">Περιγράψτε τα μέτρα που εφαρμόζονται για τον περιορισμό της δυνητικής στρέβλωσης του ανταγωνισμού λόγω της χορήγησης της ενίσχυσης στον δικαιούχο ή στους δικαιούχους.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69 των ΚΓΕΚΕΠ, διευκρινίστε τα ακόλουθα: </w:t>
      </w:r>
    </w:p>
    <w:p w14:paraId="32E33C0A" w14:textId="66BA9774" w:rsidR="00CA77F0" w:rsidRDefault="00CA77F0" w:rsidP="0000132C">
      <w:pPr>
        <w:pStyle w:val="ListParagraph"/>
        <w:numPr>
          <w:ilvl w:val="0"/>
          <w:numId w:val="41"/>
        </w:numPr>
        <w:spacing w:before="120" w:after="120"/>
        <w:jc w:val="both"/>
      </w:pPr>
      <w:r>
        <w:t xml:space="preserve">Αν η ενίσχυση που χορηγείται στο πλαίσιο του κοινοποιηθέντος ή των κοινοποιηθέντων μέτρων αποσκοπεί στη διατήρηση της οικονομικής δραστηριότητας σε μία περιοχή ή στην απομάκρυνσή της από άλλες περιοχές εντός της εσωτερικής αγοράς.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Σε περίπτωση καταφατικής απάντησης, προσδιορίστε τις καθαρές περιβαλλοντικές επιπτώσεις του κοινοποιηθέντος ή των κοινοποιηθέντων μέτρων, καθώς και τον τρόπο με τον οποίο το κοινοποιηθέν ή τα κοινοποιηθέντα μέτρα βελτιώνουν το υφιστάμενο επίπεδο περιβαλλοντικής προστασίας στα κράτη μέλη.</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Πώς η ενίσχυση που χορηγείται στο πλαίσιο του κοινοποιηθέντος ή των κοινοποιηθέντων μέτρων δεν έχει εμφανώς αρνητικές επιπτώσεις στον ανταγωνισμό και τις συναλλαγές.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Σε περίπτωση μεμονωμένης ενίσχυσης, τους κύριους παράγοντες που οδήγησαν τον δικαιούχο στην επιλογή της τοποθεσίας για τις επενδύσεις.</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Για την επαλήθευση της συμμόρφωσης με το σημείο 70 των ΚΓΕΚΕΠ:</w:t>
      </w:r>
    </w:p>
    <w:p w14:paraId="78257B32" w14:textId="7E691F3C" w:rsidR="00C62AF1" w:rsidRPr="00AC286A" w:rsidRDefault="00C62AF1" w:rsidP="0000132C">
      <w:pPr>
        <w:pStyle w:val="ListParagraph"/>
        <w:numPr>
          <w:ilvl w:val="0"/>
          <w:numId w:val="42"/>
        </w:numPr>
        <w:spacing w:before="120" w:after="120"/>
        <w:jc w:val="both"/>
      </w:pPr>
      <w:r>
        <w:t xml:space="preserve">Επιβεβαιώστε ότι η ενίσχυση μπορεί να χορηγηθεί στο πλαίσιο του κοινοποιηθέντος καθεστώτος για μέγιστη περίοδο 10 ετών </w:t>
      </w:r>
      <w:r>
        <w:rPr>
          <w:color w:val="000000"/>
          <w:shd w:val="clear" w:color="auto" w:fill="FFFFFF"/>
        </w:rPr>
        <w:t>από την ημερομηνία κοινοποίησης της απόφασης της Επιτροπής με την οποία οι ενισχύσεις κηρύχθηκαν συμβατές</w:t>
      </w:r>
      <w:r>
        <w:t xml:space="preserve">.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lastRenderedPageBreak/>
        <w:t xml:space="preserve">Επιβεβαιώστε ότι, σε περίπτωση που οι αρχές της χώρας σας επιθυμούν να παρατείνουν τη διάρκεια του καθεστώτος πέραν της μέγιστης αυτής περιόδου, θα κοινοποιήσουν εκ νέου το μέτρο.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Εάν το κοινοποιηθέν ή τα κοινοποιηθέντα μέτρα ενδέχεται να παρέχουν κίνητρα για νέες επενδύσεις σε οχήματα και κινητό εξοπλισμό υπηρεσιών που χρησιμοποιούν φυσικό αέριο, διευκρινίστε τον τρόπο με τον οποίο το μέτρο μπορεί να θεωρηθεί ότι δεν έχει μακροχρόνιες επιπτώσεις εγκλωβισμού και δεν εκτοπίζει τις επενδύσεις σε καθαρότερες τεχνολογίες. Επομένως, όσον αφορά τις ενισχύσεις για την αγορά ή τη χρηματοδοτική μίσθωση οχημάτων ΣΦΑ και ΥΦΑ για πλωτές μεταφορές και κινητού εξοπλισμού υπηρεσιών, αποδείξτε ότι δεν είναι άμεσα διαθέσιμες στην αγορά και δεν αναμένεται να είναι διαθέσιμες βραχυπρόθεσμα πιο καθαρές εναλλακτικές λύσεις για την απανθρακοποίηση του σχετικού τρόπου μεταφοράς. Για τον σκοπό αυτό, εξετάστε περίοδο 2 έως 5 ετών μετά την κοινοποίηση του μέτρου ενίσχυσης (ή διαφορετική περίοδο, εάν αιτιολογείται δεόντως) και υποβάλετε υποστηρικτικές ανεξάρτητες μελέτες της αγοράς ή οποιαδήποτε άλλα κατάλληλα αποδεικτικά στοιχεία.</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Εάν το κοινοποιηθέν μέτρο ενδέχεται να παρέχει κίνητρα για επενδύσεις σε καθαρά αεροσκάφη (πλην των αεροσκαφών μηδενικών εκπομπών) που χρησιμοποιούν ορυκτά καύσιμα, καταδείξτε ότι η ενίσχυση συμβάλλει στην εισαγωγή στην αγορά ή στην επιτάχυνση της υιοθέτησης νέων, αποδοτικότερων και αισθητά πιο φιλικών προς το περιβάλλον αεροσκαφών. Εξηγήστε επίσης τον τρόπο με τον οποίο οι εν λόγω επενδύσεις είναι σύμφωνες με την πορεία προς την κλιματική ουδετερότητα, καθώς και τον τρόπο με τον οποίο το μέτρο αποφεύγει τον κίνδυνο παραμονής σε συμβατικές τεχνολογίες και μετατόπισης των επενδύσεων σε καθαρότερες εναλλακτικές λύσεις.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Εάν το μέτρο αφορά την υπηρεσία αεροπορικών μεταφορών, διευκρινίστε αν οι αρχές της χώρας σας σκοπεύουν να απαιτήσουν από τον δικαιούχο να παροπλίσει ισοδύναμο αριθμό λιγότερο φιλικών προς το περιβάλλον αεροσκαφών με παρόμοια μάζα απογείωσης με τα αεροσκάφη που αγοράζονται ή μισθώνονται με κρατική ενίσχυση, ώστε να μετριαστούν οι δυνητικά στρεβλωτικές επιπτώσεις της ενίσχυσης, λαμβανομένης υπόψη της θέσης του δικαιούχου στην αγορά, ή να αυξηθούν τα θετικά αποτελέσματα του μέτρου ενίσχυσης.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Όσον αφορά τις ενισχύσεις για την αγορά ή τη χρηματοδοτική μίσθωση οχημάτων ή κινητού εξοπλισμού υπηρεσιών, διευκρινίστε αν η θέση σε λειτουργία νέων οχημάτων θα οδηγούσε ή θα επιδείνωνε τις υφιστάμενες ανεπάρκειες της αγοράς, όπως η πλεονάζουσα ικανότητα στον οικείο τομέα.</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Εάν το κοινοποιηθέν μέτρο χορηγεί στοχευμένη στήριξη σε μεμονωμένο δικαιούχο ή σε περιορισμένο αριθμό συγκεκριμένων δικαιούχων ελλείψει ανταγωνιστικής διαδικασίας υποβολής προσφορών, αιτιολογήστε τον σχεδιασμό του μέτρου, παραθέστε τους λόγους για τους οποίους δεν είναι ανοικτό σε όλους τους ανταγωνιστές που επιθυμούν να παράσχουν την ίδια υπηρεσία, προϊόν ή όφελος και αποδείξτε ότι αντιμετωπίζει δεόντως τους υψηλότερους κινδύνους στρέβλωσης του ανταγωνισμού. </w:t>
      </w:r>
    </w:p>
    <w:p w14:paraId="63AA617C" w14:textId="77777777" w:rsidR="00F80982" w:rsidRPr="00AC286A" w:rsidRDefault="00F80982" w:rsidP="0000132C">
      <w:pPr>
        <w:tabs>
          <w:tab w:val="left" w:leader="dot" w:pos="9072"/>
        </w:tabs>
        <w:spacing w:before="120" w:after="120"/>
        <w:ind w:left="567"/>
        <w:jc w:val="both"/>
      </w:pPr>
      <w:r>
        <w:lastRenderedPageBreak/>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Στάθμιση των θετικών επιπτώσεων της ενίσχυσης έναντι των αρνητικών επιπτώσεων στον ανταγωνισμό και τις συναλλαγές</w:t>
            </w:r>
          </w:p>
        </w:tc>
      </w:tr>
    </w:tbl>
    <w:p w14:paraId="21499FBD" w14:textId="74D3BCF1" w:rsidR="00C62AF1" w:rsidRPr="00AC286A" w:rsidRDefault="00C62AF1" w:rsidP="00C62AF1">
      <w:pPr>
        <w:spacing w:before="360" w:after="120"/>
        <w:jc w:val="both"/>
        <w:rPr>
          <w:i/>
          <w:color w:val="000000"/>
        </w:rPr>
      </w:pPr>
      <w:r>
        <w:rPr>
          <w:i/>
          <w:color w:val="000000"/>
        </w:rPr>
        <w:t xml:space="preserve">Για να </w:t>
      </w:r>
      <w:r>
        <w:rPr>
          <w:i/>
        </w:rPr>
        <w:t xml:space="preserve">συμπληρώσετε τις πληροφορίες </w:t>
      </w:r>
      <w:r>
        <w:rPr>
          <w:i/>
          <w:color w:val="000000"/>
        </w:rPr>
        <w:t xml:space="preserve">στο παρόν τμήμα, συμβουλευτείτε το τμήμα 3.3 (σημεία 71-76) των ΚΓΕΚΕΠ.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Για την επαλήθευση της συμμόρφωσης με το σημείο 72 των ΚΓΕΚΕΠ, διευκρινίστε αν οι υποστηριζόμενες δραστηριότητες στο πλαίσιο του κοινοποιηθέντος μέτρου πληρούν τα κριτήρια των περιβαλλοντικά βιώσιμων οικονομικών δραστηριοτήτων</w:t>
      </w:r>
      <w:r>
        <w:rPr>
          <w:shd w:val="clear" w:color="auto" w:fill="FFFFFF"/>
        </w:rPr>
        <w:t xml:space="preserve"> που προβλέπονται στο </w:t>
      </w:r>
      <w:r>
        <w:t>άρθρο 3 του κανονισμού (ΕΕ) 2020/852 του Ευρωπαϊκού Κοινοβουλίου και του Συμβουλίου</w:t>
      </w:r>
      <w:r w:rsidRPr="008772CC">
        <w:rPr>
          <w:rStyle w:val="FootnoteReference"/>
          <w:lang w:eastAsia="en-GB"/>
        </w:rPr>
        <w:footnoteReference w:id="12"/>
      </w:r>
      <w:r>
        <w:t>,</w:t>
      </w:r>
      <w:r>
        <w:rPr>
          <w:shd w:val="clear" w:color="auto" w:fill="FFFFFF"/>
        </w:rPr>
        <w:t xml:space="preserve"> συμπεριλαμβανομένης της αρχής της «μη πρόκλησης σημαντικής βλάβης», ή άλλες συγκρίσιμες μεθοδολογίες.</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(Σε περίπτωση ανταγωνιστικής διαδικασίας υποβολής προσφορών) Διευκρινίστε αν το κοινοποιηθέν ή τα κοινοποιηθέντα μέτρα περιλαμβάνουν στοιχεία τα οποία διευκολύνουν τη συμμετοχή των ΜΜΕ σε ανταγωνιστικές διαδικασίες υποβολής προσφορών. Σε περίπτωση καταφατικής απάντησης, παραθέστε πληροφορίες σχετικά με τα εν λόγω χαρακτηριστικά και αιτιολογήστε τον τρόπο με τον οποίο τα θετικά αποτελέσματα της διασφάλισης της συμμετοχής των ΜΜΕ στο κοινοποιηθέν ή στα κοινοποιηθέντα μέτρα υπερτερούν των πιθανών στρεβλωτικών επιπτώσεων.</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Τμήμα Γ: Αξιολόγηση</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Για να συμπληρώσετε τις πληροφορίες στο παρόν τμήμα, συμβουλευτείτε το κεφάλαιο 5 (σημεία 455-463) των ΚΓΕΚΕΠ.</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Εάν το κοινοποιηθέν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των ΚΓΕΚΕΠ, ή επισυνάψτε στο παρόν έντυπο κοινοποίησης παράρτημα που περιλαμβάνει προσχέδιο αξιολόγησης, το οποίο καλύπτει το πεδίο εφαρμογής που αναφέρεται στο σημείο 458 των ΚΓΕΚΕΠ</w:t>
      </w:r>
      <w:r w:rsidR="002578DB" w:rsidRPr="00AC286A">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Εάν παρέχεται προσχέδιο αξιολόγησης:</w:t>
      </w:r>
    </w:p>
    <w:p w14:paraId="637F0B69" w14:textId="77777777" w:rsidR="002578DB" w:rsidRPr="00AC286A" w:rsidRDefault="002578DB" w:rsidP="0000132C">
      <w:pPr>
        <w:pStyle w:val="ListParagraph"/>
        <w:numPr>
          <w:ilvl w:val="0"/>
          <w:numId w:val="43"/>
        </w:numPr>
        <w:spacing w:before="120" w:after="120"/>
        <w:jc w:val="both"/>
      </w:pPr>
      <w:r>
        <w:lastRenderedPageBreak/>
        <w:t>Παραθέστε κατωτέρω σύνοψη του εν λόγω προσχεδίου αξιολόγησης που περιλαμβάνεται στο παράρτημα.</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Επιβεβαιώστε ότι θα τηρηθεί το σημείο 460 των ΚΓΕΚΕΠ.</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Παραθέστε την ημερομηνία και τον διαδικτυακό σύνδεσμο δημοσιοποίησης του σχεδίου αξιολόγησης.</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Pr>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Για την επαλήθευση της συμμόρφωσης με το σημείο 461 των ΚΓΕΚΕΠ:</w:t>
      </w:r>
    </w:p>
    <w:p w14:paraId="323279C4" w14:textId="26AA9A6C" w:rsidR="002578DB" w:rsidRPr="00AC286A" w:rsidRDefault="002578DB" w:rsidP="0000132C">
      <w:pPr>
        <w:pStyle w:val="ListParagraph"/>
        <w:numPr>
          <w:ilvl w:val="0"/>
          <w:numId w:val="28"/>
        </w:numPr>
        <w:spacing w:before="120" w:after="120"/>
        <w:contextualSpacing w:val="0"/>
        <w:jc w:val="both"/>
      </w:pPr>
      <w:r>
        <w:t>Διευκρινίστε αν ο ανεξάρτητος εμπειρογνώμονας έχει ήδη επιλεχθεί ή αν θα επιλεχθεί στο μέλλον.</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Παραθέστε πληροφορίες σχετικά με τη διαδικασία επιλογής του εμπειρογνώμονα.</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Αιτιολογήστε τον τρόπο με τον οποίο διασφαλίζεται ότι ο εμπειρογνώμονας είναι ανεξάρτητος από τη χορηγούσα αρχή.</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461 των ΚΓΕΚΕΠ: </w:t>
      </w:r>
    </w:p>
    <w:p w14:paraId="5B99AA31" w14:textId="36AF6516" w:rsidR="002578DB" w:rsidRPr="00AC286A" w:rsidRDefault="002578DB" w:rsidP="0000132C">
      <w:pPr>
        <w:pStyle w:val="ListParagraph"/>
        <w:numPr>
          <w:ilvl w:val="0"/>
          <w:numId w:val="44"/>
        </w:numPr>
        <w:spacing w:before="120" w:after="120"/>
        <w:jc w:val="both"/>
      </w:pPr>
      <w:r>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9 μήνες πριν από τη λήξη του, σύμφωνα με το σημείο 463 των ΚΓΕΚΕΠ. Σημειωτέον ότι η προθεσμία αυτή θα μπορούσε να μειωθεί για τα καθεστώτα που ενεργοποιούν την απαίτηση αξιολόγησης κατά τα τελευταία 2 έτη εφαρμογής τους.</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lastRenderedPageBreak/>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t>Τμήμα Δ: Υποβολή εκθέσεων και παρακολούθηση</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Για να συμπληρώσετε τις πληροφορίες στο παρόν τμήμα, συμβουλευτείτε το τμήμα 6 (σημεία 464 και 465) των ΚΓΕΚΕΠ.</w:t>
      </w:r>
    </w:p>
    <w:p w14:paraId="3E33F579" w14:textId="35E63F92" w:rsidR="00C62AF1" w:rsidRDefault="070CBB00" w:rsidP="0000132C">
      <w:pPr>
        <w:pStyle w:val="ListParagraph"/>
        <w:numPr>
          <w:ilvl w:val="0"/>
          <w:numId w:val="4"/>
        </w:numPr>
        <w:spacing w:before="120" w:after="120"/>
        <w:ind w:left="567" w:hanging="567"/>
        <w:contextualSpacing w:val="0"/>
        <w:jc w:val="both"/>
      </w:pPr>
      <w:r>
        <w:t>Επιβεβαιώστε ότι το κράτος μέλος θα συμμορφώνεται με τις απαιτήσεις υποβολής εκθέσεων και παρακολούθησης που καθορίζονται στο τμήμα 6 σημεία 464 και 465 των ΚΓΕΚΕΠ.</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t>ΕΕ C 80 της 18.2.2022, σ. 1.</w:t>
      </w:r>
    </w:p>
  </w:footnote>
  <w:footnote w:id="3">
    <w:p w14:paraId="162040A0" w14:textId="77777777" w:rsidR="00CA0EC2" w:rsidRPr="0067348B" w:rsidRDefault="00CA0EC2" w:rsidP="00CA0EC2">
      <w:pPr>
        <w:pStyle w:val="FootnoteText"/>
      </w:pPr>
      <w:r>
        <w:rPr>
          <w:rStyle w:val="FootnoteReference"/>
        </w:rPr>
        <w:footnoteRef/>
      </w:r>
      <w:r>
        <w:tab/>
        <w:t>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του χρόνου που απαιτείται για την έγκριση των αιτήσεων ενίσχυσης από τις εθνικές αρχές). Η διάρκεια που αναφέρεται στην παρούσα ερώτηση δεν αφορά τη διάρκεια των συμβάσεων που συνάπτονται στο πλαίσιο του καθεστώτος ενισχύσεων, η οποία μπορεί να συνεχίζεται για μεγαλύτερο χρονικό διάστημα από τη διάρκεια του μέτρου.</w:t>
      </w:r>
    </w:p>
  </w:footnote>
  <w:footnote w:id="4">
    <w:p w14:paraId="0476288F" w14:textId="5910BFC5" w:rsidR="003037AB" w:rsidRPr="0067348B" w:rsidRDefault="003037AB" w:rsidP="003037AB">
      <w:pPr>
        <w:pStyle w:val="FootnoteText"/>
      </w:pPr>
      <w:r>
        <w:rPr>
          <w:rStyle w:val="FootnoteReference"/>
        </w:rPr>
        <w:footnoteRef/>
      </w:r>
      <w:r>
        <w:tab/>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5">
    <w:p w14:paraId="01706528" w14:textId="42D8E4DE" w:rsidR="009926B4" w:rsidRPr="00CF158B" w:rsidRDefault="009926B4" w:rsidP="009926B4">
      <w:pPr>
        <w:pStyle w:val="FootnoteText"/>
      </w:pPr>
      <w:r>
        <w:rPr>
          <w:rStyle w:val="FootnoteReference"/>
        </w:rPr>
        <w:footnoteRef/>
      </w:r>
      <w:r>
        <w:t xml:space="preserve"> </w:t>
      </w:r>
      <w:r>
        <w:tab/>
        <w:t>Επισημαίνεται ότι τα σημεία 38, 52, 165, 166 και 167, καθώς και οι υποσημειώσεις 39 και 45 των ΚΓΕΚΕΠ παρέχουν περαιτέρω καθοδήγηση σχετικά με τον τρόπο με τον οποίο θα πρέπει να αναπτυχθεί το πιθανό σενάριο αντιπαραδείγματος.</w:t>
      </w:r>
    </w:p>
  </w:footnote>
  <w:footnote w:id="6">
    <w:p w14:paraId="439F37C9" w14:textId="60002BCF" w:rsidR="009B7B9E" w:rsidRPr="00C9125D" w:rsidRDefault="009B7B9E">
      <w:pPr>
        <w:pStyle w:val="FootnoteText"/>
      </w:pPr>
      <w:r>
        <w:rPr>
          <w:rStyle w:val="FootnoteReference"/>
        </w:rPr>
        <w:footnoteRef/>
      </w:r>
      <w:r>
        <w:t xml:space="preserve"> </w:t>
      </w:r>
      <w:r>
        <w:tab/>
        <w:t xml:space="preserve">Το «έργο αναφοράς» ορίζεται στο σημείο 19 στοιχείο 63 των ΚΓΕΚΕΠ. </w:t>
      </w:r>
    </w:p>
  </w:footnote>
  <w:footnote w:id="7">
    <w:p w14:paraId="4FE55020" w14:textId="77777777" w:rsidR="009926B4" w:rsidRDefault="009926B4" w:rsidP="009926B4">
      <w:pPr>
        <w:pStyle w:val="FootnoteText"/>
      </w:pPr>
      <w:r>
        <w:rPr>
          <w:rStyle w:val="FootnoteReference"/>
        </w:rPr>
        <w:footnoteRef/>
      </w:r>
      <w:r>
        <w:t xml:space="preserve"> </w:t>
      </w:r>
      <w:r>
        <w:tab/>
        <w:t>Εάν βασίζεστε σε πρόσφατη ανταγωνιστική διαδικασία, εξηγήστε τον τρόπο με τον οποίο η εν λόγω διαδικασία υποβολής προσφορών μπορεί να θεωρηθεί ανταγωνιστική, συμπεριλαμβανομένου του τρόπου με τον οποίο αποφεύχθηκαν απροσδόκητα κέρδη για διάφορες τεχνολογίες που περιλαμβάνονται στην ανταγωνιστική διαδικασία υποβολής προσφορών, κατά περίπτωση, καθώς και τον τρόπο με τον οποίο είναι συγκρίσιμη, για παράδειγμα:</w:t>
      </w:r>
    </w:p>
    <w:p w14:paraId="2B3FB5FE" w14:textId="77777777" w:rsidR="009926B4" w:rsidRDefault="009926B4" w:rsidP="0000132C">
      <w:pPr>
        <w:pStyle w:val="FootnoteText"/>
        <w:numPr>
          <w:ilvl w:val="0"/>
          <w:numId w:val="27"/>
        </w:numPr>
      </w:pPr>
      <w:r>
        <w:t>Οι όροι (π.χ. συμβατικοί όροι και διάρκεια, προθεσμίες επενδύσεων, αν οι πληρωμές στήριξης προσαρμόστηκαν με βάση τον πληθωρισμό ή όχι) ήταν παρόμοιοι με τους προτεινόμενους όρους στο κοινοποιηθέν μέτρο;</w:t>
      </w:r>
    </w:p>
    <w:p w14:paraId="46359276" w14:textId="77777777" w:rsidR="009926B4" w:rsidRDefault="009926B4" w:rsidP="0000132C">
      <w:pPr>
        <w:pStyle w:val="FootnoteText"/>
        <w:numPr>
          <w:ilvl w:val="0"/>
          <w:numId w:val="27"/>
        </w:numPr>
      </w:pPr>
      <w:r>
        <w:t>Διεξήχθη η ανταγωνιστική διαδικασία υπό παρόμοιες μακροοικονομικές συνθήκες;</w:t>
      </w:r>
    </w:p>
    <w:p w14:paraId="104093C2" w14:textId="087CE78F" w:rsidR="009926B4" w:rsidRDefault="009926B4" w:rsidP="0000132C">
      <w:pPr>
        <w:pStyle w:val="FootnoteText"/>
        <w:numPr>
          <w:ilvl w:val="0"/>
          <w:numId w:val="27"/>
        </w:numPr>
      </w:pPr>
      <w:r>
        <w:t>Ήταν παρόμοιες οι τεχνολογίες / οι τύποι έργων;</w:t>
      </w:r>
    </w:p>
  </w:footnote>
  <w:footnote w:id="8">
    <w:p w14:paraId="676CCD61" w14:textId="77777777" w:rsidR="009560B9" w:rsidRDefault="009560B9" w:rsidP="00C62AF1">
      <w:pPr>
        <w:pStyle w:val="FootnoteText"/>
      </w:pPr>
      <w:r>
        <w:rPr>
          <w:rStyle w:val="FootnoteReference"/>
        </w:rPr>
        <w:footnoteRef/>
      </w:r>
      <w:r>
        <w:t xml:space="preserve"> </w:t>
      </w:r>
      <w:r>
        <w:tab/>
        <w:t>Σύμφωνα με το σημείο 19 στοιχείο 89 των ΚΓΕΚΕΠ, ως «ενωσιακό πρότυπο» νοείται:</w:t>
      </w:r>
    </w:p>
    <w:p w14:paraId="540FE298" w14:textId="77777777" w:rsidR="009560B9" w:rsidRPr="004B74BC" w:rsidRDefault="009560B9" w:rsidP="0000132C">
      <w:pPr>
        <w:pStyle w:val="FootnoteText"/>
        <w:numPr>
          <w:ilvl w:val="0"/>
          <w:numId w:val="23"/>
        </w:numPr>
        <w:rPr>
          <w:i/>
        </w:rPr>
      </w:pPr>
      <w:r>
        <w:rPr>
          <w:i/>
        </w:rPr>
        <w:t>υποχρεωτικό ενωσιακό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ενωσιακό επίπεδο και έχουν δεσμευτικό χαρακτήρα για τα κράτη μέλη αλλά όχι για τις μεμονωμένες επιχειρήσεις·</w:t>
      </w:r>
    </w:p>
    <w:p w14:paraId="0074D1B1" w14:textId="6CDC8890" w:rsidR="009560B9" w:rsidRDefault="009560B9" w:rsidP="0000132C">
      <w:pPr>
        <w:pStyle w:val="FootnoteText"/>
        <w:numPr>
          <w:ilvl w:val="0"/>
          <w:numId w:val="23"/>
        </w:numPr>
      </w:pPr>
      <w:r>
        <w:rPr>
          <w:i/>
        </w:rPr>
        <w:t>η υποχρέωση να χρησιμοποιούνται οι βέλτιστες διαθέσιμες τεχνικές (ΒΔΤ), ιδίως όπως ορίζονται στην οδηγία 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 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9">
    <w:p w14:paraId="0D510CDC" w14:textId="77777777" w:rsidR="00F4008F" w:rsidRPr="0095488F" w:rsidRDefault="00F4008F" w:rsidP="00F4008F">
      <w:pPr>
        <w:pStyle w:val="FootnoteText"/>
      </w:pPr>
      <w:r>
        <w:rPr>
          <w:rStyle w:val="FootnoteReference"/>
        </w:rPr>
        <w:footnoteRef/>
      </w:r>
      <w:r>
        <w:t xml:space="preserve"> </w:t>
      </w:r>
      <w:r>
        <w:tab/>
        <w:t>Βλ. επίσης τις περαιτέρω πληροφορίες που παρέχονται στα σημεία 51-53 και 165-167, καθώς και στις υποσημειώσεις 45 και 46 των ΚΓΕΚΕΠ.</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ab/>
        <w:t>Ως ενωσιακή χρηματοδότηση υπό κεντρική διαχείριση νοείται ενωσιακή χρηματοδότηση που υπόκειται σε κεντρική διαχείριση από θεσμικά όργανα, οργανισμούς, κοινές επιχειρήσεις ή άλλους φορείς της Ένωσης και δεν τελεί υπό τον άμεσο ή έμμεσο έλεγχο των κρατών μελών.</w:t>
      </w:r>
    </w:p>
  </w:footnote>
  <w:footnote w:id="12">
    <w:p w14:paraId="0336C302" w14:textId="77777777" w:rsidR="00796DA4" w:rsidRPr="008772CC" w:rsidRDefault="00796DA4" w:rsidP="00796DA4">
      <w:pPr>
        <w:pStyle w:val="FootnoteText"/>
      </w:pPr>
      <w:r>
        <w:rPr>
          <w:rStyle w:val="FootnoteReference"/>
        </w:rPr>
        <w:footnoteRef/>
      </w:r>
      <w:r>
        <w:t xml:space="preserve"> </w:t>
      </w:r>
      <w:r>
        <w:tab/>
        <w:t>Κανονισμός (ΕΕ) 2020/852 του Ευρωπαϊκού Κοινοβουλίου και του Συμβουλίου της 18ης Ιουνίου 2020 σχετικά με τη θέσπιση πλαισίου για τη διευκόλυνση των βιώσιμων επενδύσεων και για την τροποποίηση του κανονισμού (ΕΕ) 2019/2088 (ΕΕ L 198 της 22.6.2020, σ. 13).</w:t>
      </w:r>
    </w:p>
  </w:footnote>
  <w:footnote w:id="13">
    <w:p w14:paraId="7517D6A8" w14:textId="77777777" w:rsidR="002578DB" w:rsidRDefault="002578DB" w:rsidP="002578DB">
      <w:pPr>
        <w:pStyle w:val="FootnoteText"/>
      </w:pPr>
      <w:r>
        <w:rPr>
          <w:rStyle w:val="FootnoteReference"/>
        </w:rPr>
        <w:footnoteRef/>
      </w:r>
      <w:r>
        <w:tab/>
        <w:t xml:space="preserve">Το υπόδειγμα του συμπληρωματικού δελτίου πληροφοριών για την κοινοποίηση σχεδίου αξιολόγησης (μέρος III.8) διατίθεται εδώ: </w:t>
      </w:r>
      <w:hyperlink w:anchor="evaluation-plan" w:history="1">
        <w:r>
          <w:rPr>
            <w:rStyle w:val="Hyperlink"/>
            <w:color w:val="auto"/>
          </w:rPr>
          <w:t>https://competition-policy.ec.europa.eu/state-aid/legislation/forms-notifications-and-reporting_el#evaluation-plan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1C7C19FE"/>
    <w:lvl w:ilvl="0" w:tplc="C99CEE36">
      <w:start w:val="1"/>
      <w:numFmt w:val="lowerRoman"/>
      <w:lvlText w:val="%1."/>
      <w:lvlJc w:val="left"/>
      <w:pPr>
        <w:ind w:left="1080" w:hanging="360"/>
      </w:pPr>
      <w:rPr>
        <w:rFonts w:ascii="Times New Roman" w:hAnsi="Times New Roman" w:hint="default"/>
        <w:b w:val="0"/>
        <w:i w:val="0"/>
        <w:sz w:val="24"/>
      </w:rPr>
    </w:lvl>
    <w:lvl w:ilvl="1" w:tplc="A544A1D2">
      <w:start w:val="1"/>
      <mc:AlternateContent>
        <mc:Choice Requires="w14">
          <w:numFmt w:val="custom" w:format="α, β, γ, ..."/>
        </mc:Choice>
        <mc:Fallback>
          <w:numFmt w:val="decimal"/>
        </mc:Fallback>
      </mc:AlternateContent>
      <w:lvlText w:val="%2."/>
      <w:lvlJc w:val="left"/>
      <w:pPr>
        <w:ind w:left="1287" w:hanging="360"/>
      </w:pPr>
      <w:rPr>
        <w:rFonts w:hint="default"/>
      </w:r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D36A3532"/>
    <w:lvl w:ilvl="0" w:tplc="E2BA7B4E">
      <w:start w:val="1"/>
      <mc:AlternateContent>
        <mc:Choice Requires="w14">
          <w:numFmt w:val="custom" w:format="α, β, γ, ..."/>
        </mc:Choice>
        <mc:Fallback>
          <w:numFmt w:val="decimal"/>
        </mc:Fallback>
      </mc:AlternateContent>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CE26048A"/>
    <w:lvl w:ilvl="0" w:tplc="A544A1D2">
      <w:start w:val="1"/>
      <mc:AlternateContent>
        <mc:Choice Requires="w14">
          <w:numFmt w:val="custom" w:format="α, β, γ, ..."/>
        </mc:Choice>
        <mc:Fallback>
          <w:numFmt w:val="decimal"/>
        </mc:Fallback>
      </mc:AlternateContent>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0BF6450A"/>
    <w:lvl w:ilvl="0" w:tplc="AEDCCDFA">
      <w:start w:val="1"/>
      <mc:AlternateContent>
        <mc:Choice Requires="w14">
          <w:numFmt w:val="custom" w:format="Α, Β, Γ, ..."/>
        </mc:Choice>
        <mc:Fallback>
          <w:numFmt w:val="decimal"/>
        </mc:Fallback>
      </mc:AlternateContent>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D73E0C7E"/>
    <w:lvl w:ilvl="0" w:tplc="A544A1D2">
      <w:start w:val="1"/>
      <mc:AlternateContent>
        <mc:Choice Requires="w14">
          <w:numFmt w:val="custom" w:format="α, β, γ, ..."/>
        </mc:Choice>
        <mc:Fallback>
          <w:numFmt w:val="decimal"/>
        </mc:Fallback>
      </mc:AlternateContent>
      <w:lvlText w:val="%1."/>
      <w:lvlJc w:val="left"/>
      <w:pPr>
        <w:ind w:left="1429" w:hanging="360"/>
      </w:pPr>
      <w:rPr>
        <w:rFonts w:hint="default"/>
      </w:r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93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489B"/>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1A3E"/>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C20"/>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l-GR"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l-G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2.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A1C1DA78-896E-461D-A61E-B93DC91F7A48}">
  <ds:schemaRefs>
    <ds:schemaRef ds:uri="http://www.w3.org/XML/1998/namespace"/>
    <ds:schemaRef ds:uri="http://purl.org/dc/terms/"/>
    <ds:schemaRef ds:uri="66b6254d-0f40-4716-8f91-c3453959d219"/>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a94e2606-67d3-479b-bb64-e7d9251b8ee1"/>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21</Pages>
  <Words>6184</Words>
  <Characters>37166</Characters>
  <DocSecurity>0</DocSecurity>
  <Lines>807</Lines>
  <Paragraphs>216</Paragraphs>
  <ScaleCrop>false</ScaleCrop>
  <HeadingPairs>
    <vt:vector size="2" baseType="variant">
      <vt:variant>
        <vt:lpstr>Title</vt:lpstr>
      </vt:variant>
      <vt:variant>
        <vt:i4>1</vt:i4>
      </vt:variant>
    </vt:vector>
  </HeadingPairs>
  <TitlesOfParts>
    <vt:vector size="1" baseType="lpstr">
      <vt:lpstr>4.3.1 Notif form - clean24.5.2024.docx</vt:lpstr>
    </vt:vector>
  </TitlesOfParts>
  <LinksUpToDate>false</LinksUpToDate>
  <CharactersWithSpaces>43134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