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p w14:paraId="3B04212E" w14:textId="4CB6C070" w:rsidR="000442F5" w:rsidRPr="00AC286A" w:rsidRDefault="52B947EB" w:rsidP="007B485D">
            <w:pPr>
              <w:pStyle w:val="Heading2"/>
              <w:spacing w:before="240" w:after="240"/>
              <w:jc w:val="center"/>
              <w:rPr>
                <w:sz w:val="32"/>
                <w:szCs w:val="32"/>
              </w:rPr>
            </w:pPr>
            <w:r>
              <w:rPr>
                <w:sz w:val="32"/>
              </w:rPr>
              <w:t xml:space="preserve">Atnaujinta* 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w:t>
            </w:r>
            <w:r>
              <w:rPr>
                <w:sz w:val="32"/>
              </w:rPr>
              <w:t xml:space="preserve"> </w:t>
            </w:r>
            <w:bookmarkEnd w:id="0"/>
            <w:bookmarkEnd w:id="1"/>
          </w:p>
          <w:p w14:paraId="2917BBF5" w14:textId="77777777" w:rsidR="002B52B3" w:rsidRDefault="00126157" w:rsidP="00341A04">
            <w:pPr>
              <w:jc w:val="center"/>
              <w:rPr>
                <w:sz w:val="32"/>
                <w:szCs w:val="32"/>
              </w:rPr>
            </w:pPr>
            <w:r>
              <w:rPr>
                <w:sz w:val="32"/>
              </w:rPr>
              <w:t xml:space="preserve">4.3.1 skyrius. Pagalba netaršioms transporto priemonėms ir netaršiai mobiliajai paslaugų teikimo įrangai įsigyti ir nuomotis išperkamąja nuoma, taip pat transporto priemonėms ir mobiliajai paslaugų teikimo įrangai modernizuoti</w:t>
            </w:r>
          </w:p>
          <w:p w14:paraId="774A46C9" w14:textId="77777777" w:rsidR="00412002" w:rsidRDefault="00412002" w:rsidP="00D30BFF">
            <w:pPr>
              <w:rPr>
                <w:sz w:val="32"/>
                <w:szCs w:val="32"/>
              </w:rPr>
            </w:pPr>
          </w:p>
          <w:p w14:paraId="61FFF7AD" w14:textId="2E71C309" w:rsidR="00FD562C" w:rsidRPr="00AC286A" w:rsidRDefault="00412002" w:rsidP="00412002">
            <w:r>
              <w:t xml:space="preserve">* oficialiai dar nepriimta.</w:t>
            </w:r>
          </w:p>
        </w:tc>
      </w:tr>
    </w:tbl>
    <w:p w14:paraId="70D7CD5F" w14:textId="3293E4E6" w:rsidR="000442F5" w:rsidRPr="00AC286A" w:rsidRDefault="000442F5" w:rsidP="000442F5">
      <w:pPr>
        <w:spacing w:before="12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21EE9DF7" w14:textId="23106001" w:rsidR="009E2EA1" w:rsidRPr="00AC286A" w:rsidRDefault="0072538B" w:rsidP="009E2EA1">
      <w:pPr>
        <w:spacing w:before="120" w:after="120"/>
        <w:ind w:right="-142"/>
        <w:jc w:val="both"/>
        <w:rPr>
          <w:i/>
          <w:iCs/>
        </w:rPr>
      </w:pPr>
      <w:r>
        <w:rPr>
          <w:i/>
        </w:rPr>
        <w:t xml:space="preserve">Šioje formoje pateikiama papildoma informacija apie priemones, kurioms taikomas PKAAE gairių 4.3.1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5A2EC84C" w14:textId="37CB7BF5" w:rsidR="009E2EA1" w:rsidRPr="00AC286A" w:rsidRDefault="009E2EA1" w:rsidP="009E2EA1">
      <w:pPr>
        <w:spacing w:before="120" w:after="120"/>
        <w:ind w:right="-142"/>
        <w:jc w:val="both"/>
        <w:rPr>
          <w:i/>
          <w:iCs/>
        </w:rPr>
      </w:pPr>
      <w:r>
        <w:rPr>
          <w:i/>
        </w:rPr>
        <w:t xml:space="preserve">Valstybės narės turi sunumeruoti visus prie šios papildomos informacijos pateikimo formos pridedamus dokumentus ir nurodyti dokumentų numerius atitinkamose šios formos skirsniuose.</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5BFA68C4" w14:textId="7CB889B5" w:rsidR="00A16B2C" w:rsidRPr="00AC286A" w:rsidRDefault="00A16B2C" w:rsidP="0000132C">
      <w:pPr>
        <w:pStyle w:val="ListParagraph"/>
        <w:numPr>
          <w:ilvl w:val="0"/>
          <w:numId w:val="25"/>
        </w:numPr>
        <w:spacing w:after="120"/>
        <w:jc w:val="both"/>
      </w:pPr>
      <w:r>
        <w:t xml:space="preserve">Jei dar nenurodėte formos „Bendroji informacija“ 5.2 skirsnyje (I dalis), nurodykite priemonės aplinkybes ir pagrindinį tikslą, įskaitant transporto išmetamų teršalų kiekio mažinimo Sąjungos tikslus, kurių siekimą ketinama remti.</w:t>
      </w:r>
      <w:r>
        <w:t xml:space="preserve">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Nurodykite visus kitus ja siekiamus tikslus.</w:t>
      </w:r>
      <w:r>
        <w:t xml:space="preserve"> </w:t>
      </w:r>
      <w:r>
        <w:t xml:space="preserve">Jei tikslai yra ne vien aplinkos apsaugos, paaiškinkite, ar juos pasiekus gali būti iškraipoma konkurencija vidaus rinkoje.</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 xml:space="preserve">Įsigaliojimas</w:t>
      </w:r>
      <w:r>
        <w:t xml:space="preserve"> </w:t>
      </w:r>
      <w:r>
        <w:rPr>
          <w:b/>
        </w:rPr>
        <w:t xml:space="preserve">ir galiojimo trukmė</w:t>
      </w:r>
      <w:r>
        <w:t xml:space="preserve">:</w:t>
      </w:r>
    </w:p>
    <w:p w14:paraId="0635286B" w14:textId="137F0160" w:rsidR="00CA0EC2" w:rsidRPr="00AC286A" w:rsidRDefault="00CA0EC2" w:rsidP="0000132C">
      <w:pPr>
        <w:pStyle w:val="ListParagraph"/>
        <w:numPr>
          <w:ilvl w:val="0"/>
          <w:numId w:val="31"/>
        </w:numPr>
        <w:spacing w:after="120"/>
        <w:jc w:val="both"/>
        <w:rPr>
          <w:szCs w:val="24"/>
        </w:rPr>
      </w:pPr>
      <w:r>
        <w:t xml:space="preserve">Jei dar nenurodėte formos „Bendroji informacija“ 5.5 skirsnyje (I dalis), nurodykite numatomą pagalbos schemos įsigaliojimo datą.</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 xml:space="preserve">Nurodykite schemos taikymo trukmę</w:t>
      </w:r>
      <w:r>
        <w:rPr>
          <w:szCs w:val="24"/>
          <w:vertAlign w:val="superscript"/>
        </w:rPr>
        <w:footnoteReference w:id="3"/>
      </w:r>
      <w:r>
        <w:t xml:space="preserve">.</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15587BED" w14:textId="19EBDAD1" w:rsidR="00BC5DDD" w:rsidRPr="00AC286A" w:rsidRDefault="002F1ECC" w:rsidP="0000132C">
      <w:pPr>
        <w:pStyle w:val="ListParagraph"/>
        <w:numPr>
          <w:ilvl w:val="0"/>
          <w:numId w:val="32"/>
        </w:numPr>
        <w:spacing w:after="120"/>
        <w:jc w:val="both"/>
        <w:rPr>
          <w:szCs w:val="24"/>
        </w:rPr>
      </w:pPr>
      <w:r>
        <w:t xml:space="preserve">Jei dar nenurodėte „Bendrosios informacijos formos“ 3 skirsnyje (I dalis), apibūdinkite (galimą) priemonės (-ių) pagalbos gavėją (-us).</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 xml:space="preserve">Nurodykite (galimo) pagalbos gavėjo (-ų) vietą (t. y. ar teisę dalyvauti priemonėje turi tik atitinkamoje valstybėje narėje esantys ūkio subjektai, ar ir kitose valstybėse narėse esantys ūkio subjektai).</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Jei taip, pateikite informaciją apie pagalbos sumą, kuri dar nesusigrąžinta, kad Komisija į ją atsižvelgtų vertindama pagalbos priemonę (-es).</w:t>
      </w:r>
      <w:r>
        <w:t xml:space="preserv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bCs/>
          <w:rFonts w:cs="Arial Unicode MS"/>
        </w:rPr>
      </w:pPr>
      <w:r>
        <w:rPr>
          <w:b/>
        </w:rPr>
        <w:t xml:space="preserve">Priemonės (-ių) biudžetas ir finansavimas</w:t>
      </w:r>
    </w:p>
    <w:p w14:paraId="44F1A49C" w14:textId="7E324D11" w:rsidR="00115C85" w:rsidRPr="00AC286A" w:rsidRDefault="00AE07BB" w:rsidP="0000132C">
      <w:pPr>
        <w:pStyle w:val="ListParagraph"/>
        <w:numPr>
          <w:ilvl w:val="0"/>
          <w:numId w:val="33"/>
        </w:numPr>
        <w:spacing w:after="12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 xml:space="preserve">.</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bCs/>
          <w:rFonts w:cs="Arial Unicode MS"/>
        </w:rPr>
      </w:pPr>
      <w:bookmarkStart w:id="2" w:name="_Ref155782335"/>
      <w:r>
        <w:t xml:space="preserve">Jei priemonė finansuojama iš mokesčio, paaiškinkite, ar:</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7559C1DC" w14:textId="2DF352B8" w:rsidR="007210BF" w:rsidRPr="00AC286A" w:rsidRDefault="007210BF" w:rsidP="00B16D28">
      <w:pPr>
        <w:tabs>
          <w:tab w:val="left" w:leader="dot" w:pos="9072"/>
        </w:tabs>
        <w:spacing w:before="120" w:after="120"/>
        <w:ind w:left="1429"/>
        <w:jc w:val="both"/>
        <w:rPr>
          <w:bCs/>
          <w:rFonts w:cs="Arial Unicode M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 xml:space="preserve">mokestis vienodai taikomas ir vidaus, ir importuojamiems produktams;</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 xml:space="preserve">priemonė, apie kurią pranešama, bus vienodai naudinga ir vidaus, ir importuojamų produktų gamintojams;</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 xml:space="preserve">priemonė, apie kurią pranešama, finansuojama iš mokesčio, iš kurio finansuojamos ir kitos pagalbos priemonės.</w:t>
      </w:r>
      <w:r>
        <w:t xml:space="preserve"> </w:t>
      </w:r>
      <w:r>
        <w:t xml:space="preserve">Jei taip, nurodykite tas kitas iš atitinkamo mokesčio finansuojamas pagalbos priemones.</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 xml:space="preserve">Indėlis į ekonominės veiklos plėtrą</w:t>
            </w:r>
          </w:p>
        </w:tc>
      </w:tr>
    </w:tbl>
    <w:p w14:paraId="2959A7B8" w14:textId="196EFBC3" w:rsidR="00C62AF1" w:rsidRPr="001631E6" w:rsidRDefault="00C62AF1" w:rsidP="001631E6">
      <w:pPr>
        <w:spacing w:before="360" w:after="120"/>
        <w:jc w:val="both"/>
        <w:rPr>
          <w:i/>
        </w:rPr>
      </w:pPr>
      <w:r>
        <w:rPr>
          <w:i/>
        </w:rPr>
        <w:t xml:space="preserve">Kad pateiktumėte šiame skirsnyje prašomą informaciją, žr. PKAAE gairių 3.1.1 skirsnį (23–25 punktus), 4.3.1.1 skirsnį (160 ir 161 punktus) ir 4.3.1.2 skirsnį (162 ir 163 punktus)</w:t>
      </w:r>
      <w:r>
        <w:rPr>
          <w:i/>
          <w:color w:val="000000"/>
        </w:rPr>
        <w:t xml:space="preserve">.</w:t>
      </w:r>
      <w:r>
        <w:rPr>
          <w:i/>
        </w:rPr>
        <w:t xml:space="preserv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Sutarties dėl Europos Sąjungos veikimo (SESV) 107 straipsnio 3 dalies c punkte nustatyta, kad Komisija gali pripažinti, kad suderinama yra „</w:t>
      </w:r>
      <w:r>
        <w:rPr>
          <w:i/>
        </w:rPr>
        <w:t xml:space="preserve">pagalba, skirta tam tikros ekonominės veiklos rūšių arba tam tikrų ekonomikos sričių plėtrai skatinti, jei ji netrikdo prekybos sąlygų taip, kad prieštarautų bendram interesui</w:t>
      </w:r>
      <w:r>
        <w:t xml:space="preserve">“.</w:t>
      </w:r>
      <w:r>
        <w:t xml:space="preserve"> </w:t>
      </w:r>
      <w:r>
        <w:t xml:space="preserve">Todėl pagal šią SESV nuostatą suderinama pagalba turi prisidėti prie tam tikros ekonominės veiklos plėtros.</w:t>
      </w:r>
      <w:r>
        <w:t xml:space="preserve"> </w:t>
      </w:r>
    </w:p>
    <w:p w14:paraId="6F83F969" w14:textId="283F3881" w:rsidR="00C62AF1" w:rsidRPr="00AC286A" w:rsidRDefault="00805350" w:rsidP="00C62AF1">
      <w:pPr>
        <w:pStyle w:val="ListParagraph"/>
        <w:spacing w:before="120" w:after="120"/>
        <w:ind w:left="567"/>
        <w:contextualSpacing w:val="0"/>
        <w:jc w:val="both"/>
      </w:pPr>
      <w:r>
        <w:t xml:space="preserve">Kad būtų galima įvertinti, ar laikomasi PKAAE gairių 23 punkto, nurodykite, kokią ekonominę veiklą skatins pagalba ir kaip remiama šios veiklos plėtra.</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Kad būtų galima įvertinti, ar laikomasi PKAAE gairių 25 punkto, „</w:t>
      </w:r>
      <w:r>
        <w:rPr>
          <w:i/>
        </w:rP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Be to, nurodykite, kokiu mastu ši pagalba susijusi su PKAAE gairių 160 ir 161 punktuose aprašyta politika.</w:t>
      </w:r>
      <w:r>
        <w:t xml:space="preserve">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Apibūdinkite pagalbos gavėjui (-ams) taikomus tinkamumo finansuoti reikalavimus (pvz., nurodykite, kokių techninių, aplinkos apsaugos (t. y. susijusių su leidimais), finansinių (t. y. užstato) ar kitų reikalavimų turi laikytis pagalbos gavėjas (-ai).</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Pateikite tikslią informaciją apie pagalbos priemonės (-ių) taikymo sritį ir pagal ją (jas) remiamos veiklos rūšis, kaip nurodyta PKAAE gairių 4.3.1.2 skirsnio 162 bei 163 punktuose.</w:t>
      </w:r>
      <w:r>
        <w:t xml:space="preserve">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 xml:space="preserve">Skatinamasis poveikis</w:t>
            </w:r>
          </w:p>
        </w:tc>
      </w:tr>
    </w:tbl>
    <w:p w14:paraId="194E3512" w14:textId="63AD156A" w:rsidR="00C62AF1" w:rsidRPr="00AC286A" w:rsidRDefault="00C62AF1" w:rsidP="00C62AF1">
      <w:pPr>
        <w:spacing w:before="360" w:after="120"/>
        <w:jc w:val="both"/>
        <w:rPr>
          <w:i/>
        </w:rPr>
      </w:pPr>
      <w:r>
        <w:rPr>
          <w:i/>
        </w:rPr>
        <w:t xml:space="preserve">Kad pateiktumėte šiame skirsnyje prašomą informaciją, žr. PKAAE gairių 3.1.2 skirsnį (26–32 punktus) ir 4.3.1.3 skirsnį (164–169 punktus).</w:t>
      </w:r>
      <w:r>
        <w:rPr>
          <w:i/>
        </w:rPr>
        <w:t xml:space="preserv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 xml:space="preserve">Vadovaudamiesi PKAAE gairių 28 punktu pateikite toliau nurodytą informaciją.</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 xml:space="preserve">Išsamiai aprašykite numatomą pasiekti faktinį scenarijų, jei pagalbos priemonė būtų įgyvendinta, ir tikėtiną priešingos padėties scenarijų (-us), jei pagalbos priemonė nebūtų įgyvendinta</w:t>
      </w:r>
      <w:r>
        <w:rPr>
          <w:rStyle w:val="FootnoteReference"/>
        </w:rPr>
        <w:footnoteReference w:id="5"/>
      </w:r>
      <w:r>
        <w:t xml:space="preserve">.</w:t>
      </w:r>
      <w:r>
        <w:t xml:space="preserve"> </w:t>
      </w:r>
      <w:r>
        <w:t xml:space="preserve">Jei numatote, kad parama gali būti teikiama skirtingų kategorijų pagalbos gavėjams, užtikrinkite, kad priešingos padėties scenarijuje būtų patikimai atspindėta kiekviena iš šių kategorijų.</w:t>
      </w:r>
      <w:bookmarkEnd w:id="4"/>
      <w:r>
        <w:t xml:space="preserve"> </w:t>
      </w:r>
      <w:r>
        <w:t xml:space="preserve">Atkreipkite dėmesį į PKAAE gairių 165 punkte nustatytą reikalavimą, kad pagal priešingos padėties scenarijų investicijos dydis, naudojimo laikotarpis ir, jei tinkama, kitos svarbios techninės charakteristikos turi būti tokie patys kaip aplinkai nekenksmingos investicijos.</w:t>
      </w:r>
      <w:r>
        <w:t xml:space="preserve"> </w:t>
      </w:r>
      <w:r>
        <w:t xml:space="preserve">Atkreipkite dėmesį, kad pagal PKAAE gairių 165–169 punktus priešingos padėties scenarijui nustatyti papildomi alternatyvūs reikalavimai:</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 xml:space="preserve">jei pagal priešingos padėties scenarijų numatomas mažiau aplinką tausojančių transporto priemonių arba mobiliosios paslaugų teikimo įrangos, kurios yra tos pačios kategorijos ir tokio pat pajėgumo kaip ir nulinės taršos ar netaršios transporto priemonės, įsigijimas arba išperkamoji nuoma, įrodykite, kad mažiau aplinką tausojanti transporto priemonė arba įranga atitinka bent Sąjungos standartus, jei jie taikomi;</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jei pagal priešingos padėties scenarijų esamą transporto priemonę arba mobiliąją paslaugų teikimo įrangą numatoma eksploatuoti laikotarpiu, atitinkančiu visą aplinkai nekenksmingos investicijos naudojimo laikotarpį, atkreipkite dėmesį, kad turėtų būti atsižvelgiama į diskontuotas to laikotarpio techninės priežiūros, remonto ir modernizavimo išlaidas;</w:t>
      </w:r>
      <w:r>
        <w:t xml:space="preserve">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jei pagal priešingos padėties scenarijų numatomas vėlesnis transporto priemonės arba mobiliosios paslaugų teikimo įrangos pakeitimas, nurodykite diskontuotą transporto priemonės arba mobiliosios paslaugų teikimo įrangos vertę, kad būtų atsižvelgiama į tos įrangos atitinkamo ekonominio naudingumo laikotarpio skirtumą;</w:t>
      </w:r>
      <w:r>
        <w:t xml:space="preserv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transporto priemonių arba mobiliosios paslaugų teikimo įrangos, dėl kurių sudaryti išperkamosios nuomos susitarimai, atveju, palyginkite netaršių transporto priemonių arba netaršios mobiliosios paslaugų teikimo įrangos išperkamosios nuomos diskontuotą vertę su mažiau aplinką tausojančios įrangos, kuri būtų naudojama nesuteikus pagalbos, išperkamosios nuomos diskontuota verte;</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 xml:space="preserve">jei investicija susijusi su įranga, kuri įdiegiama į esamą transporto priemonę arba mobiliąją paslaugų teikimo įrangą, kad būtų padidintas priemonės arba įrangos aplinkosauginis veiksmingumas (pvz., modernizuojamos taršos kontrolės sistemos), paaiškinkite, ar pagal priešingos padėties scenarijų numatoma, kad transporto priemonė, kurios modernizavimo investicijos nebus atliktos, bus toliau naudojama.</w:t>
      </w:r>
      <w:r>
        <w:t xml:space="preserve"> </w:t>
      </w:r>
      <w:r>
        <w:t xml:space="preserve">Tokiu atveju tinkamas finansuoti išlaidas gali sudaryti visos investicinės išlaidos.</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Atsižvelgdami į siūlomas skirtingas pagalbos gavėjų kategorijas, jei taikytina, trumpai pagrįskite, kodėl pasirinkote šį tikėtiną priešingos padėties scenarijų (-us).</w:t>
      </w:r>
      <w:r>
        <w:t xml:space="preserve"> </w:t>
      </w:r>
    </w:p>
    <w:p w14:paraId="04B6371D" w14:textId="1C872F1E" w:rsidR="00407DEA" w:rsidRPr="00AC286A" w:rsidRDefault="009926B4" w:rsidP="00DB6946">
      <w:pPr>
        <w:tabs>
          <w:tab w:val="left" w:leader="dot" w:pos="9072"/>
        </w:tabs>
        <w:spacing w:before="120" w:after="120"/>
        <w:ind w:left="1287"/>
        <w:jc w:val="both"/>
      </w:pPr>
      <w:r>
        <w:t xml:space="preserve">.</w:t>
      </w:r>
      <w:bookmarkEnd w:id="5"/>
      <w:r>
        <w:t xml:space="preserve">…………………………………………………………………………………</w:t>
      </w:r>
    </w:p>
    <w:p w14:paraId="433D9E5F" w14:textId="0325E626" w:rsidR="003115D9" w:rsidRDefault="007D18EE" w:rsidP="0000132C">
      <w:pPr>
        <w:pStyle w:val="ListParagraph"/>
        <w:numPr>
          <w:ilvl w:val="0"/>
          <w:numId w:val="29"/>
        </w:numPr>
        <w:jc w:val="both"/>
        <w:rPr>
          <w:szCs w:val="24"/>
          <w:rFonts w:eastAsia="Times New Roman"/>
        </w:rPr>
      </w:pPr>
      <w:bookmarkStart w:id="6" w:name="_Ref165985385"/>
      <w:r>
        <w:t xml:space="preserve">Kiekybiškai įvertinkite faktinio ir priešingos padėties scenarijų išlaidas ir pajamas taip:</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jei pagalba teikiama </w:t>
      </w:r>
      <w:r>
        <w:rPr>
          <w:u w:val="single"/>
        </w:rPr>
        <w:t xml:space="preserve">ne konkurencinio konkurso būdu</w:t>
      </w:r>
      <w:r>
        <w:t xml:space="preserve">, remdamiesi atitinkamu etaloniniu projektu</w:t>
      </w:r>
      <w:r>
        <w:rPr>
          <w:vertAlign w:val="superscript"/>
        </w:rPr>
        <w:footnoteReference w:id="6"/>
      </w:r>
      <w:r>
        <w:t xml:space="preserve">, atitinkamais priešingos padėties scenarijais ir dėl jų atsiradusiu trūkstamas finansavimas, pagrįskite kiekvienos kategorijos pagalbos gavėjų, jei aktualu, elgesio pokyčius;</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jei pagalba teikiama </w:t>
      </w:r>
      <w:r>
        <w:rPr>
          <w:u w:val="single"/>
        </w:rPr>
        <w:t xml:space="preserve">konkurencinio konkurso būdu</w:t>
      </w:r>
      <w:r>
        <w:t xml:space="preserve">, remdamiesi tais pačiais įrodymais, kurių reikalaujama pagal C dalies i punktą, pagrįskite elgesio pokyčius (kai aktualu, kiekvienos kategorijos pagalbos gavėjų ir (arba) etaloninio projekto atveju) arba pateikite atitinkamus kiekybinius įrodymus, pagrįstus rinkos tyrimais, investuotojų planais, finansinėmis ataskaitomis ar kitais kiekybiniais įrodymais (be kita ko, per neseniai vykusius panašaus pobūdžio konkurencinius konkursus</w:t>
      </w:r>
      <w:r>
        <w:rPr>
          <w:vertAlign w:val="superscript"/>
        </w:rPr>
        <w:footnoteReference w:id="7"/>
      </w:r>
      <w:r>
        <w:t xml:space="preserve"> pateiktais konkursiniais pasiūlymais dėl panašių projektų).</w:t>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Kad būtų galima įvertinti, ar laikomasi PKAAE gairių 27 punkto, pateikite informaciją ir patvirtinkite, kad pagalba neremiamos veiklos, kurią pagalbos gavėjas ir taip būtų vykdęs, išlaidos ir nekompensuojama įprasta ekonominės veiklos verslo rizika.</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 xml:space="preserve">Kad įrodytumėte, jog laikotės PKAAE gairių 29 ir 31 punktų:</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patvirtinkite, kad su projektu susijusių darbų ar veiklos pagalbos gavėjas nepradėjo anksčiau, nei nacionalinėms valdžios institucijoms pateikė rašytinę paraišką gauti pagalbą,</w:t>
      </w:r>
      <w:r>
        <w:t xml:space="preserve"> </w:t>
      </w:r>
    </w:p>
    <w:p w14:paraId="32242483" w14:textId="4448D932" w:rsidR="00C62AF1" w:rsidRPr="00F27797" w:rsidRDefault="00BA4BD6" w:rsidP="00C62AF1">
      <w:pPr>
        <w:pStyle w:val="ListParagraph"/>
        <w:spacing w:before="120" w:after="120"/>
        <w:ind w:left="993"/>
        <w:contextualSpacing w:val="0"/>
        <w:jc w:val="both"/>
      </w:pPr>
      <w:r>
        <w:rPr>
          <w:i/>
        </w:rPr>
        <w:t xml:space="preserve">ARBA</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projekto, pradėto įgyvendinti prieš pateikiant paraišką gauti pagalbą, atveju įrodykite, kad taikoma viena iš PKAAE gairių 31 punkto a, b arba c papunkčiuose nurodytų išimčių.</w:t>
      </w:r>
      <w:r>
        <w:t xml:space="preserve">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Kad įrodytumėte, jog laikotės PKAAE gairių 30 punkto, patvirtinkite, kad paraiškoje gauti pagalbą yra nurodytas bent jau pareiškėjo pavadinimas, projekto ar veiklos aprašymas, įskaitant jų vietą, ir pagalbos suma, reikalinga jiems įgyvendinti.</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 xml:space="preserve">Kad įrodytumėte, kad laikotės PKAAE gairių 32 punkto, nurodykite, ar priemonei (-ėms), apie kurią (-ias) pranešama, taikomi Sąjungos standartai</w:t>
      </w:r>
      <w:r>
        <w:rPr>
          <w:rStyle w:val="FootnoteReference"/>
          <w:lang w:val="en-IE" w:eastAsia="en-GB"/>
        </w:rPr>
        <w:footnoteReference w:id="8"/>
      </w:r>
      <w:r>
        <w:t xml:space="preserve">, privalomi nacionaliniai standartai, kurie yra griežtesni ar platesnio užmojo nei atitinkami Sąjungos standartai, arba, jei Sąjungos standartų nėra, ar priimti privalomi nacionaliniai standartai.</w:t>
      </w:r>
      <w:r>
        <w:t xml:space="preserve"> </w:t>
      </w:r>
      <w:r>
        <w:t xml:space="preserve">Atsižvelgdami į tai, pateikite skatinamąjį poveikį įrodančią informaciją.</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Tais atvejais, kai atitinkamas Sąjungos standartas jau priimtas, bet dar neįsigaliojo, įrodykite, kad pagalba turi skatinamąjį poveikį, nes ja skatinama investicijas iki galo įgyvendinti likus ne mažiau kaip 18 mėnesių iki standarto įsigaliojimo.</w:t>
      </w:r>
      <w:r>
        <w:t xml:space="preserve">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 xml:space="preserve">Nepažeidžiama jokia atitinkama Sąjungos teisės nuostata</w:t>
            </w:r>
          </w:p>
        </w:tc>
      </w:tr>
    </w:tbl>
    <w:p w14:paraId="5CC837C1" w14:textId="2249AE98" w:rsidR="00C62AF1" w:rsidRPr="00AC286A" w:rsidRDefault="00C62AF1" w:rsidP="00C62AF1">
      <w:pPr>
        <w:spacing w:before="360" w:after="120"/>
        <w:jc w:val="both"/>
        <w:rPr>
          <w:i/>
        </w:rPr>
      </w:pPr>
      <w:r>
        <w:rPr>
          <w:i/>
        </w:rPr>
        <w:t xml:space="preserve">Kad pateiktumėte šiame skirsnyje prašomą informaciją, žr. PKAAE gairių 3.1.3 skirsnį (33 punktą).</w:t>
      </w:r>
      <w:r>
        <w:rPr>
          <w:i/>
        </w:rPr>
        <w:t xml:space="preserve"> </w:t>
      </w:r>
    </w:p>
    <w:p w14:paraId="63B710C7" w14:textId="77777777" w:rsidR="00C62AF1" w:rsidRPr="00AC286A" w:rsidRDefault="00C62AF1" w:rsidP="0000132C">
      <w:pPr>
        <w:numPr>
          <w:ilvl w:val="0"/>
          <w:numId w:val="4"/>
        </w:numPr>
        <w:spacing w:before="120" w:after="120"/>
        <w:ind w:left="567" w:hanging="567"/>
        <w:jc w:val="both"/>
      </w:pPr>
      <w:r>
        <w:t xml:space="preserve">Pateikite informaciją ir patvirtinkite, kad laikomasi atitinkamų ES teisės nuostatų, kaip nurodyta PKAAE gairių 33 punkte.</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rPr>
          <w:i/>
        </w:rPr>
        <w:t xml:space="preserve"> </w:t>
      </w:r>
      <w:r>
        <w:t xml:space="preserve">Jei priemonė (-ės), apie kurią (-ias) pranešama, yra finansuojama iš mokesčio, pateikdami įrodymus galite remtis 5 punkto </w:t>
      </w:r>
      <w:r>
        <w:fldChar w:fldCharType="begin" w:dirty="true"/>
      </w:r>
      <w:r>
        <w:instrText xml:space="preserve"> REF _Ref155782335 \r \h </w:instrText>
      </w:r>
      <w:r>
        <w:instrText xml:space="preserve"> \* MERGEFORMAT </w:instrText>
      </w:r>
      <w:r/>
      <w:r>
        <w:fldChar w:fldCharType="separate"/>
      </w:r>
      <w:r>
        <w:t xml:space="preserve">ii</w:t>
      </w:r>
      <w:r>
        <w:fldChar w:fldCharType="end"/>
      </w:r>
      <w:r>
        <w:t xml:space="preserve"> papunktyje pateikta informacija.</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Konkurencijos ir prekybos iškraipymo mažinimas</w:t>
            </w:r>
            <w:r>
              <w:rPr>
                <w:color w:val="000000"/>
                <w:sz w:val="28"/>
              </w:rPr>
              <w:t xml:space="preserv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 xml:space="preserve">Pagalbos būtinumas</w:t>
            </w:r>
          </w:p>
        </w:tc>
      </w:tr>
    </w:tbl>
    <w:p w14:paraId="61C0E123" w14:textId="66E25735" w:rsidR="00C62AF1" w:rsidRPr="00AC286A" w:rsidRDefault="00C62AF1" w:rsidP="00C62AF1">
      <w:pPr>
        <w:spacing w:before="360" w:after="120"/>
        <w:jc w:val="both"/>
        <w:rPr>
          <w:i/>
          <w:color w:val="000000"/>
        </w:rPr>
      </w:pPr>
      <w:r>
        <w:rPr>
          <w:i/>
          <w:color w:val="000000"/>
        </w:rPr>
        <w:t xml:space="preserve">Kad</w:t>
      </w:r>
      <w:r>
        <w:rPr>
          <w:i/>
          <w:color w:val="000000"/>
        </w:rPr>
        <w:t xml:space="preserve"> pateiktumėte šiame skirsnyje prašomą informaciją, žr. PKAAE gairių 3.2.1.1 skirsnį (34–38 punktus).</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 xml:space="preserve">Paaiškinkite, kokį rinkos nepakankamumą, trukdantį užtikrinti pakankamą aplinkos apsaugos lygį, nustatė jūsų valdžios institucijos.</w:t>
      </w:r>
      <w:r>
        <w:t xml:space="preserve"> </w:t>
      </w:r>
      <w:r>
        <w:t xml:space="preserve">Nurodykite nustatyto rinkos nepakankamumo kategoriją pagal PKAAE gairių 34 punkto a, b, c ar d papunkčius.</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 xml:space="preserve">Vadovaudamiesi PKAAE gairių 35 punktu pateikite informaciją, ar jūsų valdžios institucijos nustatė, kad jau yra taikoma politika ir priemonės, kuriomis siekiama pašalinti nustatytą reguliavimo ar rinkos nepakankamumą.</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w:t>
      </w:r>
      <w:r>
        <w:t xml:space="preserve">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 xml:space="preserve">Kad įrodytumėte</w:t>
      </w:r>
      <w:r>
        <w:rPr>
          <w:color w:val="000000"/>
          <w:shd w:val="clear" w:color="auto" w:fill="FFFFFF"/>
        </w:rPr>
        <w:t xml:space="preserve">, kad laikotės PKAAE gairių 37 punkto, paaiškinkite ar, jūsų valdžios</w:t>
      </w:r>
      <w:r>
        <w:rPr>
          <w:color w:val="000000"/>
          <w:shd w:val="clear" w:color="auto" w:fill="FFFFFF"/>
        </w:rPr>
        <w:t xml:space="preserve"> institucijų žiniomis, Sąjungoje rinkos sąlygomis jau įgyvendinami</w:t>
      </w:r>
      <w:r>
        <w:rPr>
          <w:color w:val="000000"/>
          <w:shd w:val="clear" w:color="auto" w:fill="FFFFFF"/>
        </w:rPr>
        <w:t xml:space="preserve"> projektai arba vykdoma veikla, kurie pagal savo technologinį turinį, rizikos lygį ir mastą yra panašūs į tuos, kuriems taikoma priemonė (-ės), apie kurią (-ias) pranešama.</w:t>
      </w:r>
      <w:r>
        <w:t xml:space="preserve"> </w:t>
      </w:r>
      <w:r>
        <w:t xml:space="preserve">Jei taip, pateikite papildomų įrodymų, kad valstybės pagalba yra būtina.</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Kad įrodytumėte, kad laikotės PKAAE gairių 38 punkto, remkitės kiekybiniais įrodymais, kuriuos jau pateikėte atsakydami į </w:t>
      </w:r>
      <w:r>
        <w:fldChar w:fldCharType="begin" w:dirty="true"/>
      </w:r>
      <w:r>
        <w:instrText xml:space="preserve"> REF _Ref161224203 \r \h </w:instrText>
      </w:r>
      <w:r>
        <w:fldChar w:fldCharType="separate"/>
      </w:r>
      <w:r>
        <w:t xml:space="preserve">12</w:t>
      </w:r>
      <w:r>
        <w:fldChar w:fldCharType="end"/>
      </w:r>
      <w:r>
        <w:t xml:space="preserve"> </w:t>
      </w:r>
      <w:r>
        <w:fldChar w:fldCharType="begin" w:dirty="true"/>
      </w:r>
      <w:r>
        <w:instrText xml:space="preserve"> REF _Ref165985385 \r \h </w:instrText>
      </w:r>
      <w:r>
        <w:fldChar w:fldCharType="separate"/>
      </w:r>
      <w:r>
        <w:t xml:space="preserve">C)</w:t>
      </w:r>
      <w:r>
        <w:fldChar w:fldCharType="end"/>
      </w:r>
      <w:r>
        <w:t xml:space="preserve"> klausimą.</w:t>
      </w:r>
      <w:r>
        <w:t xml:space="preserv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 xml:space="preserve">Tinkamumas</w:t>
            </w:r>
          </w:p>
        </w:tc>
      </w:tr>
    </w:tbl>
    <w:bookmarkEnd w:id="8"/>
    <w:p w14:paraId="564078A7" w14:textId="5B9E20CC" w:rsidR="00C62AF1" w:rsidRDefault="00C62AF1" w:rsidP="05E51075">
      <w:pPr>
        <w:spacing w:before="360" w:after="120"/>
        <w:jc w:val="both"/>
        <w:rPr>
          <w:i/>
          <w:iCs/>
          <w:color w:val="000000"/>
        </w:rPr>
      </w:pPr>
      <w:r>
        <w:rPr>
          <w:i/>
          <w:color w:val="000000" w:themeColor="text1"/>
        </w:rPr>
        <w:t xml:space="preserve">Kad pateiktumėte šiame skirsnyje prašomą informaciją</w:t>
      </w:r>
      <w:r>
        <w:rPr>
          <w:i/>
          <w:color w:val="000000" w:themeColor="text1"/>
        </w:rPr>
        <w:t xml:space="preserve">, žr. PKAAE gairių 3.2.1.2 skirsnį (39–46 punktus) ir 4.3.1.4.1 skirsnį (171 punktą).</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Kad būtų galima patikrinti, ar laikomasi PKAAE gairių 41 punkto, įrodykite, kad pagalbos priemonė parengta taip, kad nesumažintų kitų tam pačiam rinkos nepakankamumui pašalinti skirtų priemonių (pvz., tokių rinka grindžiamų mechanizmų kaip ES ATLPS) efektyvumo.</w:t>
      </w:r>
      <w:r>
        <w:t xml:space="preserv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rPr>
          <w:shd w:val="clear" w:color="auto" w:fill="FFFFFF"/>
          <w:color w:val="000000"/>
        </w:rPr>
        <w:t xml:space="preserve">Kad būtų galima patikrinti, ar laikomasi PKAAE gairių 42 punkto, patvirtinkite, kad nė vienas pagal priemonę (-es) teikiamos pagalbos gavėjas negali būti laikomas atsakingu už taršą pagal galiojančius Sąjungos ar nacionalinės teisės aktus (</w:t>
      </w:r>
      <w:r>
        <w:rPr>
          <w:shd w:val="clear" w:color="auto" w:fill="FFFFFF"/>
          <w:color w:val="000000"/>
          <w:i/>
        </w:rPr>
        <w:t xml:space="preserve">principas „teršėjas moka“</w:t>
      </w:r>
      <w:r>
        <w:rPr>
          <w:shd w:val="clear" w:color="auto" w:fill="FFFFFF"/>
          <w:color w:val="000000"/>
        </w:rPr>
        <w:t xml:space="preserve">).</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Kad būtų galima patikrinti, ar laikomasi PKAAE gairių 43–46 punktų, ir siekdami įrodyti pagal įvairias pagalbos priemones teikiamos pagalbos tinkamumą, pateikite šią informaciją:</w:t>
      </w:r>
      <w:r>
        <w:t xml:space="preserve"> </w:t>
      </w:r>
    </w:p>
    <w:p w14:paraId="50891D0D" w14:textId="0B4D0D67" w:rsidR="00C62AF1" w:rsidRPr="00AC286A" w:rsidRDefault="00C62AF1" w:rsidP="0000132C">
      <w:pPr>
        <w:pStyle w:val="ListParagraph"/>
        <w:numPr>
          <w:ilvl w:val="0"/>
          <w:numId w:val="34"/>
        </w:numPr>
        <w:spacing w:after="120"/>
        <w:jc w:val="both"/>
      </w:pPr>
      <w:r>
        <w:t xml:space="preserve">paaiškinkite, kodėl kitų formų potencialiai mažesnį iškraipomąjį poveikį turinti pagalba yra mažiau tinkama, kaip reikalaujama PKAAE gairių 44 punkte.</w:t>
      </w:r>
      <w:r>
        <w:t xml:space="preserve"> </w:t>
      </w:r>
      <w:r>
        <w:t xml:space="preserve">Mažesnį iškraipomąjį poveikį turinčios pagalbos formos gali būti grąžintini avansai, palyginti su tiesioginėmis dotacijomis,</w:t>
      </w:r>
      <w:r>
        <w:t xml:space="preserve"> </w:t>
      </w:r>
      <w:r>
        <w:t xml:space="preserve">mokesčių kreditai, palyginti su mokesčių sumažinimu,</w:t>
      </w:r>
      <w:r>
        <w:t xml:space="preserve"> </w:t>
      </w:r>
      <w:r>
        <w:t xml:space="preserve">arba tokių formų pagalba, kuri yra grindžiama tokiomis finansinėmis priemonėmis, kaip skolos ar nuosavybės priemonės, pavyzdžiui, mažų palūkanų paskolos arba palūkanų subsidijos, valstybės garantijos arba kitoks kapitalo teikimas palankiomis sąlygomis;</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 xml:space="preserve">įrodykite, kad pagalbos priemonės pasirinkimas atitinka rinkos nepakankamumą, kurį ta pagalbos priemone (-ėmis) siekiama pašalinti, kaip reikalaujama PKAAE gairių 45 punkte;</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rPr>
          <w:color w:val="000000"/>
          <w:shd w:val="clear" w:color="auto" w:fill="FFFFFF"/>
        </w:rPr>
        <w:t xml:space="preserve">paaiškinkite, kaip</w:t>
      </w:r>
      <w:r>
        <w:t xml:space="preserve"> pagalbos </w:t>
      </w:r>
      <w:r>
        <w:rPr>
          <w:color w:val="000000"/>
          <w:shd w:val="clear" w:color="auto" w:fill="FFFFFF"/>
        </w:rPr>
        <w:t xml:space="preserve">priemonė ir jos struktūra yra tinkamos siekti to priemonės tikslo, kurio ta pagalba siekiama (PKAAE gairių 46 punktas).</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 xml:space="preserve">Kad būtų galima patikrinti, ar laikomasi PKAAE gairių 40 ir 171 punktų, paaiškinkite, kodėl netaršaus judumo rinkos plėtros nebūtų galima skatinti kitų rūšių intervencijomis, kurios nėra valstybės pagalba, ir aprašykite jų tikėtiną poveikį, palyginti su siūlomos priemonės poveikiu.</w:t>
      </w:r>
      <w:r>
        <w:t xml:space="preserve"> </w:t>
      </w:r>
      <w:r>
        <w:t xml:space="preserve">Tokios kitų rūšių intervencijos gali apimti bendrųjų priemonių, kuriomis siekiama skatinti netaršių transporto priemonių įsigijimą, pavyzdžiui, ekologinio premijavimo schemų ar atidavimo į metalo laužą schemų, nustatymą arba mažataršių zonų atitinkamoje valstybėje narėje sukūrimą.</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 xml:space="preserve">Proporcingumas</w:t>
            </w:r>
          </w:p>
        </w:tc>
      </w:tr>
    </w:tbl>
    <w:p w14:paraId="4583CF53" w14:textId="484D45EB" w:rsidR="002E4A39" w:rsidRPr="00AC286A" w:rsidRDefault="002E4A39" w:rsidP="001F1E32">
      <w:pPr>
        <w:spacing w:before="360" w:after="120"/>
        <w:jc w:val="both"/>
        <w:rPr>
          <w:i/>
        </w:rPr>
      </w:pPr>
      <w:r>
        <w:rPr>
          <w:i/>
        </w:rPr>
        <w:t xml:space="preserve">Kad pateiktumėte šiame skirsnyje prašomą informaciją, žr. PKAAE gairių 3.2.1.3 skirsnį (47–55 punktus) ir 4.3.1.4.2 skirsnį (172–181 punktus).</w:t>
      </w:r>
      <w:r>
        <w:rPr>
          <w:i/>
        </w:rPr>
        <w:t xml:space="preserve"> </w:t>
      </w:r>
      <w:r>
        <w:rPr>
          <w:i/>
        </w:rPr>
        <w:t xml:space="preserve">Atkreipkite dėmesį, kad reikia užpildyti </w:t>
      </w:r>
      <w:r>
        <w:rPr>
          <w:i/>
          <w:u w:val="single"/>
        </w:rPr>
        <w:t xml:space="preserve">tik 2.1.3.1 arba 2.1.3.2 skirsnį</w:t>
      </w:r>
      <w:r>
        <w:rPr>
          <w:i/>
        </w:rPr>
        <w:t xml:space="preserve">.</w:t>
      </w:r>
      <w:r>
        <w:rPr>
          <w:i/>
        </w:rPr>
        <w:t xml:space="preserve"> </w:t>
      </w:r>
      <w:r>
        <w:rPr>
          <w:i/>
        </w:rPr>
        <w:t xml:space="preserve">Atsižvelkite į siūlomos priemonės pobūdį ir atsakymus pateikite tik atitinkame skirsnyje.</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 xml:space="preserve">2.1.3.1.</w:t>
            </w:r>
            <w:r>
              <w:rPr>
                <w:sz w:val="24"/>
              </w:rPr>
              <w:t xml:space="preserve"> </w:t>
            </w:r>
            <w:r>
              <w:rPr>
                <w:sz w:val="24"/>
              </w:rPr>
              <w:t xml:space="preserve">Konkurencinio konkurso būdu teikiamos pagalbos proporcingumas</w:t>
            </w:r>
          </w:p>
        </w:tc>
      </w:tr>
    </w:tbl>
    <w:p w14:paraId="7AD4AA0A" w14:textId="77F5469E" w:rsidR="00A84671" w:rsidRPr="00AC286A" w:rsidRDefault="00C62AF1" w:rsidP="009854EF">
      <w:pPr>
        <w:pStyle w:val="ListParagraph"/>
        <w:spacing w:before="120" w:after="120"/>
        <w:ind w:left="0"/>
        <w:contextualSpacing w:val="0"/>
        <w:jc w:val="both"/>
      </w:pPr>
      <w:r>
        <w:rPr>
          <w:i/>
        </w:rPr>
        <w:t xml:space="preserve">Kad pateiktumėte šiame skirsnyje prašomą informaciją, žr. PKAAE gairių 49, 50, 173, 174 ir 175 punktus</w:t>
      </w:r>
      <w:r>
        <w:t xml:space="preserve">.</w:t>
      </w:r>
    </w:p>
    <w:p w14:paraId="488BAFA9" w14:textId="7E072642" w:rsidR="00C62AF1" w:rsidRPr="00AC286A" w:rsidRDefault="00C62AF1" w:rsidP="0000132C">
      <w:pPr>
        <w:numPr>
          <w:ilvl w:val="0"/>
          <w:numId w:val="4"/>
        </w:numPr>
        <w:spacing w:before="120" w:after="120"/>
        <w:ind w:left="567" w:hanging="567"/>
        <w:jc w:val="both"/>
      </w:pPr>
      <w:bookmarkStart w:id="9" w:name="_Ref155798173"/>
      <w:r>
        <w:t xml:space="preserve">Kad būtų galima patikrinti, ar laikomasi PKAAE gairių 49, 50 ir 173 punktų, pateikite toliau nurodytą informaciją.</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Paaiškinkite, kaip valdžios institucijos užtikrina, kad konkursas yra atviras, aiškus, skaidrus ir nediskriminacinis, pagrįstas objektyviais kriterijais, nustatytais </w:t>
      </w:r>
      <w:r>
        <w:rPr>
          <w:i/>
          <w:iCs/>
        </w:rPr>
        <w:t xml:space="preserve">ex ante</w:t>
      </w:r>
      <w:r>
        <w:t xml:space="preserve">, atsižvelgiant į priemonės tikslą ir sumažinant strateginio kainų siūlymo riziką (PKAAE gairių 49 punkto a papunktis).</w:t>
      </w:r>
      <w:r>
        <w:t xml:space="preserve">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Atrankos kriterijai, taikomi konkursiniams pasiūlymams reitinguoti ir galiausiai pagalbos dydžiui konkurencinio konkurso metu nustatyti.</w:t>
      </w:r>
      <w:r>
        <w:t xml:space="preserve"> </w:t>
      </w:r>
      <w:r>
        <w:t xml:space="preserve">Konkrečiau:</w:t>
      </w:r>
      <w:r>
        <w:t xml:space="preserve"> </w:t>
      </w:r>
    </w:p>
    <w:p w14:paraId="321C47E7" w14:textId="77777777" w:rsidR="00C62AF1" w:rsidRPr="00AC286A" w:rsidRDefault="00C62AF1" w:rsidP="0000132C">
      <w:pPr>
        <w:pStyle w:val="ListParagraph"/>
        <w:numPr>
          <w:ilvl w:val="1"/>
          <w:numId w:val="22"/>
        </w:numPr>
        <w:spacing w:before="120" w:after="120"/>
        <w:contextualSpacing w:val="0"/>
        <w:jc w:val="both"/>
      </w:pPr>
      <w:r>
        <w:t xml:space="preserve">pateikite atrankos kriterijų sąrašą ir nurodykite, kurie iš jų yra tiesiogiai ar netiesiogiai susiję su pagrindiniais priemonės (-ių) tikslais.</w:t>
      </w:r>
      <w:r>
        <w:t xml:space="preserve"> </w:t>
      </w:r>
      <w:r>
        <w:t xml:space="preserve">Nurodykite jų svorį;</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 xml:space="preserve">paaiškinkite, kaip indėlis į pagrindinius priemonės (-ių) tikslus atrankos kriterijais tiesiogiai ar netiesiogiai susiejamas su pareiškėjo prašoma pagalbos suma.</w:t>
      </w:r>
      <w:r>
        <w:t xml:space="preserve"> </w:t>
      </w:r>
      <w:r>
        <w:t xml:space="preserve">Tai gali būti išreikšta, pvz., pagalba vienam aplinkos apsaugos vienetui arba pagalba vienai netaršiai ar nulinės taršos transporto priemonei (PKAAE gairių 50 punktas ir 44 išnaša);</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jei yra kitų atrankos kriterijų, kurie nėra tiesiogiai ar netiesiogiai susiję su pagrindiniais priemonės (-ių) tikslais, pagrįskite siūlomą metodą ir paaiškinkite, kaip jis atitinka priemonės (-ių) tikslus.</w:t>
      </w:r>
      <w:r>
        <w:t xml:space="preserve"> </w:t>
      </w:r>
      <w:r>
        <w:t xml:space="preserve">Taip pat patvirtinkite, kad tie kriterijai sudaro ne daugiau kaip 30 proc. visų atrankos kriterijų svorio (PKAAE gairių 50 ir 174 punktai);</w:t>
      </w:r>
      <w:r>
        <w:t xml:space="preserv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nurodykite</w:t>
      </w:r>
      <w:r>
        <w:rPr>
          <w:color w:val="000000" w:themeColor="text1"/>
        </w:rPr>
        <w:t xml:space="preserve">, prieš kiek laiko iki paraiškų dalyvauti kiekviename</w:t>
      </w:r>
      <w:r>
        <w:rPr>
          <w:color w:val="000000"/>
        </w:rPr>
        <w:t xml:space="preserve"> konkurenciniame konkurse pateikimo termino pabaigos bus paskelbti atrankos kriterijai</w:t>
      </w:r>
      <w:r>
        <w:rPr>
          <w:shd w:val="clear" w:color="auto" w:fill="FFFFFF"/>
        </w:rPr>
        <w:t xml:space="preserve"> (PKAAE gairių 49 punkto b papunktis ir 43 išnaša).</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rPr>
          <w:shd w:val="clear" w:color="auto" w:fill="FFFFFF"/>
        </w:rPr>
        <w:t xml:space="preserve">Paaiškinkite elementus, kuriais grindžiate prielaidą, kad konkursas bus atviras ir bus gauta</w:t>
      </w:r>
      <w:r>
        <w:rPr>
          <w:shd w:val="clear" w:color="auto" w:fill="FFFFFF"/>
        </w:rPr>
        <w:t xml:space="preserve"> pakankamai pasiūlymų, t. y. galima tikėtis, kad ne visi konkurso dalyviai gaus pagalbą ir kad numatomas konkurso dalyvių skaičius yra pakankamas, kad schemos taikymo trukmės laikotarpiu būtų užtikrinta veiksminga konkurencija (PKAAE gairių 49 punkto c papunktis).</w:t>
      </w:r>
      <w:r>
        <w:rPr>
          <w:shd w:val="clear" w:color="auto" w:fill="FFFFFF"/>
        </w:rPr>
        <w:t xml:space="preserve"> </w:t>
      </w:r>
      <w:r>
        <w:rPr>
          <w:shd w:val="clear" w:color="auto" w:fill="FFFFFF"/>
        </w:rPr>
        <w:t xml:space="preserve">Paaiškinkite atsižvelgdami į schemos biudžetą arba apimtį.</w:t>
      </w:r>
      <w:r>
        <w:rPr>
          <w:shd w:val="clear" w:color="auto" w:fill="FFFFFF"/>
        </w:rPr>
        <w:t xml:space="preserve"> </w:t>
      </w:r>
      <w:r>
        <w:rPr>
          <w:shd w:val="clear" w:color="auto" w:fill="FFFFFF"/>
        </w:rPr>
        <w:t xml:space="preserve">Jei reikia, remkitės atsakyme į </w:t>
      </w:r>
      <w:r>
        <w:rPr>
          <w:shd w:val="clear" w:color="auto" w:fill="FFFFFF"/>
        </w:rPr>
        <w:fldChar w:fldCharType="begin" w:dirty="true"/>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 xml:space="preserve">12</w:t>
      </w:r>
      <w:r>
        <w:rPr>
          <w:shd w:val="clear" w:color="auto" w:fill="FFFFFF"/>
        </w:rPr>
        <w:fldChar w:fldCharType="end"/>
      </w:r>
      <w:r>
        <w:rPr>
          <w:shd w:val="clear" w:color="auto" w:fill="FFFFFF"/>
        </w:rPr>
        <w:t xml:space="preserve"> klausimą pateiktais įrodymais.</w:t>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 xml:space="preserve">…………………………………………………………………………………</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 xml:space="preserve">Pateikite</w:t>
      </w:r>
      <w:r>
        <w:rPr>
          <w:shd w:val="clear" w:color="auto" w:fill="FFFFFF"/>
        </w:rPr>
        <w:t xml:space="preserve"> informaciją</w:t>
      </w:r>
      <w:r>
        <w:rPr>
          <w:shd w:val="clear" w:color="auto" w:fill="FFFFFF"/>
        </w:rPr>
        <w:t xml:space="preserve">, kiek konkurso etapų numatoma rengti ir koks numatomas pirmojo bei vėlesniojo etapų dalyvių skaičius.</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Jei viename konkurse ar daugiau gaunama nepakankamai pasiūlymų, paaiškinkite, kaip konkursai bus koreguojami schemos įgyvendinimo metu, kad būtų atkurta veiksminga konkurencija, ir kada tai bus padaryta</w:t>
      </w:r>
      <w:r>
        <w:rPr>
          <w:shd w:val="clear" w:color="auto" w:fill="FFFFFF"/>
        </w:rPr>
        <w:t xml:space="preserve"> (PKAAE gairių 49 punkto c papunktis).</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rPr>
          <w:shd w:val="clear" w:color="auto" w:fill="FFFFFF"/>
          <w:color w:val="000000"/>
          <w:rStyle w:val="oj-italic"/>
        </w:rPr>
        <w:t xml:space="preserve">Patvirtinkite, kad </w:t>
      </w:r>
      <w:r>
        <w:rPr>
          <w:shd w:val="clear" w:color="auto" w:fill="FFFFFF"/>
          <w:color w:val="000000"/>
          <w:rStyle w:val="oj-italic"/>
          <w:i/>
        </w:rPr>
        <w:t xml:space="preserve">ex post</w:t>
      </w:r>
      <w:r>
        <w:rPr>
          <w:shd w:val="clear" w:color="auto" w:fill="FFFFFF"/>
          <w:color w:val="000000"/>
        </w:rPr>
        <w:t xml:space="preserve"> koreguoti konkurso rezultatus (pvz., vėliau deramasi dėl pasiūlymų rezultatų arba normavimo) yra vengiama</w:t>
      </w:r>
      <w:r>
        <w:rPr>
          <w:shd w:val="clear" w:color="auto" w:fill="FFFFFF"/>
        </w:rPr>
        <w:t xml:space="preserve"> (PKAAE gairių 49 punkto d papunktis).</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jei galima teikti </w:t>
      </w:r>
      <w:r>
        <w:rPr>
          <w:i/>
          <w:iCs/>
        </w:rPr>
        <w:t xml:space="preserve">nulinių subsidijų konkursinius pasiūlymus</w:t>
      </w:r>
      <w:r>
        <w:t xml:space="preserve">, paaiškinkite, kaip bus užtikrintas proporcingumas (žr. PKAAE gairių 49 punktą, 42 išnašą).</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 xml:space="preserve">Paaiškinkite, ar valdžios institucijos numato konkurencinio konkurso metu nustatyti apatines arba viršutines kainų ribas.</w:t>
      </w:r>
      <w:r>
        <w:t xml:space="preserve"> </w:t>
      </w:r>
      <w:r>
        <w:t xml:space="preserve">Jei taip, pagrįskite, kodėl jos nustatytos, ir paaiškinkite, kodėl jos nevaržo konkurencinio konkurso (PKAAE gairių 49 punktas ir 42 išnaša).</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 xml:space="preserve">Paaiškinkite, kaip konkurencinio konkurso procedūroje bus užtikrinta, kad pareiškėjams liktų pakankamai paskatų teikti pasiūlymus dėl projektų, susijusių su atitinkamos transporto rūšies nulinės taršos transporto priemonių (jei tokių yra), kurios paprastai yra brangesnės už mažiau aplinką tausojančias alternatyvas, įsigijimu.</w:t>
      </w:r>
      <w:r>
        <w:t xml:space="preserve"> </w:t>
      </w:r>
      <w:r>
        <w:t xml:space="preserve">Pavyzdžiui, paaiškinkite, ar konkurencinio konkurso procedūroje numatyti priedai, leidžiantys skirti daugiau balų projektams, kuriais sukuriama daugiau naudos aplinkai, nei numatyta taikant tinkamumo finansuoti reikalavimus arba siekiant pirminio priemonės tikslo (PKAAE gairių 175 punktas).</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w:t>
            </w:r>
            <w:r>
              <w:rPr>
                <w:sz w:val="24"/>
              </w:rPr>
              <w:t xml:space="preserve"> </w:t>
            </w:r>
            <w:r>
              <w:rPr>
                <w:sz w:val="24"/>
                <w:u w:val="single"/>
              </w:rPr>
              <w:t xml:space="preserve">Ne</w:t>
            </w:r>
            <w:r>
              <w:rPr>
                <w:sz w:val="24"/>
              </w:rPr>
              <w:t xml:space="preserve"> konkurencinio konkurso būdu teikiamos pagalbos proporcingumas</w:t>
            </w:r>
          </w:p>
        </w:tc>
      </w:tr>
    </w:tbl>
    <w:p w14:paraId="422D5582" w14:textId="3525E601" w:rsidR="00C62AF1" w:rsidRPr="00AC286A" w:rsidRDefault="00C62AF1" w:rsidP="009854EF">
      <w:pPr>
        <w:pStyle w:val="ListParagraph"/>
        <w:spacing w:before="120" w:after="120"/>
        <w:ind w:left="0"/>
        <w:contextualSpacing w:val="0"/>
        <w:jc w:val="both"/>
      </w:pPr>
      <w:r>
        <w:rPr>
          <w:i/>
        </w:rPr>
        <w:t xml:space="preserve">Kad pateiktumėte šiame skirsnyje prašomą informaciją, žr. PKAAE gairių 51–55 ir 176–181 punktus</w:t>
      </w:r>
      <w:r>
        <w:t xml:space="preserve">.</w:t>
      </w:r>
    </w:p>
    <w:p w14:paraId="1F6FE818" w14:textId="1814D969" w:rsidR="00EF71CF" w:rsidRPr="00EF71CF" w:rsidRDefault="00EF71CF" w:rsidP="0000132C">
      <w:pPr>
        <w:numPr>
          <w:ilvl w:val="0"/>
          <w:numId w:val="4"/>
        </w:numPr>
        <w:spacing w:before="120" w:after="120"/>
        <w:ind w:left="567" w:hanging="567"/>
        <w:jc w:val="both"/>
      </w:pPr>
      <w:r>
        <w:t xml:space="preserve">Paaiškinkite, kodėl nerengiamas konkurencinis konkursas (remkitės PKAAE gairių 176 punkte nurodytomis išimtimis):</w:t>
      </w:r>
      <w:r>
        <w:t xml:space="preserve">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numatomas dalyvių skaičius nėra pakankamas, kad būtų užtikrinta veiksminga konkurencija arba išvengta strateginio kainų siūlymo,</w:t>
      </w:r>
      <w:r>
        <w:t xml:space="preserve"> </w:t>
      </w:r>
      <w:r>
        <w:rPr>
          <w:i/>
        </w:rPr>
        <w:t xml:space="preserve">ARBA</w:t>
      </w:r>
    </w:p>
    <w:p w14:paraId="2BE7768F" w14:textId="52FE47F8" w:rsidR="001A514F" w:rsidRDefault="009A3188" w:rsidP="0000132C">
      <w:pPr>
        <w:pStyle w:val="ListParagraph"/>
        <w:numPr>
          <w:ilvl w:val="0"/>
          <w:numId w:val="37"/>
        </w:numPr>
        <w:spacing w:before="120" w:after="120"/>
        <w:contextualSpacing w:val="0"/>
        <w:jc w:val="both"/>
      </w:pPr>
      <w:r>
        <w:t xml:space="preserve">konkurencinis konkursas, kaip aprašyta PKAAE gairių 49 ir 50 punktuose, nėra tinkama priemonė pagalbos proporcingumui užtikrinti, taip pat dėl 177–180 punktuose nurodytų alternatyvių metodų, skirtų proporcingumui įrodyti, taikymo nepadidės nederamo konkurencijos iškraipymo rizika, atsižvelgiant į priemonės arba atitinkamų sektorių ar transporto rūšių ypatumus,</w:t>
      </w:r>
      <w:r>
        <w:t xml:space="preserve"> </w:t>
      </w:r>
      <w:r>
        <w:rPr>
          <w:i/>
        </w:rPr>
        <w:t xml:space="preserve">ARBA</w:t>
      </w:r>
      <w:r>
        <w:t xml:space="preserve"> </w:t>
      </w:r>
    </w:p>
    <w:p w14:paraId="5D52BE55" w14:textId="25904D05" w:rsidR="009A3188" w:rsidRDefault="009A3188" w:rsidP="0000132C">
      <w:pPr>
        <w:pStyle w:val="ListParagraph"/>
        <w:numPr>
          <w:ilvl w:val="0"/>
          <w:numId w:val="37"/>
        </w:numPr>
        <w:spacing w:before="120" w:after="120"/>
        <w:contextualSpacing w:val="0"/>
        <w:jc w:val="both"/>
      </w:pPr>
      <w:r>
        <w:t xml:space="preserve">pagalba teikiama transporto priemonėms, skirtoms naudoti viešojo keleivinio sausumos, geležinkelių arba vandens transporto sektoriuje veikiančioms įmonėms, įsigyti arba nuomotis išperkamąja nuoma.</w:t>
      </w:r>
    </w:p>
    <w:p w14:paraId="35C3311B" w14:textId="5F324DD8" w:rsidR="00A84671" w:rsidRPr="001631E6" w:rsidRDefault="003115D9" w:rsidP="001C4C34">
      <w:pPr>
        <w:ind w:left="1560" w:hanging="142"/>
        <w:jc w:val="both"/>
      </w:pPr>
      <w:r>
        <w:t xml:space="preserve">…………………………………………………………………………………</w:t>
      </w:r>
    </w:p>
    <w:p w14:paraId="3DE19FEA" w14:textId="23F4A917" w:rsidR="008E430F" w:rsidRDefault="00B63C98" w:rsidP="0000132C">
      <w:pPr>
        <w:numPr>
          <w:ilvl w:val="0"/>
          <w:numId w:val="4"/>
        </w:numPr>
        <w:spacing w:before="120" w:after="120"/>
        <w:ind w:left="567" w:hanging="567"/>
        <w:jc w:val="both"/>
      </w:pPr>
      <w:r>
        <w:t xml:space="preserve">Nurodykite grynąsias papildomas investicines išlaidas.</w:t>
      </w:r>
      <w:r>
        <w:t xml:space="preserve"> </w:t>
      </w:r>
      <w:r>
        <w:t xml:space="preserve">Jos apskaičiuojamos kaip planuojamos įsigyti arba nuomotis išperkamąja nuoma netaršios transporto priemonės bendrosios nuosavybės kainos ir bendrosios nuosavybės kainos pagal priešingos padėties scenarijų skirtumas, neįskaitant tiesiogiai su aukštesnio aplinkos apsaugos lygio užtikrinimu nesusijusių išlaidų.</w:t>
      </w:r>
      <w:r>
        <w:t xml:space="preserve"> </w:t>
      </w:r>
      <w:r>
        <w:t xml:space="preserve">Transporto priemonių arba mobiliosios paslaugų teikimo įrangos modernizavimo atveju tinkamos finansuoti išlaidos gali būti visos modernizavimo išlaidos, jei pagal priešingos padėties scenarijų transporto priemonių arba mobiliosios paslaugų teikimo įrangos ekonominio naudingumo laikotarpis neatlikus modernizavimo būtų toks pats (PKAAE gairių 178–179 punktai).</w:t>
      </w:r>
      <w:r>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Nurodykite pagal priemonę taikomą didžiausią pagalbos intensyvumą ir tai, ar taikomos kokios nors premijos (žr. aprašymą PKAAE gairių 177 punkte).</w:t>
      </w:r>
      <w:r>
        <w:t xml:space="preserv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Jei, nukrypstant nuo PKAAE gairių 177–179 punktų, manoma, kad 177 punkte nustatytą didžiausią pagalbos intensyvumą viršijanti pagalba yra reikalinga, nurodykite būtinu laikomą pagalbos dydį ir jį pagrįskite, remdamiesi pagal faktinius ir priešingos padėties scenarijus atliktos etaloninių projektų trūkstamo finansavimo analizės rezultatais (remkitės </w:t>
      </w:r>
      <w:r>
        <w:fldChar w:fldCharType="begin" w:dirty="true"/>
      </w:r>
      <w:r>
        <w:instrText xml:space="preserve"> REF _Ref161224203 \r \h </w:instrText>
      </w:r>
      <w:r/>
      <w:r>
        <w:fldChar w:fldCharType="separate"/>
      </w:r>
      <w:r>
        <w:t xml:space="preserve">12</w:t>
      </w:r>
      <w:r>
        <w:fldChar w:fldCharType="end"/>
      </w:r>
      <w:r>
        <w:t xml:space="preserve"> punkto C dalies i papunktyje pateikta informacija ir PKAAE gairių 51 ir 52 punktais).</w:t>
      </w:r>
      <w:bookmarkEnd w:id="10"/>
    </w:p>
    <w:p w14:paraId="264FE08C" w14:textId="6A1796CC" w:rsidR="00F4008F" w:rsidRDefault="6554BC11" w:rsidP="001C4C34">
      <w:pPr>
        <w:spacing w:before="120" w:after="120"/>
        <w:ind w:left="567"/>
        <w:jc w:val="both"/>
      </w:pPr>
      <w:r>
        <w:t xml:space="preserve">Šiai trūkstamo finansavimo analizei pateikite visų pagrindinių išlaidų ir pajamų kiekybinį įvertinimą pagal faktinį scenarijų ir tikrovišką priešingos padėties scenarijų</w:t>
      </w:r>
      <w:r>
        <w:rPr>
          <w:rStyle w:val="FootnoteReference"/>
          <w:lang w:val="en-IE"/>
        </w:rPr>
        <w:footnoteReference w:id="9"/>
      </w:r>
      <w:r>
        <w:t xml:space="preserve">, apie kuriuos informaciją pateikėte </w:t>
      </w:r>
      <w:r>
        <w:fldChar w:fldCharType="begin" w:dirty="true"/>
      </w:r>
      <w:r>
        <w:instrText xml:space="preserve"> REF _Ref161224203 \r \h </w:instrText>
      </w:r>
      <w:r/>
      <w:r>
        <w:fldChar w:fldCharType="separate"/>
      </w:r>
      <w:r>
        <w:t xml:space="preserve">12</w:t>
      </w:r>
      <w:r>
        <w:fldChar w:fldCharType="end"/>
      </w:r>
      <w:r>
        <w:t xml:space="preserve"> punkte,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w:t>
      </w:r>
      <w:r>
        <w:t xml:space="preserve">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Prašomus duomenis pateikite (Excel rinkmenoje, kurioje matomos visos formulės) šios pranešimo formos priede.</w:t>
      </w:r>
      <w:r>
        <w:t xml:space="preserv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 xml:space="preserve">Pateikite</w:t>
      </w:r>
      <w:r>
        <w:t xml:space="preserve"> išsamią informaciją apie prielaidas, metodikas, pagrindimą ir pagrindinius jų šaltinius,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 xml:space="preserve">Individualios pagalbos ir schemų, skirtų ypač ribotam pagalbos gavėjų skaičiui, atveju valstybė narė turi pateikti patvirtinamuosius įrodymus išsamaus projekto verslo plano lygmeniu.</w:t>
      </w:r>
    </w:p>
    <w:p w14:paraId="1610350D" w14:textId="77777777" w:rsidR="002712FE" w:rsidRPr="00AC286A" w:rsidRDefault="002712FE" w:rsidP="001C4C34">
      <w:pPr>
        <w:ind w:left="1440"/>
        <w:jc w:val="both"/>
        <w:rPr>
          <w:shd w:val="clear" w:color="auto" w:fill="FFFFFF"/>
        </w:rPr>
      </w:pPr>
      <w:r>
        <w:rPr>
          <w:shd w:val="clear" w:color="auto" w:fill="FFFFFF"/>
        </w:rPr>
        <w:t xml:space="preserve">Pagalbos schemų atveju valstybė narė turi pateikti patvirtinamuosius įrodymus, remdamasi vienu ar keliais etaloniniais projektais.</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Prie šios pranešimo formos galite </w:t>
      </w:r>
      <w:r>
        <w:rPr>
          <w:shd w:val="clear" w:color="auto" w:fill="FFFFFF"/>
        </w:rPr>
        <w:t xml:space="preserve">pridėti</w:t>
      </w:r>
      <w:r>
        <w:t xml:space="preserve"> ir PKAAE gairių 39 išnašoje nurodytus dokumentus.</w:t>
      </w:r>
      <w:r>
        <w:t xml:space="preserve"> </w:t>
      </w:r>
      <w:r>
        <w:t xml:space="preserve">Individualios pagalbos priemonių ar schemų, skirtų ypač ribotam pagalbos gavėjų skaičiui, atveju itin naudingi gali būti valdybos dokumentai.</w:t>
      </w:r>
      <w:r>
        <w:t xml:space="preserve"> </w:t>
      </w:r>
      <w:r>
        <w:t xml:space="preserve">Jei tokius dokumentus pridedate prie pranešimo formos, toliau pateikite tų dokumentų sąrašą ir nurodykite jų autorių, parengimo datą ir naudojimo aplinkybes.</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7DC7EFD2" w:rsidR="00E15BFB" w:rsidRDefault="00E15BFB" w:rsidP="0000132C">
      <w:pPr>
        <w:numPr>
          <w:ilvl w:val="0"/>
          <w:numId w:val="4"/>
        </w:numPr>
        <w:spacing w:before="120" w:after="120"/>
        <w:ind w:left="567" w:hanging="567"/>
        <w:jc w:val="both"/>
      </w:pPr>
      <w:r>
        <w:t xml:space="preserve">Taip pat įrodykite, kad taikant didesnį pagalbos intensyvumą, kuris nustatytas, kaip nurodyta </w:t>
      </w:r>
      <w:r>
        <w:rPr>
          <w:shd w:val="clear" w:color="auto" w:fill="FFFFFF"/>
        </w:rPr>
        <w:fldChar w:fldCharType="begin" w:dirty="true"/>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 xml:space="preserve">34</w:t>
      </w:r>
      <w:r>
        <w:rPr>
          <w:shd w:val="clear" w:color="auto" w:fill="FFFFFF"/>
        </w:rPr>
        <w:fldChar w:fldCharType="end"/>
      </w:r>
      <w:r>
        <w:t xml:space="preserve"> </w:t>
      </w:r>
      <w:r>
        <w:rPr>
          <w:shd w:val="clear" w:color="auto" w:fill="FFFFFF"/>
        </w:rPr>
        <w:t xml:space="preserve">klausime</w:t>
      </w:r>
      <w:r>
        <w:t xml:space="preserve">, pagalba nebus didesnė nei trūkstamas finansavimas.</w:t>
      </w:r>
      <w:r>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rPr>
          <w:shd w:val="clear" w:color="auto" w:fill="FFFFFF"/>
        </w:rPr>
        <w:t xml:space="preserve">Jei taikomas PKAAE gairių 52 punktas, t. y. labiausiai tikėtinas priešingos padėties scenarijus, kai pagalbos gavėjas nevykdo veiklos ar investicijų arba tęsia veiklą be</w:t>
      </w:r>
      <w:r>
        <w:t xml:space="preserve"> pakeitimų, </w:t>
      </w:r>
      <w:r>
        <w:rPr>
          <w:shd w:val="clear" w:color="auto" w:fill="FFFFFF"/>
        </w:rPr>
        <w:t xml:space="preserve">pagrįskite šią prielaidą įrodymais</w:t>
      </w:r>
      <w:r>
        <w:rPr>
          <w:rStyle w:val="FootnoteReference"/>
          <w:lang w:eastAsia="en-GB"/>
        </w:rPr>
        <w:footnoteReference w:id="10"/>
      </w:r>
      <w:r>
        <w:rPr>
          <w:shd w:val="clear" w:color="auto" w:fill="FFFFFF"/>
        </w:rPr>
        <w:t xml:space="preserve">.</w:t>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Visais atvejais, kai proporcingumas grindžiamas trūkstamo finansavimo analizės rezultatais, taip pat patvirtinkite, kad jūsų valdžios institucijos</w:t>
      </w:r>
      <w:r>
        <w:rPr>
          <w:shd w:val="clear" w:color="auto" w:fill="FFFFFF"/>
        </w:rPr>
        <w:t xml:space="preserve"> atliks </w:t>
      </w:r>
      <w:r>
        <w:rPr>
          <w:shd w:val="clear" w:color="auto" w:fill="FFFFFF"/>
          <w:i/>
          <w:iCs/>
        </w:rPr>
        <w:t xml:space="preserve">ex post</w:t>
      </w:r>
      <w:r>
        <w:rPr>
          <w:shd w:val="clear" w:color="auto" w:fill="FFFFFF"/>
        </w:rPr>
        <w:t xml:space="preserve"> stebėseną, kad patikrintų prielaidas dėl reikalingos pagalbos dydžio, ir nustatys lėšų susigrąžinimo mechanizmą.</w:t>
      </w:r>
      <w:r>
        <w:rPr>
          <w:shd w:val="clear" w:color="auto" w:fill="FFFFFF"/>
        </w:rPr>
        <w:t xml:space="preserve"> </w:t>
      </w:r>
      <w:r>
        <w:rPr>
          <w:shd w:val="clear" w:color="auto" w:fill="FFFFFF"/>
        </w:rPr>
        <w:t xml:space="preserve">Be to, apibūdinkite</w:t>
      </w:r>
      <w:r>
        <w:rPr>
          <w:shd w:val="clear" w:color="auto" w:fill="FFFFFF"/>
        </w:rPr>
        <w:t xml:space="preserve"> jūsų valdžios institucijų ketinamą taikyti stebėsenos ir lėšų susigrąžinimo mechanizmą (PKAAE 180 punktas).</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 xml:space="preserve">2.1.4.</w:t>
            </w:r>
            <w:r>
              <w:rPr>
                <w:sz w:val="24"/>
              </w:rPr>
              <w:t xml:space="preserve"> </w:t>
            </w:r>
            <w:r>
              <w:rPr>
                <w:sz w:val="24"/>
              </w:rPr>
              <w:t xml:space="preserve">Sumavimas</w:t>
            </w:r>
          </w:p>
        </w:tc>
      </w:tr>
    </w:tbl>
    <w:p w14:paraId="7AD631CF" w14:textId="77777777" w:rsidR="00C62AF1" w:rsidRPr="00AC286A" w:rsidRDefault="00C62AF1" w:rsidP="00FC5BDD">
      <w:pPr>
        <w:pStyle w:val="ListParagraph"/>
        <w:spacing w:before="120" w:after="120"/>
        <w:ind w:left="0"/>
        <w:contextualSpacing w:val="0"/>
        <w:jc w:val="both"/>
      </w:pPr>
      <w:r>
        <w:rPr>
          <w:i/>
        </w:rPr>
        <w:t xml:space="preserve">Kad pateiktumėte šiame skirsnyje prašomą informaciją, žr. PKAAE gairių 56–57 punktus</w:t>
      </w:r>
      <w:r>
        <w:t xml:space="preserve">.</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Kad būtų galima patikrinti, ar </w:t>
      </w:r>
      <w:r>
        <w:rPr>
          <w:shd w:val="clear" w:color="auto" w:fill="FFFFFF"/>
        </w:rPr>
        <w:t xml:space="preserve">laikomasi</w:t>
      </w:r>
      <w:r>
        <w:t xml:space="preserve"> PKAAE gairių 56 punkto, paaiškinkite, ar pagalba pagal priemonę (-es), apie kurią (-ias) pranešama, gali būti suteikta vienu metu pagal kelias pagalbos schemas arba sumuojama su </w:t>
      </w:r>
      <w:r>
        <w:rPr>
          <w:i/>
          <w:iCs/>
        </w:rPr>
        <w:t xml:space="preserve">ad hoc</w:t>
      </w:r>
      <w:r>
        <w:t xml:space="preserve"> arba </w:t>
      </w:r>
      <w:r>
        <w:rPr>
          <w:i/>
          <w:iCs/>
        </w:rPr>
        <w:t xml:space="preserve">de minimis</w:t>
      </w:r>
      <w:r>
        <w:t xml:space="preserve"> pagalba tų pačių finansuoti tinkamų išlaidų atžvilgiu, jei šios informacijos dar nenurodėte formos „Bendroji informacija“ I dalyje.</w:t>
      </w:r>
      <w:r>
        <w:t xml:space="preserve"> </w:t>
      </w:r>
      <w:r>
        <w:t xml:space="preserve">Jei taip, pateikite išsamią informaciją apie tas pagalbos schemas, ad hoc pagalbą arba </w:t>
      </w:r>
      <w:r>
        <w:rPr>
          <w:i/>
          <w:iCs/>
        </w:rPr>
        <w:t xml:space="preserve">de minimis</w:t>
      </w:r>
      <w:r>
        <w:t xml:space="preserve"> pagalbą ir apie tai, kaip bus sumuojama pagalba.</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w:t>
      </w:r>
      <w:r>
        <w:t xml:space="preserve">Jei taikomas PKAAE gairių 56 punktas, pagrįskite, kodėl dėl bendros pagal priemonę (-es), apie kurią (-ias) pranešama, projektui ar veiklai skirtos pagalbos sumos nesusidaro kompensacijos permoka arba neviršijama didžiausia pagalbos suma, leidžiama pagal PKAAE gairių 173, 177 arba 180 punktą</w:t>
      </w:r>
      <w:r>
        <w:rPr>
          <w:shd w:val="clear" w:color="auto" w:fill="FFFFFF"/>
        </w:rPr>
        <w:t xml:space="preserve">.</w:t>
      </w:r>
      <w:r>
        <w:t xml:space="preserve"> </w:t>
      </w:r>
      <w:r>
        <w:t xml:space="preserve">Kiekvienos priemonės, pagal kurias teikiamą pagalbą galima sumuoti su pagal priemonę (-es), apie kurią (-ias) pranešama, teikiama pagalba, atveju nurodykite metodą, kuriuo užtikrinama, kad būtų laikomasi PKAAE gairių 56 punkte nustatytų sąlygų.</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Jei taikomas PKAAE gairių 57 punktas (t. y. pagal priemonę (-es), apie kurią (-ias) pranešama, teikiama pagalba yra derinama su centralizuotai valdomu Sąjungos finansavimu</w:t>
      </w:r>
      <w:r>
        <w:rPr>
          <w:rStyle w:val="FootnoteReference"/>
          <w:lang w:eastAsia="en-GB"/>
        </w:rPr>
        <w:footnoteReference w:id="11"/>
      </w:r>
      <w:r>
        <w:t xml:space="preserve">, kuris nėra valstybės pagalba), pagrįskite, </w:t>
      </w:r>
      <w:r>
        <w:rPr>
          <w:shd w:val="clear" w:color="auto" w:fill="FFFFFF"/>
        </w:rPr>
        <w:t xml:space="preserve">kodėl dėl bendros viešojo finansavimo sumos, skiriamos toms pačioms tinkamoms finansuoti išlaidoms padengti, nesusidaro kompensacijos permoka.</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 xml:space="preserve">2.1.5. Skaidrumas</w:t>
            </w:r>
          </w:p>
        </w:tc>
      </w:tr>
    </w:tbl>
    <w:p w14:paraId="19C31F80" w14:textId="2D4539B5" w:rsidR="00C62AF1" w:rsidRPr="00AC286A" w:rsidRDefault="00C62AF1" w:rsidP="00C62AF1">
      <w:pPr>
        <w:spacing w:before="360" w:after="120"/>
        <w:jc w:val="both"/>
        <w:rPr>
          <w:i/>
        </w:rPr>
      </w:pPr>
      <w:r>
        <w:rPr>
          <w:i/>
          <w:color w:val="000000"/>
        </w:rPr>
        <w:t xml:space="preserve">Kad</w:t>
      </w:r>
      <w:r>
        <w:rPr>
          <w:i/>
          <w:color w:val="000000"/>
        </w:rPr>
        <w:t xml:space="preserve"> pateiktumėte šiame skirsnyje prašomą informaciją, žr. PKAAE gairių 3.2.1.4 skirsnį (58–61 punktus).</w:t>
      </w:r>
      <w:r>
        <w:rPr>
          <w:i/>
        </w:rPr>
        <w:t xml:space="preserve"> </w:t>
      </w:r>
    </w:p>
    <w:p w14:paraId="4211141D" w14:textId="58565510" w:rsidR="008E430F" w:rsidRDefault="1C6367A9" w:rsidP="0000132C">
      <w:pPr>
        <w:numPr>
          <w:ilvl w:val="0"/>
          <w:numId w:val="4"/>
        </w:numPr>
        <w:spacing w:before="120" w:after="120"/>
        <w:ind w:left="567" w:hanging="567"/>
        <w:jc w:val="both"/>
      </w:pPr>
      <w:r>
        <w:t xml:space="preserve">Patvirtinkite, kad valstybė narė laikysis PKAAE gairių 58–61 punktuose </w:t>
      </w:r>
      <w:r>
        <w:rPr>
          <w:shd w:val="clear" w:color="auto" w:fill="FFFFFF"/>
        </w:rPr>
        <w:t xml:space="preserve">nustatytų</w:t>
      </w:r>
      <w:r>
        <w:t xml:space="preserve"> skaidrumo reikalavimų.</w:t>
      </w:r>
      <w:r>
        <w:t xml:space="preserve">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szCs w:val="24"/>
          <w:rFonts w:eastAsia="Times New Roman"/>
        </w:rPr>
      </w:pPr>
      <w:r>
        <w:t xml:space="preserve">Pateikite interneto nuorodą į puslapį, kuriame bus paskelbtas visas patvirtintos pagalbos schemos arba sprendimo dėl individualios pagalbos skyrimo ir jos įgyvendinimo nuostatų tekstas ir informacija apie kiekvieną individualią pagalbą, skirtą ad hoc arba pagal pagalbos schemą, patvirtintą remiantis PKAAE gairėmis ir viršijančią 100 000 EUR.</w:t>
      </w:r>
      <w:r>
        <w:t xml:space="preserve">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 xml:space="preserve">2.2. Nederamo neigiamo poveikio konkurencijai ir prekybai vengimas ir pusiausvyros užtikrinimas</w:t>
            </w:r>
            <w:bookmarkEnd w:id="12"/>
          </w:p>
        </w:tc>
      </w:tr>
    </w:tbl>
    <w:p w14:paraId="27571D47" w14:textId="2341FA1A" w:rsidR="00C62AF1" w:rsidRPr="00AC286A" w:rsidRDefault="00C62AF1" w:rsidP="00C62AF1">
      <w:pPr>
        <w:spacing w:before="360" w:after="120"/>
        <w:jc w:val="both"/>
        <w:rPr>
          <w:i/>
        </w:rPr>
      </w:pPr>
      <w:r>
        <w:rPr>
          <w:i/>
          <w:color w:val="000000"/>
        </w:rPr>
        <w:t xml:space="preserve">Kad</w:t>
      </w:r>
      <w:r>
        <w:rPr>
          <w:i/>
        </w:rPr>
        <w:t xml:space="preserve"> pateiktumėte šiame skirsnyje prašomą informaciją, žr. PKAAE gairių 3.2.2 skirsnį (63–70 punktus) ir 4.3.1.5 skirsnį (183–189 punktus).</w:t>
      </w:r>
      <w:r>
        <w:rPr>
          <w:i/>
        </w:rPr>
        <w:t xml:space="preserve"> </w:t>
      </w:r>
    </w:p>
    <w:p w14:paraId="5724A4A1" w14:textId="77777777" w:rsidR="000C4C25" w:rsidRDefault="19967884" w:rsidP="0000132C">
      <w:pPr>
        <w:numPr>
          <w:ilvl w:val="0"/>
          <w:numId w:val="4"/>
        </w:numPr>
        <w:spacing w:before="120" w:after="120"/>
        <w:ind w:left="567" w:hanging="567"/>
        <w:jc w:val="both"/>
      </w:pPr>
      <w:r>
        <w:t xml:space="preserve">Kad būtų galima patikrinti, ar laikomasi PKAAE gairių 67 punkto, pateikite informaciją apie galimą trumpalaikį ir ilgalaikį neigiamą priemonės (-ių), apie kurią (-ias) pranešama, poveikį konkurencijai ir prekybai.</w:t>
      </w:r>
      <w:r>
        <w:t xml:space="preserv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Paaiškinkite, ar priemonė taikoma kuriuo nors iš šių atvejų:</w:t>
      </w:r>
      <w:r>
        <w:t xml:space="preserve"> </w:t>
      </w:r>
    </w:p>
    <w:p w14:paraId="600A6180" w14:textId="7392E57E" w:rsidR="00F43AD8" w:rsidRDefault="005E6D02" w:rsidP="0000132C">
      <w:pPr>
        <w:pStyle w:val="ListParagraph"/>
        <w:numPr>
          <w:ilvl w:val="0"/>
          <w:numId w:val="39"/>
        </w:numPr>
        <w:spacing w:before="120" w:after="120"/>
        <w:contextualSpacing w:val="0"/>
        <w:jc w:val="both"/>
      </w:pPr>
      <w:r>
        <w:t xml:space="preserve">ji susijusi su rinka (arba rinkomis), kurioje (-iose) įsitvirtinusios įmonės įgijo įtaką prieš liberalizuojant rinką;</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 xml:space="preserve">pagal ją rengiami konkurenciniai konkursai besiformuojančioje rinkoje (-ose), kai yra stiprią padėtį rinkoje užimantis dalyvis;</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 xml:space="preserve">ji bus naudinga tik vienam pagalbos gavėjui arba ypač ribotam pagalbos gavėjų skaičiui.</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 xml:space="preserve">Jei pagalbos priemonė orientuota į konkretų technologinį pasirinkimą ir (arba) kelią, pagrįskite priežastį, kodėl pasirinktos šios technologijos, ir tai, kad šis pasirinkimas netrukdys diegti švaresnių technologijų.</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Jei priemonė (-ės), apie kurią (-ias) pranešama, bus naudinga (-os) tik vienam pagalbos gavėjui arba ypač ribotam pagalbos gavėjų skaičiui, kad būtų galima patikrinti, ar laikomasi PKAAE gairių 68 punkto:</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paaiškinkite, ar priemonė (-ės), apie kurią (-ias) pranešama, sustiprina pagalbos gavėjo (-ų) įtaką rinkoje arba padeda ją išlaikyti, skatina esamus konkurentus atsisakyti plėtros ar pasitraukti iš rinkos arba atgraso naujus konkurentus nuo žengimo į rinką.</w:t>
      </w:r>
      <w:r>
        <w:t xml:space="preserve"> </w:t>
      </w:r>
      <w:r>
        <w:t xml:space="preserve">Taip pat paaiškinkite, ar taikant pagalbos priemonę padidės pagalbos gavėjo gamybos pajėgumai;</w:t>
      </w:r>
      <w:r>
        <w:t xml:space="preserv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apibūdinkite taikomas priemones, kuriomis siekiama apriboti pagalbos suteikimo pagalbos gavėjui (-ams) sukeltą galimą konkurencijos iškraipymą.</w:t>
      </w:r>
      <w:r>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Kad būtų galima patikrinti, ar laikomasi PKAAE gairių 69 punkto, pateikite šią informaciją:</w:t>
      </w:r>
      <w:r>
        <w:t xml:space="preserve"> </w:t>
      </w:r>
    </w:p>
    <w:p w14:paraId="32E33C0A" w14:textId="66BA9774" w:rsidR="00CA77F0" w:rsidRDefault="00CA77F0" w:rsidP="0000132C">
      <w:pPr>
        <w:pStyle w:val="ListParagraph"/>
        <w:numPr>
          <w:ilvl w:val="0"/>
          <w:numId w:val="41"/>
        </w:numPr>
        <w:spacing w:before="120" w:after="120"/>
        <w:jc w:val="both"/>
      </w:pPr>
      <w:r>
        <w:t xml:space="preserve">ar pagal priemonę (-es), apie kurią (-ias) pranešama, teikiamos pagalbos tikslas yra išlaikyti ekonominę veiklą viename regione arba ją pritraukti iš kitų vidaus rinkos regionų;</w:t>
      </w:r>
      <w:r>
        <w:t xml:space="preserv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 xml:space="preserve">jei taip, nurodykite, koks yra priemonės (-ių), apie kurią (-ias) pranešama, grynasis poveikis aplinkai ir kaip šia priemone (-ėmis) gerinamas esamas aplinkos apsaugos lygis valstybėse narėse;</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paaiškinkite, kodėl pagal priemonę (-es), apie kurią (-ias) pranešama, teikiama pagalba nedaro akivaizdaus neigiamo poveikio konkurencijai ir prekybai;</w:t>
      </w:r>
      <w:r>
        <w:t xml:space="preserv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 xml:space="preserve">jei teikiama individuali pagalba, paaiškinkite pagrindinius pagalbos gavėjo investicijų vietos pasirinkimo veiksnius.</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 xml:space="preserve">Kad būtų galima patikrinti, ar laikomasi PKAAE gairių 70 punkto:</w:t>
      </w:r>
    </w:p>
    <w:p w14:paraId="78257B32" w14:textId="7E691F3C" w:rsidR="00C62AF1" w:rsidRPr="00AC286A" w:rsidRDefault="00C62AF1" w:rsidP="0000132C">
      <w:pPr>
        <w:pStyle w:val="ListParagraph"/>
        <w:numPr>
          <w:ilvl w:val="0"/>
          <w:numId w:val="42"/>
        </w:numPr>
        <w:spacing w:before="120" w:after="120"/>
        <w:jc w:val="both"/>
      </w:pPr>
      <w:r>
        <w:t xml:space="preserve">patvirtinkite, kad pagalba pagal schemą, apie kurią pranešama, gali būti suteikta ne ilgiau kaip dešimčiai metų </w:t>
      </w:r>
      <w:r>
        <w:rPr>
          <w:color w:val="000000"/>
          <w:shd w:val="clear" w:color="auto" w:fill="FFFFFF"/>
        </w:rPr>
        <w:t xml:space="preserve">nuo pranešimo apie Komisijos sprendimą, kuriuo pagalba pripažįstama suderinama, dienos</w:t>
      </w:r>
      <w:r>
        <w:t xml:space="preserve">;</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patvirtinkite, kad tuo atveju, jei jūsų valdžios institucijos norėtų pratęsti schemos galiojimą ilgesniam laikotarpiui nei tas ilgiausias laikotarpis, jos dar kartą praneš apie priemonę.</w:t>
      </w:r>
      <w:r>
        <w:t xml:space="preserve">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Jei priemone (-ėmis), apie kurią (-ias) pranešama, gali būti skatinamos naujos investicijos į gamtines dujas naudojančias transporto priemones ir mobiliąją paslaugų teikimo įrangą, paaiškinkite, kodėl galima laikyti, kad priemonė neturi ilgalaikio susaistymo poveikio ir neišstumia investicijų į mažiau taršias alternatyvias technologijas.</w:t>
      </w:r>
      <w:r>
        <w:t xml:space="preserve"> </w:t>
      </w:r>
      <w:r>
        <w:t xml:space="preserve">Todėl, kai pagalba teikiama suslėgtosiomis GD ir suskystintosiomis GD varomoms vandens transporto priemonėms ir mobiliųjų paslaugų teikimo įrangai įsigyti arba nuomotis išperkamąja nuoma, įrodykite, kad rinkoje dar nėra mažiau taršių alternatyvų, skirtų atitinkamų rūšių transporto priklausomybei nuo iškastinio kuro mažinti, ir nesitikima, kad jų atsiras artimiausiu metu.</w:t>
      </w:r>
      <w:r>
        <w:t xml:space="preserve"> </w:t>
      </w:r>
      <w:r>
        <w:t xml:space="preserve">Šiuo tikslu įvertinkite laikotarpį nuo dvejų iki penkerių metų (arba kitą tinkamai pagrįstą laikotarpį) nuo pranešimo apie pagalbos priemonę ir pateikite pagrindžiamuosius nepriklausomus rinkos tyrimus arba kitus tinkamus įrodymus.</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Jei priemone, apie kurią pranešama, gali būti skatinamos investicijos į netaršius orlaivius (kitus nei nulinės taršos orlaiviai), kurie naudoja iškastinį kurą, įrodykite, kad pagalba prisidedama prie naujų, veiksmingesnių ir iš esmės labiau aplinką tausojančių orlaivių pateikimo rinkai arba spartesnio jų įsitvirtinimo.</w:t>
      </w:r>
      <w:r>
        <w:t xml:space="preserve"> </w:t>
      </w:r>
      <w:r>
        <w:t xml:space="preserve">Be to, paaiškinkite, kaip tokios investicijos atitinka poveikio klimatui neutralumo gaires ir kaip taikydami priemonę išvengiate rizikos, kad nebūtų susaistymo su tradicinėmis technologijomis ir nebūtų išstumiamos investicijos į mažiau taršias alternatyvas.</w:t>
      </w:r>
      <w:r>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Jei priemonė susijusi su oro transporto paslaugomis, paaiškinkite, ar jūsų valdžios institucijos ketina reikalauti, kad pagalbos gavėjas nutrauktų tokio pat skaičiaus mažiau aplinką tausojančių orlaivių, kurių kilimo masė panaši į orlaivių, įsigytų arba nuomojamų išperkamąja nuoma su valstybės pagalba, eksploataciją tam, kad, atsižvelgiant į pagalbos gavėjo padėtį rinkoje, būtų sušvelnintas galimas iškreipiamasis pagalbos poveikis arba kad būtų padidintas teigiamas pagalbos priemonės poveikis.</w:t>
      </w:r>
      <w:r>
        <w:t xml:space="preserve">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 xml:space="preserve">Jei pagalba teikiama transporto priemonėms ar mobiliajai paslaugų teikimo įrangai įsigyti ar nuomotis išperkamąja nuoma, paaiškinkite, ar naujų transporto priemonių eksploatavimas nesukels arba nepadidins esamo rinkos nepakankamumo (pvz., perteklinių pajėgumų atitinkamame sektoriuje).</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Jei priemone, apie kurią pranešama, tikslinė parama atskiram pagalbos gavėjui arba ribotam tam tikrų pagalbos gavėjų skaičiui teikiama be konkurencinio konkurso, pagrįskite priemonės struktūrą, priežastis, kodėl ja negali naudotis visi tą pačią paslaugą, produktą ar naudą norintys teikti konkurentai, ir įrodykite, kad deramai atsižvelgiama į didesnę konkurencijos iškraipymo riziką.</w:t>
      </w:r>
      <w:r>
        <w:t xml:space="preserv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 xml:space="preserve">Teigiamo pagalbos poveikio ir neigiamo poveikio konkurencijai ir prekybai pasvėrimas</w:t>
            </w:r>
          </w:p>
        </w:tc>
      </w:tr>
    </w:tbl>
    <w:p w14:paraId="21499FBD" w14:textId="74D3BCF1" w:rsidR="00C62AF1" w:rsidRPr="00AC286A" w:rsidRDefault="00C62AF1" w:rsidP="00C62AF1">
      <w:pPr>
        <w:spacing w:before="360" w:after="120"/>
        <w:jc w:val="both"/>
        <w:rPr>
          <w:i/>
          <w:color w:val="000000"/>
        </w:rPr>
      </w:pPr>
      <w:r>
        <w:rPr>
          <w:i/>
          <w:color w:val="000000"/>
        </w:rPr>
        <w:t xml:space="preserve">Kad</w:t>
      </w:r>
      <w:r>
        <w:rPr>
          <w:i/>
          <w:color w:val="000000"/>
        </w:rPr>
        <w:t xml:space="preserve"> pateiktumėte šiame skirsnyje prašomą informaciją, žr. PKAAE gairių 3.3 skirsnį (71–76 punktus).</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rPr>
          <w:shd w:val="clear" w:color="auto" w:fill="FFFFFF"/>
        </w:rPr>
        <w:t xml:space="preserve">Kad būtų galima patikrinti, ar laikomasi PKAAE gairių 72 punkto, paaiškinkite, ar pagal priemonę, apie kurią pranešama, remiama veikla atitinka Europos Parlamento ir Tarybos reglamento (ES) 2020/852</w:t>
      </w:r>
      <w:r>
        <w:rPr>
          <w:rStyle w:val="FootnoteReference"/>
          <w:lang w:eastAsia="en-GB"/>
        </w:rPr>
        <w:footnoteReference w:id="12"/>
      </w:r>
      <w:r>
        <w:rPr>
          <w:shd w:val="clear" w:color="auto" w:fill="FFFFFF"/>
        </w:rPr>
        <w:t xml:space="preserve"> 3 straipsnyje nustatytus aplinkos atžvilgiu tvarios ekonominės veiklos kriterijus, įskaitant principą „nedaryti reikšmingos žalos“, arba kitas panašias metodikas.</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 xml:space="preserve">Jei rengiamas konkurencinis konkursas, paaiškinkite, ar priemonė (-ės), apie kurią (-ias) pranešama, turi aspektų, kuriais MVĮ sudaromos palankesnės sąlygos dalyvauti konkurenciniuose konkursuose.</w:t>
      </w:r>
      <w:r>
        <w:t xml:space="preserve"> </w:t>
      </w:r>
      <w:r>
        <w:t xml:space="preserve">Jei taip, pateikite informaciją apie tuos aspektus ir pagrįskite, kaip teigiamas MVĮ dalyvavimo priemonėje (-se), apie kurią (-ias) pranešama, užtikrinimo poveikis nusveria galimą iškreipiamąjį poveikį.</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b/>
                <w:i/>
                <w:color w:val="000000"/>
                <w:sz w:val="28"/>
                <w:szCs w:val="28"/>
                <w:rFonts w:eastAsia="Times New Roman"/>
              </w:rPr>
            </w:pPr>
            <w:r>
              <w:rPr>
                <w:b/>
                <w:sz w:val="32"/>
              </w:rPr>
              <w:t xml:space="preserve">C skirsnis.</w:t>
            </w:r>
            <w:r>
              <w:rPr>
                <w:b/>
                <w:sz w:val="32"/>
              </w:rPr>
              <w:t xml:space="preserve"> </w:t>
            </w:r>
            <w:r>
              <w:rPr>
                <w:b/>
                <w:sz w:val="32"/>
              </w:rPr>
              <w:t xml:space="preserve">Vertinimas</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 xml:space="preserve">Kad pateiktumėte šiame skirsnyje prašomą informaciją, žr. PKAAE gairių 5 skyrių (455–463 punktus).</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Pr>
          <w:rStyle w:val="FootnoteReference"/>
          <w:lang w:eastAsia="en-GB"/>
        </w:rPr>
        <w:footnoteReference w:id="13"/>
      </w:r>
      <w:r>
        <w:t xml:space="preserve">.</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 xml:space="preserve">Jei pateikiamas vertinimo plano projektas:</w:t>
      </w:r>
    </w:p>
    <w:p w14:paraId="637F0B69" w14:textId="77777777" w:rsidR="002578DB" w:rsidRPr="00AC286A" w:rsidRDefault="002578DB" w:rsidP="0000132C">
      <w:pPr>
        <w:pStyle w:val="ListParagraph"/>
        <w:numPr>
          <w:ilvl w:val="0"/>
          <w:numId w:val="43"/>
        </w:numPr>
        <w:spacing w:before="120" w:after="120"/>
        <w:jc w:val="both"/>
      </w:pPr>
      <w:r>
        <w:t xml:space="preserve">pateikite šios pranešimo formos priede pateikto vertinimo plano projekto santrauką;</w:t>
      </w:r>
    </w:p>
    <w:p w14:paraId="2F4039F9" w14:textId="152B422C" w:rsidR="002578DB" w:rsidRPr="00AC286A" w:rsidRDefault="002578DB" w:rsidP="00C961E4">
      <w:pPr>
        <w:pStyle w:val="ListParagraph"/>
        <w:spacing w:before="120" w:after="120"/>
        <w:ind w:left="1440"/>
        <w:contextualSpacing w:val="0"/>
        <w:jc w:val="both"/>
      </w:pPr>
      <w:r>
        <w:t xml:space="preserve">………………………………………………………………………………….</w:t>
      </w:r>
    </w:p>
    <w:p w14:paraId="4E5BC5D5" w14:textId="6215C340" w:rsidR="007268FD" w:rsidRPr="00AC286A" w:rsidRDefault="007268FD" w:rsidP="0000132C">
      <w:pPr>
        <w:pStyle w:val="ListParagraph"/>
        <w:numPr>
          <w:ilvl w:val="0"/>
          <w:numId w:val="43"/>
        </w:numPr>
        <w:spacing w:before="120" w:after="120"/>
        <w:contextualSpacing w:val="0"/>
        <w:jc w:val="both"/>
      </w:pPr>
      <w:r>
        <w:t xml:space="preserve">patvirtinkite, kad bus laikomasi PKAAE gairių 460 punkto;</w:t>
      </w:r>
    </w:p>
    <w:p w14:paraId="31C15A1E" w14:textId="53101DDA" w:rsidR="007268FD" w:rsidRPr="00AC286A" w:rsidRDefault="002578DB" w:rsidP="00C961E4">
      <w:pPr>
        <w:pStyle w:val="ListParagraph"/>
        <w:spacing w:before="120" w:after="120"/>
        <w:ind w:left="1440"/>
        <w:contextualSpacing w:val="0"/>
        <w:jc w:val="both"/>
      </w:pPr>
      <w:r>
        <w:t xml:space="preserve">………………………………………………………………………………….</w:t>
      </w: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 xml:space="preserve">pateikite interneto nuorodą į vertinimo planą ir nurodykite, nuo kada jis bus skelbiamas viešai.</w:t>
      </w:r>
    </w:p>
    <w:p w14:paraId="68E3D092" w14:textId="54FE0E7D" w:rsidR="002578DB" w:rsidRPr="00AC286A" w:rsidRDefault="002578DB" w:rsidP="00C961E4">
      <w:pPr>
        <w:pStyle w:val="ListParagraph"/>
        <w:spacing w:before="120" w:after="120"/>
        <w:ind w:left="1440"/>
        <w:contextualSpacing w:val="0"/>
        <w:jc w:val="both"/>
      </w:pPr>
      <w:r>
        <w:t xml:space="preserve">………………………………………………………………………………….</w:t>
      </w: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 xml:space="preserve">Kad būtų galima patikrinti, ar laikomasi PKAAE gairių 461 punkto:</w:t>
      </w:r>
    </w:p>
    <w:p w14:paraId="323279C4" w14:textId="26AA9A6C" w:rsidR="002578DB" w:rsidRPr="00AC286A" w:rsidRDefault="002578DB" w:rsidP="0000132C">
      <w:pPr>
        <w:pStyle w:val="ListParagraph"/>
        <w:numPr>
          <w:ilvl w:val="0"/>
          <w:numId w:val="28"/>
        </w:numPr>
        <w:spacing w:before="120" w:after="120"/>
        <w:contextualSpacing w:val="0"/>
        <w:jc w:val="both"/>
      </w:pPr>
      <w:r>
        <w:t xml:space="preserve">patikslinkite, ar nepriklausomas ekspertas jau atrinktas, ar bus atrinktas;</w:t>
      </w:r>
    </w:p>
    <w:p w14:paraId="557627AC" w14:textId="77777777" w:rsidR="002578DB" w:rsidRPr="00AC286A" w:rsidRDefault="002578DB" w:rsidP="002578DB">
      <w:pPr>
        <w:pStyle w:val="ListParagraph"/>
        <w:spacing w:before="120" w:after="120"/>
        <w:ind w:left="1440"/>
        <w:contextualSpacing w:val="0"/>
        <w:jc w:val="both"/>
      </w:pPr>
      <w:r>
        <w:t xml:space="preserve">…………………………………………………………………………………..</w:t>
      </w:r>
    </w:p>
    <w:p w14:paraId="30DCD8A9" w14:textId="77777777" w:rsidR="002578DB" w:rsidRPr="00AC286A" w:rsidRDefault="002578DB" w:rsidP="0000132C">
      <w:pPr>
        <w:pStyle w:val="ListParagraph"/>
        <w:numPr>
          <w:ilvl w:val="0"/>
          <w:numId w:val="28"/>
        </w:numPr>
        <w:spacing w:before="120" w:after="120"/>
        <w:contextualSpacing w:val="0"/>
        <w:jc w:val="both"/>
      </w:pPr>
      <w:r>
        <w:t xml:space="preserve">pateikite informaciją apie eksperto atrankos procedūrą;</w:t>
      </w:r>
    </w:p>
    <w:p w14:paraId="2370A9CE" w14:textId="77777777" w:rsidR="002578DB" w:rsidRPr="00AC286A" w:rsidRDefault="002578DB" w:rsidP="002578DB">
      <w:pPr>
        <w:pStyle w:val="ListParagraph"/>
        <w:spacing w:before="120" w:after="120"/>
        <w:ind w:left="1440"/>
        <w:contextualSpacing w:val="0"/>
        <w:jc w:val="both"/>
      </w:pPr>
      <w:r>
        <w:t xml:space="preserve">………………………………………………………………………………….</w:t>
      </w:r>
    </w:p>
    <w:p w14:paraId="342F1895" w14:textId="77777777" w:rsidR="002578DB" w:rsidRPr="00AC286A" w:rsidRDefault="002578DB" w:rsidP="0000132C">
      <w:pPr>
        <w:pStyle w:val="ListParagraph"/>
        <w:numPr>
          <w:ilvl w:val="0"/>
          <w:numId w:val="28"/>
        </w:numPr>
        <w:spacing w:before="120" w:after="120"/>
        <w:contextualSpacing w:val="0"/>
        <w:jc w:val="both"/>
      </w:pPr>
      <w:r>
        <w:t xml:space="preserve">pagrįskite, kodėl ekspertas nepriklauso nuo pagalbą teikiančios institucijos.</w:t>
      </w:r>
    </w:p>
    <w:p w14:paraId="0DCED051" w14:textId="77777777" w:rsidR="002578DB" w:rsidRPr="00AC286A" w:rsidRDefault="002578DB" w:rsidP="002578DB">
      <w:pPr>
        <w:pStyle w:val="ListParagraph"/>
        <w:spacing w:before="120" w:after="120"/>
        <w:ind w:left="1440"/>
        <w:contextualSpacing w:val="0"/>
        <w:jc w:val="both"/>
      </w:pPr>
      <w:r>
        <w:t xml:space="preserve">…………………………………………………………………………………..</w:t>
      </w: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Kad būtų galima patikrinti, ar laikomasi PKAAE gairių 461 punkto:</w:t>
      </w:r>
      <w:r>
        <w:t xml:space="preserve"> </w:t>
      </w:r>
    </w:p>
    <w:p w14:paraId="5B99AA31" w14:textId="36AF6516" w:rsidR="002578DB" w:rsidRPr="00AC286A" w:rsidRDefault="002578DB" w:rsidP="0000132C">
      <w:pPr>
        <w:pStyle w:val="ListParagraph"/>
        <w:numPr>
          <w:ilvl w:val="0"/>
          <w:numId w:val="44"/>
        </w:numPr>
        <w:spacing w:before="120" w:after="12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w:t>
      </w:r>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6F7F7DFB" w14:textId="65DD66EB" w:rsidR="00C62AF1" w:rsidRPr="00AC286A" w:rsidRDefault="00C961E4" w:rsidP="00C961E4">
      <w:pPr>
        <w:pStyle w:val="ListParagraph"/>
        <w:spacing w:before="120" w:after="120"/>
        <w:ind w:left="1080" w:firstLine="360"/>
        <w:contextualSpacing w:val="0"/>
        <w:jc w:val="both"/>
      </w:pPr>
      <w:r>
        <w:t xml:space="preserve">…………………………………………………………………………………..</w:t>
      </w: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b/>
                <w:bCs/>
                <w:i/>
                <w:iCs/>
                <w:sz w:val="28"/>
                <w:szCs w:val="28"/>
                <w:rFonts w:eastAsia="Times New Roman"/>
              </w:rPr>
            </w:pPr>
            <w:r>
              <w:rPr>
                <w:b/>
                <w:sz w:val="32"/>
              </w:rPr>
              <w:t xml:space="preserve">D skirsnis.</w:t>
            </w:r>
            <w:r>
              <w:rPr>
                <w:b/>
                <w:sz w:val="32"/>
              </w:rPr>
              <w:t xml:space="preserve"> </w:t>
            </w:r>
            <w:r>
              <w:rPr>
                <w:b/>
                <w:sz w:val="32"/>
              </w:rPr>
              <w:t xml:space="preserve">Ataskaitų teikimas ir stebėsena</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 xml:space="preserve">Kad pateiktumėte šiame skirsnyje prašomą informaciją, žr. PKAAE gairių 6 skirsnį (464–465 punktus).</w:t>
      </w:r>
    </w:p>
    <w:p w14:paraId="3E33F579" w14:textId="35E63F92" w:rsidR="00C62AF1" w:rsidRDefault="070CBB00" w:rsidP="0000132C">
      <w:pPr>
        <w:pStyle w:val="ListParagraph"/>
        <w:numPr>
          <w:ilvl w:val="0"/>
          <w:numId w:val="4"/>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0DDB55BF" w14:textId="77777777" w:rsidR="00034ACF" w:rsidRPr="00AC286A" w:rsidRDefault="00034ACF" w:rsidP="0000132C">
      <w:pPr>
        <w:tabs>
          <w:tab w:val="left" w:leader="dot" w:pos="9072"/>
        </w:tabs>
        <w:spacing w:before="120" w:after="120"/>
        <w:ind w:left="567"/>
        <w:jc w:val="both"/>
      </w:pPr>
      <w:r>
        <w:t xml:space="preserve">…………………………………………………………………………………..</w:t>
      </w: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 xml:space="preserve">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r>
      <w:r>
        <w:t xml:space="preserve">OL C 80, 2022 2 18, p. 1.</w:t>
      </w:r>
    </w:p>
  </w:footnote>
  <w:footnote w:id="3">
    <w:p w14:paraId="162040A0" w14:textId="77777777" w:rsidR="00CA0EC2" w:rsidRPr="0067348B" w:rsidRDefault="00CA0EC2" w:rsidP="00CA0EC2">
      <w:pPr>
        <w:pStyle w:val="FootnoteText"/>
      </w:pPr>
      <w:r>
        <w:rPr>
          <w:rStyle w:val="FootnoteReference"/>
        </w:rPr>
        <w:footnoteRef/>
      </w:r>
      <w:r>
        <w:tab/>
      </w:r>
      <w:r>
        <w:t xml:space="preserve">Atkreipkite dėmesį, kad pagalbos schemos taikymo trukmė – tai laikotarpis, per kurį galima prašyti pagalbos ir priimti sprendimą ją suteikti (taigi, įskaičiuojamas laikas, kurio nacionalinėms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p>
  </w:footnote>
  <w:footnote w:id="4">
    <w:p w14:paraId="0476288F" w14:textId="5910BFC5" w:rsidR="003037AB" w:rsidRPr="0067348B" w:rsidRDefault="003037AB" w:rsidP="003037AB">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01706528" w14:textId="42D8E4DE" w:rsidR="009926B4" w:rsidRPr="00CF158B" w:rsidRDefault="009926B4" w:rsidP="009926B4">
      <w:pPr>
        <w:pStyle w:val="FootnoteText"/>
      </w:pPr>
      <w:r>
        <w:rPr>
          <w:rStyle w:val="FootnoteReference"/>
        </w:rPr>
        <w:footnoteRef/>
      </w:r>
      <w:r>
        <w:tab/>
      </w:r>
      <w:r>
        <w:t xml:space="preserve">Atkreipkite dėmesį, kad PKAAE gairių 38, 52, 165, 166 bei 167 punktuose ir 39 bei 45 išnašose pateikiama papildomų gairių, kaip turėtų būti rengiamas tikėtinas priešingos padėties scenarijus.</w:t>
      </w:r>
    </w:p>
  </w:footnote>
  <w:footnote w:id="6">
    <w:p w14:paraId="439F37C9" w14:textId="60002BCF" w:rsidR="009B7B9E" w:rsidRPr="00C9125D" w:rsidRDefault="009B7B9E">
      <w:pPr>
        <w:pStyle w:val="FootnoteText"/>
      </w:pPr>
      <w:r>
        <w:rPr>
          <w:rStyle w:val="FootnoteReference"/>
        </w:rPr>
        <w:footnoteRef/>
      </w:r>
      <w:r>
        <w:tab/>
      </w:r>
      <w:r>
        <w:t xml:space="preserve">Terminas „etaloninis projektas“ apibrėžtas PKAAE gairių 19 punkto 63 papunktyje.</w:t>
      </w:r>
      <w:r>
        <w:t xml:space="preserve"> </w:t>
      </w:r>
    </w:p>
  </w:footnote>
  <w:footnote w:id="7">
    <w:p w14:paraId="4FE55020" w14:textId="77777777" w:rsidR="009926B4" w:rsidRDefault="009926B4" w:rsidP="009926B4">
      <w:pPr>
        <w:pStyle w:val="FootnoteText"/>
      </w:pPr>
      <w:r>
        <w:rPr>
          <w:rStyle w:val="FootnoteReference"/>
        </w:rPr>
        <w:footnoteRef/>
      </w:r>
      <w:r>
        <w:tab/>
      </w:r>
      <w:r>
        <w:t xml:space="preserve">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2B3FB5FE" w14:textId="77777777" w:rsidR="009926B4" w:rsidRDefault="009926B4" w:rsidP="0000132C">
      <w:pPr>
        <w:pStyle w:val="FootnoteText"/>
        <w:numPr>
          <w:ilvl w:val="0"/>
          <w:numId w:val="27"/>
        </w:numPr>
      </w:pPr>
      <w:r>
        <w:t xml:space="preserve">ar jo sąlygos (pvz., sutarties sąlygos ir trukmė, investicijų terminai, ar paramos išmokos buvo indeksuojamos pagal infliaciją) buvo panašios į tas, kurios siūlomos priemonėje, apie kurią pranešama?</w:t>
      </w:r>
    </w:p>
    <w:p w14:paraId="46359276" w14:textId="77777777" w:rsidR="009926B4" w:rsidRDefault="009926B4" w:rsidP="0000132C">
      <w:pPr>
        <w:pStyle w:val="FootnoteText"/>
        <w:numPr>
          <w:ilvl w:val="0"/>
          <w:numId w:val="27"/>
        </w:numPr>
      </w:pPr>
      <w:r>
        <w:t xml:space="preserve">ar konkurencinis konkursas vyko panašiomis makroekonominėmis sąlygomis?</w:t>
      </w:r>
    </w:p>
    <w:p w14:paraId="104093C2" w14:textId="087CE78F" w:rsidR="009926B4" w:rsidRDefault="009926B4" w:rsidP="0000132C">
      <w:pPr>
        <w:pStyle w:val="FootnoteText"/>
        <w:numPr>
          <w:ilvl w:val="0"/>
          <w:numId w:val="27"/>
        </w:numPr>
      </w:pPr>
      <w:r>
        <w:t xml:space="preserve">ar technologijų ir (arba) projektų rūšys buvo panašios?</w:t>
      </w:r>
    </w:p>
  </w:footnote>
  <w:footnote w:id="8">
    <w:p w14:paraId="676CCD61" w14:textId="77777777" w:rsidR="009560B9" w:rsidRDefault="009560B9" w:rsidP="00C62AF1">
      <w:pPr>
        <w:pStyle w:val="FootnoteText"/>
      </w:pPr>
      <w:r>
        <w:rPr>
          <w:rStyle w:val="FootnoteReference"/>
        </w:rPr>
        <w:footnoteRef/>
      </w:r>
      <w:r>
        <w:tab/>
      </w:r>
      <w:r>
        <w:t xml:space="preserve">Pagal PKAAE gairių 19 punkto 89 papunktį, Sąjungos standartas yra</w:t>
      </w:r>
    </w:p>
    <w:p w14:paraId="540FE298" w14:textId="77777777" w:rsidR="009560B9" w:rsidRPr="004B74BC" w:rsidRDefault="009560B9" w:rsidP="0000132C">
      <w:pPr>
        <w:pStyle w:val="FootnoteText"/>
        <w:numPr>
          <w:ilvl w:val="0"/>
          <w:numId w:val="23"/>
        </w:numPr>
        <w:rPr>
          <w:i/>
        </w:rPr>
      </w:pPr>
      <w:r>
        <w:rPr>
          <w:i/>
        </w:rP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0074D1B1" w14:textId="6CDC8890" w:rsidR="009560B9" w:rsidRDefault="009560B9" w:rsidP="0000132C">
      <w:pPr>
        <w:pStyle w:val="FootnoteText"/>
        <w:numPr>
          <w:ilvl w:val="0"/>
          <w:numId w:val="23"/>
        </w:numPr>
      </w:pPr>
      <w:r>
        <w:rPr>
          <w:i/>
        </w:rPr>
        <w:t xml:space="preserve">įpareigojimas taikyti geriausius prieinamus gamybos būdus (GPGB), apibrėžtus Direktyvoje 2010/75/ES, ir užtikrinti, kad išmetamųjų teršalų kiekis neviršytų kiekio, kuris būtų pasiektas taikant GPGB;</w:t>
      </w:r>
      <w:r>
        <w:rPr>
          <w:i/>
        </w:rPr>
        <w:t xml:space="preserve"> </w:t>
      </w:r>
      <w:r>
        <w:rPr>
          <w:i/>
        </w:rPr>
        <w:t xml:space="preserve">jeigu su GPGB susiję išmetamųjų teršalų kiekiai nustatyti įgyvendinimo aktuose, priimtuose pagal Direktyvą 2010/75/ES ar pagal kitas taikytinas direktyvas, atsižvelgiant į šias gaires bus taikomi tie kiekiai;</w:t>
      </w:r>
      <w:r>
        <w:rPr>
          <w:i/>
        </w:rPr>
        <w:t xml:space="preserve"> </w:t>
      </w:r>
      <w:r>
        <w:rPr>
          <w:i/>
        </w:rPr>
        <w:t xml:space="preserve">jeigu tie kiekiai išreikšti intervalu, bus taikoma ta riba, nuo kurios laikoma, kad atitinkama įmonė taiko GPGB.</w:t>
      </w:r>
    </w:p>
  </w:footnote>
  <w:footnote w:id="9">
    <w:p w14:paraId="0D510CDC" w14:textId="77777777" w:rsidR="00F4008F" w:rsidRPr="0095488F" w:rsidRDefault="00F4008F" w:rsidP="00F4008F">
      <w:pPr>
        <w:pStyle w:val="FootnoteText"/>
      </w:pPr>
      <w:r>
        <w:rPr>
          <w:rStyle w:val="FootnoteReference"/>
        </w:rPr>
        <w:footnoteRef/>
      </w:r>
      <w:r>
        <w:tab/>
      </w:r>
      <w:r>
        <w:t xml:space="preserve">Daugiau informacijos žr. PKAAE gairių 51–53 bei 165–167 punktuose ir 45 bei 46 išnašose.</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12">
    <w:p w14:paraId="0336C302" w14:textId="77777777" w:rsidR="00796DA4" w:rsidRPr="008772CC" w:rsidRDefault="00796DA4" w:rsidP="00796DA4">
      <w:pPr>
        <w:pStyle w:val="FootnoteText"/>
      </w:pPr>
      <w:r>
        <w:rPr>
          <w:rStyle w:val="FootnoteReference"/>
        </w:rPr>
        <w:footnoteRef/>
      </w:r>
      <w:r>
        <w:tab/>
      </w:r>
      <w:r>
        <w:t xml:space="preserve">2020 m. birželio 18 d. Europos Parlamento ir Tarybos reglamentas (ES) 2020/852 dėl sistemos tvariam investavimui palengvinti sukūrimo, kuriuo iš dalies keičiamas Reglamentas (ES) 2019/2088 (OL L 198, 2020 6 22, p. 13).</w:t>
      </w:r>
    </w:p>
  </w:footnote>
  <w:footnote w:id="13">
    <w:p w14:paraId="7517D6A8" w14:textId="77777777" w:rsidR="002578DB" w:rsidRDefault="002578DB" w:rsidP="002578DB">
      <w:pPr>
        <w:pStyle w:val="FootnoteText"/>
      </w:pPr>
      <w:r>
        <w:rPr>
          <w:rStyle w:val="FootnoteReference"/>
        </w:rPr>
        <w:footnoteRef/>
      </w:r>
      <w:r>
        <w:tab/>
      </w:r>
      <w:r>
        <w:t xml:space="preserve">Pranešimo apie vertinimo planą papildomos informacijos lapo (III.8 dalis) šablonas pateikiamas adresu</w:t>
      </w:r>
      <w:r>
        <w:t xml:space="preserve"> </w:t>
      </w:r>
      <w:hyperlink w:anchor="evaluation-plan" w:history="1">
        <w:r>
          <w:rPr>
            <w:rStyle w:val="Hyperlink"/>
            <w:color w:val="auto"/>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dirty" w:grammar="dirty"/>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val="lt-LT"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t-L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t-LT"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5995</Words>
  <Characters>31419</Characters>
  <DocSecurity>0</DocSecurity>
  <Lines>714</Lines>
  <Paragraphs>269</Paragraphs>
  <ScaleCrop>false</ScaleCrop>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