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3B04212E" w14:textId="4CB6C070" w:rsidR="000442F5" w:rsidRPr="00AC286A" w:rsidRDefault="52B947EB" w:rsidP="007B485D">
            <w:pPr>
              <w:pStyle w:val="Heading2"/>
              <w:spacing w:before="240" w:after="240"/>
              <w:jc w:val="center"/>
              <w:rPr>
                <w:sz w:val="32"/>
                <w:szCs w:val="32"/>
              </w:rPr>
            </w:pPr>
            <w:r>
              <w:rPr>
                <w:sz w:val="32"/>
              </w:rPr>
              <w:t>Ajourført* Supplerende informationsskema for statsstøtte ydet i henhold til retningslinjerne for statsstøtte til klima, miljøbeskyttelse og energi 2022 (CEEAG)</w:t>
            </w:r>
            <w:r>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Kapitel 4.3.1 – Støtte til erhvervelse og leasing af renere køretøjer og renere mobilt udstyr og til eftermontering af køretøjer og mobilt serviceudstyr</w:t>
            </w:r>
          </w:p>
          <w:p w14:paraId="774A46C9" w14:textId="77777777" w:rsidR="00412002" w:rsidRDefault="00412002" w:rsidP="00D30BFF">
            <w:pPr>
              <w:rPr>
                <w:sz w:val="32"/>
                <w:szCs w:val="32"/>
              </w:rPr>
            </w:pPr>
          </w:p>
          <w:p w14:paraId="61FFF7AD" w14:textId="2E71C309" w:rsidR="00FD562C" w:rsidRPr="00AC286A" w:rsidRDefault="00412002" w:rsidP="00412002">
            <w:r>
              <w:t>* endnu ikke formelt vedtaget</w:t>
            </w:r>
          </w:p>
        </w:tc>
      </w:tr>
    </w:tbl>
    <w:p w14:paraId="70D7CD5F" w14:textId="3293E4E6" w:rsidR="000442F5" w:rsidRPr="00AC286A" w:rsidRDefault="000442F5" w:rsidP="000442F5">
      <w:pPr>
        <w:spacing w:before="120" w:after="120"/>
        <w:ind w:right="-142"/>
        <w:jc w:val="both"/>
        <w:rPr>
          <w:i/>
          <w:iCs/>
        </w:rPr>
      </w:pPr>
      <w:r>
        <w:rPr>
          <w:i/>
        </w:rPr>
        <w:t>Dette supplerende informationsskema skal anvendes ved anmeldelse af enhver støtte, der er omfattet af retningslinjerne for statsstøtte til klima, miljøbeskyttelse og energi 2022 (herefter "CEEAG").</w:t>
      </w:r>
    </w:p>
    <w:p w14:paraId="21EE9DF7" w14:textId="23106001" w:rsidR="009E2EA1" w:rsidRPr="00AC286A" w:rsidRDefault="0072538B" w:rsidP="009E2EA1">
      <w:pPr>
        <w:spacing w:before="120" w:after="120"/>
        <w:ind w:right="-142"/>
        <w:jc w:val="both"/>
        <w:rPr>
          <w:i/>
          <w:iCs/>
        </w:rPr>
      </w:pPr>
      <w:r>
        <w:rPr>
          <w:i/>
        </w:rPr>
        <w:t xml:space="preserve">Dette supplerende informationsskema vedrører foranstaltninger, der er omhandlet i kapitel 4.3.1 i CEEAG. Hvis anmeldelsen omfatter foranstaltninger, der er omhandlet i mere end et kapitel i CEEAG, udfyldes det supplerende informationsskema, som omhandler det pågældende kapitel i CEEAG, når skemaet bliver tilgængeligt. </w:t>
      </w:r>
    </w:p>
    <w:p w14:paraId="5A2EC84C" w14:textId="37CB7BF5" w:rsidR="009E2EA1" w:rsidRPr="00AC286A" w:rsidRDefault="009E2EA1" w:rsidP="009E2EA1">
      <w:pPr>
        <w:spacing w:before="120" w:after="120"/>
        <w:ind w:right="-142"/>
        <w:jc w:val="both"/>
        <w:rPr>
          <w:i/>
          <w:iCs/>
        </w:rPr>
      </w:pPr>
      <w:r>
        <w:rPr>
          <w:i/>
        </w:rPr>
        <w:t>Alle de dokumenter, som medlemsstaterne vedlægger dette supplerende informationsskema som bilag, skal nummereres, og dokumentnumrene skal anføres i de relevante afsnit i dette supplerende informationsskema.</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Afsnit A: Resumé af de vigtigste karakteristika ved den eller de anmeldte foranstaltninger</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Baggrund for og formål med den eller de anmeldte foranstaltninger.</w:t>
      </w:r>
    </w:p>
    <w:p w14:paraId="5BFA68C4" w14:textId="7CB889B5" w:rsidR="00A16B2C" w:rsidRPr="00AC286A" w:rsidRDefault="00A16B2C" w:rsidP="0000132C">
      <w:pPr>
        <w:pStyle w:val="ListParagraph"/>
        <w:numPr>
          <w:ilvl w:val="0"/>
          <w:numId w:val="25"/>
        </w:numPr>
        <w:spacing w:after="120"/>
        <w:jc w:val="both"/>
      </w:pPr>
      <w:r>
        <w:t xml:space="preserve">Angiv baggrunden og hovedformålet, herunder eventuelle EU-mål for reduktionen af emissioner fra transport, som foranstaltningen har til formål at understøtte, hvis der ikke allerede er redegjort for det i afsnit 5.2 i formularen vedrørende generelle oplysninger (del I).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Angiv eventuelle andre formål, der forfølges med foranstaltningen. For mål, der ikke er rent miljømæssige, skal det forklares, om de kan medføre forvridninger af konkurrencen i det indre marked.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Ikrafttræden</w:t>
      </w:r>
      <w:r>
        <w:t xml:space="preserve"> </w:t>
      </w:r>
      <w:r>
        <w:rPr>
          <w:b/>
        </w:rPr>
        <w:t>og varighed</w:t>
      </w:r>
      <w:r>
        <w:t>:</w:t>
      </w:r>
    </w:p>
    <w:p w14:paraId="0635286B" w14:textId="137F0160" w:rsidR="00CA0EC2" w:rsidRPr="00AC286A" w:rsidRDefault="00CA0EC2" w:rsidP="0000132C">
      <w:pPr>
        <w:pStyle w:val="ListParagraph"/>
        <w:numPr>
          <w:ilvl w:val="0"/>
          <w:numId w:val="31"/>
        </w:numPr>
        <w:spacing w:after="120"/>
        <w:jc w:val="both"/>
        <w:rPr>
          <w:szCs w:val="24"/>
        </w:rPr>
      </w:pPr>
      <w:r>
        <w:t>Angiv den dato, fra hvilken det er hensigten, at støtteordningen skal træde i kraft, for så vidt det ikke allerede er angivet i afsnit 5.5 i formularen vedrørende generelle oplysninger (del I).</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Angiv ordningens maksimale løbetid.</w:t>
      </w:r>
      <w:r>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Støttemodtager(e)</w:t>
      </w:r>
      <w:r>
        <w:tab/>
      </w:r>
    </w:p>
    <w:p w14:paraId="15587BED" w14:textId="19EBDAD1" w:rsidR="00BC5DDD" w:rsidRPr="00AC286A" w:rsidRDefault="002F1ECC" w:rsidP="0000132C">
      <w:pPr>
        <w:pStyle w:val="ListParagraph"/>
        <w:numPr>
          <w:ilvl w:val="0"/>
          <w:numId w:val="32"/>
        </w:numPr>
        <w:spacing w:after="120"/>
        <w:jc w:val="both"/>
        <w:rPr>
          <w:szCs w:val="24"/>
        </w:rPr>
      </w:pPr>
      <w:r>
        <w:t>Beskriv foranstaltningens/foranstaltningernes (potentielle) støttemodtager(e), hvis dette ikke allerede er angivet i afsnit 3 i formularen vedrørende generelle oplysninger (del I).</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Angiv (de potentielle) støttemodtageres lokalisering (dvs. om kun økonomiske enheder, der er beliggende i den pågældende medlemsstat, eller om dem i andre medlemsstater ligeledes er berettigede til at deltage i foranstaltningen).</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Angiv med henblik på at vurdere, om punkt 15 i CEEAG er overholdt, hvorvidt der inden for rammerne af foranstaltningen/foranstaltningerne ydes støtte til fordel for en virksomhed (individuel eller en del af en ordning), der ikke har efterkommet et krav om tilbagebetaling af støtte, som Kommissionen ved en tidligere afgørelse har erklæret ulovlig og uforenelig med det indre marked.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Oplys i bekræftende fald det støttebeløb, der endnu ikke er tilbagebetalt, med henblik på Kommissionens hensyntagen til dette i vurderingen af støtteforanstaltningen/støtteforanstaltningerne.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Bekræft, at foranstaltningen/foranstaltningerne ikke omfatter støtte til aktiviteter, der falder uden for anvendelsesområdet for CEEAG (se punkt 13 i CEEAG). Angiv i modsat fald nærmere oplysninger.</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Budget for og finansiering af foranstaltningen/foranstaltningerne</w:t>
      </w:r>
      <w:r>
        <w:t>.</w:t>
      </w:r>
    </w:p>
    <w:p w14:paraId="44F1A49C" w14:textId="7E324D11" w:rsidR="00115C85" w:rsidRPr="00AC286A" w:rsidRDefault="00AE07BB" w:rsidP="0000132C">
      <w:pPr>
        <w:pStyle w:val="ListParagraph"/>
        <w:numPr>
          <w:ilvl w:val="0"/>
          <w:numId w:val="33"/>
        </w:numPr>
        <w:spacing w:after="120"/>
        <w:jc w:val="both"/>
        <w:rPr>
          <w:rFonts w:cs="Arial Unicode MS"/>
          <w:bCs/>
        </w:rPr>
      </w:pPr>
      <w:r>
        <w:t>Angiv det årlige og/eller samlede budget for foranstaltningens/foranstaltningernes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Præciser ved foranstaltninger, der finansieres gennem en afgift, om:</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afgiften er fastsat ved lov eller anden retsakt. Angiv i bekræftende fald retsakten, dens nummer og datoen, hvor retsakten blev vedtaget og trådte i kraft, samt et link til retsakten</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afgiften pålægges både indenlandske og importerede produkter</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den anmeldte foranstaltning vil gavne både indenlandske og importerede produkter</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afgiften fuldt ud finansierer foranstaltningen eller kun gør det delvist. Hvis afgiften kun delvis finansierer foranstaltningen, skal de øvrige finansieringskilder for foranstaltningen og deres respektive andel angives</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den afgift, der finansierer den anmeldte foranstaltning, også finansierer andre støtteforanstaltninger. Angiv i bekræftende fald de øvrige støtteforanstaltninger, der finansieres af den pågældende afgift.</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lastRenderedPageBreak/>
              <w:t>Afsnit B: Forenelighedsvurdering af støtten</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Positiv betingelse: Støtten skal fremme udviklingen af en økonomisk aktivitet</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Bidrag til udviklingen af en økonomisk aktivitet</w:t>
            </w:r>
          </w:p>
        </w:tc>
      </w:tr>
    </w:tbl>
    <w:p w14:paraId="2959A7B8" w14:textId="196EFBC3" w:rsidR="00C62AF1" w:rsidRPr="001631E6" w:rsidRDefault="00C62AF1" w:rsidP="001631E6">
      <w:pPr>
        <w:spacing w:before="360" w:after="120"/>
        <w:jc w:val="both"/>
        <w:rPr>
          <w:i/>
        </w:rPr>
      </w:pPr>
      <w:r>
        <w:rPr>
          <w:i/>
        </w:rPr>
        <w:t xml:space="preserve">Med henblik på angivelsen af oplysningerne i dette afsnit henvises til afsnit 3.1.1, punkt 23-25, afsnit 4.3.1.1, punkt 160 og 161, og afsnit 4.3.1.2, punkt 162 og 163, i CEEAG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 xml:space="preserve">Kommissionen kan i henhold til artikel 107, stk. 3, litra c), i traktaten om Den Europæiske Unions funktionsmåde (TEUF) erklære "støtte til fremme af udviklingen af visse erhvervsgrene eller økonomiske regioner, når den ikke ændrer samhandelsvilkårene på en måde, der strider mod den fælles interesse", forenelig med det indre marked. Støtte, der er forenelig i henhold til denne bestemmelse i TEUF, skal derfor bidrage til udviklingen af en bestemt økonomisk aktivitet </w:t>
      </w:r>
    </w:p>
    <w:p w14:paraId="6F83F969" w14:textId="283F3881" w:rsidR="00C62AF1" w:rsidRPr="00AC286A" w:rsidRDefault="00805350" w:rsidP="00C62AF1">
      <w:pPr>
        <w:pStyle w:val="ListParagraph"/>
        <w:spacing w:before="120" w:after="120"/>
        <w:ind w:left="567"/>
        <w:contextualSpacing w:val="0"/>
        <w:jc w:val="both"/>
      </w:pPr>
      <w:r>
        <w:t>Angiv de økonomiske aktiviteter, der vil blive fremmet som følge af støtten, og hvordan udviklingen af disse aktiviteter støttes, med henblik på at vurdere overholdelsen af punkt 23 i CEEAG.</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Redegør derudover nærmere for, i hvilket omfang støtten vedrører de politikker, der er beskrevet i punkt 160 og 161 i CEEAG.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Beskriv de støtteberettigelseskrav, der gælder for støttemodtagerne (f.eks. ved at medtage eventuelle tekniske, miljømæssige (dvs. tilladelser), finansielle (dvs. sikkerhedsstillelse) eller andre krav, som de skal opfylde).</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Giv oplysninger om støtteforanstaltningens/støtteforanstaltningernes præcise omfang, og angiv nøjagtigt de støttede aktiviteter, jf. afsnit 4.3.1.2, punkt 162-163, i CEEAG.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Tilskyndelsesvirkning</w:t>
            </w:r>
          </w:p>
        </w:tc>
      </w:tr>
    </w:tbl>
    <w:p w14:paraId="194E3512" w14:textId="63AD156A" w:rsidR="00C62AF1" w:rsidRPr="00AC286A" w:rsidRDefault="00C62AF1" w:rsidP="00C62AF1">
      <w:pPr>
        <w:spacing w:before="360" w:after="120"/>
        <w:jc w:val="both"/>
        <w:rPr>
          <w:i/>
        </w:rPr>
      </w:pPr>
      <w:r>
        <w:rPr>
          <w:i/>
        </w:rPr>
        <w:t xml:space="preserve">Med henblik på angivelsen af oplysningerne i dette afsnit henvises til afsnit 3.1.2, punkt 26-32, og afsnit 4.3.1.3, punkt 164-169, i CEEAG.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lastRenderedPageBreak/>
        <w:t>Støtte kan kun anses for at fremme en økonomisk aktivitet, hvis den har en tilskyndelsesvirkning. Redegør for, hvordan foranstaltningen/foranstaltningerne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I medfør af punkt 28 i CEEAG:</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Giv en omfattende beskrivelse af det faktiske scenario, der forventes at følge af støtteforanstaltningen, og de sandsynlige kontrafaktiske scenarier uden støtteforanstaltningen.</w:t>
      </w:r>
      <w:r>
        <w:rPr>
          <w:rStyle w:val="FootnoteReference"/>
        </w:rPr>
        <w:footnoteReference w:id="5"/>
      </w:r>
      <w:r>
        <w:t xml:space="preserve"> Forventes det, at forskellige kategorier af støttemodtagere kan modtage støtte, skal det sikres, at det kontrafaktiske scenario er troværdigt for hver af disse kategorier.</w:t>
      </w:r>
      <w:bookmarkEnd w:id="4"/>
      <w:r>
        <w:t xml:space="preserve"> Bemærk, at punkt 165 i CEEAG kræver, at det kontrafaktiske scenario skal være en investering med samme kapacitet, levetid og, hvor det er relevant, andre relevante tekniske karakteristika som den miljøvenlige investering. Bemærk, at punkt 165-169 i CEEAG fastsætter yderligere alternative krav til det kontrafaktiske scenario:</w:t>
      </w:r>
    </w:p>
    <w:p w14:paraId="5EB0E490" w14:textId="77777777" w:rsidR="003115D9" w:rsidRPr="00D9491D"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Hvis det kontrafaktiske scenario består i erhvervelse eller leasing af mindre miljøvenlige køretøjer eller mobilt serviceudstyr i samme kategori og med samme kapacitet som nulemissionskøretøjet eller det renere køretøj, skal det påvises, at det mindre miljøvenlige køretøj eller udstyr som minimum er i overensstemmelse med Unionens standarder, hvor det er relevant.</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Hvis det kontrafaktiske scenario består i at holde det eksisterende køretøj eller mobile serviceudstyr i drift i en periode, der svarer til levetiden for den miljøvenlige investering, bemærkes det, at der bør tages hensyn til de diskonterede vedligeholdelses-, reparations- og moderniseringsomkostninger i denne periode.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Hvis det kontrafaktiske scenario består af en senere udskiftning af køretøjet eller det mobile serviceudstyr, skal køretøjets eller det mobile serviceudstyrs tilbagediskonterede værdi angives for at tage hensyn til forskellen i udstyrets respektive økonomiske levetid.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For køretøjer eller mobilt serviceudstyr, der er omfattet af leasingaftaler, skal der angives en sammenligning af den tilbagediskonterede værdi af leasing af de renere køretøjer eller renere mobilt serviceudstyr med den tilbagediskonterede værdi af leasingværdien af det mindre miljøvenlige køretøj eller mobile serviceudstyr, der ville blive anvendt uden støtten.</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lastRenderedPageBreak/>
        <w:t>Hvis investeringen består i at tilføje udstyr til et eksisterende køretøj eller mobilt serviceudstyr for at forbedre dets miljøpræstationer (f.eks. eftermontering af forureningskontrolsystemer), skal det forklares, om det kontrafaktiske scenario består i at fortsætte med at anvende køretøjet uden eftermonteringsinvesteringen. I så fald kan de støtteberettigede omkostninger bestå af de samlede investeringsomkostninger.</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Forklar kort begrundelsen for valget af sandsynlige kontrafaktiske scenarier i lyset af de foreslåede forskellige kategorier af støttemodtagere, hvis det er relevant.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Angiv omkostninger og indtægter i forbindelse med faktiske og kontrafaktiske scenarier som følger:</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Hvis støtten ydes </w:t>
      </w:r>
      <w:r>
        <w:rPr>
          <w:u w:val="single"/>
        </w:rPr>
        <w:t>uden en udbudsprocedure</w:t>
      </w:r>
      <w:r>
        <w:t>, skal adfærdsændringen begrundes, hvis det er relevant for hver kategori af støttemodtagere, på grundlag af det respektive referenceprojekt</w:t>
      </w:r>
      <w:r>
        <w:rPr>
          <w:vertAlign w:val="superscript"/>
        </w:rPr>
        <w:footnoteReference w:id="6"/>
      </w:r>
      <w:r>
        <w:t>, de tilsvarende kontrafaktiske scenarier og den deraf følgende finansieringskløft.</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Hvis støtten ydes </w:t>
      </w:r>
      <w:r>
        <w:rPr>
          <w:u w:val="single"/>
        </w:rPr>
        <w:t>på grundlag af en udbudsprocedure</w:t>
      </w:r>
      <w:r>
        <w:t>, skal adfærdsændringen begrundes (hvis det er relevant for hver kategori af støttemodtagere/referenceprojekter) ved hjælp af den samme dokumentation som krævet i punkt C, nr. i), ovenfor, eller alternativt fremlægges relevant kvantitativ dokumentation baseret på markedsundersøgelser, investorplaner, finansielle rapporter eller anden kvantitativ dokumentation, herunder tilbud for lignende projekter i nylige sammenlignelige udbudsprocedurer.</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Med henblik på at påvise overholdelsen af punkt 29 og 31 i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bekræft, at arbejdet med projektet eller aktiviteten ikke blev påbegyndt, inden støttemodtageren indgav en skriftlig støtteansøgning til de nationale myndigheder, </w:t>
      </w:r>
    </w:p>
    <w:p w14:paraId="32242483" w14:textId="4448D932" w:rsidR="00C62AF1" w:rsidRPr="00F27797" w:rsidRDefault="00BA4BD6" w:rsidP="00C62AF1">
      <w:pPr>
        <w:pStyle w:val="ListParagraph"/>
        <w:spacing w:before="120" w:after="120"/>
        <w:ind w:left="993"/>
        <w:contextualSpacing w:val="0"/>
        <w:jc w:val="both"/>
      </w:pPr>
      <w:r>
        <w:rPr>
          <w:i/>
        </w:rPr>
        <w:lastRenderedPageBreak/>
        <w:t>ELLER</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påvis, for projekter som blev påbegyndt før støtteansøgningen, at projektet falder ind under et af de undtagelsestilfælde, der er omhandlet i punkt 31, litra a), b) eller c), i CEEAG.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Med henblik på at påvise overholdelse af punkt 32 i CEEAG skal det angives, om der findes EU-standarder</w:t>
      </w:r>
      <w:r>
        <w:rPr>
          <w:rStyle w:val="FootnoteReference"/>
          <w:lang w:val="en-IE" w:eastAsia="en-GB"/>
        </w:rPr>
        <w:footnoteReference w:id="8"/>
      </w:r>
      <w:r>
        <w:t>, der finder anvendelse på de anmeldte foranstaltninger, obligatoriske nationale standarder, der er strengere eller mere ambitiøse end de tilsvarende EU-standarder, eller obligatoriske nationale standarder, som er vedtaget i fravær af EU-standarder. Fremlæg i den forbindelse oplysninger til påvisning af tilskyndelsesvirkningen.</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Når den relevante EU-standard allerede er vedtaget, men endnu ikke er trådt i kraft, skal det påvises, at støtten har en tilskyndelsesvirkning, fordi den tilskynder til, at investeringen gennemføres og afsluttes mindst 18 måneder før, at standarden træder i kraft.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Ingen overtrædelse af relevante EU-retlige bestemmelser</w:t>
            </w:r>
          </w:p>
        </w:tc>
      </w:tr>
    </w:tbl>
    <w:p w14:paraId="5CC837C1" w14:textId="2249AE98" w:rsidR="00C62AF1" w:rsidRPr="00AC286A" w:rsidRDefault="00C62AF1" w:rsidP="00C62AF1">
      <w:pPr>
        <w:spacing w:before="360" w:after="120"/>
        <w:jc w:val="both"/>
        <w:rPr>
          <w:i/>
        </w:rPr>
      </w:pPr>
      <w:r>
        <w:rPr>
          <w:i/>
        </w:rPr>
        <w:t xml:space="preserve">Med henblik på angivelsen af oplysningerne i dette afsnit henvises til afsnit 3.1.3, punkt 33, i CEEAG. </w:t>
      </w:r>
    </w:p>
    <w:p w14:paraId="63B710C7" w14:textId="29BF1601" w:rsidR="00C62AF1" w:rsidRPr="00AC286A" w:rsidRDefault="00C62AF1" w:rsidP="0000132C">
      <w:pPr>
        <w:numPr>
          <w:ilvl w:val="0"/>
          <w:numId w:val="4"/>
        </w:numPr>
        <w:spacing w:before="120" w:after="120"/>
        <w:ind w:left="567" w:hanging="567"/>
        <w:jc w:val="both"/>
      </w:pPr>
      <w:r>
        <w:t>Angiv oplysninger til bekræftelse af overholdelsen af de relevante bestemmelser i EU-retten i overensstemmelse med punkt 33 i CEEAG</w:t>
      </w:r>
      <w:r w:rsidR="00D9491D">
        <w:t>.</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 xml:space="preserve">Hvis en afgift anvendes til at finansiere foranstaltningen/foranstaltningerne, skal det præciseres, om det er nødvendigt at foretage en vurdering af overholdelsen af artikel 30 </w:t>
      </w:r>
      <w:r>
        <w:lastRenderedPageBreak/>
        <w:t>og 110 i TEUF. Påvis i bekræftende fald, hvordan foranstaltningen er i overensstemmelse med bestemmelserne i artikel 30 og 110 i TEUF.</w:t>
      </w:r>
      <w:r>
        <w:rPr>
          <w:i/>
        </w:rPr>
        <w:t xml:space="preserve"> </w:t>
      </w:r>
      <w:r>
        <w:t xml:space="preserve">I den forbindelse kan der henvises til de oplysninger, der er fremlagt ovenfor under spørgsmål 5, </w:t>
      </w:r>
      <w:r>
        <w:fldChar w:fldCharType="begin"/>
      </w:r>
      <w:r>
        <w:instrText xml:space="preserve"> REF _Ref155782335 \r \h  \* MERGEFORMAT </w:instrText>
      </w:r>
      <w:r>
        <w:fldChar w:fldCharType="separate"/>
      </w:r>
      <w:r>
        <w:t>ii</w:t>
      </w:r>
      <w:r>
        <w:fldChar w:fldCharType="end"/>
      </w:r>
      <w:r>
        <w:t>, såfremt de anmeldte foranstaltninger finansieres gennem en afgift.</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Negativ betingelse: Støtten påvirker ikke samhandelsvilkårene på en måde, der strider mod den fælles interesse</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Minimering af konkurrence- og samhandelsfordrejninger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Støttens nødvendighed</w:t>
            </w:r>
          </w:p>
        </w:tc>
      </w:tr>
    </w:tbl>
    <w:p w14:paraId="61C0E123" w14:textId="66E25735" w:rsidR="00C62AF1" w:rsidRPr="00AC286A" w:rsidRDefault="00C62AF1" w:rsidP="00C62AF1">
      <w:pPr>
        <w:spacing w:before="360" w:after="120"/>
        <w:jc w:val="both"/>
        <w:rPr>
          <w:i/>
          <w:color w:val="000000"/>
        </w:rPr>
      </w:pPr>
      <w:r>
        <w:rPr>
          <w:i/>
          <w:color w:val="000000"/>
        </w:rPr>
        <w:t>Med henblik</w:t>
      </w:r>
      <w:r>
        <w:rPr>
          <w:i/>
        </w:rPr>
        <w:t xml:space="preserve"> på angivelsen af oplysningerne</w:t>
      </w:r>
      <w:r>
        <w:rPr>
          <w:i/>
          <w:color w:val="000000"/>
        </w:rPr>
        <w:t xml:space="preserve"> i dette afsnit henvises til afsnit 3.2.1.1, punkt 34-38, i CEEAG. </w:t>
      </w:r>
    </w:p>
    <w:p w14:paraId="2684B23E" w14:textId="02B8C1F8" w:rsidR="00C62AF1" w:rsidRDefault="00C62AF1" w:rsidP="0000132C">
      <w:pPr>
        <w:numPr>
          <w:ilvl w:val="0"/>
          <w:numId w:val="4"/>
        </w:numPr>
        <w:spacing w:before="120" w:after="120"/>
        <w:ind w:left="567" w:hanging="567"/>
        <w:jc w:val="both"/>
      </w:pPr>
      <w:r>
        <w:t>Forklar, hvilke(t) markedssvigt jeres myndigheder har konstateret, som forhindrer opnåelsen af et tilstrækkeligt miljøbeskyttelsesniveau. Angiv, i hvilken kategori de konstaterede markedssvigt falder, via henvisning til punkt 34, litra a), b), c) eller d), i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Angiv oplysninger vedrørende jeres myndigheders afgrænsning af eventuelle eksisterende politikker og foranstaltninger, der allerede er rettet mod de konstaterede regulerings- eller markedssvigt, jf. punkt 35 i CEEAG.</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Påvis overholdelse af punkt 37 i CEEAG ved at forklare, om jeres myndigheder har kendskab til, at projekter eller aktiviteter, der er omfattet af de anmeldte foranstaltninger med hensyn til deres teknologiske indhold, risikoniveau og størrelse, allerede er blevet leveret i Unionen på markedsvilkår. Fremlæg i bekræftende fald yderligere dokumentation for at bevise, at der er behov for statsstøtte.</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Påvis overholdelse af punkt 38 i CEEAG ved at henvise til den kvantitative dokumentation, der allerede er fremlagt under spørgsmål </w:t>
      </w:r>
      <w:r>
        <w:fldChar w:fldCharType="begin"/>
      </w:r>
      <w:r>
        <w:instrText xml:space="preserve"> REF _Ref161224203 \r \h </w:instrText>
      </w:r>
      <w:r>
        <w:fldChar w:fldCharType="separate"/>
      </w:r>
      <w:r>
        <w:t>12</w:t>
      </w:r>
      <w:r>
        <w:fldChar w:fldCharType="end"/>
      </w:r>
      <w:r>
        <w:t xml:space="preserve">, litra </w:t>
      </w:r>
      <w:r>
        <w:fldChar w:fldCharType="begin"/>
      </w:r>
      <w:r>
        <w:instrText xml:space="preserve"> REF _Ref165985385 \r \h </w:instrText>
      </w:r>
      <w:r>
        <w:fldChar w:fldCharType="separate"/>
      </w:r>
      <w:r>
        <w:t>C)</w:t>
      </w:r>
      <w:r>
        <w:fldChar w:fldCharType="end"/>
      </w:r>
      <w:r>
        <w:t xml:space="preserve">, ovenfor.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lastRenderedPageBreak/>
              <w:t>Hensigtsmæssighed</w:t>
            </w:r>
          </w:p>
        </w:tc>
      </w:tr>
    </w:tbl>
    <w:bookmarkEnd w:id="8"/>
    <w:p w14:paraId="564078A7" w14:textId="5B9E20CC" w:rsidR="00C62AF1" w:rsidRDefault="00C62AF1" w:rsidP="05E51075">
      <w:pPr>
        <w:spacing w:before="360" w:after="120"/>
        <w:jc w:val="both"/>
        <w:rPr>
          <w:i/>
          <w:iCs/>
          <w:color w:val="000000"/>
        </w:rPr>
      </w:pPr>
      <w:r>
        <w:rPr>
          <w:i/>
        </w:rPr>
        <w:t>Med henblik på angivelsen af oplysningerne i dette afsnit henvises til afsnit 3.2.1.2, punkt 39-46, og afsnit 4.3.1.4.1, punkt 171, i CEEAG.</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Med henblik på at kontrollere overholdelsen af punkt 41 i CEEAG skal det påvises, at støtteforanstaltningen er udformet på en sådan måde, at de ikke underminerer effektiviteten af andre foranstaltninger, der afhjælper det samme markedssvigt, såsom markedsbaserede mekanismer (f.eks. EU ETS).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Med henblik på at påvise overholdelse af punkt 42 i CEEAG skal det bekræftes, at ingen af støttemodtagerne kan holdes ansvarlige for forureningen i henhold til nuværende EU-lovgivning eller national lovgivning (princippet om, at forureneren betaler).</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Med henblik på at påvise overholdelsen af punkt 43-46 i CEEAG for at vise støttens hensigtsmæssighed i forhold til andre støtteinstrumenter skal der gives følgende oplysninger: </w:t>
      </w:r>
    </w:p>
    <w:p w14:paraId="50891D0D" w14:textId="0B4D0D67" w:rsidR="00C62AF1" w:rsidRPr="00AC286A" w:rsidRDefault="00C62AF1" w:rsidP="0000132C">
      <w:pPr>
        <w:pStyle w:val="ListParagraph"/>
        <w:numPr>
          <w:ilvl w:val="0"/>
          <w:numId w:val="34"/>
        </w:numPr>
        <w:spacing w:after="120"/>
        <w:jc w:val="both"/>
      </w:pPr>
      <w:r>
        <w:t>Forklar, hvorfor andre potentielt mindre forvridende former for støtte er mindre hensigtsmæssige, jf. kravet i punkt 44 i CEEAG. Mindre forvridende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Påvis, at valget af støtteinstrument er afpasset efter det markedssvigt, som støtteforanstaltningen/støtteforanstaltningerne skal afhjælpe, jf. kravet i punkt 45 i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Forklar, hvordan støtteforanstaltningen og dens udformning er egnet til at nå målet for den foranstaltning, som støtten er rettet mod (punkt 46 i CEEAG).</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Med henblik på at vurdere overholdelsen af punkt 40 og 171 i CEEAG skal det forklares, om andre interventionstyper end statsstøtte ikke vil kunne stimulere udviklingen af markedet for ren mobilitet, og deres forventede virkning i forhold til den foreslåede foranstaltning skal beskrives. Sådanne andre interventionstyper kan omfatte indførelse af generelle foranstaltninger, der har til formål at fremme erhvervelse af renere køretøjer, såsom økologiske bonusordninger eller skrotningsordninger eller oprettelse af lavemissionszoner i den pågældende medlemsstat.</w:t>
      </w:r>
    </w:p>
    <w:p w14:paraId="2883B8C9" w14:textId="296D3E43" w:rsidR="001631E6" w:rsidRPr="00AC286A" w:rsidRDefault="00FC4C91" w:rsidP="008B2060">
      <w:pPr>
        <w:pStyle w:val="ListParagraph"/>
        <w:tabs>
          <w:tab w:val="left" w:leader="dot" w:pos="9072"/>
        </w:tabs>
        <w:spacing w:before="120" w:after="120"/>
        <w:ind w:left="567"/>
        <w:jc w:val="both"/>
      </w:pPr>
      <w:r>
        <w:lastRenderedPageBreak/>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Proportionalitet</w:t>
            </w:r>
          </w:p>
        </w:tc>
      </w:tr>
    </w:tbl>
    <w:p w14:paraId="4583CF53" w14:textId="484D45EB" w:rsidR="002E4A39" w:rsidRPr="00AC286A" w:rsidRDefault="002E4A39" w:rsidP="001F1E32">
      <w:pPr>
        <w:spacing w:before="360" w:after="120"/>
        <w:jc w:val="both"/>
        <w:rPr>
          <w:i/>
        </w:rPr>
      </w:pPr>
      <w:r>
        <w:rPr>
          <w:i/>
        </w:rPr>
        <w:t xml:space="preserve">Med henblik på angivelsen af oplysningerne i dette afsnit henvises til afsnit 3.2.1.3, punkt 47-55, og afsnit 4.3.1.4.2, punkt 172-181, i CEEAG. Bemærk, at de </w:t>
      </w:r>
      <w:r>
        <w:rPr>
          <w:i/>
          <w:u w:val="single"/>
        </w:rPr>
        <w:t>følgende to afsnit 2.1.3.1 og 2.1.3.2 er alternativer til hinanden</w:t>
      </w:r>
      <w:r>
        <w:rPr>
          <w:i/>
        </w:rPr>
        <w:t>. Angiv kun svar på det afsnit, der er relevant med hensyn til udformningen af den foreslåede foranstaltning.</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Proportionaliteten af støtte, der ydes gennem en udbudsprocedure</w:t>
            </w:r>
          </w:p>
        </w:tc>
      </w:tr>
    </w:tbl>
    <w:p w14:paraId="7AD4AA0A" w14:textId="77F5469E" w:rsidR="00A84671" w:rsidRPr="00AC286A" w:rsidRDefault="00C62AF1" w:rsidP="009854EF">
      <w:pPr>
        <w:pStyle w:val="ListParagraph"/>
        <w:spacing w:before="120" w:after="120"/>
        <w:ind w:left="0"/>
        <w:contextualSpacing w:val="0"/>
        <w:jc w:val="both"/>
      </w:pPr>
      <w:r>
        <w:rPr>
          <w:i/>
        </w:rPr>
        <w:t>Med henblik på angivelse af oplysningerne i dette afsnit henvises til punkt 49, 50, 173, 174 og 175 i CEEAG</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Angiv følgende med henblik på at påvise overholdelsen af punkt 49, 50 og 173 i CEEAG:</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Angiv de udvælgelseskriterier, der anvendes til rangordning af tilbud og i sidste ende til at identificere støtteniveauet i udbudsproceduren. Nærmere bestemt: </w:t>
      </w:r>
    </w:p>
    <w:p w14:paraId="321C47E7" w14:textId="77777777" w:rsidR="00C62AF1" w:rsidRPr="00AC286A" w:rsidRDefault="00C62AF1" w:rsidP="0000132C">
      <w:pPr>
        <w:pStyle w:val="ListParagraph"/>
        <w:numPr>
          <w:ilvl w:val="1"/>
          <w:numId w:val="22"/>
        </w:numPr>
        <w:spacing w:before="120" w:after="120"/>
        <w:contextualSpacing w:val="0"/>
        <w:jc w:val="both"/>
      </w:pPr>
      <w:r>
        <w:t>Angiv en liste over udvælgelseskriterierne, og angiv, hvilke af dem der er/ikke er direkte eller indirekte knyttet til foranstaltningens/foranstaltningernes hovedmål. Angiv deres vægtning.</w:t>
      </w:r>
    </w:p>
    <w:p w14:paraId="01FF411D" w14:textId="77777777" w:rsidR="00C62AF1" w:rsidRPr="00AC286A" w:rsidRDefault="00C62AF1" w:rsidP="001631E6">
      <w:pPr>
        <w:tabs>
          <w:tab w:val="left" w:leader="dot" w:pos="9072"/>
        </w:tabs>
        <w:spacing w:before="120" w:after="120"/>
        <w:ind w:left="1800"/>
        <w:jc w:val="both"/>
      </w:pPr>
      <w:r>
        <w:tab/>
      </w:r>
    </w:p>
    <w:p w14:paraId="3871A0FF" w14:textId="0D8DE64E" w:rsidR="00C62AF1" w:rsidRPr="00AC286A" w:rsidRDefault="00C62AF1" w:rsidP="0000132C">
      <w:pPr>
        <w:pStyle w:val="ListParagraph"/>
        <w:numPr>
          <w:ilvl w:val="1"/>
          <w:numId w:val="22"/>
        </w:numPr>
        <w:spacing w:before="120" w:after="120"/>
        <w:contextualSpacing w:val="0"/>
        <w:jc w:val="both"/>
      </w:pPr>
      <w:r>
        <w:t>Redegør for, hvordan udvælgelseskriterierne sætter bidraget til foranstaltningens/foranstaltningernes hovedmål i direkte eller indirekte forhold til det støttebeløb, som ansøgeren har anmodet om. Dette kan f.eks. udtrykkes i støtte pr. miljøbeskyttelsesenhed eller støtte pr. nulemissionskøretøj eller renere køretøj (punkt 50 og fodnote 44 i CEEAG).</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Hvis der er andre udvælgelseskriterier, som ikke er direkte eller indirekte knyttet til foranstaltningens/foranstaltningernes hovedmål, skal den foreslåede tilgang begrundes, og det skal forklares, hvordan den er hensigtsmæssig i forhold til de mål, der forfølges med foranstaltningen/foranstaltningerne. Bekræft også, at disse kriterier ikke udgør mere end 30 % af vægtningen af alle udvælgelseskriterierne (punkt 50 og 174 i CEEAG).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lastRenderedPageBreak/>
        <w:t>Forklar, hvor lang tid før ansøgningsfristen udløb udvælgelseskriterierne vil blive offentliggjort i hver udbudsprocedure (punkt 49, litra b), og fodnote 43 i CEEAG).</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løbetid (punkt 49, litra c), i CEEAG).</w:t>
      </w:r>
      <w:r>
        <w:rPr>
          <w:shd w:val="clear" w:color="auto" w:fill="FFFFFF"/>
        </w:rPr>
        <w:t xml:space="preserve"> I redegørelsen skal der tages hensyn til ordningens budget eller volumen. Henvis til den dokumentation, der er fremlagt i svarene på spørgsmål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såfremt det er relevant.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t>Angiv antallet af planlagte budrunder og det forventede antal tilbudsgivere i første runde og over tid.</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t>Forklar, såfremt der er tale om en eller flere undertegnede udbudsprocedurer, hvordan og hvornår udformningen af undertegnede udbudsprocedurer vil blive korrigeret under gennemførelsen af ordningen for at genoprette effektiv konkurrence (punkt 49, litra c), i CEEAG).</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Bekræft, at efterfølgende justeringer af resultatet af udbudsproceduren (f.eks. efterfølgende forhandlinger om budresultater eller rationering) undgås (punkt 49, litra d), i CEEAG).</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Forklar, hvordan proportionaliteten sikres, hvis der er mulighed for "bud uden støtte" (se punkt 49, fodnote 42, i CEEAG).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Angiv, om myndighederne forudser anvendelse af prisbundgrænser eller -lofter i udbudsproceduren. Begrund i bekræftende fald deres anvendelse, og forklar, hvordan de ikke begrænser udbudsproceduren (punkt 49 og fodnote 42 i CEEAG).</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Forklar, hvordan udformningen af udbudsproceduren sikrer, at ansøgerne fortsat har tilstrækkelige incitamenter til at byde på projekter vedrørende erhvervelse af nulemissionskøretøjer, som generelt er dyrere end mindre miljøvenlige alternativer, for så vidt som de er tilgængelige for den pågældende transportform. Forklar eksempelvis, om udformningen af udbudsproceduren omfatter præmier, der giver mulighed for at tildele en højere score til projekter, som giver miljømæssige fordele ud over dem, der følger af støtteberettigelseskravene eller foranstaltningens primære mål (punkt 175 i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Proportionaliteten af støtte, der </w:t>
            </w:r>
            <w:r>
              <w:rPr>
                <w:sz w:val="24"/>
                <w:u w:val="single"/>
              </w:rPr>
              <w:t>ikke</w:t>
            </w:r>
            <w:r>
              <w:rPr>
                <w:sz w:val="24"/>
              </w:rPr>
              <w:t xml:space="preserve"> ydes gennem en </w:t>
            </w:r>
            <w:r>
              <w:rPr>
                <w:sz w:val="24"/>
              </w:rPr>
              <w:lastRenderedPageBreak/>
              <w:t>udbudsprocedure</w:t>
            </w:r>
          </w:p>
        </w:tc>
      </w:tr>
    </w:tbl>
    <w:p w14:paraId="422D5582" w14:textId="3525E601" w:rsidR="00C62AF1" w:rsidRPr="00AC286A" w:rsidRDefault="00C62AF1" w:rsidP="009854EF">
      <w:pPr>
        <w:pStyle w:val="ListParagraph"/>
        <w:spacing w:before="120" w:after="120"/>
        <w:ind w:left="0"/>
        <w:contextualSpacing w:val="0"/>
        <w:jc w:val="both"/>
      </w:pPr>
      <w:r>
        <w:rPr>
          <w:i/>
        </w:rPr>
        <w:lastRenderedPageBreak/>
        <w:t>Med henblik på angivelsen af oplysningerne i dette afsnit henvises til punkt 51-55 og 176-181 i CEEAG</w:t>
      </w:r>
      <w:r>
        <w:t>.</w:t>
      </w:r>
    </w:p>
    <w:p w14:paraId="1F6FE818" w14:textId="1814D969" w:rsidR="00EF71CF" w:rsidRPr="00EF71CF" w:rsidRDefault="00EF71CF" w:rsidP="0000132C">
      <w:pPr>
        <w:numPr>
          <w:ilvl w:val="0"/>
          <w:numId w:val="4"/>
        </w:numPr>
        <w:spacing w:before="120" w:after="120"/>
        <w:ind w:left="567" w:hanging="567"/>
        <w:jc w:val="both"/>
      </w:pPr>
      <w:r>
        <w:t xml:space="preserve">Forklar, hvorfor der ikke anvendes en udbudsprocedure (med henvisning til undtagelserne i punkt 176 i CEEAG):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det forventede antal deltagere er ikke tilstrækkeligt til at sikre effektiv konkurrence eller undgå strategiske bud, </w:t>
      </w:r>
      <w:r>
        <w:rPr>
          <w:i/>
        </w:rPr>
        <w:t>ELLER</w:t>
      </w:r>
    </w:p>
    <w:p w14:paraId="2BE7768F" w14:textId="52FE47F8" w:rsidR="001A514F" w:rsidRDefault="009A3188" w:rsidP="0000132C">
      <w:pPr>
        <w:pStyle w:val="ListParagraph"/>
        <w:numPr>
          <w:ilvl w:val="0"/>
          <w:numId w:val="37"/>
        </w:numPr>
        <w:spacing w:before="120" w:after="120"/>
        <w:contextualSpacing w:val="0"/>
        <w:jc w:val="both"/>
      </w:pPr>
      <w:r>
        <w:t xml:space="preserve">en udbudsprocedure som beskrevet i punkt 49 og 50 er ikke hensigtsmæssig med hensyn til at sikre støttens proportionalitet, og anvendelse af de alternative metoder i punkt 177 til 180 i CEEAG til at påvise proportionalitet vil ikke øge risikoen for urimelige konkurrenceforvridninger, afhængigt af foranstaltningens eller de berørte sektorers eller transportformers karakteristika, </w:t>
      </w:r>
      <w:r>
        <w:rPr>
          <w:i/>
        </w:rPr>
        <w:t>ELLER</w:t>
      </w:r>
      <w:r>
        <w:t xml:space="preserve"> </w:t>
      </w:r>
    </w:p>
    <w:p w14:paraId="5D52BE55" w14:textId="25904D05" w:rsidR="009A3188" w:rsidRDefault="009A3188" w:rsidP="0000132C">
      <w:pPr>
        <w:pStyle w:val="ListParagraph"/>
        <w:numPr>
          <w:ilvl w:val="0"/>
          <w:numId w:val="37"/>
        </w:numPr>
        <w:spacing w:before="120" w:after="120"/>
        <w:contextualSpacing w:val="0"/>
        <w:jc w:val="both"/>
      </w:pPr>
      <w:r>
        <w:t>støtten ydes til erhvervelse eller leasing af køretøjer, der er beregnet til brug for virksomheder, som er aktive inden for offentlig personbefordring ad land-, jernbane- eller vandvejen.</w:t>
      </w:r>
    </w:p>
    <w:p w14:paraId="35C3311B" w14:textId="5F324DD8" w:rsidR="00A84671" w:rsidRPr="001631E6" w:rsidRDefault="003115D9" w:rsidP="001C4C34">
      <w:pPr>
        <w:ind w:left="1560" w:hanging="142"/>
        <w:jc w:val="both"/>
      </w:pPr>
      <w:r>
        <w:t>…………………………………………………………………………………</w:t>
      </w:r>
    </w:p>
    <w:p w14:paraId="3DE19FEA" w14:textId="4C5FC86E" w:rsidR="008E430F" w:rsidRDefault="00B63C98" w:rsidP="0000132C">
      <w:pPr>
        <w:numPr>
          <w:ilvl w:val="0"/>
          <w:numId w:val="4"/>
        </w:numPr>
        <w:spacing w:before="120" w:after="120"/>
        <w:ind w:left="567" w:hanging="567"/>
        <w:jc w:val="both"/>
      </w:pPr>
      <w:r>
        <w:t>Angiv de ekstra nettoomkostninger ved investeringen. Disse beregnes som forskellen mellem på den ene side de samlede omkostninger ved ejerskab af det renere køretøj, der forventes erhvervet eller leaset, og på den anden side de samlede omkostninger ved ejerskab i det kontrafaktiske scenario, eksklusive omkostninger, der ikke er direkte forbundet med opnåelsen af et højere miljøbeskyttelsesniveau. Med hensyn til eftermontering af køretøjer eller mobilt serviceudstyr kan de støtteberettigede omkostninger være de samlede omkostninger ved eftermontering, forudsat at køretøjerne eller det mobile serviceudstyr i det kontrafaktiske scenario bevarer den samme økonomiske levetid, hvis der ikke foretages eftermontering (punkt 178-179 i CEEAG).</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Angiv de maksimale støtteintensiteter, der gælder for foranstaltningen, og angiv, om eventuelle bonusser (som beskrevet i punkt 177 i CEEAG) finder anvendelse.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Hvis det uanset punkt 177-179 i CEEAG vurderes, at der er behov for støtte ud over de maksimale støtteintensiteter, der er fastsat i punkt 177 i CEEAG, skal det støtteniveau, der anses for nødvendigt, angives, og det skal begrundes på grundlag af en analyse af finansieringskløften for referenceprojekter i de faktiske og kontrafaktiske scenarier, der er angivet i svaret på spørgsmål </w:t>
      </w:r>
      <w:r>
        <w:fldChar w:fldCharType="begin"/>
      </w:r>
      <w:r>
        <w:instrText xml:space="preserve"> REF _Ref161224203 \r \h </w:instrText>
      </w:r>
      <w:r>
        <w:fldChar w:fldCharType="separate"/>
      </w:r>
      <w:r>
        <w:t>12</w:t>
      </w:r>
      <w:r>
        <w:fldChar w:fldCharType="end"/>
      </w:r>
      <w:r>
        <w:t>, litra C), nr. i), ovenfor, i overensstemmelse med punkt 51-52 i CEEAG.</w:t>
      </w:r>
      <w:bookmarkEnd w:id="10"/>
    </w:p>
    <w:p w14:paraId="264FE08C" w14:textId="6A1796CC" w:rsidR="00F4008F" w:rsidRDefault="6554BC11" w:rsidP="001C4C34">
      <w:pPr>
        <w:spacing w:before="120" w:after="120"/>
        <w:ind w:left="567"/>
        <w:jc w:val="both"/>
      </w:pPr>
      <w:r>
        <w:t>Med henblik på denne analyse af finansieringskløften skal der, for så vidt angår det faktiske og det troværdige kontrafaktiske scenario,</w:t>
      </w:r>
      <w:r>
        <w:rPr>
          <w:rStyle w:val="FootnoteReference"/>
          <w:lang w:val="en-IE"/>
        </w:rPr>
        <w:footnoteReference w:id="9"/>
      </w:r>
      <w:r>
        <w:t xml:space="preserve"> som angivet i svaret på spørgsmål </w:t>
      </w:r>
      <w:r>
        <w:fldChar w:fldCharType="begin"/>
      </w:r>
      <w:r>
        <w:instrText xml:space="preserve"> REF _Ref161224203 \r \h </w:instrText>
      </w:r>
      <w:r>
        <w:fldChar w:fldCharType="separate"/>
      </w:r>
      <w:r>
        <w:t>12</w:t>
      </w:r>
      <w:r>
        <w:fldChar w:fldCharType="end"/>
      </w:r>
      <w:r>
        <w:t xml:space="preserve"> ovenfor, forelægges en kvantificering af alle de vigtigste omkostninger og indtægter, de anslåede vægtede gennemsnitlige kapitalomkostninger (WACC) for støttemodtagerne (eller referenceprojekterne) for at diskontere fremtidige </w:t>
      </w:r>
      <w:r>
        <w:lastRenderedPageBreak/>
        <w:t xml:space="preserve">pengestrømme samt nettonutidsværdien (NNV) for de faktiske og kontrafaktiske scenarier i projektets/referenceprojektets levetid. </w:t>
      </w:r>
    </w:p>
    <w:p w14:paraId="45BB3A0D" w14:textId="77777777" w:rsidR="002F62D3" w:rsidRPr="00D9491D"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Angiv dette i et bilag til denne anmeldelsesformular (ved hjælp af en Excel-fil, hvor alle formler er synlige).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I tilfælde af individuel støtte og ordninger, der kommer et særligt begrænset antal støttemodtagere til gode, skal medlemsstaten fremlægge dokumentationen i den detaljerede forretningsplan for projektet.</w:t>
      </w:r>
    </w:p>
    <w:p w14:paraId="1610350D" w14:textId="77777777" w:rsidR="002712FE" w:rsidRPr="00AC286A" w:rsidRDefault="002712FE" w:rsidP="001C4C34">
      <w:pPr>
        <w:ind w:left="1440"/>
        <w:jc w:val="both"/>
        <w:rPr>
          <w:shd w:val="clear" w:color="auto" w:fill="FFFFFF"/>
        </w:rPr>
      </w:pPr>
      <w:r>
        <w:rPr>
          <w:shd w:val="clear" w:color="auto" w:fill="FFFFFF"/>
        </w:rPr>
        <w:t>I tilfælde af støtteordninger skal medlemsstaten fremlægge dokumentation på grundlag af et eller flere referenceprojekter.</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De dokumenter, der er nævnt i fodnote 39 i CEEAG, kan også vedlægges denne anmeldelsesformular. Bestyrelsesdokumenter kan være særligt nyttige for individuelle støtteforanstaltninger eller -ordninger til fordel for et særligt begrænset antal støttemodtagere. Hvis sådanne dokumenter er vedlagt anmeldelsesformularen, skal der nedenfor anføres en liste over disse dokumenter med angivelse af forfatteren, datoen for deres udarbejdelse og konteksten for deres anvendelse.</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35DA4CCF" w:rsidR="00E15BFB" w:rsidRDefault="00E15BFB" w:rsidP="0000132C">
      <w:pPr>
        <w:numPr>
          <w:ilvl w:val="0"/>
          <w:numId w:val="4"/>
        </w:numPr>
        <w:spacing w:before="120" w:after="120"/>
        <w:ind w:left="567" w:hanging="567"/>
        <w:jc w:val="both"/>
      </w:pPr>
      <w:r>
        <w:t xml:space="preserve">Det skal også påvises, at anvendelsen af en højere støtte som anført i spørgsmål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ikke vil medføre, at støtten overstiger finansieringskløften.</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2204B28B" w:rsidR="00C62AF1" w:rsidRDefault="602E7F5B" w:rsidP="0000132C">
      <w:pPr>
        <w:numPr>
          <w:ilvl w:val="0"/>
          <w:numId w:val="4"/>
        </w:numPr>
        <w:spacing w:before="120" w:after="120"/>
        <w:ind w:left="567" w:hanging="567"/>
        <w:jc w:val="both"/>
        <w:rPr>
          <w:shd w:val="clear" w:color="auto" w:fill="FFFFFF"/>
        </w:rPr>
      </w:pPr>
      <w:r>
        <w:t>I alle tilfælde hvor proportionaliteten er berettiget med henvisning til en analyse af finansieringskløften, skal det også bekræftes, at jeres myndigheder vil foretage en efterfølgende kontrol for at efterprøve forudsætningerne for det krævede støtteniveau og indføre en tilbagebetalingsmekanisme.</w:t>
      </w:r>
      <w:r>
        <w:rPr>
          <w:shd w:val="clear" w:color="auto" w:fill="FFFFFF"/>
        </w:rPr>
        <w:t xml:space="preserve"> </w:t>
      </w:r>
      <w:r>
        <w:t>Beskriv også den overvågnings- og tilbagebetalingsmekanisme, som jeres myndigheder agter at anvende (punkt 180 i CEEAG).</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lastRenderedPageBreak/>
              <w:t>2.1.4. Kumulering</w:t>
            </w:r>
          </w:p>
        </w:tc>
      </w:tr>
    </w:tbl>
    <w:p w14:paraId="7AD631CF" w14:textId="77777777" w:rsidR="00C62AF1" w:rsidRPr="00AC286A" w:rsidRDefault="00C62AF1" w:rsidP="00FC5BDD">
      <w:pPr>
        <w:pStyle w:val="ListParagraph"/>
        <w:spacing w:before="120" w:after="120"/>
        <w:ind w:left="0"/>
        <w:contextualSpacing w:val="0"/>
        <w:jc w:val="both"/>
      </w:pPr>
      <w:r>
        <w:rPr>
          <w:i/>
        </w:rPr>
        <w:t>Med henblik på angivelsen af oplysningerne i dette afsnit henvises til punkt 56-57 i CEEAG</w:t>
      </w:r>
      <w: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For så vidt som det ikke allerede er angivet i del I i den generelle anmeldelsesformular og for at kontrollere overholdelsen af punkt 56 i CEEAG, skal det præciseres, om støtten inden for rammerne af den eller de anmeldte foranstaltninger kan tildeles sideløbende efter flere støtteordninger, eller den kan kumuleres med ad hoc-støtte eller de minimis-støtte i forbindelse med de samme støtteberettigede omkostninger. Giv i dette tilfælde nærmere oplysninger om disse støtteordninger, ad hoc-støtte eller de minimis-støtte, og hvordan støtten vil blive kumuleret.</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Hvis punkt 56 i CEEAG finder anvendelse, skal der gives en begrundelse for, at det samlede støttebeløb, der ydes i henhold til den eller de anmeldte foranstaltninger til et projekt eller en aktivitet, ikke fører til overkompensation eller overstiger det maksimale støttebeløb, som er tilladt i henhold til punkt 173, 177 eller 180 i CEEAG. Angiv for hver foranstaltning, hvorunder støtte givet inden for rammerne af den eller de anmeldte støtteforanstaltninger kan kumuleres, den metode, der er anvendt til at sikre overholdelse af betingelserne i punkt 56 i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Hvis punkt 57 i CEEAG finder anvendelse, dvs. at den støtte, der ydes i inden for rammerne af den eller de anmeldte foranstaltninger, kombineres med centralt forvaltede EU-midler</w:t>
      </w:r>
      <w:r>
        <w:rPr>
          <w:rStyle w:val="FootnoteReference"/>
          <w:lang w:eastAsia="en-GB"/>
        </w:rPr>
        <w:footnoteReference w:id="11"/>
      </w:r>
      <w:r>
        <w:t xml:space="preserve"> (som ikke udgør statsstøtte), skal det begrundes, hvordan den samlede offentlige finansiering, der ydes i forbindelse med de samme støtteberettigede omkostninger, ikke fører til overkompensation.</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Gennemsigtighed</w:t>
            </w:r>
          </w:p>
        </w:tc>
      </w:tr>
    </w:tbl>
    <w:p w14:paraId="19C31F80" w14:textId="2D4539B5" w:rsidR="00C62AF1" w:rsidRPr="00AC286A" w:rsidRDefault="00C62AF1" w:rsidP="00C62AF1">
      <w:pPr>
        <w:spacing w:before="360" w:after="120"/>
        <w:jc w:val="both"/>
        <w:rPr>
          <w:i/>
        </w:rPr>
      </w:pPr>
      <w:r>
        <w:rPr>
          <w:i/>
        </w:rPr>
        <w:t xml:space="preserve">Med henblik på angivelsen af oplysningerne i dette afsnit henvises til afsnit 3.2.1.4, punkt 58-61, i CEEAG. </w:t>
      </w:r>
    </w:p>
    <w:p w14:paraId="4211141D" w14:textId="58565510" w:rsidR="008E430F" w:rsidRDefault="1C6367A9" w:rsidP="0000132C">
      <w:pPr>
        <w:numPr>
          <w:ilvl w:val="0"/>
          <w:numId w:val="4"/>
        </w:numPr>
        <w:spacing w:before="120" w:after="120"/>
        <w:ind w:left="567" w:hanging="567"/>
        <w:jc w:val="both"/>
      </w:pPr>
      <w:r>
        <w:t xml:space="preserve">Bekræft, at medlemsstaten vil opfylde kravene om gennemsigtighed i punkt 58-61 i CEEAG.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Angiv internetlinket til offentliggørelsen af den godkendte støtteordnings fulde ordlyd eller afgørelsen om at yde individuel støtte og dennes gennemførelsesbestemmelser og oplysninger om hver enkelt individuel tildeling af støtte, som ydes ad hoc eller i henhold til en støtteordning, der er godkendt på grundlag af CEEAG, og som overstiger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 xml:space="preserve">2.2 Undgåelse af uberettigede negative virkninger på konkurrencen og </w:t>
            </w:r>
            <w:r>
              <w:rPr>
                <w:sz w:val="24"/>
              </w:rPr>
              <w:lastRenderedPageBreak/>
              <w:t>samhandelen og på balanceringen</w:t>
            </w:r>
            <w:bookmarkEnd w:id="12"/>
          </w:p>
        </w:tc>
      </w:tr>
    </w:tbl>
    <w:p w14:paraId="27571D47" w14:textId="2341FA1A" w:rsidR="00C62AF1" w:rsidRPr="00AC286A" w:rsidRDefault="00C62AF1" w:rsidP="00C62AF1">
      <w:pPr>
        <w:spacing w:before="360" w:after="120"/>
        <w:jc w:val="both"/>
        <w:rPr>
          <w:i/>
        </w:rPr>
      </w:pPr>
      <w:r>
        <w:rPr>
          <w:i/>
        </w:rPr>
        <w:lastRenderedPageBreak/>
        <w:t xml:space="preserve">Med henblik på angivelsen af oplysningerne i dette afsnit henvises til afsnit 3.2.2, punkt 63-70, og afsnit 4.3.1.5, punkt 183-189, i CEEAG. </w:t>
      </w:r>
    </w:p>
    <w:p w14:paraId="5724A4A1" w14:textId="77777777" w:rsidR="000C4C25" w:rsidRDefault="19967884" w:rsidP="0000132C">
      <w:pPr>
        <w:numPr>
          <w:ilvl w:val="0"/>
          <w:numId w:val="4"/>
        </w:numPr>
        <w:spacing w:before="120" w:after="120"/>
        <w:ind w:left="567" w:hanging="567"/>
        <w:jc w:val="both"/>
      </w:pPr>
      <w:r>
        <w:t xml:space="preserve">Med henblik på at kontrollere overholdelsen af punkt 67 i CEEAG skal der gives oplysninger om den eller de anmeldte foranstaltningers mulige kort- og langsigtede negative virkninger for konkurrencen og samhandelen.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Forklar, om foranstaltningen falder ind under en af følgende situationer: </w:t>
      </w:r>
    </w:p>
    <w:p w14:paraId="600A6180" w14:textId="7392E57E" w:rsidR="00F43AD8" w:rsidRDefault="005E6D02" w:rsidP="0000132C">
      <w:pPr>
        <w:pStyle w:val="ListParagraph"/>
        <w:numPr>
          <w:ilvl w:val="0"/>
          <w:numId w:val="39"/>
        </w:numPr>
        <w:spacing w:before="120" w:after="120"/>
        <w:contextualSpacing w:val="0"/>
        <w:jc w:val="both"/>
      </w:pPr>
      <w:r>
        <w:t>Den vedrører et eller flere markeder, hvor de etablerede operatører fik markedsstyrke forud for liberaliseringen af markedet.</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Den omfatter udbudsprocedurer på spirende markeder, når der er en aktør med en stærk markedsposition.</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Den vil kun komme én eller et særligt begrænset antal støttemodtagere til gode.</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Hvis støtteforanstaltningen fokuserer på et specifikt teknologisk valg/en bestemt teknologisk vej, skal det teknologiske valg begrundes, og det skal begrundes, at dette ikke vil modvirke udbredelsen af renere teknologier.</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Hvis den eller de anmeldte foranstaltninger kun vil være til fordel for en eller et særligt begrænset antal støttemodtagere, kræves følgende med henblik på at kontrollere overholdelsen af punkt 68 i CEEAG:</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Forklar, om den eller de anmeldte foranstaltninger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1B4F5B9B" w:rsidR="00C62AF1" w:rsidRPr="00AC286A" w:rsidRDefault="00A30A2E" w:rsidP="0000132C">
      <w:pPr>
        <w:pStyle w:val="ListParagraph"/>
        <w:numPr>
          <w:ilvl w:val="0"/>
          <w:numId w:val="40"/>
        </w:numPr>
        <w:spacing w:before="120" w:after="120"/>
        <w:jc w:val="both"/>
      </w:pPr>
      <w:r>
        <w:t>Beskriv de foranstaltninger, der er indført for at begrænse den potentielle konkurrenceforvridning som følge af, at støtten ydes til støttemodtagerne.</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Forklar følgende med henblik på at påvise overholdelsen af punkt 69 i CEEAG: </w:t>
      </w:r>
    </w:p>
    <w:p w14:paraId="32E33C0A" w14:textId="66BA9774" w:rsidR="00CA77F0" w:rsidRDefault="00CA77F0" w:rsidP="0000132C">
      <w:pPr>
        <w:pStyle w:val="ListParagraph"/>
        <w:numPr>
          <w:ilvl w:val="0"/>
          <w:numId w:val="41"/>
        </w:numPr>
        <w:spacing w:before="120" w:after="120"/>
        <w:jc w:val="both"/>
      </w:pPr>
      <w:r>
        <w:t xml:space="preserve">Om den støtte, der ydes inden for rammerne af den eller de anmeldte foranstaltninger, har til formål at opretholde den økonomiske aktivitet i én region eller flytte den fra andre regioner inden for det indre marked.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lastRenderedPageBreak/>
        <w:t>I bekræftende fald skal det angives, hvilke nettovirkninger den eller de anmeldte foranstaltninger har for miljøet, og hvordan den eller de anmeldte foranstaltninger forbedrer det eksisterende miljøbeskyttelsesniveau i medlemsstaterne.</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Hvordan den støtte, der ydes inden for rammerne af den eller de anmeldte foranstaltninger, ikke har nogen åbenlyst negative virkninger for konkurrencen og samhandelen.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De vigtigste drivkræfter for støttemodtagerens valg af placering af investeringerne i forbindelse med individuel støtte.</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Med henblik på at påvise overholdelsen af punkt 70 i CEEAG:</w:t>
      </w:r>
    </w:p>
    <w:p w14:paraId="78257B32" w14:textId="3CB4D0B9" w:rsidR="00C62AF1" w:rsidRPr="00AC286A" w:rsidRDefault="00C62AF1" w:rsidP="0000132C">
      <w:pPr>
        <w:pStyle w:val="ListParagraph"/>
        <w:numPr>
          <w:ilvl w:val="0"/>
          <w:numId w:val="42"/>
        </w:numPr>
        <w:spacing w:before="120" w:after="120"/>
        <w:jc w:val="both"/>
      </w:pPr>
      <w:r>
        <w:t>Bekræft, at støtten i henhold til den anmeldte støtteordning kan ydes inden for en frist på højst 10 år fra datoen for meddelelsen af Kommissionens afgørelse om, at støtten er forenelig med det indre marked.</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Bekræft, at jeres myndigheder vil anmelde ordningen igen, hvis de ønsker at forlænge ordningens varighed ud over denne maksimale periode,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Hvis den eller de anmeldte foranstaltninger kan tilskynde til nye investeringer i køretøjer og mobilt serviceudstyr, der anvender naturgas, skal det forklares, hvordan foranstaltningen kan anses for ikke at have langsigtede fastlåsningseffekter og for ikke at fortrænge investeringer i renere alternativer. For støtte til erhvervelse eller leasing af CNG- og LNG-køretøjer til vandvejstransport og mobilt serviceudstyr skal det derfor dokumenteres, at renere alternativer til dekarbonisering af den relevante transportform ikke er umiddelbart tilgængelige på markedet og ikke forventes at være tilgængelige på kort sigt. Med henblik herpå skal en periode på mellem 2 og 5 år efter anmeldelsen af støtteforanstaltningen (eller en anden periode, hvis det er behørigt begrundet) tages i betragtning, og der skal fremlægges understøttende uafhængige markedsundersøgelser eller anden relevant dokumentation.</w:t>
      </w:r>
    </w:p>
    <w:p w14:paraId="03059722" w14:textId="0615090E" w:rsidR="00D87BD9" w:rsidRPr="00AC286A" w:rsidRDefault="00F80982" w:rsidP="0000132C">
      <w:pPr>
        <w:tabs>
          <w:tab w:val="left" w:leader="dot" w:pos="9072"/>
        </w:tabs>
        <w:spacing w:before="120" w:after="120"/>
        <w:ind w:left="567"/>
        <w:jc w:val="both"/>
      </w:pPr>
      <w:r>
        <w:tab/>
      </w:r>
    </w:p>
    <w:p w14:paraId="0883AC27" w14:textId="5311B877" w:rsidR="00F80982" w:rsidRPr="00AC286A" w:rsidRDefault="0A6EE3E2" w:rsidP="0000132C">
      <w:pPr>
        <w:pStyle w:val="ListParagraph"/>
        <w:numPr>
          <w:ilvl w:val="0"/>
          <w:numId w:val="4"/>
        </w:numPr>
        <w:spacing w:before="120" w:after="120"/>
        <w:ind w:left="567" w:hanging="567"/>
        <w:contextualSpacing w:val="0"/>
        <w:jc w:val="both"/>
      </w:pPr>
      <w:r>
        <w:t>Hvis den anmeldte foranstaltning kan tilskynde til investeringer i andre rene luftfartøjer end nulemissionsluftfartøjer, hvor disse anvender fossile brændstoffer, skal det dokumenteres, at støtten bidrager til markedsintroduktion eller fremskyndet udbredelse af nye, mere effektive og væsentligt mere miljøvenlige luftfartøjer. Forklar også, hvordan sådanne investeringer er i overensstemmelse med en kurs hen imod klimaneutralitet, og hvordan foranstaltningen undgår risikoen for at fastlåse konventionelle teknologier og at fjerne investeringer i renere alternativer.</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Hvis foranstaltningen vedrører en lufttransporttjeneste, skal det forklares, om jeres myndigheder har til hensigt at kræve, at støttemodtageren nedlægger et tilsvarende antal mindre miljøvenlige luftfartøjer med en startmasse svarende til det luftfartøj, der er erhvervet eller leaset med statsstøtte, for at afbøde støttens potentielt </w:t>
      </w:r>
      <w:r>
        <w:lastRenderedPageBreak/>
        <w:t xml:space="preserve">konkurrenceforvridende virkninger under hensyntagen til støttemodtagerens markedsstilling eller for at øge de positive virkninger af støtteforanstaltningen.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I forbindelse med køb eller leasing af køretøjer eller mobilt serviceudstyr skal det forklares, om ibrugtagning af nye køretøjer vil medføre eller forværre eksisterende markedssvigt, såsom overkapacitet i den pågældende sektor.</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Hvis den anmeldte foranstaltning yder målrettet støtte til en individuel støttemodtager eller et begrænset antal specifikke støttemodtagere uden udbud, skal der gives en begrundelse for foranstaltningens udformning og årsagerne til, at den ikke omfatter alle konkurrenter, der er villige til at levere den samme tjeneste, det samme produkt eller den samme fordel, og det skal påvises, at der tages behørigt hensyn til de højere risici for konkurrenceforvridning.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Afvejning af støttens positive virkninger i forhold til de negative virkninger for konkurrencen og samhandelen</w:t>
            </w:r>
          </w:p>
        </w:tc>
      </w:tr>
    </w:tbl>
    <w:p w14:paraId="21499FBD" w14:textId="74D3BCF1" w:rsidR="00C62AF1" w:rsidRPr="00AC286A" w:rsidRDefault="00C62AF1" w:rsidP="00C62AF1">
      <w:pPr>
        <w:spacing w:before="360" w:after="120"/>
        <w:jc w:val="both"/>
        <w:rPr>
          <w:i/>
          <w:color w:val="000000"/>
        </w:rPr>
      </w:pPr>
      <w:r>
        <w:rPr>
          <w:i/>
        </w:rPr>
        <w:t>Med henblik på angivelsen af oplysningerne i dette afsnit henvises til afsnit 3.3, punkt 71-76, i CEEAG.</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Med henblik på at påvise overholdelsen af punkt 72 i CEEAG skal det forklares, om de aktiviteter, der støttes i henhold til den anmeldte foranstaltning, opfylder kriterierne for miljømæssigt bæredygtige økonomiske aktiviteter i artikel 3 i Europa-Parlamentets og Rådets forordning (EU) 2020/852</w:t>
      </w:r>
      <w:r>
        <w:rPr>
          <w:rStyle w:val="FootnoteReference"/>
          <w:lang w:eastAsia="en-GB"/>
        </w:rPr>
        <w:footnoteReference w:id="12"/>
      </w:r>
      <w:r>
        <w:t>, herunder princippet om "ikke at gøre væsentlig skade", eller andre sammenlignelige metoder.</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(I tilfælde af en udbudsprocedure) Forklar, om den eller de anmeldte foranstaltninger indeholder elementer, der skal lette SMV'ers deltagelse i udbudsprocedurer. Angiv i bekræftende fald oplysninger om disse elementer, og begrund, hvordan de positive virkninger af at sikre SMV'ers deltagelse i den eller de anmeldte foranstaltninger opvejer de mulige konkurrenceforvridende virkninger.</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Afsnit C: Evaluering</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Med henblik på angivelsen af oplysningerne i dette afsnit henvises til kapitel 5, punkt 455-463, i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lastRenderedPageBreak/>
        <w:t>Hvis den eller de anmeldte foranstaltninger overskrider budget- eller udgiftstærsklerne i punkt 456 i CEEAG, skal det enten forklares, hvorfor undtagelsen i punkt 457 i CEEAG efter jeres mening bør finde anvendelse, eller der skal vedlægges et bilag til denne anmeldelsesformular, som indeholder et udkast til evalueringsplan, der dækker det anvendelsesområde, der er nævnt i punkt 458 i CEEAG</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Hvis der fremlægges et udkast til evalueringsplan, skal der:</w:t>
      </w:r>
    </w:p>
    <w:p w14:paraId="637F0B69" w14:textId="77777777" w:rsidR="002578DB" w:rsidRPr="00AC286A" w:rsidRDefault="002578DB" w:rsidP="0000132C">
      <w:pPr>
        <w:pStyle w:val="ListParagraph"/>
        <w:numPr>
          <w:ilvl w:val="0"/>
          <w:numId w:val="43"/>
        </w:numPr>
        <w:spacing w:before="120" w:after="120"/>
        <w:jc w:val="both"/>
      </w:pPr>
      <w:r>
        <w:t>nedenfor gives et resumé af udkastet til evalueringsplanen i bilaget</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gives en bekræftelse af, at punkt 460 i CEEAG vil blive overholdt.</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angives den dato og det internetlink, hvor evalueringsplanen offentliggøres.</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For at påvise overholdelsen af punkt 459, litra b), i CEEAG, såfremt støtteordningen i øjeblikket ikke er genstand for en efterfølgende evaluering, og dens varighed overstiger tre år, skal det bekræftes, at I vil anmelde et udkast til evalueringsplan inden for 30 arbejdsdage efter en betydelig ændring af ordningens budget til over 150 mio. EUR i et givet år eller 750 mio. EUR i løbet af ordningens samlede løbetid. </w:t>
      </w:r>
    </w:p>
    <w:p w14:paraId="755E1927" w14:textId="77777777" w:rsidR="00C62AF1" w:rsidRPr="00AC286A" w:rsidRDefault="00C62AF1" w:rsidP="00C62AF1">
      <w:pPr>
        <w:tabs>
          <w:tab w:val="left" w:leader="dot" w:pos="9072"/>
        </w:tabs>
        <w:spacing w:before="120" w:after="120"/>
        <w:ind w:left="567"/>
        <w:jc w:val="both"/>
      </w:pPr>
      <w:r>
        <w:tab/>
      </w:r>
    </w:p>
    <w:p w14:paraId="35F7F53D" w14:textId="3553A7ED" w:rsidR="00C62AF1" w:rsidRPr="00AC286A" w:rsidRDefault="070CBB00" w:rsidP="0000132C">
      <w:pPr>
        <w:pStyle w:val="ListParagraph"/>
        <w:numPr>
          <w:ilvl w:val="0"/>
          <w:numId w:val="4"/>
        </w:numPr>
        <w:spacing w:before="120" w:after="120"/>
        <w:ind w:left="567" w:hanging="567"/>
        <w:contextualSpacing w:val="0"/>
        <w:jc w:val="both"/>
      </w:pPr>
      <w:r>
        <w:t>For at påvise overholdelsen af punkt 459, litra c), i CEEAG, såfremt støtteordningen i øjeblikket ikke er genstand for en efterfølgende evaluering, skal der nedenfor gives et tilsagn om, at medlemsstaten vil fremsende et udkast til evalueringsplan inden for 30 arbejdsdage efter registrering i de officielle regnskaber af udgifter på over 150 mio. EUR i det foregående år.</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Med henblik på at påvise overholdelsen af punkt 461 i CEEAG:</w:t>
      </w:r>
    </w:p>
    <w:p w14:paraId="323279C4" w14:textId="26AA9A6C" w:rsidR="002578DB" w:rsidRPr="00AC286A" w:rsidRDefault="002578DB" w:rsidP="0000132C">
      <w:pPr>
        <w:pStyle w:val="ListParagraph"/>
        <w:numPr>
          <w:ilvl w:val="0"/>
          <w:numId w:val="28"/>
        </w:numPr>
        <w:spacing w:before="120" w:after="120"/>
        <w:contextualSpacing w:val="0"/>
        <w:jc w:val="both"/>
      </w:pPr>
      <w:r>
        <w:t>Angiv, om den uafhængige ekspert allerede er blevet udvalgt eller vil blive udvalgt senere.</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Angiv oplysninger om proceduren for udvælgelse af eksperten.</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Begrund, hvordan eksperten er uafhængig af den støttetildelende myndighed.</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4076C856" w:rsidR="002578DB" w:rsidRPr="00AC286A" w:rsidRDefault="2302C6A5" w:rsidP="0000132C">
      <w:pPr>
        <w:pStyle w:val="ListParagraph"/>
        <w:numPr>
          <w:ilvl w:val="0"/>
          <w:numId w:val="4"/>
        </w:numPr>
        <w:spacing w:before="120" w:after="120"/>
        <w:ind w:left="567" w:hanging="567"/>
        <w:contextualSpacing w:val="0"/>
        <w:jc w:val="both"/>
      </w:pPr>
      <w:r>
        <w:t>Med henblik på at påvise overholdelsen af punkt 461 i CEEAG:</w:t>
      </w:r>
    </w:p>
    <w:p w14:paraId="5B99AA31" w14:textId="36AF6516" w:rsidR="002578DB" w:rsidRPr="00AC286A" w:rsidRDefault="002578DB" w:rsidP="0000132C">
      <w:pPr>
        <w:pStyle w:val="ListParagraph"/>
        <w:numPr>
          <w:ilvl w:val="0"/>
          <w:numId w:val="44"/>
        </w:numPr>
        <w:spacing w:before="120" w:after="120"/>
        <w:jc w:val="both"/>
      </w:pPr>
      <w:r>
        <w:t xml:space="preserve">Angiv de foreslåede frister for indgivelse af midtvejsrapporten og den endelige evalueringsrapport. Bemærk, at den endelige evalueringsrapport skal forelægges Kommissionen så betids, at den kan indgå i vurderingen af en </w:t>
      </w:r>
      <w:r>
        <w:lastRenderedPageBreak/>
        <w:t>eventuel forlængelse af støtteordningen, og senest ni måneder før dens udløb, jf. punkt 463 i CEEAG. Bemærk, at denne frist kan afkortes for ordninger, der udløser evalueringskravet i de sidste to gennemførelsesår.</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Bekræft , at midtvejsrapporten og den endelige evalueringsrapport vil blive offentliggjort. Angiv den dato og det internetlink, hvor disse rapporter offentliggøres.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Afsnit D: Rapportering og overvågning</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Med henblik på angivelsen af oplysningerne i dette afsnit henvises til afsnit 6, punkt 464-465, i CEEAG.</w:t>
      </w:r>
    </w:p>
    <w:p w14:paraId="3E33F579" w14:textId="35E63F92" w:rsidR="00C62AF1" w:rsidRDefault="070CBB00" w:rsidP="0000132C">
      <w:pPr>
        <w:pStyle w:val="ListParagraph"/>
        <w:numPr>
          <w:ilvl w:val="0"/>
          <w:numId w:val="4"/>
        </w:numPr>
        <w:spacing w:before="120" w:after="120"/>
        <w:ind w:left="567" w:hanging="567"/>
        <w:contextualSpacing w:val="0"/>
        <w:jc w:val="both"/>
      </w:pPr>
      <w:r>
        <w:t>Bekræft, at medlemsstaten vil opfylde kravene om rapportering og overvågning i afsnit 6, punkt 464-465, i CEEAG.</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EUT C 80 af 18.2.2022, s. 1.</w:t>
      </w:r>
    </w:p>
  </w:footnote>
  <w:footnote w:id="3">
    <w:p w14:paraId="162040A0" w14:textId="77777777" w:rsidR="00CA0EC2" w:rsidRPr="0067348B" w:rsidRDefault="00CA0EC2" w:rsidP="00CA0EC2">
      <w:pPr>
        <w:pStyle w:val="FootnoteText"/>
      </w:pPr>
      <w:r>
        <w:rPr>
          <w:rStyle w:val="FootnoteReference"/>
        </w:rPr>
        <w:footnoteRef/>
      </w:r>
      <w:r>
        <w:t xml:space="preserve"> </w:t>
      </w:r>
      <w:r>
        <w:tab/>
        <w:t>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w:t>
      </w:r>
    </w:p>
  </w:footnote>
  <w:footnote w:id="4">
    <w:p w14:paraId="0476288F" w14:textId="5910BFC5" w:rsidR="003037AB" w:rsidRPr="0067348B" w:rsidRDefault="003037AB" w:rsidP="003037AB">
      <w:pPr>
        <w:pStyle w:val="FootnoteText"/>
      </w:pPr>
      <w:r>
        <w:rPr>
          <w:rStyle w:val="FootnoteReference"/>
        </w:rPr>
        <w:footnoteRef/>
      </w:r>
      <w:r>
        <w:tab/>
        <w:t>Bemærk, at en ændring af det faktiske eller anslåede budget kan være en ændring af støtten, som kræver en ny anmeldelse.</w:t>
      </w:r>
    </w:p>
  </w:footnote>
  <w:footnote w:id="5">
    <w:p w14:paraId="01706528" w14:textId="42D8E4DE" w:rsidR="009926B4" w:rsidRPr="00CF158B" w:rsidRDefault="009926B4" w:rsidP="009926B4">
      <w:pPr>
        <w:pStyle w:val="FootnoteText"/>
      </w:pPr>
      <w:r>
        <w:rPr>
          <w:rStyle w:val="FootnoteReference"/>
        </w:rPr>
        <w:footnoteRef/>
      </w:r>
      <w:r>
        <w:tab/>
        <w:t>Bemærk, at punkt 38, 52, 165, 166 og 167 samt fodnote 39 og 45 i CEEAG giver yderligere vejledning i, hvordan det sandsynlige kontrafaktiske scenario bør udfærdiges.</w:t>
      </w:r>
    </w:p>
  </w:footnote>
  <w:footnote w:id="6">
    <w:p w14:paraId="439F37C9" w14:textId="60002BCF" w:rsidR="009B7B9E" w:rsidRPr="00C9125D" w:rsidRDefault="009B7B9E">
      <w:pPr>
        <w:pStyle w:val="FootnoteText"/>
      </w:pPr>
      <w:r>
        <w:rPr>
          <w:rStyle w:val="FootnoteReference"/>
        </w:rPr>
        <w:footnoteRef/>
      </w:r>
      <w:r>
        <w:t xml:space="preserve"> </w:t>
      </w:r>
      <w:r>
        <w:tab/>
        <w:t xml:space="preserve">"Referenceprojekt" er defineret i punkt 19, nr. 63, i CEEAG. </w:t>
      </w:r>
    </w:p>
  </w:footnote>
  <w:footnote w:id="7">
    <w:p w14:paraId="4FE55020" w14:textId="77777777" w:rsidR="009926B4" w:rsidRDefault="009926B4" w:rsidP="009926B4">
      <w:pPr>
        <w:pStyle w:val="FootnoteText"/>
      </w:pPr>
      <w:r>
        <w:rPr>
          <w:rStyle w:val="FootnoteReference"/>
        </w:rPr>
        <w:footnoteRef/>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2B3FB5FE" w14:textId="77777777" w:rsidR="009926B4" w:rsidRDefault="009926B4" w:rsidP="0000132C">
      <w:pPr>
        <w:pStyle w:val="FootnoteText"/>
        <w:numPr>
          <w:ilvl w:val="0"/>
          <w:numId w:val="27"/>
        </w:numPr>
      </w:pPr>
      <w:r>
        <w:t>om betingelserne (f.eks. kontraktbetingelser og -varighed, investeringsfrister, om støttebetalinger blev indekseret efter inflationen) svarede til dem, der blev foreslået i den anmeldte foranstaltninger?</w:t>
      </w:r>
    </w:p>
    <w:p w14:paraId="46359276" w14:textId="77777777" w:rsidR="009926B4" w:rsidRDefault="009926B4" w:rsidP="0000132C">
      <w:pPr>
        <w:pStyle w:val="FootnoteText"/>
        <w:numPr>
          <w:ilvl w:val="0"/>
          <w:numId w:val="27"/>
        </w:numPr>
      </w:pPr>
      <w:r>
        <w:t>om udbudsprocessen blev gennemført under tilsvarende makroøkonomiske betingelser?</w:t>
      </w:r>
    </w:p>
    <w:p w14:paraId="104093C2" w14:textId="087CE78F" w:rsidR="009926B4" w:rsidRDefault="009926B4" w:rsidP="0000132C">
      <w:pPr>
        <w:pStyle w:val="FootnoteText"/>
        <w:numPr>
          <w:ilvl w:val="0"/>
          <w:numId w:val="27"/>
        </w:numPr>
      </w:pPr>
      <w:r>
        <w:t>om teknologierne/projekttyperne var ens?</w:t>
      </w:r>
    </w:p>
  </w:footnote>
  <w:footnote w:id="8">
    <w:p w14:paraId="676CCD61" w14:textId="77777777" w:rsidR="009560B9" w:rsidRDefault="009560B9" w:rsidP="00C62AF1">
      <w:pPr>
        <w:pStyle w:val="FootnoteText"/>
      </w:pPr>
      <w:r>
        <w:rPr>
          <w:rStyle w:val="FootnoteReference"/>
        </w:rPr>
        <w:footnoteRef/>
      </w:r>
      <w:r>
        <w:t xml:space="preserve"> </w:t>
      </w:r>
      <w:r>
        <w:tab/>
        <w:t>I henhold til punkt 19, nr. 89, i CEEAG forstås ved "EU-standard":</w:t>
      </w:r>
    </w:p>
    <w:p w14:paraId="540FE298" w14:textId="77777777" w:rsidR="009560B9" w:rsidRPr="004B74BC" w:rsidRDefault="009560B9" w:rsidP="0000132C">
      <w:pPr>
        <w:pStyle w:val="FootnoteText"/>
        <w:numPr>
          <w:ilvl w:val="0"/>
          <w:numId w:val="23"/>
        </w:numPr>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0074D1B1" w14:textId="6CDC8890" w:rsidR="009560B9" w:rsidRDefault="009560B9" w:rsidP="0000132C">
      <w:pPr>
        <w:pStyle w:val="FootnoteText"/>
        <w:numPr>
          <w:ilvl w:val="0"/>
          <w:numId w:val="23"/>
        </w:numPr>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9">
    <w:p w14:paraId="0D510CDC" w14:textId="77777777" w:rsidR="00F4008F" w:rsidRPr="0095488F" w:rsidRDefault="00F4008F" w:rsidP="00F4008F">
      <w:pPr>
        <w:pStyle w:val="FootnoteText"/>
      </w:pPr>
      <w:r>
        <w:rPr>
          <w:rStyle w:val="FootnoteReference"/>
        </w:rPr>
        <w:footnoteRef/>
      </w:r>
      <w:r>
        <w:tab/>
        <w:t>Se også de yderligere oplysninger i punkt 51-53 og 165-167 samt fodnote 45 og 46 i CEEAG.</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 xml:space="preserve"> </w:t>
      </w:r>
      <w:r>
        <w:tab/>
        <w:t>Centralt forvaltede EU-midler, der forvaltes centralt af EU-institutioner, EU-agenturer, EU-kontorer, EU-fællesforetagender eller andre EU-organer, og som ikke direkte eller indirekte er underlagt medlemsstatens kontrol.</w:t>
      </w:r>
    </w:p>
  </w:footnote>
  <w:footnote w:id="12">
    <w:p w14:paraId="0336C302" w14:textId="77777777" w:rsidR="00796DA4" w:rsidRPr="008772CC" w:rsidRDefault="00796DA4" w:rsidP="00796DA4">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3">
    <w:p w14:paraId="7517D6A8" w14:textId="6195875C" w:rsidR="002578DB" w:rsidRDefault="002578DB" w:rsidP="002578DB">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color w:val="auto"/>
          </w:rPr>
          <w:t>https://competition-policy.ec.europa.eu/state-aid/legislation/forms-notifications-and-reporting_en#evaluation-plan</w:t>
        </w:r>
      </w:hyperlink>
      <w:r w:rsidR="00152F7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2F75"/>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545"/>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491D"/>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a-DK"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a-D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3.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6127</Words>
  <Characters>32721</Characters>
  <DocSecurity>0</DocSecurity>
  <Lines>711</Lines>
  <Paragraphs>228</Paragraphs>
  <ScaleCrop>false</ScaleCrop>
  <LinksUpToDate>false</LinksUpToDate>
  <CharactersWithSpaces>38620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2024-11-19T10:56:00Z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