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3B04212E" w14:textId="4CB6C070" w:rsidR="000442F5" w:rsidRPr="00AC286A" w:rsidRDefault="52B947EB" w:rsidP="007B485D">
            <w:pPr>
              <w:pStyle w:val="Heading2"/>
              <w:spacing w:before="240" w:after="240"/>
              <w:jc w:val="center"/>
              <w:rPr>
                <w:sz w:val="32"/>
                <w:szCs w:val="32"/>
              </w:rPr>
            </w:pPr>
            <w:r>
              <w:rPr>
                <w:sz w:val="32"/>
              </w:rPr>
              <w:t>Posodobljeni* obrazec za dodatne informacije o državni pomoči, dodeljeni na podlagi Smernic o državni pomoči za podnebje, varstvo okolja in energijo iz leta 2022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Poglavje 4.3.1 – Pomoč za nakup in najem čistih vozil in čiste mobilne opreme za spremljajoče storitve ter za naknadno opremljanje vozil in mobilne opreme za spremljajoče storitve</w:t>
            </w:r>
          </w:p>
          <w:p w14:paraId="774A46C9" w14:textId="77777777" w:rsidR="00412002" w:rsidRDefault="00412002" w:rsidP="00D30BFF">
            <w:pPr>
              <w:rPr>
                <w:sz w:val="32"/>
                <w:szCs w:val="32"/>
              </w:rPr>
            </w:pPr>
          </w:p>
          <w:p w14:paraId="61FFF7AD" w14:textId="2E71C309" w:rsidR="00FD562C" w:rsidRPr="00AC286A" w:rsidRDefault="00412002" w:rsidP="00412002">
            <w:r>
              <w:t>* Še ni uradno sprejeto.</w:t>
            </w:r>
          </w:p>
        </w:tc>
      </w:tr>
    </w:tbl>
    <w:p w14:paraId="70D7CD5F" w14:textId="348774B0" w:rsidR="000442F5" w:rsidRPr="00AC286A" w:rsidRDefault="000442F5" w:rsidP="000442F5">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21EE9DF7" w14:textId="7F78FA0F" w:rsidR="009E2EA1" w:rsidRPr="00AC286A" w:rsidRDefault="0072538B" w:rsidP="009E2EA1">
      <w:pPr>
        <w:spacing w:before="120" w:after="120"/>
        <w:ind w:right="-142"/>
        <w:jc w:val="both"/>
        <w:rPr>
          <w:i/>
          <w:iCs/>
        </w:rPr>
      </w:pPr>
      <w:r>
        <w:rPr>
          <w:i/>
        </w:rPr>
        <w:t xml:space="preserve">Ta obrazec za dodatne informacije se nanaša na ukrepe iz poglavja 4.3.1 Smernic. Če so v priglasitev vključeni ukrepi, ki so zajeti v več kot enem poglavju Smernic, izpolnite tudi ustrezni obrazec za dodatne informacije, ki se nanaša na zadevno poglavje Smernic, ko bo na voljo. </w:t>
      </w:r>
    </w:p>
    <w:p w14:paraId="5A2EC84C" w14:textId="37CB7BF5" w:rsidR="009E2EA1" w:rsidRPr="00AC286A" w:rsidRDefault="009E2EA1" w:rsidP="009E2EA1">
      <w:pPr>
        <w:spacing w:before="120" w:after="120"/>
        <w:ind w:right="-142"/>
        <w:jc w:val="both"/>
        <w:rPr>
          <w:i/>
          <w:iCs/>
        </w:rPr>
      </w:pPr>
      <w:r>
        <w:rPr>
          <w:i/>
        </w:rPr>
        <w:t>Vse dokumente, ki jih države članice zagotovijo kot priloge k temu obrazcu za dodatne informacije, je treba oštevilčiti in številke dokumentov navesti v ustreznih oddelkih tega obrazca za dodatne informacije.</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Oddelek A: Povzetek glavnih značilnosti priglašenega ukrepa</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Ozadje in cilji priglašenega ukrepa.</w:t>
      </w:r>
    </w:p>
    <w:p w14:paraId="5BFA68C4" w14:textId="1A819434" w:rsidR="00A16B2C" w:rsidRPr="00AC286A" w:rsidRDefault="00A16B2C" w:rsidP="0000132C">
      <w:pPr>
        <w:pStyle w:val="ListParagraph"/>
        <w:numPr>
          <w:ilvl w:val="0"/>
          <w:numId w:val="25"/>
        </w:numPr>
        <w:spacing w:after="120"/>
        <w:jc w:val="both"/>
      </w:pPr>
      <w:r>
        <w:t xml:space="preserve">Če to še ni bilo obravnavano v oddelku 5.2 obrazca za splošne informacije (del I), navedite ozadje in glavni cilj, vključno z morebitnimi cilji Unije za zmanjšanje emisij prometnega sektorja, ki naj bi jih ukrep podprl. </w:t>
      </w:r>
    </w:p>
    <w:p w14:paraId="7ADBCE0C" w14:textId="297D6FB7" w:rsidR="007302C9" w:rsidRPr="00DC75A6" w:rsidRDefault="007302C9" w:rsidP="00B16D28">
      <w:pPr>
        <w:tabs>
          <w:tab w:val="left" w:leader="dot" w:pos="9072"/>
        </w:tabs>
        <w:spacing w:before="120" w:after="120"/>
        <w:ind w:left="1440"/>
        <w:jc w:val="both"/>
      </w:pPr>
      <w:r>
        <w:tab/>
      </w:r>
    </w:p>
    <w:p w14:paraId="3CD0D15C" w14:textId="2F577CEF" w:rsidR="00A16B2C" w:rsidRPr="00AC286A" w:rsidRDefault="00A16B2C" w:rsidP="0000132C">
      <w:pPr>
        <w:pStyle w:val="ListParagraph"/>
        <w:numPr>
          <w:ilvl w:val="0"/>
          <w:numId w:val="25"/>
        </w:numPr>
        <w:spacing w:after="120"/>
        <w:jc w:val="both"/>
      </w:pPr>
      <w:r>
        <w:t xml:space="preserve">Navedite vse druge cilje ukrepa. Za vse cilje, ki niso izključno okoljski, pojasnite, ali bi lahko povzročili kakršno koli izkrivljanje </w:t>
      </w:r>
      <w:r w:rsidR="00704F24">
        <w:t xml:space="preserve">konkurence na </w:t>
      </w:r>
      <w:r>
        <w:t>notranje</w:t>
      </w:r>
      <w:r w:rsidR="00704F24">
        <w:t>m</w:t>
      </w:r>
      <w:r>
        <w:t xml:space="preserve"> trg</w:t>
      </w:r>
      <w:r w:rsidR="00704F24">
        <w:t>u</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065285FA" w:rsidR="005A412F" w:rsidRPr="00AC286A" w:rsidRDefault="00A16B2C" w:rsidP="0000132C">
      <w:pPr>
        <w:pStyle w:val="ListParagraph"/>
        <w:numPr>
          <w:ilvl w:val="0"/>
          <w:numId w:val="4"/>
        </w:numPr>
        <w:spacing w:before="120" w:after="120"/>
        <w:ind w:left="567" w:hanging="567"/>
        <w:contextualSpacing w:val="0"/>
        <w:jc w:val="both"/>
      </w:pPr>
      <w:r>
        <w:rPr>
          <w:b/>
        </w:rPr>
        <w:t>Začetek veljavnosti in trajanje</w:t>
      </w:r>
      <w:r>
        <w:t>:</w:t>
      </w:r>
    </w:p>
    <w:p w14:paraId="0635286B" w14:textId="426E4700" w:rsidR="00CA0EC2" w:rsidRPr="00AC286A" w:rsidRDefault="00CA0EC2" w:rsidP="0000132C">
      <w:pPr>
        <w:pStyle w:val="ListParagraph"/>
        <w:numPr>
          <w:ilvl w:val="0"/>
          <w:numId w:val="31"/>
        </w:numPr>
        <w:spacing w:after="120"/>
        <w:jc w:val="both"/>
        <w:rPr>
          <w:szCs w:val="24"/>
        </w:rPr>
      </w:pPr>
      <w:r>
        <w:t>Če to še ni bilo navedeno v oddelku 5.5 obrazca za splošne informacije (del I), navedite datum, na katerega naj bi shema pomoči začela veljati.</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Navedite trajanje sheme.</w:t>
      </w:r>
      <w:r w:rsidRPr="00AC286A">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Upravičenci</w:t>
      </w:r>
      <w:r>
        <w:rPr>
          <w:b/>
        </w:rPr>
        <w:tab/>
      </w:r>
    </w:p>
    <w:p w14:paraId="15587BED" w14:textId="350F9BFC" w:rsidR="00BC5DDD" w:rsidRPr="00AC286A" w:rsidRDefault="002F1ECC" w:rsidP="0000132C">
      <w:pPr>
        <w:pStyle w:val="ListParagraph"/>
        <w:numPr>
          <w:ilvl w:val="0"/>
          <w:numId w:val="32"/>
        </w:numPr>
        <w:spacing w:after="120"/>
        <w:jc w:val="both"/>
        <w:rPr>
          <w:szCs w:val="24"/>
        </w:rPr>
      </w:pPr>
      <w:r>
        <w:t>Če to še ni bilo navedeno v oddelku 3 obrazca za splošne informacije (del I), opišite (potencialne) upravičence ukrepa.</w:t>
      </w:r>
    </w:p>
    <w:p w14:paraId="7E96EB84" w14:textId="77777777" w:rsidR="00C90797" w:rsidRPr="00AC286A" w:rsidRDefault="00564D5B" w:rsidP="00092882">
      <w:pPr>
        <w:tabs>
          <w:tab w:val="left" w:leader="dot" w:pos="9072"/>
        </w:tabs>
        <w:spacing w:before="120" w:after="120"/>
        <w:ind w:left="1440"/>
        <w:jc w:val="both"/>
      </w:pPr>
      <w:r>
        <w:tab/>
      </w:r>
    </w:p>
    <w:p w14:paraId="7C1841ED" w14:textId="77777777" w:rsidR="00F33CC0" w:rsidRPr="00AC286A" w:rsidRDefault="00DB40A5" w:rsidP="0000132C">
      <w:pPr>
        <w:pStyle w:val="ListParagraph"/>
        <w:numPr>
          <w:ilvl w:val="0"/>
          <w:numId w:val="32"/>
        </w:numPr>
        <w:spacing w:after="120"/>
        <w:jc w:val="both"/>
        <w:rPr>
          <w:szCs w:val="24"/>
        </w:rPr>
      </w:pPr>
      <w:r>
        <w:t>Navedite lokacijo (potencialnih) upravičencev (tj. če so do sodelovanja v ukrepu upravičeni le gospodarski subjekti s sedežem v zadevni državi članici ali tudi tisti, ki imajo sedež v drugih državah članicah).</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Za presojo skladnosti s točko 15 Smernic navedite, ali se pomoč v okviru ukrepa dodeljuje podjetju (individualno ali v okviru sheme), ki je naslovnik neporavnanega naloga za izterjavo na podlagi prejšnjega sklepa Komisije, v katerem je bila pomoč razglašena za nezakonito in nezdružljivo z notranjim trgom.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Če je odgovor pritrdilen, zagotovite informacije o znesku pomoči, ki ga je treba še izterjati, da ga Komisija upošteva pri presoji ukrepa pomoči.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lastRenderedPageBreak/>
        <w:t>Potrdite, da ukrep ne vključuje pomoči za dejavnosti, ki ne spadajo na področje uporabe Smernic (glej točko 13 Smernic). Sicer navedite podrobnosti.</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Proračun in financiranje ukrepa.</w:t>
      </w:r>
    </w:p>
    <w:p w14:paraId="44F1A49C" w14:textId="4B330F07" w:rsidR="00115C85" w:rsidRPr="00AC286A" w:rsidRDefault="00AE07BB" w:rsidP="0000132C">
      <w:pPr>
        <w:pStyle w:val="ListParagraph"/>
        <w:numPr>
          <w:ilvl w:val="0"/>
          <w:numId w:val="33"/>
        </w:numPr>
        <w:spacing w:after="12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003037AB" w:rsidRPr="00AC286A">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Če se ukrep financira z dajatvijo, pojasnite, ali:</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se dajatev v enaki meri naloži na domače in uvožene proizvode;</w:t>
      </w:r>
    </w:p>
    <w:p w14:paraId="24D969DB" w14:textId="77777777" w:rsidR="007210BF" w:rsidRPr="007210BF" w:rsidRDefault="007210BF" w:rsidP="00B16D28">
      <w:pPr>
        <w:tabs>
          <w:tab w:val="left" w:leader="dot" w:pos="9072"/>
        </w:tabs>
        <w:spacing w:before="120" w:after="120"/>
        <w:ind w:left="1429"/>
        <w:jc w:val="both"/>
      </w:pPr>
      <w:r>
        <w:tab/>
      </w:r>
    </w:p>
    <w:p w14:paraId="43BEB965" w14:textId="78D79DD8" w:rsidR="007210BF" w:rsidRPr="007210BF" w:rsidRDefault="007210BF" w:rsidP="0000132C">
      <w:pPr>
        <w:pStyle w:val="ListParagraph"/>
        <w:numPr>
          <w:ilvl w:val="0"/>
          <w:numId w:val="26"/>
        </w:numPr>
        <w:spacing w:before="120" w:after="120"/>
        <w:contextualSpacing w:val="0"/>
        <w:jc w:val="both"/>
        <w:rPr>
          <w:bCs/>
        </w:rPr>
      </w:pPr>
      <w:r>
        <w:t>bo priglašeni ukrep enako koristil domačim in uvoženim proizvodom;</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se ukrep z dajatvijo financira v celoti ali le delno. Če se ukrep z dajatvijo financira le delno, navedite druge vire financiranja ukrepa in njihov ustrezni delež;</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se z dajatvijo, s katero se financira priglašeni ukrep, financirajo tudi drugi ukrepi pomoči. Če je odgovor pritrdilen, navedite druge ukrepe pomoči, ki se financirajo z zadevno dajatvijo.</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Oddelek B: Ocena združljivosti pomoči</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Pozitivni pogoj: pomoč mora pospeševati razvoj gospodarske dejavnosti</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Prispevek k razvoju gospodarske dejavnosti</w:t>
            </w:r>
          </w:p>
        </w:tc>
      </w:tr>
    </w:tbl>
    <w:p w14:paraId="2959A7B8" w14:textId="790A441E" w:rsidR="00C62AF1" w:rsidRPr="001631E6" w:rsidRDefault="00C62AF1" w:rsidP="001631E6">
      <w:pPr>
        <w:spacing w:before="360" w:after="120"/>
        <w:jc w:val="both"/>
        <w:rPr>
          <w:i/>
        </w:rPr>
      </w:pPr>
      <w:r>
        <w:rPr>
          <w:i/>
        </w:rPr>
        <w:lastRenderedPageBreak/>
        <w:t xml:space="preserve">Pri zagotavljanju informacij v tem oddelku glej oddelek 3.1.1 (točke 23–25) ter oddelka 4.3.1.1 (točki 160 in 161) in 4.3.1.2 (točki 162 in 163) Smernic. </w:t>
      </w:r>
    </w:p>
    <w:p w14:paraId="1CB15DF1" w14:textId="19FD7AA9" w:rsidR="00805350" w:rsidRPr="00AC286A" w:rsidRDefault="00805350" w:rsidP="0000132C">
      <w:pPr>
        <w:pStyle w:val="ListParagraph"/>
        <w:numPr>
          <w:ilvl w:val="0"/>
          <w:numId w:val="4"/>
        </w:numPr>
        <w:spacing w:before="120" w:after="120"/>
        <w:ind w:left="567" w:hanging="567"/>
        <w:contextualSpacing w:val="0"/>
        <w:jc w:val="both"/>
      </w:pPr>
      <w:r>
        <w:t>Člen 107(3), točka (c), Pogodbe o delovanju Evropske unije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w:t>
      </w:r>
      <w:r w:rsidR="00704F24">
        <w:t>e</w:t>
      </w:r>
      <w:r>
        <w:t xml:space="preserve"> gospodarsk</w:t>
      </w:r>
      <w:r w:rsidR="00704F24">
        <w:t>e</w:t>
      </w:r>
      <w:r>
        <w:t xml:space="preserve"> dejavnosti. </w:t>
      </w:r>
    </w:p>
    <w:p w14:paraId="6F83F969" w14:textId="283F3881" w:rsidR="00C62AF1" w:rsidRPr="00AC286A" w:rsidRDefault="00805350" w:rsidP="00C62AF1">
      <w:pPr>
        <w:pStyle w:val="ListParagraph"/>
        <w:spacing w:before="120" w:after="120"/>
        <w:ind w:left="567"/>
        <w:contextualSpacing w:val="0"/>
        <w:jc w:val="both"/>
      </w:pPr>
      <w:r>
        <w:t>Za presojo skladnosti s točko 23 Smernic navedite gospodarske dejavnosti, ki se bodo spodbujale s pomočjo, in kako se podpira razvoj navedenih dejavnosti.</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okoljske in energetske politike Unije, ter [opišite], kako, ter, natančneje, pričakovane koristi pomoči v smislu njenega konkretnega prispevka k varstvu okolja, vključno z blažitvijo podnebnih sprememb, ali učinkovitemu delovanju notranjega trga z energijo“.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Poleg tega navedite, v kolikšni meri je pomoč povezana s politikami, opisanimi v točkah 160 in 161 Smernic. </w:t>
      </w:r>
    </w:p>
    <w:p w14:paraId="2937060E" w14:textId="625EA8B8" w:rsidR="00A742C7" w:rsidRPr="00AC286A" w:rsidRDefault="00A742C7" w:rsidP="00822B32">
      <w:pPr>
        <w:tabs>
          <w:tab w:val="left" w:leader="dot" w:pos="9072"/>
        </w:tabs>
        <w:spacing w:before="120" w:after="120"/>
        <w:ind w:left="567"/>
        <w:jc w:val="both"/>
      </w:pPr>
      <w:r>
        <w:tab/>
      </w:r>
    </w:p>
    <w:p w14:paraId="60227438" w14:textId="3B504C63" w:rsidR="00703D03" w:rsidRPr="00AC286A" w:rsidRDefault="13A30BC6" w:rsidP="0000132C">
      <w:pPr>
        <w:pStyle w:val="ListParagraph"/>
        <w:numPr>
          <w:ilvl w:val="0"/>
          <w:numId w:val="4"/>
        </w:numPr>
        <w:spacing w:before="120" w:after="120"/>
        <w:ind w:left="567" w:hanging="567"/>
        <w:jc w:val="both"/>
      </w:pPr>
      <w:r>
        <w:t>Opišite zahteve za upravičenost, ki se uporabljajo za upravičence (na primer z vključitvijo tehničnih, okoljskih (tj. dovoljenja), finančnih (tj. zavarovanja s premoženjem) ali drugih zahtev, ki jih morajo upravičenci izpolnjevati).</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89E2EA4" w:rsidR="00BA210A" w:rsidRPr="00AC286A" w:rsidRDefault="00BA210A" w:rsidP="0000132C">
      <w:pPr>
        <w:pStyle w:val="ListParagraph"/>
        <w:numPr>
          <w:ilvl w:val="0"/>
          <w:numId w:val="4"/>
        </w:numPr>
        <w:spacing w:before="120" w:after="120"/>
        <w:ind w:left="567" w:hanging="567"/>
        <w:contextualSpacing w:val="0"/>
        <w:jc w:val="both"/>
      </w:pPr>
      <w:r>
        <w:t xml:space="preserve">Zagotovite točne informacije o obsegu in podprtih dejavnostih ukrepa pomoči, kot je določeno v oddelku 4.3.1.2 (točki 162 in 163) Smernic.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Spodbujevalni učinek</w:t>
            </w:r>
          </w:p>
        </w:tc>
      </w:tr>
    </w:tbl>
    <w:p w14:paraId="194E3512" w14:textId="77777777" w:rsidR="00C62AF1" w:rsidRPr="00AC286A" w:rsidRDefault="00C62AF1" w:rsidP="00C62AF1">
      <w:pPr>
        <w:spacing w:before="360" w:after="120"/>
        <w:jc w:val="both"/>
        <w:rPr>
          <w:i/>
        </w:rPr>
      </w:pPr>
      <w:r>
        <w:rPr>
          <w:i/>
        </w:rPr>
        <w:t xml:space="preserve">Pri zagotavljanju informacij v tem oddelku glej oddelek 3.1.2 (točke 26–32) in oddelek 4.3.1.3. (točke 164–169) Smernic.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Za pomoč se lahko šteje, da pospešuje gospodarsko dejavnost, samo, če ima spodbujevalni učinek. Za oceno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V skladu s točko 28 Smernic:</w:t>
      </w:r>
      <w:bookmarkEnd w:id="3"/>
      <w:r>
        <w:t xml:space="preserve"> </w:t>
      </w:r>
    </w:p>
    <w:p w14:paraId="70E1329C" w14:textId="77777777" w:rsidR="003115D9" w:rsidRDefault="003115D9" w:rsidP="00450097">
      <w:pPr>
        <w:pStyle w:val="ListParagraph"/>
      </w:pPr>
    </w:p>
    <w:p w14:paraId="64E8DA17" w14:textId="53A05190" w:rsidR="004A2BAC" w:rsidRPr="00176F09" w:rsidRDefault="003115D9" w:rsidP="0000132C">
      <w:pPr>
        <w:pStyle w:val="ListParagraph"/>
        <w:numPr>
          <w:ilvl w:val="0"/>
          <w:numId w:val="29"/>
        </w:numPr>
        <w:spacing w:before="120" w:after="120"/>
        <w:jc w:val="both"/>
      </w:pPr>
      <w:r>
        <w:lastRenderedPageBreak/>
        <w:t>Izčrpno opišite dejanski scenarij, ki naj bi se dosegel z ukrepom pomoči, in verjetni hipotetični scenarij brez ukrepa pomoči.</w:t>
      </w:r>
      <w:r w:rsidR="009926B4" w:rsidRPr="00AC286A">
        <w:rPr>
          <w:rStyle w:val="FootnoteReference"/>
        </w:rPr>
        <w:footnoteReference w:id="5"/>
      </w:r>
      <w:r>
        <w:t xml:space="preserve"> Če pričakujete, da bodo podprte različne kategorije upravičencev, zagotovite verodostojnost hipotetičnega scenarija za vsako od teh kategorij.</w:t>
      </w:r>
      <w:bookmarkEnd w:id="4"/>
      <w:r>
        <w:t xml:space="preserve"> Upoštevajte, da točka 165 Smernic zahteva, da je hipotetični scenarij naložba z enako zmogljivostjo, življenjsko dobo in po potrebi drugimi ustreznimi tehničnimi značilnostmi kot okolju prijazna naložba. Upoštevajte, da so v točkah 165 do 169 Smernic določene dodatne alternativne zahteve za hipotetični scenarij:</w:t>
      </w:r>
    </w:p>
    <w:p w14:paraId="5EB0E490" w14:textId="77777777" w:rsidR="003115D9" w:rsidRPr="00C03B54"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Kadar hipotetični scenarij vključuje nakup ali najem okolju manj prijaznih vozil ali mobilne opreme za spremljajoče storitve iste kategorije in z isto zmogljivostjo kot brezemisijsko ali čisto vozilo, dokažite, da je okolju manj prijazno vozilo ali oprema vsaj skladna s standardi Unije, kadar je to ustrezno.</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Kadar hipotetični scenarij vključuje vzdrževanje obstoječega vozila ali mobilne opreme za spremljajoče storitve v delujočem stanju za obdobje, ki ustreza življenjski dobi okolju prijazne naložbe, vedite, da je treba upoštevati diskontirane stroške vzdrževanja, popravil in posodobitve v navedenem obdobju.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Kadar hipotetični scenarij vključuje poznejšo zamenjavo vozila ali mobilne opreme za spremljajoče storitve, navedite diskontirano vrednost vozila ali mobilne opreme za spremljajoče storitve, da se upošteva razlika v zadevni ekonomski življenjski dobi opreme.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Kadar so vozila ali mobilna oprema za spremljajoče storitve predmet sporazumov o najemu, zagotovite primerjavo diskontirane vrednosti najema čistih vozil ali čiste mobilne opreme za spremljajoče storitve z diskontirano vrednostjo najema okolju manj prijaznega vozila ali mobilne opreme za spremljajoče storitve, ki bi se uporabljala brez pomoči.</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Kadar naložba vključuje dodajanje opreme obstoječemu vozilu ali mobilni opremi za spremljajoče storitve za izboljšanje okoljske učinkovitosti vozila oziroma opreme (na primer naknadno opremljanje sistemov za uravnavanje onesnaževanja), pojasnite, ali hipotetični scenarij vključuje nadaljnjo uporabo vozila brez naložbe v naknadno opremljanje. V tem primeru so lahko upravičeni stroški enaki skupnim stroškom naložbe.</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Na kratko pojasnite razloge za izbiro verjetnih hipotetičnih scenarijev glede na predlagane različne kategorije upravičencev, če je ustrezno.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lastRenderedPageBreak/>
        <w:t>Količinsko opredelite stroške in prihodke dejanskih in hipotetičnih scenarijev, kot sledi:</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Kadar se pomoč dodeli </w:t>
      </w:r>
      <w:r>
        <w:rPr>
          <w:u w:val="single"/>
        </w:rPr>
        <w:t>brez konkurenčnega postopka zbiranja ponudb</w:t>
      </w:r>
      <w:r>
        <w:t>, utemeljite spremembo ravnanja, kadar je to ustrezno, za vsako kategorijo upravičenca, in sicer na podlagi zadevnega referenčnega projekta</w:t>
      </w:r>
      <w:r w:rsidR="009B7B9E" w:rsidRPr="007B7540">
        <w:rPr>
          <w:vertAlign w:val="superscript"/>
        </w:rPr>
        <w:footnoteReference w:id="6"/>
      </w:r>
      <w:r>
        <w:t>, ustreznih hipotetičnih scenarijev in posledične vrzeli v financiranju.</w:t>
      </w:r>
    </w:p>
    <w:p w14:paraId="4250665E" w14:textId="60CD941C" w:rsidR="003115D9" w:rsidRPr="0082588A" w:rsidRDefault="00DB6946" w:rsidP="0082588A">
      <w:pPr>
        <w:tabs>
          <w:tab w:val="left" w:leader="dot" w:pos="9072"/>
        </w:tabs>
        <w:spacing w:before="120" w:after="120"/>
        <w:ind w:left="1287"/>
        <w:jc w:val="both"/>
      </w:pPr>
      <w:r>
        <w:tab/>
      </w:r>
    </w:p>
    <w:p w14:paraId="296ACE13" w14:textId="1473E8AF" w:rsidR="009926B4" w:rsidRPr="00AC286A" w:rsidRDefault="003115D9" w:rsidP="00176F09">
      <w:pPr>
        <w:pStyle w:val="ListParagraph"/>
        <w:ind w:left="1287"/>
        <w:jc w:val="both"/>
      </w:pPr>
      <w:r>
        <w:t xml:space="preserve">(ii) Kadar se pomoč dodeli </w:t>
      </w:r>
      <w:r>
        <w:rPr>
          <w:u w:val="single"/>
        </w:rPr>
        <w:t>na podlagi konkurenčnega postopka zbiranja ponudb</w:t>
      </w:r>
      <w:r>
        <w:t>, utemeljite spremembo ravnanja (kadar je to ustrezno, za vsako kategorijo upravičenca / referenčni projekt) z uporabo enakih dokazov, kot se zahtevajo v točki C(i) zgoraj, ali predložite ustrezne kvantitativne dokaze na podlagi tržnih študij, načrtov vlagateljev, finančnih poročil ali druge kvantitativne dokaze, vključno s ponudbami za podobne projekte v nedavnih primerljivih konkurenčnih postopkih zbiranja ponudb.</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Za presojo skladnosti s točko 27 Smernic navedite informacije, ki potrjujejo, da pomoč ne podpira stroškov dejavnosti, ki bi jo upravičenec do pomoči v vsakem primeru opravljal, in ne nadomešča običajnega poslovnega tveganja gospodarske dejavnosti.</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3DB23DBE" w:rsidR="00C62AF1" w:rsidRPr="00AC286A" w:rsidRDefault="00C62AF1" w:rsidP="0000132C">
      <w:pPr>
        <w:numPr>
          <w:ilvl w:val="0"/>
          <w:numId w:val="4"/>
        </w:numPr>
        <w:spacing w:before="120" w:after="120"/>
        <w:ind w:left="567" w:hanging="567"/>
        <w:jc w:val="both"/>
      </w:pPr>
      <w:r>
        <w:t>Za dokazovanje skladnosti s točkama 29 in 31 Smernic:</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potrdite, da se dela na projektu ali dejavnosti niso začela, preden je upravičenec nacionalnim organom predložil pisno vlogo za pomoč; </w:t>
      </w:r>
    </w:p>
    <w:p w14:paraId="32242483" w14:textId="4448D932" w:rsidR="00C62AF1" w:rsidRPr="00F27797" w:rsidRDefault="00BA4BD6" w:rsidP="00C62AF1">
      <w:pPr>
        <w:pStyle w:val="ListParagraph"/>
        <w:spacing w:before="120" w:after="120"/>
        <w:ind w:left="993"/>
        <w:contextualSpacing w:val="0"/>
        <w:jc w:val="both"/>
      </w:pPr>
      <w:r>
        <w:rPr>
          <w:i/>
        </w:rPr>
        <w:t>ali</w:t>
      </w:r>
    </w:p>
    <w:p w14:paraId="2F9980BF" w14:textId="1865C474" w:rsidR="00C62AF1" w:rsidRPr="00AC286A" w:rsidRDefault="00935E92" w:rsidP="0000132C">
      <w:pPr>
        <w:pStyle w:val="ListParagraph"/>
        <w:numPr>
          <w:ilvl w:val="0"/>
          <w:numId w:val="21"/>
        </w:numPr>
        <w:spacing w:before="120" w:after="120"/>
        <w:ind w:left="993" w:hanging="284"/>
        <w:contextualSpacing w:val="0"/>
        <w:jc w:val="both"/>
      </w:pPr>
      <w:r>
        <w:t xml:space="preserve">Za projekte, ki so se začeli pred vložitvijo vloge za pomoč, dokažite, da projekt spada v enega od izjemnih primerov iz točke 31 Smernic ((a), (b) ali (c)).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ki je potreben za njegovo izvedbo.</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Za dokazovanje skladnosti s točko 32 Smernic navedite, ali se za priglašeni ukrep uporabljajo standardi Unije</w:t>
      </w:r>
      <w:r w:rsidRPr="00AC286A">
        <w:rPr>
          <w:rStyle w:val="FootnoteReference"/>
          <w:lang w:val="en-IE" w:eastAsia="en-GB"/>
        </w:rPr>
        <w:footnoteReference w:id="8"/>
      </w:r>
      <w:r>
        <w:t xml:space="preserve">, obvezni nacionalni standardi, ki so strožji ali </w:t>
      </w:r>
      <w:r>
        <w:lastRenderedPageBreak/>
        <w:t>ambicioznejši od ustreznih standardov Unije, ali obvezni nacionalni standardi, sprejeti v primeru neobstoja standardov Unije. V zvezi s tem zagotovite informacije za dokaz spodbujevalnega učinka.</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Če je bil ustrezni standard Unije že sprejet, vendar še ni začel veljati, dokažite, da ima pomoč spodbujevalni učinek, ker spodbuja naložbo, ki jo je treba izvesti in dokončati vsaj 18 mesecev pred začetkom veljavnosti standarda.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Neobstoj kršitve ustreznih določb prava Unije</w:t>
            </w:r>
          </w:p>
        </w:tc>
      </w:tr>
    </w:tbl>
    <w:p w14:paraId="5CC837C1" w14:textId="77777777" w:rsidR="00C62AF1" w:rsidRPr="00AC286A" w:rsidRDefault="00C62AF1" w:rsidP="00C62AF1">
      <w:pPr>
        <w:spacing w:before="360" w:after="120"/>
        <w:jc w:val="both"/>
        <w:rPr>
          <w:i/>
        </w:rPr>
      </w:pPr>
      <w:r>
        <w:rPr>
          <w:i/>
        </w:rPr>
        <w:t xml:space="preserve">Za zagotovitev informacij v tem oddelku glej oddelek 3.1.3 (točka 33) Smernic. </w:t>
      </w:r>
    </w:p>
    <w:p w14:paraId="63B710C7" w14:textId="77777777" w:rsidR="00C62AF1" w:rsidRPr="00AC286A" w:rsidRDefault="00C62AF1" w:rsidP="0000132C">
      <w:pPr>
        <w:numPr>
          <w:ilvl w:val="0"/>
          <w:numId w:val="4"/>
        </w:numPr>
        <w:spacing w:before="120" w:after="120"/>
        <w:ind w:left="567" w:hanging="567"/>
        <w:jc w:val="both"/>
      </w:pPr>
      <w:r>
        <w:t>Zagotovite informacije za potrditev skladnosti z ustreznimi določbami prava EU v skladu s točko 33 Smernic.</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Če se za financiranje ukrepa uporablja dajatev, pojasnite, ali je potrebna presoja skladnosti s členoma 30 in 110 PDEU. Če je odgovor pritrdilen, dokažite, kako ukrep izpolnjuje določbe členov 30 in 110 PDEU.</w:t>
      </w:r>
      <w:r>
        <w:rPr>
          <w:i/>
        </w:rPr>
        <w:t xml:space="preserve"> </w:t>
      </w:r>
      <w:r>
        <w:t>V zvezi s tem se je mogoče sklicevati na informacije, predložene v okviru vprašanja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zgoraj, če se priglašeni ukrep financira z dajatvijo.</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Negativni pogoj: pomoč ne sme neupravičeno spreminjati trgovinskih pogojev v obsegu, ki bi bil v nasprotju s skupnimi interesi</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Čim večje zmanjšanje izkrivljanja konkurence in trgovine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Nujnost pomoči</w:t>
            </w:r>
          </w:p>
        </w:tc>
      </w:tr>
    </w:tbl>
    <w:p w14:paraId="61C0E123" w14:textId="11AA80F9" w:rsidR="00C62AF1" w:rsidRPr="00AC286A" w:rsidRDefault="00C62AF1" w:rsidP="00C62AF1">
      <w:pPr>
        <w:spacing w:before="360" w:after="120"/>
        <w:jc w:val="both"/>
        <w:rPr>
          <w:i/>
          <w:color w:val="000000"/>
        </w:rPr>
      </w:pPr>
      <w:r>
        <w:rPr>
          <w:i/>
        </w:rPr>
        <w:t>Za zagotovitev informacij v tem oddelku glej oddelek 3.2.1.1 (točke 34–38) Smernic.</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lastRenderedPageBreak/>
        <w:t>Pojasnite, kakšno nedelovanje trga, ki preprečuje doseganje zadostne ravni varstva okolja, so ugotovili organi vaše države. Navedite, v katero kategorijo spada ugotovljeno nedelovanje trga, in sicer s sklicevanjem na točke (a), (b), (c) ali (d) točke 34 Smernic.</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72BF5913" w:rsidR="005D2CD7" w:rsidRDefault="000178B0" w:rsidP="0000132C">
      <w:pPr>
        <w:numPr>
          <w:ilvl w:val="0"/>
          <w:numId w:val="4"/>
        </w:numPr>
        <w:spacing w:before="120" w:after="120"/>
        <w:ind w:left="567" w:hanging="567"/>
        <w:jc w:val="both"/>
      </w:pPr>
      <w:r>
        <w:t>V skladu s točko 35 Smernic zagotovite informacije o vseh obstoječih politikah in ukrepih, ki so jih organi vaše države opredelili in ki so že namenjeni odpravi ugotovljenih regulativnih pomanjkljivosti ali nedelovanja trga.</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Za dokazovanje skladnosti s točko 36 Smernic zagotovite informacije, ki dokazujejo, da je pomoč dejansko namenjena odpravi preostalih nedelovanj trga, tudi ob upoštevanju vseh morebitnih drugih politik in ukrepov, ki so že vzpostavljeni za odpravo nekaterih ugotovljenih nedelovanj trga.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Za dokazovanje skladnosti s točko 37 Smernic pojasnite, ali se po informacijah organov vaše države </w:t>
      </w:r>
      <w:r>
        <w:rPr>
          <w:color w:val="000000"/>
          <w:shd w:val="clear" w:color="auto" w:fill="FFFFFF"/>
        </w:rPr>
        <w:t>projekti ali dejavnosti</w:t>
      </w:r>
      <w:r>
        <w:t>, ki so po tehnološki vsebini, stopnji tveganja in obsegu podobni priglašenemu ukrepu, že izvajajo v Uniji pod tržnimi pogoji. Če je odgovor pritrdilen, predložite dodatne dokaze, da je državna pomoč potrebna.</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31C928A3" w:rsidR="00F43AD8" w:rsidRDefault="00D0579C" w:rsidP="0000132C">
      <w:pPr>
        <w:numPr>
          <w:ilvl w:val="0"/>
          <w:numId w:val="4"/>
        </w:numPr>
        <w:spacing w:before="120" w:after="120"/>
        <w:ind w:left="567" w:hanging="567"/>
        <w:jc w:val="both"/>
      </w:pPr>
      <w:r>
        <w:t xml:space="preserve">Pri dokazovanju skladnosti s točko 38 Smernic, glej kvantitativne dokaze, predložene v vprašanju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zgoraj.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Ustreznost</w:t>
            </w:r>
          </w:p>
        </w:tc>
      </w:tr>
    </w:tbl>
    <w:bookmarkEnd w:id="8"/>
    <w:p w14:paraId="564078A7" w14:textId="35FE61B1" w:rsidR="00C62AF1" w:rsidRDefault="00C62AF1" w:rsidP="05E51075">
      <w:pPr>
        <w:spacing w:before="360" w:after="120"/>
        <w:jc w:val="both"/>
        <w:rPr>
          <w:i/>
          <w:iCs/>
          <w:color w:val="000000"/>
        </w:rPr>
      </w:pPr>
      <w:r>
        <w:rPr>
          <w:i/>
        </w:rPr>
        <w:t>Pri zagotavljanju informacij v tem oddelku glej oddelek 3.2.1.2 (točke 39–46) in oddelek 4.3.1.4.1 (točka 171) Smernic.</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Za preverjanje skladnosti s točko 41 Smernic dokažite, da je ukrep pomoči zasnovan tako, da ne ogroža učinkovitosti drugih ukrepov za odpravo istega nedelovanja trga, kot so tržni mehanizmi (npr. EU ETS).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Za preverjanje skladnosti s točko 42 Smernic potrdite, da nobenemu od upravičencev do </w:t>
      </w:r>
      <w:r>
        <w:rPr>
          <w:shd w:val="clear" w:color="auto" w:fill="FFFFFF"/>
        </w:rPr>
        <w:t>ukrepa pomoči ni mogoče na podlagi obstoječe zakonodaje Unije ali nacionalne zakonodaje pripisati odgovornosti za onesnaževanje (</w:t>
      </w:r>
      <w:r>
        <w:rPr>
          <w:i/>
          <w:shd w:val="clear" w:color="auto" w:fill="FFFFFF"/>
        </w:rPr>
        <w:t>načelo „onesnaževalec plača“</w:t>
      </w:r>
      <w:r>
        <w:rPr>
          <w:shd w:val="clear" w:color="auto" w:fill="FFFFFF"/>
        </w:rPr>
        <w:t xml:space="preserve">). </w:t>
      </w:r>
    </w:p>
    <w:p w14:paraId="175A527E" w14:textId="2299AF06" w:rsidR="000D302E" w:rsidRDefault="00C62AF1" w:rsidP="00641688">
      <w:pPr>
        <w:pStyle w:val="ListParagraph"/>
        <w:tabs>
          <w:tab w:val="left" w:leader="dot" w:pos="9072"/>
        </w:tabs>
        <w:spacing w:before="120" w:after="120"/>
        <w:ind w:left="567"/>
        <w:jc w:val="both"/>
      </w:pPr>
      <w:r>
        <w:tab/>
      </w:r>
    </w:p>
    <w:p w14:paraId="734DFE30" w14:textId="77777777" w:rsidR="0046435A" w:rsidRPr="00AC286A" w:rsidRDefault="0046435A" w:rsidP="00641688">
      <w:pPr>
        <w:pStyle w:val="ListParagraph"/>
        <w:tabs>
          <w:tab w:val="left" w:leader="dot" w:pos="9072"/>
        </w:tabs>
        <w:spacing w:before="120" w:after="120"/>
        <w:ind w:left="567"/>
        <w:jc w:val="both"/>
      </w:pPr>
    </w:p>
    <w:p w14:paraId="186124FF" w14:textId="0D28BD13" w:rsidR="00FE373B" w:rsidRDefault="002360FE" w:rsidP="0000132C">
      <w:pPr>
        <w:numPr>
          <w:ilvl w:val="0"/>
          <w:numId w:val="4"/>
        </w:numPr>
        <w:spacing w:before="120" w:after="120"/>
        <w:ind w:left="567" w:hanging="567"/>
        <w:jc w:val="both"/>
      </w:pPr>
      <w:r>
        <w:t xml:space="preserve">Za preverjanje skladnosti s točkami 43 do 46 Smernic in dokazovanje ustreznosti pomoči med različnimi instrumenti pomoči zagotovitev naslednje informacije: </w:t>
      </w:r>
    </w:p>
    <w:p w14:paraId="50891D0D" w14:textId="0B4D0D67" w:rsidR="00C62AF1" w:rsidRPr="00AC286A" w:rsidRDefault="00C62AF1" w:rsidP="0000132C">
      <w:pPr>
        <w:pStyle w:val="ListParagraph"/>
        <w:numPr>
          <w:ilvl w:val="0"/>
          <w:numId w:val="34"/>
        </w:numPr>
        <w:spacing w:after="120"/>
        <w:jc w:val="both"/>
      </w:pPr>
      <w:r>
        <w:t xml:space="preserve">Pojasnite, zakaj so druge potencialno manj izkrivljajoče oblike pomoči manj primerne, kot se zahteva v točki 44 Smernic. Manj izkrivljajoče oblike pomoči so lahko vračljiva predplačila v primerjavi z neposrednimi nepovratnimi sredstvi, davčni dobropisi v primerjavi z nižjo obdavčitvijo ali oblike pomoči, </w:t>
      </w:r>
      <w:r>
        <w:lastRenderedPageBreak/>
        <w:t>ki temeljijo na finančnih instrumentih, kot so dolžniški instrumenti v primerjavi z lastniškimi, vključno na primer s posojili z nizko obrestno mero ali subvencijami obrestne mere, državnimi jamstvi ali drugačnim financiranjem pod ugodnimi pogoji.</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Dokažite, da izbira instrumenta pomoči ustreza nedelovanju trga, ki naj bi se z ukrepom pomoči odpravilo, kot določa točka 45 Smernic.</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Pojasnite, kako ustrezna sta </w:t>
      </w:r>
      <w:r>
        <w:rPr>
          <w:color w:val="000000"/>
          <w:shd w:val="clear" w:color="auto" w:fill="FFFFFF"/>
        </w:rPr>
        <w:t>ukrep pomoči in njegova</w:t>
      </w:r>
      <w:r>
        <w:t xml:space="preserve"> zasnova </w:t>
      </w:r>
      <w:r>
        <w:rPr>
          <w:color w:val="000000"/>
          <w:shd w:val="clear" w:color="auto" w:fill="FFFFFF"/>
        </w:rPr>
        <w:t>za doseganje cilja ukrepa, v katerega je pomoč ciljno usmerjena (točka 46 Smernic)</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Za preverjanje skladnosti s točkama 40 in 171 Smernic pojasnite, ali druge vrste intervencij razen državne pomoči niso mogle spodbuditi razvoja trga čiste mobilnosti, in opišite njihov pričakovani učinek v primerjavi z učinkom predlaganega ukrepa. Take druge vrste ukrepov lahko vključujejo uvedbo splošnih ukrepov za spodbujanje nakupa čistih vozil, kot so sheme ekoloških bonusov ali sheme za razrez ali vzpostavljanje območij z nizkimi emisijami v zadevni državi članici.</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Sorazmernost</w:t>
            </w:r>
          </w:p>
        </w:tc>
      </w:tr>
    </w:tbl>
    <w:p w14:paraId="4583CF53" w14:textId="44472A65" w:rsidR="002E4A39" w:rsidRPr="00AC286A" w:rsidRDefault="002E4A39" w:rsidP="001F1E32">
      <w:pPr>
        <w:spacing w:before="360" w:after="120"/>
        <w:jc w:val="both"/>
        <w:rPr>
          <w:i/>
        </w:rPr>
      </w:pPr>
      <w:r>
        <w:rPr>
          <w:i/>
        </w:rPr>
        <w:t xml:space="preserve">Pri zagotavljanju informacij v tem oddelku glej oddelek 3.2.1.3 (točke 47–55) in oddelek 4.3.1.4.2 (točke 172–181) Smernic. Upoštevajte, da sta </w:t>
      </w:r>
      <w:r>
        <w:rPr>
          <w:i/>
          <w:u w:val="single"/>
        </w:rPr>
        <w:t>naslednja oddelka 2.1.3.1 in 2.1.3.2 izbirna</w:t>
      </w:r>
      <w:r>
        <w:rPr>
          <w:i/>
        </w:rPr>
        <w:t>. Odgovarjajte samo na ustrezni oddelek, odvisno od zasnove predlaganega ukrepa.</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Sorazmernost pomoči, dodeljene na podlagi konkurenčnega postopka zbiranja ponudb</w:t>
            </w:r>
          </w:p>
        </w:tc>
      </w:tr>
    </w:tbl>
    <w:p w14:paraId="7AD4AA0A" w14:textId="77F5469E" w:rsidR="00A84671" w:rsidRPr="00AC286A" w:rsidRDefault="00C62AF1" w:rsidP="009854EF">
      <w:pPr>
        <w:pStyle w:val="ListParagraph"/>
        <w:spacing w:before="120" w:after="120"/>
        <w:ind w:left="0"/>
        <w:contextualSpacing w:val="0"/>
        <w:jc w:val="both"/>
      </w:pPr>
      <w:r>
        <w:rPr>
          <w:i/>
        </w:rPr>
        <w:t>Za zagotovitev informacij v tem oddelku glej točke 49, 50, 173, 174 in 175 Smernic</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Za preverjanje skladnosti s točkami 49, 50 in 173 Smernic zagotovite naslednje: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Pojasnite, kako organi zagotavljajo, da je postopek zbiranja ponudb odprt, jasen, pregleden in nediskriminatoren, temelji na objektivnih merilih, ki so predhodno določena v skladu s ciljem ukrepa ter zagotavljajo čim manjše tveganje strateških ponudb (točka 49(a) Smernic).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EEA3CCB" w:rsidR="0082588A" w:rsidRPr="00AC286A" w:rsidRDefault="070CBB00" w:rsidP="0000132C">
      <w:pPr>
        <w:pStyle w:val="ListParagraph"/>
        <w:numPr>
          <w:ilvl w:val="0"/>
          <w:numId w:val="35"/>
        </w:numPr>
        <w:spacing w:before="120" w:after="120"/>
        <w:contextualSpacing w:val="0"/>
        <w:jc w:val="both"/>
      </w:pPr>
      <w:r>
        <w:t xml:space="preserve">Navedite pogoje za sodelovanje, ki se uporabljajo za razvrščanje ponudb in končno določitev ravni pomoči v konkurenčnem postopku zbiranja ponudb. Natančneje: </w:t>
      </w:r>
    </w:p>
    <w:p w14:paraId="321C47E7" w14:textId="77777777" w:rsidR="00C62AF1" w:rsidRPr="00AC286A" w:rsidRDefault="00C62AF1" w:rsidP="0000132C">
      <w:pPr>
        <w:pStyle w:val="ListParagraph"/>
        <w:numPr>
          <w:ilvl w:val="1"/>
          <w:numId w:val="22"/>
        </w:numPr>
        <w:spacing w:before="120" w:after="120"/>
        <w:contextualSpacing w:val="0"/>
        <w:jc w:val="both"/>
      </w:pPr>
      <w:r>
        <w:t>Navedite seznam pogojev za sodelovanje in natančno opredelite, kateri od njih so neposredno ali posredno povezani z glavnimi cilji ukrepa in kateri ne. Navedite tudi njihove ponderje.</w:t>
      </w:r>
    </w:p>
    <w:p w14:paraId="01FF411D" w14:textId="77777777" w:rsidR="00C62AF1" w:rsidRPr="00AC286A" w:rsidRDefault="00C62AF1" w:rsidP="001631E6">
      <w:pPr>
        <w:tabs>
          <w:tab w:val="left" w:leader="dot" w:pos="9072"/>
        </w:tabs>
        <w:spacing w:before="120" w:after="120"/>
        <w:ind w:left="1800"/>
        <w:jc w:val="both"/>
      </w:pPr>
      <w:r>
        <w:lastRenderedPageBreak/>
        <w:tab/>
      </w:r>
    </w:p>
    <w:p w14:paraId="3871A0FF" w14:textId="0D8DE64E" w:rsidR="00C62AF1" w:rsidRPr="00AC286A" w:rsidRDefault="00C62AF1" w:rsidP="0000132C">
      <w:pPr>
        <w:pStyle w:val="ListParagraph"/>
        <w:numPr>
          <w:ilvl w:val="1"/>
          <w:numId w:val="22"/>
        </w:numPr>
        <w:spacing w:before="120" w:after="120"/>
        <w:contextualSpacing w:val="0"/>
        <w:jc w:val="both"/>
      </w:pPr>
      <w:r>
        <w:t>Pojasnite, kako pogoji za sodelovanje zagotavljajo prispevek h glavnim ciljem ukrepa, ki je neposredno ali posredno povezan z zneskom pomoči, ki ga prosilec zahteva. To se lahko izrazi na primer kot pomoč na enoto varstva okolja ali pomoč na čisto ali brezemisijsko vozilo (točka 50 in opomba 44 Smernic).</w:t>
      </w:r>
    </w:p>
    <w:p w14:paraId="7A3A1799" w14:textId="77777777" w:rsidR="00C62AF1" w:rsidRPr="00AC286A" w:rsidRDefault="00C62AF1" w:rsidP="001631E6">
      <w:pPr>
        <w:tabs>
          <w:tab w:val="left" w:leader="dot" w:pos="9072"/>
        </w:tabs>
        <w:spacing w:before="120" w:after="120"/>
        <w:ind w:left="1800"/>
        <w:jc w:val="both"/>
      </w:pPr>
      <w:r>
        <w:tab/>
      </w:r>
    </w:p>
    <w:p w14:paraId="21A84BEF" w14:textId="32BB0649" w:rsidR="00CD4F93" w:rsidRPr="00AC286A" w:rsidRDefault="00C62AF1" w:rsidP="0000132C">
      <w:pPr>
        <w:pStyle w:val="ListParagraph"/>
        <w:numPr>
          <w:ilvl w:val="1"/>
          <w:numId w:val="22"/>
        </w:numPr>
        <w:spacing w:before="120" w:after="120"/>
        <w:contextualSpacing w:val="0"/>
        <w:jc w:val="both"/>
      </w:pPr>
      <w:r>
        <w:t xml:space="preserve">Če obstajajo drugi pogoji za sodelovanje, ki niso neposredno ali posredno povezani z glavnimi cilji ukrepa, navedite razloge za predlagani pristop in pojasnite, kako ustreza doseganju ciljev ukrepa. Potrdite tudi, da navedeni pogoji ne predstavljajo več kot 30 % ponderjev vseh pogojev za sodelovanje (točki 50 in 174 Smernic).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Pojasnite, koliko časa pred rokom za predložitev ponudb v vsakem konkurenčnem postopku zbiranja ponudb bodo objavljeni pogoji za sodelovanje (točka 49(b) in opomba 43 Smernic).</w:t>
      </w:r>
    </w:p>
    <w:p w14:paraId="04A0C488" w14:textId="77777777" w:rsidR="00C62AF1" w:rsidRPr="00AC286A" w:rsidRDefault="00C62AF1" w:rsidP="001631E6">
      <w:pPr>
        <w:tabs>
          <w:tab w:val="left" w:leader="dot" w:pos="9072"/>
        </w:tabs>
        <w:spacing w:before="120" w:after="120"/>
        <w:ind w:left="1800"/>
        <w:jc w:val="both"/>
      </w:pPr>
      <w:r>
        <w:tab/>
      </w:r>
    </w:p>
    <w:p w14:paraId="19160455" w14:textId="7728CBBE"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Pojasnite, </w:t>
      </w:r>
      <w:r>
        <w:rPr>
          <w:shd w:val="clear" w:color="auto" w:fill="FFFFFF"/>
        </w:rPr>
        <w:t>na katerih elementih temelji vaša predpostavka, da bo postopek zbiranja ponudb odprt in bo prejetih dovolj ponudb, tj. da je mogoče pričakovati, da pomoči ne bodo prejeli vsi ponudniki in da pričakovano število ponudnikov zadostuje za zagotovitev učinkovite konkurence v času trajanja sheme (točka 49(c) Smernic). Pri pojasnitvi upoštevajte proračun ali obseg sheme. Če je primerno, glej dokazila, predložena v odgovorih na vprašanje</w:t>
      </w:r>
      <w:r>
        <w:t xml:space="preserve">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9E79D5">
      <w:pPr>
        <w:pStyle w:val="ListParagraph"/>
        <w:numPr>
          <w:ilvl w:val="0"/>
          <w:numId w:val="35"/>
        </w:numPr>
        <w:spacing w:before="120" w:after="120"/>
        <w:contextualSpacing w:val="0"/>
        <w:jc w:val="both"/>
      </w:pPr>
      <w:r>
        <w:rPr>
          <w:shd w:val="clear" w:color="auto" w:fill="FFFFFF"/>
        </w:rPr>
        <w:t xml:space="preserve">Zagotovite </w:t>
      </w:r>
      <w:r>
        <w:t xml:space="preserve">informacije </w:t>
      </w:r>
      <w:r>
        <w:rPr>
          <w:shd w:val="clear" w:color="auto" w:fill="FFFFFF"/>
        </w:rPr>
        <w:t>o predvidenem številu krogov zbiranja ponudb in pričakovanem številu ponudnikov v prvem krogu in v nadaljevanju.</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3DEC516B" w:rsidR="00C62AF1" w:rsidRPr="00AC286A" w:rsidRDefault="00071F5F" w:rsidP="009E79D5">
      <w:pPr>
        <w:pStyle w:val="ListParagraph"/>
        <w:numPr>
          <w:ilvl w:val="0"/>
          <w:numId w:val="35"/>
        </w:numPr>
        <w:spacing w:before="120" w:after="120"/>
        <w:contextualSpacing w:val="0"/>
        <w:jc w:val="both"/>
      </w:pPr>
      <w:r>
        <w:rPr>
          <w:shd w:val="clear" w:color="auto" w:fill="FFFFFF"/>
        </w:rPr>
        <w:t>V primeru enega ali več postopkov zbiranja ponudb, pri katerih ni prejetih dovolj ponudb, pojasnite, kako in kdaj se bo med izvajanjem sheme popravila zasnova postopkov zbiranja ponudb, da se ponovno vzpostavi učinkovita konkurenca</w:t>
      </w:r>
      <w:r>
        <w:t xml:space="preserve"> (točka 49(c) Smernic)</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9E79D5">
      <w:pPr>
        <w:pStyle w:val="ListParagraph"/>
        <w:numPr>
          <w:ilvl w:val="0"/>
          <w:numId w:val="35"/>
        </w:numPr>
        <w:spacing w:before="120" w:after="120"/>
        <w:contextualSpacing w:val="0"/>
        <w:jc w:val="both"/>
      </w:pPr>
      <w:r>
        <w:rPr>
          <w:rStyle w:val="oj-italic"/>
          <w:shd w:val="clear" w:color="auto" w:fill="FFFFFF"/>
        </w:rPr>
        <w:t>Potrdite</w:t>
      </w:r>
      <w:r>
        <w:rPr>
          <w:shd w:val="clear" w:color="auto" w:fill="FFFFFF"/>
        </w:rPr>
        <w:t>, da bodo preprečene naknadne prilagoditve rezultata postopka zbiranja ponudb (kot so poznejša pogajanja o rezultatih ponudb ali racioniranje)</w:t>
      </w:r>
      <w:r>
        <w:t xml:space="preserve"> (točka 49(d) Smernic).</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4E6B0BDA" w:rsidR="00C62AF1" w:rsidRPr="00AC286A" w:rsidRDefault="00C62AF1" w:rsidP="009E79D5">
      <w:pPr>
        <w:pStyle w:val="ListParagraph"/>
        <w:numPr>
          <w:ilvl w:val="0"/>
          <w:numId w:val="35"/>
        </w:numPr>
        <w:spacing w:before="120" w:after="120"/>
        <w:contextualSpacing w:val="0"/>
        <w:jc w:val="both"/>
      </w:pPr>
      <w:r>
        <w:t>Če obstaja možnost „</w:t>
      </w:r>
      <w:r>
        <w:rPr>
          <w:i/>
        </w:rPr>
        <w:t>ponudb z ničelnimi subvencijami</w:t>
      </w:r>
      <w:r>
        <w:t xml:space="preserve">“, pojasnite, kako </w:t>
      </w:r>
      <w:r>
        <w:rPr>
          <w:shd w:val="clear" w:color="auto" w:fill="FFFFFF"/>
        </w:rPr>
        <w:t>bo</w:t>
      </w:r>
      <w:r>
        <w:t xml:space="preserve"> zagotovljena </w:t>
      </w:r>
      <w:r>
        <w:rPr>
          <w:rStyle w:val="oj-italic"/>
          <w:color w:val="000000"/>
          <w:shd w:val="clear" w:color="auto" w:fill="FFFFFF"/>
        </w:rPr>
        <w:t>sorazmernost</w:t>
      </w:r>
      <w:r w:rsidR="00704F24">
        <w:rPr>
          <w:rStyle w:val="oj-italic"/>
          <w:color w:val="000000"/>
          <w:shd w:val="clear" w:color="auto" w:fill="FFFFFF"/>
        </w:rPr>
        <w:t xml:space="preserve"> (glej točko 49, opomba 42, Smernic)</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9E79D5">
      <w:pPr>
        <w:pStyle w:val="ListParagraph"/>
        <w:numPr>
          <w:ilvl w:val="0"/>
          <w:numId w:val="35"/>
        </w:numPr>
        <w:spacing w:before="120" w:after="120"/>
        <w:contextualSpacing w:val="0"/>
        <w:jc w:val="both"/>
      </w:pPr>
      <w:r>
        <w:t>Pojasnite, ali organi načrtujejo uporabo spodnjih ali zgornjih mej cen v konkurenčnem postopku zbiranja ponudb. Če je odgovor pritrdilen, utemeljite njihovo uporabo in pojasnite, kako ne omejujejo konkurenčnega postopka zbiranja ponudb (točka 49 in opomba 42 Smernic).</w:t>
      </w:r>
    </w:p>
    <w:p w14:paraId="65B75D11" w14:textId="77777777" w:rsidR="00443E1F" w:rsidRPr="00AC286A" w:rsidRDefault="00443E1F" w:rsidP="0082588A">
      <w:pPr>
        <w:tabs>
          <w:tab w:val="left" w:leader="dot" w:pos="9072"/>
        </w:tabs>
        <w:spacing w:before="120" w:after="120"/>
        <w:ind w:left="1080" w:firstLine="763"/>
        <w:jc w:val="both"/>
      </w:pPr>
      <w:r>
        <w:lastRenderedPageBreak/>
        <w:tab/>
      </w:r>
    </w:p>
    <w:p w14:paraId="5C9F3D54" w14:textId="1383C4E2" w:rsidR="00CD4F93" w:rsidRPr="00AC286A" w:rsidRDefault="00C62AF1" w:rsidP="0000132C">
      <w:pPr>
        <w:numPr>
          <w:ilvl w:val="0"/>
          <w:numId w:val="4"/>
        </w:numPr>
        <w:spacing w:before="120" w:after="120"/>
        <w:ind w:left="567" w:hanging="567"/>
        <w:jc w:val="both"/>
        <w:rPr>
          <w:sz w:val="22"/>
        </w:rPr>
      </w:pPr>
      <w:r>
        <w:t>Pojasnite, kako zasnova konkurenčnega postopka zbiranja ponudb zagotavlja, da se ohranijo zadostne spodbude za prosilce za predložitev ponudb za projekte v zvezi z nakupom brezemisijskih vozil, ki so na splošno dražja od okolju manj prijaznih alternativ, če so ta na voljo v navedenem načinu prevoza. Na primer, pojasnite, ali zasnova konkurenčnega postopka zbiranja ponudb vključuje bonuse, na podlagi katerih se lahko bolje ocenijo projekti z okoljskimi koristmi, ki presegajo koristi na podlagi zahtev za upravičenost ali primarnega cilja ukrepa (točka 175 Smernic).</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Sorazmernost pomoči, dodeljene </w:t>
            </w:r>
            <w:r>
              <w:rPr>
                <w:sz w:val="24"/>
                <w:u w:val="single"/>
              </w:rPr>
              <w:t>brez</w:t>
            </w:r>
            <w:r>
              <w:rPr>
                <w:sz w:val="24"/>
              </w:rPr>
              <w:t xml:space="preserve"> konkurenčnega postopka zbiranja ponudb</w:t>
            </w:r>
          </w:p>
        </w:tc>
      </w:tr>
    </w:tbl>
    <w:p w14:paraId="422D5582" w14:textId="3525E601" w:rsidR="00C62AF1" w:rsidRPr="00AC286A" w:rsidRDefault="00C62AF1" w:rsidP="009854EF">
      <w:pPr>
        <w:pStyle w:val="ListParagraph"/>
        <w:spacing w:before="120" w:after="120"/>
        <w:ind w:left="0"/>
        <w:contextualSpacing w:val="0"/>
        <w:jc w:val="both"/>
      </w:pPr>
      <w:r>
        <w:rPr>
          <w:i/>
        </w:rPr>
        <w:t>Za zagotovitev informacij v tem oddelku glej točke 51–55 in 176–181 Smernic</w:t>
      </w:r>
      <w:r>
        <w:t>.</w:t>
      </w:r>
    </w:p>
    <w:p w14:paraId="1F6FE818" w14:textId="1814D969" w:rsidR="00EF71CF" w:rsidRPr="00EF71CF" w:rsidRDefault="00EF71CF" w:rsidP="0000132C">
      <w:pPr>
        <w:numPr>
          <w:ilvl w:val="0"/>
          <w:numId w:val="4"/>
        </w:numPr>
        <w:spacing w:before="120" w:after="120"/>
        <w:ind w:left="567" w:hanging="567"/>
        <w:jc w:val="both"/>
      </w:pPr>
      <w:r>
        <w:t xml:space="preserve">Pojasnite, zakaj se ni uporabil konkurenčni postopek zbiranja ponudb (s sklicevanjem na izjeme iz točke 176 Smernic):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predvideno število udeležencev ne zadostuje za zagotovitev učinkovite konkurence ali preprečitev strateških ponudb; </w:t>
      </w:r>
      <w:r>
        <w:rPr>
          <w:i/>
        </w:rPr>
        <w:t>ALI</w:t>
      </w:r>
    </w:p>
    <w:p w14:paraId="2BE7768F" w14:textId="52FE47F8" w:rsidR="001A514F" w:rsidRDefault="009A3188" w:rsidP="0000132C">
      <w:pPr>
        <w:pStyle w:val="ListParagraph"/>
        <w:numPr>
          <w:ilvl w:val="0"/>
          <w:numId w:val="37"/>
        </w:numPr>
        <w:spacing w:before="120" w:after="120"/>
        <w:contextualSpacing w:val="0"/>
        <w:jc w:val="both"/>
      </w:pPr>
      <w:r>
        <w:t xml:space="preserve">konkurenčni postopek zbiranja ponudb, kot je opisan v točkah 49 in 50, ni ustrezen za zagotavljanje sorazmernosti pomoči, z uporabo alternativnih metod iz točk 177 do 180 pa se ne bi povečalo tveganje neupravičenega izkrivljanja konkurence, odvisno od značilnosti ukrepa ali zadevnih sektorjev ali načinov prevoza, </w:t>
      </w:r>
      <w:r>
        <w:rPr>
          <w:i/>
        </w:rPr>
        <w:t>ALI</w:t>
      </w:r>
      <w:r>
        <w:t xml:space="preserve"> </w:t>
      </w:r>
    </w:p>
    <w:p w14:paraId="5D52BE55" w14:textId="25904D05" w:rsidR="009A3188" w:rsidRDefault="009A3188" w:rsidP="0000132C">
      <w:pPr>
        <w:pStyle w:val="ListParagraph"/>
        <w:numPr>
          <w:ilvl w:val="0"/>
          <w:numId w:val="37"/>
        </w:numPr>
        <w:spacing w:before="120" w:after="120"/>
        <w:contextualSpacing w:val="0"/>
        <w:jc w:val="both"/>
      </w:pPr>
      <w:r>
        <w:t>pomoč se dodeli za nakup ali najem vozil, predvidenih za podjetja, ki delujejo v sektorju javnega kopenskega, železniškega ali vodnega prevoza potnikov.</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Opredelite neto dodatne stroške naložbe. Izračunajo se kot razlika med skupnimi stroški lastništva čistega vozila, predvidenega za nakup ali najem, na eni strani in skupnimi stroški lastništva v hipotetičnem scenariju na drugi strani, brez stroškov, ki niso neposredno povezani z doseganjem višje ravni varstva okolja. Kar zadeva naknadno opremljanje vozil ali mobilne opreme za spremljajoče storitve, so lahko upravičeni stroški skupni stroški naknadnega opremljanja, če po hipotetičnem scenariju vozila ali mobilna oprema za spremljajoče storitve brez naknadnega opremljanja ohrani isto ekonomsko življenjsko dobo (točki 178 in 179 Smernic).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Navedite največje intenzivnosti pomoči, ki se uporabljajo v okviru ukrepa, in ali se uporabljajo bonusi (kot je opisano v točki 177 Smernic).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r>
        <w:t xml:space="preserve">Če se z odstopanjem od točk 177–179 Smernic šteje, da je potrebna pomoč, ki presega največje intenzivnosti pomoči, določene v točki 177 Smernic, navedite raven pomoči, ki se šteje za potrebno, in jo utemeljite na podlagi analize vrzeli v financiranju za referenčne projekte po dejanskem in hipotetičnem scenariju, kot je opredeljeno v odgovoru na vprašanje </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C)(i) zgoraj, v skladu s točkama 51 in 52 Smernic.</w:t>
      </w:r>
    </w:p>
    <w:p w14:paraId="264FE08C" w14:textId="6A1796CC" w:rsidR="00F4008F" w:rsidRDefault="6554BC11" w:rsidP="001C4C34">
      <w:pPr>
        <w:spacing w:before="120" w:after="120"/>
        <w:ind w:left="567"/>
        <w:jc w:val="both"/>
      </w:pPr>
      <w:r>
        <w:lastRenderedPageBreak/>
        <w:t>Za to analizo vrzeli v financiranju predložite za dejanski scenarij in realističen hipotetični scenarij</w:t>
      </w:r>
      <w:r w:rsidR="00F4008F" w:rsidRPr="00BA5885">
        <w:rPr>
          <w:rStyle w:val="FootnoteReference"/>
          <w:lang w:val="en-IE"/>
        </w:rPr>
        <w:footnoteReference w:id="9"/>
      </w:r>
      <w:r>
        <w:t xml:space="preserve">, opredeljena v odgovoru na zgornje vprašanje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količinsko opredelitev vseh 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45BB3A0D" w14:textId="77777777" w:rsidR="002F62D3" w:rsidRPr="00C03B54"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To navedite v prilogi k temu obrazcu za dodatne informacije (z uporabo Excelove datoteke, v kateri so vidne vse formule).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Vključite podrobne informacije o predpostavkah, metodologijah, utemeljitvah in virih,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Za primere individualne pomoči in shem, ki koristijo precej omejenemu številu upravičencev, mora država članica predložiti ustrezna dokazila na ravni podrobnega poslovnega načrta projekta.</w:t>
      </w:r>
    </w:p>
    <w:p w14:paraId="1610350D" w14:textId="77777777" w:rsidR="002712FE" w:rsidRPr="00AC286A" w:rsidRDefault="002712FE" w:rsidP="001C4C34">
      <w:pPr>
        <w:ind w:left="1440"/>
        <w:jc w:val="both"/>
        <w:rPr>
          <w:shd w:val="clear" w:color="auto" w:fill="FFFFFF"/>
        </w:rPr>
      </w:pPr>
      <w:r>
        <w:rPr>
          <w:shd w:val="clear" w:color="auto" w:fill="FFFFFF"/>
        </w:rPr>
        <w:t>Za primere shem pomoči mora država članica predložiti ustrezna dokazila na podlagi enega ali več referenčnih projektov.</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Temu obrazcu za dodatne informacije lahko </w:t>
      </w:r>
      <w:r>
        <w:rPr>
          <w:shd w:val="clear" w:color="auto" w:fill="FFFFFF"/>
        </w:rPr>
        <w:t>priložite</w:t>
      </w:r>
      <w:r>
        <w:t xml:space="preserve"> tudi dokumente, navedene v opombi 39 Smernic. Dokumenti uprav so lahko posebej uporabni pri ukrepih individualne pomoči ali shem pomoči, ki koristijo precej omejenemu številu upravičencev. Če so takšni dokumenti priloženi obrazcu za priglasitev, v nadaljevanju navedite seznam teh dokumentov, pri čemer navedite avtorja, datum njihove priprave in kontekst, v katerem so bili uporabljeni.</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0C5904CC" w:rsidR="00E15BFB" w:rsidRDefault="00E15BFB" w:rsidP="0000132C">
      <w:pPr>
        <w:numPr>
          <w:ilvl w:val="0"/>
          <w:numId w:val="4"/>
        </w:numPr>
        <w:spacing w:before="120" w:after="120"/>
        <w:ind w:left="567" w:hanging="567"/>
        <w:jc w:val="both"/>
      </w:pPr>
      <w:r>
        <w:t xml:space="preserve">Dokažite tudi, da zaradi uporabe višje ravni pomoči, določene, </w:t>
      </w:r>
      <w:r>
        <w:rPr>
          <w:shd w:val="clear" w:color="auto" w:fill="FFFFFF"/>
        </w:rPr>
        <w:t>kot je navedeno v vprašanju 3</w:t>
      </w:r>
      <w:r w:rsidR="0046435A">
        <w:rPr>
          <w:shd w:val="clear" w:color="auto" w:fill="FFFFFF"/>
        </w:rPr>
        <w:t>4</w:t>
      </w:r>
      <w:r>
        <w:t xml:space="preserve">, pomoč ne bi presegla vrzeli v financiranju.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Če se uporablja točka 52 Smernic, tj. </w:t>
      </w:r>
      <w:r>
        <w:rPr>
          <w:shd w:val="clear" w:color="auto" w:fill="FFFFFF"/>
        </w:rPr>
        <w:t>upravičenec po najverjetnejšem hipotetičnem scenariju ne izvaja dejavnosti ali naložbe ali nadaljuje poslovanje brez sprememb</w:t>
      </w:r>
      <w:r>
        <w:t>, predložite dokaze v podporo tej predpostavki</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40430CCB"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Kadar koli </w:t>
      </w:r>
      <w:r>
        <w:t xml:space="preserve">se sorazmernost </w:t>
      </w:r>
      <w:r>
        <w:rPr>
          <w:shd w:val="clear" w:color="auto" w:fill="FFFFFF"/>
        </w:rPr>
        <w:t xml:space="preserve">upravičuje s sklicevanjem na analizo vrzeli v financiranju, potrdite tudi, da bodo organi vaše države izvajali naknadno spremljanje, da bi preverili predpostavke v zvezi z ravnjo potrebne pomoči in vzpostavili mehanizem za vračanje </w:t>
      </w:r>
      <w:r>
        <w:rPr>
          <w:shd w:val="clear" w:color="auto" w:fill="FFFFFF"/>
        </w:rPr>
        <w:lastRenderedPageBreak/>
        <w:t>sredstev. Poleg tega opišite mehanizem za spremljanje in vračanje sredstev, ki ga nameravajo uporabljati organi vaše države (točka 180 Smernic</w:t>
      </w:r>
      <w:r>
        <w:t>.</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Kumulacija</w:t>
            </w:r>
          </w:p>
        </w:tc>
      </w:tr>
    </w:tbl>
    <w:p w14:paraId="7AD631CF" w14:textId="77777777" w:rsidR="00C62AF1" w:rsidRPr="00AC286A" w:rsidRDefault="00C62AF1" w:rsidP="00FC5BDD">
      <w:pPr>
        <w:pStyle w:val="ListParagraph"/>
        <w:spacing w:before="120" w:after="120"/>
        <w:ind w:left="0"/>
        <w:contextualSpacing w:val="0"/>
        <w:jc w:val="both"/>
      </w:pPr>
      <w:r>
        <w:rPr>
          <w:i/>
        </w:rPr>
        <w:t>Za zagotovitev informacij v tem oddelku glej točki 56 in 57 Smernic</w:t>
      </w:r>
      <w:r>
        <w:t>.</w:t>
      </w:r>
    </w:p>
    <w:p w14:paraId="25823321" w14:textId="6CE5B214" w:rsidR="00C62AF1" w:rsidRPr="00FC5BDD" w:rsidRDefault="5B40C1FF" w:rsidP="0000132C">
      <w:pPr>
        <w:numPr>
          <w:ilvl w:val="0"/>
          <w:numId w:val="4"/>
        </w:numPr>
        <w:spacing w:before="120" w:after="120"/>
        <w:ind w:left="567" w:hanging="567"/>
        <w:jc w:val="both"/>
      </w:pPr>
      <w:bookmarkStart w:id="10" w:name="_Ref114155671"/>
      <w:r>
        <w:t xml:space="preserve">Če še ni tako določeno v delu I splošnega obrazca za priglasitev in da se preveri </w:t>
      </w:r>
      <w:r>
        <w:rPr>
          <w:shd w:val="clear" w:color="auto" w:fill="FFFFFF"/>
        </w:rPr>
        <w:t>skladnost</w:t>
      </w:r>
      <w:r>
        <w:t xml:space="preserve"> s točko 56 Smernic, pojasnite, ali se lahko pomoč v okviru priglašenega ukrepa dodeli sočasno na podlagi več shem pomoči ali skupaj z </w:t>
      </w:r>
      <w:r>
        <w:rPr>
          <w:i/>
        </w:rPr>
        <w:t>ad hoc</w:t>
      </w:r>
      <w:r>
        <w:t xml:space="preserve"> pomočjo ali pomočjo </w:t>
      </w:r>
      <w:r>
        <w:rPr>
          <w:i/>
        </w:rPr>
        <w:t>de minimis</w:t>
      </w:r>
      <w:r>
        <w:t xml:space="preserve"> v zvezi z istimi upravičenimi stroški. Če je tako, navedite podrobnosti o navedenih shemah pomoči, </w:t>
      </w:r>
      <w:r>
        <w:rPr>
          <w:i/>
        </w:rPr>
        <w:t>ad hoc</w:t>
      </w:r>
      <w:r>
        <w:t xml:space="preserve"> pomoči ali pomoči </w:t>
      </w:r>
      <w:r>
        <w:rPr>
          <w:i/>
        </w:rPr>
        <w:t>de minimis</w:t>
      </w:r>
      <w:r>
        <w:t xml:space="preserve"> in o tem, kako se bo pomoč kumulirala.</w:t>
      </w:r>
      <w:bookmarkEnd w:id="10"/>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5A8BCFEC" w:rsidR="00C62AF1" w:rsidRPr="00AC286A" w:rsidRDefault="61E4A1D4" w:rsidP="0000132C">
      <w:pPr>
        <w:numPr>
          <w:ilvl w:val="0"/>
          <w:numId w:val="4"/>
        </w:numPr>
        <w:spacing w:before="120" w:after="120"/>
        <w:ind w:left="567" w:hanging="567"/>
        <w:jc w:val="both"/>
      </w:pPr>
      <w:r>
        <w:t xml:space="preserve"> Če se uporablja točka 56 Smernic, pojasnite, kako skupni znesek pomoči za posamezni projekt ali dejavnost ne vodi do prekomernega nadomestila ali ne presega najvišjega zneska pomoči, dovoljenega na podlagi točke 173, točke 177 ali točke 180 Smernic. Za vsak ukrep, </w:t>
      </w:r>
      <w:r w:rsidR="00D113F0">
        <w:t xml:space="preserve">s </w:t>
      </w:r>
      <w:r>
        <w:t>kater</w:t>
      </w:r>
      <w:r w:rsidR="00D113F0">
        <w:t>im</w:t>
      </w:r>
      <w:r>
        <w:t xml:space="preserve"> se lahko pomoč, dodeljena na podlagi priglašenega ukrepa pomoči, kumulira, navedite metodo, uporabljeno za zagotovitev skladnosti s pogoji iz točke 56 Smernic. </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Če se uporablja točka 57 Smernic, tj. pomoč, dodeljena na podlagi priglašenega ukrepa, se kombinira s centralno upravljanimi sredstvi Unije</w:t>
      </w:r>
      <w:r w:rsidR="00BF1E81" w:rsidRPr="00AC286A">
        <w:rPr>
          <w:rStyle w:val="FootnoteReference"/>
          <w:lang w:eastAsia="en-GB"/>
        </w:rPr>
        <w:footnoteReference w:id="11"/>
      </w:r>
      <w:r>
        <w:t xml:space="preserve"> (ki ne pomenijo državne pomoči), utemeljite, kako </w:t>
      </w:r>
      <w:r>
        <w:rPr>
          <w:shd w:val="clear" w:color="auto" w:fill="FFFFFF"/>
        </w:rPr>
        <w:t>skupni znesek javnega financiranja, dodeljen v zvezi z istimi upravičenimi stroški, ne privede do prekomernega nadomestila</w:t>
      </w:r>
      <w:r>
        <w: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Preglednost</w:t>
            </w:r>
          </w:p>
        </w:tc>
      </w:tr>
    </w:tbl>
    <w:p w14:paraId="19C31F80" w14:textId="14208622" w:rsidR="00C62AF1" w:rsidRPr="00AC286A" w:rsidRDefault="00C62AF1" w:rsidP="00C62AF1">
      <w:pPr>
        <w:spacing w:before="360" w:after="120"/>
        <w:jc w:val="both"/>
        <w:rPr>
          <w:i/>
        </w:rPr>
      </w:pPr>
      <w:r>
        <w:rPr>
          <w:i/>
        </w:rPr>
        <w:t xml:space="preserve">Za zagotovitev informacij v tem oddelku glej oddelek 3.2.1.4 (točke 58–61) Smernic. </w:t>
      </w:r>
    </w:p>
    <w:p w14:paraId="4211141D" w14:textId="58565510" w:rsidR="008E430F" w:rsidRDefault="1C6367A9" w:rsidP="0000132C">
      <w:pPr>
        <w:numPr>
          <w:ilvl w:val="0"/>
          <w:numId w:val="4"/>
        </w:numPr>
        <w:spacing w:before="120" w:after="120"/>
        <w:ind w:left="567" w:hanging="567"/>
        <w:jc w:val="both"/>
      </w:pPr>
      <w:r>
        <w:t xml:space="preserve">Potrdite, da bo država članica izpolnjevala zahteve glede preglednosti </w:t>
      </w:r>
      <w:r>
        <w:rPr>
          <w:shd w:val="clear" w:color="auto" w:fill="FFFFFF"/>
        </w:rPr>
        <w:t xml:space="preserve">iz </w:t>
      </w:r>
      <w:r>
        <w:t xml:space="preserve">točk 58–61 Smernic.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5BD67307" w:rsidR="008E430F" w:rsidRPr="00AC286A" w:rsidRDefault="067498DD" w:rsidP="0000132C">
      <w:pPr>
        <w:numPr>
          <w:ilvl w:val="0"/>
          <w:numId w:val="4"/>
        </w:numPr>
        <w:spacing w:before="120" w:after="120"/>
        <w:ind w:left="567" w:hanging="567"/>
        <w:jc w:val="both"/>
        <w:rPr>
          <w:rFonts w:eastAsia="Times New Roman"/>
          <w:szCs w:val="24"/>
        </w:rPr>
      </w:pPr>
      <w:r>
        <w:t xml:space="preserve">Navedite spletno povezavo, na kateri bodo objavljeni celotno besedilo odobrene sheme pomoči ali sklepa o dodelitvi individualne pomoči in njegovih izvedbenih določb ter informacije o vsaki individualni pomoči, dodeljeni ad hoc ali na podlagi sheme pomoči, odobrene na podlagi Smernic, ki presega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1" w:name="_Hlk153378978"/>
            <w:r>
              <w:rPr>
                <w:sz w:val="24"/>
              </w:rPr>
              <w:t>2.2. Preprečevanje neupravičenih negativnih učinkov na konkurenco in trgovino ter test tehtanja</w:t>
            </w:r>
            <w:bookmarkEnd w:id="11"/>
          </w:p>
        </w:tc>
      </w:tr>
    </w:tbl>
    <w:p w14:paraId="27571D47" w14:textId="688E0B5A" w:rsidR="00C62AF1" w:rsidRPr="00AC286A" w:rsidRDefault="00C62AF1" w:rsidP="00C62AF1">
      <w:pPr>
        <w:spacing w:before="360" w:after="120"/>
        <w:jc w:val="both"/>
        <w:rPr>
          <w:i/>
        </w:rPr>
      </w:pPr>
      <w:r>
        <w:rPr>
          <w:i/>
        </w:rPr>
        <w:lastRenderedPageBreak/>
        <w:t xml:space="preserve">Pri zagotavljanju informacij v tem oddelku glej oddelek 3.2.2 (točke 63–70) in oddelek 4.3.1.5 (točke 183–189) Smernic. </w:t>
      </w:r>
    </w:p>
    <w:p w14:paraId="5724A4A1" w14:textId="77777777" w:rsidR="000C4C25" w:rsidRDefault="19967884" w:rsidP="0000132C">
      <w:pPr>
        <w:numPr>
          <w:ilvl w:val="0"/>
          <w:numId w:val="4"/>
        </w:numPr>
        <w:spacing w:before="120" w:after="120"/>
        <w:ind w:left="567" w:hanging="567"/>
        <w:jc w:val="both"/>
      </w:pPr>
      <w:r>
        <w:t xml:space="preserve">Za preverjanje skladnosti s točko 67 Smernic zagotovite informacije o morebitnih kratkoročnih in dolgoročnih negativnih učinkih priglašenega ukrepa na konkurenco in trgovino.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Pojasnite, ali ukrep spada v katerega od naslednjih primerov: </w:t>
      </w:r>
    </w:p>
    <w:p w14:paraId="600A6180" w14:textId="7392E57E" w:rsidR="00F43AD8" w:rsidRDefault="005E6D02" w:rsidP="0000132C">
      <w:pPr>
        <w:pStyle w:val="ListParagraph"/>
        <w:numPr>
          <w:ilvl w:val="0"/>
          <w:numId w:val="39"/>
        </w:numPr>
        <w:spacing w:before="120" w:after="120"/>
        <w:contextualSpacing w:val="0"/>
        <w:jc w:val="both"/>
      </w:pPr>
      <w:r>
        <w:t>zadeva trg (ali trge), na katerem so prvotni operaterji pridobili tržno moč pred liberalizacijo trga;</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vključuje konkurenčne postopke zbiranja ponudb na nastajajočih trgih, kadar obstaja akter z močnim tržnim položajem;</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ukrep bo koristil le enemu upravičencu ali precej omejenemu številu upravičencev.</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Če se ukrep pomoči osredotoča na določeno tehnološko izbiro/pot, utemeljite razlog za tehnološko izbiro in potrdite, da ukrep ne bo odvračal od uporabe čistejših tehnologij.</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Če bo priglašeni ukrep koristil le enemu upravičencu ali precej omejenemu številu upravičencev, za preverjanje skladnosti s točko 68 Smernic:</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 </w:t>
      </w:r>
    </w:p>
    <w:p w14:paraId="7CA69CC1" w14:textId="2132093B" w:rsidR="00790290" w:rsidRPr="00AC286A" w:rsidRDefault="00C62AF1" w:rsidP="0000132C">
      <w:pPr>
        <w:tabs>
          <w:tab w:val="left" w:leader="dot" w:pos="9072"/>
        </w:tabs>
        <w:spacing w:before="120" w:after="120"/>
        <w:ind w:left="1080" w:firstLine="338"/>
        <w:jc w:val="both"/>
      </w:pPr>
      <w:bookmarkStart w:id="12" w:name="_Hlk161223850"/>
      <w:r>
        <w:tab/>
      </w:r>
      <w:bookmarkEnd w:id="12"/>
    </w:p>
    <w:p w14:paraId="1ED88AAE" w14:textId="5BCFE4D6" w:rsidR="00C62AF1" w:rsidRPr="00AC286A" w:rsidRDefault="00A30A2E" w:rsidP="0000132C">
      <w:pPr>
        <w:pStyle w:val="ListParagraph"/>
        <w:numPr>
          <w:ilvl w:val="0"/>
          <w:numId w:val="40"/>
        </w:numPr>
        <w:spacing w:before="120" w:after="120"/>
        <w:jc w:val="both"/>
      </w:pPr>
      <w:r>
        <w:t xml:space="preserve">Opišite ukrepe, ki so bili sprejeti za omejitev morebitnega izkrivljanja konkurence, ki bi ga lahko povzročila dodelitev pomoči upravičencem.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Za preverjanje skladnosti s točko 69 Smernic pojasnite naslednje: </w:t>
      </w:r>
    </w:p>
    <w:p w14:paraId="32E33C0A" w14:textId="66BA9774" w:rsidR="00CA77F0" w:rsidRDefault="00CA77F0" w:rsidP="0000132C">
      <w:pPr>
        <w:pStyle w:val="ListParagraph"/>
        <w:numPr>
          <w:ilvl w:val="0"/>
          <w:numId w:val="41"/>
        </w:numPr>
        <w:spacing w:before="120" w:after="120"/>
        <w:jc w:val="both"/>
      </w:pPr>
      <w:r>
        <w:t xml:space="preserve">Ali je pomoč, ki se dodeli na podlagi priglašenega ukrepa, namenjena ohranjanju gospodarske dejavnosti v eni regiji ali privabljanju dejavnosti iz drugih regij na notranjem trgu.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Če je odgovor pritrdilen, navedite neto vpliv priglašenega ukrepa na okolje in kako priglašeni ukrep izboljšuje obstoječo raven varstva okolja v državah članicah.</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Kako pomoč, ki se dodeli na podlagi priglašenega ukrepa, nima očitno negativnih učinkov na konkurenco in trgovino. </w:t>
      </w:r>
    </w:p>
    <w:p w14:paraId="35DE4912" w14:textId="45CBE284" w:rsidR="00302BA3" w:rsidRDefault="008C42CB" w:rsidP="0000132C">
      <w:pPr>
        <w:tabs>
          <w:tab w:val="left" w:leader="dot" w:pos="9072"/>
        </w:tabs>
        <w:spacing w:before="120" w:after="120"/>
        <w:ind w:left="1080" w:firstLine="338"/>
        <w:jc w:val="both"/>
      </w:pPr>
      <w:r>
        <w:lastRenderedPageBreak/>
        <w:tab/>
      </w:r>
    </w:p>
    <w:p w14:paraId="0C0472E0" w14:textId="434D0FEF" w:rsidR="00C62AF1" w:rsidRPr="00AC286A" w:rsidRDefault="00CA77F0" w:rsidP="0000132C">
      <w:pPr>
        <w:pStyle w:val="ListParagraph"/>
        <w:numPr>
          <w:ilvl w:val="0"/>
          <w:numId w:val="41"/>
        </w:numPr>
        <w:spacing w:before="120" w:after="120"/>
        <w:jc w:val="both"/>
      </w:pPr>
      <w:r>
        <w:t>V primeru individualne pomoči, kateri so glavni dejavniki, na podlagi katerih upravičenec izbere lokacijo za naložbe.</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Za preverjanje skladnosti s točko 70 Smernic:</w:t>
      </w:r>
    </w:p>
    <w:p w14:paraId="78257B32" w14:textId="7E691F3C" w:rsidR="00C62AF1" w:rsidRPr="00AC286A" w:rsidRDefault="00C62AF1" w:rsidP="0000132C">
      <w:pPr>
        <w:pStyle w:val="ListParagraph"/>
        <w:numPr>
          <w:ilvl w:val="0"/>
          <w:numId w:val="42"/>
        </w:numPr>
        <w:spacing w:before="120" w:after="120"/>
        <w:jc w:val="both"/>
      </w:pPr>
      <w:r>
        <w:t xml:space="preserve">Potrdite, da se lahko pomoč na podlagi priglašene sheme dodeli za največ deset let od datuma obvestila o sklepu Komisije o razglasitvi državne pomoči za združljivo.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Potrdite, da bodo organi vaše države ponovno priglasili ukrep, če bi želeli podaljšati trajanje sheme prek tega najdaljšega obdobja.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Če bi priglašeni ukrep lahko spodbudil nove naložbe v vozila in mobilno opremo za spremljajoče storitve na zemeljski plin, pojasnite, kako se lahko šteje, da ukrep nima dolgoročnih učinkov vezanosti in ne izpodriva naložb v čistejše alternative. Zato za pomoč za nakup ali najem vozil za vodni promet in mobilne opreme za spremljajoče storitve na SZP in UZP dokažite, da čistejše alternative razogljičenju zadevnega načina prevoza na trgu niso že enostavno dostopne in se ne pričakuje, da bodo kmalu na voljo. Pri tem proučite obdobje od 2 do 5 let po priglasitvi ukrepa pomoči (ali drugo obdobje, če je to ustrezno utemeljeno) in predložite podporne neodvisne tržne študije ali druga primerna dokazila.</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Če bi priglašeni ukrep lahko spodbudil naložbe v čiste zrakoplove (razen brezemisijskih zrakoplovov), ki uporabljajo fosilna goriva, dokažite, da pomoč prispeva k uvedbi na trg ali hitrejši uporabi novih, učinkovitejših in okolju veliko prijaznejših zrakoplovov. Pojasnite tudi, kako so take naložbe v skladu s prizadevanji za podnebno nevtralnost ter kako se z ukrepom preprečuje tveganje vezanosti na konvencionalne tehnologije in izpodrivanja naložb v čistejše alternative.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Če se ukrep nanaša na storitev zračnega prevoza, pojasnite, ali nameravajo organi vaše države zahtevati, da upravičenec razgradi enako število okolju manj prijaznih zrakoplovov s podobno vzletno maso, kot je število zrakoplovov, ki jih kupi ali najame z državno pomočjo, da se ublažijo morebitni izkrivljajoči učinki pomoči ob upoštevanju tržnega položaja upravičenca oziroma se povečajo pozitivni učinki ukrepa pomoči.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V zvezi s pomočjo za nakup ali najem vozil ali mobilne opreme za spremljajoče storitve pojasnite, ali bi začetek uporabe novih vozil povzročil nedelovanje trga ali poslabšal že obstoječa nedelovanja, na primer presežno zmogljivost v zadevnem sektorju.</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Če se s priglašenim ukrepom ciljno usmerjena podpora brez konkurenčnega zbiranja ponudb dodeli enemu samemu upravičencu ali omejenemu številu specifičnih upravičencev, utemeljite zasnovo ukrepa in razloge, zakaj ukrep ni odprt za vse </w:t>
      </w:r>
      <w:r>
        <w:lastRenderedPageBreak/>
        <w:t xml:space="preserve">konkurente, ki so pripravljeni zagotavljati isto storitev, izdelek ali ugodnost, ter dokažite, da ukrep ustrezno obravnava večja tveganja izkrivljanja konkurence.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Primerjava pozitivnih učinkov pomoči z negativnimi učinki na konkurenco in trgovino</w:t>
            </w:r>
          </w:p>
        </w:tc>
      </w:tr>
    </w:tbl>
    <w:p w14:paraId="21499FBD" w14:textId="77777777" w:rsidR="00C62AF1" w:rsidRPr="00AC286A" w:rsidRDefault="00C62AF1" w:rsidP="00C62AF1">
      <w:pPr>
        <w:spacing w:before="360" w:after="120"/>
        <w:jc w:val="both"/>
        <w:rPr>
          <w:i/>
          <w:color w:val="000000"/>
        </w:rPr>
      </w:pPr>
      <w:r>
        <w:rPr>
          <w:i/>
        </w:rPr>
        <w:t>Za zagotovitev informacij v tem oddelku glej oddelek 3.3 (točke 71–76) Smernic.</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Za preverjanje skladnosti s točko 72 Smernic pojasnite, ali dejavnosti, za katere se na podlagi priglašenega ukrepa zagotavlja podpora, izpolnjujejo merila za okoljsko trajnostne gospodarske dejavnosti </w:t>
      </w:r>
      <w:r>
        <w:rPr>
          <w:shd w:val="clear" w:color="auto" w:fill="FFFFFF"/>
        </w:rPr>
        <w:t xml:space="preserve">iz </w:t>
      </w:r>
      <w:r>
        <w:t>člena 3 Uredbe (EU) 2020/852 Evropskega parlamenta in Sveta</w:t>
      </w:r>
      <w:r w:rsidRPr="008772CC">
        <w:rPr>
          <w:rStyle w:val="FootnoteReference"/>
          <w:lang w:eastAsia="en-GB"/>
        </w:rPr>
        <w:footnoteReference w:id="12"/>
      </w:r>
      <w:r>
        <w:t xml:space="preserve">, </w:t>
      </w:r>
      <w:r>
        <w:rPr>
          <w:shd w:val="clear" w:color="auto" w:fill="FFFFFF"/>
        </w:rPr>
        <w:t>vključno z načelom, da se ne škoduje bistveno, ali iz drugih primerljivih metodologij.</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(V primeru konkurenčnega postopka zbiranja ponudb) Pojasnite, ali priglašeni ukrep vključuje značilnosti za olajšanje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Oddelek C: Ocenjevanje</w:t>
            </w:r>
            <w:r>
              <w:rPr>
                <w:b/>
                <w:i/>
                <w:color w:val="000000"/>
                <w:sz w:val="28"/>
              </w:rPr>
              <w:t xml:space="preserve"> </w:t>
            </w:r>
          </w:p>
        </w:tc>
      </w:tr>
    </w:tbl>
    <w:p w14:paraId="39FD16EF" w14:textId="60F70392" w:rsidR="00C62AF1" w:rsidRPr="00AC286A" w:rsidRDefault="00C62AF1" w:rsidP="009854EF">
      <w:pPr>
        <w:tabs>
          <w:tab w:val="left" w:leader="dot" w:pos="9072"/>
        </w:tabs>
        <w:spacing w:before="120" w:after="120"/>
        <w:jc w:val="both"/>
      </w:pPr>
      <w:r>
        <w:rPr>
          <w:i/>
        </w:rPr>
        <w:t>Za zagotovitev informacij v tem oddelku glej poglavje 5 (točke 455–463) Smernic.</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Če je predložen osnutek načrta ocenjevanja:</w:t>
      </w:r>
    </w:p>
    <w:p w14:paraId="637F0B69" w14:textId="77777777" w:rsidR="002578DB" w:rsidRPr="00AC286A" w:rsidRDefault="002578DB" w:rsidP="0000132C">
      <w:pPr>
        <w:pStyle w:val="ListParagraph"/>
        <w:numPr>
          <w:ilvl w:val="0"/>
          <w:numId w:val="43"/>
        </w:numPr>
        <w:spacing w:before="120" w:after="120"/>
        <w:jc w:val="both"/>
      </w:pPr>
      <w:r>
        <w:t>V nadaljevanju predložite povzetek navedenega osnutka načrta ocenjevanja, vključenega v Prilogo.</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Potrdite, da se bo pri tem upoštevala točka 460 Smernic.</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lastRenderedPageBreak/>
        <w:t>Navedite datum in spletno povezavo, na kateri bo načrt ocenjevanja javno dostopen.</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Za preverjanje skladnosti s točko 459(c) Smernic, če shema pomoči trenutno ni predmet naknadne ocene, se v nadaljevanju zavežite, da bo država članica osnutek načrta ocenjevanja priglasila </w:t>
      </w:r>
      <w:r>
        <w:rPr>
          <w:shd w:val="clear" w:color="auto" w:fill="FFFFFF"/>
        </w:rPr>
        <w:t>v 30 delovnih dneh po tem, ko so bili na uradnih računih evidentirani odhodki, ki presegajo 150 milijonov EUR v prejšnjem letu</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Za preverjanje skladnosti s točko 461 Smernic:</w:t>
      </w:r>
    </w:p>
    <w:p w14:paraId="323279C4" w14:textId="26AA9A6C" w:rsidR="002578DB" w:rsidRPr="00AC286A" w:rsidRDefault="002578DB" w:rsidP="0000132C">
      <w:pPr>
        <w:pStyle w:val="ListParagraph"/>
        <w:numPr>
          <w:ilvl w:val="0"/>
          <w:numId w:val="28"/>
        </w:numPr>
        <w:spacing w:before="120" w:after="120"/>
        <w:contextualSpacing w:val="0"/>
        <w:jc w:val="both"/>
      </w:pPr>
      <w:r>
        <w:t>Pojasnite, ali je bil neodvisni strokovnjak že izbran ali bo izbran v prihodnosti.</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Zagotovite informacije o postopku za izbiro strokovnjaka.</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Utemeljite, kako je zagotovljena strokovnjakova neodvisnost od organa, ki dodeli pomoč.</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Za preverjanje skladnosti s točko 461 Smernic: </w:t>
      </w:r>
    </w:p>
    <w:p w14:paraId="5B99AA31" w14:textId="4249AFDA" w:rsidR="002578DB" w:rsidRPr="00AC286A" w:rsidRDefault="002578DB" w:rsidP="0000132C">
      <w:pPr>
        <w:pStyle w:val="ListParagraph"/>
        <w:numPr>
          <w:ilvl w:val="0"/>
          <w:numId w:val="44"/>
        </w:numPr>
        <w:spacing w:before="120" w:after="12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3122EED8" w14:textId="24EC6719" w:rsidR="002578DB" w:rsidRPr="00AC286A" w:rsidRDefault="002578DB" w:rsidP="00C961E4">
      <w:pPr>
        <w:pStyle w:val="ListParagraph"/>
        <w:spacing w:before="120" w:after="120"/>
        <w:ind w:left="1080" w:firstLine="360"/>
        <w:contextualSpacing w:val="0"/>
        <w:jc w:val="both"/>
      </w:pPr>
      <w:bookmarkStart w:id="13" w:name="_Hlk155794566"/>
      <w:r>
        <w:t xml:space="preserve">………………………………………………………………………………….. </w:t>
      </w:r>
    </w:p>
    <w:bookmarkEnd w:id="13"/>
    <w:p w14:paraId="2431B487" w14:textId="259F914D" w:rsidR="002578DB" w:rsidRPr="00AC286A" w:rsidRDefault="002578DB" w:rsidP="0000132C">
      <w:pPr>
        <w:pStyle w:val="ListParagraph"/>
        <w:numPr>
          <w:ilvl w:val="0"/>
          <w:numId w:val="44"/>
        </w:numPr>
        <w:spacing w:before="120" w:after="120"/>
        <w:jc w:val="both"/>
      </w:pPr>
      <w:r>
        <w:t xml:space="preserve">Potrdite, da bosta vmesno in končno ocenjevalno poročilo objavljeni. Navedite datum in spletno povezavo, na kateri bosta navedeni poročili javno dostopni.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Oddelek D: Poročanje in spremljanje</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Za zagotovitev informacij v tem oddelku glej oddelek 6 (točki 464 in 465) Smernic.</w:t>
      </w:r>
    </w:p>
    <w:p w14:paraId="3E33F579" w14:textId="7F50D9AB" w:rsidR="00C62AF1" w:rsidRDefault="070CBB00" w:rsidP="0000132C">
      <w:pPr>
        <w:pStyle w:val="ListParagraph"/>
        <w:numPr>
          <w:ilvl w:val="0"/>
          <w:numId w:val="4"/>
        </w:numPr>
        <w:spacing w:before="120" w:after="120"/>
        <w:ind w:left="567" w:hanging="567"/>
        <w:contextualSpacing w:val="0"/>
        <w:jc w:val="both"/>
      </w:pPr>
      <w:r>
        <w:t>Potrdite, da bo država članica izpolnjevala zahteve glede poročanja in spremljanja iz oddelka 6, točki 464 in 465</w:t>
      </w:r>
      <w:r w:rsidR="00D113F0">
        <w:t>,</w:t>
      </w:r>
      <w:r>
        <w:t xml:space="preserve"> Smernic.</w:t>
      </w:r>
    </w:p>
    <w:p w14:paraId="0DDB55BF" w14:textId="77777777" w:rsidR="00034ACF" w:rsidRPr="00AC286A" w:rsidRDefault="00034ACF" w:rsidP="0000132C">
      <w:pPr>
        <w:tabs>
          <w:tab w:val="left" w:leader="dot" w:pos="9072"/>
        </w:tabs>
        <w:spacing w:before="120" w:after="120"/>
        <w:ind w:left="567"/>
        <w:jc w:val="both"/>
      </w:pPr>
      <w:r>
        <w:t xml:space="preserve">………………………………………………………………………………….. </w:t>
      </w:r>
    </w:p>
    <w:sectPr w:rsidR="00034ACF" w:rsidRPr="00AC286A"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3DD61" w14:textId="77777777" w:rsidR="00F204E4" w:rsidRDefault="00F204E4" w:rsidP="000442F5">
      <w:r>
        <w:separator/>
      </w:r>
    </w:p>
  </w:endnote>
  <w:endnote w:type="continuationSeparator" w:id="0">
    <w:p w14:paraId="3853EF99" w14:textId="77777777" w:rsidR="00F204E4" w:rsidRDefault="00F204E4" w:rsidP="000442F5">
      <w:r>
        <w:continuationSeparator/>
      </w:r>
    </w:p>
  </w:endnote>
  <w:endnote w:type="continuationNotice" w:id="1">
    <w:p w14:paraId="47B841A6" w14:textId="77777777" w:rsidR="00F204E4" w:rsidRDefault="00F20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0D55" w14:textId="77777777" w:rsidR="00F204E4" w:rsidRDefault="00F204E4" w:rsidP="000442F5">
      <w:r>
        <w:separator/>
      </w:r>
    </w:p>
  </w:footnote>
  <w:footnote w:type="continuationSeparator" w:id="0">
    <w:p w14:paraId="01ACAEDB" w14:textId="77777777" w:rsidR="00F204E4" w:rsidRDefault="00F204E4" w:rsidP="000442F5">
      <w:r>
        <w:continuationSeparator/>
      </w:r>
    </w:p>
  </w:footnote>
  <w:footnote w:type="continuationNotice" w:id="1">
    <w:p w14:paraId="5A2C87C8" w14:textId="77777777" w:rsidR="00F204E4" w:rsidRDefault="00F204E4"/>
  </w:footnote>
  <w:footnote w:id="2">
    <w:p w14:paraId="0DA60B72" w14:textId="77777777" w:rsidR="009560B9" w:rsidRPr="0067348B" w:rsidRDefault="009560B9" w:rsidP="007B485D">
      <w:pPr>
        <w:pStyle w:val="FootnoteText"/>
      </w:pPr>
      <w:r>
        <w:rPr>
          <w:rStyle w:val="FootnoteReference"/>
        </w:rPr>
        <w:footnoteRef/>
      </w:r>
      <w:r>
        <w:tab/>
        <w:t>UL C 80, 18.2.2022, str. 1.</w:t>
      </w:r>
    </w:p>
  </w:footnote>
  <w:footnote w:id="3">
    <w:p w14:paraId="162040A0" w14:textId="77777777" w:rsidR="00CA0EC2" w:rsidRPr="0067348B" w:rsidRDefault="00CA0EC2" w:rsidP="00CA0EC2">
      <w:pPr>
        <w:pStyle w:val="FootnoteText"/>
      </w:pPr>
      <w:r>
        <w:rPr>
          <w:rStyle w:val="FootnoteReference"/>
        </w:rPr>
        <w:footnoteRef/>
      </w:r>
      <w:r>
        <w:tab/>
        <w:t>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w:t>
      </w:r>
    </w:p>
  </w:footnote>
  <w:footnote w:id="4">
    <w:p w14:paraId="0476288F" w14:textId="5910BFC5" w:rsidR="003037AB" w:rsidRPr="0067348B" w:rsidRDefault="003037AB" w:rsidP="003037AB">
      <w:pPr>
        <w:pStyle w:val="FootnoteText"/>
      </w:pPr>
      <w:r>
        <w:rPr>
          <w:rStyle w:val="FootnoteReference"/>
        </w:rPr>
        <w:footnoteRef/>
      </w:r>
      <w:r>
        <w:tab/>
        <w:t>Upoštevajte, da lahko sprememba dejanskega proračuna ali ocene proračuna pomeni spremembo pomoči, ki jo je treba na novo priglasiti.</w:t>
      </w:r>
    </w:p>
  </w:footnote>
  <w:footnote w:id="5">
    <w:p w14:paraId="01706528" w14:textId="42D8E4DE" w:rsidR="009926B4" w:rsidRPr="00CF158B" w:rsidRDefault="009926B4" w:rsidP="009926B4">
      <w:pPr>
        <w:pStyle w:val="FootnoteText"/>
      </w:pPr>
      <w:r>
        <w:rPr>
          <w:rStyle w:val="FootnoteReference"/>
        </w:rPr>
        <w:footnoteRef/>
      </w:r>
      <w:r>
        <w:tab/>
        <w:t>Upoštevajte, da točke 38, 52, 165, 166 in 167 ter opombi 39 in 45 Smernic vsebujejo dodatna navodila glede tega, kako bi bilo treba razviti verjetni hipotetični scenarij.</w:t>
      </w:r>
    </w:p>
  </w:footnote>
  <w:footnote w:id="6">
    <w:p w14:paraId="439F37C9" w14:textId="3EE6A2A0" w:rsidR="009B7B9E" w:rsidRPr="00C9125D" w:rsidRDefault="009B7B9E">
      <w:pPr>
        <w:pStyle w:val="FootnoteText"/>
      </w:pPr>
      <w:r>
        <w:rPr>
          <w:rStyle w:val="FootnoteReference"/>
        </w:rPr>
        <w:footnoteRef/>
      </w:r>
      <w:r>
        <w:tab/>
        <w:t xml:space="preserve">„Referenčni projekt“ je opredeljen v točki 19(63) Smernic. </w:t>
      </w:r>
    </w:p>
  </w:footnote>
  <w:footnote w:id="7">
    <w:p w14:paraId="4FE55020" w14:textId="77777777" w:rsidR="009926B4" w:rsidRDefault="009926B4" w:rsidP="009926B4">
      <w:pPr>
        <w:pStyle w:val="FootnoteText"/>
      </w:pPr>
      <w:r>
        <w:rPr>
          <w:rStyle w:val="FootnoteReference"/>
        </w:rPr>
        <w:footnoteRef/>
      </w:r>
      <w:r>
        <w:tab/>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2B3FB5FE" w14:textId="77777777" w:rsidR="009926B4" w:rsidRDefault="009926B4" w:rsidP="0000132C">
      <w:pPr>
        <w:pStyle w:val="FootnoteText"/>
        <w:numPr>
          <w:ilvl w:val="0"/>
          <w:numId w:val="27"/>
        </w:numPr>
      </w:pPr>
      <w:r>
        <w:t>Ali so bili pogoji (npr. pogodbeni pogoji in trajanje, naložbeni roki, ali so bila plačila podpore indeksirana z inflacijo ali ne) podobni pogojem, ki se predlagajo v priglašenem ukrepu?</w:t>
      </w:r>
    </w:p>
    <w:p w14:paraId="46359276" w14:textId="77777777" w:rsidR="009926B4" w:rsidRDefault="009926B4" w:rsidP="0000132C">
      <w:pPr>
        <w:pStyle w:val="FootnoteText"/>
        <w:numPr>
          <w:ilvl w:val="0"/>
          <w:numId w:val="27"/>
        </w:numPr>
      </w:pPr>
      <w:r>
        <w:t>Ali se je konkurenčni postopek izvajal v podobnem makroekonomskem okolju?</w:t>
      </w:r>
    </w:p>
    <w:p w14:paraId="104093C2" w14:textId="784695F4" w:rsidR="009926B4" w:rsidRDefault="009926B4" w:rsidP="0000132C">
      <w:pPr>
        <w:pStyle w:val="FootnoteText"/>
        <w:numPr>
          <w:ilvl w:val="0"/>
          <w:numId w:val="27"/>
        </w:numPr>
      </w:pPr>
      <w:r>
        <w:t>Ali so bile tehnologije / vrste projektov podobne?</w:t>
      </w:r>
    </w:p>
  </w:footnote>
  <w:footnote w:id="8">
    <w:p w14:paraId="676CCD61" w14:textId="77777777" w:rsidR="009560B9" w:rsidRDefault="009560B9" w:rsidP="00C62AF1">
      <w:pPr>
        <w:pStyle w:val="FootnoteText"/>
      </w:pPr>
      <w:r>
        <w:rPr>
          <w:rStyle w:val="FootnoteReference"/>
        </w:rPr>
        <w:footnoteRef/>
      </w:r>
      <w:r>
        <w:tab/>
        <w:t>V skladu s točko 19(89) Smernic „standard Unije“ pomeni:</w:t>
      </w:r>
    </w:p>
    <w:p w14:paraId="540FE298" w14:textId="77777777" w:rsidR="009560B9" w:rsidRPr="004B74BC" w:rsidRDefault="009560B9" w:rsidP="0000132C">
      <w:pPr>
        <w:pStyle w:val="FootnoteText"/>
        <w:numPr>
          <w:ilvl w:val="0"/>
          <w:numId w:val="23"/>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0074D1B1" w14:textId="6CDC8890" w:rsidR="009560B9" w:rsidRDefault="009560B9" w:rsidP="0000132C">
      <w:pPr>
        <w:pStyle w:val="FootnoteText"/>
        <w:numPr>
          <w:ilvl w:val="0"/>
          <w:numId w:val="23"/>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9">
    <w:p w14:paraId="0D510CDC" w14:textId="77777777" w:rsidR="00F4008F" w:rsidRPr="0095488F" w:rsidRDefault="00F4008F" w:rsidP="00F4008F">
      <w:pPr>
        <w:pStyle w:val="FootnoteText"/>
      </w:pPr>
      <w:r>
        <w:rPr>
          <w:rStyle w:val="FootnoteReference"/>
        </w:rPr>
        <w:footnoteRef/>
      </w:r>
      <w:r>
        <w:tab/>
        <w:t>Glej tudi dodatne informacije v točkah 51–53 in 165–167 ter opombah 45 in 46 Smernic.</w:t>
      </w:r>
    </w:p>
  </w:footnote>
  <w:footnote w:id="10">
    <w:p w14:paraId="60C95F86" w14:textId="77777777" w:rsidR="00597575" w:rsidRDefault="00597575"/>
  </w:footnote>
  <w:footnote w:id="11">
    <w:p w14:paraId="31D32D3C" w14:textId="7C36E4DE" w:rsidR="00BF1E81" w:rsidRDefault="00BF1E81" w:rsidP="00BF1E81">
      <w:pPr>
        <w:pStyle w:val="FootnoteText"/>
      </w:pPr>
      <w:r>
        <w:rPr>
          <w:rStyle w:val="FootnoteReference"/>
        </w:rPr>
        <w:footnoteRef/>
      </w:r>
      <w:r>
        <w:tab/>
        <w:t xml:space="preserve">Centralno upravljana sredstva Unije so sredstva Unije, ki jih centralno upravljajo institucije, agencije, skupna podjetja ali drugi organi Evropske unije, </w:t>
      </w:r>
      <w:r w:rsidR="00D113F0">
        <w:t xml:space="preserve">in </w:t>
      </w:r>
      <w:r>
        <w:t>ki niso pod neposrednim ali posrednim nadzorom držav članic.</w:t>
      </w:r>
    </w:p>
  </w:footnote>
  <w:footnote w:id="12">
    <w:p w14:paraId="0336C302" w14:textId="77777777" w:rsidR="00796DA4" w:rsidRPr="008772CC" w:rsidRDefault="00796DA4" w:rsidP="00796DA4">
      <w:pPr>
        <w:pStyle w:val="FootnoteText"/>
      </w:pPr>
      <w:r>
        <w:rPr>
          <w:rStyle w:val="FootnoteReference"/>
        </w:rPr>
        <w:footnoteRef/>
      </w:r>
      <w:r>
        <w:t xml:space="preserve"> </w:t>
      </w:r>
      <w:r>
        <w:tab/>
        <w:t>Uredba (EU) 2020/852 Evropskega parlamenta in Sveta z dne 18. junija 2020 o vzpostavitvi okvira za spodbujanje trajnostnih naložb ter spremembi Uredbe (EU) 2019/2088 (UL L 198, 22.6.2020, str. 13).</w:t>
      </w:r>
    </w:p>
  </w:footnote>
  <w:footnote w:id="13">
    <w:p w14:paraId="7517D6A8" w14:textId="77777777" w:rsidR="002578DB" w:rsidRDefault="002578DB" w:rsidP="002578DB">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0EF04CA0"/>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BA6C976"/>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60AAC286"/>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CF5C8826"/>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A760BA4E"/>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C91E1360"/>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ACB42A60"/>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C3727554"/>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63589870"/>
    <w:lvl w:ilvl="0" w:tplc="4404A89A">
      <w:start w:val="1"/>
      <w:numFmt w:val="lowerRoman"/>
      <w:lvlText w:val="(%1.)"/>
      <w:lvlJc w:val="righ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08BC5052"/>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F350FFC4"/>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883044C4"/>
    <w:lvl w:ilvl="0" w:tplc="C99CEE36">
      <w:start w:val="1"/>
      <w:numFmt w:val="lowerRoman"/>
      <w:lvlText w:val="%1."/>
      <w:lvlJc w:val="left"/>
      <w:pPr>
        <w:ind w:left="1080" w:hanging="360"/>
      </w:pPr>
      <w:rPr>
        <w:rFonts w:ascii="Times New Roman" w:hAnsi="Times New Roman" w:hint="default"/>
        <w:b w:val="0"/>
        <w:i w:val="0"/>
        <w:sz w:val="24"/>
      </w:rPr>
    </w:lvl>
    <w:lvl w:ilvl="1" w:tplc="424CED92">
      <w:start w:val="1"/>
      <w:numFmt w:val="lowerLetter"/>
      <w:lvlText w:val="(%2)"/>
      <w:lvlJc w:val="left"/>
      <w:pPr>
        <w:ind w:left="1287"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F0301698"/>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A5F63866"/>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E22413C6"/>
    <w:lvl w:ilvl="0" w:tplc="424CED92">
      <w:start w:val="1"/>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DC8275C"/>
    <w:lvl w:ilvl="0" w:tplc="DB3E579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A5EE3DEE"/>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CE763004"/>
    <w:lvl w:ilvl="0" w:tplc="4404A89A">
      <w:start w:val="1"/>
      <w:numFmt w:val="lowerRoman"/>
      <w:lvlText w:val="(%1.)"/>
      <w:lvlJc w:val="right"/>
      <w:pPr>
        <w:ind w:left="1440" w:hanging="360"/>
      </w:pPr>
      <w:rPr>
        <w:rFonts w:ascii="Times New Roman" w:hAnsi="Times New Roman" w:hint="default"/>
        <w:b w:val="0"/>
        <w:i w:val="0"/>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57DA9B96"/>
    <w:lvl w:ilvl="0" w:tplc="424CED92">
      <w:start w:val="1"/>
      <w:numFmt w:val="lowerLetter"/>
      <w:lvlText w:val="(%1)"/>
      <w:lvlJc w:val="left"/>
      <w:pPr>
        <w:ind w:left="1429" w:hanging="360"/>
      </w:pPr>
      <w:rPr>
        <w:rFonts w:hint="default"/>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93F0C144"/>
    <w:lvl w:ilvl="0" w:tplc="4404A89A">
      <w:start w:val="1"/>
      <w:numFmt w:val="lowerRoman"/>
      <w:lvlText w:val="(%1.)"/>
      <w:lvlJc w:val="right"/>
      <w:pPr>
        <w:ind w:left="1440" w:hanging="360"/>
      </w:pPr>
      <w:rPr>
        <w:rFonts w:ascii="Times New Roman" w:hAnsi="Times New Roman" w:hint="default"/>
        <w:b w:val="0"/>
        <w:i w:val="0"/>
        <w:sz w:val="24"/>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16AF"/>
    <w:rsid w:val="00071F5F"/>
    <w:rsid w:val="00072F4B"/>
    <w:rsid w:val="00073159"/>
    <w:rsid w:val="0007320B"/>
    <w:rsid w:val="000737D4"/>
    <w:rsid w:val="00074701"/>
    <w:rsid w:val="000754C7"/>
    <w:rsid w:val="000807EC"/>
    <w:rsid w:val="00081430"/>
    <w:rsid w:val="00082E97"/>
    <w:rsid w:val="00083505"/>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100464"/>
    <w:rsid w:val="0010229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70DB"/>
    <w:rsid w:val="002712FE"/>
    <w:rsid w:val="00271B06"/>
    <w:rsid w:val="002727F7"/>
    <w:rsid w:val="00272E04"/>
    <w:rsid w:val="00272F8F"/>
    <w:rsid w:val="002757AB"/>
    <w:rsid w:val="00277BC0"/>
    <w:rsid w:val="00280D61"/>
    <w:rsid w:val="00281AE7"/>
    <w:rsid w:val="00284ADA"/>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509"/>
    <w:rsid w:val="002B52B3"/>
    <w:rsid w:val="002B5D01"/>
    <w:rsid w:val="002B625D"/>
    <w:rsid w:val="002B697A"/>
    <w:rsid w:val="002B70C6"/>
    <w:rsid w:val="002C0264"/>
    <w:rsid w:val="002C05A1"/>
    <w:rsid w:val="002C1559"/>
    <w:rsid w:val="002C3644"/>
    <w:rsid w:val="002C4400"/>
    <w:rsid w:val="002C4CEE"/>
    <w:rsid w:val="002C6636"/>
    <w:rsid w:val="002C6BE5"/>
    <w:rsid w:val="002D014F"/>
    <w:rsid w:val="002D074D"/>
    <w:rsid w:val="002D190D"/>
    <w:rsid w:val="002D1D54"/>
    <w:rsid w:val="002D3277"/>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7094F"/>
    <w:rsid w:val="003722DB"/>
    <w:rsid w:val="00372914"/>
    <w:rsid w:val="00373272"/>
    <w:rsid w:val="00374DC2"/>
    <w:rsid w:val="00374F76"/>
    <w:rsid w:val="003764EE"/>
    <w:rsid w:val="003765A5"/>
    <w:rsid w:val="003843E7"/>
    <w:rsid w:val="00384B34"/>
    <w:rsid w:val="00387A82"/>
    <w:rsid w:val="00387E75"/>
    <w:rsid w:val="0039008E"/>
    <w:rsid w:val="00391015"/>
    <w:rsid w:val="00392A3E"/>
    <w:rsid w:val="003939E7"/>
    <w:rsid w:val="00393A93"/>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E1F"/>
    <w:rsid w:val="0044407B"/>
    <w:rsid w:val="0044432B"/>
    <w:rsid w:val="004458C4"/>
    <w:rsid w:val="00445F48"/>
    <w:rsid w:val="0044602C"/>
    <w:rsid w:val="004473F5"/>
    <w:rsid w:val="00450097"/>
    <w:rsid w:val="004525DA"/>
    <w:rsid w:val="004526AB"/>
    <w:rsid w:val="00452F5A"/>
    <w:rsid w:val="0045373B"/>
    <w:rsid w:val="00453EBB"/>
    <w:rsid w:val="004556D2"/>
    <w:rsid w:val="00455851"/>
    <w:rsid w:val="0046283F"/>
    <w:rsid w:val="0046312C"/>
    <w:rsid w:val="0046435A"/>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7360"/>
    <w:rsid w:val="00597575"/>
    <w:rsid w:val="005A370E"/>
    <w:rsid w:val="005A412F"/>
    <w:rsid w:val="005A4D83"/>
    <w:rsid w:val="005A5600"/>
    <w:rsid w:val="005A7719"/>
    <w:rsid w:val="005B1A69"/>
    <w:rsid w:val="005B1CB7"/>
    <w:rsid w:val="005B2FED"/>
    <w:rsid w:val="005B40D5"/>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1688"/>
    <w:rsid w:val="006436F7"/>
    <w:rsid w:val="0064455D"/>
    <w:rsid w:val="006445C3"/>
    <w:rsid w:val="006461A6"/>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EF5"/>
    <w:rsid w:val="0070310A"/>
    <w:rsid w:val="00703D03"/>
    <w:rsid w:val="00704F24"/>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E08"/>
    <w:rsid w:val="007D3544"/>
    <w:rsid w:val="007D7B67"/>
    <w:rsid w:val="007E140D"/>
    <w:rsid w:val="007E3BA1"/>
    <w:rsid w:val="007E434C"/>
    <w:rsid w:val="007E4583"/>
    <w:rsid w:val="007E682C"/>
    <w:rsid w:val="007E6DC3"/>
    <w:rsid w:val="007E78B9"/>
    <w:rsid w:val="007F0A5C"/>
    <w:rsid w:val="007F2769"/>
    <w:rsid w:val="007F2D9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AE0"/>
    <w:rsid w:val="009E6497"/>
    <w:rsid w:val="009E6C5A"/>
    <w:rsid w:val="009E79D5"/>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5784C"/>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7338"/>
    <w:rsid w:val="00AB745F"/>
    <w:rsid w:val="00AC0260"/>
    <w:rsid w:val="00AC16A7"/>
    <w:rsid w:val="00AC286A"/>
    <w:rsid w:val="00AC410F"/>
    <w:rsid w:val="00AC5B96"/>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6185"/>
    <w:rsid w:val="00B76FB9"/>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3B54"/>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43A7"/>
    <w:rsid w:val="00CC0572"/>
    <w:rsid w:val="00CC09AC"/>
    <w:rsid w:val="00CC1756"/>
    <w:rsid w:val="00CC18F9"/>
    <w:rsid w:val="00CC1A2C"/>
    <w:rsid w:val="00CC29A8"/>
    <w:rsid w:val="00CC2C72"/>
    <w:rsid w:val="00CC373C"/>
    <w:rsid w:val="00CC3843"/>
    <w:rsid w:val="00CC7D76"/>
    <w:rsid w:val="00CC7EFA"/>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13F0"/>
    <w:rsid w:val="00D12079"/>
    <w:rsid w:val="00D12EF5"/>
    <w:rsid w:val="00D13239"/>
    <w:rsid w:val="00D1529E"/>
    <w:rsid w:val="00D205C3"/>
    <w:rsid w:val="00D207F7"/>
    <w:rsid w:val="00D24240"/>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6BB8"/>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836"/>
    <w:rsid w:val="00D9396B"/>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E063E"/>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7495"/>
    <w:rsid w:val="00FA1B58"/>
    <w:rsid w:val="00FA1F8A"/>
    <w:rsid w:val="00FA2863"/>
    <w:rsid w:val="00FA460A"/>
    <w:rsid w:val="00FA5166"/>
    <w:rsid w:val="00FA5348"/>
    <w:rsid w:val="00FA5A2F"/>
    <w:rsid w:val="00FA6322"/>
    <w:rsid w:val="00FA6806"/>
    <w:rsid w:val="00FB0577"/>
    <w:rsid w:val="00FB1406"/>
    <w:rsid w:val="00FB1FC5"/>
    <w:rsid w:val="00FB1FD6"/>
    <w:rsid w:val="00FB2CFC"/>
    <w:rsid w:val="00FB2E17"/>
    <w:rsid w:val="00FB4C21"/>
    <w:rsid w:val="00FC1454"/>
    <w:rsid w:val="00FC1BCC"/>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4879C2A0-3C1A-4ACD-9F54-8466BC7B6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1C1DA78-896E-461D-A61E-B93DC91F7A48}">
  <ds:schemaRefs>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a94e2606-67d3-479b-bb64-e7d9251b8ee1"/>
    <ds:schemaRef ds:uri="http://schemas.microsoft.com/office/2006/metadata/properties"/>
    <ds:schemaRef ds:uri="66b6254d-0f40-4716-8f91-c3453959d219"/>
    <ds:schemaRef ds:uri="http://purl.org/dc/dcmitype/"/>
  </ds:schemaRefs>
</ds:datastoreItem>
</file>

<file path=customXml/itemProps3.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4.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0EBDC8-A0F9-488E-B2A2-204AC66CC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4951</Words>
  <Characters>29360</Characters>
  <DocSecurity>0</DocSecurity>
  <Lines>638</Lines>
  <Paragraphs>217</Paragraphs>
  <ScaleCrop>false</ScaleCrop>
  <LinksUpToDate>false</LinksUpToDate>
  <CharactersWithSpaces>34094</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2022-04-14T11:59:00Z</cp:lastPrinted>
  <dcterms:created xsi:type="dcterms:W3CDTF">2024-06-13T16:13:00Z</dcterms:created>
  <dcterms:modified xsi:type="dcterms:W3CDTF">2024-11-11T10:34:00Z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