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3B04212E" w14:textId="4CB6C070" w:rsidR="000442F5" w:rsidRPr="00AC286A" w:rsidRDefault="52B947EB" w:rsidP="007B485D">
            <w:pPr>
              <w:pStyle w:val="Heading2"/>
              <w:spacing w:before="240" w:after="240"/>
              <w:jc w:val="center"/>
              <w:rPr>
                <w:sz w:val="32"/>
                <w:szCs w:val="32"/>
              </w:rPr>
            </w:pPr>
            <w:r>
              <w:rPr>
                <w:sz w:val="32"/>
              </w:rPr>
              <w:t>Uppdaterat* formulär för kompletterande information om statligt stöd som beviljas enligt riktlinjerna för statligt stöd till klimat, miljöskydd och energi 2022 (</w:t>
            </w:r>
            <w:r>
              <w:rPr>
                <w:i/>
                <w:iCs/>
                <w:sz w:val="32"/>
              </w:rPr>
              <w:t>riktlinjerna</w:t>
            </w:r>
            <w:r>
              <w:rPr>
                <w:sz w:val="32"/>
              </w:rPr>
              <w:t>)</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Kapitel 4.3.1 - Stöd för förvärv och leasing av rena fordon och ren mobil serviceutrustning samt för eftermontering av fordon och mobil serviceutrustning</w:t>
            </w:r>
          </w:p>
          <w:p w14:paraId="774A46C9" w14:textId="77777777" w:rsidR="00412002" w:rsidRDefault="00412002" w:rsidP="00D30BFF">
            <w:pPr>
              <w:rPr>
                <w:sz w:val="32"/>
                <w:szCs w:val="32"/>
              </w:rPr>
            </w:pPr>
          </w:p>
          <w:p w14:paraId="61FFF7AD" w14:textId="2E71C309" w:rsidR="00FD562C" w:rsidRPr="00AC286A" w:rsidRDefault="00412002" w:rsidP="00412002">
            <w:r>
              <w:t>* Ännu inte formellt antaget.</w:t>
            </w:r>
          </w:p>
        </w:tc>
      </w:tr>
    </w:tbl>
    <w:p w14:paraId="70D7CD5F" w14:textId="3293E4E6" w:rsidR="000442F5" w:rsidRPr="00AC286A" w:rsidRDefault="000442F5" w:rsidP="000442F5">
      <w:pPr>
        <w:spacing w:before="120" w:after="120"/>
        <w:ind w:right="-142"/>
        <w:jc w:val="both"/>
        <w:rPr>
          <w:i/>
          <w:iCs/>
        </w:rPr>
      </w:pPr>
      <w:r>
        <w:rPr>
          <w:i/>
        </w:rPr>
        <w:t>Detta formulär för kompletterande information ska användas för anmälan av stöd som omfattas av riktlinjerna för statligt stöd till klimat, miljöskydd och energi 2022 (riktlinjerna).</w:t>
      </w:r>
    </w:p>
    <w:p w14:paraId="21EE9DF7" w14:textId="23106001" w:rsidR="009E2EA1" w:rsidRPr="00AC286A" w:rsidRDefault="0072538B" w:rsidP="009E2EA1">
      <w:pPr>
        <w:spacing w:before="120" w:after="120"/>
        <w:ind w:right="-142"/>
        <w:jc w:val="both"/>
        <w:rPr>
          <w:i/>
          <w:iCs/>
        </w:rPr>
      </w:pPr>
      <w:r>
        <w:rPr>
          <w:i/>
        </w:rPr>
        <w:t xml:space="preserve">Detta formulär för kompletterande information avser åtgärder som omfattas av kapitel 4.3.1 i riktlinjerna. Om anmälan inbegriper åtgärder som omfattas av mer än ett kapitel i riktlinjerna, fyll också i – när det är tillgängligt – respektive formulär för kompletterande information som rör respektive kapitel i riktlinjerna. </w:t>
      </w:r>
    </w:p>
    <w:p w14:paraId="5A2EC84C" w14:textId="37CB7BF5" w:rsidR="009E2EA1" w:rsidRPr="00AC286A" w:rsidRDefault="009E2EA1" w:rsidP="009E2EA1">
      <w:pPr>
        <w:spacing w:before="120" w:after="120"/>
        <w:ind w:right="-142"/>
        <w:jc w:val="both"/>
        <w:rPr>
          <w:i/>
          <w:iCs/>
        </w:rPr>
      </w:pPr>
      <w:r>
        <w:rPr>
          <w:i/>
        </w:rPr>
        <w:t>Alla dokument som medlemsstaterna bifogar detta formulär för kompletterande information måste numreras, och dokumentnumren måste anges i de relevanta avsnitten av detta formulär.</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Avsnitt A: Sammanfattning av huvuddragen i den eller de anmälda åtgärderna</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Bakgrund och mål för den eller de anmälda åtgärderna</w:t>
      </w:r>
    </w:p>
    <w:p w14:paraId="5BFA68C4" w14:textId="7CB889B5" w:rsidR="00A16B2C" w:rsidRPr="00AC286A" w:rsidRDefault="00A16B2C" w:rsidP="0000132C">
      <w:pPr>
        <w:pStyle w:val="ListParagraph"/>
        <w:numPr>
          <w:ilvl w:val="0"/>
          <w:numId w:val="25"/>
        </w:numPr>
        <w:spacing w:after="120"/>
        <w:jc w:val="both"/>
      </w:pPr>
      <w:r>
        <w:t xml:space="preserve">Om det inte redan har behandlats i avsnitt 5.2 i formuläret för allmän information (del I), ange bakgrund och huvudsakligt mål, inklusive eventuella unionsmål för minskningen av transportutsläpp, som åtgärden är avsedd att stödja.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Ange eventuella andra mål som eftersträvas med åtgärden. För alla mål som inte är rent miljörelaterade, ange om de kan leda till snedvridningar av konkurrensen på den inre marknaden.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Ikraftträdande och varaktighet</w:t>
      </w:r>
    </w:p>
    <w:p w14:paraId="0635286B" w14:textId="137F0160" w:rsidR="00CA0EC2" w:rsidRPr="00AC286A" w:rsidRDefault="00CA0EC2" w:rsidP="0000132C">
      <w:pPr>
        <w:pStyle w:val="ListParagraph"/>
        <w:numPr>
          <w:ilvl w:val="0"/>
          <w:numId w:val="31"/>
        </w:numPr>
        <w:spacing w:after="120"/>
        <w:jc w:val="both"/>
        <w:rPr>
          <w:szCs w:val="24"/>
        </w:rPr>
      </w:pPr>
      <w:r>
        <w:t>Om det inte redan har uppgetts i avsnitt 5.5 i formuläret för allmän information (del I), ange det datum från och med vilket stödordningen planeras träda i kraft.</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Ange stödordningens varaktighet.</w:t>
      </w:r>
      <w:r w:rsidRPr="00AC286A">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Stödmottagare</w:t>
      </w:r>
      <w:r>
        <w:rPr>
          <w:b/>
        </w:rPr>
        <w:tab/>
      </w:r>
    </w:p>
    <w:p w14:paraId="15587BED" w14:textId="19EBDAD1" w:rsidR="00BC5DDD" w:rsidRPr="00AC286A" w:rsidRDefault="002F1ECC" w:rsidP="0000132C">
      <w:pPr>
        <w:pStyle w:val="ListParagraph"/>
        <w:numPr>
          <w:ilvl w:val="0"/>
          <w:numId w:val="32"/>
        </w:numPr>
        <w:spacing w:after="120"/>
        <w:jc w:val="both"/>
        <w:rPr>
          <w:szCs w:val="24"/>
        </w:rPr>
      </w:pPr>
      <w:r>
        <w:t>Om det inte redan har uppgetts i avsnitt 3 i formuläret för allmän information (del I), beskriv (den potentiella) stödmottagaren eller (de potentiella) stödmottagarna för åtgärden/åtgärderna.</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Ange var (potentiella) stödmottagare är belägna (dvs. om endast ekonomiska enheter belägna i respektive medlemsstat eller även i andra medlemsstater är berättigade att delta i åtgärden).</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För att bedöma efterlevnaden av punkt 15 i riktlinjerna, ange om stöd beviljas inom ramen för en eller flera åtgärder till förmån för ett företag (individuellt eller som del av en stödordning) som är föremål för ett betalningskrav till följd av ett tidigare kommissionsbeslut om att ett stöd är olagligt och oförenligt med den inre marknaden.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lastRenderedPageBreak/>
        <w:t xml:space="preserve">Om svaret är ja, lämna information om det stödbelopp som återstår att återkräva så att kommissionen tar hänsyn till detta vid bedömningen av stödåtgärden/stödåtgärderna.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Bekräfta att åtgärden/åtgärderna inte inbegriper stöd till verksamheter som inte ingår i riktlinjernas tillämpningsområde (se punkt 13 i riktlinjerna). I annat fall, lämna närmare uppgifter.</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Budget för och finansiering av åtgärden/åtgärderna.</w:t>
      </w:r>
    </w:p>
    <w:p w14:paraId="44F1A49C" w14:textId="7E324D11" w:rsidR="00115C85" w:rsidRPr="00AC286A" w:rsidRDefault="00AE07BB" w:rsidP="0000132C">
      <w:pPr>
        <w:pStyle w:val="ListParagraph"/>
        <w:numPr>
          <w:ilvl w:val="0"/>
          <w:numId w:val="33"/>
        </w:numPr>
        <w:spacing w:after="120"/>
        <w:jc w:val="both"/>
        <w:rPr>
          <w:rFonts w:cs="Arial Unicode MS"/>
          <w:bCs/>
        </w:rPr>
      </w:pPr>
      <w:r>
        <w:t>Om det inte redan har uppgetts i tabellen i avsnitt 7.1 i formuläret för allmän information (del I), ange den årliga budgeten och/eller den totala budgeten för åtgärdens eller åtgärdernas hela varaktighet. Om den totala budgeten inte är känd (</w:t>
      </w:r>
      <w:proofErr w:type="gramStart"/>
      <w:r>
        <w:t>t.ex.</w:t>
      </w:r>
      <w:proofErr w:type="gramEnd"/>
      <w:r>
        <w:t xml:space="preserve"> för att den beror på resultaten av upphandlingar), ange en beräknad budget, inklusive de antaganden som använts för att beräkna respektive beräknad budget</w:t>
      </w:r>
      <w:r w:rsidR="003037AB" w:rsidRPr="00AC286A">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Om åtgärden finansieras genom en avgift, ange om följande gäller:</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Avgiften fastställs i lag eller någon annan lagstiftningsakt. Om så är fallet, ange rättsaktens nummer och datum för när den antogs och trädde i kraft samt internetlänken till rättsakten.</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Avgiften tas ut i lika mån på inhemska och importerade produkter.</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Den anmälda åtgärden kommer att i lika mån gynna både inhemska och importerade produkter.</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Avgiften finansierar åtgärden helt eller endast delvis. Om avgiften endast delvis finansierar åtgärden, ange övriga finansieringskällor för åtgärden och deras respektive andel.</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Den avgift som finansierar den anmälda åtgärden finansierar även andra stödåtgärder. Ange i sådana fall övriga stödåtgärder som finansieras genom den berörda avgiften.</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Avsnitt B: Bedömning av stödets förenlighet</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Positivt villkor: stödet ska underlätta utvecklingen av en näringsverksamhet</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Bidrag till utvecklingen av en näringsverksamhet</w:t>
            </w:r>
          </w:p>
        </w:tc>
      </w:tr>
    </w:tbl>
    <w:p w14:paraId="2959A7B8" w14:textId="196EFBC3" w:rsidR="00C62AF1" w:rsidRPr="001631E6" w:rsidRDefault="00C62AF1" w:rsidP="001631E6">
      <w:pPr>
        <w:spacing w:before="360" w:after="120"/>
        <w:jc w:val="both"/>
        <w:rPr>
          <w:i/>
        </w:rPr>
      </w:pPr>
      <w:r>
        <w:rPr>
          <w:i/>
        </w:rPr>
        <w:t xml:space="preserve">För att lämna information i detta avsnitt, se avsnitt 3.1.1 (punkterna 23–25) och avsnitten 4.3.1.1 (punkterna 160 och 161) och 4.3.1.2 (punkterna 162 och 163) i riktlinjerna.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Enligt artikel 107.3 c i fördraget om Europeiska unionens funktionssätt (</w:t>
      </w:r>
      <w:r>
        <w:rPr>
          <w:i/>
          <w:iCs/>
        </w:rPr>
        <w:t>EUF-fördraget</w:t>
      </w:r>
      <w: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bidra till utvecklingen av en viss näringsverksamhet för att vara förenligt med den inre marknaden enligt denna bestämmelse i EUF-fördraget. </w:t>
      </w:r>
    </w:p>
    <w:p w14:paraId="6F83F969" w14:textId="283F3881" w:rsidR="00C62AF1" w:rsidRPr="00AC286A" w:rsidRDefault="00805350" w:rsidP="00C62AF1">
      <w:pPr>
        <w:pStyle w:val="ListParagraph"/>
        <w:spacing w:before="120" w:after="120"/>
        <w:ind w:left="567"/>
        <w:contextualSpacing w:val="0"/>
        <w:jc w:val="both"/>
      </w:pPr>
      <w:r>
        <w:t>För att bedöma efterlevnaden av punkt 23 i riktlinjerna, ange vilka näringsverksamheter som kommer att underlättas som en följd av stödet och hur utvecklingen av dessa verksamheter stöds.</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För att bedöma efterlevnaden av punkt 25 i riktlinjerna,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Belys dessutom i vilken utsträckning stödet har samband med den politik som beskrivs i punkterna 160 och 161 i riktlinjerna.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Beskriv de krav för stödberättigande som är tillämpliga på stödmottagaren/stödmottagarna (</w:t>
      </w:r>
      <w:proofErr w:type="gramStart"/>
      <w:r>
        <w:t>t.ex.</w:t>
      </w:r>
      <w:proofErr w:type="gramEnd"/>
      <w:r>
        <w:t xml:space="preserve"> genom att ange eventuella tekniska, miljömässiga (dvs. tillstånd), finansiella (dvs. säkerheter) eller andra krav som stödmottagaren/stödmottagarna måste uppfylla).</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Lämna uppgifter om stödåtgärdens/stödåtgärdernas exakta tillämpningsområde och exakta stödberättigade verksamheter, i enlighet med avsnitt 4.3.1.2 (punkterna 162 och 163) i riktlinjerna.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Stimulanseffekt</w:t>
            </w:r>
          </w:p>
        </w:tc>
      </w:tr>
    </w:tbl>
    <w:p w14:paraId="194E3512" w14:textId="63AD156A" w:rsidR="00C62AF1" w:rsidRPr="00AC286A" w:rsidRDefault="00C62AF1" w:rsidP="00C62AF1">
      <w:pPr>
        <w:spacing w:before="360" w:after="120"/>
        <w:jc w:val="both"/>
        <w:rPr>
          <w:i/>
        </w:rPr>
      </w:pPr>
      <w:r>
        <w:rPr>
          <w:i/>
        </w:rPr>
        <w:t xml:space="preserve">För att lämna information i detta avsnitt, se avsnitt 3.1.2 (punkterna 26–32) och avsnitt 4.3.1.3 (punkterna 164–169) i riktlinjerna.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Stöd kan endast anses underlätta en näringsverksamhet om det har en stimulanseffekt. För att bedöma efterlevnaden av punkt 26 i riktlinjerna, förklara hur åtgärden eller </w:t>
      </w:r>
      <w:r>
        <w:lastRenderedPageBreak/>
        <w:t>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Enligt punkt 28 i riktlinjerna ska följande göras:</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Lämna en utförlig beskrivning av det faktiska scenario som förväntas bli resultatet av stödåtgärden och det eller de sannolika kontrafaktiska scenarierna utan stödåtgärden.</w:t>
      </w:r>
      <w:r w:rsidR="009926B4" w:rsidRPr="00AC286A">
        <w:rPr>
          <w:rStyle w:val="FootnoteReference"/>
        </w:rPr>
        <w:footnoteReference w:id="5"/>
      </w:r>
      <w:r>
        <w:t xml:space="preserve"> Om du förväntar dig att olika kategorier av stödmottagare kan få stöd, säkerställ att det kontrafaktiska scenariot är trovärdigt för var och en av dessa kategorier.</w:t>
      </w:r>
      <w:bookmarkEnd w:id="4"/>
      <w:r>
        <w:t xml:space="preserve"> Observera att punkt 165 i riktlinjerna kräver att det kontrafaktiska scenariot är en investering med samma kapacitet, livslängd och, i tillämpliga fall, andra relevanta tekniska egenskaper som den miljövänliga investeringen. Observera att punkterna 165–169 i riktlinjerna inför ytterligare alternativa krav för det kontrafaktiska scenariot:</w:t>
      </w:r>
    </w:p>
    <w:p w14:paraId="5EB0E490" w14:textId="77777777" w:rsidR="003115D9" w:rsidRPr="004C4C28"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Om det kontrafaktiska scenariot består i förvärv eller leasing av mindre miljövänliga fordon eller mobila serviceutrustningar i samma kategori och med samma kapacitet som utsläppsfria eller rena fordon, visa att det mindre miljövänliga fordonet eller den mindre miljövänliga utrustningen åtminstone uppfyller unionsnormerna, i tillämpliga fall.</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Om det kontrafaktiska scenariot består i att hålla befintliga fordon eller mobila serviceutrustningar i drift under en period som motsvarar livslängden för den miljövänliga investeringen, observera att de diskonterade underhålls-, reparations- och moderniseringskostnaderna under samma period bör beaktas.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Om det kontrafaktiska scenariot består av en senare ersättning av fordonet eller den mobila serviceutrustningen, ange fordonets eller den mobila serviceutrustningens diskonterade värde för att ta hänsyn till skillnaden i utrustningens respektive ekonomiska livslängd.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 xml:space="preserve">När det gäller fordon eller mobil serviceutrustning som omfattas av leasingavtal ska det diskonterade värdet av att </w:t>
      </w:r>
      <w:proofErr w:type="gramStart"/>
      <w:r>
        <w:t>leasa</w:t>
      </w:r>
      <w:proofErr w:type="gramEnd"/>
      <w:r>
        <w:t xml:space="preserve"> rena fordon eller rena mobila serviceutrustningar jämföras med det diskonterade värdet av att leasa de mindre miljövänliga fordon eller mobila serviceutrustningar som skulle användas i avsaknad av stöd.</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 xml:space="preserve">Om investeringen gäller eftermontering av ett befintligt fordon eller befintlig mobil serviceutrustning för att förbättra dess miljöprestanda (till exempel eftermontering av reningssystem), ange om det kontrafaktiska scenariot innebär </w:t>
      </w:r>
      <w:r>
        <w:lastRenderedPageBreak/>
        <w:t>en fortsatt användning av fordonet utan investering i eftermontering. I sådana fall kan de stödberättigande kostnaderna motsvara de totala investeringskostnaderna.</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Ange kortfattat motiveringen till valet av sannolika kontrafaktiska scenarion, i tillämpliga fall med tanke på de olika kategorier av stödmottagare som föreslås.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Kvantifiera kostnaderna och intäkterna för de faktiska och kontrafaktiska scenarierna enligt följande:</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Om stöd beviljas </w:t>
      </w:r>
      <w:r>
        <w:rPr>
          <w:u w:val="single"/>
        </w:rPr>
        <w:t>utan ett konkurrensutsatt anbudsförfarande</w:t>
      </w:r>
      <w:r>
        <w:t>, motivera ändringen av beteendet när det är relevant för varje kategori av stödmottagare, på grundval av respektive referensprojekt</w:t>
      </w:r>
      <w:r w:rsidR="009B7B9E" w:rsidRPr="007B7540">
        <w:rPr>
          <w:vertAlign w:val="superscript"/>
        </w:rPr>
        <w:footnoteReference w:id="6"/>
      </w:r>
      <w:r>
        <w:t>, motsvarande kontrafaktiska scenarier och resulterande finansieringsunderskott.</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Om stöd beviljas </w:t>
      </w:r>
      <w:r>
        <w:rPr>
          <w:u w:val="single"/>
        </w:rPr>
        <w:t>på grundval av ett konkurrensutsatt anbudsförfarande</w:t>
      </w:r>
      <w:r>
        <w:t>, motivera ändringen av beteendet (i relevanta fall för varje kategori av stödmottagare/referensprojekt) med hjälp av samma bevisning som krävs enligt led C i ovan, eller lämna alternativt relevant kvantitativ bevisning som baseras på marknadsundersökningar, investerarplaner, finansiella rapporter eller annan kvantitativ bevisning inklusive anbud för liknande projekt i nyligen genomförda jämförbara konkurrensutsatta anbudsförfaranden.</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För att bedöma efterlevnaden av punkt 27 i riktlinjerna, lämna information som bekräftar att stödet inte ersätter kostnaderna för en verksamhet som stödmottagaren ändå skulle bedriva och inte kompenserar för den normala affärsrisken för en näringsverksamhet.</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För att visa att punkterna 29 och 31 i riktlinjerna efterlevs gäller följande:</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Bekräfta att arbetet med projektet eller verksamheten inte inleddes innan stödmottagaren lämnat in en skriftlig stödansökan till de nationella myndigheterna. </w:t>
      </w:r>
    </w:p>
    <w:p w14:paraId="32242483" w14:textId="4448D932" w:rsidR="00C62AF1" w:rsidRPr="00F27797" w:rsidRDefault="00BA4BD6" w:rsidP="00C62AF1">
      <w:pPr>
        <w:pStyle w:val="ListParagraph"/>
        <w:spacing w:before="120" w:after="120"/>
        <w:ind w:left="993"/>
        <w:contextualSpacing w:val="0"/>
        <w:jc w:val="both"/>
      </w:pPr>
      <w:r>
        <w:rPr>
          <w:i/>
        </w:rPr>
        <w:t>ELLER</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lastRenderedPageBreak/>
        <w:t xml:space="preserve">När det gäller projekt som inleddes innan stödansökan lämnades in, visa att projektet faller inom ramen för något av de undantagsfall som anges i punkt 31 (a, b eller c) i riktlinjerna.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För att visa att punkt 30 i riktlinjerna efterlevs, bekräfta att stödansökan åtminstone innehåller sökandens namn, en beskrivning av projektet eller verksamheten, inklusive dess plats, och det stödbelopp som behövs för att utföra projektet eller verksamheten.</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För att visa att punkt 32 i riktlinjerna efterlevs, ange om det finns unionsnormer</w:t>
      </w:r>
      <w:r w:rsidRPr="00AC286A">
        <w:rPr>
          <w:rStyle w:val="FootnoteReference"/>
          <w:lang w:val="en-IE" w:eastAsia="en-GB"/>
        </w:rPr>
        <w:footnoteReference w:id="8"/>
      </w:r>
      <w:r>
        <w:t xml:space="preserve"> som är tillämpliga på den eller de anmälda åtgärderna, obligatoriska nationella normer som är strängare eller ambitiösare än motsvarande unionsnormer eller obligatoriska nationella normer som antagits i avsaknad av unionsnormer. Lämna i detta </w:t>
      </w:r>
      <w:proofErr w:type="gramStart"/>
      <w:r>
        <w:t>sammanhang information</w:t>
      </w:r>
      <w:proofErr w:type="gramEnd"/>
      <w:r>
        <w:t xml:space="preserve"> för att påvisa stimulanseffekten.</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Om den relevanta unionsnormen redan har antagits men inte trätt i kraft än, visa då att stödet har en stimulanseffekt genom att det bidrar till att investeringen görs och slutförs minst 18 månader innan normen träder i kraft.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Ingen överträdelse av någon relevant bestämmelse i unionsrätten</w:t>
            </w:r>
          </w:p>
        </w:tc>
      </w:tr>
    </w:tbl>
    <w:p w14:paraId="5CC837C1" w14:textId="2249AE98" w:rsidR="00C62AF1" w:rsidRPr="00AC286A" w:rsidRDefault="00C62AF1" w:rsidP="00C62AF1">
      <w:pPr>
        <w:spacing w:before="360" w:after="120"/>
        <w:jc w:val="both"/>
        <w:rPr>
          <w:i/>
        </w:rPr>
      </w:pPr>
      <w:r>
        <w:rPr>
          <w:i/>
        </w:rPr>
        <w:t xml:space="preserve">För att lämna information i detta avsnitt, se avsnitt 3.1.3 (punkt 33) i riktlinjerna. </w:t>
      </w:r>
    </w:p>
    <w:p w14:paraId="63B710C7" w14:textId="77777777" w:rsidR="00C62AF1" w:rsidRPr="00AC286A" w:rsidRDefault="00C62AF1" w:rsidP="0000132C">
      <w:pPr>
        <w:numPr>
          <w:ilvl w:val="0"/>
          <w:numId w:val="4"/>
        </w:numPr>
        <w:spacing w:before="120" w:after="120"/>
        <w:ind w:left="567" w:hanging="567"/>
        <w:jc w:val="both"/>
      </w:pPr>
      <w:r>
        <w:t>Lämna information för att bekräfta efterlevnaden av relevanta bestämmelser i EU-rätten, i enlighet med punkt 33 i riktlinjerna.</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Om en avgift används för att finansiera åtgärden/åtgärderna, ange om en bedömning av efterlevnaden av artiklarna 30 och 110 i EUF-fördraget behöver göras. Om svaret är ja, visa hur åtgärden är förenlig med bestämmelserna i artiklarna 30 och 110 i EUF-fördraget.</w:t>
      </w:r>
      <w:r>
        <w:rPr>
          <w:i/>
        </w:rPr>
        <w:t xml:space="preserve"> </w:t>
      </w:r>
      <w:r>
        <w:t xml:space="preserve">I detta sammanhang kan det hänvisas till de uppgifter som lämnats under fråga 5 </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xml:space="preserve"> ovan, om den eller de anmälda åtgärderna finansieras genom en avgift.</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Negativt villkor: stödet får inte påverka handeln på ett otillbörligt sätt i en omfattning som strider mot det gemensamma intresset</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Minimering av snedvridning av konkurrens och handel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Stödets nödvändighet</w:t>
            </w:r>
          </w:p>
        </w:tc>
      </w:tr>
    </w:tbl>
    <w:p w14:paraId="61C0E123" w14:textId="66E25735" w:rsidR="00C62AF1" w:rsidRPr="00AC286A" w:rsidRDefault="00C62AF1" w:rsidP="00C62AF1">
      <w:pPr>
        <w:spacing w:before="360" w:after="120"/>
        <w:jc w:val="both"/>
        <w:rPr>
          <w:i/>
          <w:color w:val="000000"/>
        </w:rPr>
      </w:pPr>
      <w:r>
        <w:rPr>
          <w:i/>
        </w:rPr>
        <w:t>För att lämna information i detta avsnitt, se avsnitt 3.2.1.1 (punkterna 34–38) i riktlinjerna.</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Ange vilket eller vilka marknadsmisslyckanden som era myndigheter har identifierat och som hindrar att en tillräcklig miljöskyddsnivå uppnås. Ange vilken kategori de identifierade marknadsmisslyckandena hör till, genom att hänvisa till punkt 34 a, b, c eller d i riktlinjerna.</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Lämna, i enlighet med punkt 35 i riktlinjerna, information om eventuella befintliga politiska strategier och åtgärder som era myndigheter har identifierat och som redan är inriktade på de identifierade reglerings- eller marknadsmisslyckandena.</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För att visa att punkt 36 i riktlinjerna efterlevs, lämna information som visar att stödet effektivt inriktas på återstående marknadsmisslyckanden, även med beaktande av eventuella andra politiska strategier och åtgärder som redan har införts för att hantera vissa av de marknadsmisslyckanden som identifierats.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För att visa att punkt 37 i riktlinjerna efterlevs, ange om era myndigheter har vetskap om huruvida projekt eller verksamheter som liknar dem som omfattas av den eller de anmälda åtgärderna med avseende på deras teknologiska innehåll, risknivå och storlek redan har genomförts inom unionen på marknadsmässiga villkor. Om svaret är ja, lämna ytterligare bevisning som visar att statligt stöd behövs.</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För att visa att punkt 38 i riktlinjerna efterlevs, hänvisa till den kvantitativa bevisning som redan lämnats under fråga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 ovan.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Lämplighet</w:t>
            </w:r>
          </w:p>
        </w:tc>
      </w:tr>
    </w:tbl>
    <w:bookmarkEnd w:id="8"/>
    <w:p w14:paraId="564078A7" w14:textId="5B9E20CC" w:rsidR="00C62AF1" w:rsidRDefault="00C62AF1" w:rsidP="05E51075">
      <w:pPr>
        <w:spacing w:before="360" w:after="120"/>
        <w:jc w:val="both"/>
        <w:rPr>
          <w:i/>
          <w:iCs/>
          <w:color w:val="000000"/>
        </w:rPr>
      </w:pPr>
      <w:r>
        <w:rPr>
          <w:i/>
        </w:rPr>
        <w:t>För att lämna information i detta avsnitt, se avsnitt 3.2.1.2 (punkterna 39–46) och avsnitt 4.3.1.4.1 (punkt 171) i riktlinjerna.</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lastRenderedPageBreak/>
        <w:t>För att visa att punkt 41 i riktlinjerna efterlevs, visa att stödåtgärden är utformad så att den inte undergräver effektiviteten hos andra åtgärder som rättar till samma marknadsmisslyckande, såsom marknadsbaserade mekanismer (</w:t>
      </w:r>
      <w:proofErr w:type="gramStart"/>
      <w:r>
        <w:t>t.ex.</w:t>
      </w:r>
      <w:proofErr w:type="gramEnd"/>
      <w:r>
        <w:t xml:space="preserve"> EU:s utsläppshandelssystem).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För att visa att punkt 42 i riktlinjerna efterlevs, bekräfta att ingen av </w:t>
      </w:r>
      <w:r>
        <w:rPr>
          <w:shd w:val="clear" w:color="auto" w:fill="FFFFFF"/>
        </w:rPr>
        <w:t xml:space="preserve">stödmottagarna i stödåtgärden/stödåtgärderna kan hållas ansvarig för föroreningen enligt befintlig unionsrätt eller nationell lagstiftning (principen om att förorenaren betalar).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För att visa att punkterna 43–46 i riktlinjerna efterlevs, ange följande för att visa stödets lämplighet i förhållande till olika stödinstrument: </w:t>
      </w:r>
    </w:p>
    <w:p w14:paraId="50891D0D" w14:textId="0B4D0D67" w:rsidR="00C62AF1" w:rsidRPr="00AC286A" w:rsidRDefault="00C62AF1" w:rsidP="0000132C">
      <w:pPr>
        <w:pStyle w:val="ListParagraph"/>
        <w:numPr>
          <w:ilvl w:val="0"/>
          <w:numId w:val="34"/>
        </w:numPr>
        <w:spacing w:after="120"/>
        <w:jc w:val="both"/>
      </w:pPr>
      <w:r>
        <w:t xml:space="preserve">Förklara i enlighet med punkt 44 i riktlinjerna varför andra potentiellt mindre snedvridande stödformer är mindre lämpliga. Mindre snedvridande stödformer kan vara förskott med återbetalningsskyldighet jämfört med direkta bidrag, skatteavdrag jämfört med skattelättnader eller stödformer som baseras på finansiella instrument såsom skuldinstrument jämfört med </w:t>
      </w:r>
      <w:proofErr w:type="spellStart"/>
      <w:r>
        <w:t>egetkapitalinstrument</w:t>
      </w:r>
      <w:proofErr w:type="spellEnd"/>
      <w:r>
        <w:t>, bland annat lågräntelån eller räntesubventioner, statliga garantier eller annan finansiering på förmånliga villkor.</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Visa att valet av stödinstrument är lämpligt med tanke på det marknadsmisslyckande som stödåtgärden/stödåtgärderna syftar till att korrigera, i enlighet med punkt 45 i riktlinjerna.</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Förklara hur stödåtgärden och dess utformning är lämpliga för att uppnå målet för den åtgärd som stödet är riktat till (punkt 46 i riktlinjerna).</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För att visa att punkterna 40 och 171 i riktlinjerna efterlevs, förklara huruvida andra typer av insatser än statligt stöd inte kan stimulera utvecklingen av marknaden för ren mobilitet och beskriv deras förväntade inverkan jämfört med den hos den föreslagna åtgärden. Sådana andra typer av insatser kan omfatta införandet av allmänna åtgärder som syftar till att främja inköp av rena fordon, till exempel program för miljöbonusar eller skrotning av fordon eller inrättande av lågutsläppszoner i den berörda medlemsstaten.</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Proportionalitet</w:t>
            </w:r>
          </w:p>
        </w:tc>
      </w:tr>
    </w:tbl>
    <w:p w14:paraId="4583CF53" w14:textId="484D45EB" w:rsidR="002E4A39" w:rsidRPr="00AC286A" w:rsidRDefault="002E4A39" w:rsidP="001F1E32">
      <w:pPr>
        <w:spacing w:before="360" w:after="120"/>
        <w:jc w:val="both"/>
        <w:rPr>
          <w:i/>
        </w:rPr>
      </w:pPr>
      <w:r>
        <w:rPr>
          <w:i/>
        </w:rPr>
        <w:t xml:space="preserve">För att lämna information i detta avsnitt, se avsnitt 3.2.1.3 (punkterna 47–55) och avsnitt 4.3.1.4.2 (punkterna 172–181) i riktlinjerna. Observera att </w:t>
      </w:r>
      <w:r>
        <w:rPr>
          <w:i/>
          <w:u w:val="single"/>
        </w:rPr>
        <w:t>följande två avsnitt 2.1.3.1 och 2.1.3.2</w:t>
      </w:r>
      <w:r>
        <w:rPr>
          <w:i/>
        </w:rPr>
        <w:t xml:space="preserve"> är alternativa. Lämna endast svar på det relevanta avsnittet, beroende på den föreslagna åtgärdens utformning.</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lastRenderedPageBreak/>
              <w:t>2.1.3.1. Proportionalitet hos stöd som beviljas genom ett konkurrensutsatt anbudsförfarande</w:t>
            </w:r>
          </w:p>
        </w:tc>
      </w:tr>
    </w:tbl>
    <w:p w14:paraId="7AD4AA0A" w14:textId="77F5469E" w:rsidR="00A84671" w:rsidRPr="00AC286A" w:rsidRDefault="00C62AF1" w:rsidP="009854EF">
      <w:pPr>
        <w:pStyle w:val="ListParagraph"/>
        <w:spacing w:before="120" w:after="120"/>
        <w:ind w:left="0"/>
        <w:contextualSpacing w:val="0"/>
        <w:jc w:val="both"/>
      </w:pPr>
      <w:r>
        <w:rPr>
          <w:i/>
        </w:rPr>
        <w:t>För att lämna information i detta avsnitt, se punkterna 49, 50, 173, 174 och 175 i riktlinjerna.</w:t>
      </w:r>
    </w:p>
    <w:p w14:paraId="488BAFA9" w14:textId="7E072642" w:rsidR="00C62AF1" w:rsidRPr="00AC286A" w:rsidRDefault="00C62AF1" w:rsidP="0000132C">
      <w:pPr>
        <w:numPr>
          <w:ilvl w:val="0"/>
          <w:numId w:val="4"/>
        </w:numPr>
        <w:spacing w:before="120" w:after="120"/>
        <w:ind w:left="567" w:hanging="567"/>
        <w:jc w:val="both"/>
      </w:pPr>
      <w:bookmarkStart w:id="9" w:name="_Ref155798173"/>
      <w:r>
        <w:t>För att visa att punkterna 49, 50 och 173 i riktlinjerna efterlevs ange följande:</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De urvalskriterier som använts för att rangordna anbuden och slutligen identifiera stödnivån i det konkurrensutsatta anbudsförfarandet. Närmare bestämt: </w:t>
      </w:r>
    </w:p>
    <w:p w14:paraId="321C47E7" w14:textId="77777777" w:rsidR="00C62AF1" w:rsidRPr="00AC286A" w:rsidRDefault="00C62AF1" w:rsidP="0000132C">
      <w:pPr>
        <w:pStyle w:val="ListParagraph"/>
        <w:numPr>
          <w:ilvl w:val="1"/>
          <w:numId w:val="22"/>
        </w:numPr>
        <w:spacing w:before="120" w:after="120"/>
        <w:contextualSpacing w:val="0"/>
        <w:jc w:val="both"/>
      </w:pPr>
      <w:r>
        <w:t>Lämna en förteckning över urvalskriterierna och ange vilka av dem som är/inte är direkt eller indirekt kopplade till de huvudsakliga målen för åtgärden eller åtgärderna. Ange deras viktning.</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Förklara hur urvalskriterierna ställer bidraget till de huvudsakliga målen för åtgärden eller åtgärderna i direkt eller indirekt relation till det stödbelopp som sökanden begär. Detta kan exempelvis uttryckas i stöd per miljöskyddsenhet eller stöd per rent eller utsläppsfritt fordon (punkt 50 och fotnot 44 i riktlinjerna).</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Om det finns andra urvalskriterier som inte är direkt eller indirekt kopplade till de huvudsakliga målen för åtgärden/åtgärderna, ange skälen för det föreslagna tillvägagångssättet och förklara hur det är lämpligt för de mål som eftersträvas genom åtgärden/åtgärderna. Bekräfta också att dessa kriterier inte utgör mer än 30 % av viktningen för alla urvalskriterier (punkterna 50 och 174 i riktlinjerna).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Ange hur långt före tidsfristen för inlämning av ansökningar i varje konkurrensutsatt anbudsförfarande urvalskriterierna kommer att offentliggöras (punkt 49 b och fotnot 43 i riktlinjerna).</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 xml:space="preserve">Förklara närmare </w:t>
      </w:r>
      <w:r>
        <w:rPr>
          <w:shd w:val="clear" w:color="auto" w:fill="FFFFFF"/>
        </w:rPr>
        <w:t xml:space="preserve">på vilka grunder du utgår från att anbudsförfarandet kommer att vara öppet och innehålla ett tillräckligt antal sökande, dvs. att det kan förväntas att inte alla anbudsgivare kommer att få stöd och att antalet förväntade anbudsgivare är tillräckligt för att säkerställa effektiv konkurrens under stödordningens varaktighet (punkt 49 c i riktlinjerna). Beakta i din förklaring stödordningens budget eller volym. Hänvisa i relevanta fall till den bevisning som lämnats i svaren på fråga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shd w:val="clear" w:color="auto" w:fill="FFFFFF"/>
        </w:rPr>
        <w:lastRenderedPageBreak/>
        <w:t xml:space="preserve">Lämna </w:t>
      </w:r>
      <w:r>
        <w:t xml:space="preserve">information </w:t>
      </w:r>
      <w:r>
        <w:rPr>
          <w:shd w:val="clear" w:color="auto" w:fill="FFFFFF"/>
        </w:rPr>
        <w:t>om antalet planerade anbudsomgångar och förväntat antal anbudsgivare i första omgången och över tid.</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t>Om det blir ett eller flera anbudsförfaranden med för få sökande, förklara hur och när utformningen av anbudsförfarandena kommer att korrigeras under genomförandet av stödordningen i syfte att återställa effektiv konkurrens (punkt 49 c i riktlinjerna).</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rPr>
          <w:shd w:val="clear" w:color="auto" w:fill="FFFFFF"/>
        </w:rPr>
        <w:t>Bekräfta att efterhandsjusteringar av resultatet av anbudsförfarandet (såsom efterföljande förhandlingar om anbudsresultat eller ransonering) undviks</w:t>
      </w:r>
      <w:r>
        <w:t xml:space="preserve"> (punkt 49 d i riktlinjerna)</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Om ”anbud utan subvention” kan förekomma, förklara hur proportionaliteten kommer att säkerställas (se punkt 49 och fotnot 42 i riktlinjerna).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Klargör om myndigheterna planerar att använda lägsta prisgränser eller pristak i det konkurrensutsatta anbudsförfarandet. Om någon av dessa åtgärder används, motivera varför de används och förklara hur de inte inskränker det konkurrensutsatta anbudsförfarandet (punkt 49 och fotnot 42 i riktlinjerna).</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Förklara hur utformningen av det konkurrensutsatta anbudsförfarandet säkerställer att det finns tillräckliga incitament för sökande att lämna in anbud för projekt rörande förvärv av utsläppsfria fordon, vilka i regel är dyrare än mindre miljövänliga alternativ, i den mån sådana finns tillgängliga för det aktuella transportslaget. Förklara till exempel om utformningen av det konkurrensutsatta anbudsförfarandet inbegriper premier som gör att en högre poäng kan tilldelas projekt som medför miljöfördelar utöver de som härrör från kraven för stödberättigande eller stödåtgärdens primära mål (punkt 175 i riktlinjerna).</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Proportionalitet hos stöd som </w:t>
            </w:r>
            <w:r>
              <w:rPr>
                <w:sz w:val="24"/>
                <w:u w:val="single"/>
              </w:rPr>
              <w:t>inte</w:t>
            </w:r>
            <w:r>
              <w:rPr>
                <w:sz w:val="24"/>
              </w:rPr>
              <w:t xml:space="preserve"> beviljas genom ett konkurrensutsatt anbudsförfarande</w:t>
            </w:r>
          </w:p>
        </w:tc>
      </w:tr>
    </w:tbl>
    <w:p w14:paraId="422D5582" w14:textId="3525E601" w:rsidR="00C62AF1" w:rsidRPr="00AC286A" w:rsidRDefault="00C62AF1" w:rsidP="009854EF">
      <w:pPr>
        <w:pStyle w:val="ListParagraph"/>
        <w:spacing w:before="120" w:after="120"/>
        <w:ind w:left="0"/>
        <w:contextualSpacing w:val="0"/>
        <w:jc w:val="both"/>
      </w:pPr>
      <w:r>
        <w:rPr>
          <w:i/>
        </w:rPr>
        <w:t>För att lämna information i detta avsnitt, se punkterna 51–55 och 176–181 i riktlinjerna.</w:t>
      </w:r>
    </w:p>
    <w:p w14:paraId="1F6FE818" w14:textId="1814D969" w:rsidR="00EF71CF" w:rsidRPr="00EF71CF" w:rsidRDefault="00EF71CF" w:rsidP="0000132C">
      <w:pPr>
        <w:numPr>
          <w:ilvl w:val="0"/>
          <w:numId w:val="4"/>
        </w:numPr>
        <w:spacing w:before="120" w:after="120"/>
        <w:ind w:left="567" w:hanging="567"/>
        <w:jc w:val="both"/>
      </w:pPr>
      <w:r>
        <w:t xml:space="preserve">Förklara varför ett konkurrensutsatt anbudsförfarande inte används (med hänvisning till de undantag som anges i punkt 176 i riktlinjerna):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Det förväntade antalet deltagare är inte tillräckligt för att säkerställa en effektiv konkurrens eller undvika strategisk budgivning. </w:t>
      </w:r>
      <w:r>
        <w:rPr>
          <w:i/>
        </w:rPr>
        <w:t>ELLER</w:t>
      </w:r>
    </w:p>
    <w:p w14:paraId="2BE7768F" w14:textId="52FE47F8" w:rsidR="001A514F" w:rsidRDefault="009A3188" w:rsidP="0000132C">
      <w:pPr>
        <w:pStyle w:val="ListParagraph"/>
        <w:numPr>
          <w:ilvl w:val="0"/>
          <w:numId w:val="37"/>
        </w:numPr>
        <w:spacing w:before="120" w:after="120"/>
        <w:contextualSpacing w:val="0"/>
        <w:jc w:val="both"/>
      </w:pPr>
      <w:r>
        <w:t xml:space="preserve">Ett konkurrensutsatt anbudsförfarande, enligt beskrivningen i punkterna 49 och 50, är inte lämpligt för att säkerställa stödets proportionalitet, och en användning av de alternativa metoderna enligt punkterna 177–180 i riktlinjerna för att visa proportionalitet skulle inte öka risken för otillbörliga snedvridningar av konkurrensen, beroende på åtgärdens egenskaper eller egenskaperna hos de berörda sektorerna eller transportslagen. </w:t>
      </w:r>
      <w:r>
        <w:rPr>
          <w:i/>
        </w:rPr>
        <w:t>ELLER</w:t>
      </w:r>
      <w:r>
        <w:t xml:space="preserve"> </w:t>
      </w:r>
    </w:p>
    <w:p w14:paraId="5D52BE55" w14:textId="25904D05" w:rsidR="009A3188" w:rsidRDefault="009A3188" w:rsidP="0000132C">
      <w:pPr>
        <w:pStyle w:val="ListParagraph"/>
        <w:numPr>
          <w:ilvl w:val="0"/>
          <w:numId w:val="37"/>
        </w:numPr>
        <w:spacing w:before="120" w:after="120"/>
        <w:contextualSpacing w:val="0"/>
        <w:jc w:val="both"/>
      </w:pPr>
      <w:r>
        <w:lastRenderedPageBreak/>
        <w:t>Stödet beviljas för förvärv eller leasing av fordon som är avsedda att användas av företag som är verksamma inom sektorn för offentliga persontransporter på väg, järnväg och vattenvägar.</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 xml:space="preserve">Ange merkostnaderna netto för investeringen. Dessa beräknas som skillnaden mellan, å ena sidan, den totala ägandekostnaden för det rena fordon som ska förvärvas eller </w:t>
      </w:r>
      <w:proofErr w:type="gramStart"/>
      <w:r>
        <w:t>leasas</w:t>
      </w:r>
      <w:proofErr w:type="gramEnd"/>
      <w:r>
        <w:t xml:space="preserve"> och, å andra sidan, den totala ägandekostnaden i det kontrafaktiska scenariot, exklusive kostnader som inte är direkt kopplade till uppnåendet av en högre miljöskyddsnivå. När det gäller eftermontering av fordon och mobil serviceutrustning kan de stödberättigande kostnaderna vara de totala kostnaderna för eftermonteringen, under förutsättning att fordonen eller den mobila serviceutrustningen i det kontrafaktiska scenariot har samma ekonomiska livslängd utan eftermontering (punkterna 178–179 i riktlinjerna).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Ange de högsta stödnivåer som är tillämpliga enligt åtgärden och om eventuella bonusar (enligt beskrivningen i punkt 177 i riktlinjerna) är tillämpliga.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Om det genom undantag från punkterna 177–179 i riktlinjerna anses att det krävs stöd utöver de högsta stödnivåer som fastställs i punkt 177 i riktlinjerna, ange den stödnivå som anses nödvändig och motivera den på grundval av en analys av finansieringsunderskottet för referensprojekt i de faktiska och kontrafaktiska scenarier som identifieras i svaret på fråga </w:t>
      </w:r>
      <w:r w:rsidR="00A72937">
        <w:fldChar w:fldCharType="begin"/>
      </w:r>
      <w:r w:rsidR="00A72937">
        <w:instrText xml:space="preserve"> REF _Ref161224203 \r \h </w:instrText>
      </w:r>
      <w:r w:rsidR="00A72937">
        <w:fldChar w:fldCharType="separate"/>
      </w:r>
      <w:r w:rsidR="00B965D5">
        <w:t>12</w:t>
      </w:r>
      <w:r w:rsidR="00A72937">
        <w:fldChar w:fldCharType="end"/>
      </w:r>
      <w:r>
        <w:t xml:space="preserve"> led C i ovan, i enlighet med punkterna 51–52 i riktlinjerna.</w:t>
      </w:r>
      <w:bookmarkEnd w:id="10"/>
    </w:p>
    <w:p w14:paraId="264FE08C" w14:textId="6A1796CC" w:rsidR="00F4008F" w:rsidRDefault="6554BC11" w:rsidP="001C4C34">
      <w:pPr>
        <w:spacing w:before="120" w:after="120"/>
        <w:ind w:left="567"/>
        <w:jc w:val="both"/>
      </w:pPr>
      <w:r>
        <w:t>För analysen av detta finansieringsunderskott, lämna in en kvantifiering, för det faktiska scenariot och ett realistiskt kontrafaktiskt scenario</w:t>
      </w:r>
      <w:r w:rsidR="00F4008F" w:rsidRPr="00BA5885">
        <w:rPr>
          <w:rStyle w:val="FootnoteReference"/>
          <w:lang w:val="en-IE"/>
        </w:rPr>
        <w:footnoteReference w:id="9"/>
      </w:r>
      <w:r>
        <w:t xml:space="preserve"> som identifierats i svaret på fråga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 ovan, av alla huvudsakliga kostnader och intäkter, stödmottagarnas (eller referensprojektens) beräknade vägda genomsnittliga kapitalkostnad (WACC) för att diskontera framtida kassaflöden samt nettonuvärdet för de faktiska och kontrafaktiska scenarierna under projektets/referensprojektets livstid. </w:t>
      </w:r>
    </w:p>
    <w:p w14:paraId="45BB3A0D" w14:textId="77777777" w:rsidR="002F62D3" w:rsidRPr="004C4C28"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Ange detta i en bilaga till detta anmälningsformulär (med hjälp av en Excel-fil där alla formler är synliga).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Lämna</w:t>
      </w:r>
      <w:r>
        <w:t xml:space="preserve"> detaljerad information om de antaganden, metoder, skäl och underliggande källor till dessa som används för varje aspekt av kvantifieringen av kostnader och intäkter i det faktiska scenariot och det sannolika kontrafaktiska scenariot (ange </w:t>
      </w:r>
      <w:proofErr w:type="gramStart"/>
      <w:r>
        <w:t>t.ex.</w:t>
      </w:r>
      <w:proofErr w:type="gramEnd"/>
      <w:r>
        <w:t xml:space="preserve"> de antaganden som används för att utveckla dessa scenarier och källan/skälen till dessa antaganden).</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När det gäller individuellt stöd och stödordningar som gynnar ett särskilt begränsat antal stödmottagare måste medlemsstaten lägga fram styrkande underlag på nivån för projektets detaljerade affärsplan.</w:t>
      </w:r>
    </w:p>
    <w:p w14:paraId="1610350D" w14:textId="77777777" w:rsidR="002712FE" w:rsidRPr="00AC286A" w:rsidRDefault="002712FE" w:rsidP="001C4C34">
      <w:pPr>
        <w:ind w:left="1440"/>
        <w:jc w:val="both"/>
        <w:rPr>
          <w:shd w:val="clear" w:color="auto" w:fill="FFFFFF"/>
        </w:rPr>
      </w:pPr>
      <w:r>
        <w:rPr>
          <w:shd w:val="clear" w:color="auto" w:fill="FFFFFF"/>
        </w:rPr>
        <w:lastRenderedPageBreak/>
        <w:t>När det gäller stödordningar måste medlemsstaten lägga fram styrkande underlag på grundval av ett eller flera referensprojekt.</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Till detta anmälningsformulär kan du även </w:t>
      </w:r>
      <w:r>
        <w:rPr>
          <w:shd w:val="clear" w:color="auto" w:fill="FFFFFF"/>
        </w:rPr>
        <w:t>bifoga</w:t>
      </w:r>
      <w:r>
        <w:t xml:space="preserve"> de handlingar som anges i fotnot 39 i riktlinjerna. Styrelsedokument kan vara särskilt användbara för individuella stödåtgärder eller stödordningar som gynnar ett särskilt begränsat antal stödmottagare. Om sådana handlingar bifogas anmälningsformuläret, ange nedan en förteckning över dessa, med uppgift om upphovsman, datum då de upprättades och det sammanhang där de användes.</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7DC7EFD2" w:rsidR="00E15BFB" w:rsidRDefault="00E15BFB" w:rsidP="0000132C">
      <w:pPr>
        <w:numPr>
          <w:ilvl w:val="0"/>
          <w:numId w:val="4"/>
        </w:numPr>
        <w:spacing w:before="120" w:after="120"/>
        <w:ind w:left="567" w:hanging="567"/>
        <w:jc w:val="both"/>
      </w:pPr>
      <w:r>
        <w:t xml:space="preserve">Visa också att tillämpningen av en högre stödnivå som fastställts enligt </w:t>
      </w:r>
      <w:r>
        <w:rPr>
          <w:shd w:val="clear" w:color="auto" w:fill="FFFFFF"/>
        </w:rPr>
        <w:t xml:space="preserve">fråga </w:t>
      </w:r>
      <w:r>
        <w:t xml:space="preserve"> </w:t>
      </w:r>
      <w:r w:rsidR="00443AEC">
        <w:rPr>
          <w:shd w:val="clear" w:color="auto" w:fill="FFFFFF"/>
        </w:rPr>
        <w:fldChar w:fldCharType="begin"/>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inte leder till att stödet överskrider finansieringsunderskottet.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Om punkt 52 i riktlinjerna är tillämplig, dvs. </w:t>
      </w:r>
      <w:r>
        <w:rPr>
          <w:shd w:val="clear" w:color="auto" w:fill="FFFFFF"/>
        </w:rPr>
        <w:t>om det mest sannolika kontrafaktiska scenariot består</w:t>
      </w:r>
      <w:r>
        <w:t xml:space="preserve"> av att </w:t>
      </w:r>
      <w:r>
        <w:rPr>
          <w:shd w:val="clear" w:color="auto" w:fill="FFFFFF"/>
        </w:rPr>
        <w:t>stödmottagaren inte genomför någon verksamhet eller investering eller fortsätter med sin verksamhet utan ändringar,</w:t>
      </w:r>
      <w:r>
        <w:t xml:space="preserve"> lämna bevisning som stöder detta antagande</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t>I samtliga fall där</w:t>
      </w:r>
      <w:r>
        <w:t xml:space="preserve"> proportionaliteten </w:t>
      </w:r>
      <w:r>
        <w:rPr>
          <w:shd w:val="clear" w:color="auto" w:fill="FFFFFF"/>
        </w:rPr>
        <w:t>motiveras genom en analys av finansieringsunderskottet, bekräfta också att era myndigheter kommer att utföra en övervakning i efterhand för att verifiera antagandena om nödvändig stödnivå och att de kommer att införa en återbetalningsmekanism. Beskriv även</w:t>
      </w:r>
      <w:r>
        <w:t xml:space="preserve"> den övervaknings- och </w:t>
      </w:r>
      <w:r>
        <w:rPr>
          <w:shd w:val="clear" w:color="auto" w:fill="FFFFFF"/>
        </w:rPr>
        <w:t xml:space="preserve">återbetalningsmekanism som era myndigheter avser att tillämpa (punkt 180 i riktlinjerna.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Kumulering</w:t>
            </w:r>
          </w:p>
        </w:tc>
      </w:tr>
    </w:tbl>
    <w:p w14:paraId="7AD631CF" w14:textId="77777777" w:rsidR="00C62AF1" w:rsidRPr="00AC286A" w:rsidRDefault="00C62AF1" w:rsidP="00FC5BDD">
      <w:pPr>
        <w:pStyle w:val="ListParagraph"/>
        <w:spacing w:before="120" w:after="120"/>
        <w:ind w:left="0"/>
        <w:contextualSpacing w:val="0"/>
        <w:jc w:val="both"/>
      </w:pPr>
      <w:r>
        <w:rPr>
          <w:i/>
        </w:rPr>
        <w:t>För att lämna information i detta avsnitt, se punkterna 56–57 i riktlinjerna.</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För att visa att punkt 56 i riktlinjerna efterlevs, klargör om stödet inom ramen för den eller de anmälda åtgärderna kan beviljas samtidigt inom ramen för flera stödordningar eller kumuleras med stöd för särskilda ändamål eller stöd av mindre betydelse i förhållande till samma stödberättigande kostnader, om detta inte redan anges i del I </w:t>
      </w:r>
      <w:proofErr w:type="spellStart"/>
      <w:r>
        <w:t>i</w:t>
      </w:r>
      <w:proofErr w:type="spellEnd"/>
      <w:r>
        <w:t xml:space="preserve"> det allmänna anmälningsformuläret. Om så är fallet, lämna närmare uppgifter om dessa stödordningar, stöd för särskilda ändamål eller stöd av mindre betydelse och hur stödet kommer att kumuleras.</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Om punkt 56 i riktlinjerna är tillämplig, motivera hur det totala stödbelopp som beviljas inom ramen för den eller de anmälda åtgärderna till ett projekt eller en verksamhet inte leder till överkompensation eller överskrider </w:t>
      </w:r>
      <w:r>
        <w:rPr>
          <w:shd w:val="clear" w:color="auto" w:fill="FFFFFF"/>
        </w:rPr>
        <w:t>det</w:t>
      </w:r>
      <w:r>
        <w:t xml:space="preserve"> högsta stödbelopp som tillåts enligt punkterna 173, 177 eller 180 i riktlinjerna. Ange, för varje åtgärd med vilken det stöd som beviljas inom ramen för den eller de anmälda stödåtgärderna kan kumuleras, den metod som används för att säkerställa att villkoren i punkt 56 i riktlinjerna efterlevs.</w:t>
      </w:r>
    </w:p>
    <w:p w14:paraId="34198707" w14:textId="77777777" w:rsidR="00C62AF1" w:rsidRPr="00AC286A" w:rsidRDefault="00C62AF1" w:rsidP="00F37133">
      <w:pPr>
        <w:pStyle w:val="ListParagraph"/>
        <w:tabs>
          <w:tab w:val="left" w:leader="dot" w:pos="9072"/>
        </w:tabs>
        <w:spacing w:before="120" w:after="120"/>
        <w:ind w:left="567"/>
        <w:jc w:val="both"/>
      </w:pPr>
      <w:r>
        <w:lastRenderedPageBreak/>
        <w:tab/>
      </w:r>
    </w:p>
    <w:p w14:paraId="525DD4AF" w14:textId="3C90A541" w:rsidR="00C62AF1" w:rsidRPr="00AC286A" w:rsidRDefault="070CBB00" w:rsidP="0000132C">
      <w:pPr>
        <w:numPr>
          <w:ilvl w:val="0"/>
          <w:numId w:val="4"/>
        </w:numPr>
        <w:spacing w:before="120" w:after="120"/>
        <w:ind w:left="567" w:hanging="567"/>
        <w:jc w:val="both"/>
      </w:pPr>
      <w:r>
        <w:t>Om punkt 57 i riktlinjerna är tillämplig, dvs. om det stöd som beviljas inom ramen för den eller de anmälda åtgärderna kombineras med en centralt förvaltad unionsfinansiering</w:t>
      </w:r>
      <w:r w:rsidR="00BF1E81" w:rsidRPr="00AC286A">
        <w:rPr>
          <w:rStyle w:val="FootnoteReference"/>
          <w:lang w:eastAsia="en-GB"/>
        </w:rPr>
        <w:footnoteReference w:id="11"/>
      </w:r>
      <w:r>
        <w:t xml:space="preserve"> (som inte utgör statligt stöd), motivera hur </w:t>
      </w:r>
      <w:r>
        <w:rPr>
          <w:shd w:val="clear" w:color="auto" w:fill="FFFFFF"/>
        </w:rPr>
        <w:t>den totala offentliga finansiering som beviljas i förhållande till samma stödberättigande kostnader inte leder till överkompensation</w:t>
      </w:r>
      <w:r>
        <w:t>.</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Öppenhet</w:t>
            </w:r>
          </w:p>
        </w:tc>
      </w:tr>
    </w:tbl>
    <w:p w14:paraId="19C31F80" w14:textId="2D4539B5" w:rsidR="00C62AF1" w:rsidRPr="00AC286A" w:rsidRDefault="00C62AF1" w:rsidP="00C62AF1">
      <w:pPr>
        <w:spacing w:before="360" w:after="120"/>
        <w:jc w:val="both"/>
        <w:rPr>
          <w:i/>
        </w:rPr>
      </w:pPr>
      <w:r>
        <w:rPr>
          <w:i/>
        </w:rPr>
        <w:t xml:space="preserve">För att lämna information i detta avsnitt, se avsnitt 3.2.1.4 (punkterna 58–61) i riktlinjerna. </w:t>
      </w:r>
    </w:p>
    <w:p w14:paraId="4211141D" w14:textId="58565510" w:rsidR="008E430F" w:rsidRDefault="1C6367A9" w:rsidP="0000132C">
      <w:pPr>
        <w:numPr>
          <w:ilvl w:val="0"/>
          <w:numId w:val="4"/>
        </w:numPr>
        <w:spacing w:before="120" w:after="120"/>
        <w:ind w:left="567" w:hanging="567"/>
        <w:jc w:val="both"/>
      </w:pPr>
      <w:r>
        <w:t xml:space="preserve">Bekräfta att medlemsstaten kommer att efterleva de krav på öppenhet </w:t>
      </w:r>
      <w:r>
        <w:rPr>
          <w:shd w:val="clear" w:color="auto" w:fill="FFFFFF"/>
        </w:rPr>
        <w:t>som fastställs</w:t>
      </w:r>
      <w:r>
        <w:t xml:space="preserve"> i punkterna 58–61 i riktlinjerna.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Ange den internetlänk där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dessa riktlinjer och som överstiger 100 000 euro, kommer att offentliggöras.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Undvikande av otillbörliga negativa effekter på handel och konkurrens och balansering</w:t>
            </w:r>
            <w:bookmarkEnd w:id="12"/>
          </w:p>
        </w:tc>
      </w:tr>
    </w:tbl>
    <w:p w14:paraId="27571D47" w14:textId="2341FA1A" w:rsidR="00C62AF1" w:rsidRPr="00AC286A" w:rsidRDefault="00C62AF1" w:rsidP="00C62AF1">
      <w:pPr>
        <w:spacing w:before="360" w:after="120"/>
        <w:jc w:val="both"/>
        <w:rPr>
          <w:i/>
        </w:rPr>
      </w:pPr>
      <w:r>
        <w:rPr>
          <w:i/>
        </w:rPr>
        <w:t xml:space="preserve">För att lämna information i detta avsnitt, se avsnitt 3.2.2 (punkterna 63–70) och avsnitt 4.3.1.5 (punkterna 183–189) i riktlinjerna. </w:t>
      </w:r>
    </w:p>
    <w:p w14:paraId="5724A4A1" w14:textId="77777777" w:rsidR="000C4C25" w:rsidRDefault="19967884" w:rsidP="0000132C">
      <w:pPr>
        <w:numPr>
          <w:ilvl w:val="0"/>
          <w:numId w:val="4"/>
        </w:numPr>
        <w:spacing w:before="120" w:after="120"/>
        <w:ind w:left="567" w:hanging="567"/>
        <w:jc w:val="both"/>
      </w:pPr>
      <w:r>
        <w:t xml:space="preserve">För att visa att punkt 67 i riktlinjerna efterlevs, lämna information om den eller de anmälda åtgärdernas potentiella negativa effekter på kort och lång sikt på konkurrensen och handeln.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Ange om åtgärden täcks av någon av följande situationer: </w:t>
      </w:r>
    </w:p>
    <w:p w14:paraId="600A6180" w14:textId="7392E57E" w:rsidR="00F43AD8" w:rsidRDefault="005E6D02" w:rsidP="0000132C">
      <w:pPr>
        <w:pStyle w:val="ListParagraph"/>
        <w:numPr>
          <w:ilvl w:val="0"/>
          <w:numId w:val="39"/>
        </w:numPr>
        <w:spacing w:before="120" w:after="120"/>
        <w:contextualSpacing w:val="0"/>
        <w:jc w:val="both"/>
      </w:pPr>
      <w:r>
        <w:t>Den gäller en marknad (eller marknader) där etablerade aktörer lyckades vinna marknadsinflytande före avregleringen av marknaden.</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Den inbegriper konkurrensutsatta anbudsförfaranden på en eller flera framväxande marknader, om det finns en aktör med stark marknadsställning.</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Den kommer endast att gynna en eller ett särskilt begränsat antal stödmottagare.</w:t>
      </w:r>
    </w:p>
    <w:p w14:paraId="7F228503" w14:textId="28C27ADD" w:rsidR="00A30A2E" w:rsidRDefault="00F43AD8" w:rsidP="00F37133">
      <w:pPr>
        <w:tabs>
          <w:tab w:val="left" w:leader="dot" w:pos="9072"/>
        </w:tabs>
        <w:spacing w:before="120" w:after="120"/>
        <w:ind w:left="1080" w:firstLine="338"/>
        <w:jc w:val="both"/>
      </w:pPr>
      <w:r>
        <w:lastRenderedPageBreak/>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Om stödåtgärden är inriktad på ett specifikt tekniskt val/en specifik teknisk metod, beskriv anledningen till det tekniska valet och motivera hur det inte kommer att motverka införandet av renare teknik.</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Om den eller de anmälda åtgärderna endast kommer att gynna en eller ett särskilt begränsat antal stödmottagare, ange följande för att visa att punkt 68 i riktlinjerna efterlevs:</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 Ange i detta avseende också om stödåtgärden kommer att leda till en ökning av stödmottagarens eller stödmottagarnas produktionskapacitet.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Beskriv de åtgärder som vidtas för att begränsa den potentiella snedvridningen av konkurrensen till följd av att stödmottagaren/stödmottagarna beviljas stöd.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För att visa att punkt 69 i riktlinjerna efterlevs, ange följande: </w:t>
      </w:r>
    </w:p>
    <w:p w14:paraId="32E33C0A" w14:textId="66BA9774" w:rsidR="00CA77F0" w:rsidRDefault="00CA77F0" w:rsidP="0000132C">
      <w:pPr>
        <w:pStyle w:val="ListParagraph"/>
        <w:numPr>
          <w:ilvl w:val="0"/>
          <w:numId w:val="41"/>
        </w:numPr>
        <w:spacing w:before="120" w:after="120"/>
        <w:jc w:val="both"/>
      </w:pPr>
      <w:r>
        <w:t xml:space="preserve">Huruvida det stöd som beviljas inom ramen för den eller de anmälda åtgärderna syftar till att upprätthålla näringsverksamheten i en region eller locka bort den från andra regioner på den inre marknaden.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Om svaret är ja, specificera den eller de anmälda åtgärdernas nettoeffekt på miljön och hur den eller de anmälda åtgärderna förbättrar den befintliga nivån på miljöskyddet i medlemsstaterna.</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Hur det stöd som beviljas inom ramen för den eller de anmälda åtgärderna inte leder till några uppenbart negativa effekter på konkurrensen och handeln.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När det gäller individuellt stöd, de främsta drivkrafterna bakom stödmottagarens val av lokaliseringsort för investeringarna.</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För att visa att punkt 70 i riktlinjerna efterlevs gäller följande:</w:t>
      </w:r>
    </w:p>
    <w:p w14:paraId="78257B32" w14:textId="7E691F3C" w:rsidR="00C62AF1" w:rsidRPr="00AC286A" w:rsidRDefault="00C62AF1" w:rsidP="0000132C">
      <w:pPr>
        <w:pStyle w:val="ListParagraph"/>
        <w:numPr>
          <w:ilvl w:val="0"/>
          <w:numId w:val="42"/>
        </w:numPr>
        <w:spacing w:before="120" w:after="120"/>
        <w:jc w:val="both"/>
      </w:pPr>
      <w:r>
        <w:t xml:space="preserve">Bekräfta att stöd får beviljas inom ramen för den anmälda stödordningen under högst tio år </w:t>
      </w:r>
      <w:r>
        <w:rPr>
          <w:color w:val="000000"/>
          <w:shd w:val="clear" w:color="auto" w:fill="FFFFFF"/>
        </w:rPr>
        <w:t>från och med den dag då kommissionen meddelar sitt beslut om att förklara stödet förenligt med den inre marknaden</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Bekräfta att era myndigheter kommer att anmäla åtgärden på nytt om de vill förlänga stödordningens varaktighet utöver den maxperioden.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lastRenderedPageBreak/>
        <w:t>Om den eller de anmälda åtgärderna kan stimulera nya investeringar i fordon och mobil serviceutrustning som drivs med naturgas, förklara hur åtgärden kan anses inte ha långsiktiga inlåsningseffekter och inte ersätta investeringar i renare alternativ. När det gäller stöd till förvärv eller leasing av fordon för vattenvägstransport och mobil serviceutrustning som drivs med komprimerad naturgas eller kondenserad naturgas, visa därför att renare alternativ för att fasa ut fossila bränslen i det relevanta transportslaget inte finns lätt tillgängliga på marknaden och inte förväntas bli tillgängliga på kort sikt. Beakta i detta syfte en period på mellan två och fem år efter anmälan av stödåtgärden (eller en annan period, om det kan motiveras) och lämna in stödjande oberoende marknadsundersökningar eller annan lämplig bevisning.</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Om den anmälda åtgärden kan stimulera investeringar i rena luftfartyg (andra än luftfartyg med nollutsläpp) som använder fossila bränslen, visa att stödet bidrar till marknadsintroduktion eller en snabbare spridning på marknaden av nya, effektivare och betydligt mer miljövänliga luftfartyg. Förklara också hur sådana investeringar är förenliga med en utveckling mot klimatneutralitet och hur åtgärden undviker risken för inlåsning av konventionell teknik och undanträngning av investeringar i renare alternativ.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Om åtgärden avser lufttransporttjänster, ange om era myndigheter har för avsikt att kräva att stödmottagaren avvecklar ett motsvarande antal mindre miljövänliga luftfartyg med en likvärdig startmassa som de luftfartyg som förvärvas eller </w:t>
      </w:r>
      <w:proofErr w:type="gramStart"/>
      <w:r>
        <w:t>leasas</w:t>
      </w:r>
      <w:proofErr w:type="gramEnd"/>
      <w:r>
        <w:t xml:space="preserve"> med hjälp av det statliga stödet, för att mildra de potentiellt snedvridande effekterna av stödet med hänsyn till stödmottagarens marknadsställning eller för att öka de positiva effekterna av stödåtgärden.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När det gäller stöd för förvärv eller leasing av fordon eller mobil serviceutrustning, ange om ibruktagandet av nya fordon skulle leda till eller förvärra befintliga marknadsmisslyckanden, såsom överkapacitet inom den berörda sektorn.</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Om den anmälda åtgärden beviljar ett riktat stöd till en enskild stödmottagare eller ett begränsat antal särskilda stödmottagare i avsaknad av ett konkurrensutsatt anbudsförfarande, motivera åtgärdens utformning och ange skälen till att den inte är öppen för alla konkurrenter som är villiga att tillhandahålla samma tjänst, produkt eller förmån och visa att den hanterar de högre riskerna för snedvridning av konkurrensen på rätt sätt.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Vägning av de positiva effekterna av stödet mot de negativa effekterna på konkurrens och handel</w:t>
            </w:r>
          </w:p>
        </w:tc>
      </w:tr>
    </w:tbl>
    <w:p w14:paraId="21499FBD" w14:textId="74D3BCF1" w:rsidR="00C62AF1" w:rsidRPr="00AC286A" w:rsidRDefault="00C62AF1" w:rsidP="00C62AF1">
      <w:pPr>
        <w:spacing w:before="360" w:after="120"/>
        <w:jc w:val="both"/>
        <w:rPr>
          <w:i/>
          <w:color w:val="000000"/>
        </w:rPr>
      </w:pPr>
      <w:r>
        <w:rPr>
          <w:i/>
        </w:rPr>
        <w:t>För att lämna information i detta avsnitt, se avsnitt 3.3 (punkterna 71–76) i riktlinjerna.</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För att visa att punkt 72 i riktlinjerna efterlevs, ange om den verksamhet som får stöd enligt den anmälda åtgärden uppfyller kriterierna för miljömässigt hållbara ekonomiska </w:t>
      </w:r>
      <w:r>
        <w:lastRenderedPageBreak/>
        <w:t xml:space="preserve">verksamheter </w:t>
      </w:r>
      <w:r>
        <w:rPr>
          <w:shd w:val="clear" w:color="auto" w:fill="FFFFFF"/>
        </w:rPr>
        <w:t>enligt</w:t>
      </w:r>
      <w:r>
        <w:t xml:space="preserve"> artikel 3 i Europaparlamentets och rådets förordning (EU) 2020/852</w:t>
      </w:r>
      <w:r w:rsidRPr="008772CC">
        <w:rPr>
          <w:rStyle w:val="FootnoteReference"/>
          <w:lang w:eastAsia="en-GB"/>
        </w:rPr>
        <w:footnoteReference w:id="12"/>
      </w:r>
      <w:r>
        <w:t xml:space="preserve">, </w:t>
      </w:r>
      <w:r>
        <w:rPr>
          <w:shd w:val="clear" w:color="auto" w:fill="FFFFFF"/>
        </w:rPr>
        <w:t>inklusive principen om att inte orsaka betydande skada, eller enligt andra jämförbara metoder</w:t>
      </w:r>
      <w:r>
        <w:t>.</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(Vid konkurrensutsatta anbudsförfaranden) Ange om den eller de anmälda åtgärderna rymmer inslag som underlättar små och medelstora företags deltagande i konkurrensutsatta anbudsförfaranden. Om svaret är ja, lämna information om dessa inslag och motivera hur de positiva effekterna av att säkerställa små och medelstora företags deltagande i den eller de anmälda åtgärderna uppväger de möjliga snedvridande effekterna.</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Avsnitt C: Utvärdering</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För att lämna information i detta avsnitt, se kapitel 5 (punkterna 455–463) i riktlinjerna.</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Om den eller de anmälda åtgärderna överskrider budget-/utgiftströskelvärdena enligt punkt 456 i riktlinjerna, ange antingen varför du anser att undantaget i punkt 457 i riktlinjerna bör tillämpas eller bifoga en bilaga till detta anmälningsformulär som innehåller ett utkast till utvärderingsplan som täcker det tillämpningsområde som anges i punkt 458 i riktlinjerna.</w:t>
      </w:r>
      <w:r w:rsidR="002578DB" w:rsidRPr="00AC286A">
        <w:rPr>
          <w:rStyle w:val="FootnoteReference"/>
          <w:lang w:eastAsia="en-GB"/>
        </w:rPr>
        <w:footnoteReference w:id="13"/>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Om ett utkast till utvärderingsplan tillhandahålls, ska följande göras:</w:t>
      </w:r>
    </w:p>
    <w:p w14:paraId="637F0B69" w14:textId="77777777" w:rsidR="002578DB" w:rsidRPr="00AC286A" w:rsidRDefault="002578DB" w:rsidP="0000132C">
      <w:pPr>
        <w:pStyle w:val="ListParagraph"/>
        <w:numPr>
          <w:ilvl w:val="0"/>
          <w:numId w:val="43"/>
        </w:numPr>
        <w:spacing w:before="120" w:after="120"/>
        <w:jc w:val="both"/>
      </w:pPr>
      <w:r>
        <w:t>Lämna nedan en sammanfattning av det utkast till utvärderingsplan som finns i bilagan.</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Bekräfta att punkt 460 i riktlinjerna kommer att iakttas.</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Ange datum och internetlänk där utvärderingsplanen kommer att finnas tillgänglig för allmänheten.</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För att visa att punkt 459 b i riktlinjerna efterlevs och om stödordningen för närvarande inte är föremål för en efterhandsutvärdering och dess varaktighet överstiger tre år, bekräfta att du kommer att anmäla ett utkast till utvärderingsplan inom 30 arbetsdagar efter en betydande ändring som ökar stödordningens budget till mer än 150 miljoner euro under ett givet år eller 750 miljoner euro under stödordningens totala varaktighet. </w:t>
      </w:r>
    </w:p>
    <w:p w14:paraId="755E1927" w14:textId="77777777" w:rsidR="00C62AF1" w:rsidRPr="00AC286A" w:rsidRDefault="00C62AF1" w:rsidP="00C62AF1">
      <w:pPr>
        <w:tabs>
          <w:tab w:val="left" w:leader="dot" w:pos="9072"/>
        </w:tabs>
        <w:spacing w:before="120" w:after="120"/>
        <w:ind w:left="567"/>
        <w:jc w:val="both"/>
      </w:pPr>
      <w:r>
        <w:lastRenderedPageBreak/>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För att visa att punkt 459 c i riktlinjerna efterlevs och om stödordningen för närvarande inte är föremål för en efterhandsutvärdering, ange nedan ett åtagande om att medlemsstaten kommer att anmäla ett utkast till utvärderingsplan </w:t>
      </w:r>
      <w:r>
        <w:rPr>
          <w:shd w:val="clear" w:color="auto" w:fill="FFFFFF"/>
        </w:rPr>
        <w:t>inom 30 arbetsdagar efter att i de officiella räkenskaperna ha redovisat utgifter på över 150 miljoner euro under föregående år</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För att visa att punkt 461 i riktlinjerna efterlevs gäller följande:</w:t>
      </w:r>
    </w:p>
    <w:p w14:paraId="323279C4" w14:textId="26AA9A6C" w:rsidR="002578DB" w:rsidRPr="00AC286A" w:rsidRDefault="002578DB" w:rsidP="0000132C">
      <w:pPr>
        <w:pStyle w:val="ListParagraph"/>
        <w:numPr>
          <w:ilvl w:val="0"/>
          <w:numId w:val="28"/>
        </w:numPr>
        <w:spacing w:before="120" w:after="120"/>
        <w:contextualSpacing w:val="0"/>
        <w:jc w:val="both"/>
      </w:pPr>
      <w:r>
        <w:t>Klargör om den oberoende experten redan har valts eller kommer att väljas i framtiden.</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Lämna information om förfarandet för val av expert.</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Förklara hur experten är oberoende av den beviljande myndigheten.</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För att visa att punkt 461 i riktlinjerna efterlevs gäller följande: </w:t>
      </w:r>
    </w:p>
    <w:p w14:paraId="5B99AA31" w14:textId="36AF6516" w:rsidR="002578DB" w:rsidRPr="00AC286A" w:rsidRDefault="002578DB" w:rsidP="0000132C">
      <w:pPr>
        <w:pStyle w:val="ListParagraph"/>
        <w:numPr>
          <w:ilvl w:val="0"/>
          <w:numId w:val="44"/>
        </w:numPr>
        <w:spacing w:before="120" w:after="120"/>
        <w:jc w:val="both"/>
      </w:pPr>
      <w:r>
        <w:t xml:space="preserve">Ange de föreslagna tidsfristerna för inlämning av </w:t>
      </w:r>
      <w:proofErr w:type="spellStart"/>
      <w:r>
        <w:t>interimsutvärderingsrapporten</w:t>
      </w:r>
      <w:proofErr w:type="spellEnd"/>
      <w:r>
        <w:t xml:space="preserve">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Bekräfta att </w:t>
      </w:r>
      <w:proofErr w:type="spellStart"/>
      <w:r>
        <w:t>interimsutvärderingsrapporten</w:t>
      </w:r>
      <w:proofErr w:type="spellEnd"/>
      <w:r>
        <w:t xml:space="preserve"> och den slutliga utvärderingsrapporten kommer att offentliggöras. Ange datum och internetlänk där dessa rapporter kommer att finnas tillgängliga för allmänheten.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Avsnitt D: Rapportering och övervakning</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För att lämna information i detta avsnitt, se avsnitt 6 (punkterna 464–465) i riktlinjerna.</w:t>
      </w:r>
    </w:p>
    <w:p w14:paraId="3E33F579" w14:textId="35E63F92" w:rsidR="00C62AF1" w:rsidRDefault="070CBB00" w:rsidP="0000132C">
      <w:pPr>
        <w:pStyle w:val="ListParagraph"/>
        <w:numPr>
          <w:ilvl w:val="0"/>
          <w:numId w:val="4"/>
        </w:numPr>
        <w:spacing w:before="120" w:after="120"/>
        <w:ind w:left="567" w:hanging="567"/>
        <w:contextualSpacing w:val="0"/>
        <w:jc w:val="both"/>
      </w:pPr>
      <w:r>
        <w:t>Bekräfta att medlemsstaten kommer att efterleva de krav på rapportering och övervakning som anges i avsnitt 6, punkterna 464 och 465, i riktlinjerna.</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EUT C 80, 18.2.2022, s. 1.</w:t>
      </w:r>
    </w:p>
  </w:footnote>
  <w:footnote w:id="3">
    <w:p w14:paraId="162040A0" w14:textId="77777777" w:rsidR="00CA0EC2" w:rsidRPr="0067348B" w:rsidRDefault="00CA0EC2" w:rsidP="00CA0EC2">
      <w:pPr>
        <w:pStyle w:val="FootnoteText"/>
      </w:pPr>
      <w:r>
        <w:rPr>
          <w:rStyle w:val="FootnoteReference"/>
        </w:rPr>
        <w:footnoteRef/>
      </w:r>
      <w:r>
        <w:tab/>
        <w:t>Observera att varaktigheten för en stödordning är den period under vilken stöd kan sökas och beslutas om (och därför inkluderar den tid som krävs för att de nationella myndigheterna ska godkänna stödansökningarna). Med varaktighet i denna fråga avses inte löptiden för de avtal som ingås inom ramen för stödordningen och som kan fortsätta att löpa efter åtgärdens varaktighet.</w:t>
      </w:r>
    </w:p>
  </w:footnote>
  <w:footnote w:id="4">
    <w:p w14:paraId="0476288F" w14:textId="5910BFC5" w:rsidR="003037AB" w:rsidRPr="0067348B" w:rsidRDefault="003037AB" w:rsidP="003037AB">
      <w:pPr>
        <w:pStyle w:val="FootnoteText"/>
      </w:pPr>
      <w:r>
        <w:rPr>
          <w:rStyle w:val="FootnoteReference"/>
        </w:rPr>
        <w:footnoteRef/>
      </w:r>
      <w:r>
        <w:tab/>
        <w:t>Observera att en ändring av den faktiska eller beräknade budgeten kan utgöra en ändring av stöd, vilket kräver en ny anmälan.</w:t>
      </w:r>
    </w:p>
  </w:footnote>
  <w:footnote w:id="5">
    <w:p w14:paraId="01706528" w14:textId="42D8E4DE" w:rsidR="009926B4" w:rsidRPr="00CF158B" w:rsidRDefault="009926B4" w:rsidP="009926B4">
      <w:pPr>
        <w:pStyle w:val="FootnoteText"/>
      </w:pPr>
      <w:r>
        <w:rPr>
          <w:rStyle w:val="FootnoteReference"/>
        </w:rPr>
        <w:footnoteRef/>
      </w:r>
      <w:r>
        <w:tab/>
        <w:t>Observera att punkterna 38, 52, 165, 166 och 167 samt fotnoterna 39 och 45 i riktlinjerna ger ytterligare vägledning om hur det sannolika kontrafaktiska scenariot bör utvecklas.</w:t>
      </w:r>
    </w:p>
  </w:footnote>
  <w:footnote w:id="6">
    <w:p w14:paraId="439F37C9" w14:textId="60002BCF" w:rsidR="009B7B9E" w:rsidRPr="00C9125D" w:rsidRDefault="009B7B9E">
      <w:pPr>
        <w:pStyle w:val="FootnoteText"/>
      </w:pPr>
      <w:r>
        <w:rPr>
          <w:rStyle w:val="FootnoteReference"/>
        </w:rPr>
        <w:footnoteRef/>
      </w:r>
      <w:r>
        <w:tab/>
        <w:t xml:space="preserve">”Referensprojekt” definieras i punkt 19.63 i riktlinjerna. </w:t>
      </w:r>
    </w:p>
  </w:footnote>
  <w:footnote w:id="7">
    <w:p w14:paraId="4FE55020" w14:textId="77777777" w:rsidR="009926B4" w:rsidRDefault="009926B4" w:rsidP="009926B4">
      <w:pPr>
        <w:pStyle w:val="FootnoteText"/>
      </w:pPr>
      <w:r>
        <w:rPr>
          <w:rStyle w:val="FootnoteReference"/>
        </w:rPr>
        <w:footnoteRef/>
      </w:r>
      <w:r>
        <w:tab/>
        <w:t>Vid användning av ett nyligen genomfört konkurrensutsatt förfarande, förklara hur detta anbudsförfarande kan anses vara konkurrensutsatt, inklusive hur oväntade intäkter undveks för olika tekniker som ingick i det konkurrensutsatta anbudsförfarandet i tillämpliga fall, och hur det är jämförbart, till exempel:</w:t>
      </w:r>
    </w:p>
    <w:p w14:paraId="2B3FB5FE" w14:textId="77777777" w:rsidR="009926B4" w:rsidRDefault="009926B4" w:rsidP="0000132C">
      <w:pPr>
        <w:pStyle w:val="FootnoteText"/>
        <w:numPr>
          <w:ilvl w:val="0"/>
          <w:numId w:val="27"/>
        </w:numPr>
      </w:pPr>
      <w:r>
        <w:t>Liknade villkoren (</w:t>
      </w:r>
      <w:proofErr w:type="gramStart"/>
      <w:r>
        <w:t>t.ex.</w:t>
      </w:r>
      <w:proofErr w:type="gramEnd"/>
      <w:r>
        <w:t xml:space="preserve"> avtalsvillkor och varaktighet, investeringsfrister, huruvida stödutbetalningarna indexerades mot inflationen eller inte) de villkor som föreslås i den anmälda åtgärden?</w:t>
      </w:r>
    </w:p>
    <w:p w14:paraId="46359276" w14:textId="77777777" w:rsidR="009926B4" w:rsidRDefault="009926B4" w:rsidP="0000132C">
      <w:pPr>
        <w:pStyle w:val="FootnoteText"/>
        <w:numPr>
          <w:ilvl w:val="0"/>
          <w:numId w:val="27"/>
        </w:numPr>
      </w:pPr>
      <w:r>
        <w:t>Genomfördes det konkurrensutsatta förfarandet under liknande makroekonomiska förhållanden?</w:t>
      </w:r>
    </w:p>
    <w:p w14:paraId="104093C2" w14:textId="087CE78F" w:rsidR="009926B4" w:rsidRDefault="009926B4" w:rsidP="0000132C">
      <w:pPr>
        <w:pStyle w:val="FootnoteText"/>
        <w:numPr>
          <w:ilvl w:val="0"/>
          <w:numId w:val="27"/>
        </w:numPr>
      </w:pPr>
      <w:r>
        <w:t>Var teknikerna/projekttyperna likartade?</w:t>
      </w:r>
    </w:p>
  </w:footnote>
  <w:footnote w:id="8">
    <w:p w14:paraId="676CCD61" w14:textId="77777777" w:rsidR="009560B9" w:rsidRDefault="009560B9" w:rsidP="00C62AF1">
      <w:pPr>
        <w:pStyle w:val="FootnoteText"/>
      </w:pPr>
      <w:r>
        <w:rPr>
          <w:rStyle w:val="FootnoteReference"/>
        </w:rPr>
        <w:footnoteRef/>
      </w:r>
      <w:r>
        <w:tab/>
        <w:t>Enligt punkt 19.89 i riktlinjerna avses med ”unionsnorm” följande:</w:t>
      </w:r>
    </w:p>
    <w:p w14:paraId="540FE298" w14:textId="77777777" w:rsidR="009560B9" w:rsidRPr="004C4C28" w:rsidRDefault="009560B9" w:rsidP="0000132C">
      <w:pPr>
        <w:pStyle w:val="FootnoteText"/>
        <w:numPr>
          <w:ilvl w:val="0"/>
          <w:numId w:val="23"/>
        </w:numPr>
        <w:rPr>
          <w:iCs/>
        </w:rPr>
      </w:pPr>
      <w:r w:rsidRPr="004C4C28">
        <w:rPr>
          <w:iCs/>
        </w:rPr>
        <w:t>Obligatorisk unionsnorm som anger vilka nivåer som enskilda företag ska uppnå i miljöavseende, med undantag för normer eller mål som fastställs på unionsnivå och som är bindande för medlemsstaterna men inte för enskilda företag.</w:t>
      </w:r>
    </w:p>
    <w:p w14:paraId="0074D1B1" w14:textId="6CDC8890" w:rsidR="009560B9" w:rsidRDefault="009560B9" w:rsidP="0000132C">
      <w:pPr>
        <w:pStyle w:val="FootnoteText"/>
        <w:numPr>
          <w:ilvl w:val="0"/>
          <w:numId w:val="23"/>
        </w:numPr>
      </w:pPr>
      <w:r w:rsidRPr="004C4C28">
        <w:rPr>
          <w:iCs/>
        </w:rPr>
        <w:t xml:space="preserve">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w:t>
      </w:r>
      <w:proofErr w:type="spellStart"/>
      <w:r w:rsidRPr="004C4C28">
        <w:rPr>
          <w:iCs/>
        </w:rPr>
        <w:t>genomförandeakter</w:t>
      </w:r>
      <w:proofErr w:type="spellEnd"/>
      <w:r w:rsidRPr="004C4C28">
        <w:rPr>
          <w:iCs/>
        </w:rPr>
        <w:t xml:space="preserve"> som antagits enligt direktiv 2010/75/EU, eller enligt andra tillämpliga direktiv, ska dessa nivåer gälla vid tillämpningen av dessa riktlinjer; om nivåerna uttrycks i form av ett intervall ska den gräns för vilken den bästa tillgängliga tekniken först uppnås för det berörda företaget vara tillämplig.</w:t>
      </w:r>
    </w:p>
  </w:footnote>
  <w:footnote w:id="9">
    <w:p w14:paraId="0D510CDC" w14:textId="77777777" w:rsidR="00F4008F" w:rsidRPr="0095488F" w:rsidRDefault="00F4008F" w:rsidP="00F4008F">
      <w:pPr>
        <w:pStyle w:val="FootnoteText"/>
      </w:pPr>
      <w:r>
        <w:rPr>
          <w:rStyle w:val="FootnoteReference"/>
        </w:rPr>
        <w:footnoteRef/>
      </w:r>
      <w:r>
        <w:tab/>
        <w:t>Se även ytterligare information i punkterna 51–53 och 165–167 samt fotnoterna 45 och 46 i riktlinjerna.</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ab/>
        <w:t>Centralt förvaltad unionsfinansiering är unionsfinansiering som förvaltas centralt av Europeiska unionens institutioner, byråer, gemensamma företag eller andra organ och som inte direkt eller indirekt står under medlemsstatens kontroll.</w:t>
      </w:r>
    </w:p>
  </w:footnote>
  <w:footnote w:id="12">
    <w:p w14:paraId="0336C302" w14:textId="77777777" w:rsidR="00796DA4" w:rsidRPr="008772CC" w:rsidRDefault="00796DA4" w:rsidP="00796DA4">
      <w:pPr>
        <w:pStyle w:val="FootnoteText"/>
      </w:pPr>
      <w:r>
        <w:rPr>
          <w:rStyle w:val="FootnoteReference"/>
        </w:rPr>
        <w:footnoteRef/>
      </w:r>
      <w:r>
        <w:tab/>
        <w:t>Europaparlamentets och rådets förordning (EU) 2020/852 av den 18 juni 2020 om inrättande av en ram för att underlätta hållbara investeringar och om ändring av förordning (EU) 2019/2088 (EUT L 198, 22.6.2020, s. 13).</w:t>
      </w:r>
    </w:p>
  </w:footnote>
  <w:footnote w:id="13">
    <w:p w14:paraId="7517D6A8" w14:textId="77777777" w:rsidR="002578DB" w:rsidRDefault="002578DB" w:rsidP="002578DB">
      <w:pPr>
        <w:pStyle w:val="FootnoteText"/>
      </w:pPr>
      <w:r>
        <w:rPr>
          <w:rStyle w:val="FootnoteReference"/>
        </w:rPr>
        <w:footnoteRef/>
      </w:r>
      <w:r>
        <w:tab/>
        <w:t xml:space="preserve">Mallen till formuläret för kompletterande information för anmälan av en utvärderingsplan (del III.8) finns här: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C4C28"/>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5325</Words>
  <Characters>32432</Characters>
  <DocSecurity>0</DocSecurity>
  <Lines>675</Lines>
  <Paragraphs>215</Paragraphs>
  <ScaleCrop>false</ScaleCrop>
  <LinksUpToDate>false</LinksUpToDate>
  <CharactersWithSpaces>37542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