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DF201" w14:textId="77777777" w:rsidR="00E7525D" w:rsidRDefault="00E7525D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4"/>
      </w:tblGrid>
      <w:tr w:rsidR="000442F5" w:rsidRPr="00AC286A" w14:paraId="33CD94F2" w14:textId="77777777" w:rsidTr="001C3148">
        <w:trPr>
          <w:trHeight w:val="1134"/>
        </w:trPr>
        <w:tc>
          <w:tcPr>
            <w:tcW w:w="9214" w:type="dxa"/>
            <w:shd w:val="clear" w:color="auto" w:fill="D9D9D9" w:themeFill="background1" w:themeFillShade="D9"/>
          </w:tcPr>
          <w:p w14:paraId="5992D405" w14:textId="51052058" w:rsidR="00AD05F5" w:rsidRPr="00AC286A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Parti III.6 —</w:t>
            </w:r>
            <w:r>
              <w:rPr>
                <w:sz w:val="32"/>
              </w:rPr>
              <w:t xml:space="preserve"> </w:t>
            </w:r>
          </w:p>
          <w:p w14:paraId="3B04212E" w14:textId="4CB6C070" w:rsidR="000442F5" w:rsidRPr="00AC286A" w:rsidRDefault="52B947EB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 xml:space="preserve">Aġġornat* Formola ta’ informazzjoni supplimentari għall-għajnuna mill-Istat mogħtija taħt il-Linji Gwida dwar l-għajnuna mill-Istat għall-klima, għall-ħarsien tal-ambjent u għall-enerġija 2022 (CEEAG)</w:t>
            </w:r>
            <w:r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2917BBF5" w14:textId="77777777" w:rsidR="002B52B3" w:rsidRDefault="00126157" w:rsidP="00341A0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 xml:space="preserve">Kapitolu 4.3.1 - L-għajnuna tista’ tingħata għall-akkwist jew il-kiri ta’ vetturi nodfa u ta’ tagħmir nadif għas-servizzi mobbli u għall-modifika retroattiva ta’ vetturi u ta’ tagħmir għas-servizzi mobbli</w:t>
            </w:r>
          </w:p>
          <w:p w14:paraId="774A46C9" w14:textId="77777777" w:rsidR="00412002" w:rsidRDefault="00412002" w:rsidP="00D30BFF">
            <w:pPr>
              <w:rPr>
                <w:sz w:val="32"/>
                <w:szCs w:val="32"/>
              </w:rPr>
            </w:pPr>
          </w:p>
          <w:p w14:paraId="61FFF7AD" w14:textId="2E71C309" w:rsidR="00FD562C" w:rsidRPr="00AC286A" w:rsidRDefault="00412002" w:rsidP="00412002">
            <w:r>
              <w:t xml:space="preserve">* għadu ma ġiex adottat formalment</w:t>
            </w:r>
          </w:p>
        </w:tc>
      </w:tr>
    </w:tbl>
    <w:p w14:paraId="70D7CD5F" w14:textId="3293E4E6" w:rsidR="000442F5" w:rsidRPr="00AC286A" w:rsidRDefault="000442F5" w:rsidP="000442F5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Din il-formola ta’ informazzjoni supplimentari trid jintuża għan-notifika ta’ kwalunkwe għajnuna koperta mil-Linji Gwida dwar l-għajnuna mill-Istat għall-klima, għall-ħarsien tal-ambjent u għall-enerġija 2022 (minn hawn ’il quddiem imsejħin is-“CEEAG”).</w:t>
      </w:r>
    </w:p>
    <w:p w14:paraId="21EE9DF7" w14:textId="23106001" w:rsidR="009E2EA1" w:rsidRPr="00AC286A" w:rsidRDefault="0072538B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Din il-formola ta’ informazzjoni supplimentari tirrigwarda miżuri koperti fil-Kapitolu 4.3.1 tas-CEEAG.</w:t>
      </w:r>
      <w:r>
        <w:rPr>
          <w:i/>
        </w:rPr>
        <w:t xml:space="preserve"> </w:t>
      </w:r>
      <w:r>
        <w:rPr>
          <w:i/>
        </w:rPr>
        <w:t xml:space="preserve">Jekk in-notifika tinkludi miżuri li huma koperti minn aktar minn kapitolu wieħed tas-CEEAG, ladarba tkun disponibbli, imla wkoll il-formola ta’ informazzjoni supplimentari rispettiva li tikkonċerna l-kapitolu rispettiv tas-CEEAG.</w:t>
      </w:r>
      <w:r>
        <w:rPr>
          <w:i/>
        </w:rPr>
        <w:t xml:space="preserve"> </w:t>
      </w:r>
    </w:p>
    <w:p w14:paraId="5A2EC84C" w14:textId="37CB7BF5" w:rsidR="009E2EA1" w:rsidRPr="00AC286A" w:rsidRDefault="009E2EA1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Id-dokumenti kollha pprovduti mill-Istati Membri bħala annessi għal din il-formola ta’ informazzjoni supplimentari jridu jiġu nnumerati u n-numri tad-dokument iridu jiġu indikati fit-taqsimiet rilevanti ta’ din il-formola ta’ informazzjoni supplimentari.</w:t>
      </w:r>
    </w:p>
    <w:p w14:paraId="4FC6F4F5" w14:textId="77777777" w:rsidR="00193E48" w:rsidRPr="00AC286A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5A412F" w:rsidRPr="00AC286A" w14:paraId="6B213A88" w14:textId="77777777" w:rsidTr="00697188">
        <w:tc>
          <w:tcPr>
            <w:tcW w:w="9286" w:type="dxa"/>
            <w:shd w:val="pct15" w:color="auto" w:fill="auto"/>
          </w:tcPr>
          <w:p w14:paraId="1EB043AE" w14:textId="77777777" w:rsidR="000442F5" w:rsidRPr="00AC286A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32"/>
              </w:rPr>
              <w:t xml:space="preserve">Taqsima A:</w:t>
            </w:r>
            <w:r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Sommarju tal-karatteristiki ewlenin tal-miżura/i notifikata/i</w:t>
            </w:r>
          </w:p>
        </w:tc>
      </w:tr>
    </w:tbl>
    <w:p w14:paraId="74CF68D1" w14:textId="77777777" w:rsidR="00564D5B" w:rsidRPr="00AC286A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4B39C260" w14:textId="7E63F6A7" w:rsidR="00A16B2C" w:rsidRPr="00AC286A" w:rsidRDefault="007302C9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 xml:space="preserve">Sfond u objettiv(i) tal-miżura/i notifikata/i.</w:t>
      </w:r>
    </w:p>
    <w:p w14:paraId="5BFA68C4" w14:textId="7CB889B5" w:rsidR="00A16B2C" w:rsidRPr="00AC286A" w:rsidRDefault="00A16B2C" w:rsidP="0000132C">
      <w:pPr>
        <w:pStyle w:val="ListParagraph"/>
        <w:numPr>
          <w:ilvl w:val="0"/>
          <w:numId w:val="25"/>
        </w:numPr>
        <w:spacing w:after="120"/>
        <w:jc w:val="both"/>
      </w:pPr>
      <w:r>
        <w:t xml:space="preserve">Jekk mhux diġà diskuss taħt it-Taqsima 5.2 tal-Formola ta’ Informazzjoni Ġenerali (il-Parti I), jekk jogħġbok ipprovdi l-isfond u l-objettiv prinċipali, inkluża kwalunkwe mira tal-Unjoni għat-tnaqqis tal-emissjonijiet tat-trasport li l-miżura hija maħsuba li tappoġġa.</w:t>
      </w:r>
      <w:r>
        <w:t xml:space="preserve"> </w:t>
      </w:r>
    </w:p>
    <w:p w14:paraId="7ADBCE0C" w14:textId="297D6FB7" w:rsidR="007302C9" w:rsidRPr="00DC75A6" w:rsidRDefault="007302C9" w:rsidP="00B16D28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3CD0D15C" w14:textId="230296C3" w:rsidR="00A16B2C" w:rsidRPr="00AC286A" w:rsidRDefault="00A16B2C" w:rsidP="0000132C">
      <w:pPr>
        <w:pStyle w:val="ListParagraph"/>
        <w:numPr>
          <w:ilvl w:val="0"/>
          <w:numId w:val="25"/>
        </w:numPr>
        <w:spacing w:after="120"/>
        <w:jc w:val="both"/>
      </w:pPr>
      <w:r>
        <w:t xml:space="preserve">Jekk jogħġbok indika kwalunkwe objettiv ieħor segwit mill-miżura.</w:t>
      </w:r>
      <w:r>
        <w:t xml:space="preserve"> </w:t>
      </w:r>
      <w:r>
        <w:t xml:space="preserve">Għal kwalunkwe objettiv li mhuwiex purament ambjentali, jekk jogħġbok spjega jekk dan jistax jirriżulta f’xi distorsjoni tal-kompetizzjoni fis-suq intern.</w:t>
      </w:r>
      <w:r>
        <w:t xml:space="preserve"> </w:t>
      </w:r>
    </w:p>
    <w:p w14:paraId="4C3382B1" w14:textId="1A17AE71" w:rsidR="00A16B2C" w:rsidRPr="00AC286A" w:rsidRDefault="00A16B2C" w:rsidP="00B16D28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  <w:r>
        <w:tab/>
      </w:r>
    </w:p>
    <w:p w14:paraId="5D7C8A35" w14:textId="57360D11" w:rsidR="005A412F" w:rsidRPr="00AC286A" w:rsidRDefault="0086184C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b/>
        </w:rPr>
        <w:t xml:space="preserve">Dħul fis-seħħ</w:t>
      </w:r>
      <w:r>
        <w:t xml:space="preserve"> </w:t>
      </w:r>
      <w:r>
        <w:rPr>
          <w:b/>
        </w:rPr>
        <w:t xml:space="preserve">u durata</w:t>
      </w:r>
      <w:r>
        <w:t xml:space="preserve">:</w:t>
      </w:r>
    </w:p>
    <w:p w14:paraId="0635286B" w14:textId="137F0160" w:rsidR="00CA0EC2" w:rsidRPr="00AC286A" w:rsidRDefault="00CA0EC2" w:rsidP="0000132C">
      <w:pPr>
        <w:pStyle w:val="ListParagraph"/>
        <w:numPr>
          <w:ilvl w:val="0"/>
          <w:numId w:val="31"/>
        </w:numPr>
        <w:spacing w:after="120"/>
        <w:jc w:val="both"/>
        <w:rPr>
          <w:szCs w:val="24"/>
        </w:rPr>
      </w:pPr>
      <w:r>
        <w:t xml:space="preserve">Sal-punt li ma tkunx diġà ġiet ipprovduta fit-Taqsima 5.5 tal-Formola ta’ Informazzjoni Ġenerali (il-Parti I), jekk jogħġbok indika d-data minn meta l-iskema ta’ għajnuna hija ppjanata li tidħol fis-seħħ;</w:t>
      </w:r>
    </w:p>
    <w:p w14:paraId="5AC5D136" w14:textId="77777777" w:rsidR="00C90797" w:rsidRPr="00AC286A" w:rsidRDefault="00564D5B" w:rsidP="00B16D28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4930DD53" w14:textId="52DCB512" w:rsidR="00CA0EC2" w:rsidRPr="00AC286A" w:rsidRDefault="00CA0EC2" w:rsidP="0000132C">
      <w:pPr>
        <w:pStyle w:val="ListParagraph"/>
        <w:numPr>
          <w:ilvl w:val="0"/>
          <w:numId w:val="31"/>
        </w:numPr>
        <w:spacing w:after="120"/>
        <w:jc w:val="both"/>
        <w:rPr>
          <w:szCs w:val="24"/>
        </w:rPr>
      </w:pPr>
      <w:r>
        <w:t xml:space="preserve">Jekk jogħġbok indika t-tul ta’ żmien tal-iskema.</w:t>
      </w:r>
      <w:r>
        <w:rPr>
          <w:szCs w:val="24"/>
          <w:vertAlign w:val="superscript"/>
        </w:rPr>
        <w:footnoteReference w:id="3"/>
      </w:r>
    </w:p>
    <w:p w14:paraId="4EE42BBE" w14:textId="1F7F5661" w:rsidR="000442F5" w:rsidRPr="00AC286A" w:rsidRDefault="000442F5" w:rsidP="00B16D28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226EF277" w14:textId="77777777" w:rsidR="000442F5" w:rsidRPr="00AC286A" w:rsidRDefault="004D14A6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  <w:bCs/>
          <w:rFonts w:cs="Arial Unicode MS"/>
        </w:rPr>
      </w:pPr>
      <w:r>
        <w:rPr>
          <w:b/>
        </w:rPr>
        <w:t xml:space="preserve">Riċevitur(i)</w:t>
      </w:r>
      <w:r>
        <w:tab/>
      </w:r>
    </w:p>
    <w:p w14:paraId="15587BED" w14:textId="19EBDAD1" w:rsidR="00BC5DDD" w:rsidRPr="00AC286A" w:rsidRDefault="002F1ECC" w:rsidP="0000132C">
      <w:pPr>
        <w:pStyle w:val="ListParagraph"/>
        <w:numPr>
          <w:ilvl w:val="0"/>
          <w:numId w:val="32"/>
        </w:numPr>
        <w:spacing w:after="120"/>
        <w:jc w:val="both"/>
        <w:rPr>
          <w:szCs w:val="24"/>
        </w:rPr>
      </w:pPr>
      <w:r>
        <w:t xml:space="preserve">Jekk mhux diġà pprovdut fit-Taqsima 3 tal-Formola ta’ Informazzjoni Ġenerali (il-Parti I), jekk jogħġbok iddeskrivi l-benefiċjarju/i (potenzjali) tal-miżura/i;</w:t>
      </w:r>
    </w:p>
    <w:p w14:paraId="7E96EB84" w14:textId="77777777" w:rsidR="00C90797" w:rsidRPr="00AC286A" w:rsidRDefault="00564D5B" w:rsidP="00092882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7C1841ED" w14:textId="02E828AC" w:rsidR="00F33CC0" w:rsidRPr="00AC286A" w:rsidRDefault="00DB40A5" w:rsidP="0000132C">
      <w:pPr>
        <w:pStyle w:val="ListParagraph"/>
        <w:numPr>
          <w:ilvl w:val="0"/>
          <w:numId w:val="32"/>
        </w:numPr>
        <w:spacing w:after="120"/>
        <w:jc w:val="both"/>
        <w:rPr>
          <w:szCs w:val="24"/>
        </w:rPr>
      </w:pPr>
      <w:r>
        <w:t xml:space="preserve">Jekk jogħġbok indika l-post tal-benefiċjarju/i (potenzjali) (jiġifieri jekk l-entitajiet ekonomiċi biss li jinsabu fl-Istat Membru rispettiv jew ukoll fi Stati Membri oħra jkunu eliġibbli biex jipparteċipaw fil-miżura).</w:t>
      </w:r>
    </w:p>
    <w:p w14:paraId="49A61802" w14:textId="77777777" w:rsidR="000442F5" w:rsidRPr="00AC286A" w:rsidRDefault="000442F5" w:rsidP="00092882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74369AD9" w14:textId="77777777" w:rsidR="00E4424D" w:rsidRPr="00AC286A" w:rsidRDefault="003C33B1" w:rsidP="0000132C">
      <w:pPr>
        <w:pStyle w:val="ListParagraph"/>
        <w:numPr>
          <w:ilvl w:val="0"/>
          <w:numId w:val="32"/>
        </w:numPr>
        <w:spacing w:after="120"/>
        <w:jc w:val="both"/>
        <w:rPr>
          <w:szCs w:val="24"/>
        </w:rPr>
      </w:pPr>
      <w:r>
        <w:t xml:space="preserve">Sabiex tivvaluta l-konformità mal-punt 15 tas-CEEAG, jekk jogħġbok speċifika jekk l-għajnuna tingħatax taħt il-miżura/i favur impriża (individwali jew parti minn skema) li hija soġġetta għal ordni ta’ rkupru pendenti wara deċiżjoni preċedenti tal-Kummissjoni li tiddikjara għajnuna illegali u inkompatibbli mas-suq intern.</w:t>
      </w:r>
      <w:r>
        <w:t xml:space="preserve"> </w:t>
      </w:r>
    </w:p>
    <w:p w14:paraId="6DDF7802" w14:textId="77777777" w:rsidR="00E4424D" w:rsidRPr="00AC286A" w:rsidRDefault="00E4424D" w:rsidP="00E4424D">
      <w:pPr>
        <w:pStyle w:val="ListParagraph"/>
        <w:rPr>
          <w:szCs w:val="24"/>
        </w:rPr>
      </w:pPr>
    </w:p>
    <w:p w14:paraId="310BC443" w14:textId="5739CB04" w:rsidR="003C33B1" w:rsidRPr="00AC286A" w:rsidRDefault="00181BB0" w:rsidP="00E1762F">
      <w:pPr>
        <w:pStyle w:val="ListParagraph"/>
        <w:ind w:left="1077"/>
        <w:jc w:val="both"/>
        <w:rPr>
          <w:szCs w:val="24"/>
        </w:rPr>
      </w:pPr>
      <w:r>
        <w:t xml:space="preserve">Fl-affermattiv, jekk jogħġbok ipprovdi informazzjoni dwar l-ammont ta’ għajnuna li għad irid jiġi rkuprat sabiex il-Kummissjoni tieħu kont tiegħu fil-valutazzjoni tal-miżura/i ta’ għajnuna.</w:t>
      </w:r>
      <w:r>
        <w:t xml:space="preserve"> </w:t>
      </w:r>
    </w:p>
    <w:p w14:paraId="2B750898" w14:textId="77777777" w:rsidR="003C33B1" w:rsidRPr="00AC286A" w:rsidRDefault="003C33B1" w:rsidP="00B16D28">
      <w:pPr>
        <w:tabs>
          <w:tab w:val="left" w:leader="dot" w:pos="9072"/>
        </w:tabs>
        <w:spacing w:before="120" w:after="120"/>
        <w:ind w:left="1077"/>
        <w:jc w:val="both"/>
      </w:pPr>
      <w:r>
        <w:tab/>
      </w:r>
    </w:p>
    <w:p w14:paraId="43D78948" w14:textId="64189C8F" w:rsidR="002E10AC" w:rsidRPr="00AC286A" w:rsidRDefault="009D66A7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ikkonferma li l-miżura/i ma tinvolvix/jinvolvux għajnuna għal attivitajiet li jaqgħu barra mill-kamp ta’ applikazzjoni tas-CEEAG (ara l-punt 13 tas-CEEAG).</w:t>
      </w:r>
      <w:r>
        <w:t xml:space="preserve"> </w:t>
      </w:r>
      <w:r>
        <w:t xml:space="preserve">Inkella, jekk jogħġbok ipprovdi d-dettalji.</w:t>
      </w:r>
    </w:p>
    <w:p w14:paraId="3EBA75BC" w14:textId="77777777" w:rsidR="00577AF5" w:rsidRPr="00AC286A" w:rsidRDefault="009368F1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0B2C30D" w14:textId="77777777" w:rsidR="00C11603" w:rsidRPr="00AC286A" w:rsidRDefault="00C11603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Cs/>
          <w:rFonts w:cs="Arial Unicode MS"/>
        </w:rPr>
      </w:pPr>
      <w:r>
        <w:rPr>
          <w:b/>
          <w:bCs/>
        </w:rPr>
        <w:t xml:space="preserve">B</w:t>
      </w:r>
      <w:r>
        <w:rPr>
          <w:b/>
          <w:b/>
          <w:bCs/>
        </w:rPr>
        <w:t xml:space="preserve">a</w:t>
      </w:r>
      <w:r>
        <w:rPr>
          <w:b/>
        </w:rPr>
        <w:t xml:space="preserve">ġit u finanzjament tal-miżura/i.</w:t>
      </w:r>
    </w:p>
    <w:p w14:paraId="44F1A49C" w14:textId="7E324D11" w:rsidR="00115C85" w:rsidRPr="00AC286A" w:rsidRDefault="00AE07BB" w:rsidP="0000132C">
      <w:pPr>
        <w:pStyle w:val="ListParagraph"/>
        <w:numPr>
          <w:ilvl w:val="0"/>
          <w:numId w:val="33"/>
        </w:numPr>
        <w:spacing w:after="120"/>
        <w:jc w:val="both"/>
        <w:rPr>
          <w:bCs/>
          <w:rFonts w:cs="Arial Unicode MS"/>
        </w:rPr>
      </w:pPr>
      <w:r>
        <w:t xml:space="preserve">Jekk mhux diġà msemmi fit-tabella taħt it-Taqsima 7.1 tal-Formola ta’ Informazzjoni Ġenerali (il-Parti I), jekk jogħġbok ipprovdi l-baġit annwali u/jew totali għat-tul ta’ żmien kollu tal-miżura/i;</w:t>
      </w:r>
      <w:r>
        <w:t xml:space="preserve"> </w:t>
      </w:r>
      <w:r>
        <w:t xml:space="preserve">jekk il-baġit totali mhuwiex magħruf (pereżempju minħabba li jiddependi mir-riżultati tal-offerti), jekk jogħġbok indika baġit stmat, inklużi s-suppożizzjonijiet użati għall-kalkolu tal-baġit stmat rispettiv.</w:t>
      </w:r>
      <w:r>
        <w:rPr>
          <w:rFonts w:cs="Arial Unicode MS"/>
          <w:bCs/>
          <w:vertAlign w:val="superscript"/>
          <w:lang w:bidi="si-LK"/>
        </w:rPr>
        <w:footnoteReference w:id="4"/>
      </w:r>
    </w:p>
    <w:p w14:paraId="0544DB2D" w14:textId="77777777" w:rsidR="00D25FB9" w:rsidRPr="00AC286A" w:rsidRDefault="00D25FB9" w:rsidP="00AD5842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4CF16DBE" w14:textId="20DDF2F6" w:rsidR="00AD5842" w:rsidRDefault="005C2ABA" w:rsidP="00AD5842">
      <w:pPr>
        <w:pStyle w:val="ListParagraph"/>
        <w:numPr>
          <w:ilvl w:val="0"/>
          <w:numId w:val="33"/>
        </w:numPr>
        <w:spacing w:after="120"/>
        <w:jc w:val="both"/>
        <w:rPr>
          <w:bCs/>
          <w:rFonts w:cs="Arial Unicode MS"/>
        </w:rPr>
      </w:pPr>
      <w:bookmarkStart w:id="2" w:name="_Ref155782335"/>
      <w:r>
        <w:t xml:space="preserve">jekk il-miżura hija ffinanzjata permezz ta’ imposta, jekk jogħġbok ikkjarifika jekk:</w:t>
      </w:r>
      <w:bookmarkEnd w:id="2"/>
      <w:r>
        <w:t xml:space="preserve"> </w:t>
      </w:r>
    </w:p>
    <w:p w14:paraId="0F61A34F" w14:textId="77777777" w:rsidR="00ED1AE8" w:rsidRPr="00ED1AE8" w:rsidRDefault="00ED1AE8" w:rsidP="00ED1AE8">
      <w:pPr>
        <w:spacing w:after="120"/>
        <w:jc w:val="both"/>
        <w:rPr>
          <w:rFonts w:cs="Arial Unicode MS"/>
          <w:bCs/>
          <w:lang w:bidi="si-LK"/>
        </w:rPr>
      </w:pPr>
    </w:p>
    <w:p w14:paraId="4E28B328" w14:textId="050D96AB" w:rsidR="004D34AD" w:rsidRPr="00AC286A" w:rsidRDefault="00AD0976" w:rsidP="0000132C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  <w:rPr>
          <w:bCs/>
          <w:rFonts w:cs="Arial Unicode MS"/>
        </w:rPr>
      </w:pPr>
      <w:r>
        <w:t xml:space="preserve">l-imposta hijiex stabbilita bil-liġi jew bi kwalunkwe att leġiżlattiv ieħor;</w:t>
      </w:r>
      <w:r>
        <w:t xml:space="preserve"> </w:t>
      </w:r>
      <w:r>
        <w:t xml:space="preserve">fl-affermattiv, ipprovdi l-att legali, in-numru u d-data meta jiġi adottat u daħal fis-seħħ, il-link tal-internet għall-att legali;</w:t>
      </w:r>
    </w:p>
    <w:p w14:paraId="7559C1DC" w14:textId="2DF352B8" w:rsidR="007210BF" w:rsidRPr="00AC286A" w:rsidRDefault="007210BF" w:rsidP="00B16D28">
      <w:pPr>
        <w:tabs>
          <w:tab w:val="left" w:leader="dot" w:pos="9072"/>
        </w:tabs>
        <w:spacing w:before="120" w:after="120"/>
        <w:ind w:left="1429"/>
        <w:jc w:val="both"/>
        <w:rPr>
          <w:bCs/>
          <w:rFonts w:cs="Arial Unicode MS"/>
        </w:rPr>
      </w:pPr>
      <w:r>
        <w:tab/>
      </w:r>
    </w:p>
    <w:p w14:paraId="262CEEFF" w14:textId="6B16D327" w:rsidR="007210BF" w:rsidRPr="00AC286A" w:rsidRDefault="0054EFD9" w:rsidP="0000132C">
      <w:pPr>
        <w:pStyle w:val="ListParagraph"/>
        <w:numPr>
          <w:ilvl w:val="0"/>
          <w:numId w:val="26"/>
        </w:numPr>
        <w:spacing w:before="120" w:after="120" w:line="259" w:lineRule="auto"/>
        <w:jc w:val="both"/>
        <w:rPr>
          <w:rFonts w:cs="Arial Unicode MS"/>
        </w:rPr>
      </w:pPr>
      <w:r>
        <w:t xml:space="preserve">l-imposta hijiex imposta b’mod indaqs fuq il-prodotti domestiċi u dawk importati;</w:t>
      </w:r>
    </w:p>
    <w:p w14:paraId="24D969DB" w14:textId="77777777" w:rsidR="007210BF" w:rsidRPr="007210BF" w:rsidRDefault="007210BF" w:rsidP="00B16D28">
      <w:pPr>
        <w:tabs>
          <w:tab w:val="left" w:leader="dot" w:pos="9072"/>
        </w:tabs>
        <w:spacing w:before="120" w:after="120"/>
        <w:ind w:left="1429"/>
        <w:jc w:val="both"/>
      </w:pPr>
      <w:r>
        <w:tab/>
      </w:r>
    </w:p>
    <w:p w14:paraId="43BEB965" w14:textId="13B4F335" w:rsidR="007210BF" w:rsidRPr="007210BF" w:rsidRDefault="007210BF" w:rsidP="0000132C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  <w:rPr>
          <w:bCs/>
        </w:rPr>
      </w:pPr>
      <w:r>
        <w:t xml:space="preserve">il-miżura notifikata hijiex se tkun ta’ benefiċċju b’mod indaqs għall-produtti domestiċi u dawk importati;</w:t>
      </w:r>
    </w:p>
    <w:p w14:paraId="06DB326F" w14:textId="77777777" w:rsidR="007210BF" w:rsidRPr="007210BF" w:rsidRDefault="007210BF" w:rsidP="00B16D28">
      <w:pPr>
        <w:tabs>
          <w:tab w:val="left" w:leader="dot" w:pos="9072"/>
        </w:tabs>
        <w:spacing w:before="120" w:after="120"/>
        <w:ind w:left="1429"/>
        <w:jc w:val="both"/>
      </w:pPr>
      <w:r>
        <w:tab/>
      </w:r>
    </w:p>
    <w:p w14:paraId="222A7E87" w14:textId="77777777" w:rsidR="007210BF" w:rsidRPr="007210BF" w:rsidRDefault="007210BF" w:rsidP="0000132C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  <w:rPr>
          <w:bCs/>
        </w:rPr>
      </w:pPr>
      <w:r>
        <w:t xml:space="preserve">l-imposta tiffinanzjax bis-sħiħ il-miżura jew parzjalment biss.</w:t>
      </w:r>
      <w:r>
        <w:t xml:space="preserve"> </w:t>
      </w:r>
      <w:r>
        <w:t xml:space="preserve">Jekk l-imposta tiffinanzja parzjalment biss il-miżura, indika s-sorsi ta’ finanzjament l-oħra tal-miżura u l-proporzjon rispettiv tagħhom;</w:t>
      </w:r>
    </w:p>
    <w:p w14:paraId="5344CF58" w14:textId="77777777" w:rsidR="007210BF" w:rsidRPr="007210BF" w:rsidRDefault="007210BF" w:rsidP="00B16D28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11D335B1" w14:textId="1848CCD1" w:rsidR="007210BF" w:rsidRDefault="007210BF" w:rsidP="0000132C">
      <w:pPr>
        <w:pStyle w:val="ListParagraph"/>
        <w:numPr>
          <w:ilvl w:val="0"/>
          <w:numId w:val="26"/>
        </w:numPr>
        <w:spacing w:before="120" w:after="120"/>
        <w:contextualSpacing w:val="0"/>
        <w:jc w:val="both"/>
        <w:rPr>
          <w:bCs/>
        </w:rPr>
      </w:pPr>
      <w:r>
        <w:t xml:space="preserve">l-imposta li tiffinanzja l-miżura notifikata tiffinanzjax ukoll miżuri oħra ta’ għajnuna.</w:t>
      </w:r>
      <w:r>
        <w:t xml:space="preserve"> </w:t>
      </w:r>
      <w:r>
        <w:t xml:space="preserve">Jekk iva, indika l-miżuri l-oħra ta’ għajnuna li huma ffinanzjati mill-imposta kkonċernata.</w:t>
      </w:r>
    </w:p>
    <w:p w14:paraId="79481611" w14:textId="77777777" w:rsidR="005D4997" w:rsidRPr="007210BF" w:rsidRDefault="005D4997" w:rsidP="005D4997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4CF5319B" w14:textId="6459F431" w:rsidR="00C62AF1" w:rsidRPr="00AC286A" w:rsidRDefault="00C62AF1" w:rsidP="00B16D28">
      <w:pPr>
        <w:tabs>
          <w:tab w:val="left" w:leader="dot" w:pos="9072"/>
        </w:tabs>
        <w:spacing w:before="120" w:after="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86"/>
      </w:tblGrid>
      <w:tr w:rsidR="00C62AF1" w:rsidRPr="00AC286A" w14:paraId="510D350A" w14:textId="77777777" w:rsidTr="009A7D29">
        <w:tc>
          <w:tcPr>
            <w:tcW w:w="9286" w:type="dxa"/>
            <w:shd w:val="pct15" w:color="auto" w:fill="auto"/>
          </w:tcPr>
          <w:p w14:paraId="757CD53B" w14:textId="77777777" w:rsidR="00C62AF1" w:rsidRPr="00AC286A" w:rsidRDefault="00C62AF1" w:rsidP="009B567B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t xml:space="preserve">Taqsima B:</w:t>
            </w:r>
            <w:r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Valutazzjoni tal-kompatibbiltà tal-għajnuna</w:t>
            </w:r>
          </w:p>
        </w:tc>
      </w:tr>
    </w:tbl>
    <w:p w14:paraId="02B89D2C" w14:textId="77777777" w:rsidR="00C62AF1" w:rsidRPr="00AC286A" w:rsidRDefault="00C62AF1" w:rsidP="00C62AF1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61FF0EF1" w14:textId="77777777" w:rsidTr="435B4522">
        <w:tc>
          <w:tcPr>
            <w:tcW w:w="9322" w:type="dxa"/>
            <w:shd w:val="clear" w:color="auto" w:fill="D9D9D9" w:themeFill="background1" w:themeFillShade="D9"/>
          </w:tcPr>
          <w:p w14:paraId="7F7260F8" w14:textId="77777777" w:rsidR="00C62AF1" w:rsidRPr="00AC286A" w:rsidRDefault="00C62AF1" w:rsidP="0000132C">
            <w:pPr>
              <w:pStyle w:val="Heading1"/>
              <w:numPr>
                <w:ilvl w:val="0"/>
                <w:numId w:val="20"/>
              </w:numPr>
              <w:rPr>
                <w:i/>
                <w:iCs/>
                <w:sz w:val="28"/>
                <w:szCs w:val="28"/>
              </w:rPr>
            </w:pPr>
            <w:r>
              <w:rPr>
                <w:i/>
                <w:sz w:val="28"/>
              </w:rPr>
              <w:t xml:space="preserve">Kundizzjoni pożittiva:</w:t>
            </w:r>
            <w:r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l-għajnuna trid tiffaċilita l-iżvilupp ta’ attività ekonomika</w:t>
            </w:r>
          </w:p>
        </w:tc>
      </w:tr>
    </w:tbl>
    <w:p w14:paraId="10ED2645" w14:textId="77777777" w:rsidR="00C62AF1" w:rsidRPr="00AC286A" w:rsidRDefault="00C62AF1" w:rsidP="007217EA">
      <w:pPr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17C43818" w14:textId="77777777" w:rsidTr="009A7D29">
        <w:tc>
          <w:tcPr>
            <w:tcW w:w="9322" w:type="dxa"/>
            <w:shd w:val="pct15" w:color="auto" w:fill="auto"/>
          </w:tcPr>
          <w:p w14:paraId="74E1DC10" w14:textId="77777777" w:rsidR="00C62AF1" w:rsidRPr="00AC286A" w:rsidRDefault="00C62AF1" w:rsidP="0000132C">
            <w:pPr>
              <w:pStyle w:val="Heading1"/>
              <w:numPr>
                <w:ilvl w:val="1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Kontribut għall-iżvilupp ta’ attività ekonomika</w:t>
            </w:r>
          </w:p>
        </w:tc>
      </w:tr>
    </w:tbl>
    <w:p w14:paraId="2959A7B8" w14:textId="196EFBC3" w:rsidR="00C62AF1" w:rsidRPr="001631E6" w:rsidRDefault="00C62AF1" w:rsidP="001631E6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jekk jogħġbok irreferi għat-Taqsima 3.1.1 (il-punti 23-25) u t-Taqsimiet 4.3.1.1 (il-punti 160 u 161) u 4.3.1.2 (il-punti 162 u 163) tas-CEEAG.</w:t>
      </w:r>
      <w:r>
        <w:rPr>
          <w:i/>
        </w:rPr>
        <w:t xml:space="preserve"> </w:t>
      </w:r>
    </w:p>
    <w:p w14:paraId="1CB15DF1" w14:textId="2D8B1F68" w:rsidR="00805350" w:rsidRPr="00AC286A" w:rsidRDefault="00805350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L-Artikolu 107(3)(c) tat-Trattat dwar il-Funzjonament tal-Unjoni Ewropea (TFUE) jistabbilixxi li l-Kummissjoni tista’ tiddikjara bħala kompatibbli l-“</w:t>
      </w:r>
      <w:r>
        <w:rPr>
          <w:i/>
        </w:rPr>
        <w:t xml:space="preserve">għajnuna maħsuba sabiex tiffaċilita l-iżvilupp ta’ ċerti attivitajiet jew ta’ ċerti reġjuni ekonomiċi, basta dik l-għajnuna ma tfixkilx il-kondizzjonijiet tal-kummerċ sa grad li jkun kuntrarju għall-interess komuni</w:t>
      </w:r>
      <w:r>
        <w:t xml:space="preserve">”.</w:t>
      </w:r>
      <w:r>
        <w:t xml:space="preserve"> </w:t>
      </w:r>
      <w:r>
        <w:t xml:space="preserve">Għalhekk, l-għajnuna kompatibbli taħt dik id-dispożizzjoni tat-TFUE trid tikkontribwixxi għall-iżvilupp ta’ ċerta attività ekonomika.</w:t>
      </w:r>
      <w:r>
        <w:t xml:space="preserve"> </w:t>
      </w:r>
    </w:p>
    <w:p w14:paraId="6F83F969" w14:textId="283F3881" w:rsidR="00C62AF1" w:rsidRPr="00AC286A" w:rsidRDefault="00805350" w:rsidP="00C62AF1">
      <w:pPr>
        <w:pStyle w:val="ListParagraph"/>
        <w:spacing w:before="120" w:after="120"/>
        <w:ind w:left="567"/>
        <w:contextualSpacing w:val="0"/>
        <w:jc w:val="both"/>
      </w:pPr>
      <w:r>
        <w:t xml:space="preserve">Sabiex tivvaluta l-konformità mal-punt 23 tas-CEEAG, jekk jogħġbok identifika l-attivitajiet ekonomiċi li se jiġu ffaċilitati b’riżultat tal-għajnuna u kif l-iżvilupp ta’ dawk l-attivitajiet huwa appoġġat.</w:t>
      </w:r>
    </w:p>
    <w:p w14:paraId="35041A7F" w14:textId="77777777" w:rsidR="00C62AF1" w:rsidRPr="00AC286A" w:rsidRDefault="00C62AF1" w:rsidP="00C62AF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9793C98" w14:textId="474DC220" w:rsidR="00C62AF1" w:rsidRPr="00AC286A" w:rsidRDefault="009B567B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tivvaluta l-konformità mal-punt 25 tas-CEEAG, jekk jogħġbok “</w:t>
      </w:r>
      <w:r>
        <w:rPr>
          <w:i/>
        </w:rPr>
        <w:t xml:space="preserve">iddeskrivi jekk l-għajnuna hix se tikkontribwixxi għall-kisba tal-objettivi tal-politika dwar it-tibdil fil-klima, il-politika ambjentali u l-politika dwar l-enerġija tal-Unjoni u, aktar speċifikament, il-benefiċċji mistennija tal-għajnuna f’termini tal-kontribuzzjoni materjali tagħha għall-ħarsien tal-ambjent, inkluża l-mitigazzjoni tat-tibdil fil-klima, jew il-funzjonament effiċjenti tas-suq intern tal-enerġija, u kif se tagħmel dan</w:t>
      </w:r>
      <w:r>
        <w:t xml:space="preserve">”.</w:t>
      </w:r>
      <w:r>
        <w:t xml:space="preserve"> </w:t>
      </w:r>
    </w:p>
    <w:p w14:paraId="3B1697D8" w14:textId="77777777" w:rsidR="00C62AF1" w:rsidRPr="00AC286A" w:rsidRDefault="00C62AF1" w:rsidP="00C62AF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C452750" w14:textId="332C47A0" w:rsidR="00A742C7" w:rsidRDefault="00C94DFC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Barra minn hekk, jekk jogħġbok enfasizza sa liema punt l-għajnuna hija relatata mal-politiki deskritti fil-punti 160 u 161 tas-CEEAG.</w:t>
      </w:r>
      <w:r>
        <w:t xml:space="preserve"> </w:t>
      </w:r>
    </w:p>
    <w:p w14:paraId="2937060E" w14:textId="625EA8B8" w:rsidR="00A742C7" w:rsidRPr="00AC286A" w:rsidRDefault="00A742C7" w:rsidP="00822B32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0227438" w14:textId="3B5E9699" w:rsidR="00703D03" w:rsidRPr="00AC286A" w:rsidRDefault="13A30BC6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Jekk jogħġbok iddeskrivi r-rekwiżiti tal-eliġibbiltà li huma applikabbli għall-benefiċjarju/i (pereżempju billi tinkludi kwalunkwe rekwiżit tekniku, ambjentali (jiġifieri permessi), finanzjarji (jiġifieri kollaterali) jew rekwiżiti oħra li l-benefiċjarju/i jeħtieġ li jikkonforma/jikkonformaw magħhom).</w:t>
      </w:r>
    </w:p>
    <w:p w14:paraId="070E2823" w14:textId="6763598C" w:rsidR="00703D03" w:rsidRPr="00AC286A" w:rsidRDefault="00703D03" w:rsidP="00703D03">
      <w:pPr>
        <w:tabs>
          <w:tab w:val="left" w:leader="dot" w:pos="9072"/>
        </w:tabs>
        <w:spacing w:before="120" w:after="120"/>
        <w:ind w:left="567"/>
        <w:jc w:val="both"/>
        <w:rPr>
          <w:szCs w:val="24"/>
        </w:rPr>
      </w:pPr>
      <w:r>
        <w:tab/>
      </w:r>
    </w:p>
    <w:p w14:paraId="51F1CC9A" w14:textId="5F711C5A" w:rsidR="00BA210A" w:rsidRPr="00AC286A" w:rsidRDefault="00BA210A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ipprovdi informazzjoni dwar l-ambitu preċiż u l-attivitajiet appoġġati preċiżi tal-miżura/i ta’ għajnuna, kif ipprovdut fit-Taqsima 4.3.1.2 (il-punti 162 u 163) tas-CEEAG.</w:t>
      </w:r>
      <w:r>
        <w:t xml:space="preserve"> </w:t>
      </w:r>
    </w:p>
    <w:p w14:paraId="7C50A2C6" w14:textId="3A3F595B" w:rsidR="00C62AF1" w:rsidRPr="00AC286A" w:rsidRDefault="00703D03" w:rsidP="00B16D2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817114" w14:textId="77777777" w:rsidR="00C62AF1" w:rsidRPr="00AC286A" w:rsidRDefault="00C62AF1" w:rsidP="00C62AF1">
      <w:pPr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29A77C09" w14:textId="77777777" w:rsidTr="009A7D29">
        <w:tc>
          <w:tcPr>
            <w:tcW w:w="9322" w:type="dxa"/>
            <w:shd w:val="pct15" w:color="auto" w:fill="auto"/>
          </w:tcPr>
          <w:p w14:paraId="4CDBDC83" w14:textId="77777777" w:rsidR="00C62AF1" w:rsidRPr="00AC286A" w:rsidRDefault="00C62AF1" w:rsidP="0000132C">
            <w:pPr>
              <w:pStyle w:val="Heading1"/>
              <w:numPr>
                <w:ilvl w:val="1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Effett ta’ inċentiv</w:t>
            </w:r>
          </w:p>
        </w:tc>
      </w:tr>
    </w:tbl>
    <w:p w14:paraId="194E3512" w14:textId="63AD156A" w:rsidR="00C62AF1" w:rsidRPr="00AC286A" w:rsidRDefault="00C62AF1" w:rsidP="00C62AF1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jekk jogħġbok irreferi għat-Taqsima 3.1.2 (il-punti 26-32) u għat-Taqsima 4.3.1.3 (il-punti 164-169) tas-CEEAG.</w:t>
      </w:r>
      <w:r>
        <w:rPr>
          <w:i/>
        </w:rPr>
        <w:t xml:space="preserve"> </w:t>
      </w:r>
    </w:p>
    <w:p w14:paraId="6856B82C" w14:textId="6E6F0BE3" w:rsidR="00C62AF1" w:rsidRPr="00AC286A" w:rsidRDefault="009926B4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L-għajnuna tista’ tiġi kkunsidrata bħala li tiffaċilita attività ekonomika biss jekk ikollha effett ta’ inċentiv.</w:t>
      </w:r>
      <w:r>
        <w:t xml:space="preserve"> </w:t>
      </w:r>
      <w:r>
        <w:t xml:space="preserve">Sabiex tivvaluta l-konformità mal-punt 26 tas-CEEAG, jekk jogħġbok spjega kif il-miżura/i “</w:t>
      </w:r>
      <w:r>
        <w:rPr>
          <w:i/>
          <w:iCs/>
        </w:rPr>
        <w:t xml:space="preserve">ġġiegħel[/iġiegħlu] lill-benefiċjarju jibdel l-imġiba tiegħu, jinvolvi ruħu f’attività ekonomika addizzjonali jew f’attività ekonomika aktar ekoloġika, li kieku ma kienx iwettaq mingħajr l-għajnuna jew kien iwettaqha b’mod ristrett jew differenti</w:t>
      </w:r>
      <w:r>
        <w:t xml:space="preserve">”.</w:t>
      </w:r>
      <w:r>
        <w:rPr>
          <w:i/>
        </w:rPr>
        <w:t xml:space="preserve"> </w:t>
      </w:r>
    </w:p>
    <w:p w14:paraId="54759BAD" w14:textId="2C5BBE1E" w:rsidR="00116ECE" w:rsidRPr="00AC286A" w:rsidRDefault="00C62AF1" w:rsidP="0032338D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C401136" w14:textId="77777777" w:rsidR="003115D9" w:rsidRDefault="009926B4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bookmarkStart w:id="3" w:name="_Ref161224203"/>
      <w:bookmarkStart w:id="4" w:name="_Ref150179558"/>
      <w:r>
        <w:t xml:space="preserve">Skont il-punt 28 tas-CEEAG:</w:t>
      </w:r>
      <w:bookmarkEnd w:id="3"/>
      <w:r>
        <w:t xml:space="preserve"> </w:t>
      </w:r>
    </w:p>
    <w:p w14:paraId="70E1329C" w14:textId="77777777" w:rsidR="003115D9" w:rsidRDefault="003115D9" w:rsidP="00450097">
      <w:pPr>
        <w:pStyle w:val="ListParagraph"/>
      </w:pPr>
    </w:p>
    <w:p w14:paraId="64E8DA17" w14:textId="261B3510" w:rsidR="004A2BAC" w:rsidRPr="00176F09" w:rsidRDefault="003115D9" w:rsidP="0000132C">
      <w:pPr>
        <w:pStyle w:val="ListParagraph"/>
        <w:numPr>
          <w:ilvl w:val="0"/>
          <w:numId w:val="29"/>
        </w:numPr>
        <w:spacing w:before="120" w:after="120"/>
        <w:jc w:val="both"/>
      </w:pPr>
      <w:r>
        <w:t xml:space="preserve">Jekk jogħġbok ipprovdi deskrizzjoni komprensiva tax-xenarju fattwali li huwa mistenni li jirriżulta mill-miżura ta’ għajnuna u x-xenarju/i kontrofattwali probabbli fin-nuqqas tal-miżura ta’ għajnuna.</w:t>
      </w:r>
      <w:r>
        <w:rPr>
          <w:rStyle w:val="FootnoteReference"/>
        </w:rPr>
        <w:footnoteReference w:id="5"/>
      </w:r>
      <w:r>
        <w:t xml:space="preserve"> </w:t>
      </w:r>
      <w:r>
        <w:t xml:space="preserve">Fejn tistenna li kategoriji differenti ta’ benefiċjarji jistgħu jiġu appoġġati, jekk jogħġbok żgura li x-xenarju kontrofattwali jkun kredibbli għal kull waħda minn dawn il-kategoriji.</w:t>
      </w:r>
      <w:bookmarkEnd w:id="4"/>
      <w:r>
        <w:t xml:space="preserve"> </w:t>
      </w:r>
      <w:r>
        <w:t xml:space="preserve">Jekk jogħġbok innota li l-punt 165 tas-CEEAG jirrikjedi li x-xenarju kontrofattwali jkun investiment bl-istess kapaċità, tul tal-ħajja u, fejn xieraq, karatteristiċi tekniċi rilevanti oħra bħall-investiment li ma jagħmilx ħsara lill-ambjent.</w:t>
      </w:r>
      <w:r>
        <w:t xml:space="preserve"> </w:t>
      </w:r>
      <w:r>
        <w:t xml:space="preserve">Jekk jogħġbok innota li l-punti 165 sa 169 tas-CEEAG jimponu rekwiżiti alternattivi addizzjonali għax-xenarju kontrofattwali:</w:t>
      </w:r>
    </w:p>
    <w:p w14:paraId="5EB0E490" w14:textId="77777777" w:rsidR="003115D9" w:rsidRPr="003115D9" w:rsidRDefault="003115D9" w:rsidP="00176F09">
      <w:pPr>
        <w:pStyle w:val="ListParagraph"/>
        <w:spacing w:before="120" w:after="120"/>
        <w:ind w:left="1287"/>
        <w:jc w:val="both"/>
        <w:rPr>
          <w:lang w:val="en-IE" w:eastAsia="en-GB"/>
        </w:rPr>
      </w:pPr>
    </w:p>
    <w:p w14:paraId="54039293" w14:textId="0EB73FD8" w:rsidR="004A2BAC" w:rsidRPr="00AC286A" w:rsidRDefault="00723574" w:rsidP="0000132C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</w:pPr>
      <w:r>
        <w:t xml:space="preserve">Meta x-xenarju kontrofattwali jkun jikkonsisti fl-akkwist jew il-kiri ta’ vetturi jew tagħmir għas-servizzi mobbli inqas ekoloġiċi tal-istess kategorija u l-istess kapaċità bħall-vettura b’emissjonijiet żero jew nnadifa, jekk jogħġbok uri li l-vettura jew it-tagħmir inqas ekoloġiċi huma mill-inqas konformi mal-istandards tal-Unjoni, fejn applikabbli.</w:t>
      </w:r>
    </w:p>
    <w:p w14:paraId="281AF2A9" w14:textId="06087810" w:rsidR="004A2BAC" w:rsidRPr="009E1064" w:rsidRDefault="009E1064" w:rsidP="009E1064">
      <w:pPr>
        <w:tabs>
          <w:tab w:val="left" w:leader="dot" w:pos="9072"/>
        </w:tabs>
        <w:spacing w:before="120" w:after="120"/>
        <w:ind w:left="1287"/>
        <w:jc w:val="both"/>
      </w:pPr>
      <w:r>
        <w:tab/>
      </w:r>
    </w:p>
    <w:p w14:paraId="2CDC0E65" w14:textId="023D87D1" w:rsidR="004A2BAC" w:rsidRDefault="00723574" w:rsidP="0000132C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</w:pPr>
      <w:r>
        <w:t xml:space="preserve">Meta x-xenarju kontrofattwali jkun jikkonsisti fil-manutenzjoni tal-vettura eżistenti jew tat-tagħmir għas-servizzi mobbli operattiv għal perjodu li jkun jikkorrispondi għat-tul tal-ħajja tal-investiment ekoloġiku, jekk jogħġbok innota li għandhom jiġu kkunsidrati l-kostijiet skontati tal-manutenzjoni, it-tiswija u l-modernizzazzjoni matul dak il-perjodu.</w:t>
      </w:r>
      <w:r>
        <w:t xml:space="preserve"> </w:t>
      </w:r>
    </w:p>
    <w:p w14:paraId="1120F9BB" w14:textId="18D6FA2B" w:rsidR="004A2BAC" w:rsidRPr="009E1064" w:rsidRDefault="009E1064" w:rsidP="009E1064">
      <w:pPr>
        <w:tabs>
          <w:tab w:val="left" w:leader="dot" w:pos="9072"/>
        </w:tabs>
        <w:spacing w:before="120" w:after="120"/>
        <w:ind w:left="1287"/>
        <w:jc w:val="both"/>
      </w:pPr>
      <w:r>
        <w:tab/>
      </w:r>
    </w:p>
    <w:p w14:paraId="391947E3" w14:textId="521E8E0A" w:rsidR="004A2BAC" w:rsidRDefault="004A2BAC" w:rsidP="0000132C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</w:pPr>
      <w:r>
        <w:t xml:space="preserve">Meta x-xenarju kontrofattwali jkun jikkonsisti f’sostituzzjoni aktar tard tal-vettura jew tat-tagħmir għas-servizzi mobbli, jekk jogħġbok ipprovdi l-valur skontat tal-vettura jew tat-tagħmir għas-servizzi mobbli sabiex tiġi kkunsidrata d-differenza fit-tul tal-ħajja ekonomika rispettiva tat-tagħmir.</w:t>
      </w:r>
      <w:r>
        <w:t xml:space="preserve"> </w:t>
      </w:r>
    </w:p>
    <w:p w14:paraId="19E797D9" w14:textId="10A22C0E" w:rsidR="004A2BAC" w:rsidRPr="009E1064" w:rsidRDefault="009E1064" w:rsidP="009E1064">
      <w:pPr>
        <w:tabs>
          <w:tab w:val="left" w:leader="dot" w:pos="9072"/>
        </w:tabs>
        <w:spacing w:before="120" w:after="120"/>
        <w:ind w:left="1287"/>
        <w:jc w:val="both"/>
      </w:pPr>
      <w:r>
        <w:tab/>
      </w:r>
    </w:p>
    <w:p w14:paraId="64B92524" w14:textId="467C782C" w:rsidR="004A2BAC" w:rsidRDefault="004A2BAC" w:rsidP="0000132C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</w:pPr>
      <w:r>
        <w:t xml:space="preserve">Fil-każ ta’ vetturi jew tagħmir għas-servizzi mobbli soġġetti għal arranġamenti ta’ kiri, jekk jogħġbok ipprovdi tqabbil tal-valur skontat tal-kiri tal-vetturi nodfa jew tat-tagħmir għas-servizzi mobbli nadif mal-valur skontat tal-kiri tal-vettura jew tat-tagħmir għas-servizzi mobbli inqas ekoloġiċi li kieku jintużaw fin-nuqqas tal-għajnuna.</w:t>
      </w:r>
    </w:p>
    <w:p w14:paraId="2DD2B098" w14:textId="46936E7B" w:rsidR="004A2BAC" w:rsidRPr="009E1064" w:rsidRDefault="009E1064" w:rsidP="009E1064">
      <w:pPr>
        <w:tabs>
          <w:tab w:val="left" w:leader="dot" w:pos="9072"/>
        </w:tabs>
        <w:spacing w:before="120" w:after="120"/>
        <w:ind w:left="1287"/>
        <w:jc w:val="both"/>
      </w:pPr>
      <w:r>
        <w:tab/>
      </w:r>
    </w:p>
    <w:p w14:paraId="7B48A82E" w14:textId="0D9008E9" w:rsidR="004A2BAC" w:rsidRPr="00AC286A" w:rsidRDefault="004A2BAC" w:rsidP="0000132C">
      <w:pPr>
        <w:pStyle w:val="ListParagraph"/>
        <w:numPr>
          <w:ilvl w:val="0"/>
          <w:numId w:val="24"/>
        </w:numPr>
        <w:spacing w:before="120" w:after="120"/>
        <w:contextualSpacing w:val="0"/>
        <w:jc w:val="both"/>
      </w:pPr>
      <w:r>
        <w:t xml:space="preserve">Fejn l-investiment ikun jikkonsisti fiż-żieda ta’ tagħmir ma’ vettura eżistenti jew tagħmir għas-servizzi mobbli biex titjieb il-prestazzjoni ambjentali tagħhom (pereżempju, il-modifika retroattiva ta’ sistemi ta’ kontroll tat-tniġġis), jekk jogħġbok spjega jekk ix-xenarju kontrofattwali jikkonsistix fit-tkomplija tal-użu tal-vettura mingħajr l-investiment tal-modifika retroattiva.</w:t>
      </w:r>
      <w:r>
        <w:t xml:space="preserve"> </w:t>
      </w:r>
      <w:r>
        <w:t xml:space="preserve">F’dak il-każ, il-kostijiet eliġibbli jistgħu jikkonsistu fil-kostijiet totali tal-investiment.</w:t>
      </w:r>
    </w:p>
    <w:p w14:paraId="5028E063" w14:textId="6E3D05A6" w:rsidR="009926B4" w:rsidRPr="00AC286A" w:rsidRDefault="001631E6" w:rsidP="001631E6">
      <w:pPr>
        <w:tabs>
          <w:tab w:val="left" w:leader="dot" w:pos="9072"/>
        </w:tabs>
        <w:spacing w:before="120" w:after="120"/>
        <w:ind w:left="1287"/>
        <w:jc w:val="both"/>
      </w:pPr>
      <w:r>
        <w:tab/>
      </w:r>
    </w:p>
    <w:p w14:paraId="0F42728E" w14:textId="22C551DE" w:rsidR="00A22819" w:rsidRDefault="009926B4" w:rsidP="0000132C">
      <w:pPr>
        <w:pStyle w:val="ListParagraph"/>
        <w:numPr>
          <w:ilvl w:val="0"/>
          <w:numId w:val="29"/>
        </w:numPr>
        <w:spacing w:before="120" w:after="120"/>
        <w:jc w:val="both"/>
      </w:pPr>
      <w:bookmarkStart w:id="5" w:name="_Ref153462771"/>
      <w:r>
        <w:t xml:space="preserve">Jekk jogħġbok spjega fil-qosor ir-raġunament għall-għażla tax-xenarju/i kontrofattwali probabbli, fid-dawl tal-kategoriji differenti proposti ta’ benefiċjarji, jekk applikabbli.</w:t>
      </w:r>
      <w:r>
        <w:t xml:space="preserve"> </w:t>
      </w:r>
    </w:p>
    <w:p w14:paraId="04B6371D" w14:textId="1C872F1E" w:rsidR="00407DEA" w:rsidRPr="00AC286A" w:rsidRDefault="009926B4" w:rsidP="00DB6946">
      <w:pPr>
        <w:tabs>
          <w:tab w:val="left" w:leader="dot" w:pos="9072"/>
        </w:tabs>
        <w:spacing w:before="120" w:after="120"/>
        <w:ind w:left="1287"/>
        <w:jc w:val="both"/>
      </w:pPr>
      <w:r>
        <w:t xml:space="preserve">.</w:t>
      </w:r>
      <w:bookmarkEnd w:id="5"/>
      <w:r>
        <w:t xml:space="preserve">…………………………………………………………………………………</w:t>
      </w:r>
    </w:p>
    <w:p w14:paraId="433D9E5F" w14:textId="0325E626" w:rsidR="003115D9" w:rsidRDefault="007D18EE" w:rsidP="0000132C">
      <w:pPr>
        <w:pStyle w:val="ListParagraph"/>
        <w:numPr>
          <w:ilvl w:val="0"/>
          <w:numId w:val="29"/>
        </w:numPr>
        <w:jc w:val="both"/>
        <w:rPr>
          <w:szCs w:val="24"/>
          <w:rFonts w:eastAsia="Times New Roman"/>
        </w:rPr>
      </w:pPr>
      <w:bookmarkStart w:id="6" w:name="_Ref165985385"/>
      <w:r>
        <w:t xml:space="preserve">Jekk jogħġbok ikkwantifika l-kostijiet u d-dħul tax-xenarji fattwali u kontrofattwali kif ġej:</w:t>
      </w:r>
      <w:bookmarkEnd w:id="6"/>
      <w:r>
        <w:t xml:space="preserve"> </w:t>
      </w:r>
    </w:p>
    <w:p w14:paraId="1FC673BB" w14:textId="77777777" w:rsidR="006C0FE6" w:rsidRPr="00EB57FD" w:rsidRDefault="006C0FE6" w:rsidP="0044407B">
      <w:pPr>
        <w:pStyle w:val="ListParagraph"/>
        <w:ind w:left="1287"/>
        <w:jc w:val="both"/>
        <w:rPr>
          <w:rFonts w:eastAsia="Times New Roman"/>
          <w:szCs w:val="24"/>
        </w:rPr>
      </w:pPr>
    </w:p>
    <w:p w14:paraId="690DD2FC" w14:textId="5A20F550" w:rsidR="003115D9" w:rsidRPr="009B3B0B" w:rsidRDefault="003115D9" w:rsidP="0044407B">
      <w:pPr>
        <w:pStyle w:val="ListParagraph"/>
        <w:spacing w:line="259" w:lineRule="auto"/>
        <w:ind w:left="1287"/>
        <w:jc w:val="both"/>
      </w:pPr>
      <w:r>
        <w:t xml:space="preserve">(i) Meta l-għajnuna tingħata </w:t>
      </w:r>
      <w:r>
        <w:rPr>
          <w:u w:val="single"/>
        </w:rPr>
        <w:t xml:space="preserve">mingħajr proċess kompetittiv ta’ offerti</w:t>
      </w:r>
      <w:r>
        <w:t xml:space="preserve">, jekk jogħġbok iġġustifika l-bidla fl-imġiba fejn rilevanti għal kull kategorija ta’ benefiċjarju, abbażi tal-proġett ta’ referenza rispettiv</w:t>
      </w:r>
      <w:r>
        <w:rPr>
          <w:vertAlign w:val="superscript"/>
        </w:rPr>
        <w:footnoteReference w:id="6"/>
      </w:r>
      <w:r>
        <w:t xml:space="preserve">, il-kontrofattwali korrispondenti u d-distakk fil-finanzjament li jirriżulta.</w:t>
      </w:r>
    </w:p>
    <w:p w14:paraId="4250665E" w14:textId="60CD941C" w:rsidR="003115D9" w:rsidRPr="0082588A" w:rsidRDefault="00DB6946" w:rsidP="0082588A">
      <w:pPr>
        <w:tabs>
          <w:tab w:val="left" w:leader="dot" w:pos="9072"/>
        </w:tabs>
        <w:spacing w:before="120" w:after="120"/>
        <w:ind w:left="1287"/>
        <w:jc w:val="both"/>
      </w:pPr>
      <w:r>
        <w:tab/>
      </w:r>
    </w:p>
    <w:p w14:paraId="296ACE13" w14:textId="38081C56" w:rsidR="009926B4" w:rsidRPr="00AC286A" w:rsidRDefault="003115D9" w:rsidP="00176F09">
      <w:pPr>
        <w:pStyle w:val="ListParagraph"/>
        <w:ind w:left="1287"/>
        <w:jc w:val="both"/>
      </w:pPr>
      <w:r>
        <w:t xml:space="preserve">(ii) Meta l-għajnuna tingħata </w:t>
      </w:r>
      <w:r>
        <w:rPr>
          <w:u w:val="single"/>
        </w:rPr>
        <w:t xml:space="preserve">abbażi ta’ proċess kompetittiv ta’ offerti</w:t>
      </w:r>
      <w:r>
        <w:t xml:space="preserve">, jekk jogħġbok iġġustifika l-bidla fl-imġiba (fejn rilevanti għal kull kategorija ta’ benefiċjarju/proġett ta’ referenza) bl-użu tal-istess evidenza kif meħtieġ taħt C)(i) hawn fuq, jew inkella pprovdi evidenza kwantitattiva rilevanti bbażata fuq studji tas-suq, pjanijiet tal-investituri, rapporti finanzjarji, jew evidenza kwantitattiva oħra inklużi offerti li saru għal proġetti simili fi proċessi kompetittivi ta’ offerti komparabbli reċenti.</w:t>
      </w:r>
      <w:r>
        <w:rPr>
          <w:vertAlign w:val="superscript"/>
        </w:rPr>
        <w:footnoteReference w:id="7"/>
      </w:r>
      <w:r>
        <w:t xml:space="preserve"> </w:t>
      </w:r>
    </w:p>
    <w:p w14:paraId="01F8BD26" w14:textId="1DF0DE8B" w:rsidR="009926B4" w:rsidRPr="00AC286A" w:rsidRDefault="009926B4" w:rsidP="00DB6946">
      <w:pPr>
        <w:tabs>
          <w:tab w:val="left" w:leader="dot" w:pos="9072"/>
        </w:tabs>
        <w:spacing w:before="120" w:after="120"/>
        <w:ind w:left="1287"/>
        <w:jc w:val="both"/>
      </w:pPr>
      <w:r>
        <w:tab/>
      </w:r>
    </w:p>
    <w:p w14:paraId="10245BFB" w14:textId="53D54A5D" w:rsidR="00C62AF1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bookmarkStart w:id="7" w:name="_Ref165988476"/>
      <w:r>
        <w:t xml:space="preserve">Sabiex tivvaluta l-konformità mal-punt 27 tas-CEEAG, jekk jogħġbok ipprovdi informazzjoni biex tikkonferma li l-għajnuna ma tappoġġax il-kostijiet ta’ attività li l-benefiċjarju tal-għajnuna xorta waħda jwettaq u ma tikkumpensax għar-riskju kummerċjali normali ta’ attività ekonomika.</w:t>
      </w:r>
      <w:bookmarkEnd w:id="7"/>
      <w:r>
        <w:t xml:space="preserve"> </w:t>
      </w:r>
    </w:p>
    <w:p w14:paraId="53592A91" w14:textId="6F1607AD" w:rsidR="00525D37" w:rsidRPr="00AC286A" w:rsidRDefault="000D302E" w:rsidP="002471A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EC2DF82" w14:textId="58F66CA9" w:rsidR="00C62AF1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Biex turi l-konformità mal-punti 29 u 31 tas-CEEAG:</w:t>
      </w:r>
    </w:p>
    <w:p w14:paraId="26AC1165" w14:textId="08ED7F11" w:rsidR="00C62AF1" w:rsidRPr="00AC286A" w:rsidRDefault="00C62AF1" w:rsidP="0000132C">
      <w:pPr>
        <w:pStyle w:val="ListParagraph"/>
        <w:numPr>
          <w:ilvl w:val="0"/>
          <w:numId w:val="21"/>
        </w:numPr>
        <w:spacing w:before="120" w:after="120"/>
        <w:ind w:left="993" w:hanging="284"/>
        <w:contextualSpacing w:val="0"/>
        <w:jc w:val="both"/>
      </w:pPr>
      <w:r>
        <w:t xml:space="preserve">Jekk jogħġbok ikkonferma li l-bidu tax-xogħlijiet fuq il-proġett jew l-attività ma seħħx qabel applikazzjoni għall-għajnuna bil-miktub mill-benefiċjarju lill-awtoritajiet nazzjonali;</w:t>
      </w:r>
      <w:r>
        <w:t xml:space="preserve"> </w:t>
      </w:r>
    </w:p>
    <w:p w14:paraId="32242483" w14:textId="4448D932" w:rsidR="00C62AF1" w:rsidRPr="00F27797" w:rsidRDefault="00BA4BD6" w:rsidP="00C62AF1">
      <w:pPr>
        <w:pStyle w:val="ListParagraph"/>
        <w:spacing w:before="120" w:after="120"/>
        <w:ind w:left="993"/>
        <w:contextualSpacing w:val="0"/>
        <w:jc w:val="both"/>
      </w:pPr>
      <w:r>
        <w:rPr>
          <w:i/>
        </w:rPr>
        <w:t xml:space="preserve">JEW</w:t>
      </w:r>
    </w:p>
    <w:p w14:paraId="2F9980BF" w14:textId="06CA3BB2" w:rsidR="00C62AF1" w:rsidRPr="00AC286A" w:rsidRDefault="00935E92" w:rsidP="0000132C">
      <w:pPr>
        <w:pStyle w:val="ListParagraph"/>
        <w:numPr>
          <w:ilvl w:val="0"/>
          <w:numId w:val="21"/>
        </w:numPr>
        <w:spacing w:before="120" w:after="120"/>
        <w:ind w:left="993" w:hanging="284"/>
        <w:contextualSpacing w:val="0"/>
        <w:jc w:val="both"/>
      </w:pPr>
      <w:r>
        <w:t xml:space="preserve">Għall-proġetti li bdew qabel l-applikazzjoni għall-għajnuna, jekk jogħġbok uri li l-proġett jaqa’ f’wieħed mill-każijiet eċċezzjonali pprovduti fil-punt 31 tas-CEEAG ((a), (b) jew (c)).</w:t>
      </w:r>
      <w:r>
        <w:t xml:space="preserve"> </w:t>
      </w:r>
    </w:p>
    <w:p w14:paraId="2EECD9FB" w14:textId="77777777" w:rsidR="00C62AF1" w:rsidRDefault="00C62AF1" w:rsidP="00DB6946">
      <w:pPr>
        <w:pStyle w:val="ListParagraph"/>
        <w:tabs>
          <w:tab w:val="left" w:leader="dot" w:pos="9072"/>
        </w:tabs>
        <w:spacing w:before="120" w:after="120"/>
        <w:ind w:left="927"/>
        <w:jc w:val="both"/>
      </w:pPr>
      <w:r>
        <w:tab/>
      </w:r>
    </w:p>
    <w:p w14:paraId="5F400F0D" w14:textId="77777777" w:rsidR="00DB6946" w:rsidRPr="00AC286A" w:rsidRDefault="00DB6946" w:rsidP="00DB6946">
      <w:pPr>
        <w:pStyle w:val="ListParagraph"/>
        <w:tabs>
          <w:tab w:val="left" w:leader="dot" w:pos="9072"/>
        </w:tabs>
        <w:spacing w:before="120" w:after="120"/>
        <w:ind w:left="927"/>
        <w:jc w:val="both"/>
      </w:pPr>
    </w:p>
    <w:p w14:paraId="5A8D3F5E" w14:textId="344BFE11" w:rsidR="007C18DF" w:rsidRDefault="007C18DF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Biex turi konformità mal-punt 30 tas-CEEAG, napprezzaw li tikkonferma li l-applikazzjoni għall-għajnuna tinkludi mill-inqas l-isem tal-applikant, deskrizzjoni tal-proġett jew l-attività, inkluż il-post, u l-ammont tal-għajnuna meħtieġa biex titwettaq.</w:t>
      </w:r>
    </w:p>
    <w:p w14:paraId="24ADDF88" w14:textId="0C9503AE" w:rsidR="002B697A" w:rsidRPr="00525CF2" w:rsidRDefault="002B697A" w:rsidP="00525CF2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5779102" w14:textId="222758FA" w:rsidR="00C62AF1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Sabiex turi l-konformità mal-punt 32 tas-CEEAG, jekk jogħġbok indika jekk hemmx standards tal-Unjoni</w:t>
      </w:r>
      <w:r>
        <w:rPr>
          <w:rStyle w:val="FootnoteReference"/>
          <w:lang w:val="en-IE" w:eastAsia="en-GB"/>
        </w:rPr>
        <w:footnoteReference w:id="8"/>
      </w:r>
      <w:r>
        <w:t xml:space="preserve"> applikabbli għall-miżura/i notifikata/i, standards nazzjonali obbligatorji li huma aktar stretti jew ambizzjużi mill-istandards korrispondenti tal-Unjoni, jew standards nazzjonali obbligatorji li ġew adottati fin-nuqqas ta’ standards tal-Unjoni.</w:t>
      </w:r>
      <w:r>
        <w:t xml:space="preserve"> </w:t>
      </w:r>
      <w:r>
        <w:t xml:space="preserve">F’dak il-kuntest, jekk jogħġbok ipprovdi informazzjoni biex turi l-effett ta’ inċentiv.</w:t>
      </w:r>
    </w:p>
    <w:p w14:paraId="504B1C87" w14:textId="3FB5A490" w:rsidR="00DB6946" w:rsidRPr="00AC286A" w:rsidRDefault="00C62AF1" w:rsidP="002471A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534C2E" w14:textId="77777777" w:rsidR="00C62AF1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F’każijiet fejn l-istandard rilevanti tal-Unjoni jkun diġà ġie adottat iżda jkun għadu mhux fis-seħħ, jekk jogħġbok uri li l-għajnuna għandha effett ta’ inċentiv minħabba li tinċentiva l-investiment li għandu jiġi implimentat u ffinalizzat mill-inqas 18-il xahar qabel ma l-istandard jidħol fis-seħħ.</w:t>
      </w:r>
      <w:r>
        <w:t xml:space="preserve"> </w:t>
      </w:r>
    </w:p>
    <w:p w14:paraId="76C0D83A" w14:textId="0374CC5E" w:rsidR="00525D37" w:rsidRPr="00AC286A" w:rsidRDefault="00C62AF1" w:rsidP="002471A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F342035" w14:textId="77777777" w:rsidR="00C62AF1" w:rsidRPr="00AC286A" w:rsidRDefault="00C62AF1" w:rsidP="00C62AF1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25A8EE3C" w14:textId="77777777" w:rsidTr="009A7D29">
        <w:tc>
          <w:tcPr>
            <w:tcW w:w="9322" w:type="dxa"/>
            <w:shd w:val="pct15" w:color="auto" w:fill="auto"/>
          </w:tcPr>
          <w:p w14:paraId="6DC47AD3" w14:textId="77777777" w:rsidR="00C62AF1" w:rsidRPr="00AC286A" w:rsidRDefault="00C62AF1" w:rsidP="0000132C">
            <w:pPr>
              <w:pStyle w:val="Heading1"/>
              <w:numPr>
                <w:ilvl w:val="1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Ebda ksur ta’ ebda dispożizzjoni rilevanti tad-dritt tal-Unjoni</w:t>
            </w:r>
          </w:p>
        </w:tc>
      </w:tr>
    </w:tbl>
    <w:p w14:paraId="5CC837C1" w14:textId="2249AE98" w:rsidR="00C62AF1" w:rsidRPr="00AC286A" w:rsidRDefault="00C62AF1" w:rsidP="00C62AF1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jekk irreferi għat-taqsima 3.1.3 (il-punt 33) tas-CEEAG.</w:t>
      </w:r>
      <w:r>
        <w:rPr>
          <w:i/>
        </w:rPr>
        <w:t xml:space="preserve"> </w:t>
      </w:r>
    </w:p>
    <w:p w14:paraId="63B710C7" w14:textId="77777777" w:rsidR="00C62AF1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Ipprovdi informazzjoni biex tikkonferma l-konformità mad-dispożizzjonijiet rilevanti tal-liġi tal-UE, f’konformità mal-punt 33 tas-CEEAG.</w:t>
      </w:r>
    </w:p>
    <w:p w14:paraId="57C5A7CD" w14:textId="0CA7E4F6" w:rsidR="00DB6946" w:rsidRPr="008B2060" w:rsidRDefault="000178B0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tab/>
      </w:r>
    </w:p>
    <w:p w14:paraId="35829E07" w14:textId="5DC263B3" w:rsidR="00C62AF1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  <w:rPr>
          <w:i/>
          <w:color w:val="000000"/>
        </w:rPr>
      </w:pPr>
      <w:r>
        <w:t xml:space="preserve">Jekk tintuża imposta biex tiffinanzja l-miżura/i, iċċara jekk hemmx bżonn li titwettaq il-valutazzjoni tal-konformità mal-Artikoli 30 u 110 tat-TFUE.</w:t>
      </w:r>
      <w:r>
        <w:t xml:space="preserve"> </w:t>
      </w:r>
      <w:r>
        <w:t xml:space="preserve">Fl-affermattiv, jekk jogħġbok uri kif il-miżura tikkonforma mad-dispożizzjonijiet tal-Artikolu 30 u 110 tat-TFUE.</w:t>
      </w:r>
      <w:r>
        <w:rPr>
          <w:i/>
        </w:rPr>
        <w:t xml:space="preserve"> </w:t>
      </w:r>
      <w:r>
        <w:t xml:space="preserve">F’dan il-kuntest, tista’ ssir referenza għall-informazzjoni ppreżentata taħt il-mistoqsija 5</w:t>
      </w:r>
      <w:r>
        <w:fldChar w:fldCharType="begin" w:dirty="true"/>
      </w:r>
      <w:r>
        <w:instrText xml:space="preserve"> REF _Ref155782335 \r \h </w:instrText>
      </w:r>
      <w:r>
        <w:instrText xml:space="preserve"> \* MERGEFORMAT </w:instrText>
      </w:r>
      <w:r/>
      <w:r>
        <w:fldChar w:fldCharType="separate"/>
      </w:r>
      <w:r>
        <w:t xml:space="preserve">ii</w:t>
      </w:r>
      <w:r>
        <w:fldChar w:fldCharType="end"/>
      </w:r>
      <w:r>
        <w:t xml:space="preserve"> hawn fuq, fejn il-miżura/i notifikata/i hija/huma ffinanzjata/i permezz ta’ imposta.</w:t>
      </w:r>
    </w:p>
    <w:p w14:paraId="6EF5383A" w14:textId="77777777" w:rsidR="00C62AF1" w:rsidRPr="00AC286A" w:rsidRDefault="00C62AF1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tab/>
      </w:r>
    </w:p>
    <w:p w14:paraId="16AA6799" w14:textId="482D48B4" w:rsidR="00C62AF1" w:rsidRPr="00AC286A" w:rsidRDefault="00C62AF1" w:rsidP="001631E6">
      <w:pPr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33B98D40" w14:textId="77777777" w:rsidTr="009A7D29">
        <w:tc>
          <w:tcPr>
            <w:tcW w:w="9322" w:type="dxa"/>
            <w:shd w:val="pct15" w:color="auto" w:fill="auto"/>
          </w:tcPr>
          <w:p w14:paraId="22550BFC" w14:textId="77777777" w:rsidR="00C62AF1" w:rsidRPr="00AC286A" w:rsidRDefault="00C62AF1" w:rsidP="0000132C">
            <w:pPr>
              <w:pStyle w:val="Heading1"/>
              <w:numPr>
                <w:ilvl w:val="0"/>
                <w:numId w:val="20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Kundizzjoni negattiva:</w:t>
            </w:r>
            <w:r>
              <w:rPr>
                <w:i/>
                <w:color w:val="000000"/>
                <w:sz w:val="28"/>
              </w:rPr>
              <w:t xml:space="preserve"> </w:t>
            </w:r>
            <w:r>
              <w:rPr>
                <w:i/>
                <w:color w:val="000000"/>
                <w:sz w:val="28"/>
              </w:rPr>
              <w:t xml:space="preserve">l-għajnuna ma tistax tfixkel bla bżonn il-kundizzjonijiet tal-kummerċ sa punt li jkun kontra l-interess komuni</w:t>
            </w:r>
          </w:p>
        </w:tc>
      </w:tr>
    </w:tbl>
    <w:p w14:paraId="706CADC2" w14:textId="77777777" w:rsidR="00C62AF1" w:rsidRPr="00AC286A" w:rsidRDefault="00C62AF1" w:rsidP="00C62AF1">
      <w:pPr>
        <w:ind w:left="-567" w:firstLine="1412"/>
        <w:rPr>
          <w:i/>
          <w:color w:val="000000"/>
        </w:rPr>
      </w:pPr>
    </w:p>
    <w:p w14:paraId="1452DFB1" w14:textId="77777777" w:rsidR="00C62AF1" w:rsidRPr="00AC286A" w:rsidRDefault="00C62AF1" w:rsidP="00C62AF1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53C1BFDB" w14:textId="77777777" w:rsidTr="009A7D29">
        <w:tc>
          <w:tcPr>
            <w:tcW w:w="9322" w:type="dxa"/>
            <w:shd w:val="pct15" w:color="auto" w:fill="auto"/>
          </w:tcPr>
          <w:p w14:paraId="4A5C58A6" w14:textId="136388C4" w:rsidR="00C62AF1" w:rsidRPr="00AC286A" w:rsidRDefault="002E4A39" w:rsidP="002E4A39">
            <w:pPr>
              <w:pStyle w:val="Heading1"/>
              <w:ind w:left="1440"/>
              <w:jc w:val="left"/>
              <w:rPr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2.1 Minimizzazzjoni tad-distorsjonijiet tal-kompetizzjoni u tal-kummerċ</w:t>
            </w:r>
            <w:r>
              <w:rPr>
                <w:color w:val="000000"/>
                <w:sz w:val="28"/>
              </w:rPr>
              <w:t xml:space="preserve"> </w:t>
            </w:r>
          </w:p>
        </w:tc>
      </w:tr>
    </w:tbl>
    <w:p w14:paraId="4AEA0F72" w14:textId="77777777" w:rsidR="00C62AF1" w:rsidRPr="00AC286A" w:rsidRDefault="00C62AF1" w:rsidP="00C62AF1">
      <w:pPr>
        <w:ind w:left="-567" w:firstLine="1412"/>
        <w:rPr>
          <w:i/>
          <w:color w:val="000000"/>
        </w:rPr>
      </w:pPr>
    </w:p>
    <w:p w14:paraId="55227A31" w14:textId="2318C51E" w:rsidR="00E7525D" w:rsidRDefault="00E7525D" w:rsidP="00EB57FD">
      <w:pPr>
        <w:pStyle w:val="Heading1"/>
        <w:jc w:val="left"/>
        <w:rPr>
          <w:color w:val="000000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EB57FD" w:rsidRPr="00AC286A" w14:paraId="3AE57F31" w14:textId="77777777">
        <w:tc>
          <w:tcPr>
            <w:tcW w:w="9322" w:type="dxa"/>
            <w:shd w:val="clear" w:color="auto" w:fill="C9C9C9"/>
          </w:tcPr>
          <w:p w14:paraId="2EC0F0E0" w14:textId="44BB3ABD" w:rsidR="00EB57FD" w:rsidRPr="00AC286A" w:rsidRDefault="00EB57FD" w:rsidP="0000132C">
            <w:pPr>
              <w:pStyle w:val="Heading1"/>
              <w:numPr>
                <w:ilvl w:val="2"/>
                <w:numId w:val="20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Neċessità tal-għajnuna</w:t>
            </w:r>
          </w:p>
        </w:tc>
      </w:tr>
    </w:tbl>
    <w:p w14:paraId="61C0E123" w14:textId="66E25735" w:rsidR="00C62AF1" w:rsidRPr="00AC286A" w:rsidRDefault="00C62AF1" w:rsidP="00C62AF1">
      <w:pPr>
        <w:spacing w:before="360" w:after="120"/>
        <w:jc w:val="both"/>
        <w:rPr>
          <w:i/>
          <w:color w:val="000000"/>
        </w:rPr>
      </w:pPr>
      <w:r>
        <w:rPr>
          <w:i/>
        </w:rPr>
        <w:t xml:space="preserve">Biex tipprovdi l-informazzjoni f’din it-taqsima, jekk jogħġbok irreferi għat-Taqsima 3.2.1.1 (il-punti 34-38) tas-CEEAG.</w:t>
      </w:r>
      <w:r>
        <w:rPr>
          <w:i/>
          <w:color w:val="000000"/>
        </w:rPr>
        <w:t xml:space="preserve"> </w:t>
      </w:r>
    </w:p>
    <w:p w14:paraId="2684B23E" w14:textId="02B8C1F8" w:rsidR="00C62AF1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Jekk jogħġbok spjega liema falliment/i tas-suq identifikaw l-awtoritajiet tiegħek li jipprevjeni/u l-ilħuq ta’ livell suffiċjenti ta’ protezzjoni ambjentali.</w:t>
      </w:r>
      <w:r>
        <w:t xml:space="preserve"> </w:t>
      </w:r>
      <w:r>
        <w:t xml:space="preserve">Jekk jogħġbok speċifika f’liema kategorija jaqgħu l-fallimenti tas-suq identifikati, billi tagħmel referenza għall-ittri (a), (b), (c) jew (d) tal-punt 34 tas-CEEAG.</w:t>
      </w:r>
    </w:p>
    <w:p w14:paraId="77AEE803" w14:textId="63A30216" w:rsidR="003115D9" w:rsidRPr="00AC286A" w:rsidRDefault="003115D9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B6386F2" w14:textId="34CC3196" w:rsidR="005D2CD7" w:rsidRDefault="000178B0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F’konformità mal-punt 35 tas-CEEAG, jekk jogħġbok ipprovdi informazzjoni dwar kwalunkwe politika u miżura eżistenti li l-awtoritajiet tiegħek identifikaw, li diġà huma mmirati lejn il-fallimenti regolatorji jew tas-suq identifikati.</w:t>
      </w:r>
    </w:p>
    <w:p w14:paraId="5A57538B" w14:textId="58FD8121" w:rsidR="009B5D53" w:rsidRDefault="005D2CD7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BF34F8D" w14:textId="3D0FB159" w:rsidR="009B5D53" w:rsidRDefault="009B5D53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Sabiex turi l-konformità mal-punt 36 tas-CEEAG, jekk jogħġbok ipprovdi informazzjoni li turi li l-għajnuna timmira b’mod effettiv lejn fallimenti tas-suq residwi, filwaqt li tikkunsidra wkoll kwalunkwe politika u miżura oħra diġà fis-seħħ biex tindirizza wħud mill-fallimenti tas-suq identifikati.</w:t>
      </w:r>
      <w:r>
        <w:t xml:space="preserve"> </w:t>
      </w:r>
    </w:p>
    <w:p w14:paraId="15C59AC3" w14:textId="226C1DD4" w:rsidR="00DB6946" w:rsidRPr="00AC286A" w:rsidRDefault="003115D9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798CCB0" w14:textId="0E2AEB6D" w:rsidR="00C62AF1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rPr>
          <w:shd w:val="clear" w:color="auto" w:fill="FFFFFF"/>
        </w:rPr>
        <w:t xml:space="preserve">Sabiex</w:t>
      </w:r>
      <w:r>
        <w:t xml:space="preserve"> turi l-konformità mal-punt 37 tas-CEEAG, spjega jekk, sa fejn jafu l-awtoritajiet tiegħek, </w:t>
      </w:r>
      <w:r>
        <w:rPr>
          <w:color w:val="000000"/>
          <w:shd w:val="clear" w:color="auto" w:fill="FFFFFF"/>
        </w:rPr>
        <w:t xml:space="preserve">proġetti jew attivitajiet </w:t>
      </w:r>
      <w:r>
        <w:t xml:space="preserve">simili għal dawk </w:t>
      </w:r>
      <w:r>
        <w:rPr>
          <w:color w:val="000000"/>
          <w:shd w:val="clear" w:color="auto" w:fill="FFFFFF"/>
        </w:rPr>
        <w:t xml:space="preserve">koperti</w:t>
      </w:r>
      <w:r>
        <w:t xml:space="preserve"> mill-miżura/i notifikata/i </w:t>
      </w:r>
      <w:r>
        <w:rPr>
          <w:color w:val="000000"/>
          <w:shd w:val="clear" w:color="auto" w:fill="FFFFFF"/>
        </w:rPr>
        <w:t xml:space="preserve">fir-rigward tal-kontenut teknoloġiku, il-livell ta’ riskju u d-daqs tagħhom, humiex diġà mwassla fl-Unjoni bil-kundizzjonijiet tas-suq</w:t>
      </w:r>
      <w:r>
        <w:t xml:space="preserve">.</w:t>
      </w:r>
      <w:r>
        <w:t xml:space="preserve"> </w:t>
      </w:r>
      <w:r>
        <w:t xml:space="preserve">Fl-affermattiv, jekk jogħġbok ipprovdi aktar evidenza biex turi l-ħtieġa għal għajnuna mill-Istat.</w:t>
      </w:r>
    </w:p>
    <w:p w14:paraId="3DDFED77" w14:textId="486AD193" w:rsidR="005D2CD7" w:rsidRDefault="00C62AF1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A8B7F32" w14:textId="40FC96B3" w:rsidR="00F43AD8" w:rsidRDefault="00D0579C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Biex turi l-konformità mal-punt 38 tas-CEEAG, napprezzaw li tirreferi għall-evidenza kwantitattiva diġà pprovduta taħt il-mistoqsija </w:t>
      </w:r>
      <w:r>
        <w:fldChar w:fldCharType="begin" w:dirty="true"/>
      </w:r>
      <w:r>
        <w:instrText xml:space="preserve"> REF _Ref161224203 \r \h </w:instrText>
      </w:r>
      <w:r>
        <w:fldChar w:fldCharType="separate"/>
      </w:r>
      <w:r>
        <w:t xml:space="preserve">12</w:t>
      </w:r>
      <w:r>
        <w:fldChar w:fldCharType="end"/>
      </w:r>
      <w:r>
        <w:t xml:space="preserve"> </w:t>
      </w:r>
      <w:r>
        <w:fldChar w:fldCharType="begin" w:dirty="true"/>
      </w:r>
      <w:r>
        <w:instrText xml:space="preserve"> REF _Ref165985385 \r \h </w:instrText>
      </w:r>
      <w:r>
        <w:fldChar w:fldCharType="separate"/>
      </w:r>
      <w:r>
        <w:t xml:space="preserve">C)</w:t>
      </w:r>
      <w:r>
        <w:fldChar w:fldCharType="end"/>
      </w:r>
      <w:r>
        <w:t xml:space="preserve"> hawn fuq.</w:t>
      </w:r>
      <w:r>
        <w:t xml:space="preserve"> </w:t>
      </w:r>
    </w:p>
    <w:p w14:paraId="2DB2FDC9" w14:textId="77777777" w:rsidR="00F43AD8" w:rsidRDefault="00F43AD8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EA13A76" w14:textId="77777777" w:rsidR="00C62AF1" w:rsidRPr="00F43AD8" w:rsidRDefault="00C62AF1" w:rsidP="00F43AD8">
      <w:pPr>
        <w:pStyle w:val="ListParagraph"/>
        <w:ind w:left="927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3D4DB5" w:rsidRPr="00AC286A" w14:paraId="46DC99F4" w14:textId="77777777" w:rsidTr="003D4DB5">
        <w:tc>
          <w:tcPr>
            <w:tcW w:w="9322" w:type="dxa"/>
            <w:shd w:val="clear" w:color="auto" w:fill="C9C9C9"/>
          </w:tcPr>
          <w:p w14:paraId="5489D5D1" w14:textId="08CC282C" w:rsidR="003D4DB5" w:rsidRPr="00AC286A" w:rsidRDefault="003D4DB5" w:rsidP="0000132C">
            <w:pPr>
              <w:pStyle w:val="Heading1"/>
              <w:numPr>
                <w:ilvl w:val="2"/>
                <w:numId w:val="20"/>
              </w:numPr>
              <w:rPr>
                <w:color w:val="000000"/>
                <w:sz w:val="24"/>
                <w:szCs w:val="24"/>
              </w:rPr>
            </w:pPr>
            <w:bookmarkStart w:id="8" w:name="_Hlk152696218"/>
            <w:r>
              <w:rPr>
                <w:color w:val="000000"/>
                <w:sz w:val="24"/>
              </w:rPr>
              <w:t xml:space="preserve">Adegwatezza</w:t>
            </w:r>
          </w:p>
        </w:tc>
      </w:tr>
    </w:tbl>
    <w:bookmarkEnd w:id="8"/>
    <w:p w14:paraId="564078A7" w14:textId="5B9E20CC" w:rsidR="00C62AF1" w:rsidRDefault="00C62AF1" w:rsidP="05E51075">
      <w:pPr>
        <w:spacing w:before="360" w:after="120"/>
        <w:jc w:val="both"/>
        <w:rPr>
          <w:i/>
          <w:iCs/>
          <w:color w:val="000000"/>
        </w:rPr>
      </w:pPr>
      <w:r>
        <w:rPr>
          <w:i/>
        </w:rPr>
        <w:t xml:space="preserve">Biex tipprovdi l-informazzjoni f’din it-taqsima, jekk jogħġbok irreferi għat-Taqsima 3.2.1.2 (il-punti 39-46) u għat-Taqsima 4.3.1.4.1 (il-punt 171) tas-CEEAG.</w:t>
      </w:r>
      <w:r>
        <w:rPr>
          <w:i/>
          <w:color w:val="000000" w:themeColor="text1"/>
        </w:rPr>
        <w:t xml:space="preserve"> </w:t>
      </w:r>
    </w:p>
    <w:p w14:paraId="068B8D0E" w14:textId="30AE85C5" w:rsidR="00EA5315" w:rsidRPr="008E5A69" w:rsidRDefault="00EA5315" w:rsidP="008E5A69">
      <w:pPr>
        <w:tabs>
          <w:tab w:val="left" w:leader="dot" w:pos="9072"/>
        </w:tabs>
        <w:spacing w:before="120" w:after="120"/>
        <w:ind w:left="567"/>
        <w:jc w:val="both"/>
      </w:pPr>
    </w:p>
    <w:p w14:paraId="026172D1" w14:textId="625BDB39" w:rsidR="00C62AF1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Sabiex tivverifika l-konformità mal-punt 41 tas-CEEAG, jekk jogħġbok uri li l-miżura ta’ għajnuna hija mfassla b’tali mod li ma ddgħajjifx l-effiċjenza ta’ miżuri oħra li jirrimedjaw l-istess falliment tas-suq, bħal mekkaniżmi bbażati fuq is-suq (pereżempju, l-EU ETS).</w:t>
      </w:r>
      <w:r>
        <w:t xml:space="preserve"> </w:t>
      </w:r>
    </w:p>
    <w:p w14:paraId="75EE62C6" w14:textId="1B5F9E65" w:rsidR="00DB6946" w:rsidRPr="00AC286A" w:rsidRDefault="00C62AF1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06AB541" w14:textId="78F5FC62" w:rsidR="00C62AF1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Biex tivverifika l-konformità mal-punt 42 tas-CEEAG, jekk jogħġbok ikkonferma li l-ebda wieħed </w:t>
      </w:r>
      <w:r>
        <w:rPr>
          <w:shd w:val="clear" w:color="auto" w:fill="FFFFFF"/>
        </w:rPr>
        <w:t xml:space="preserve">mill-benefiċjarji tal-miżura/i ta’ għajnuna ma seta’ jinżamm responsabbli għat-tniġġis taħt id-dritt eżistenti tal-Unjoni jew nazzjonali (</w:t>
      </w:r>
      <w:r>
        <w:rPr>
          <w:shd w:val="clear" w:color="auto" w:fill="FFFFFF"/>
          <w:i/>
        </w:rPr>
        <w:t xml:space="preserve">il-prinċipju ta’ “min iniġġes iħallas”</w:t>
      </w:r>
      <w:r>
        <w:rPr>
          <w:shd w:val="clear" w:color="auto" w:fill="FFFFFF"/>
        </w:rPr>
        <w:t xml:space="preserve">).</w:t>
      </w:r>
      <w:r>
        <w:rPr>
          <w:shd w:val="clear" w:color="auto" w:fill="FFFFFF"/>
        </w:rPr>
        <w:t xml:space="preserve"> </w:t>
      </w:r>
    </w:p>
    <w:p w14:paraId="78B86DBB" w14:textId="77777777" w:rsidR="00C62AF1" w:rsidRDefault="00C62AF1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5A527E" w14:textId="77777777" w:rsidR="000D302E" w:rsidRPr="00AC286A" w:rsidRDefault="000D302E" w:rsidP="000D302E">
      <w:pPr>
        <w:pStyle w:val="ListParagraph"/>
        <w:tabs>
          <w:tab w:val="left" w:leader="dot" w:pos="9072"/>
        </w:tabs>
        <w:spacing w:before="120" w:after="120"/>
        <w:ind w:left="927"/>
        <w:jc w:val="both"/>
      </w:pPr>
    </w:p>
    <w:p w14:paraId="186124FF" w14:textId="6ED7F872" w:rsidR="00FE373B" w:rsidRDefault="002360FE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Biex tivverifika l-konformità mal-punti minn 43 sa 46 tas-CEEAG, biex turi l-adegwatezza tal-għajnuna fost strumenti ta’ għajnuna differenti, ipprovdi l-informazzjoni li ġejja:</w:t>
      </w:r>
      <w:r>
        <w:t xml:space="preserve"> </w:t>
      </w:r>
    </w:p>
    <w:p w14:paraId="50891D0D" w14:textId="0B4D0D67" w:rsidR="00C62AF1" w:rsidRPr="00AC286A" w:rsidRDefault="00C62AF1" w:rsidP="0000132C">
      <w:pPr>
        <w:pStyle w:val="ListParagraph"/>
        <w:numPr>
          <w:ilvl w:val="0"/>
          <w:numId w:val="34"/>
        </w:numPr>
        <w:spacing w:after="120"/>
        <w:jc w:val="both"/>
      </w:pPr>
      <w:r>
        <w:t xml:space="preserve">Spjega għaliex forom oħra ta’ għajnuna potenzjalment inqas distorsivi huma inqas xierqa, kif meħtieġ fil-punt 44 tas-CEEAG.</w:t>
      </w:r>
      <w:r>
        <w:t xml:space="preserve"> </w:t>
      </w:r>
      <w:r>
        <w:t xml:space="preserve">Forom inqas distorsivi ta’ għajnuna jistgħu jkunu self bil-quddiem li jitħallas lura meta mqabbel ma’ għotjiet diretti;</w:t>
      </w:r>
      <w:r>
        <w:t xml:space="preserve"> </w:t>
      </w:r>
      <w:r>
        <w:t xml:space="preserve">krediti ta’ taxxa meta mqabbel ma’ tnaqqis ta’ taxxa;</w:t>
      </w:r>
      <w:r>
        <w:t xml:space="preserve"> </w:t>
      </w:r>
      <w:r>
        <w:t xml:space="preserve">jew forom oħra ta’ għajnuna li huma bbażati fuq strumenti finanzjarji, bħal dejn meta mqabbel ma’ strumenti ta’ ekwità, inkluż, pereżempju, self b’imgħax baxx jew tnaqqis tal-imgħax, garanziji tal-gvern, jew forniment ta’ finanzjament alternattiv b’termini favorevoli.</w:t>
      </w:r>
    </w:p>
    <w:p w14:paraId="372C4F32" w14:textId="4CDC8AAD" w:rsidR="00C62AF1" w:rsidRDefault="005D49D8" w:rsidP="005D49D8">
      <w:pPr>
        <w:pStyle w:val="ListParagraph"/>
        <w:tabs>
          <w:tab w:val="left" w:leader="dot" w:pos="9072"/>
        </w:tabs>
        <w:spacing w:before="120" w:after="120"/>
        <w:ind w:left="1418"/>
        <w:jc w:val="both"/>
      </w:pPr>
      <w:r>
        <w:tab/>
      </w:r>
      <w:r>
        <w:tab/>
      </w:r>
    </w:p>
    <w:p w14:paraId="67C26DAD" w14:textId="77777777" w:rsidR="000D302E" w:rsidRPr="00AC286A" w:rsidRDefault="000D302E" w:rsidP="000D302E">
      <w:pPr>
        <w:pStyle w:val="ListParagraph"/>
        <w:tabs>
          <w:tab w:val="left" w:leader="dot" w:pos="9072"/>
        </w:tabs>
        <w:spacing w:before="120" w:after="120"/>
        <w:ind w:left="927"/>
        <w:jc w:val="both"/>
      </w:pPr>
    </w:p>
    <w:p w14:paraId="39E6F1FA" w14:textId="073F1EC2" w:rsidR="00C62AF1" w:rsidRPr="00AC286A" w:rsidRDefault="00994D76" w:rsidP="0000132C">
      <w:pPr>
        <w:pStyle w:val="ListParagraph"/>
        <w:numPr>
          <w:ilvl w:val="0"/>
          <w:numId w:val="34"/>
        </w:numPr>
        <w:spacing w:before="120" w:after="120"/>
        <w:contextualSpacing w:val="0"/>
        <w:jc w:val="both"/>
      </w:pPr>
      <w:r>
        <w:t xml:space="preserve">Uri li l-għażla tal-istrument ta’ għajnuna hija xierqa għall-falliment tas-suq li l-miżura/i ta’ għajnuna għandha l-għan li tindirizza, kif meħtieġ fil-punt 45 tas-CEEAG.</w:t>
      </w:r>
    </w:p>
    <w:p w14:paraId="6BDDE23A" w14:textId="77777777" w:rsidR="00C62AF1" w:rsidRDefault="00C62AF1" w:rsidP="005D49D8">
      <w:pPr>
        <w:pStyle w:val="ListParagraph"/>
        <w:tabs>
          <w:tab w:val="left" w:leader="dot" w:pos="9072"/>
        </w:tabs>
        <w:spacing w:before="120" w:after="120"/>
        <w:ind w:left="1418"/>
        <w:jc w:val="both"/>
      </w:pPr>
      <w:r>
        <w:tab/>
      </w:r>
    </w:p>
    <w:p w14:paraId="12AE9A6F" w14:textId="77777777" w:rsidR="000D302E" w:rsidRPr="00AC286A" w:rsidRDefault="000D302E" w:rsidP="000D302E">
      <w:pPr>
        <w:pStyle w:val="ListParagraph"/>
        <w:tabs>
          <w:tab w:val="left" w:leader="dot" w:pos="9072"/>
        </w:tabs>
        <w:spacing w:before="120" w:after="120"/>
        <w:ind w:left="927"/>
        <w:jc w:val="both"/>
      </w:pPr>
    </w:p>
    <w:p w14:paraId="3A3CC62E" w14:textId="211356A6" w:rsidR="00C62AF1" w:rsidRPr="00AC286A" w:rsidRDefault="00C77ACB" w:rsidP="0000132C">
      <w:pPr>
        <w:pStyle w:val="ListParagraph"/>
        <w:numPr>
          <w:ilvl w:val="0"/>
          <w:numId w:val="34"/>
        </w:numPr>
        <w:spacing w:before="120" w:after="120"/>
        <w:contextualSpacing w:val="0"/>
        <w:jc w:val="both"/>
      </w:pPr>
      <w:r>
        <w:t xml:space="preserve">Jekk jogħġbok spjega </w:t>
      </w:r>
      <w:r>
        <w:rPr>
          <w:color w:val="000000"/>
          <w:shd w:val="clear" w:color="auto" w:fill="FFFFFF"/>
        </w:rPr>
        <w:t xml:space="preserve">kif il-miżura ta’ għajnuna u t-tfassil tagħha</w:t>
      </w:r>
      <w:r>
        <w:t xml:space="preserve"> </w:t>
      </w:r>
      <w:r>
        <w:rPr>
          <w:color w:val="000000"/>
          <w:shd w:val="clear" w:color="auto" w:fill="FFFFFF"/>
        </w:rPr>
        <w:t xml:space="preserve">huma xierqa biex jintlaħaq l-objettiv tal-miżura li għaliha hija mmirata l-għajnuna (il-punt 46 tas-CEEAG)</w:t>
      </w:r>
      <w:r>
        <w:t xml:space="preserve">.</w:t>
      </w:r>
    </w:p>
    <w:p w14:paraId="488B96F8" w14:textId="3AFD4111" w:rsidR="00C62AF1" w:rsidRDefault="00C62AF1" w:rsidP="005D49D8">
      <w:pPr>
        <w:pStyle w:val="ListParagraph"/>
        <w:tabs>
          <w:tab w:val="left" w:leader="dot" w:pos="9072"/>
        </w:tabs>
        <w:spacing w:before="120" w:after="120"/>
        <w:ind w:left="1418"/>
        <w:jc w:val="both"/>
      </w:pPr>
      <w:r>
        <w:tab/>
      </w:r>
    </w:p>
    <w:p w14:paraId="01BA4EEB" w14:textId="77777777" w:rsidR="000D302E" w:rsidRPr="00AC286A" w:rsidRDefault="000D302E" w:rsidP="000D302E">
      <w:pPr>
        <w:pStyle w:val="ListParagraph"/>
        <w:tabs>
          <w:tab w:val="left" w:leader="dot" w:pos="9072"/>
        </w:tabs>
        <w:spacing w:before="120" w:after="120"/>
        <w:ind w:left="927"/>
        <w:jc w:val="both"/>
      </w:pPr>
    </w:p>
    <w:p w14:paraId="20B606D7" w14:textId="4BB7ED11" w:rsidR="002D190D" w:rsidRPr="00AC286A" w:rsidRDefault="002D190D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Biex tivverifika l-konformità mal-punti 40 u 171 tas-CEEAG, jekk jogħġbok spjega jekk tipi oħra ta’ interventi minbarra l-għajnuna mill-Istat ma setgħux jistimulaw l-iżvilupp tas-suq tal-mobbiltà nadifa u ddeskrivi l-impatt mistenni tagħhom meta mqabbel ma’ dak tal-miżura proposta.</w:t>
      </w:r>
      <w:r>
        <w:t xml:space="preserve"> </w:t>
      </w:r>
      <w:r>
        <w:t xml:space="preserve">Dawn it-tipi oħra ta’ interventi jistgħu jinkludu l-introduzzjoni ta’ miżuri ġenerali mmirati lejn il-promozzjoni tal-akkwist ta’ vetturi nodfa bħal skemi ta’ bonus ekoloġiku jew skemi ta’ skrappjar jew il-ħolqien ta’ żoni b’emissjonijiet baxxi fl-Istat Membru kkonċernat</w:t>
      </w:r>
    </w:p>
    <w:p w14:paraId="2883B8C9" w14:textId="296D3E43" w:rsidR="001631E6" w:rsidRPr="00AC286A" w:rsidRDefault="00FC4C91" w:rsidP="008B2060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2E4A39" w:rsidRPr="00AC286A" w14:paraId="2724B015" w14:textId="77777777" w:rsidTr="002E4A39">
        <w:tc>
          <w:tcPr>
            <w:tcW w:w="9322" w:type="dxa"/>
            <w:shd w:val="clear" w:color="auto" w:fill="C9C9C9"/>
          </w:tcPr>
          <w:p w14:paraId="18D4649E" w14:textId="681683ED" w:rsidR="002E4A39" w:rsidRPr="00AC286A" w:rsidRDefault="002E4A39" w:rsidP="0000132C">
            <w:pPr>
              <w:pStyle w:val="Heading1"/>
              <w:numPr>
                <w:ilvl w:val="2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Proporzjonalità</w:t>
            </w:r>
          </w:p>
        </w:tc>
      </w:tr>
    </w:tbl>
    <w:p w14:paraId="4583CF53" w14:textId="484D45EB" w:rsidR="002E4A39" w:rsidRPr="00AC286A" w:rsidRDefault="002E4A39" w:rsidP="001F1E32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 3.2.1.3 (il-punti 47-55) u għat-Taqsima 4.3.1.4.2 (il-punti 172-181) tas-CEEAG.</w:t>
      </w:r>
      <w:r>
        <w:rPr>
          <w:i/>
        </w:rPr>
        <w:t xml:space="preserve"> </w:t>
      </w:r>
      <w:r>
        <w:rPr>
          <w:i/>
        </w:rPr>
        <w:t xml:space="preserve">Jekk jogħġbok innota li </w:t>
      </w:r>
      <w:r>
        <w:rPr>
          <w:i/>
          <w:u w:val="single"/>
        </w:rPr>
        <w:t xml:space="preserve">ż-żewġ Taqsimiet 2.1.3.1. u 2.1.3.2. li ġejjin huma alternattivi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Jekk jogħġbok ipprovdi tweġibiet biss għat-taqsima applikabbli, skont it-tfassil tal-miżura proposta.</w:t>
      </w:r>
    </w:p>
    <w:p w14:paraId="47952567" w14:textId="77777777" w:rsidR="00C62AF1" w:rsidRPr="00AC286A" w:rsidRDefault="00C62AF1" w:rsidP="00C62AF1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12480B88" w14:textId="77777777" w:rsidTr="009A7D29">
        <w:tc>
          <w:tcPr>
            <w:tcW w:w="9322" w:type="dxa"/>
            <w:shd w:val="pct15" w:color="auto" w:fill="auto"/>
          </w:tcPr>
          <w:p w14:paraId="3FC8B802" w14:textId="67424CDE" w:rsidR="00C62AF1" w:rsidRPr="00AC286A" w:rsidRDefault="00476248" w:rsidP="003722DB">
            <w:pPr>
              <w:pStyle w:val="Heading1"/>
              <w:ind w:left="1224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2.1.3.1.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Proporzjonalità tal-għajnuna mogħtija permezz ta’ proċess kompetittiv ta’ offerti</w:t>
            </w:r>
          </w:p>
        </w:tc>
      </w:tr>
    </w:tbl>
    <w:p w14:paraId="7AD4AA0A" w14:textId="77F5469E" w:rsidR="00A84671" w:rsidRPr="00AC286A" w:rsidRDefault="00C62AF1" w:rsidP="009854EF">
      <w:pPr>
        <w:pStyle w:val="ListParagraph"/>
        <w:spacing w:before="120" w:after="120"/>
        <w:ind w:left="0"/>
        <w:contextualSpacing w:val="0"/>
        <w:jc w:val="both"/>
      </w:pPr>
      <w:r>
        <w:t xml:space="preserve">Biex tipprovdi l-informazzjoni f’din it-taqsima, jekk jogħġbok irreferi għall-punti 49, 50, 173, 174 u 175 tas-CEEAG.</w:t>
      </w:r>
    </w:p>
    <w:p w14:paraId="488BAFA9" w14:textId="7E072642" w:rsidR="00C62AF1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bookmarkStart w:id="9" w:name="_Ref155798173"/>
      <w:r>
        <w:t xml:space="preserve">Sabiex tivverifika l-konformità mal-punti 49, 50 u 173 tas-CEEAG, jekk jogħġbok ipprovdi dan li ġej:</w:t>
      </w:r>
      <w:bookmarkEnd w:id="9"/>
    </w:p>
    <w:p w14:paraId="74A42F88" w14:textId="53D8C0BF" w:rsidR="00C62AF1" w:rsidRPr="00AC286A" w:rsidRDefault="384F1ED3" w:rsidP="0000132C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Jekk jogħġbok spjega kif l-awtoritajiet jiżguraw li l-proċess tal-offerti jkun miftuħ, ċar, trasparenti u mhux diskriminatorju, ibbażat fuq kriterji oġġettivi, definiti </w:t>
      </w:r>
      <w:r>
        <w:rPr>
          <w:i/>
          <w:iCs/>
        </w:rPr>
        <w:t xml:space="preserve">ex ante</w:t>
      </w:r>
      <w:r>
        <w:t xml:space="preserve"> f’konformità mal-objettiv tal-miżura u jimminimizza r-riskju ta’ offerti strateġiċi (punt 49(a) tas-CEEAG).</w:t>
      </w:r>
      <w:r>
        <w:t xml:space="preserve"> </w:t>
      </w:r>
    </w:p>
    <w:p w14:paraId="59C058BC" w14:textId="77777777" w:rsidR="00C62AF1" w:rsidRDefault="00C62AF1" w:rsidP="001C4C34">
      <w:pPr>
        <w:pStyle w:val="ListParagraph"/>
        <w:tabs>
          <w:tab w:val="left" w:leader="dot" w:pos="9072"/>
        </w:tabs>
        <w:spacing w:before="120" w:after="120"/>
        <w:ind w:left="1418"/>
        <w:jc w:val="both"/>
      </w:pPr>
      <w:r>
        <w:tab/>
      </w:r>
    </w:p>
    <w:p w14:paraId="5651CF6F" w14:textId="77777777" w:rsidR="001C4C34" w:rsidRPr="00AC286A" w:rsidRDefault="001C4C34" w:rsidP="001C4C34">
      <w:pPr>
        <w:pStyle w:val="ListParagraph"/>
        <w:tabs>
          <w:tab w:val="left" w:leader="dot" w:pos="9072"/>
        </w:tabs>
        <w:spacing w:before="120" w:after="120"/>
        <w:ind w:left="1418"/>
        <w:jc w:val="both"/>
      </w:pPr>
    </w:p>
    <w:p w14:paraId="4F6341D0" w14:textId="6A91BAD5" w:rsidR="0082588A" w:rsidRPr="00AC286A" w:rsidRDefault="070CBB00" w:rsidP="0000132C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Il-kriterji tal-għażla użati għall-klassifikazzjoni tal-offerti, u fl-aħħar mill-aħħar l-identifikazzjoni tal-livell ta’ għajnuna fil-proċess kompetittiv tal-offerti.</w:t>
      </w:r>
      <w:r>
        <w:t xml:space="preserve"> </w:t>
      </w:r>
      <w:r>
        <w:t xml:space="preserve">B’mod aktar speċifiku:</w:t>
      </w:r>
      <w:r>
        <w:t xml:space="preserve"> </w:t>
      </w:r>
    </w:p>
    <w:p w14:paraId="321C47E7" w14:textId="77777777" w:rsidR="00C62AF1" w:rsidRPr="00AC286A" w:rsidRDefault="00C62AF1" w:rsidP="0000132C">
      <w:pPr>
        <w:pStyle w:val="ListParagraph"/>
        <w:numPr>
          <w:ilvl w:val="1"/>
          <w:numId w:val="22"/>
        </w:numPr>
        <w:spacing w:before="120" w:after="120"/>
        <w:contextualSpacing w:val="0"/>
        <w:jc w:val="both"/>
      </w:pPr>
      <w:r>
        <w:t xml:space="preserve">Jekk jogħġbok ipprovdi l-lista tal-kriterji tal-għażla u speċifika liema minnhom huma/mhumiex direttament jew indirettament relatati mal-objettivi ewlenin tal-miżura/i.</w:t>
      </w:r>
      <w:r>
        <w:t xml:space="preserve"> </w:t>
      </w:r>
      <w:r>
        <w:t xml:space="preserve">Jekk jogħġbok inkludi l-ponderazzjoni tagħhom.</w:t>
      </w:r>
    </w:p>
    <w:p w14:paraId="01FF411D" w14:textId="77777777" w:rsidR="00C62AF1" w:rsidRPr="00AC286A" w:rsidRDefault="00C62AF1" w:rsidP="001631E6">
      <w:pPr>
        <w:tabs>
          <w:tab w:val="left" w:leader="dot" w:pos="9072"/>
        </w:tabs>
        <w:spacing w:before="120" w:after="120"/>
        <w:ind w:left="1800"/>
        <w:jc w:val="both"/>
      </w:pPr>
      <w:r>
        <w:tab/>
      </w:r>
    </w:p>
    <w:p w14:paraId="3871A0FF" w14:textId="0D8DE64E" w:rsidR="00C62AF1" w:rsidRPr="00AC286A" w:rsidRDefault="00C62AF1" w:rsidP="0000132C">
      <w:pPr>
        <w:pStyle w:val="ListParagraph"/>
        <w:numPr>
          <w:ilvl w:val="1"/>
          <w:numId w:val="22"/>
        </w:numPr>
        <w:spacing w:before="120" w:after="120"/>
        <w:contextualSpacing w:val="0"/>
        <w:jc w:val="both"/>
      </w:pPr>
      <w:r>
        <w:t xml:space="preserve">Jekk jogħġbok spjega kif il-kriterji tal-għażla jpoġġu l-kontribuzzjoni għall-objettivi ewlenin tal-miżura/i f’relazzjoni diretta jew indiretta mal-ammont ta’ għajnuna mitlub mill-applikant.</w:t>
      </w:r>
      <w:r>
        <w:t xml:space="preserve"> </w:t>
      </w:r>
      <w:r>
        <w:t xml:space="preserve">Dan jista’ jiġi espress, pereżempju, f’termini ta’ għajnuna għal kull unità ta’ ħarsien tal-ambjent jew għajnuna għal kull vettura nadifa jew b’emissjonijiet żero (il-punt 50 u n-nota 44 f’qiegħ il-paġna tas-CEEAG).</w:t>
      </w:r>
    </w:p>
    <w:p w14:paraId="7A3A1799" w14:textId="77777777" w:rsidR="00C62AF1" w:rsidRPr="00AC286A" w:rsidRDefault="00C62AF1" w:rsidP="001631E6">
      <w:pPr>
        <w:tabs>
          <w:tab w:val="left" w:leader="dot" w:pos="9072"/>
        </w:tabs>
        <w:spacing w:before="120" w:after="120"/>
        <w:ind w:left="1800"/>
        <w:jc w:val="both"/>
      </w:pPr>
      <w:r>
        <w:tab/>
      </w:r>
    </w:p>
    <w:p w14:paraId="21A84BEF" w14:textId="15D41F31" w:rsidR="00CD4F93" w:rsidRPr="00AC286A" w:rsidRDefault="00C62AF1" w:rsidP="0000132C">
      <w:pPr>
        <w:pStyle w:val="ListParagraph"/>
        <w:numPr>
          <w:ilvl w:val="1"/>
          <w:numId w:val="22"/>
        </w:numPr>
        <w:spacing w:before="120" w:after="120"/>
        <w:contextualSpacing w:val="0"/>
        <w:jc w:val="both"/>
      </w:pPr>
      <w:r>
        <w:t xml:space="preserve">F’każ li jkun hemm kriterji oħra tal-għażla li mhumiex relatati direttament jew indirettament mal-objettivi ewlenin tal-miżura/i, ipprovdi raġunijiet għall-approċċ propost u spjega kif huwa xieraq għall-objettivi segwiti mill-miżura/i.</w:t>
      </w:r>
      <w:r>
        <w:t xml:space="preserve"> </w:t>
      </w:r>
      <w:r>
        <w:t xml:space="preserve">Jekk jogħġbok ikkonferma wkoll li dawk il-kriterji ma jirrappreżentawx aktar minn 30 % tal-ponderazzjoni tal-kriterji kollha tal-għażla (il-punt 50 u 174 tas-CEEAG).</w:t>
      </w:r>
      <w:r>
        <w:t xml:space="preserve"> </w:t>
      </w:r>
    </w:p>
    <w:p w14:paraId="59CA41EE" w14:textId="20D14AB4" w:rsidR="00C62AF1" w:rsidRPr="00AC286A" w:rsidRDefault="00CD4F93" w:rsidP="00443E1F">
      <w:pPr>
        <w:tabs>
          <w:tab w:val="left" w:leader="dot" w:pos="9072"/>
        </w:tabs>
        <w:spacing w:before="120" w:after="120"/>
        <w:ind w:left="1800"/>
        <w:jc w:val="both"/>
      </w:pPr>
      <w:r>
        <w:tab/>
      </w:r>
    </w:p>
    <w:p w14:paraId="3F503F7F" w14:textId="2618367E" w:rsidR="00C62AF1" w:rsidRPr="00AC286A" w:rsidRDefault="070CBB00" w:rsidP="0000132C">
      <w:pPr>
        <w:pStyle w:val="ListParagraph"/>
        <w:numPr>
          <w:ilvl w:val="1"/>
          <w:numId w:val="22"/>
        </w:numPr>
        <w:spacing w:before="120" w:after="120"/>
        <w:jc w:val="both"/>
      </w:pPr>
      <w:r>
        <w:t xml:space="preserve">Spjega sa fejn qabel l-iskadenza għas-sottomissjoni tal-applikazzjonijiet f’kull proċess kompetittiv ta’ offerti se jiġu ppubblikati l-kriterji tal-għażla (il-punt 49(b) u n-nota 43 f’qiegħ il-paġna tas-CEEAG)</w:t>
      </w:r>
      <w:r>
        <w:rPr>
          <w:shd w:val="clear" w:color="auto" w:fill="FFFFFF"/>
        </w:rPr>
        <w:t xml:space="preserve">.</w:t>
      </w:r>
    </w:p>
    <w:p w14:paraId="04A0C488" w14:textId="77777777" w:rsidR="00C62AF1" w:rsidRPr="00AC286A" w:rsidRDefault="00C62AF1" w:rsidP="001631E6">
      <w:pPr>
        <w:tabs>
          <w:tab w:val="left" w:leader="dot" w:pos="9072"/>
        </w:tabs>
        <w:spacing w:before="120" w:after="120"/>
        <w:ind w:left="1800"/>
        <w:jc w:val="both"/>
      </w:pPr>
      <w:r>
        <w:tab/>
      </w:r>
    </w:p>
    <w:p w14:paraId="19160455" w14:textId="530B6ED4" w:rsidR="00A84671" w:rsidRPr="0018778D" w:rsidRDefault="00A84671" w:rsidP="0000132C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  <w:rPr>
          <w:shd w:val="clear" w:color="auto" w:fill="FFFFFF"/>
        </w:rPr>
      </w:pPr>
      <w:r>
        <w:t xml:space="preserve">Jekk jogħġbok</w:t>
      </w:r>
      <w:r>
        <w:rPr>
          <w:shd w:val="clear" w:color="auto" w:fill="FFFFFF"/>
        </w:rPr>
        <w:t xml:space="preserve"> </w:t>
      </w:r>
      <w:r>
        <w:t xml:space="preserve">spjega</w:t>
      </w:r>
      <w:r>
        <w:rPr>
          <w:shd w:val="clear" w:color="auto" w:fill="FFFFFF"/>
        </w:rPr>
        <w:t xml:space="preserve"> l-elementi li fuqhom bbażajt is-suppożizzjoni li l-proċess ta’ offerti se jkun miftuħ u sottoskritt kif suppost, jiġifieri li jista’ jkun mistenni li mhux l-offerenti kollha se jirċievu għajnuna u li l-għadd mistenni ta’ offerenti jkun biżżejjed biex tiġi żgurata kompetizzjoni effettiva għat-tul ta’ żmien tal-iskema (il-punt 49(c) tas-CEEAG).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Fl-ispjegazzjoni tiegħek, jekk jogħġbok ikkunsidra l-baġit jew il-volum tal-iskema.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Fejn rilevanti, jekk jogħġbok irreferi għall-evidenza pprovduta bi tweġibiet għall-mistoqsija </w:t>
      </w:r>
      <w:r>
        <w:rPr>
          <w:shd w:val="clear" w:color="auto" w:fill="FFFFFF"/>
        </w:rPr>
        <w:fldChar w:fldCharType="begin" w:dirty="true"/>
      </w:r>
      <w:r>
        <w:rPr>
          <w:shd w:val="clear" w:color="auto" w:fill="FFFFFF"/>
        </w:rPr>
        <w:instrText xml:space="preserve"> REF _Ref150179558 \r \h  \* MERGEFORMAT </w:instrText>
      </w:r>
      <w:r>
        <w:rPr>
          <w:shd w:val="clear" w:color="auto" w:fill="FFFFFF"/>
        </w:rPr>
      </w:r>
      <w:r>
        <w:rPr>
          <w:shd w:val="clear" w:color="auto" w:fill="FFFFFF"/>
        </w:rPr>
        <w:fldChar w:fldCharType="separate"/>
      </w:r>
      <w:r>
        <w:rPr>
          <w:shd w:val="clear" w:color="auto" w:fill="FFFFFF"/>
        </w:rPr>
        <w:t xml:space="preserve">12</w:t>
      </w:r>
      <w:r>
        <w:rPr>
          <w:shd w:val="clear" w:color="auto" w:fill="FFFFFF"/>
        </w:rPr>
        <w:fldChar w:fldCharType="end"/>
      </w:r>
      <w:r>
        <w:rPr>
          <w:shd w:val="clear" w:color="auto" w:fill="FFFFFF"/>
        </w:rPr>
        <w:t xml:space="preserve">.</w:t>
      </w:r>
      <w:r>
        <w:rPr>
          <w:shd w:val="clear" w:color="auto" w:fill="FFFFFF"/>
        </w:rPr>
        <w:t xml:space="preserve"> </w:t>
      </w:r>
    </w:p>
    <w:p w14:paraId="7CB0F67C" w14:textId="3C43A678" w:rsidR="00A84671" w:rsidRPr="00AC286A" w:rsidRDefault="00A84671" w:rsidP="001C4C34">
      <w:pPr>
        <w:tabs>
          <w:tab w:val="left" w:leader="dot" w:pos="9072"/>
        </w:tabs>
        <w:spacing w:before="120" w:after="120"/>
        <w:ind w:left="1560"/>
        <w:jc w:val="both"/>
      </w:pPr>
      <w:r>
        <w:t xml:space="preserve">…………………………………………………………………………………</w:t>
      </w:r>
    </w:p>
    <w:p w14:paraId="05788345" w14:textId="0EF6C912" w:rsidR="00C62AF1" w:rsidRPr="00AC286A" w:rsidRDefault="00C62AF1" w:rsidP="00874EB7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Jekk jogħġbok</w:t>
      </w:r>
      <w:r>
        <w:rPr>
          <w:shd w:val="clear" w:color="auto" w:fill="FFFFFF"/>
        </w:rPr>
        <w:t xml:space="preserve"> ipprovdi</w:t>
      </w:r>
      <w:r>
        <w:t xml:space="preserve"> informazzjoni</w:t>
      </w:r>
      <w:r>
        <w:rPr>
          <w:shd w:val="clear" w:color="auto" w:fill="FFFFFF"/>
        </w:rPr>
        <w:t xml:space="preserve"> dwar l-għadd ta’ sessjonijiet ta’ offerti previsti u l-għadd mistenni ta’ offerenti fl-ewwel ċiklu u matul iż-żmien.</w:t>
      </w:r>
    </w:p>
    <w:p w14:paraId="7B50A8BB" w14:textId="77777777" w:rsidR="00C62AF1" w:rsidRPr="00AC286A" w:rsidRDefault="00C62AF1" w:rsidP="0082588A">
      <w:pPr>
        <w:tabs>
          <w:tab w:val="left" w:leader="dot" w:pos="9072"/>
        </w:tabs>
        <w:spacing w:before="120" w:after="120"/>
        <w:ind w:left="1080" w:firstLine="763"/>
        <w:jc w:val="both"/>
      </w:pPr>
      <w:r>
        <w:tab/>
      </w:r>
    </w:p>
    <w:p w14:paraId="606616C0" w14:textId="6A613B09" w:rsidR="00C62AF1" w:rsidRPr="00AC286A" w:rsidRDefault="00071F5F" w:rsidP="00874EB7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rPr>
          <w:shd w:val="clear" w:color="auto" w:fill="FFFFFF"/>
        </w:rPr>
        <w:t xml:space="preserve">Fil-każ ta’ proċess wieħed jew aktar ta’ offerti sottosottoskritti, jekk jogħġbok spjega kif it-tfassil tal-proċessi ta’ offerti se jiġi kkoreġut matul l-implimentazzjoni tal-iskema sabiex terġa’ tinkiseb kompetizzjoni effettiva, u meta </w:t>
      </w:r>
      <w:r>
        <w:t xml:space="preserve">(il-punt 49(c) tas-CEEAG)</w:t>
      </w:r>
      <w:r>
        <w:rPr>
          <w:shd w:val="clear" w:color="auto" w:fill="FFFFFF"/>
        </w:rPr>
        <w:t xml:space="preserve">.</w:t>
      </w:r>
      <w:r>
        <w:rPr>
          <w:shd w:val="clear" w:color="auto" w:fill="FFFFFF"/>
        </w:rPr>
        <w:t xml:space="preserve"> </w:t>
      </w:r>
    </w:p>
    <w:p w14:paraId="4783B7AA" w14:textId="77777777" w:rsidR="00C62AF1" w:rsidRPr="00AC286A" w:rsidRDefault="00C62AF1" w:rsidP="0082588A">
      <w:pPr>
        <w:tabs>
          <w:tab w:val="left" w:leader="dot" w:pos="9072"/>
        </w:tabs>
        <w:spacing w:before="120" w:after="120"/>
        <w:ind w:left="1080" w:firstLine="763"/>
        <w:jc w:val="both"/>
      </w:pPr>
      <w:r>
        <w:tab/>
      </w:r>
    </w:p>
    <w:p w14:paraId="2329CE86" w14:textId="08788E09" w:rsidR="00C62AF1" w:rsidRPr="00AC286A" w:rsidRDefault="00C62AF1" w:rsidP="00874EB7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Jekk jogħġbok</w:t>
      </w:r>
      <w:r>
        <w:rPr>
          <w:shd w:val="clear" w:color="auto" w:fill="FFFFFF"/>
          <w:rStyle w:val="oj-italic"/>
        </w:rPr>
        <w:t xml:space="preserve">ikkonferma li aġġustamenti </w:t>
      </w:r>
      <w:r>
        <w:rPr>
          <w:shd w:val="clear" w:color="auto" w:fill="FFFFFF"/>
          <w:rStyle w:val="oj-italic"/>
          <w:i/>
          <w:iCs/>
        </w:rPr>
        <w:t xml:space="preserve">ex post</w:t>
      </w:r>
      <w:r>
        <w:rPr>
          <w:shd w:val="clear" w:color="auto" w:fill="FFFFFF"/>
        </w:rPr>
        <w:t xml:space="preserve">għall-eżitu tal-proċess ta’ offerti (bħal negozjati sussegwenti dwar ir-riżultati tal-offerti jew ir-razzjonar) jiġu evitati</w:t>
      </w:r>
      <w:r>
        <w:t xml:space="preserve"> (il-punt 49(d) tas-CEEAG)</w:t>
      </w:r>
      <w:r>
        <w:rPr>
          <w:shd w:val="clear" w:color="auto" w:fill="FFFFFF"/>
        </w:rPr>
        <w:t xml:space="preserve">.</w:t>
      </w:r>
    </w:p>
    <w:p w14:paraId="15E4B563" w14:textId="77777777" w:rsidR="00C62AF1" w:rsidRPr="00AC286A" w:rsidRDefault="00C62AF1" w:rsidP="0082588A">
      <w:pPr>
        <w:tabs>
          <w:tab w:val="left" w:leader="dot" w:pos="9072"/>
        </w:tabs>
        <w:spacing w:before="120" w:after="120"/>
        <w:ind w:left="1080" w:firstLine="763"/>
        <w:jc w:val="both"/>
      </w:pPr>
      <w:r>
        <w:tab/>
      </w:r>
    </w:p>
    <w:p w14:paraId="020F4E1E" w14:textId="26E05E28" w:rsidR="00C62AF1" w:rsidRPr="00AC286A" w:rsidRDefault="00C62AF1" w:rsidP="00874EB7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F’każ li jkun hemm possibbiltà ta’ “</w:t>
      </w:r>
      <w:r>
        <w:rPr>
          <w:i/>
          <w:iCs/>
        </w:rPr>
        <w:t xml:space="preserve">offerti mingħajr sussidju</w:t>
      </w:r>
      <w:r>
        <w:t xml:space="preserve">”, jekk jogħġbok spjega kif </w:t>
      </w:r>
      <w:r>
        <w:rPr>
          <w:shd w:val="clear" w:color="auto" w:fill="FFFFFF"/>
        </w:rPr>
        <w:t xml:space="preserve">se</w:t>
      </w:r>
      <w:r>
        <w:t xml:space="preserve"> tiġi żgurata </w:t>
      </w:r>
      <w:r>
        <w:rPr>
          <w:i/>
          <w:iCs/>
        </w:rPr>
        <w:t xml:space="preserve">l-proporzjonalità</w:t>
      </w:r>
      <w:r>
        <w:t xml:space="preserve"> (jekk jogħġbok ara l-punt 49, in-nota 42 f’qiegħ il-paġna, tas-CEEAG).</w:t>
      </w:r>
      <w:r>
        <w:t xml:space="preserve"> </w:t>
      </w:r>
    </w:p>
    <w:p w14:paraId="20347C63" w14:textId="77777777" w:rsidR="00C62AF1" w:rsidRPr="00AC286A" w:rsidRDefault="00C62AF1" w:rsidP="0082588A">
      <w:pPr>
        <w:tabs>
          <w:tab w:val="left" w:leader="dot" w:pos="9072"/>
        </w:tabs>
        <w:spacing w:before="120" w:after="120"/>
        <w:ind w:left="1080" w:firstLine="763"/>
        <w:jc w:val="both"/>
      </w:pPr>
      <w:r>
        <w:tab/>
      </w:r>
    </w:p>
    <w:p w14:paraId="4BFB0DF4" w14:textId="1D925FCB" w:rsidR="00443E1F" w:rsidRDefault="00C62AF1" w:rsidP="00874EB7">
      <w:pPr>
        <w:pStyle w:val="ListParagraph"/>
        <w:numPr>
          <w:ilvl w:val="0"/>
          <w:numId w:val="35"/>
        </w:numPr>
        <w:spacing w:before="120" w:after="120"/>
        <w:contextualSpacing w:val="0"/>
        <w:jc w:val="both"/>
      </w:pPr>
      <w:r>
        <w:t xml:space="preserve">Jekk jogħġbok ikkjarifika jekk l-awtoritajiet jipprevedux l-użu ta’ livelli minimi tal-prezzijiet minimi jew massimi fil-proċess kompetittiv ta’ offerti.</w:t>
      </w:r>
      <w:r>
        <w:t xml:space="preserve"> </w:t>
      </w:r>
      <w:r>
        <w:t xml:space="preserve">Fl-affermattiv, jekk jogħġbok iġġustifika l-użu tagħhom u spjega kif dawn ma jillimitawx il-proċess kompetittiv ta’ offerti (il-punt 49 u n-nota 42 f’qiegħ il-paġna tas-CEEAG).</w:t>
      </w:r>
    </w:p>
    <w:p w14:paraId="65B75D11" w14:textId="77777777" w:rsidR="00443E1F" w:rsidRPr="00AC286A" w:rsidRDefault="00443E1F" w:rsidP="0082588A">
      <w:pPr>
        <w:tabs>
          <w:tab w:val="left" w:leader="dot" w:pos="9072"/>
        </w:tabs>
        <w:spacing w:before="120" w:after="120"/>
        <w:ind w:left="1080" w:firstLine="763"/>
        <w:jc w:val="both"/>
      </w:pPr>
      <w:r>
        <w:tab/>
      </w:r>
    </w:p>
    <w:p w14:paraId="5C9F3D54" w14:textId="1383C4E2" w:rsidR="00CD4F93" w:rsidRPr="00AC286A" w:rsidRDefault="00C62AF1" w:rsidP="0000132C">
      <w:pPr>
        <w:numPr>
          <w:ilvl w:val="0"/>
          <w:numId w:val="4"/>
        </w:numPr>
        <w:spacing w:before="120" w:after="120"/>
        <w:ind w:left="567" w:hanging="567"/>
        <w:jc w:val="both"/>
        <w:rPr>
          <w:sz w:val="22"/>
        </w:rPr>
      </w:pPr>
      <w:r>
        <w:t xml:space="preserve">Jekk jogħġbok spjega kif it-tfassil tal-proċess kompetittiv ta’ offerti jiżgura li jibqgħu biżżejjed inċentivi għall-applikanti biex jagħmlu offerti għal proġetti li jirrigwardaw l-akkwist ta’ vetturi b’emissjonijiet żero, li ġeneralment ikunu aktar għaljin minn alternattivi inqas ekoloġiċi, sa fejn dawn ikunu disponibbli għal dak il-mod tat-trasport.</w:t>
      </w:r>
      <w:r>
        <w:t xml:space="preserve"> </w:t>
      </w:r>
      <w:r>
        <w:t xml:space="preserve">Pereżempju, jekk jogħġbok spjega jekk it-tfassil tal-offerti kompetittivi jinkludix primjums li jippermettu li jiġi assenjat punteġġ ogħla għal proġetti li jġibu benefiċċji ambjentali lil hinn minn dawk li jirriżultaw mir-rekwiżiti tal-eliġibbiltà jew l-objettiv primarju tal-miżura (il-punt 175 tas-CEEAG).</w:t>
      </w:r>
    </w:p>
    <w:p w14:paraId="6B585890" w14:textId="34F2F233" w:rsidR="00C62AF1" w:rsidRPr="003722DB" w:rsidRDefault="00CD4F93" w:rsidP="001C4C34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3FF24D3D" w14:textId="77777777" w:rsidTr="009A7D29">
        <w:tc>
          <w:tcPr>
            <w:tcW w:w="9322" w:type="dxa"/>
            <w:shd w:val="pct15" w:color="auto" w:fill="auto"/>
          </w:tcPr>
          <w:p w14:paraId="374A7EE1" w14:textId="7FF04457" w:rsidR="00C62AF1" w:rsidRPr="00AC286A" w:rsidRDefault="007A724B" w:rsidP="00DE3B1E">
            <w:pPr>
              <w:pStyle w:val="Heading1"/>
              <w:ind w:left="1224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2.1.3.2.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Proporzjonalità tal-għajnuna mhux mogħtija permezz ta’ proċess kompetittiv ta’ offerti</w:t>
            </w:r>
          </w:p>
        </w:tc>
      </w:tr>
    </w:tbl>
    <w:p w14:paraId="422D5582" w14:textId="3525E601" w:rsidR="00C62AF1" w:rsidRPr="00AC286A" w:rsidRDefault="00C62AF1" w:rsidP="009854EF">
      <w:pPr>
        <w:pStyle w:val="ListParagraph"/>
        <w:spacing w:before="120" w:after="120"/>
        <w:ind w:left="0"/>
        <w:contextualSpacing w:val="0"/>
        <w:jc w:val="both"/>
      </w:pPr>
      <w:r>
        <w:rPr>
          <w:i/>
        </w:rPr>
        <w:t xml:space="preserve">Biex tipprovdi l-informazzjoni f’din it-taqsima, jekk jogħġbok irreferi għall-punti 51-55 u 176-181 tas-CEEAG.</w:t>
      </w:r>
    </w:p>
    <w:p w14:paraId="1F6FE818" w14:textId="1814D969" w:rsidR="00EF71CF" w:rsidRPr="00EF71CF" w:rsidRDefault="00EF71CF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Jekk jogħġbok spjega għaliex ma jintużax proċess kompetittiv ta’ offerti (b’referenza għall-eċċezzjonijiet stipulati fil-punt 176 tas-CEEAG):</w:t>
      </w:r>
      <w:r>
        <w:t xml:space="preserve"> </w:t>
      </w:r>
    </w:p>
    <w:p w14:paraId="662CF7E0" w14:textId="77777777" w:rsidR="001A514F" w:rsidRPr="001A514F" w:rsidRDefault="009A3188" w:rsidP="0000132C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</w:pPr>
      <w:r>
        <w:t xml:space="preserve">l-għadd mistenni ta’ parteċipanti mhuwiex biżżejjed biex tiġi żgurata kompetizzjoni effettiva jew jiġu evitati offerti strateġiċi;</w:t>
      </w:r>
      <w:r>
        <w:t xml:space="preserve"> </w:t>
      </w:r>
      <w:r>
        <w:rPr>
          <w:i/>
        </w:rPr>
        <w:t xml:space="preserve">JEW</w:t>
      </w:r>
    </w:p>
    <w:p w14:paraId="2BE7768F" w14:textId="52FE47F8" w:rsidR="001A514F" w:rsidRDefault="009A3188" w:rsidP="0000132C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</w:pPr>
      <w:r>
        <w:t xml:space="preserve">proċess kompetittiv ta’ offerti, kif deskritt fil-punti 49 u 50, mhuwiex xieraq biex tiġi żgurata l-proporzjonalità tal-għajnuna u li l-użu tal-metodi alternattivi fil-punti 177 sa 180 tas-CEEAG biex tintwera l-proporzjonalità ma jżidx ir-riskju ta’ distorsjonijiet tal-kompetizzjoni bla bżonn, skont il-karatteristiki tal-miżura jew tas-setturi jew tal-modi tat-trasport ikkonċernati;</w:t>
      </w:r>
      <w:r>
        <w:t xml:space="preserve"> </w:t>
      </w:r>
      <w:r>
        <w:rPr>
          <w:i/>
        </w:rPr>
        <w:t xml:space="preserve">JEW</w:t>
      </w:r>
      <w:r>
        <w:t xml:space="preserve"> </w:t>
      </w:r>
    </w:p>
    <w:p w14:paraId="5D52BE55" w14:textId="25904D05" w:rsidR="009A3188" w:rsidRDefault="009A3188" w:rsidP="0000132C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</w:pPr>
      <w:r>
        <w:t xml:space="preserve">l-għajnuna tingħata għall-akkwist jew il-kiri ta’ vetturi maħsuba għall-użu minn impriżi attivi fis-settur tat-trasport pubbliku tal-passiġġieri bl-art, bil-ferrovija jew bil-baħar.</w:t>
      </w:r>
    </w:p>
    <w:p w14:paraId="35C3311B" w14:textId="5F324DD8" w:rsidR="00A84671" w:rsidRPr="001631E6" w:rsidRDefault="003115D9" w:rsidP="001C4C34">
      <w:pPr>
        <w:ind w:left="1560" w:hanging="142"/>
        <w:jc w:val="both"/>
      </w:pPr>
      <w:r>
        <w:t xml:space="preserve">…………………………………………………………………………………</w:t>
      </w:r>
    </w:p>
    <w:p w14:paraId="3DE19FEA" w14:textId="23F4A917" w:rsidR="008E430F" w:rsidRDefault="00B63C98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Jekk jogħġbok identifika l-kostijiet żejda netti tal-investiment.</w:t>
      </w:r>
      <w:r>
        <w:t xml:space="preserve"> </w:t>
      </w:r>
      <w:r>
        <w:t xml:space="preserve">Dawn huma kkalkulati bħala d-differenza, minn naħa waħda, bejn il-kost totali tas-sjieda tal-vettura nadifa prevista li tiġi akkwistata jew mikrija, u min-naħa l-oħra l-kost totali tas-sjieda fix-xenarju kontrofattwali, bl-esklużjoni tal-kostijiet li mhumiex marbuta direttament mal-ksib ta’ livell ogħla ta’ ħarsien tal-ambjent.</w:t>
      </w:r>
      <w:r>
        <w:t xml:space="preserve"> </w:t>
      </w:r>
      <w:r>
        <w:t xml:space="preserve">Fir-rigward tal-modifika retroattiva ta’ vetturi jew ta’ tagħmir għas-servizzi mobbli, il-kostijiet eliġibbli jistgħu jkunu l-kostijiet totali tal-modifika retroattiva sakemm fix-xenarju kontrofattwali l-vetturi jew it-tagħmir għas-servizzi mobbli jżommu l-istess ħajja ekonomika fin-nuqqas tal-modifika retroattiva (il-punti 178-179 tas-CEEAG).</w:t>
      </w:r>
      <w:r>
        <w:t xml:space="preserve">  </w:t>
      </w:r>
    </w:p>
    <w:p w14:paraId="64429EE1" w14:textId="0F7509E8" w:rsidR="00443E1F" w:rsidRPr="001631E6" w:rsidRDefault="008E430F" w:rsidP="001C4C34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  <w:r>
        <w:tab/>
      </w:r>
    </w:p>
    <w:p w14:paraId="3AE8D48B" w14:textId="7C078CC7" w:rsidR="008E430F" w:rsidRDefault="009A3188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Jekk jogħġbok indika l-intensitajiet massimi tal-għajnuna li huma applikabbli taħt il-miżura u indika jekk japplikawx xi bonusijiet (kif deskritt fil-punt 177 tas-CEEAG).</w:t>
      </w:r>
      <w:r>
        <w:t xml:space="preserve"> </w:t>
      </w:r>
      <w:r>
        <w:tab/>
      </w:r>
    </w:p>
    <w:p w14:paraId="2FFE3FAA" w14:textId="1A7626B8" w:rsidR="008E430F" w:rsidRPr="00AC286A" w:rsidRDefault="008E430F" w:rsidP="001C4C34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3436599D" w14:textId="1B7892A7" w:rsidR="001C4C34" w:rsidRDefault="00E161E7" w:rsidP="00A72937">
      <w:pPr>
        <w:numPr>
          <w:ilvl w:val="0"/>
          <w:numId w:val="4"/>
        </w:numPr>
        <w:spacing w:after="120"/>
        <w:ind w:left="567" w:hanging="567"/>
        <w:jc w:val="both"/>
      </w:pPr>
      <w:bookmarkStart w:id="10" w:name="_Ref170739959"/>
      <w:r>
        <w:t xml:space="preserve">Jekk b’deroga mill-punti 177–179 tas-CEEAG, jiġi kkunsidrat li tinħtieġ għajnuna lil hinn mill-intensitajiet massimi tal-għajnuna stabbiliti fil-punt 177 tas-CEEAG, jekk jogħġbok indika l-livell ta’ għajnuna kkunnsidrata meħtieġa u ġġustifikaha fuq il-bażi ta’ analiżi tad-distakk fil-finanzjament għall-proġetti ta’ referenza fix-xenarji fattwali u kontrofattwali kif identifikati bi tweġiba għall-mistoqsija </w:t>
      </w:r>
      <w:r>
        <w:fldChar w:fldCharType="begin" w:dirty="true"/>
      </w:r>
      <w:r>
        <w:instrText xml:space="preserve"> REF _Ref161224203 \r \h </w:instrText>
      </w:r>
      <w:r/>
      <w:r>
        <w:fldChar w:fldCharType="separate"/>
      </w:r>
      <w:r>
        <w:t xml:space="preserve">12</w:t>
      </w:r>
      <w:r>
        <w:fldChar w:fldCharType="end"/>
      </w:r>
      <w:r>
        <w:t xml:space="preserve"> C) i) ta’ hawn fuq, f’konformità mal-punti 51-52 tas-CEEAG.</w:t>
      </w:r>
      <w:bookmarkEnd w:id="10"/>
    </w:p>
    <w:p w14:paraId="264FE08C" w14:textId="6A1796CC" w:rsidR="00F4008F" w:rsidRDefault="6554BC11" w:rsidP="001C4C34">
      <w:pPr>
        <w:spacing w:before="120" w:after="120"/>
        <w:ind w:left="567"/>
        <w:jc w:val="both"/>
      </w:pPr>
      <w:r>
        <w:t xml:space="preserve">Għal din l-analiżi tad-distakk fil-finanzjament, jekk jogħġbok ippreżenta kwantifikazzjoni, għax-xenarju fattwali u xenarju kontrofattwali realistiku</w:t>
      </w:r>
      <w:r>
        <w:rPr>
          <w:rStyle w:val="FootnoteReference"/>
          <w:lang w:val="en-IE"/>
        </w:rPr>
        <w:footnoteReference w:id="9"/>
      </w:r>
      <w:r>
        <w:t xml:space="preserve"> identifikat bi tweġiba għall-mistoqsija </w:t>
      </w:r>
      <w:r>
        <w:fldChar w:fldCharType="begin" w:dirty="true"/>
      </w:r>
      <w:r>
        <w:instrText xml:space="preserve"> REF _Ref161224203 \r \h </w:instrText>
      </w:r>
      <w:r/>
      <w:r>
        <w:fldChar w:fldCharType="separate"/>
      </w:r>
      <w:r>
        <w:t xml:space="preserve">12</w:t>
      </w:r>
      <w:r>
        <w:fldChar w:fldCharType="end"/>
      </w:r>
      <w:r>
        <w:t xml:space="preserve"> ta’ hawn fuq, tal-kostijiet u d-dħul prinċipali kollha, il-kost medju ponderat tal-kapital (WACC) stmat tal-benefiċjarji (jew proġetti ta’ referenza) biex jiġu skontati l-flussi futuri tal-flus, kif ukoll il-valur preżenti nett (VPN) għax-xenarji fattwali u kontrofattwali, matul il-ħajja tal-proġett/proġett ta’ referenza.</w:t>
      </w:r>
      <w:r>
        <w:t xml:space="preserve"> </w:t>
      </w:r>
    </w:p>
    <w:p w14:paraId="45BB3A0D" w14:textId="77777777" w:rsidR="002F62D3" w:rsidRPr="008E430F" w:rsidRDefault="002F62D3" w:rsidP="007002B0">
      <w:pPr>
        <w:pStyle w:val="ListParagraph"/>
        <w:spacing w:before="120" w:after="120" w:line="259" w:lineRule="auto"/>
        <w:ind w:left="927"/>
        <w:jc w:val="both"/>
        <w:rPr>
          <w:lang w:val="en-IE" w:eastAsia="en-GB"/>
        </w:rPr>
      </w:pPr>
    </w:p>
    <w:p w14:paraId="02DDE96C" w14:textId="0055B369" w:rsidR="00F4008F" w:rsidRPr="008E430F" w:rsidRDefault="6554BC11" w:rsidP="0000132C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 xml:space="preserve">Jekk jogħġbok ipprovdi dan f’Anness għal din il-formola ta’ notifika (billi tuża fajl Excel fejn il-formuli kollha huma viżibbli).</w:t>
      </w:r>
      <w:r>
        <w:t xml:space="preserve"> </w:t>
      </w:r>
    </w:p>
    <w:p w14:paraId="73DD64A6" w14:textId="7403D411" w:rsidR="008E430F" w:rsidRPr="00AC286A" w:rsidRDefault="008E430F" w:rsidP="001C4C34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</w:p>
    <w:p w14:paraId="16507701" w14:textId="77777777" w:rsidR="00F4008F" w:rsidRPr="00443E1F" w:rsidRDefault="6554BC11" w:rsidP="0000132C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rPr>
          <w:shd w:val="clear" w:color="auto" w:fill="FFFFFF"/>
        </w:rPr>
        <w:t xml:space="preserve">Jekk jogħġbok</w:t>
      </w:r>
      <w:r>
        <w:t xml:space="preserve"> inkludi informazzjoni dettaljata dwar is-suppożizzjonijiet, il-metodoloġiji, ir-raġunament u s-sorsi sottostanti tagħhom, użati għal kull aspett tal-kwantifikazzjoni tal-kostijiet u d-dħul fix-xenarju fattwali u x-xenarju kontrofattwali probabbli (pereżempju jekk jogħġbok inkludi s-suppożizzjonijiet użati biex jiġu żviluppati dawk ix-xenarji u s-sors/ir-raġunament għal dawn is-suppożizzjonijiet).</w:t>
      </w:r>
    </w:p>
    <w:p w14:paraId="15E40B66" w14:textId="1772F673" w:rsidR="00443E1F" w:rsidRPr="00AC286A" w:rsidRDefault="00443E1F" w:rsidP="001C4C34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</w:p>
    <w:p w14:paraId="568A634C" w14:textId="77777777" w:rsidR="002712FE" w:rsidRPr="00AC286A" w:rsidRDefault="6827B904" w:rsidP="0000132C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Għal każijiet ta’ għajnuna u skemi individwali li jkunu ta’ benefiċċju għal għadd partikolarment limitat ta’ benefiċjarji, jeħtieġ li l-Istat Membru jippreżenta l-evidenza ta’ sostenn fil-livell tal-pjan dettaljat tan-negozju tal-proġett.</w:t>
      </w:r>
    </w:p>
    <w:p w14:paraId="1610350D" w14:textId="77777777" w:rsidR="002712FE" w:rsidRPr="00AC286A" w:rsidRDefault="002712FE" w:rsidP="001C4C34">
      <w:pPr>
        <w:ind w:left="14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Għal każijiet ta’ skemi ta’ għajnuna, l-Istat Membru jeħtieġ li jippreżenta l-evidenza ta’ sostenn fuq il-bażi ta’ proġett ta’ referenza wieħed jew aktar.</w:t>
      </w:r>
    </w:p>
    <w:p w14:paraId="06CFF06B" w14:textId="77777777" w:rsidR="002712FE" w:rsidRPr="00AC286A" w:rsidRDefault="002712FE" w:rsidP="00F37133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</w:p>
    <w:p w14:paraId="27F21FA2" w14:textId="77777777" w:rsidR="00F4008F" w:rsidRPr="00AC286A" w:rsidRDefault="6554BC11" w:rsidP="0000132C">
      <w:pPr>
        <w:pStyle w:val="ListParagraph"/>
        <w:numPr>
          <w:ilvl w:val="0"/>
          <w:numId w:val="38"/>
        </w:numPr>
        <w:spacing w:before="120" w:after="120"/>
        <w:contextualSpacing w:val="0"/>
        <w:jc w:val="both"/>
      </w:pPr>
      <w:r>
        <w:t xml:space="preserve">Ma’ din il-formola ta’ notifika tista’ </w:t>
      </w:r>
      <w:r>
        <w:rPr>
          <w:shd w:val="clear" w:color="auto" w:fill="FFFFFF"/>
        </w:rPr>
        <w:t xml:space="preserve">tehmeż</w:t>
      </w:r>
      <w:r>
        <w:t xml:space="preserve"> ukoll id-dokumenti msemmija fin-nota 39 f’qiegħ il-paġna tas-CEEAG.</w:t>
      </w:r>
      <w:r>
        <w:t xml:space="preserve"> </w:t>
      </w:r>
      <w:r>
        <w:t xml:space="preserve">Id-dokumenti tal-Bord jistgħu jkunu partikolarment utli għal miżuri jew skemi ta’ għajnuna individwali li jkunu ta’ benefiċċju għal għadd partikolarment limitat ta’ benefiċjarji.</w:t>
      </w:r>
      <w:r>
        <w:t xml:space="preserve"> </w:t>
      </w:r>
      <w:r>
        <w:t xml:space="preserve">Jekk dawn id-dokumenti huma mehmuża mal-formola ta’ notifika, jekk jogħġbok ipprovdi hawn taħt lista ta’ dawk id-dokumenti, li tispeċifika l-awtur, id-data meta ġew abbozzati u l-kuntest meta ntużaw.</w:t>
      </w:r>
    </w:p>
    <w:p w14:paraId="0EB45229" w14:textId="77777777" w:rsidR="00F4008F" w:rsidRDefault="00F4008F" w:rsidP="00F37133">
      <w:pPr>
        <w:tabs>
          <w:tab w:val="left" w:leader="dot" w:pos="9072"/>
        </w:tabs>
        <w:spacing w:before="120" w:after="120"/>
        <w:ind w:left="1080" w:firstLine="338"/>
        <w:jc w:val="both"/>
        <w:rPr>
          <w:color w:val="000000"/>
        </w:rPr>
      </w:pPr>
      <w:r>
        <w:tab/>
      </w:r>
    </w:p>
    <w:p w14:paraId="3898CD7E" w14:textId="7DC7EFD2" w:rsidR="00E15BFB" w:rsidRDefault="00E15BFB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Jekk jogħġbok uri wkoll li l-applikazzjoni ta’ għajnuna ogħla ddeterminata kif indikat </w:t>
      </w:r>
      <w:r>
        <w:rPr>
          <w:shd w:val="clear" w:color="auto" w:fill="FFFFFF"/>
        </w:rPr>
        <w:t xml:space="preserve">fil-mistoqsija </w:t>
      </w:r>
      <w:r>
        <w:rPr>
          <w:shd w:val="clear" w:color="auto" w:fill="FFFFFF"/>
        </w:rPr>
        <w:fldChar w:fldCharType="begin" w:dirty="true"/>
      </w:r>
      <w:r>
        <w:rPr>
          <w:shd w:val="clear" w:color="auto" w:fill="FFFFFF"/>
        </w:rPr>
        <w:instrText xml:space="preserve"> REF _Ref170739959 \r \h </w:instrText>
      </w:r>
      <w:r>
        <w:rPr>
          <w:shd w:val="clear" w:color="auto" w:fill="FFFFFF"/>
        </w:rPr>
      </w:r>
      <w:r>
        <w:rPr>
          <w:shd w:val="clear" w:color="auto" w:fill="FFFFFF"/>
        </w:rPr>
        <w:fldChar w:fldCharType="separate"/>
      </w:r>
      <w:r>
        <w:rPr>
          <w:shd w:val="clear" w:color="auto" w:fill="FFFFFF"/>
        </w:rPr>
        <w:t xml:space="preserve">34</w:t>
      </w:r>
      <w:r>
        <w:rPr>
          <w:shd w:val="clear" w:color="auto" w:fill="FFFFFF"/>
        </w:rPr>
        <w:fldChar w:fldCharType="end"/>
      </w:r>
      <w:r>
        <w:t xml:space="preserve"> ma tirriżultax f’għajnuna li taqbeż id-distakk fil-finanzjament.</w:t>
      </w:r>
      <w:r>
        <w:t xml:space="preserve">  </w:t>
      </w:r>
    </w:p>
    <w:p w14:paraId="5FCADBC4" w14:textId="49263947" w:rsidR="00E15BFB" w:rsidRPr="00822B32" w:rsidRDefault="00E15BFB" w:rsidP="00F37133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DEC2203" w14:textId="000FB885" w:rsidR="00301F4E" w:rsidRDefault="2E89C838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F’każ li l-punt 52 tas-CEEAG huwa applikabbli, jiġifieri </w:t>
      </w:r>
      <w:r>
        <w:rPr>
          <w:shd w:val="clear" w:color="auto" w:fill="FFFFFF"/>
        </w:rPr>
        <w:t xml:space="preserve">x-xenarju kontrofattwali l-aktar probabbli jikkonsisti</w:t>
      </w:r>
      <w:r>
        <w:t xml:space="preserve"> fil-fatt </w:t>
      </w:r>
      <w:r>
        <w:rPr>
          <w:shd w:val="clear" w:color="auto" w:fill="FFFFFF"/>
        </w:rPr>
        <w:t xml:space="preserve">li l-benefiċjarju ma jwettaqx attività jew investiment, jew ikompli n-negozju tiegħu mingħajr bidliet,</w:t>
      </w:r>
      <w:r>
        <w:t xml:space="preserve"> jekk jogħġbok ipprovdi evidenza biex tappoġġa din is-suppożizzjoni</w:t>
      </w:r>
      <w:r>
        <w:rPr>
          <w:rStyle w:val="FootnoteReference"/>
          <w:lang w:eastAsia="en-GB"/>
        </w:rPr>
        <w:footnoteReference w:id="10"/>
      </w:r>
      <w:r>
        <w:t xml:space="preserve">.</w:t>
      </w:r>
      <w:r>
        <w:t xml:space="preserve"> </w:t>
      </w:r>
    </w:p>
    <w:p w14:paraId="1E73D07F" w14:textId="304FD8AE" w:rsidR="008E430F" w:rsidRPr="00AC286A" w:rsidRDefault="008E430F" w:rsidP="00F37133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AD76483" w14:textId="3460C739" w:rsidR="00C62AF1" w:rsidRDefault="602E7F5B" w:rsidP="0000132C">
      <w:pPr>
        <w:numPr>
          <w:ilvl w:val="0"/>
          <w:numId w:val="4"/>
        </w:numPr>
        <w:spacing w:before="120" w:after="120"/>
        <w:ind w:left="567" w:hanging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Fil-każijiet kollha fejn</w:t>
      </w:r>
      <w:r>
        <w:t xml:space="preserve"> il-proporzjonalità </w:t>
      </w:r>
      <w:r>
        <w:rPr>
          <w:shd w:val="clear" w:color="auto" w:fill="FFFFFF"/>
        </w:rPr>
        <w:t xml:space="preserve">hija ġġustifikata b’referenza għal analiżi tad-distakk fil-finanzjament, jekk jogħġbok ikkonferma wkoll li l-awtoritajiet tiegħek se jwettqu monitoraġġ </w:t>
      </w:r>
      <w:r>
        <w:rPr>
          <w:shd w:val="clear" w:color="auto" w:fill="FFFFFF"/>
          <w:i/>
          <w:iCs/>
        </w:rPr>
        <w:t xml:space="preserve">ex post</w:t>
      </w:r>
      <w:r>
        <w:rPr>
          <w:shd w:val="clear" w:color="auto" w:fill="FFFFFF"/>
        </w:rPr>
        <w:t xml:space="preserve"> biex jivverifikaw is-suppożizzjonijiet li saru dwar il-livell ta’ għajnuna meħtieġa u jistabbilixxu mekkaniżmu ta’ rkupru.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Jekk jogħġbok iddeskrivi wkoll</w:t>
      </w:r>
      <w:r>
        <w:t xml:space="preserve"> </w:t>
      </w:r>
      <w:r>
        <w:rPr>
          <w:shd w:val="clear" w:color="auto" w:fill="FFFFFF"/>
        </w:rPr>
        <w:t xml:space="preserve">il-mekkaniżmu ta’ monitoraġġ u ta’ rkupru li l-awtoritajiet tiegħek għandhom l-intenzjoni li japplikaw (il-punt 180 tas-CEEAG).</w:t>
      </w:r>
      <w:r>
        <w:rPr>
          <w:shd w:val="clear" w:color="auto" w:fill="FFFFFF"/>
        </w:rPr>
        <w:t xml:space="preserve">  </w:t>
      </w:r>
    </w:p>
    <w:p w14:paraId="1CA6D18F" w14:textId="5F9B90F4" w:rsidR="00C62AF1" w:rsidRPr="00F37133" w:rsidRDefault="002712FE" w:rsidP="00F37133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2159531D" w14:textId="77777777" w:rsidTr="009A7D29">
        <w:tc>
          <w:tcPr>
            <w:tcW w:w="9322" w:type="dxa"/>
            <w:shd w:val="pct15" w:color="auto" w:fill="auto"/>
          </w:tcPr>
          <w:p w14:paraId="46C226DA" w14:textId="3A25860B" w:rsidR="00C62AF1" w:rsidRPr="00AC286A" w:rsidRDefault="000D56FC" w:rsidP="00DE3B1E">
            <w:pPr>
              <w:pStyle w:val="Heading1"/>
              <w:ind w:left="1224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2.1.4.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Akkumulazzjoni</w:t>
            </w:r>
          </w:p>
        </w:tc>
      </w:tr>
    </w:tbl>
    <w:p w14:paraId="7AD631CF" w14:textId="77777777" w:rsidR="00C62AF1" w:rsidRPr="00AC286A" w:rsidRDefault="00C62AF1" w:rsidP="00FC5BDD">
      <w:pPr>
        <w:pStyle w:val="ListParagraph"/>
        <w:spacing w:before="120" w:after="120"/>
        <w:ind w:left="0"/>
        <w:contextualSpacing w:val="0"/>
        <w:jc w:val="both"/>
      </w:pPr>
      <w:r>
        <w:rPr>
          <w:i/>
        </w:rPr>
        <w:t xml:space="preserve">Biex tipprovdi l-informazzjoni f’din it-taqsima, jekk jogħġbok irreferi għall-punti 56-57 tas-CEEAG.</w:t>
      </w:r>
    </w:p>
    <w:p w14:paraId="25823321" w14:textId="6CE5B214" w:rsidR="00C62AF1" w:rsidRPr="00FC5BDD" w:rsidRDefault="5B40C1FF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bookmarkStart w:id="11" w:name="_Ref114155671"/>
      <w:r>
        <w:t xml:space="preserve">Sa fejn mhux diġà pprovdut taħt il-Parti I tal-formola ta’ notifika ġenerali u sabiex tiġi vverifikata l-</w:t>
      </w:r>
      <w:r>
        <w:rPr>
          <w:shd w:val="clear" w:color="auto" w:fill="FFFFFF"/>
        </w:rPr>
        <w:t xml:space="preserve">konformità</w:t>
      </w:r>
      <w:r>
        <w:t xml:space="preserve"> mal-punt 56 tas-CEEAG, jekk jogħġbok ikkjarfika jekk l-għajnuna taħt il-miżura/i notifikata/i tistax/jistgħux tingħata/jingħataw fl-istess ħin taħt diversi skemi ta’ għajnuna jew tiġi/jiġu akkumulata/i ma’ għajnuna </w:t>
      </w:r>
      <w:r>
        <w:rPr>
          <w:i/>
          <w:iCs/>
        </w:rPr>
        <w:t xml:space="preserve">ad hoc</w:t>
      </w:r>
      <w:r>
        <w:t xml:space="preserve"> jew </w:t>
      </w:r>
      <w:r>
        <w:rPr>
          <w:i/>
          <w:iCs/>
        </w:rPr>
        <w:t xml:space="preserve">de minimis</w:t>
      </w:r>
      <w:r>
        <w:t xml:space="preserve"> fir-rigward tal-istess kostijiet eliġibbli.</w:t>
      </w:r>
      <w:r>
        <w:t xml:space="preserve"> </w:t>
      </w:r>
      <w:r>
        <w:t xml:space="preserve">Jekk dak huwa l-każ, jekk jogħġbok ipprovdi dettalji dwar dawk l-iskemi ta’ għajnuna, l-għajnuna </w:t>
      </w:r>
      <w:r>
        <w:rPr>
          <w:i/>
          <w:iCs/>
        </w:rPr>
        <w:t xml:space="preserve">ad hoc</w:t>
      </w:r>
      <w:r>
        <w:t xml:space="preserve"> jew l-għajnuna </w:t>
      </w:r>
      <w:r>
        <w:rPr>
          <w:i/>
          <w:iCs/>
        </w:rPr>
        <w:t xml:space="preserve">de minimis</w:t>
      </w:r>
      <w:r>
        <w:t xml:space="preserve"> u kif l-għajnuna se tiġi akkumulata.</w:t>
      </w:r>
      <w:bookmarkEnd w:id="11"/>
      <w:r>
        <w:t xml:space="preserve"> </w:t>
      </w:r>
      <w:r>
        <w:tab/>
      </w:r>
    </w:p>
    <w:p w14:paraId="1E5CEBF7" w14:textId="508F3420" w:rsidR="00FC5BDD" w:rsidRPr="00AC286A" w:rsidRDefault="00FC5BDD" w:rsidP="00F37133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0EF04F29" w14:textId="26AA2F7E" w:rsidR="00C62AF1" w:rsidRPr="00AC286A" w:rsidRDefault="61E4A1D4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 </w:t>
      </w:r>
      <w:r>
        <w:t xml:space="preserve">Jekk il-punt 56 tas-CEEAG huwa applikabbli, iġġustifika kif l-ammont totali ta’ għajnuna mogħtija taħt il-miżura/i notifikata/i għal proġett jew attività ma jwassalx għal kumpens żejjed jew jaqbeż </w:t>
      </w:r>
      <w:r>
        <w:rPr>
          <w:shd w:val="clear" w:color="auto" w:fill="FFFFFF"/>
        </w:rPr>
        <w:t xml:space="preserve">l-ammont</w:t>
      </w:r>
      <w:r>
        <w:t xml:space="preserve"> massimu ta’ għajnuna permess taħt il-punt 173, il-punt 177 jew il-punt 180 tas-CEEAG.</w:t>
      </w:r>
      <w:r>
        <w:t xml:space="preserve"> </w:t>
      </w:r>
      <w:r>
        <w:t xml:space="preserve">Għal kull miżura li l-għajnuna mogħtija skont il-miżura/i ta’ għajnuna notifikata tista’ tiġi akkumulata magħha, jekk joġħġbok speċifika l-metodu użat biex tiġi żgurata l-konformità mal-kundizzjonijiet stabbiliti fil-punt 56 tas-CEEAG.</w:t>
      </w:r>
    </w:p>
    <w:p w14:paraId="34198707" w14:textId="77777777" w:rsidR="00C62AF1" w:rsidRPr="00AC286A" w:rsidRDefault="00C62AF1" w:rsidP="00F37133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25DD4AF" w14:textId="3C90A541" w:rsidR="00C62AF1" w:rsidRPr="00AC286A" w:rsidRDefault="070CBB00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F’każ li l-punt 57 tas-CEEAG huwa applikabbli, jiġifieri l-għajnuna mogħtija taħt il-miżura/i notifikata/i hija kkombinata ma’ finanzjament tal-Unjoni</w:t>
      </w:r>
      <w:r>
        <w:rPr>
          <w:rStyle w:val="FootnoteReference"/>
          <w:lang w:eastAsia="en-GB"/>
        </w:rPr>
        <w:footnoteReference w:id="11"/>
      </w:r>
      <w:r>
        <w:t xml:space="preserve"> mmaniġġjat ċentralment (li ma jikkostitwixxix għajnuna mill-Istat), jekk jogħġbok iiġġustifika kif </w:t>
      </w:r>
      <w:r>
        <w:rPr>
          <w:shd w:val="clear" w:color="auto" w:fill="FFFFFF"/>
        </w:rPr>
        <w:t xml:space="preserve">l-ammont totali ta’ finanzjament pubbliku mogħti fir-rigward tal-istess kostijiet eliġibbli ma jwassalx għal kumpens żejjed.</w:t>
      </w:r>
    </w:p>
    <w:p w14:paraId="639200B1" w14:textId="2060E6BD" w:rsidR="00C62AF1" w:rsidRPr="00AC286A" w:rsidRDefault="00C62AF1" w:rsidP="00F37133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4DC8571F" w14:textId="77777777" w:rsidTr="009A7D29">
        <w:tc>
          <w:tcPr>
            <w:tcW w:w="9322" w:type="dxa"/>
            <w:shd w:val="pct15" w:color="auto" w:fill="auto"/>
          </w:tcPr>
          <w:p w14:paraId="73318500" w14:textId="0901A412" w:rsidR="00C62AF1" w:rsidRPr="00AC286A" w:rsidRDefault="00A70EC8" w:rsidP="00A55C46">
            <w:pPr>
              <w:pStyle w:val="Heading1"/>
              <w:ind w:left="1560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2.1.5 Trasparenza</w:t>
            </w:r>
          </w:p>
        </w:tc>
      </w:tr>
    </w:tbl>
    <w:p w14:paraId="19C31F80" w14:textId="2D4539B5" w:rsidR="00C62AF1" w:rsidRPr="00AC286A" w:rsidRDefault="00C62AF1" w:rsidP="00C62AF1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jekk jogħġbok irreferi għat-Taqsima 3.2.1.4 (il-punti 58-61) tas-CEEAG.</w:t>
      </w:r>
      <w:r>
        <w:rPr>
          <w:i/>
        </w:rPr>
        <w:t xml:space="preserve"> </w:t>
      </w:r>
    </w:p>
    <w:p w14:paraId="4211141D" w14:textId="58565510" w:rsidR="008E430F" w:rsidRDefault="1C6367A9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Jekk jogħġbok ikkonferma li l-Istat Membru se jikkonforma mar-rekwiżiti dwar it-trasparenza </w:t>
      </w:r>
      <w:r>
        <w:rPr>
          <w:shd w:val="clear" w:color="auto" w:fill="FFFFFF"/>
        </w:rPr>
        <w:t xml:space="preserve">previsti</w:t>
      </w:r>
      <w:r>
        <w:t xml:space="preserve"> fil-punti 58-61 tas-CEEAG.</w:t>
      </w:r>
      <w:r>
        <w:t xml:space="preserve"> </w:t>
      </w:r>
    </w:p>
    <w:p w14:paraId="00BF24A1" w14:textId="27A8BD1F" w:rsidR="008E430F" w:rsidRDefault="008E430F" w:rsidP="00F37133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9EDE8D" w14:textId="27283177" w:rsidR="008E430F" w:rsidRPr="00AC286A" w:rsidRDefault="067498DD" w:rsidP="0000132C">
      <w:pPr>
        <w:numPr>
          <w:ilvl w:val="0"/>
          <w:numId w:val="4"/>
        </w:numPr>
        <w:spacing w:before="120" w:after="120"/>
        <w:ind w:left="567" w:hanging="567"/>
        <w:jc w:val="both"/>
        <w:rPr>
          <w:szCs w:val="24"/>
          <w:rFonts w:eastAsia="Times New Roman"/>
        </w:rPr>
      </w:pPr>
      <w:r>
        <w:t xml:space="preserve">Jekk jogħġbok ipprovdi l-link tal-internet fejn se jiġi ppubblikat it-test sħiħ tal-iskema ta’ għajnuna approvata jew tad-deċiżjoni dwar l-għoti tal-għajnuna individwali u d-dispożizzjonijiet ta’ implimentazzjoni tagħha, u informazzjoni dwar kull għotja ta’ għajnuna individwali mogħtija </w:t>
      </w:r>
      <w:r>
        <w:rPr>
          <w:i/>
          <w:iCs/>
        </w:rPr>
        <w:t xml:space="preserve">ad hoc</w:t>
      </w:r>
      <w:r>
        <w:t xml:space="preserve"> jew taħt skema ta’ għajnuna approvata fuq il-bażi tas-CEEAG u li taqbeż l-EUR 100 000.</w:t>
      </w:r>
      <w:r>
        <w:t xml:space="preserve"> </w:t>
      </w:r>
    </w:p>
    <w:p w14:paraId="73442B45" w14:textId="048317EF" w:rsidR="00C62AF1" w:rsidRPr="00426DDD" w:rsidRDefault="00D30A7F" w:rsidP="00F37133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5302A3EA" w14:textId="77777777" w:rsidTr="74496FC9">
        <w:tc>
          <w:tcPr>
            <w:tcW w:w="9322" w:type="dxa"/>
            <w:shd w:val="clear" w:color="auto" w:fill="D9D9D9" w:themeFill="background1" w:themeFillShade="D9"/>
          </w:tcPr>
          <w:p w14:paraId="193CF7FF" w14:textId="3F44CAF5" w:rsidR="00C62AF1" w:rsidRPr="00AC286A" w:rsidRDefault="009F17F2" w:rsidP="00A55C46">
            <w:pPr>
              <w:pStyle w:val="Heading1"/>
              <w:ind w:left="1560"/>
              <w:rPr>
                <w:i/>
                <w:iCs/>
                <w:color w:val="000000"/>
                <w:sz w:val="28"/>
                <w:szCs w:val="28"/>
              </w:rPr>
            </w:pPr>
            <w:bookmarkStart w:id="12" w:name="_Hlk153378978"/>
            <w:r>
              <w:rPr>
                <w:sz w:val="24"/>
              </w:rPr>
              <w:t xml:space="preserve">2.2 Evitar ta’ effetti negattivi bla bżonn fuq il-kompetizzjoni u l-kummerċ u l-ibbilanċjar</w:t>
            </w:r>
            <w:bookmarkEnd w:id="12"/>
          </w:p>
        </w:tc>
      </w:tr>
    </w:tbl>
    <w:p w14:paraId="27571D47" w14:textId="2341FA1A" w:rsidR="00C62AF1" w:rsidRPr="00AC286A" w:rsidRDefault="00C62AF1" w:rsidP="00C62AF1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jekk jogħġbok irreferi għat-Taqsima 3.2.2 (il-punti 63-70) u għat-Taqsima 4.3.1.5. (il-punti 183-189) tas-CEEAG.</w:t>
      </w:r>
      <w:r>
        <w:rPr>
          <w:i/>
        </w:rPr>
        <w:t xml:space="preserve"> </w:t>
      </w:r>
    </w:p>
    <w:p w14:paraId="5724A4A1" w14:textId="77777777" w:rsidR="000C4C25" w:rsidRDefault="19967884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Sabiex tivverifika l-konformità mal-punt 67 tas-CEEAG, ipprovdi informazzjoni dwar l-effetti negattivi possibbli fuq terminu qasir u twil tal-miżura/i notifikata/i fuq il-kompetizzjoni u l-kummerċ.</w:t>
      </w:r>
      <w:r>
        <w:t xml:space="preserve"> </w:t>
      </w:r>
    </w:p>
    <w:p w14:paraId="49343A1C" w14:textId="55EA9C97" w:rsidR="000C4C25" w:rsidRPr="008E430F" w:rsidRDefault="000C4C25" w:rsidP="00F37133">
      <w:pPr>
        <w:pStyle w:val="ListParagraph"/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56DF7954" w14:textId="2F07684E" w:rsidR="0082588A" w:rsidRDefault="19967884" w:rsidP="0000132C">
      <w:pPr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Spjega jekk il-miżura taqax taħt xi waħda mis-sitwazzjonijiet li ġejjin:</w:t>
      </w:r>
      <w:r>
        <w:t xml:space="preserve"> </w:t>
      </w:r>
    </w:p>
    <w:p w14:paraId="600A6180" w14:textId="7392E57E" w:rsidR="00F43AD8" w:rsidRDefault="005E6D02" w:rsidP="0000132C">
      <w:pPr>
        <w:pStyle w:val="ListParagraph"/>
        <w:numPr>
          <w:ilvl w:val="0"/>
          <w:numId w:val="39"/>
        </w:numPr>
        <w:spacing w:before="120" w:after="120"/>
        <w:contextualSpacing w:val="0"/>
        <w:jc w:val="both"/>
      </w:pPr>
      <w:r>
        <w:t xml:space="preserve">Tikkonċerna suq (jew swieq) fejn l-operaturi stabbiliti kisbu saħħa fis-suq qabel il-liberalizzazzjoni tas-suq;</w:t>
      </w:r>
      <w:r>
        <w:tab/>
      </w:r>
      <w:r>
        <w:tab/>
      </w:r>
    </w:p>
    <w:p w14:paraId="5F471709" w14:textId="35422317" w:rsidR="00A30A2E" w:rsidRDefault="00F43AD8" w:rsidP="00F37133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  <w:r>
        <w:tab/>
      </w:r>
      <w:r>
        <w:tab/>
      </w:r>
    </w:p>
    <w:p w14:paraId="3C24E8A2" w14:textId="037FF62F" w:rsidR="00A30A2E" w:rsidRDefault="005E6D02" w:rsidP="0000132C">
      <w:pPr>
        <w:pStyle w:val="ListParagraph"/>
        <w:numPr>
          <w:ilvl w:val="0"/>
          <w:numId w:val="39"/>
        </w:numPr>
        <w:spacing w:before="120" w:after="120"/>
        <w:contextualSpacing w:val="0"/>
        <w:jc w:val="both"/>
      </w:pPr>
      <w:r>
        <w:t xml:space="preserve">Tinvolvi proċessi kompetittivi ta’ offerti f’suq (swieq) emerġenti, meta jkun hemm attur b’pożizzjoni b’saħħitha fis-suq;</w:t>
      </w:r>
    </w:p>
    <w:p w14:paraId="01FE220D" w14:textId="5A1754DD" w:rsidR="00F43AD8" w:rsidRDefault="00F43AD8" w:rsidP="00F37133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  <w:r>
        <w:tab/>
      </w:r>
      <w:r>
        <w:tab/>
      </w:r>
    </w:p>
    <w:p w14:paraId="042757B6" w14:textId="4EDC9AC6" w:rsidR="005E6D02" w:rsidRDefault="005E6D02" w:rsidP="0000132C">
      <w:pPr>
        <w:pStyle w:val="ListParagraph"/>
        <w:numPr>
          <w:ilvl w:val="0"/>
          <w:numId w:val="39"/>
        </w:numPr>
        <w:spacing w:before="120" w:after="120"/>
        <w:contextualSpacing w:val="0"/>
        <w:jc w:val="both"/>
      </w:pPr>
      <w:r>
        <w:t xml:space="preserve">Dan se jkun ta’ benefiċċju biss għal benefiċjarju wieħed jew għal għadd partikolarment limitat ta’ benefiċjarji.</w:t>
      </w:r>
    </w:p>
    <w:p w14:paraId="7F228503" w14:textId="28C27ADD" w:rsidR="00A30A2E" w:rsidRDefault="00F43AD8" w:rsidP="00F37133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  <w:r>
        <w:tab/>
      </w:r>
      <w:r>
        <w:tab/>
      </w:r>
    </w:p>
    <w:p w14:paraId="05B4AF85" w14:textId="75AF3E25" w:rsidR="005E6D02" w:rsidRDefault="19967884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 ta’ għajnuna tiffoka fuq għażla/perkors teknoloġika/u speċifika/ku, iġġustifika r-raġuni għall-għażla teknoloġika u li mhux se tiskoraġġixxi l-użu ta’ teknoloġiji aktar nodfa.</w:t>
      </w:r>
    </w:p>
    <w:p w14:paraId="286330D3" w14:textId="4D8B229E" w:rsidR="00A30A2E" w:rsidRDefault="005D2CD7" w:rsidP="0082588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</w:p>
    <w:p w14:paraId="75FE5077" w14:textId="09B76CE2" w:rsidR="00C62AF1" w:rsidRPr="00AC286A" w:rsidRDefault="57F7F398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il-miżura/i notifikata/i se tibbenefika/jibbenefikaw biss minn benefiċjarju wieħed jew minn għadd partikolarment limitat ta’ benefiċjarji, sabiex tiġi vverifikata l-konformità mal-punt 68 tas-CEEAG, jekk jogħġbok:</w:t>
      </w:r>
    </w:p>
    <w:p w14:paraId="3861EE5A" w14:textId="400C32CA" w:rsidR="00C62AF1" w:rsidRPr="00AC286A" w:rsidRDefault="00A30A2E" w:rsidP="0000132C">
      <w:pPr>
        <w:pStyle w:val="ListParagraph"/>
        <w:numPr>
          <w:ilvl w:val="0"/>
          <w:numId w:val="40"/>
        </w:numPr>
        <w:spacing w:before="120" w:after="120"/>
        <w:contextualSpacing w:val="0"/>
        <w:jc w:val="both"/>
      </w:pPr>
      <w:r>
        <w:t xml:space="preserve">Spjega jekk il-miżura/i notifikata/i ssaħħaħx/isaħħux jew iżżommx /iżommux is-saħħa fis-suq tal-benefiċjarju/i jew tiskoraġġixxix/jiskoraġixxux l-espansjoni tal-kompetituri eżistenti jew twassalx/iwasslux għall-ħruġ tagħhom jew tiskoraġġixxi/jiskoraġixxux id-dħul ta’ kompetituri ġodda.</w:t>
      </w:r>
      <w:r>
        <w:t xml:space="preserve"> </w:t>
      </w:r>
      <w:r>
        <w:t xml:space="preserve">F’dan ir-rigward spjega wkoll jekk il-miżura ta’ għajnuna twassalx għal żieda fil-kapaċità tal-produzzjoni tal-benefiċjarju.</w:t>
      </w:r>
      <w:r>
        <w:t xml:space="preserve"> </w:t>
      </w:r>
    </w:p>
    <w:p w14:paraId="7CA69CC1" w14:textId="2132093B" w:rsidR="00790290" w:rsidRPr="00AC286A" w:rsidRDefault="00C62AF1" w:rsidP="0000132C">
      <w:pPr>
        <w:tabs>
          <w:tab w:val="left" w:leader="dot" w:pos="9072"/>
        </w:tabs>
        <w:spacing w:before="120" w:after="120"/>
        <w:ind w:left="1080" w:firstLine="338"/>
        <w:jc w:val="both"/>
      </w:pPr>
      <w:bookmarkStart w:id="13" w:name="_Hlk161223850"/>
      <w:r>
        <w:tab/>
      </w:r>
      <w:bookmarkEnd w:id="13"/>
    </w:p>
    <w:p w14:paraId="1ED88AAE" w14:textId="5BCFE4D6" w:rsidR="00C62AF1" w:rsidRPr="00AC286A" w:rsidRDefault="00A30A2E" w:rsidP="0000132C">
      <w:pPr>
        <w:pStyle w:val="ListParagraph"/>
        <w:numPr>
          <w:ilvl w:val="0"/>
          <w:numId w:val="40"/>
        </w:numPr>
        <w:spacing w:before="120" w:after="120"/>
        <w:jc w:val="both"/>
      </w:pPr>
      <w:r>
        <w:t xml:space="preserve">Iddeskrivi l-miżuri stabbiliti biex jillimitaw id-distorsjoni potenzjali tal-kompetizzjoni kkawżata mill-għoti tal-għajnuna lill-benefiċjarju/i.</w:t>
      </w:r>
      <w:r>
        <w:t xml:space="preserve">    </w:t>
      </w:r>
    </w:p>
    <w:p w14:paraId="49BA893E" w14:textId="0EFAB94F" w:rsidR="00C62AF1" w:rsidRPr="00AC286A" w:rsidRDefault="00C62AF1" w:rsidP="0000132C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  <w:r>
        <w:tab/>
      </w:r>
    </w:p>
    <w:p w14:paraId="1F5139AC" w14:textId="2DF480EF" w:rsidR="00802B8C" w:rsidRDefault="070CBB00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69 tas-CEEAG, spjega:</w:t>
      </w:r>
      <w:r>
        <w:t xml:space="preserve"> </w:t>
      </w:r>
    </w:p>
    <w:p w14:paraId="32E33C0A" w14:textId="66BA9774" w:rsidR="00CA77F0" w:rsidRDefault="00CA77F0" w:rsidP="0000132C">
      <w:pPr>
        <w:pStyle w:val="ListParagraph"/>
        <w:numPr>
          <w:ilvl w:val="0"/>
          <w:numId w:val="41"/>
        </w:numPr>
        <w:spacing w:before="120" w:after="120"/>
        <w:jc w:val="both"/>
      </w:pPr>
      <w:r>
        <w:t xml:space="preserve">Jekk l-għajnuna mogħtija skont il-miżura/i notifikata/i għandha l-għan li tippreserva l-attività ekonomika f’reġjun wieħed jew tiġbed lejha lil hinn minn reġjuni oħra fis-suq intern.</w:t>
      </w:r>
      <w:r>
        <w:t xml:space="preserve"> </w:t>
      </w:r>
    </w:p>
    <w:p w14:paraId="24347BF9" w14:textId="77777777" w:rsidR="00802B8C" w:rsidRPr="00AC286A" w:rsidRDefault="00802B8C" w:rsidP="0000132C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</w:p>
    <w:p w14:paraId="000337AB" w14:textId="0201CB4E" w:rsidR="00CA77F0" w:rsidRDefault="00CA77F0" w:rsidP="0000132C">
      <w:pPr>
        <w:pStyle w:val="ListParagraph"/>
        <w:numPr>
          <w:ilvl w:val="0"/>
          <w:numId w:val="41"/>
        </w:numPr>
        <w:spacing w:before="120" w:after="120"/>
        <w:jc w:val="both"/>
      </w:pPr>
      <w:r>
        <w:t xml:space="preserve">Jekk iva, speċifika liema huwa l-effett ambjentali nett tal-miżura/i notifikata/i u kif il-miżura/i notifikata/i ttejjeb il-livell eżistenti ta’ protezzjoni ambjentali fl-Istati Membri.</w:t>
      </w:r>
    </w:p>
    <w:p w14:paraId="393D4851" w14:textId="74E10939" w:rsidR="00802B8C" w:rsidRDefault="00802B8C" w:rsidP="0000132C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</w:p>
    <w:p w14:paraId="3018A09E" w14:textId="77777777" w:rsidR="008C42CB" w:rsidRDefault="00CA77F0" w:rsidP="0000132C">
      <w:pPr>
        <w:pStyle w:val="ListParagraph"/>
        <w:numPr>
          <w:ilvl w:val="0"/>
          <w:numId w:val="41"/>
        </w:numPr>
        <w:spacing w:before="120" w:after="120"/>
        <w:jc w:val="both"/>
      </w:pPr>
      <w:r>
        <w:t xml:space="preserve">Kif l-għajnuna mogħtija taħt il-miżura/i notifikata/i ma tirriżultax f’effetti manifestament negattivi fuq il-kompetizzjoni u l-kummerċ.</w:t>
      </w:r>
      <w:r>
        <w:t xml:space="preserve"> </w:t>
      </w:r>
    </w:p>
    <w:p w14:paraId="35DE4912" w14:textId="45CBE284" w:rsidR="00302BA3" w:rsidRDefault="008C42CB" w:rsidP="0000132C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</w:p>
    <w:p w14:paraId="0C0472E0" w14:textId="434D0FEF" w:rsidR="00C62AF1" w:rsidRPr="00AC286A" w:rsidRDefault="00CA77F0" w:rsidP="0000132C">
      <w:pPr>
        <w:pStyle w:val="ListParagraph"/>
        <w:numPr>
          <w:ilvl w:val="0"/>
          <w:numId w:val="41"/>
        </w:numPr>
        <w:spacing w:before="120" w:after="120"/>
        <w:jc w:val="both"/>
      </w:pPr>
      <w:r>
        <w:t xml:space="preserve">F’każ ta’ għajnuna individwali, il-fatturi ewlenin tal-għażla tal-post għall-investimenti mill-benefiċjarju.</w:t>
      </w:r>
    </w:p>
    <w:p w14:paraId="21B7BA64" w14:textId="77777777" w:rsidR="00C62AF1" w:rsidRPr="00AC286A" w:rsidRDefault="00C62AF1" w:rsidP="0000132C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</w:p>
    <w:p w14:paraId="20765EF4" w14:textId="77777777" w:rsidR="00C62AF1" w:rsidRPr="00AC286A" w:rsidRDefault="070CBB00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tivverifika l-konformità mal-punt 70 tas-CEEAG:</w:t>
      </w:r>
    </w:p>
    <w:p w14:paraId="78257B32" w14:textId="7E691F3C" w:rsidR="00C62AF1" w:rsidRPr="00AC286A" w:rsidRDefault="00C62AF1" w:rsidP="0000132C">
      <w:pPr>
        <w:pStyle w:val="ListParagraph"/>
        <w:numPr>
          <w:ilvl w:val="0"/>
          <w:numId w:val="42"/>
        </w:numPr>
        <w:spacing w:before="120" w:after="120"/>
        <w:jc w:val="both"/>
      </w:pPr>
      <w:r>
        <w:t xml:space="preserve">Jekk jogħġbok ikkonferma li l-għajnuna tista’ tingħata taħt l-iskema notifikata għal perjodu massimu ta’ 10 </w:t>
      </w:r>
      <w:r>
        <w:rPr>
          <w:color w:val="000000"/>
          <w:shd w:val="clear" w:color="auto" w:fill="FFFFFF"/>
        </w:rPr>
        <w:t xml:space="preserve">snin mid-data tan-notifika tad-deċiżjoni tal-Kummissjoni li tiddikjara l-għajnuna bħala kompatibbli</w:t>
      </w:r>
      <w:r>
        <w:t xml:space="preserve">.</w:t>
      </w:r>
      <w:r>
        <w:t xml:space="preserve">  </w:t>
      </w:r>
    </w:p>
    <w:p w14:paraId="50F43515" w14:textId="77777777" w:rsidR="00C62AF1" w:rsidRPr="00AC286A" w:rsidRDefault="00C62AF1" w:rsidP="0000132C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</w:p>
    <w:p w14:paraId="43A553A6" w14:textId="21E031B7" w:rsidR="00C62AF1" w:rsidRPr="00AC286A" w:rsidRDefault="00C62AF1" w:rsidP="0000132C">
      <w:pPr>
        <w:pStyle w:val="ListParagraph"/>
        <w:numPr>
          <w:ilvl w:val="0"/>
          <w:numId w:val="42"/>
        </w:numPr>
        <w:spacing w:before="120" w:after="120"/>
        <w:jc w:val="both"/>
      </w:pPr>
      <w:r>
        <w:t xml:space="preserve">Ikkonferma li, jekk l-awtoritajiet tiegħek jixtiequ jestendu t-tul ta’ żmien tal-iskema lil hinn minn dak il-perjodu massimu, huma se jirrinotifikaw il-miżura.</w:t>
      </w:r>
      <w:r>
        <w:t xml:space="preserve"> </w:t>
      </w:r>
    </w:p>
    <w:p w14:paraId="3886EC29" w14:textId="77777777" w:rsidR="00C62AF1" w:rsidRPr="00AC286A" w:rsidRDefault="00C62AF1" w:rsidP="0000132C">
      <w:pPr>
        <w:tabs>
          <w:tab w:val="left" w:leader="dot" w:pos="9072"/>
        </w:tabs>
        <w:spacing w:before="120" w:after="120"/>
        <w:ind w:left="1080" w:firstLine="338"/>
        <w:jc w:val="both"/>
      </w:pPr>
      <w:r>
        <w:tab/>
      </w:r>
    </w:p>
    <w:p w14:paraId="2B1EA71B" w14:textId="77777777" w:rsidR="00D87BD9" w:rsidRPr="00AC286A" w:rsidRDefault="6E4D4F9B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il-miżura/i notifikata/i tista’/jistgħu tinċentiva/jinċentivaw investimenti ġodda f’vetturi u f’tagħmir għas-servizzi mobbli li jużaw il-gass naturali, spjega kif il-miżura tista’ titqies li ma għandhiex effetti ta’ intrappolament fit-tul u li ma tispostax l-investimenti f’alternattivi aktar nodfa.</w:t>
      </w:r>
      <w:r>
        <w:t xml:space="preserve"> </w:t>
      </w:r>
      <w:r>
        <w:t xml:space="preserve">Għalhekk, għall-għajnuna għall-akkwist jew il-kiri ta’ vetturi CNG u LNG għat-trasport fuq l-ilma u għat-tagħmir għas-servizzi mobbli, jekk jogħġbok uri li alternattivi aktar nodfa għad-dekarbonizzazzjoni tal-mod tat-trasport rilevanti mhumiex disponibbli faċilment fis-suq u mhumiex mistennija li jkunu disponibbli fuq terminu qasir.</w:t>
      </w:r>
      <w:r>
        <w:t xml:space="preserve"> </w:t>
      </w:r>
      <w:r>
        <w:t xml:space="preserve">Għal dan l-għan, jekk jogħġbok ikkunsidra perjodu ta’ bejn 2 u 5 snin wara n-notifika tal-miżura ta’ għajnuna (jew perjodu differenti, jekk debitament ġustifikat) u ppreżenta studji indipendenti tas-suq ta’ sostenn jew kwalunkwe evidenza xierqa oħra.</w:t>
      </w:r>
    </w:p>
    <w:p w14:paraId="03059722" w14:textId="0615090E" w:rsidR="00D87BD9" w:rsidRPr="00AC286A" w:rsidRDefault="00F80982" w:rsidP="0000132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883AC27" w14:textId="797EDE04" w:rsidR="00F80982" w:rsidRPr="00AC286A" w:rsidRDefault="0A6EE3E2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 notifikata tista’ tinċentiva investimenti f’inġenji tal-ajru nodfa (għajr inġenji tal-ajru b’emissjonijiet żero) li jużaw fjuwils fossili, jekk jogħġbok uri li l-għajnuna tikkontribwixxi għall-introduzzjoni fis-suq jew għall-adozzjoni aċċellerata ta’ inġenji tal-ajru ġodda, aktar effiċjenti u sostanzjalment aktar ekoloġiċi.</w:t>
      </w:r>
      <w:r>
        <w:t xml:space="preserve"> </w:t>
      </w:r>
      <w:r>
        <w:t xml:space="preserve">Jekk jogħġbok spjega wkoll kif dawn l-investimenti huma konformi ma’ perkors lejn in-newtralità klimatika, u kif il-miżura tevita r-riskju ta’ intrappolament ta’ teknoloġiji konvenzjonali u l-ispostament tal-investimenti f’alternattivi aktar nodfa.</w:t>
      </w:r>
      <w:r>
        <w:t xml:space="preserve">  </w:t>
      </w:r>
    </w:p>
    <w:p w14:paraId="3E6FFB82" w14:textId="77777777" w:rsidR="00F80982" w:rsidRPr="00AC286A" w:rsidRDefault="00F80982" w:rsidP="0000132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910828E" w14:textId="74C75EC6" w:rsidR="00F80982" w:rsidRPr="00AC286A" w:rsidRDefault="0A6EE3E2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 tirrigwarda s-servizz tat-trasport bl-ajru, spjega jekk l-awtoritajiet tiegħek għandhomx l-intenzjoni li jirrikjedu li l-benefiċjarju jiddekummissjona għadd ekwivalenti ta’ inġenji tal-ajru inqas ekoloġiċi ta’ massa tat-tlugħ simili bħall-inġenju tal-ajru akkwistat jew mikri bl-għajnuna mill-Istat, biex jiġu mitigati l-effetti potenzjalment distorsivi tal-għajnuna b’kunsiderazzjoni tal-pożizzjoni tas-suq tal-benefiċjarju jew biex jiżdiedu l-effetti pożittivi tal-miżura ta’ għajnuna.</w:t>
      </w:r>
      <w:r>
        <w:t xml:space="preserve"> </w:t>
      </w:r>
    </w:p>
    <w:p w14:paraId="396D786C" w14:textId="77777777" w:rsidR="00F80982" w:rsidRPr="00AC286A" w:rsidRDefault="00F80982" w:rsidP="0000132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7B1A439" w14:textId="77777777" w:rsidR="00F80982" w:rsidRPr="00AC286A" w:rsidRDefault="0A6EE3E2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Fir-rigward tal-għajnuna għall-akkwist jew il-kiri ta’ vetturi jew tagħmir għas-servizzi mobbli, jekk jogħġbok spjega jekk id-dħul fis-servizz ta’ vetturi ġodda jirriżultax jew jaggravax fallimenti eżistenti tas-suq, bħall-kapaċità żejda fis-settur ikkonċernat.</w:t>
      </w:r>
    </w:p>
    <w:p w14:paraId="34F5E225" w14:textId="77777777" w:rsidR="00F80982" w:rsidRPr="00AC286A" w:rsidRDefault="00F80982" w:rsidP="0000132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7F16B33" w14:textId="77777777" w:rsidR="00F80982" w:rsidRPr="00AC286A" w:rsidRDefault="0A6EE3E2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 notifikata tagħti appoġġ immirat lil benefiċjarju individwali jew lil għadd limitat ta’ benefiċjarji speċifiċi fin-nuqqas ta’ offerti kompetittivi, jekk jogħġbok iġġustifika t-tfassil tal-miżura u r-raġunijiet għaliex mhijiex miftuħa għall-kompetituri kollha li lesti jipprovdu l-istess servizz, prodott jew benefiċċju u juru li hija tindirizza kif xieraq ir-riskji ogħla ta’ distorsjoni tal-kompetizzjoni.</w:t>
      </w:r>
      <w:r>
        <w:t xml:space="preserve"> </w:t>
      </w:r>
    </w:p>
    <w:p w14:paraId="63AA617C" w14:textId="77777777" w:rsidR="00F80982" w:rsidRPr="00AC286A" w:rsidRDefault="00F80982" w:rsidP="0000132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A6AC9B6" w14:textId="77777777" w:rsidR="00C62AF1" w:rsidRPr="00AC286A" w:rsidRDefault="00C62AF1" w:rsidP="009854EF">
      <w:pPr>
        <w:ind w:left="720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7351B996" w14:textId="77777777" w:rsidTr="009A7D29">
        <w:tc>
          <w:tcPr>
            <w:tcW w:w="9322" w:type="dxa"/>
            <w:shd w:val="pct15" w:color="auto" w:fill="auto"/>
          </w:tcPr>
          <w:p w14:paraId="0DC901AB" w14:textId="316A59CC" w:rsidR="00C62AF1" w:rsidRPr="00AC286A" w:rsidRDefault="00C62AF1" w:rsidP="0000132C">
            <w:pPr>
              <w:pStyle w:val="Heading1"/>
              <w:numPr>
                <w:ilvl w:val="0"/>
                <w:numId w:val="20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 xml:space="preserve">L-ibbilanċjar tal-effetti pożittivi tal-għajnuna mal-effetti negattivi fuq il-kompetizzjoni u l-kummerċ</w:t>
            </w:r>
          </w:p>
        </w:tc>
      </w:tr>
    </w:tbl>
    <w:p w14:paraId="21499FBD" w14:textId="74D3BCF1" w:rsidR="00C62AF1" w:rsidRPr="00AC286A" w:rsidRDefault="00C62AF1" w:rsidP="00C62AF1">
      <w:pPr>
        <w:spacing w:before="360" w:after="120"/>
        <w:jc w:val="both"/>
        <w:rPr>
          <w:i/>
          <w:color w:val="000000"/>
        </w:rPr>
      </w:pPr>
      <w:r>
        <w:rPr>
          <w:i/>
        </w:rPr>
        <w:t xml:space="preserve">Biex tipprovdi l-informazzjoni f’din it-taqsima, jekk jogħġbok irreferi għat-Taqsima 3.3 (il-punti 71-76) tas-CEEAG.</w:t>
      </w:r>
      <w:r>
        <w:rPr>
          <w:i/>
          <w:color w:val="000000"/>
        </w:rPr>
        <w:t xml:space="preserve"> </w:t>
      </w:r>
    </w:p>
    <w:p w14:paraId="0BEFA26C" w14:textId="79DBA108" w:rsidR="00796DA4" w:rsidRPr="00564B1B" w:rsidRDefault="00796DA4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tivverifika l-konformità mal-punt 72 tas-CEEAG, jekk jogħġbok spjega jekk l-attivitajiet appoġġati taħt il-miżura notifikata jissodisfawx il-kriterji għal attivitajiet ekonomiċi ambjentalment sostenibbli</w:t>
      </w:r>
      <w:r>
        <w:rPr>
          <w:shd w:val="clear" w:color="auto" w:fill="FFFFFF"/>
        </w:rPr>
        <w:t xml:space="preserve"> previsti</w:t>
      </w:r>
      <w:r>
        <w:t xml:space="preserve"> fl-Artikolu 3 tar-Regolament (UE) 2020/852 tal-Parlament Ewropew u tal-Kunsill</w:t>
      </w:r>
      <w:r>
        <w:rPr>
          <w:rStyle w:val="FootnoteReference"/>
          <w:lang w:eastAsia="en-GB"/>
        </w:rPr>
        <w:footnoteReference w:id="12"/>
      </w:r>
      <w:r>
        <w:t xml:space="preserve">, </w:t>
      </w:r>
      <w:r>
        <w:rPr>
          <w:shd w:val="clear" w:color="auto" w:fill="FFFFFF"/>
        </w:rPr>
        <w:t xml:space="preserve">inkluż il-prinċipju “la tagħmilx ħsara sinifikanti”, jew metodoloġiji komparabbli oħra.</w:t>
      </w:r>
    </w:p>
    <w:p w14:paraId="2EA38EAA" w14:textId="77777777" w:rsidR="00C62AF1" w:rsidRPr="00AC286A" w:rsidRDefault="00C62AF1" w:rsidP="0000132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47C822" w14:textId="77777777" w:rsidR="0007320B" w:rsidRPr="00AC1973" w:rsidRDefault="0007320B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(Fil-każ ta’ proċess kompetittiv ta’ offerti) spjega jekk il-miżura/i notifikata/i tinkludix/jinkludux karatteristiċi li jiffaċilitaw il-parteċipazzjoni tal-SMEs fi proċessi kompetittivi ta’ offerti.</w:t>
      </w:r>
      <w:r>
        <w:t xml:space="preserve"> </w:t>
      </w:r>
      <w:r>
        <w:t xml:space="preserve">Fl-affermattiv, jekk jogħġbok ipprovdi informazzjoni dwar dawk il-karatteristiki u ġġustifika kif l-effetti pożittivi tal-iżgurar tal-parteċipazzjoni tal-SMEs fil-miżura/i notifikata/i jegħlbu l-effetti distorsivi possibbli.</w:t>
      </w:r>
    </w:p>
    <w:p w14:paraId="7532CBD3" w14:textId="77777777" w:rsidR="00C62AF1" w:rsidRPr="00AC286A" w:rsidRDefault="00C62AF1" w:rsidP="0000132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5F1B2DB" w14:textId="77777777" w:rsidR="00C62AF1" w:rsidRPr="00AC286A" w:rsidRDefault="00C62AF1" w:rsidP="00C62AF1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5C04AA10" w14:textId="77777777" w:rsidTr="009A7D29">
        <w:tc>
          <w:tcPr>
            <w:tcW w:w="9322" w:type="dxa"/>
            <w:shd w:val="pct15" w:color="auto" w:fill="auto"/>
          </w:tcPr>
          <w:p w14:paraId="14675A6C" w14:textId="5F218044" w:rsidR="00C62AF1" w:rsidRPr="00AC286A" w:rsidRDefault="00A03B86" w:rsidP="005D3ABE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  <w:rFonts w:eastAsia="Times New Roman"/>
              </w:rPr>
            </w:pPr>
            <w:r>
              <w:rPr>
                <w:b/>
                <w:sz w:val="32"/>
              </w:rPr>
              <w:t xml:space="preserve">Taqsima C:</w:t>
            </w:r>
            <w:r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Evalwazzjoni</w:t>
            </w:r>
            <w:r>
              <w:rPr>
                <w:b/>
                <w:i/>
                <w:color w:val="000000"/>
                <w:sz w:val="28"/>
              </w:rPr>
              <w:t xml:space="preserve"> </w:t>
            </w:r>
          </w:p>
        </w:tc>
      </w:tr>
    </w:tbl>
    <w:p w14:paraId="39FD16EF" w14:textId="121AFA9D" w:rsidR="00C62AF1" w:rsidRPr="00AC286A" w:rsidRDefault="00C62AF1" w:rsidP="009854EF">
      <w:pPr>
        <w:tabs>
          <w:tab w:val="left" w:leader="dot" w:pos="9072"/>
        </w:tabs>
        <w:spacing w:before="120" w:after="120"/>
        <w:jc w:val="both"/>
      </w:pPr>
      <w:r>
        <w:rPr>
          <w:i/>
        </w:rPr>
        <w:t xml:space="preserve">Biex tipprovdi l-informazzjoni f’din it-taqsima, irreferi għall-Kapitolu 5 (il-punti 455-463) tas-CEEAG.</w:t>
      </w:r>
    </w:p>
    <w:p w14:paraId="3D65909D" w14:textId="77777777" w:rsidR="00C62AF1" w:rsidRPr="00AC286A" w:rsidRDefault="00C62AF1" w:rsidP="00C62AF1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7C699CF1" w14:textId="4BA15E78" w:rsidR="007268FD" w:rsidRPr="00AC286A" w:rsidRDefault="6E36DA80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il-miżura/i notifikata/i taqbeż/jaqbżu l-limiti tal-baġit/tan-nefqa fil-punt 456 tas-CEEAG, jekk jogħġbok spjega għaliex fil-fehma tiegħek għandha tapplika l-eċċezzjoni fil-punt 457 tas-CEEAG, jew ehmeż ma’ din il-formola ta’ notifika Anness li jinkludi abbozz ta’ pjan ta’ evalwazzjoni li jkopri l-kamp ta’ applikazzjoni msemmi fil-punt 458 tas-CEEAG</w:t>
      </w:r>
      <w:r>
        <w:rPr>
          <w:rStyle w:val="FootnoteReference"/>
          <w:lang w:eastAsia="en-GB"/>
        </w:rPr>
        <w:footnoteReference w:id="13"/>
      </w:r>
      <w:r>
        <w:t xml:space="preserve">.</w:t>
      </w:r>
    </w:p>
    <w:p w14:paraId="7AB6B572" w14:textId="78AD8334" w:rsidR="007268FD" w:rsidRPr="00AC286A" w:rsidRDefault="001631E6" w:rsidP="001631E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  <w:r>
        <w:tab/>
      </w:r>
      <w:r>
        <w:tab/>
      </w:r>
    </w:p>
    <w:p w14:paraId="4DFCC226" w14:textId="7B7BD4AE" w:rsidR="002578DB" w:rsidRPr="00AC286A" w:rsidRDefault="6E36DA80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jiġi pprovdut abbozz ta’ pjan ta’ evalwazzjoni, jekk jogħġbok:</w:t>
      </w:r>
    </w:p>
    <w:p w14:paraId="637F0B69" w14:textId="77777777" w:rsidR="002578DB" w:rsidRPr="00AC286A" w:rsidRDefault="002578DB" w:rsidP="0000132C">
      <w:pPr>
        <w:pStyle w:val="ListParagraph"/>
        <w:numPr>
          <w:ilvl w:val="0"/>
          <w:numId w:val="43"/>
        </w:numPr>
        <w:spacing w:before="120" w:after="120"/>
        <w:jc w:val="both"/>
      </w:pPr>
      <w:r>
        <w:t xml:space="preserve">hawn taħt ipprovdi sommarju ta’ dak l-abbozz tal-pjan ta’ evalwazzjoni inkluż fl-Anness.</w:t>
      </w:r>
    </w:p>
    <w:p w14:paraId="2F4039F9" w14:textId="152B422C" w:rsidR="002578DB" w:rsidRPr="00AC286A" w:rsidRDefault="002578DB" w:rsidP="00C961E4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</w:t>
      </w:r>
    </w:p>
    <w:p w14:paraId="4E5BC5D5" w14:textId="6215C340" w:rsidR="007268FD" w:rsidRPr="00AC286A" w:rsidRDefault="007268FD" w:rsidP="0000132C">
      <w:pPr>
        <w:pStyle w:val="ListParagraph"/>
        <w:numPr>
          <w:ilvl w:val="0"/>
          <w:numId w:val="43"/>
        </w:numPr>
        <w:spacing w:before="120" w:after="120"/>
        <w:contextualSpacing w:val="0"/>
        <w:jc w:val="both"/>
      </w:pPr>
      <w:r>
        <w:t xml:space="preserve">ikkonferma li l-punt 460 tas-CEEAG se jiġi rrispettat.</w:t>
      </w:r>
    </w:p>
    <w:p w14:paraId="31C15A1E" w14:textId="53101DDA" w:rsidR="007268FD" w:rsidRPr="00AC286A" w:rsidRDefault="002578DB" w:rsidP="00C961E4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</w:t>
      </w:r>
      <w:r>
        <w:t xml:space="preserve"> </w:t>
      </w:r>
    </w:p>
    <w:p w14:paraId="630270A9" w14:textId="77777777" w:rsidR="002578DB" w:rsidRPr="00AC286A" w:rsidRDefault="002578DB" w:rsidP="0000132C">
      <w:pPr>
        <w:pStyle w:val="ListParagraph"/>
        <w:numPr>
          <w:ilvl w:val="0"/>
          <w:numId w:val="43"/>
        </w:numPr>
        <w:spacing w:before="120" w:after="120"/>
        <w:contextualSpacing w:val="0"/>
        <w:jc w:val="both"/>
      </w:pPr>
      <w:r>
        <w:t xml:space="preserve">ipprovdi d-data u l-link tal-internet fejn il-pjan ta’ evalwazzjoni se jkun disponibbli għall-pubbliku.</w:t>
      </w:r>
    </w:p>
    <w:p w14:paraId="68E3D092" w14:textId="54FE0E7D" w:rsidR="002578DB" w:rsidRPr="00AC286A" w:rsidRDefault="002578DB" w:rsidP="00C961E4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</w:t>
      </w:r>
      <w:r>
        <w:t xml:space="preserve"> </w:t>
      </w:r>
    </w:p>
    <w:p w14:paraId="61AAED4A" w14:textId="08B68244" w:rsidR="00C62AF1" w:rsidRPr="00AC286A" w:rsidRDefault="070CBB00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tivverifika l-konformità mal-punt 459(b) tas-CEEAG, f’każ li l-iskema ta’ għajnuna bħalissa ma tkunx soġġetta għal evalwazzjoni </w:t>
      </w:r>
      <w:r>
        <w:rPr>
          <w:i/>
        </w:rPr>
        <w:t xml:space="preserve">ex post</w:t>
      </w:r>
      <w:r>
        <w:t xml:space="preserve"> u d-durata tagħha taqbeż it-tliet snin, jekk jogħġbok ikkonferma li se tinnotifika abbozz ta’ pjan ta’ evalwazzjoni fi żmien 30 jum tax-xogħol wara modifika sinifikanti li żżid il-baġit tal-iskema għal aktar minn EUR 150 miljun fi kwalunkwe sena partikolari jew EUR 750 miljun matul it-tul ta’ żmien totali tal-iskema.</w:t>
      </w:r>
      <w:r>
        <w:t xml:space="preserve"> </w:t>
      </w:r>
    </w:p>
    <w:p w14:paraId="755E1927" w14:textId="77777777" w:rsidR="00C62AF1" w:rsidRPr="00AC286A" w:rsidRDefault="00C62AF1" w:rsidP="00C62AF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5F7F53D" w14:textId="3DD19A58" w:rsidR="00C62AF1" w:rsidRPr="00AC286A" w:rsidRDefault="070CBB00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tivverifika l-konformità mal-punt 459(c) tas-CEEAG, f’każ li l-iskema ta’ għajnuna bħalissa ma tkunx soġġetta għal evalwazzjoni </w:t>
      </w:r>
      <w:r>
        <w:rPr>
          <w:i/>
        </w:rPr>
        <w:t xml:space="preserve">ex pos</w:t>
      </w:r>
      <w:r>
        <w:t xml:space="preserve">t, hawn taħt ipprovdi impenn li l-Istat Membru se jinnotifika abbozz ta’ pjan ta’ evalwazzjoni </w:t>
      </w:r>
      <w:r>
        <w:rPr>
          <w:shd w:val="clear" w:color="auto" w:fill="FFFFFF"/>
        </w:rPr>
        <w:t xml:space="preserve">fi żmien 30 jum tax-xogħol wara r-reġistrazzjoni fil-kontijiet uffiċjali ta’ aktar minn EUR 150 miljun fis-sena preċedenti</w:t>
      </w:r>
      <w:r>
        <w:t xml:space="preserve">.</w:t>
      </w:r>
      <w:r>
        <w:t xml:space="preserve"> </w:t>
      </w:r>
    </w:p>
    <w:p w14:paraId="0487F99C" w14:textId="00CB408C" w:rsidR="00C62AF1" w:rsidRPr="00AC286A" w:rsidRDefault="00C62AF1" w:rsidP="00C62AF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44D3D38" w14:textId="625380C1" w:rsidR="002578DB" w:rsidRPr="00AC286A" w:rsidRDefault="2302C6A5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461 tas-CEEAG:</w:t>
      </w:r>
    </w:p>
    <w:p w14:paraId="323279C4" w14:textId="26AA9A6C" w:rsidR="002578DB" w:rsidRPr="00AC286A" w:rsidRDefault="002578DB" w:rsidP="0000132C">
      <w:pPr>
        <w:pStyle w:val="ListParagraph"/>
        <w:numPr>
          <w:ilvl w:val="0"/>
          <w:numId w:val="28"/>
        </w:numPr>
        <w:spacing w:before="120" w:after="120"/>
        <w:contextualSpacing w:val="0"/>
        <w:jc w:val="both"/>
      </w:pPr>
      <w:r>
        <w:t xml:space="preserve">Iċċara jekk l-espert indipendenti diġà ntgħażilx jew jekk hux se jintgħażel fil-futur.</w:t>
      </w:r>
    </w:p>
    <w:p w14:paraId="557627AC" w14:textId="77777777" w:rsidR="002578DB" w:rsidRPr="00AC286A" w:rsidRDefault="002578DB" w:rsidP="002578DB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…………………………………………………………………………………..</w:t>
      </w:r>
    </w:p>
    <w:p w14:paraId="30DCD8A9" w14:textId="77777777" w:rsidR="002578DB" w:rsidRPr="00AC286A" w:rsidRDefault="002578DB" w:rsidP="0000132C">
      <w:pPr>
        <w:pStyle w:val="ListParagraph"/>
        <w:numPr>
          <w:ilvl w:val="0"/>
          <w:numId w:val="28"/>
        </w:numPr>
        <w:spacing w:before="120" w:after="120"/>
        <w:contextualSpacing w:val="0"/>
        <w:jc w:val="both"/>
      </w:pPr>
      <w:r>
        <w:t xml:space="preserve">Jekk jogħġbok ipprovdi informazzjoni dwar il-proċedura tal-għażla tal-espert.</w:t>
      </w:r>
    </w:p>
    <w:p w14:paraId="2370A9CE" w14:textId="77777777" w:rsidR="002578DB" w:rsidRPr="00AC286A" w:rsidRDefault="002578DB" w:rsidP="002578DB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</w:t>
      </w:r>
    </w:p>
    <w:p w14:paraId="342F1895" w14:textId="77777777" w:rsidR="002578DB" w:rsidRPr="00AC286A" w:rsidRDefault="002578DB" w:rsidP="0000132C">
      <w:pPr>
        <w:pStyle w:val="ListParagraph"/>
        <w:numPr>
          <w:ilvl w:val="0"/>
          <w:numId w:val="28"/>
        </w:numPr>
        <w:spacing w:before="120" w:after="120"/>
        <w:contextualSpacing w:val="0"/>
        <w:jc w:val="both"/>
      </w:pPr>
      <w:r>
        <w:t xml:space="preserve">Iġġustifika kif l-espert huwa indipendenti mill-awtorità tal-għoti.</w:t>
      </w:r>
    </w:p>
    <w:p w14:paraId="0DCED051" w14:textId="77777777" w:rsidR="002578DB" w:rsidRPr="00AC286A" w:rsidRDefault="002578DB" w:rsidP="002578DB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…………………………………………………………………………………..</w:t>
      </w:r>
      <w:r>
        <w:t xml:space="preserve"> </w:t>
      </w:r>
    </w:p>
    <w:p w14:paraId="521A7224" w14:textId="387F4A13" w:rsidR="002578DB" w:rsidRPr="00AC286A" w:rsidRDefault="2302C6A5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461 tas-CEEAG:</w:t>
      </w:r>
      <w:r>
        <w:t xml:space="preserve"> </w:t>
      </w:r>
    </w:p>
    <w:p w14:paraId="5B99AA31" w14:textId="36AF6516" w:rsidR="002578DB" w:rsidRPr="00AC286A" w:rsidRDefault="002578DB" w:rsidP="0000132C">
      <w:pPr>
        <w:pStyle w:val="ListParagraph"/>
        <w:numPr>
          <w:ilvl w:val="0"/>
          <w:numId w:val="44"/>
        </w:numPr>
        <w:spacing w:before="120" w:after="120"/>
        <w:jc w:val="both"/>
      </w:pPr>
      <w:r>
        <w:t xml:space="preserve">Jekk jogħġbok ipprovdi l-iskadenzi li qed tipproponi għas-sottomissjoni tar-rapport ta’ evalwazzjoni interim u finali.</w:t>
      </w:r>
      <w:r>
        <w:t xml:space="preserve"> </w:t>
      </w:r>
      <w:r>
        <w:t xml:space="preserve">Jekk jogħġbok innota li r-rapport ta’ evalwazzjoni finali jrid jiġi ppreżentat lill-Kummissjoni fi żmien xieraq biex tkun tista’ ssir il-valutazzjoni tal-estensjoni possibbli tal-iskema ta’ għajnuna u mhux aktar tard minn 9 xhur qabel l-iskadenza tagħha, f’konformità mal-punt 463 tas-CEEAG.</w:t>
      </w:r>
      <w:r>
        <w:t xml:space="preserve"> </w:t>
      </w:r>
      <w:r>
        <w:t xml:space="preserve">Jekk jogħġbok innota li dik l-iskadenza tista’ titnaqqas għal skemi li jiskattaw ir-rekwiżit ta’ evalwazzjoni fl-aħħar sentejn ta’ implimentazzjoni tagħhom.</w:t>
      </w:r>
    </w:p>
    <w:p w14:paraId="3122EED8" w14:textId="24EC6719" w:rsidR="002578DB" w:rsidRPr="00AC286A" w:rsidRDefault="002578DB" w:rsidP="00C961E4">
      <w:pPr>
        <w:pStyle w:val="ListParagraph"/>
        <w:spacing w:before="120" w:after="120"/>
        <w:ind w:left="1080" w:firstLine="360"/>
        <w:contextualSpacing w:val="0"/>
        <w:jc w:val="both"/>
      </w:pPr>
      <w:bookmarkStart w:id="14" w:name="_Hlk155794566"/>
      <w:r>
        <w:t xml:space="preserve">…………………………………………………………………………………..</w:t>
      </w:r>
      <w:r>
        <w:t xml:space="preserve"> </w:t>
      </w:r>
    </w:p>
    <w:bookmarkEnd w:id="14"/>
    <w:p w14:paraId="2431B487" w14:textId="259F914D" w:rsidR="002578DB" w:rsidRPr="00AC286A" w:rsidRDefault="002578DB" w:rsidP="0000132C">
      <w:pPr>
        <w:pStyle w:val="ListParagraph"/>
        <w:numPr>
          <w:ilvl w:val="0"/>
          <w:numId w:val="44"/>
        </w:numPr>
        <w:spacing w:before="120" w:after="120"/>
        <w:jc w:val="both"/>
      </w:pPr>
      <w:r>
        <w:t xml:space="preserve">Jekk jogħġbok ikkonferma li r-rapport ta’ evalwazzjoni interim u finali se jsir pubbliku.</w:t>
      </w:r>
      <w:r>
        <w:t xml:space="preserve"> </w:t>
      </w:r>
      <w:r>
        <w:t xml:space="preserve">Jekk jogħġbok ipprovdi d-data u l-link tal-internet fejn dawk ir-rapporti se jkunu disponibbli għall-pubbliku.</w:t>
      </w:r>
      <w:r>
        <w:t xml:space="preserve"> </w:t>
      </w:r>
    </w:p>
    <w:p w14:paraId="6F7F7DFB" w14:textId="65DD66EB" w:rsidR="00C62AF1" w:rsidRPr="00AC286A" w:rsidRDefault="00C961E4" w:rsidP="00C961E4">
      <w:pPr>
        <w:pStyle w:val="ListParagraph"/>
        <w:spacing w:before="120" w:after="120"/>
        <w:ind w:left="1080" w:firstLine="360"/>
        <w:contextualSpacing w:val="0"/>
        <w:jc w:val="both"/>
      </w:pPr>
      <w:r>
        <w:t xml:space="preserve">…………………………………………………………………………………..</w:t>
      </w:r>
      <w:r>
        <w:t xml:space="preserve"> </w:t>
      </w:r>
    </w:p>
    <w:p w14:paraId="0910FBC0" w14:textId="77777777" w:rsidR="00C62AF1" w:rsidRPr="00AC286A" w:rsidRDefault="00C62AF1" w:rsidP="00C62AF1">
      <w:pPr>
        <w:ind w:left="-567" w:firstLine="1412"/>
        <w:rPr>
          <w:i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22"/>
      </w:tblGrid>
      <w:tr w:rsidR="00C62AF1" w:rsidRPr="00AC286A" w14:paraId="0DBACB01" w14:textId="77777777" w:rsidTr="00B009CA">
        <w:tc>
          <w:tcPr>
            <w:tcW w:w="9322" w:type="dxa"/>
            <w:shd w:val="clear" w:color="auto" w:fill="D9D9D9" w:themeFill="background1" w:themeFillShade="D9"/>
          </w:tcPr>
          <w:p w14:paraId="6B96A813" w14:textId="5B04F593" w:rsidR="00C62AF1" w:rsidRPr="00AC286A" w:rsidRDefault="4E8F959C" w:rsidP="0287E927">
            <w:pPr>
              <w:spacing w:line="259" w:lineRule="auto"/>
              <w:ind w:left="2160"/>
              <w:rPr>
                <w:b/>
                <w:bCs/>
                <w:i/>
                <w:iCs/>
                <w:sz w:val="28"/>
                <w:szCs w:val="28"/>
                <w:rFonts w:eastAsia="Times New Roman"/>
              </w:rPr>
            </w:pPr>
            <w:r>
              <w:rPr>
                <w:b/>
                <w:sz w:val="32"/>
              </w:rPr>
              <w:t xml:space="preserve">Taqsima D:</w:t>
            </w:r>
            <w:r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Ir-rapportar u l-monitoraġġ</w:t>
            </w:r>
            <w:r>
              <w:rPr>
                <w:b/>
                <w:i/>
                <w:sz w:val="28"/>
              </w:rPr>
              <w:t xml:space="preserve"> </w:t>
            </w:r>
          </w:p>
        </w:tc>
      </w:tr>
    </w:tbl>
    <w:p w14:paraId="520AA0A1" w14:textId="77777777" w:rsidR="00C62AF1" w:rsidRPr="00AC286A" w:rsidRDefault="00C62AF1" w:rsidP="00C62AF1">
      <w:pPr>
        <w:ind w:left="-567" w:firstLine="1412"/>
      </w:pPr>
    </w:p>
    <w:p w14:paraId="37B3C3D5" w14:textId="77777777" w:rsidR="00C961E4" w:rsidRPr="00AC286A" w:rsidRDefault="00C961E4" w:rsidP="00C961E4">
      <w:pPr>
        <w:tabs>
          <w:tab w:val="left" w:leader="dot" w:pos="9072"/>
        </w:tabs>
        <w:spacing w:before="120" w:after="120"/>
        <w:jc w:val="both"/>
      </w:pPr>
      <w:r>
        <w:rPr>
          <w:i/>
        </w:rPr>
        <w:t xml:space="preserve">Biex tipprovdi l-informazzjoni f’din it-taqsima, jekk jogħġbok irreferi għat-Taqsima 6 (il-punti 464-465) tas-CEEAG.</w:t>
      </w:r>
    </w:p>
    <w:p w14:paraId="3E33F579" w14:textId="35E63F92" w:rsidR="00C62AF1" w:rsidRDefault="070CBB00" w:rsidP="0000132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ikkonferma li l-Istat Membru se jikkonforma mar-rekwiżiti għar-rappurtar u l-monitoraġġ stipulati fit-Taqsima 6, il-punti 464 u 465 tas-CEEAG.</w:t>
      </w:r>
    </w:p>
    <w:p w14:paraId="0DDB55BF" w14:textId="77777777" w:rsidR="00034ACF" w:rsidRPr="00AC286A" w:rsidRDefault="00034ACF" w:rsidP="0000132C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…………………………………………………………………………………..</w:t>
      </w:r>
      <w:r>
        <w:t xml:space="preserve"> </w:t>
      </w:r>
    </w:p>
    <w:p w14:paraId="3CAB5E38" w14:textId="77777777" w:rsidR="00697188" w:rsidRPr="00711243" w:rsidRDefault="00697188" w:rsidP="00034ACF"/>
    <w:sectPr w:rsidR="00697188" w:rsidRPr="00711243" w:rsidSect="00393A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167B1" w14:textId="77777777" w:rsidR="00E71560" w:rsidRDefault="00E71560" w:rsidP="000442F5">
      <w:r>
        <w:separator/>
      </w:r>
    </w:p>
  </w:endnote>
  <w:endnote w:type="continuationSeparator" w:id="0">
    <w:p w14:paraId="5D963F60" w14:textId="77777777" w:rsidR="00E71560" w:rsidRDefault="00E71560" w:rsidP="000442F5">
      <w:r>
        <w:continuationSeparator/>
      </w:r>
    </w:p>
  </w:endnote>
  <w:endnote w:type="continuationNotice" w:id="1">
    <w:p w14:paraId="69C28661" w14:textId="77777777" w:rsidR="00E71560" w:rsidRDefault="00E715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17A8" w14:textId="77777777" w:rsidR="006D3318" w:rsidRDefault="006D3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9DC6" w14:textId="090C787E" w:rsidR="009560B9" w:rsidRDefault="009560B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22</w:t>
    </w:r>
    <w:r>
      <w:fldChar w:fldCharType="end"/>
    </w:r>
  </w:p>
  <w:p w14:paraId="108E779E" w14:textId="77777777" w:rsidR="009560B9" w:rsidRDefault="009560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042F" w14:textId="70BC243F" w:rsidR="21EF5C4C" w:rsidRDefault="21EF5C4C" w:rsidP="21EF5C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D8C0D" w14:textId="77777777" w:rsidR="00E71560" w:rsidRDefault="00E71560" w:rsidP="000442F5">
      <w:r>
        <w:separator/>
      </w:r>
    </w:p>
  </w:footnote>
  <w:footnote w:type="continuationSeparator" w:id="0">
    <w:p w14:paraId="7C997862" w14:textId="77777777" w:rsidR="00E71560" w:rsidRDefault="00E71560" w:rsidP="000442F5">
      <w:r>
        <w:continuationSeparator/>
      </w:r>
    </w:p>
  </w:footnote>
  <w:footnote w:type="continuationNotice" w:id="1">
    <w:p w14:paraId="3A935846" w14:textId="77777777" w:rsidR="00E71560" w:rsidRDefault="00E71560"/>
  </w:footnote>
  <w:footnote w:id="2">
    <w:p w14:paraId="0DA60B72" w14:textId="141AA9D1" w:rsidR="009560B9" w:rsidRPr="0067348B" w:rsidRDefault="009560B9" w:rsidP="007B485D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ĠU C 80, 18.2.2022, p. 1.</w:t>
      </w:r>
    </w:p>
  </w:footnote>
  <w:footnote w:id="3">
    <w:p w14:paraId="162040A0" w14:textId="77777777" w:rsidR="00CA0EC2" w:rsidRPr="0067348B" w:rsidRDefault="00CA0EC2" w:rsidP="00CA0EC2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Jekk jogħġbok innota li għal skema ta’ għajnuna, it-tul ta’ żmien huwa l-perjodu li matulu tista’ ssir applikazzjoni għall-għajnuna u tittieħed deċiżjoni dwaru (inkluż għaldaqstant iż-żmien meħtieġ biex l-awtoritajiet nazzjonali japprovaw l-applikazzjonijiet għall-għajnuna).</w:t>
      </w:r>
      <w:r>
        <w:t xml:space="preserve"> </w:t>
      </w:r>
      <w:r>
        <w:t xml:space="preserve">It-tul ta’ żmien imsemmi f’din il-mistoqsija mhuwiex relatat mat-tul tal-kuntratti li ġew konklużi taħt l-iskema ta’ għajnuna, li jistgħu jkomplu lil hinn mit-tul ta’ żmien tal-miżura.</w:t>
      </w:r>
    </w:p>
  </w:footnote>
  <w:footnote w:id="4">
    <w:p w14:paraId="0476288F" w14:textId="5910BFC5" w:rsidR="003037AB" w:rsidRPr="0067348B" w:rsidRDefault="003037AB" w:rsidP="003037AB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Jekk jogħġbok innota li bidla fil-baġit reali jew stmat tista’ tkun bidla fl-għajnuna, li tkun tirrikjedi notifika ġdida.</w:t>
      </w:r>
    </w:p>
  </w:footnote>
  <w:footnote w:id="5">
    <w:p w14:paraId="01706528" w14:textId="42D8E4DE" w:rsidR="009926B4" w:rsidRPr="00CF158B" w:rsidRDefault="009926B4" w:rsidP="009926B4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Jekk jogħġbok innota li l-punti 38, 52, 165, 166 u 167 kif ukoll in-noti 39 u 45 f’qiegħ il-paġna tas-CEEAG jipprovdu gwida ulterjuri dwar kif għandu jiġi żviluppat ix-xenarju kontrofattwali probabbli.</w:t>
      </w:r>
    </w:p>
  </w:footnote>
  <w:footnote w:id="6">
    <w:p w14:paraId="439F37C9" w14:textId="60002BCF" w:rsidR="009B7B9E" w:rsidRPr="00C9125D" w:rsidRDefault="009B7B9E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“Proġett ta’ referenza” huwa definit fil-punt 19 (63) tas-CEEAG.</w:t>
      </w:r>
      <w:r>
        <w:t xml:space="preserve"> </w:t>
      </w:r>
    </w:p>
  </w:footnote>
  <w:footnote w:id="7">
    <w:p w14:paraId="4FE55020" w14:textId="77777777" w:rsidR="009926B4" w:rsidRDefault="009926B4" w:rsidP="009926B4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Jekk tiddependi fuq proċess kompetittiv reċenti, spjega kif dak il-proċess ta’ offerti jista’ jiġi kkunsidrat bħala kompetittiv, inkluż kif il-profitti mhux mistennija ġew evitati għal teknoloġiji differenti inkluż fil-proċess kompetittiv ta’ offerti fejn applikabbli, u kif huwa komparabbli, pereżempju:</w:t>
      </w:r>
    </w:p>
    <w:p w14:paraId="2B3FB5FE" w14:textId="77777777" w:rsidR="009926B4" w:rsidRDefault="009926B4" w:rsidP="0000132C">
      <w:pPr>
        <w:pStyle w:val="FootnoteText"/>
        <w:numPr>
          <w:ilvl w:val="0"/>
          <w:numId w:val="27"/>
        </w:numPr>
      </w:pPr>
      <w:r>
        <w:t xml:space="preserve">Il-kundizzjonijiet (pereżempju t-termini kuntrattwali u t-tul ta’ żmien, l-iskadenzi tal-investiment, jekk il-pagamenti ta’ appoġġ kinux indiċjati għall-inflazzjoni jew le) kienu simili għal dawk li ġew proposti fil-miżura notifikata?</w:t>
      </w:r>
    </w:p>
    <w:p w14:paraId="46359276" w14:textId="77777777" w:rsidR="009926B4" w:rsidRDefault="009926B4" w:rsidP="0000132C">
      <w:pPr>
        <w:pStyle w:val="FootnoteText"/>
        <w:numPr>
          <w:ilvl w:val="0"/>
          <w:numId w:val="27"/>
        </w:numPr>
      </w:pPr>
      <w:r>
        <w:t xml:space="preserve">Il-proċess kompetittiv twettaq taħt kundizzjonijiet makroekonomiċi simili?</w:t>
      </w:r>
    </w:p>
    <w:p w14:paraId="104093C2" w14:textId="087CE78F" w:rsidR="009926B4" w:rsidRDefault="009926B4" w:rsidP="0000132C">
      <w:pPr>
        <w:pStyle w:val="FootnoteText"/>
        <w:numPr>
          <w:ilvl w:val="0"/>
          <w:numId w:val="27"/>
        </w:numPr>
      </w:pPr>
      <w:r>
        <w:t xml:space="preserve">It-teknoloġiji/it-tipi ta’ proġetti kienu simili?</w:t>
      </w:r>
    </w:p>
  </w:footnote>
  <w:footnote w:id="8">
    <w:p w14:paraId="676CCD61" w14:textId="77777777" w:rsidR="009560B9" w:rsidRDefault="009560B9" w:rsidP="00C62AF1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Skont il-punt 19(89) tas-CEEAG, “standard tal-Unjoni” tfisser:</w:t>
      </w:r>
    </w:p>
    <w:p w14:paraId="540FE298" w14:textId="77777777" w:rsidR="009560B9" w:rsidRPr="004B74BC" w:rsidRDefault="009560B9" w:rsidP="0000132C">
      <w:pPr>
        <w:pStyle w:val="FootnoteText"/>
        <w:numPr>
          <w:ilvl w:val="0"/>
          <w:numId w:val="23"/>
        </w:numPr>
        <w:rPr>
          <w:i/>
        </w:rPr>
      </w:pPr>
      <w:r>
        <w:rPr>
          <w:i/>
        </w:rPr>
        <w:t xml:space="preserve"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0074D1B1" w14:textId="6CDC8890" w:rsidR="009560B9" w:rsidRDefault="009560B9" w:rsidP="0000132C">
      <w:pPr>
        <w:pStyle w:val="FootnoteText"/>
        <w:numPr>
          <w:ilvl w:val="0"/>
          <w:numId w:val="23"/>
        </w:numPr>
      </w:pPr>
      <w:r>
        <w:rPr>
          <w:i/>
        </w:rPr>
        <w:t xml:space="preserve">l-obbligu li jintużaw l-aqwa tekniki disponibbli (BAT, best available techniques), kif definit fid-Direttiva 2010/75/UE, u li jiġi żgurat li l-livelli ta’ emissjonijiet ma jkunux ogħla minn dawk li kienu jintlaħqu bl-applikazzjoni tal-BAT;</w:t>
      </w:r>
      <w:r>
        <w:rPr>
          <w:i/>
        </w:rPr>
        <w:t xml:space="preserve"> </w:t>
      </w:r>
      <w:r>
        <w:rPr>
          <w:i/>
        </w:rPr>
        <w:t xml:space="preserve">għall-każijiet fejn il-livelli ta’ emissjonijiet assoċjati mal-BAT ikunu ġew definiti f’atti ta’ implimentazzjoni adottati skont id-Direttiva 2010/75/UE jew skont direttivi oħra applikabbli, dawk il-livelli se jkunu applikabbli għall-fini ta’ dawn il-linji gwida;</w:t>
      </w:r>
      <w:r>
        <w:rPr>
          <w:i/>
        </w:rPr>
        <w:t xml:space="preserve"> </w:t>
      </w:r>
      <w:r>
        <w:rPr>
          <w:i/>
        </w:rPr>
        <w:t xml:space="preserve">jekk dawn il-livelli jkunu espressi bħala firxa, ikun applikabbli l-limitu fejn il-BAT jintlaħqu l-ewwel għall-impriża kkonċernata.</w:t>
      </w:r>
    </w:p>
  </w:footnote>
  <w:footnote w:id="9">
    <w:p w14:paraId="0D510CDC" w14:textId="77777777" w:rsidR="00F4008F" w:rsidRPr="0095488F" w:rsidRDefault="00F4008F" w:rsidP="00F4008F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Jekk jogħġbok irreferi wkoll għall-informazzjoni ulterjuri fil-punti 51–53 u 165-167 kif ukoll in-noti 45 u 46 f’qiegħ il-paġna tas-CEEAG.</w:t>
      </w:r>
    </w:p>
  </w:footnote>
  <w:footnote w:id="10">
    <w:p w14:paraId="60C95F86" w14:textId="77777777" w:rsidR="00597575" w:rsidRDefault="00597575"/>
  </w:footnote>
  <w:footnote w:id="11">
    <w:p w14:paraId="31D32D3C" w14:textId="21AAC1EB" w:rsidR="00BF1E81" w:rsidRDefault="00BF1E81" w:rsidP="00BF1E81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Il-finanzjament tal-Unjoni mmaniġġjat ċentralment huwa l-finanzjament tal-Unjoni mmaniġġjat ċentralment mill-istituzzjonijiet, l-aġenziji, l-impriżi konġunti jew korpi oħra tal-Unjoni Ewropea u li mhuwiex direttament jew indirettament taħt il-kontroll tal-Istat Membru.</w:t>
      </w:r>
    </w:p>
  </w:footnote>
  <w:footnote w:id="12">
    <w:p w14:paraId="0336C302" w14:textId="77777777" w:rsidR="00796DA4" w:rsidRPr="008772CC" w:rsidRDefault="00796DA4" w:rsidP="00796DA4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Ir-Regolament (UE) 2020/852 tal-Parlament Ewropew u tal-Kunsill tat-18 ta’ Ġunju 2020 dwar l-istabbiliment ta’ qafas biex jiġi ffaċilitat l-investiment sostenibbli, u li jemenda r-Regolament (UE) 2019/2088 (ĠU L 198, 22.6.2020, p. 13).</w:t>
      </w:r>
    </w:p>
  </w:footnote>
  <w:footnote w:id="13">
    <w:p w14:paraId="7517D6A8" w14:textId="77777777" w:rsidR="002578DB" w:rsidRDefault="002578DB" w:rsidP="002578D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Il-mudell għall-formola ta’ informazzjoni supplimentari għan-notifika ta’ pjan ta’ evalwazzjoni (Parti III.8) huwa aċċessibbli hawnhekk:</w:t>
      </w:r>
      <w:r>
        <w:t xml:space="preserve"> </w:t>
      </w:r>
      <w:hyperlink w:anchor="evaluation-plan" w:history="1">
        <w:r>
          <w:rPr>
            <w:rStyle w:val="Hyperlink"/>
            <w:color w:val="auto"/>
          </w:rPr>
          <w:t xml:space="preserve"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67ED" w14:textId="77777777" w:rsidR="006D3318" w:rsidRDefault="006D3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3BBB" w14:textId="4D5B2C33" w:rsidR="21EF5C4C" w:rsidRDefault="21EF5C4C" w:rsidP="21EF5C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4655" w14:textId="77777777" w:rsidR="009560B9" w:rsidRDefault="009560B9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3E5224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C8123A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AB6772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3DE1082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7533822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A8829F3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10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1" w15:restartNumberingAfterBreak="0">
    <w:nsid w:val="14C21563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E00563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D811731"/>
    <w:multiLevelType w:val="hybridMultilevel"/>
    <w:tmpl w:val="AA6A1B38"/>
    <w:lvl w:ilvl="0" w:tplc="90B02656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13765B0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9" w15:restartNumberingAfterBreak="0">
    <w:nsid w:val="2BDD00CF"/>
    <w:multiLevelType w:val="hybridMultilevel"/>
    <w:tmpl w:val="4A1CA042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1" w15:restartNumberingAfterBreak="0">
    <w:nsid w:val="312B69AE"/>
    <w:multiLevelType w:val="multilevel"/>
    <w:tmpl w:val="D6EA6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955151"/>
    <w:multiLevelType w:val="hybridMultilevel"/>
    <w:tmpl w:val="EDCC6220"/>
    <w:lvl w:ilvl="0" w:tplc="EB78F41A">
      <w:start w:val="1"/>
      <w:numFmt w:val="lowerLetter"/>
      <w:lvlText w:val="(%1)"/>
      <w:lvlJc w:val="left"/>
      <w:pPr>
        <w:ind w:left="1080" w:hanging="360"/>
      </w:pPr>
      <w:rPr>
        <w:rFonts w:hint="default"/>
        <w:i/>
        <w:i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4" w15:restartNumberingAfterBreak="0">
    <w:nsid w:val="3C79414B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5905C74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3642BF"/>
    <w:multiLevelType w:val="multilevel"/>
    <w:tmpl w:val="CF74397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437D82"/>
    <w:multiLevelType w:val="hybridMultilevel"/>
    <w:tmpl w:val="8F44B324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F78063C"/>
    <w:multiLevelType w:val="hybridMultilevel"/>
    <w:tmpl w:val="76C61B4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2A06EE"/>
    <w:multiLevelType w:val="hybridMultilevel"/>
    <w:tmpl w:val="288CC92A"/>
    <w:lvl w:ilvl="0" w:tplc="099CE138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  <w:szCs w:val="1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183D6A"/>
    <w:multiLevelType w:val="hybridMultilevel"/>
    <w:tmpl w:val="53D8075E"/>
    <w:lvl w:ilvl="0" w:tplc="7F569CAE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4A07D0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56105EB"/>
    <w:multiLevelType w:val="hybridMultilevel"/>
    <w:tmpl w:val="37482944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8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9" w15:restartNumberingAfterBreak="0">
    <w:nsid w:val="66A63355"/>
    <w:multiLevelType w:val="hybridMultilevel"/>
    <w:tmpl w:val="7F488CBE"/>
    <w:lvl w:ilvl="0" w:tplc="82A46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CBB2EC0A">
      <w:start w:val="1"/>
      <w:numFmt w:val="lowerRoman"/>
      <w:lvlText w:val="%2."/>
      <w:lvlJc w:val="left"/>
      <w:pPr>
        <w:ind w:left="-403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317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1037" w:hanging="360"/>
      </w:pPr>
    </w:lvl>
    <w:lvl w:ilvl="4" w:tplc="08090019" w:tentative="1">
      <w:start w:val="1"/>
      <w:numFmt w:val="lowerLetter"/>
      <w:lvlText w:val="%5."/>
      <w:lvlJc w:val="left"/>
      <w:pPr>
        <w:ind w:left="1757" w:hanging="360"/>
      </w:pPr>
    </w:lvl>
    <w:lvl w:ilvl="5" w:tplc="0809001B" w:tentative="1">
      <w:start w:val="1"/>
      <w:numFmt w:val="lowerRoman"/>
      <w:lvlText w:val="%6."/>
      <w:lvlJc w:val="right"/>
      <w:pPr>
        <w:ind w:left="2477" w:hanging="180"/>
      </w:pPr>
    </w:lvl>
    <w:lvl w:ilvl="6" w:tplc="0809000F" w:tentative="1">
      <w:start w:val="1"/>
      <w:numFmt w:val="decimal"/>
      <w:lvlText w:val="%7."/>
      <w:lvlJc w:val="left"/>
      <w:pPr>
        <w:ind w:left="3197" w:hanging="360"/>
      </w:pPr>
    </w:lvl>
    <w:lvl w:ilvl="7" w:tplc="08090019" w:tentative="1">
      <w:start w:val="1"/>
      <w:numFmt w:val="lowerLetter"/>
      <w:lvlText w:val="%8."/>
      <w:lvlJc w:val="left"/>
      <w:pPr>
        <w:ind w:left="3917" w:hanging="360"/>
      </w:pPr>
    </w:lvl>
    <w:lvl w:ilvl="8" w:tplc="0809001B" w:tentative="1">
      <w:start w:val="1"/>
      <w:numFmt w:val="lowerRoman"/>
      <w:lvlText w:val="%9."/>
      <w:lvlJc w:val="right"/>
      <w:pPr>
        <w:ind w:left="4637" w:hanging="180"/>
      </w:pPr>
    </w:lvl>
  </w:abstractNum>
  <w:abstractNum w:abstractNumId="40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2" w15:restartNumberingAfterBreak="0">
    <w:nsid w:val="6E772977"/>
    <w:multiLevelType w:val="hybridMultilevel"/>
    <w:tmpl w:val="0DDE75C2"/>
    <w:lvl w:ilvl="0" w:tplc="18090019">
      <w:start w:val="1"/>
      <w:numFmt w:val="lowerLetter"/>
      <w:lvlText w:val="%1."/>
      <w:lvlJc w:val="left"/>
      <w:pPr>
        <w:ind w:left="1429" w:hanging="360"/>
      </w:pPr>
    </w:lvl>
    <w:lvl w:ilvl="1" w:tplc="18090019" w:tentative="1">
      <w:start w:val="1"/>
      <w:numFmt w:val="lowerLetter"/>
      <w:lvlText w:val="%2."/>
      <w:lvlJc w:val="left"/>
      <w:pPr>
        <w:ind w:left="2149" w:hanging="360"/>
      </w:pPr>
    </w:lvl>
    <w:lvl w:ilvl="2" w:tplc="1809001B" w:tentative="1">
      <w:start w:val="1"/>
      <w:numFmt w:val="lowerRoman"/>
      <w:lvlText w:val="%3."/>
      <w:lvlJc w:val="right"/>
      <w:pPr>
        <w:ind w:left="2869" w:hanging="180"/>
      </w:pPr>
    </w:lvl>
    <w:lvl w:ilvl="3" w:tplc="1809000F" w:tentative="1">
      <w:start w:val="1"/>
      <w:numFmt w:val="decimal"/>
      <w:lvlText w:val="%4."/>
      <w:lvlJc w:val="left"/>
      <w:pPr>
        <w:ind w:left="3589" w:hanging="360"/>
      </w:pPr>
    </w:lvl>
    <w:lvl w:ilvl="4" w:tplc="18090019" w:tentative="1">
      <w:start w:val="1"/>
      <w:numFmt w:val="lowerLetter"/>
      <w:lvlText w:val="%5."/>
      <w:lvlJc w:val="left"/>
      <w:pPr>
        <w:ind w:left="4309" w:hanging="360"/>
      </w:pPr>
    </w:lvl>
    <w:lvl w:ilvl="5" w:tplc="1809001B" w:tentative="1">
      <w:start w:val="1"/>
      <w:numFmt w:val="lowerRoman"/>
      <w:lvlText w:val="%6."/>
      <w:lvlJc w:val="right"/>
      <w:pPr>
        <w:ind w:left="5029" w:hanging="180"/>
      </w:pPr>
    </w:lvl>
    <w:lvl w:ilvl="6" w:tplc="1809000F" w:tentative="1">
      <w:start w:val="1"/>
      <w:numFmt w:val="decimal"/>
      <w:lvlText w:val="%7."/>
      <w:lvlJc w:val="left"/>
      <w:pPr>
        <w:ind w:left="5749" w:hanging="360"/>
      </w:pPr>
    </w:lvl>
    <w:lvl w:ilvl="7" w:tplc="18090019" w:tentative="1">
      <w:start w:val="1"/>
      <w:numFmt w:val="lowerLetter"/>
      <w:lvlText w:val="%8."/>
      <w:lvlJc w:val="left"/>
      <w:pPr>
        <w:ind w:left="6469" w:hanging="360"/>
      </w:pPr>
    </w:lvl>
    <w:lvl w:ilvl="8" w:tplc="1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EA30EC0"/>
    <w:multiLevelType w:val="hybridMultilevel"/>
    <w:tmpl w:val="37482944"/>
    <w:lvl w:ilvl="0" w:tplc="1809001B">
      <w:start w:val="1"/>
      <w:numFmt w:val="lowerRoman"/>
      <w:lvlText w:val="%1."/>
      <w:lvlJc w:val="righ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2487797">
    <w:abstractNumId w:val="12"/>
  </w:num>
  <w:num w:numId="2" w16cid:durableId="1321927274">
    <w:abstractNumId w:val="16"/>
  </w:num>
  <w:num w:numId="3" w16cid:durableId="18512615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6694321">
    <w:abstractNumId w:val="39"/>
  </w:num>
  <w:num w:numId="5" w16cid:durableId="71708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3087472">
    <w:abstractNumId w:val="23"/>
  </w:num>
  <w:num w:numId="7" w16cid:durableId="1613395412">
    <w:abstractNumId w:val="20"/>
  </w:num>
  <w:num w:numId="8" w16cid:durableId="1016082905">
    <w:abstractNumId w:val="10"/>
  </w:num>
  <w:num w:numId="9" w16cid:durableId="256408150">
    <w:abstractNumId w:val="9"/>
  </w:num>
  <w:num w:numId="10" w16cid:durableId="65806609">
    <w:abstractNumId w:val="37"/>
  </w:num>
  <w:num w:numId="11" w16cid:durableId="836311415">
    <w:abstractNumId w:val="40"/>
  </w:num>
  <w:num w:numId="12" w16cid:durableId="1044330925">
    <w:abstractNumId w:val="38"/>
  </w:num>
  <w:num w:numId="13" w16cid:durableId="68620042">
    <w:abstractNumId w:val="41"/>
  </w:num>
  <w:num w:numId="14" w16cid:durableId="485586509">
    <w:abstractNumId w:val="18"/>
  </w:num>
  <w:num w:numId="15" w16cid:durableId="208734285">
    <w:abstractNumId w:val="26"/>
  </w:num>
  <w:num w:numId="16" w16cid:durableId="83958609">
    <w:abstractNumId w:val="6"/>
  </w:num>
  <w:num w:numId="17" w16cid:durableId="238906293">
    <w:abstractNumId w:val="30"/>
  </w:num>
  <w:num w:numId="18" w16cid:durableId="1290669369">
    <w:abstractNumId w:val="1"/>
  </w:num>
  <w:num w:numId="19" w16cid:durableId="2058426767">
    <w:abstractNumId w:val="0"/>
  </w:num>
  <w:num w:numId="20" w16cid:durableId="1550534820">
    <w:abstractNumId w:val="21"/>
  </w:num>
  <w:num w:numId="21" w16cid:durableId="499661203">
    <w:abstractNumId w:val="14"/>
  </w:num>
  <w:num w:numId="22" w16cid:durableId="1067529374">
    <w:abstractNumId w:val="19"/>
  </w:num>
  <w:num w:numId="23" w16cid:durableId="1290017060">
    <w:abstractNumId w:val="22"/>
  </w:num>
  <w:num w:numId="24" w16cid:durableId="1424259824">
    <w:abstractNumId w:val="31"/>
  </w:num>
  <w:num w:numId="25" w16cid:durableId="1890804041">
    <w:abstractNumId w:val="43"/>
  </w:num>
  <w:num w:numId="26" w16cid:durableId="65232321">
    <w:abstractNumId w:val="42"/>
  </w:num>
  <w:num w:numId="27" w16cid:durableId="1604261636">
    <w:abstractNumId w:val="33"/>
  </w:num>
  <w:num w:numId="28" w16cid:durableId="2048290743">
    <w:abstractNumId w:val="15"/>
  </w:num>
  <w:num w:numId="29" w16cid:durableId="2083091445">
    <w:abstractNumId w:val="34"/>
  </w:num>
  <w:num w:numId="30" w16cid:durableId="1196849627">
    <w:abstractNumId w:val="28"/>
  </w:num>
  <w:num w:numId="31" w16cid:durableId="2142379335">
    <w:abstractNumId w:val="5"/>
  </w:num>
  <w:num w:numId="32" w16cid:durableId="427775360">
    <w:abstractNumId w:val="11"/>
  </w:num>
  <w:num w:numId="33" w16cid:durableId="268314995">
    <w:abstractNumId w:val="8"/>
  </w:num>
  <w:num w:numId="34" w16cid:durableId="1687637829">
    <w:abstractNumId w:val="17"/>
  </w:num>
  <w:num w:numId="35" w16cid:durableId="860238000">
    <w:abstractNumId w:val="7"/>
  </w:num>
  <w:num w:numId="36" w16cid:durableId="1809661544">
    <w:abstractNumId w:val="32"/>
  </w:num>
  <w:num w:numId="37" w16cid:durableId="1031538334">
    <w:abstractNumId w:val="4"/>
  </w:num>
  <w:num w:numId="38" w16cid:durableId="628753034">
    <w:abstractNumId w:val="24"/>
  </w:num>
  <w:num w:numId="39" w16cid:durableId="2030135147">
    <w:abstractNumId w:val="3"/>
  </w:num>
  <w:num w:numId="40" w16cid:durableId="1710841271">
    <w:abstractNumId w:val="35"/>
  </w:num>
  <w:num w:numId="41" w16cid:durableId="130754804">
    <w:abstractNumId w:val="27"/>
  </w:num>
  <w:num w:numId="42" w16cid:durableId="951207344">
    <w:abstractNumId w:val="36"/>
  </w:num>
  <w:num w:numId="43" w16cid:durableId="1401295280">
    <w:abstractNumId w:val="13"/>
  </w:num>
  <w:num w:numId="44" w16cid:durableId="2098935135">
    <w:abstractNumId w:val="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proofState w:spelling="dirty" w:grammar="dirty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0442F5"/>
    <w:rsid w:val="000002C7"/>
    <w:rsid w:val="00000D2F"/>
    <w:rsid w:val="0000132C"/>
    <w:rsid w:val="00001A9C"/>
    <w:rsid w:val="00001C58"/>
    <w:rsid w:val="00002FBB"/>
    <w:rsid w:val="0000461B"/>
    <w:rsid w:val="00004DA7"/>
    <w:rsid w:val="00010ED9"/>
    <w:rsid w:val="00011908"/>
    <w:rsid w:val="0001211F"/>
    <w:rsid w:val="00012F14"/>
    <w:rsid w:val="00015204"/>
    <w:rsid w:val="00015E2B"/>
    <w:rsid w:val="0001637E"/>
    <w:rsid w:val="00016884"/>
    <w:rsid w:val="00016924"/>
    <w:rsid w:val="000178B0"/>
    <w:rsid w:val="00020ECB"/>
    <w:rsid w:val="0002251B"/>
    <w:rsid w:val="000236B2"/>
    <w:rsid w:val="00024845"/>
    <w:rsid w:val="00026DCF"/>
    <w:rsid w:val="00030283"/>
    <w:rsid w:val="000314D8"/>
    <w:rsid w:val="00031952"/>
    <w:rsid w:val="00033005"/>
    <w:rsid w:val="0003383A"/>
    <w:rsid w:val="00034704"/>
    <w:rsid w:val="00034ACF"/>
    <w:rsid w:val="000369C2"/>
    <w:rsid w:val="00041455"/>
    <w:rsid w:val="00042D7B"/>
    <w:rsid w:val="0004325C"/>
    <w:rsid w:val="000442F5"/>
    <w:rsid w:val="0004464A"/>
    <w:rsid w:val="0004513C"/>
    <w:rsid w:val="000456D8"/>
    <w:rsid w:val="000465FE"/>
    <w:rsid w:val="00046B4B"/>
    <w:rsid w:val="00050EB9"/>
    <w:rsid w:val="00051090"/>
    <w:rsid w:val="000531F9"/>
    <w:rsid w:val="00053E15"/>
    <w:rsid w:val="00054C3D"/>
    <w:rsid w:val="00054C7D"/>
    <w:rsid w:val="000551A7"/>
    <w:rsid w:val="00055606"/>
    <w:rsid w:val="000575C3"/>
    <w:rsid w:val="00060F70"/>
    <w:rsid w:val="00062608"/>
    <w:rsid w:val="0006317D"/>
    <w:rsid w:val="0006798B"/>
    <w:rsid w:val="00070199"/>
    <w:rsid w:val="000716AF"/>
    <w:rsid w:val="00071F5F"/>
    <w:rsid w:val="00072F4B"/>
    <w:rsid w:val="00073159"/>
    <w:rsid w:val="0007320B"/>
    <w:rsid w:val="000737D4"/>
    <w:rsid w:val="00074701"/>
    <w:rsid w:val="000754C7"/>
    <w:rsid w:val="000807EC"/>
    <w:rsid w:val="00081430"/>
    <w:rsid w:val="00082E97"/>
    <w:rsid w:val="00083505"/>
    <w:rsid w:val="00090EA2"/>
    <w:rsid w:val="00091017"/>
    <w:rsid w:val="00092882"/>
    <w:rsid w:val="000954A1"/>
    <w:rsid w:val="000955B5"/>
    <w:rsid w:val="000A055E"/>
    <w:rsid w:val="000A276B"/>
    <w:rsid w:val="000A354C"/>
    <w:rsid w:val="000A5825"/>
    <w:rsid w:val="000A5C13"/>
    <w:rsid w:val="000A7248"/>
    <w:rsid w:val="000B0AAF"/>
    <w:rsid w:val="000B1BDB"/>
    <w:rsid w:val="000B343E"/>
    <w:rsid w:val="000B4557"/>
    <w:rsid w:val="000B46CA"/>
    <w:rsid w:val="000B7474"/>
    <w:rsid w:val="000B76A3"/>
    <w:rsid w:val="000C2727"/>
    <w:rsid w:val="000C2F4D"/>
    <w:rsid w:val="000C3517"/>
    <w:rsid w:val="000C4C25"/>
    <w:rsid w:val="000C614B"/>
    <w:rsid w:val="000C64AD"/>
    <w:rsid w:val="000C65DD"/>
    <w:rsid w:val="000C726C"/>
    <w:rsid w:val="000D072E"/>
    <w:rsid w:val="000D23DD"/>
    <w:rsid w:val="000D302E"/>
    <w:rsid w:val="000D3C54"/>
    <w:rsid w:val="000D4B67"/>
    <w:rsid w:val="000D56FC"/>
    <w:rsid w:val="000D7201"/>
    <w:rsid w:val="000D722D"/>
    <w:rsid w:val="000D7371"/>
    <w:rsid w:val="000E3073"/>
    <w:rsid w:val="000E5935"/>
    <w:rsid w:val="000E7DFF"/>
    <w:rsid w:val="000F176E"/>
    <w:rsid w:val="000F25EB"/>
    <w:rsid w:val="000F3C7D"/>
    <w:rsid w:val="00100464"/>
    <w:rsid w:val="00102684"/>
    <w:rsid w:val="00102E32"/>
    <w:rsid w:val="00105CC5"/>
    <w:rsid w:val="00106D03"/>
    <w:rsid w:val="00114E15"/>
    <w:rsid w:val="00115C85"/>
    <w:rsid w:val="001169CB"/>
    <w:rsid w:val="00116ECE"/>
    <w:rsid w:val="00117CBD"/>
    <w:rsid w:val="00120336"/>
    <w:rsid w:val="001230CE"/>
    <w:rsid w:val="0012340C"/>
    <w:rsid w:val="00124329"/>
    <w:rsid w:val="00124B6F"/>
    <w:rsid w:val="00125122"/>
    <w:rsid w:val="00126157"/>
    <w:rsid w:val="00126334"/>
    <w:rsid w:val="0013057B"/>
    <w:rsid w:val="0013414A"/>
    <w:rsid w:val="00135744"/>
    <w:rsid w:val="001368AC"/>
    <w:rsid w:val="0013791D"/>
    <w:rsid w:val="00137C03"/>
    <w:rsid w:val="00140522"/>
    <w:rsid w:val="00142B91"/>
    <w:rsid w:val="00143ABF"/>
    <w:rsid w:val="00144C96"/>
    <w:rsid w:val="0014665E"/>
    <w:rsid w:val="001474B5"/>
    <w:rsid w:val="0014772B"/>
    <w:rsid w:val="00152E20"/>
    <w:rsid w:val="0015340B"/>
    <w:rsid w:val="00154038"/>
    <w:rsid w:val="001548B6"/>
    <w:rsid w:val="001555F0"/>
    <w:rsid w:val="00156A7D"/>
    <w:rsid w:val="00157928"/>
    <w:rsid w:val="00161CA6"/>
    <w:rsid w:val="001620DB"/>
    <w:rsid w:val="001622D8"/>
    <w:rsid w:val="001631E6"/>
    <w:rsid w:val="00163C29"/>
    <w:rsid w:val="001640D9"/>
    <w:rsid w:val="0016491F"/>
    <w:rsid w:val="00164ADE"/>
    <w:rsid w:val="00166762"/>
    <w:rsid w:val="0016750C"/>
    <w:rsid w:val="0017046E"/>
    <w:rsid w:val="00170FB6"/>
    <w:rsid w:val="00170FBF"/>
    <w:rsid w:val="0017251B"/>
    <w:rsid w:val="00172CDC"/>
    <w:rsid w:val="0017309A"/>
    <w:rsid w:val="00173E14"/>
    <w:rsid w:val="001745D6"/>
    <w:rsid w:val="001759B4"/>
    <w:rsid w:val="00175C89"/>
    <w:rsid w:val="00176F09"/>
    <w:rsid w:val="0017744F"/>
    <w:rsid w:val="00181429"/>
    <w:rsid w:val="00181BB0"/>
    <w:rsid w:val="001831B7"/>
    <w:rsid w:val="0018463C"/>
    <w:rsid w:val="00185579"/>
    <w:rsid w:val="001874A6"/>
    <w:rsid w:val="0018778D"/>
    <w:rsid w:val="00191564"/>
    <w:rsid w:val="00191AE7"/>
    <w:rsid w:val="00193E48"/>
    <w:rsid w:val="00196847"/>
    <w:rsid w:val="00197CE8"/>
    <w:rsid w:val="001A1EE7"/>
    <w:rsid w:val="001A514F"/>
    <w:rsid w:val="001A62B6"/>
    <w:rsid w:val="001A7BBF"/>
    <w:rsid w:val="001A7CAC"/>
    <w:rsid w:val="001B0D9B"/>
    <w:rsid w:val="001B3D73"/>
    <w:rsid w:val="001B3DB0"/>
    <w:rsid w:val="001B4814"/>
    <w:rsid w:val="001B645C"/>
    <w:rsid w:val="001B6590"/>
    <w:rsid w:val="001B6DD1"/>
    <w:rsid w:val="001C07E4"/>
    <w:rsid w:val="001C1375"/>
    <w:rsid w:val="001C27EF"/>
    <w:rsid w:val="001C3148"/>
    <w:rsid w:val="001C4C34"/>
    <w:rsid w:val="001C4D88"/>
    <w:rsid w:val="001C5A50"/>
    <w:rsid w:val="001C7129"/>
    <w:rsid w:val="001D04AA"/>
    <w:rsid w:val="001D2B02"/>
    <w:rsid w:val="001D3382"/>
    <w:rsid w:val="001D644C"/>
    <w:rsid w:val="001D69A5"/>
    <w:rsid w:val="001D7EE4"/>
    <w:rsid w:val="001E28E1"/>
    <w:rsid w:val="001E3155"/>
    <w:rsid w:val="001E6859"/>
    <w:rsid w:val="001E7E85"/>
    <w:rsid w:val="001F1186"/>
    <w:rsid w:val="001F17A4"/>
    <w:rsid w:val="001F1E32"/>
    <w:rsid w:val="001F3590"/>
    <w:rsid w:val="001F56DC"/>
    <w:rsid w:val="001F7806"/>
    <w:rsid w:val="001F79E9"/>
    <w:rsid w:val="0020109B"/>
    <w:rsid w:val="002014D6"/>
    <w:rsid w:val="0020702F"/>
    <w:rsid w:val="0020770B"/>
    <w:rsid w:val="00207CB7"/>
    <w:rsid w:val="00207D52"/>
    <w:rsid w:val="00210BE0"/>
    <w:rsid w:val="00211A92"/>
    <w:rsid w:val="002129EE"/>
    <w:rsid w:val="00222274"/>
    <w:rsid w:val="00222B78"/>
    <w:rsid w:val="002234C9"/>
    <w:rsid w:val="0022598D"/>
    <w:rsid w:val="00226534"/>
    <w:rsid w:val="00227341"/>
    <w:rsid w:val="00230614"/>
    <w:rsid w:val="0023543E"/>
    <w:rsid w:val="00235A26"/>
    <w:rsid w:val="0023609E"/>
    <w:rsid w:val="002360FE"/>
    <w:rsid w:val="00236C36"/>
    <w:rsid w:val="00237FDE"/>
    <w:rsid w:val="00244D9D"/>
    <w:rsid w:val="002464D3"/>
    <w:rsid w:val="002471A0"/>
    <w:rsid w:val="00250081"/>
    <w:rsid w:val="00250481"/>
    <w:rsid w:val="00251390"/>
    <w:rsid w:val="00251B39"/>
    <w:rsid w:val="0025374D"/>
    <w:rsid w:val="00255F0F"/>
    <w:rsid w:val="002565B7"/>
    <w:rsid w:val="00256F72"/>
    <w:rsid w:val="00256FF5"/>
    <w:rsid w:val="002578DB"/>
    <w:rsid w:val="00263A65"/>
    <w:rsid w:val="00264FE6"/>
    <w:rsid w:val="00265702"/>
    <w:rsid w:val="002663C1"/>
    <w:rsid w:val="002670DB"/>
    <w:rsid w:val="002712FE"/>
    <w:rsid w:val="00271B06"/>
    <w:rsid w:val="002727F7"/>
    <w:rsid w:val="00272E04"/>
    <w:rsid w:val="00272F8F"/>
    <w:rsid w:val="002757AB"/>
    <w:rsid w:val="002759ED"/>
    <w:rsid w:val="00277BC0"/>
    <w:rsid w:val="00280D61"/>
    <w:rsid w:val="00281AE7"/>
    <w:rsid w:val="00284ADA"/>
    <w:rsid w:val="00286002"/>
    <w:rsid w:val="0029002E"/>
    <w:rsid w:val="0029110A"/>
    <w:rsid w:val="0029122C"/>
    <w:rsid w:val="002912D9"/>
    <w:rsid w:val="00291A66"/>
    <w:rsid w:val="00291ACC"/>
    <w:rsid w:val="002928CD"/>
    <w:rsid w:val="00293076"/>
    <w:rsid w:val="002933E1"/>
    <w:rsid w:val="002937F6"/>
    <w:rsid w:val="00295028"/>
    <w:rsid w:val="00295065"/>
    <w:rsid w:val="00295C90"/>
    <w:rsid w:val="0029714D"/>
    <w:rsid w:val="002A07A8"/>
    <w:rsid w:val="002A11D4"/>
    <w:rsid w:val="002A12B4"/>
    <w:rsid w:val="002A135F"/>
    <w:rsid w:val="002A1C57"/>
    <w:rsid w:val="002A2303"/>
    <w:rsid w:val="002A3B51"/>
    <w:rsid w:val="002A58B3"/>
    <w:rsid w:val="002B01E9"/>
    <w:rsid w:val="002B0315"/>
    <w:rsid w:val="002B0498"/>
    <w:rsid w:val="002B07CA"/>
    <w:rsid w:val="002B0F24"/>
    <w:rsid w:val="002B1452"/>
    <w:rsid w:val="002B2693"/>
    <w:rsid w:val="002B3CA3"/>
    <w:rsid w:val="002B3F32"/>
    <w:rsid w:val="002B4226"/>
    <w:rsid w:val="002B4509"/>
    <w:rsid w:val="002B52B3"/>
    <w:rsid w:val="002B5D01"/>
    <w:rsid w:val="002B625D"/>
    <w:rsid w:val="002B697A"/>
    <w:rsid w:val="002B70C6"/>
    <w:rsid w:val="002C0264"/>
    <w:rsid w:val="002C05A1"/>
    <w:rsid w:val="002C1559"/>
    <w:rsid w:val="002C31C3"/>
    <w:rsid w:val="002C3644"/>
    <w:rsid w:val="002C4400"/>
    <w:rsid w:val="002C4CEE"/>
    <w:rsid w:val="002C6636"/>
    <w:rsid w:val="002C6BE5"/>
    <w:rsid w:val="002D014F"/>
    <w:rsid w:val="002D074D"/>
    <w:rsid w:val="002D190D"/>
    <w:rsid w:val="002D1D54"/>
    <w:rsid w:val="002D3277"/>
    <w:rsid w:val="002D46D4"/>
    <w:rsid w:val="002D67D0"/>
    <w:rsid w:val="002D6BFE"/>
    <w:rsid w:val="002D6F97"/>
    <w:rsid w:val="002D7E4F"/>
    <w:rsid w:val="002E10AC"/>
    <w:rsid w:val="002E1B91"/>
    <w:rsid w:val="002E4A39"/>
    <w:rsid w:val="002E509F"/>
    <w:rsid w:val="002E6B62"/>
    <w:rsid w:val="002E7CC7"/>
    <w:rsid w:val="002F110B"/>
    <w:rsid w:val="002F16BD"/>
    <w:rsid w:val="002F1ECC"/>
    <w:rsid w:val="002F23BB"/>
    <w:rsid w:val="002F4845"/>
    <w:rsid w:val="002F4F73"/>
    <w:rsid w:val="002F55CC"/>
    <w:rsid w:val="002F62D3"/>
    <w:rsid w:val="002F7513"/>
    <w:rsid w:val="002F7E73"/>
    <w:rsid w:val="0030040A"/>
    <w:rsid w:val="00301F4E"/>
    <w:rsid w:val="00302BA3"/>
    <w:rsid w:val="003037AB"/>
    <w:rsid w:val="00304535"/>
    <w:rsid w:val="00305DC0"/>
    <w:rsid w:val="00307CAE"/>
    <w:rsid w:val="00307FC7"/>
    <w:rsid w:val="003115D9"/>
    <w:rsid w:val="00312A8F"/>
    <w:rsid w:val="00313947"/>
    <w:rsid w:val="003151F7"/>
    <w:rsid w:val="00321874"/>
    <w:rsid w:val="00321DE0"/>
    <w:rsid w:val="0032338D"/>
    <w:rsid w:val="00324224"/>
    <w:rsid w:val="00325713"/>
    <w:rsid w:val="003268E6"/>
    <w:rsid w:val="00326F40"/>
    <w:rsid w:val="00327439"/>
    <w:rsid w:val="003342BE"/>
    <w:rsid w:val="003353AF"/>
    <w:rsid w:val="003358B3"/>
    <w:rsid w:val="00335C39"/>
    <w:rsid w:val="003366F1"/>
    <w:rsid w:val="00336A87"/>
    <w:rsid w:val="00336EC9"/>
    <w:rsid w:val="00340736"/>
    <w:rsid w:val="00341A04"/>
    <w:rsid w:val="00341C6B"/>
    <w:rsid w:val="00343948"/>
    <w:rsid w:val="00344715"/>
    <w:rsid w:val="00345523"/>
    <w:rsid w:val="003458AA"/>
    <w:rsid w:val="00346146"/>
    <w:rsid w:val="003469DB"/>
    <w:rsid w:val="003503CE"/>
    <w:rsid w:val="00351B81"/>
    <w:rsid w:val="00355ECB"/>
    <w:rsid w:val="00356510"/>
    <w:rsid w:val="003578A4"/>
    <w:rsid w:val="00357C1B"/>
    <w:rsid w:val="0036238A"/>
    <w:rsid w:val="0036428C"/>
    <w:rsid w:val="00364FC0"/>
    <w:rsid w:val="003664A8"/>
    <w:rsid w:val="00366987"/>
    <w:rsid w:val="00367741"/>
    <w:rsid w:val="0037094F"/>
    <w:rsid w:val="003722DB"/>
    <w:rsid w:val="00372914"/>
    <w:rsid w:val="00373272"/>
    <w:rsid w:val="00374DC2"/>
    <w:rsid w:val="00374F76"/>
    <w:rsid w:val="003764EE"/>
    <w:rsid w:val="003765A5"/>
    <w:rsid w:val="003811F8"/>
    <w:rsid w:val="003843E7"/>
    <w:rsid w:val="00384B34"/>
    <w:rsid w:val="00387A82"/>
    <w:rsid w:val="00387E75"/>
    <w:rsid w:val="0039008E"/>
    <w:rsid w:val="00391015"/>
    <w:rsid w:val="00392A3E"/>
    <w:rsid w:val="003939E7"/>
    <w:rsid w:val="00393A93"/>
    <w:rsid w:val="00393FBE"/>
    <w:rsid w:val="003941BC"/>
    <w:rsid w:val="00396034"/>
    <w:rsid w:val="0039646D"/>
    <w:rsid w:val="00396BCE"/>
    <w:rsid w:val="003A17A0"/>
    <w:rsid w:val="003A5BE0"/>
    <w:rsid w:val="003A5C6B"/>
    <w:rsid w:val="003A5F20"/>
    <w:rsid w:val="003A66DE"/>
    <w:rsid w:val="003B28CE"/>
    <w:rsid w:val="003B3F09"/>
    <w:rsid w:val="003B58FE"/>
    <w:rsid w:val="003B68D0"/>
    <w:rsid w:val="003B7D89"/>
    <w:rsid w:val="003C1D16"/>
    <w:rsid w:val="003C1D18"/>
    <w:rsid w:val="003C33B1"/>
    <w:rsid w:val="003C4F59"/>
    <w:rsid w:val="003C668A"/>
    <w:rsid w:val="003C67B4"/>
    <w:rsid w:val="003C7E00"/>
    <w:rsid w:val="003D0AAE"/>
    <w:rsid w:val="003D433B"/>
    <w:rsid w:val="003D4D77"/>
    <w:rsid w:val="003D4DB5"/>
    <w:rsid w:val="003D6BDE"/>
    <w:rsid w:val="003E2897"/>
    <w:rsid w:val="003E310F"/>
    <w:rsid w:val="003E3140"/>
    <w:rsid w:val="003E4266"/>
    <w:rsid w:val="003E6CD7"/>
    <w:rsid w:val="003E6E6B"/>
    <w:rsid w:val="003F5C3C"/>
    <w:rsid w:val="003F629D"/>
    <w:rsid w:val="003F63E7"/>
    <w:rsid w:val="003F655B"/>
    <w:rsid w:val="003F681F"/>
    <w:rsid w:val="00403BCE"/>
    <w:rsid w:val="004065A8"/>
    <w:rsid w:val="00407C0A"/>
    <w:rsid w:val="00407DEA"/>
    <w:rsid w:val="0041086C"/>
    <w:rsid w:val="00411A2F"/>
    <w:rsid w:val="00412002"/>
    <w:rsid w:val="00412194"/>
    <w:rsid w:val="004133BD"/>
    <w:rsid w:val="00415158"/>
    <w:rsid w:val="004152C3"/>
    <w:rsid w:val="00415614"/>
    <w:rsid w:val="00416334"/>
    <w:rsid w:val="004165E0"/>
    <w:rsid w:val="00416D54"/>
    <w:rsid w:val="00416D76"/>
    <w:rsid w:val="00421764"/>
    <w:rsid w:val="00421F63"/>
    <w:rsid w:val="004261E0"/>
    <w:rsid w:val="0042673A"/>
    <w:rsid w:val="00426DDD"/>
    <w:rsid w:val="00427762"/>
    <w:rsid w:val="00431D32"/>
    <w:rsid w:val="00432366"/>
    <w:rsid w:val="00432738"/>
    <w:rsid w:val="0043413B"/>
    <w:rsid w:val="00434394"/>
    <w:rsid w:val="00435C49"/>
    <w:rsid w:val="00441F0B"/>
    <w:rsid w:val="00442601"/>
    <w:rsid w:val="00443AEC"/>
    <w:rsid w:val="00443E1F"/>
    <w:rsid w:val="0044407B"/>
    <w:rsid w:val="0044432B"/>
    <w:rsid w:val="004458C4"/>
    <w:rsid w:val="00445F48"/>
    <w:rsid w:val="0044602C"/>
    <w:rsid w:val="004473F5"/>
    <w:rsid w:val="0044745A"/>
    <w:rsid w:val="00450097"/>
    <w:rsid w:val="004525DA"/>
    <w:rsid w:val="004526AB"/>
    <w:rsid w:val="00452F5A"/>
    <w:rsid w:val="0045373B"/>
    <w:rsid w:val="00453EBB"/>
    <w:rsid w:val="004556D2"/>
    <w:rsid w:val="00455851"/>
    <w:rsid w:val="0046283F"/>
    <w:rsid w:val="0046312C"/>
    <w:rsid w:val="004644AB"/>
    <w:rsid w:val="00464F72"/>
    <w:rsid w:val="00471B74"/>
    <w:rsid w:val="004755F4"/>
    <w:rsid w:val="00476248"/>
    <w:rsid w:val="004776A4"/>
    <w:rsid w:val="0048026D"/>
    <w:rsid w:val="0048090D"/>
    <w:rsid w:val="004810CA"/>
    <w:rsid w:val="00481C8D"/>
    <w:rsid w:val="00483882"/>
    <w:rsid w:val="00484374"/>
    <w:rsid w:val="004857E0"/>
    <w:rsid w:val="00487E6A"/>
    <w:rsid w:val="00497548"/>
    <w:rsid w:val="00497669"/>
    <w:rsid w:val="004A2BAC"/>
    <w:rsid w:val="004A5E90"/>
    <w:rsid w:val="004A604E"/>
    <w:rsid w:val="004B0C34"/>
    <w:rsid w:val="004B10B5"/>
    <w:rsid w:val="004B2EF3"/>
    <w:rsid w:val="004B5C2A"/>
    <w:rsid w:val="004B74BC"/>
    <w:rsid w:val="004C0064"/>
    <w:rsid w:val="004C15B9"/>
    <w:rsid w:val="004C24DF"/>
    <w:rsid w:val="004D0289"/>
    <w:rsid w:val="004D061A"/>
    <w:rsid w:val="004D1161"/>
    <w:rsid w:val="004D14A6"/>
    <w:rsid w:val="004D3385"/>
    <w:rsid w:val="004D34AD"/>
    <w:rsid w:val="004D52BA"/>
    <w:rsid w:val="004D6830"/>
    <w:rsid w:val="004D6B12"/>
    <w:rsid w:val="004E0647"/>
    <w:rsid w:val="004E1CCE"/>
    <w:rsid w:val="004E73F5"/>
    <w:rsid w:val="004F0650"/>
    <w:rsid w:val="004F192A"/>
    <w:rsid w:val="004F1D55"/>
    <w:rsid w:val="004F1FC4"/>
    <w:rsid w:val="004F668D"/>
    <w:rsid w:val="005003AE"/>
    <w:rsid w:val="00501DBF"/>
    <w:rsid w:val="0050219C"/>
    <w:rsid w:val="005021C4"/>
    <w:rsid w:val="00502FC2"/>
    <w:rsid w:val="005039EF"/>
    <w:rsid w:val="00503FD6"/>
    <w:rsid w:val="0050407C"/>
    <w:rsid w:val="00504F2E"/>
    <w:rsid w:val="00507D75"/>
    <w:rsid w:val="005105A1"/>
    <w:rsid w:val="005110A5"/>
    <w:rsid w:val="00511486"/>
    <w:rsid w:val="0051165C"/>
    <w:rsid w:val="00512A31"/>
    <w:rsid w:val="0051324D"/>
    <w:rsid w:val="005140E6"/>
    <w:rsid w:val="0051418D"/>
    <w:rsid w:val="00514375"/>
    <w:rsid w:val="00515466"/>
    <w:rsid w:val="00522605"/>
    <w:rsid w:val="00523E17"/>
    <w:rsid w:val="00525CF2"/>
    <w:rsid w:val="00525D37"/>
    <w:rsid w:val="00526607"/>
    <w:rsid w:val="00526ADF"/>
    <w:rsid w:val="00526E16"/>
    <w:rsid w:val="0053006D"/>
    <w:rsid w:val="005333AD"/>
    <w:rsid w:val="00533AE4"/>
    <w:rsid w:val="00535607"/>
    <w:rsid w:val="00535D3D"/>
    <w:rsid w:val="00537E97"/>
    <w:rsid w:val="0054186A"/>
    <w:rsid w:val="005440AC"/>
    <w:rsid w:val="0054472A"/>
    <w:rsid w:val="00544B04"/>
    <w:rsid w:val="00545B2F"/>
    <w:rsid w:val="00546CDE"/>
    <w:rsid w:val="0054EFD9"/>
    <w:rsid w:val="00550935"/>
    <w:rsid w:val="0055166D"/>
    <w:rsid w:val="0055202B"/>
    <w:rsid w:val="005536DD"/>
    <w:rsid w:val="0055419A"/>
    <w:rsid w:val="00554E1F"/>
    <w:rsid w:val="005567EF"/>
    <w:rsid w:val="00557962"/>
    <w:rsid w:val="00562354"/>
    <w:rsid w:val="00564D5B"/>
    <w:rsid w:val="00566315"/>
    <w:rsid w:val="00566722"/>
    <w:rsid w:val="00571910"/>
    <w:rsid w:val="0057276B"/>
    <w:rsid w:val="0057361E"/>
    <w:rsid w:val="0057408B"/>
    <w:rsid w:val="00574327"/>
    <w:rsid w:val="00576579"/>
    <w:rsid w:val="00576C43"/>
    <w:rsid w:val="00577AF5"/>
    <w:rsid w:val="00580F96"/>
    <w:rsid w:val="0058158A"/>
    <w:rsid w:val="0058216E"/>
    <w:rsid w:val="005832CC"/>
    <w:rsid w:val="0058489E"/>
    <w:rsid w:val="00590A22"/>
    <w:rsid w:val="00592A5F"/>
    <w:rsid w:val="00594E04"/>
    <w:rsid w:val="00597360"/>
    <w:rsid w:val="00597575"/>
    <w:rsid w:val="005A11D9"/>
    <w:rsid w:val="005A370E"/>
    <w:rsid w:val="005A412F"/>
    <w:rsid w:val="005A4D83"/>
    <w:rsid w:val="005A5600"/>
    <w:rsid w:val="005A7719"/>
    <w:rsid w:val="005B1A69"/>
    <w:rsid w:val="005B1CB7"/>
    <w:rsid w:val="005B2FED"/>
    <w:rsid w:val="005B40D5"/>
    <w:rsid w:val="005B47D6"/>
    <w:rsid w:val="005B7DF0"/>
    <w:rsid w:val="005C0906"/>
    <w:rsid w:val="005C0DBD"/>
    <w:rsid w:val="005C2ABA"/>
    <w:rsid w:val="005C41AC"/>
    <w:rsid w:val="005C49BB"/>
    <w:rsid w:val="005C5481"/>
    <w:rsid w:val="005C6138"/>
    <w:rsid w:val="005C6594"/>
    <w:rsid w:val="005C7B32"/>
    <w:rsid w:val="005D0FE3"/>
    <w:rsid w:val="005D10AF"/>
    <w:rsid w:val="005D1B69"/>
    <w:rsid w:val="005D2CD7"/>
    <w:rsid w:val="005D3ABE"/>
    <w:rsid w:val="005D4997"/>
    <w:rsid w:val="005D49D8"/>
    <w:rsid w:val="005D72E3"/>
    <w:rsid w:val="005E0688"/>
    <w:rsid w:val="005E3625"/>
    <w:rsid w:val="005E48F8"/>
    <w:rsid w:val="005E5514"/>
    <w:rsid w:val="005E56D9"/>
    <w:rsid w:val="005E6D02"/>
    <w:rsid w:val="005F0397"/>
    <w:rsid w:val="005F0E0A"/>
    <w:rsid w:val="005F146F"/>
    <w:rsid w:val="005F4A56"/>
    <w:rsid w:val="005F622D"/>
    <w:rsid w:val="005F635C"/>
    <w:rsid w:val="005F6E6B"/>
    <w:rsid w:val="005F6FD2"/>
    <w:rsid w:val="006023CB"/>
    <w:rsid w:val="006024C2"/>
    <w:rsid w:val="00606D3F"/>
    <w:rsid w:val="00611562"/>
    <w:rsid w:val="00613560"/>
    <w:rsid w:val="00613C71"/>
    <w:rsid w:val="0061499B"/>
    <w:rsid w:val="00615130"/>
    <w:rsid w:val="0061748B"/>
    <w:rsid w:val="00617773"/>
    <w:rsid w:val="006209FA"/>
    <w:rsid w:val="00622E98"/>
    <w:rsid w:val="00627715"/>
    <w:rsid w:val="00630ADA"/>
    <w:rsid w:val="00631783"/>
    <w:rsid w:val="00631985"/>
    <w:rsid w:val="00633726"/>
    <w:rsid w:val="00633A78"/>
    <w:rsid w:val="00633C65"/>
    <w:rsid w:val="006349C3"/>
    <w:rsid w:val="00635503"/>
    <w:rsid w:val="006366D5"/>
    <w:rsid w:val="0064071B"/>
    <w:rsid w:val="0064082D"/>
    <w:rsid w:val="006436F7"/>
    <w:rsid w:val="0064455D"/>
    <w:rsid w:val="006445C3"/>
    <w:rsid w:val="006461A6"/>
    <w:rsid w:val="00650D4B"/>
    <w:rsid w:val="006579CC"/>
    <w:rsid w:val="00660F14"/>
    <w:rsid w:val="006617DB"/>
    <w:rsid w:val="00663008"/>
    <w:rsid w:val="00663F9A"/>
    <w:rsid w:val="00665B4F"/>
    <w:rsid w:val="006668D8"/>
    <w:rsid w:val="00671053"/>
    <w:rsid w:val="006726F1"/>
    <w:rsid w:val="00672AC3"/>
    <w:rsid w:val="0067348B"/>
    <w:rsid w:val="00675F3A"/>
    <w:rsid w:val="006773CE"/>
    <w:rsid w:val="00677805"/>
    <w:rsid w:val="00677E67"/>
    <w:rsid w:val="00681614"/>
    <w:rsid w:val="0068315B"/>
    <w:rsid w:val="0068335B"/>
    <w:rsid w:val="0068458B"/>
    <w:rsid w:val="00685139"/>
    <w:rsid w:val="006906AE"/>
    <w:rsid w:val="0069158A"/>
    <w:rsid w:val="006931AB"/>
    <w:rsid w:val="00695DAF"/>
    <w:rsid w:val="00697188"/>
    <w:rsid w:val="00697601"/>
    <w:rsid w:val="00697BDC"/>
    <w:rsid w:val="006A4A8A"/>
    <w:rsid w:val="006A5C3B"/>
    <w:rsid w:val="006A62FF"/>
    <w:rsid w:val="006B0930"/>
    <w:rsid w:val="006B1712"/>
    <w:rsid w:val="006B2D40"/>
    <w:rsid w:val="006B2F12"/>
    <w:rsid w:val="006B59A2"/>
    <w:rsid w:val="006B6657"/>
    <w:rsid w:val="006B7161"/>
    <w:rsid w:val="006C0501"/>
    <w:rsid w:val="006C0FE6"/>
    <w:rsid w:val="006C38E9"/>
    <w:rsid w:val="006C5A36"/>
    <w:rsid w:val="006C5C18"/>
    <w:rsid w:val="006D10E1"/>
    <w:rsid w:val="006D1D49"/>
    <w:rsid w:val="006D2AC9"/>
    <w:rsid w:val="006D3318"/>
    <w:rsid w:val="006D38D6"/>
    <w:rsid w:val="006D4120"/>
    <w:rsid w:val="006D471E"/>
    <w:rsid w:val="006D4F84"/>
    <w:rsid w:val="006D5B12"/>
    <w:rsid w:val="006D6281"/>
    <w:rsid w:val="006D7FBB"/>
    <w:rsid w:val="006E34F7"/>
    <w:rsid w:val="006E5813"/>
    <w:rsid w:val="006E59A1"/>
    <w:rsid w:val="006E653F"/>
    <w:rsid w:val="006F148D"/>
    <w:rsid w:val="006F256F"/>
    <w:rsid w:val="006F2898"/>
    <w:rsid w:val="006F55B6"/>
    <w:rsid w:val="006F666A"/>
    <w:rsid w:val="006F675C"/>
    <w:rsid w:val="006F760D"/>
    <w:rsid w:val="007002B0"/>
    <w:rsid w:val="007019E7"/>
    <w:rsid w:val="00701AC9"/>
    <w:rsid w:val="00701EF5"/>
    <w:rsid w:val="0070310A"/>
    <w:rsid w:val="00703D03"/>
    <w:rsid w:val="0070514E"/>
    <w:rsid w:val="00707D1E"/>
    <w:rsid w:val="00710029"/>
    <w:rsid w:val="00710A1C"/>
    <w:rsid w:val="00710EED"/>
    <w:rsid w:val="00711243"/>
    <w:rsid w:val="007123ED"/>
    <w:rsid w:val="00717049"/>
    <w:rsid w:val="0071799C"/>
    <w:rsid w:val="00720766"/>
    <w:rsid w:val="00720951"/>
    <w:rsid w:val="007210BF"/>
    <w:rsid w:val="007210F3"/>
    <w:rsid w:val="0072121D"/>
    <w:rsid w:val="007217EA"/>
    <w:rsid w:val="00723574"/>
    <w:rsid w:val="007237B8"/>
    <w:rsid w:val="0072538B"/>
    <w:rsid w:val="007257F0"/>
    <w:rsid w:val="007268FD"/>
    <w:rsid w:val="00726FB4"/>
    <w:rsid w:val="00727784"/>
    <w:rsid w:val="007302C9"/>
    <w:rsid w:val="0073037E"/>
    <w:rsid w:val="007315B8"/>
    <w:rsid w:val="00734FD0"/>
    <w:rsid w:val="00735409"/>
    <w:rsid w:val="00735833"/>
    <w:rsid w:val="0073597E"/>
    <w:rsid w:val="00735C7E"/>
    <w:rsid w:val="00736090"/>
    <w:rsid w:val="00736823"/>
    <w:rsid w:val="007408D4"/>
    <w:rsid w:val="00741A7A"/>
    <w:rsid w:val="00741C93"/>
    <w:rsid w:val="00743243"/>
    <w:rsid w:val="00745B62"/>
    <w:rsid w:val="00746EFD"/>
    <w:rsid w:val="0074772E"/>
    <w:rsid w:val="00747B8F"/>
    <w:rsid w:val="00750C29"/>
    <w:rsid w:val="007527AC"/>
    <w:rsid w:val="00752850"/>
    <w:rsid w:val="00753463"/>
    <w:rsid w:val="007537C0"/>
    <w:rsid w:val="00753B93"/>
    <w:rsid w:val="00753C57"/>
    <w:rsid w:val="00754C35"/>
    <w:rsid w:val="00755CC6"/>
    <w:rsid w:val="00755D4E"/>
    <w:rsid w:val="0075622E"/>
    <w:rsid w:val="007629B8"/>
    <w:rsid w:val="00763003"/>
    <w:rsid w:val="00764CD2"/>
    <w:rsid w:val="00766D60"/>
    <w:rsid w:val="0077075F"/>
    <w:rsid w:val="00770BD4"/>
    <w:rsid w:val="007746DD"/>
    <w:rsid w:val="00774945"/>
    <w:rsid w:val="007754A5"/>
    <w:rsid w:val="00775A33"/>
    <w:rsid w:val="00775A7E"/>
    <w:rsid w:val="00780C10"/>
    <w:rsid w:val="007811EE"/>
    <w:rsid w:val="00782CA6"/>
    <w:rsid w:val="0078387C"/>
    <w:rsid w:val="00785906"/>
    <w:rsid w:val="00790290"/>
    <w:rsid w:val="00795E19"/>
    <w:rsid w:val="007960B5"/>
    <w:rsid w:val="00796DA4"/>
    <w:rsid w:val="00796E71"/>
    <w:rsid w:val="007979CA"/>
    <w:rsid w:val="007A002C"/>
    <w:rsid w:val="007A0BCB"/>
    <w:rsid w:val="007A1E37"/>
    <w:rsid w:val="007A27BF"/>
    <w:rsid w:val="007A2F0A"/>
    <w:rsid w:val="007A4DBB"/>
    <w:rsid w:val="007A523C"/>
    <w:rsid w:val="007A5328"/>
    <w:rsid w:val="007A56A1"/>
    <w:rsid w:val="007A5DD1"/>
    <w:rsid w:val="007A5F19"/>
    <w:rsid w:val="007A6E28"/>
    <w:rsid w:val="007A704E"/>
    <w:rsid w:val="007A724B"/>
    <w:rsid w:val="007B02A9"/>
    <w:rsid w:val="007B1AD2"/>
    <w:rsid w:val="007B1CF1"/>
    <w:rsid w:val="007B4384"/>
    <w:rsid w:val="007B485D"/>
    <w:rsid w:val="007B706A"/>
    <w:rsid w:val="007B740F"/>
    <w:rsid w:val="007B7540"/>
    <w:rsid w:val="007B7B48"/>
    <w:rsid w:val="007C0A44"/>
    <w:rsid w:val="007C0C88"/>
    <w:rsid w:val="007C18DF"/>
    <w:rsid w:val="007C411E"/>
    <w:rsid w:val="007C4E0C"/>
    <w:rsid w:val="007C72F6"/>
    <w:rsid w:val="007C7634"/>
    <w:rsid w:val="007D163A"/>
    <w:rsid w:val="007D18EE"/>
    <w:rsid w:val="007D1DAE"/>
    <w:rsid w:val="007D1E08"/>
    <w:rsid w:val="007D3544"/>
    <w:rsid w:val="007D7B67"/>
    <w:rsid w:val="007E140D"/>
    <w:rsid w:val="007E3BA1"/>
    <w:rsid w:val="007E434C"/>
    <w:rsid w:val="007E4583"/>
    <w:rsid w:val="007E682C"/>
    <w:rsid w:val="007E6DC3"/>
    <w:rsid w:val="007E78B9"/>
    <w:rsid w:val="007F0A5C"/>
    <w:rsid w:val="007F2769"/>
    <w:rsid w:val="007F2D9B"/>
    <w:rsid w:val="007F2EAB"/>
    <w:rsid w:val="007F3D19"/>
    <w:rsid w:val="007F5375"/>
    <w:rsid w:val="007F621B"/>
    <w:rsid w:val="007F6AE9"/>
    <w:rsid w:val="007F7B2E"/>
    <w:rsid w:val="00801265"/>
    <w:rsid w:val="00802B8C"/>
    <w:rsid w:val="00803223"/>
    <w:rsid w:val="0080477C"/>
    <w:rsid w:val="00805350"/>
    <w:rsid w:val="00805640"/>
    <w:rsid w:val="0080609B"/>
    <w:rsid w:val="00807298"/>
    <w:rsid w:val="0080741F"/>
    <w:rsid w:val="00807B85"/>
    <w:rsid w:val="00807C9E"/>
    <w:rsid w:val="00812A88"/>
    <w:rsid w:val="00812E2A"/>
    <w:rsid w:val="00814CC4"/>
    <w:rsid w:val="00815E69"/>
    <w:rsid w:val="00816A2B"/>
    <w:rsid w:val="008172E2"/>
    <w:rsid w:val="00820985"/>
    <w:rsid w:val="00821F07"/>
    <w:rsid w:val="00822B32"/>
    <w:rsid w:val="0082588A"/>
    <w:rsid w:val="00825B94"/>
    <w:rsid w:val="0082799F"/>
    <w:rsid w:val="00830437"/>
    <w:rsid w:val="008309FC"/>
    <w:rsid w:val="008317D4"/>
    <w:rsid w:val="008334E3"/>
    <w:rsid w:val="00833705"/>
    <w:rsid w:val="00836324"/>
    <w:rsid w:val="00836816"/>
    <w:rsid w:val="00843D95"/>
    <w:rsid w:val="00846B27"/>
    <w:rsid w:val="00846CE7"/>
    <w:rsid w:val="008515FB"/>
    <w:rsid w:val="0085194E"/>
    <w:rsid w:val="0085208E"/>
    <w:rsid w:val="00853AC4"/>
    <w:rsid w:val="00854594"/>
    <w:rsid w:val="00860352"/>
    <w:rsid w:val="008609B6"/>
    <w:rsid w:val="0086184C"/>
    <w:rsid w:val="008618B1"/>
    <w:rsid w:val="00861D9F"/>
    <w:rsid w:val="0086262E"/>
    <w:rsid w:val="00863406"/>
    <w:rsid w:val="00863626"/>
    <w:rsid w:val="00863C7F"/>
    <w:rsid w:val="00864DCD"/>
    <w:rsid w:val="00865319"/>
    <w:rsid w:val="00865A9D"/>
    <w:rsid w:val="00866C66"/>
    <w:rsid w:val="00866D56"/>
    <w:rsid w:val="008674C0"/>
    <w:rsid w:val="00867951"/>
    <w:rsid w:val="00867E2C"/>
    <w:rsid w:val="00870C6A"/>
    <w:rsid w:val="008710BE"/>
    <w:rsid w:val="00874EB7"/>
    <w:rsid w:val="00877A37"/>
    <w:rsid w:val="008806FA"/>
    <w:rsid w:val="00882703"/>
    <w:rsid w:val="008828D4"/>
    <w:rsid w:val="008848B5"/>
    <w:rsid w:val="008861D9"/>
    <w:rsid w:val="008864C5"/>
    <w:rsid w:val="00887B8F"/>
    <w:rsid w:val="00890F0D"/>
    <w:rsid w:val="008915AB"/>
    <w:rsid w:val="008948A5"/>
    <w:rsid w:val="008956B4"/>
    <w:rsid w:val="00896CB2"/>
    <w:rsid w:val="00897919"/>
    <w:rsid w:val="008A18BC"/>
    <w:rsid w:val="008A3CB7"/>
    <w:rsid w:val="008A4A45"/>
    <w:rsid w:val="008A559D"/>
    <w:rsid w:val="008A5B68"/>
    <w:rsid w:val="008A7E93"/>
    <w:rsid w:val="008B16AB"/>
    <w:rsid w:val="008B193A"/>
    <w:rsid w:val="008B1CA3"/>
    <w:rsid w:val="008B1E43"/>
    <w:rsid w:val="008B2060"/>
    <w:rsid w:val="008B3770"/>
    <w:rsid w:val="008B70D8"/>
    <w:rsid w:val="008B7BFA"/>
    <w:rsid w:val="008C171B"/>
    <w:rsid w:val="008C21B7"/>
    <w:rsid w:val="008C3068"/>
    <w:rsid w:val="008C3AB2"/>
    <w:rsid w:val="008C42CB"/>
    <w:rsid w:val="008C5759"/>
    <w:rsid w:val="008C6392"/>
    <w:rsid w:val="008C72A9"/>
    <w:rsid w:val="008D1DCC"/>
    <w:rsid w:val="008D2AB4"/>
    <w:rsid w:val="008D37F9"/>
    <w:rsid w:val="008D5571"/>
    <w:rsid w:val="008D5928"/>
    <w:rsid w:val="008D71EF"/>
    <w:rsid w:val="008E0275"/>
    <w:rsid w:val="008E0A6D"/>
    <w:rsid w:val="008E3815"/>
    <w:rsid w:val="008E4062"/>
    <w:rsid w:val="008E430F"/>
    <w:rsid w:val="008E4E94"/>
    <w:rsid w:val="008E5A69"/>
    <w:rsid w:val="008E6DB2"/>
    <w:rsid w:val="008F12AC"/>
    <w:rsid w:val="008F26C5"/>
    <w:rsid w:val="008F2A11"/>
    <w:rsid w:val="008F2CDE"/>
    <w:rsid w:val="008F435E"/>
    <w:rsid w:val="008F5A1E"/>
    <w:rsid w:val="008F7409"/>
    <w:rsid w:val="008F76FC"/>
    <w:rsid w:val="009000F0"/>
    <w:rsid w:val="00900825"/>
    <w:rsid w:val="0090138C"/>
    <w:rsid w:val="00901791"/>
    <w:rsid w:val="00902AAC"/>
    <w:rsid w:val="00904729"/>
    <w:rsid w:val="00904979"/>
    <w:rsid w:val="00904EED"/>
    <w:rsid w:val="00906D6F"/>
    <w:rsid w:val="00907A1C"/>
    <w:rsid w:val="00910500"/>
    <w:rsid w:val="00911327"/>
    <w:rsid w:val="009159A7"/>
    <w:rsid w:val="009162D0"/>
    <w:rsid w:val="00921247"/>
    <w:rsid w:val="0092172E"/>
    <w:rsid w:val="00925EF8"/>
    <w:rsid w:val="0093046D"/>
    <w:rsid w:val="00931185"/>
    <w:rsid w:val="009329F1"/>
    <w:rsid w:val="00932D56"/>
    <w:rsid w:val="00935E92"/>
    <w:rsid w:val="00936320"/>
    <w:rsid w:val="00936573"/>
    <w:rsid w:val="009368F1"/>
    <w:rsid w:val="009412D3"/>
    <w:rsid w:val="0094429F"/>
    <w:rsid w:val="00945368"/>
    <w:rsid w:val="00947593"/>
    <w:rsid w:val="0094762C"/>
    <w:rsid w:val="00947BCE"/>
    <w:rsid w:val="009503F2"/>
    <w:rsid w:val="009509C5"/>
    <w:rsid w:val="00950CA7"/>
    <w:rsid w:val="00952FDE"/>
    <w:rsid w:val="009533E4"/>
    <w:rsid w:val="009560B9"/>
    <w:rsid w:val="00956EB6"/>
    <w:rsid w:val="00957613"/>
    <w:rsid w:val="00957D47"/>
    <w:rsid w:val="00961876"/>
    <w:rsid w:val="0096537D"/>
    <w:rsid w:val="00965C13"/>
    <w:rsid w:val="009668E9"/>
    <w:rsid w:val="0096752D"/>
    <w:rsid w:val="00970EF3"/>
    <w:rsid w:val="00972408"/>
    <w:rsid w:val="009740BE"/>
    <w:rsid w:val="00975139"/>
    <w:rsid w:val="00980D9E"/>
    <w:rsid w:val="009813AF"/>
    <w:rsid w:val="00981863"/>
    <w:rsid w:val="00983583"/>
    <w:rsid w:val="0098394D"/>
    <w:rsid w:val="00984A43"/>
    <w:rsid w:val="009854E8"/>
    <w:rsid w:val="009854EF"/>
    <w:rsid w:val="009861F5"/>
    <w:rsid w:val="0098722B"/>
    <w:rsid w:val="00987386"/>
    <w:rsid w:val="009908C2"/>
    <w:rsid w:val="009910D6"/>
    <w:rsid w:val="009916D5"/>
    <w:rsid w:val="009926B4"/>
    <w:rsid w:val="00994D76"/>
    <w:rsid w:val="009954A8"/>
    <w:rsid w:val="009965BA"/>
    <w:rsid w:val="00996699"/>
    <w:rsid w:val="00996AAA"/>
    <w:rsid w:val="00997860"/>
    <w:rsid w:val="009A3188"/>
    <w:rsid w:val="009A45BB"/>
    <w:rsid w:val="009A4871"/>
    <w:rsid w:val="009A606D"/>
    <w:rsid w:val="009A7D29"/>
    <w:rsid w:val="009B1115"/>
    <w:rsid w:val="009B23EB"/>
    <w:rsid w:val="009B2403"/>
    <w:rsid w:val="009B2458"/>
    <w:rsid w:val="009B2A4B"/>
    <w:rsid w:val="009B2F61"/>
    <w:rsid w:val="009B3B0B"/>
    <w:rsid w:val="009B42CE"/>
    <w:rsid w:val="009B567B"/>
    <w:rsid w:val="009B5D53"/>
    <w:rsid w:val="009B6EA8"/>
    <w:rsid w:val="009B7B9E"/>
    <w:rsid w:val="009C275F"/>
    <w:rsid w:val="009C2EA4"/>
    <w:rsid w:val="009C3F97"/>
    <w:rsid w:val="009C4FEE"/>
    <w:rsid w:val="009C604B"/>
    <w:rsid w:val="009C6DB3"/>
    <w:rsid w:val="009D0772"/>
    <w:rsid w:val="009D15AC"/>
    <w:rsid w:val="009D22F2"/>
    <w:rsid w:val="009D3BC5"/>
    <w:rsid w:val="009D5564"/>
    <w:rsid w:val="009D65D3"/>
    <w:rsid w:val="009D66A7"/>
    <w:rsid w:val="009D6AD7"/>
    <w:rsid w:val="009D7E91"/>
    <w:rsid w:val="009E1064"/>
    <w:rsid w:val="009E2C04"/>
    <w:rsid w:val="009E2EA1"/>
    <w:rsid w:val="009E309F"/>
    <w:rsid w:val="009E575F"/>
    <w:rsid w:val="009E5AE0"/>
    <w:rsid w:val="009E60F4"/>
    <w:rsid w:val="009E6497"/>
    <w:rsid w:val="009E6C5A"/>
    <w:rsid w:val="009F17F2"/>
    <w:rsid w:val="009F4041"/>
    <w:rsid w:val="009F4A3B"/>
    <w:rsid w:val="009F60FA"/>
    <w:rsid w:val="009F611F"/>
    <w:rsid w:val="00A00BCD"/>
    <w:rsid w:val="00A02530"/>
    <w:rsid w:val="00A02765"/>
    <w:rsid w:val="00A03B86"/>
    <w:rsid w:val="00A05235"/>
    <w:rsid w:val="00A111FD"/>
    <w:rsid w:val="00A1239D"/>
    <w:rsid w:val="00A14B68"/>
    <w:rsid w:val="00A16074"/>
    <w:rsid w:val="00A16B2C"/>
    <w:rsid w:val="00A2000E"/>
    <w:rsid w:val="00A2108A"/>
    <w:rsid w:val="00A22402"/>
    <w:rsid w:val="00A22819"/>
    <w:rsid w:val="00A255BF"/>
    <w:rsid w:val="00A25D46"/>
    <w:rsid w:val="00A27600"/>
    <w:rsid w:val="00A27E0C"/>
    <w:rsid w:val="00A30A2E"/>
    <w:rsid w:val="00A33BDE"/>
    <w:rsid w:val="00A33E18"/>
    <w:rsid w:val="00A35E9E"/>
    <w:rsid w:val="00A376A8"/>
    <w:rsid w:val="00A40CA2"/>
    <w:rsid w:val="00A42834"/>
    <w:rsid w:val="00A45079"/>
    <w:rsid w:val="00A458CC"/>
    <w:rsid w:val="00A50224"/>
    <w:rsid w:val="00A51C4A"/>
    <w:rsid w:val="00A532C3"/>
    <w:rsid w:val="00A54EFB"/>
    <w:rsid w:val="00A55443"/>
    <w:rsid w:val="00A55A2F"/>
    <w:rsid w:val="00A55C46"/>
    <w:rsid w:val="00A56FE6"/>
    <w:rsid w:val="00A6007A"/>
    <w:rsid w:val="00A66FA2"/>
    <w:rsid w:val="00A70104"/>
    <w:rsid w:val="00A70C48"/>
    <w:rsid w:val="00A70EC8"/>
    <w:rsid w:val="00A7131B"/>
    <w:rsid w:val="00A72937"/>
    <w:rsid w:val="00A742C7"/>
    <w:rsid w:val="00A75475"/>
    <w:rsid w:val="00A77677"/>
    <w:rsid w:val="00A77DEB"/>
    <w:rsid w:val="00A77F76"/>
    <w:rsid w:val="00A841C7"/>
    <w:rsid w:val="00A84671"/>
    <w:rsid w:val="00A84D63"/>
    <w:rsid w:val="00A85C76"/>
    <w:rsid w:val="00A85E85"/>
    <w:rsid w:val="00A86079"/>
    <w:rsid w:val="00A86D0B"/>
    <w:rsid w:val="00A8772D"/>
    <w:rsid w:val="00A914D3"/>
    <w:rsid w:val="00A9267F"/>
    <w:rsid w:val="00A9469E"/>
    <w:rsid w:val="00A94C5F"/>
    <w:rsid w:val="00AA0C07"/>
    <w:rsid w:val="00AA1CA7"/>
    <w:rsid w:val="00AA251D"/>
    <w:rsid w:val="00AA36A9"/>
    <w:rsid w:val="00AA498F"/>
    <w:rsid w:val="00AA6F85"/>
    <w:rsid w:val="00AA7DB4"/>
    <w:rsid w:val="00AB16F1"/>
    <w:rsid w:val="00AB1E5F"/>
    <w:rsid w:val="00AB322D"/>
    <w:rsid w:val="00AB47A1"/>
    <w:rsid w:val="00AB49BA"/>
    <w:rsid w:val="00AB5C39"/>
    <w:rsid w:val="00AB6543"/>
    <w:rsid w:val="00AB7338"/>
    <w:rsid w:val="00AB745F"/>
    <w:rsid w:val="00AC0260"/>
    <w:rsid w:val="00AC16A7"/>
    <w:rsid w:val="00AC286A"/>
    <w:rsid w:val="00AC410F"/>
    <w:rsid w:val="00AC5B96"/>
    <w:rsid w:val="00AC689C"/>
    <w:rsid w:val="00AC77D0"/>
    <w:rsid w:val="00AD05F5"/>
    <w:rsid w:val="00AD0976"/>
    <w:rsid w:val="00AD0EB2"/>
    <w:rsid w:val="00AD1CC9"/>
    <w:rsid w:val="00AD22C2"/>
    <w:rsid w:val="00AD3A3E"/>
    <w:rsid w:val="00AD5842"/>
    <w:rsid w:val="00AD7889"/>
    <w:rsid w:val="00AE07BB"/>
    <w:rsid w:val="00AE29E7"/>
    <w:rsid w:val="00AE37B4"/>
    <w:rsid w:val="00AE4020"/>
    <w:rsid w:val="00AE49B0"/>
    <w:rsid w:val="00AE6859"/>
    <w:rsid w:val="00AF1422"/>
    <w:rsid w:val="00AF203B"/>
    <w:rsid w:val="00AF3BAB"/>
    <w:rsid w:val="00AF3E4A"/>
    <w:rsid w:val="00AF4C70"/>
    <w:rsid w:val="00AF520F"/>
    <w:rsid w:val="00AF7B86"/>
    <w:rsid w:val="00B009CA"/>
    <w:rsid w:val="00B0107B"/>
    <w:rsid w:val="00B032F6"/>
    <w:rsid w:val="00B049F9"/>
    <w:rsid w:val="00B05591"/>
    <w:rsid w:val="00B060F8"/>
    <w:rsid w:val="00B07E32"/>
    <w:rsid w:val="00B102EC"/>
    <w:rsid w:val="00B11A1B"/>
    <w:rsid w:val="00B13D02"/>
    <w:rsid w:val="00B13E1B"/>
    <w:rsid w:val="00B13E24"/>
    <w:rsid w:val="00B15313"/>
    <w:rsid w:val="00B158AC"/>
    <w:rsid w:val="00B1661D"/>
    <w:rsid w:val="00B16D28"/>
    <w:rsid w:val="00B2002A"/>
    <w:rsid w:val="00B21377"/>
    <w:rsid w:val="00B246B7"/>
    <w:rsid w:val="00B249F6"/>
    <w:rsid w:val="00B24CE0"/>
    <w:rsid w:val="00B24D9B"/>
    <w:rsid w:val="00B25F23"/>
    <w:rsid w:val="00B2631C"/>
    <w:rsid w:val="00B26532"/>
    <w:rsid w:val="00B27DBF"/>
    <w:rsid w:val="00B309CC"/>
    <w:rsid w:val="00B35F1C"/>
    <w:rsid w:val="00B418CC"/>
    <w:rsid w:val="00B420EA"/>
    <w:rsid w:val="00B42D95"/>
    <w:rsid w:val="00B43946"/>
    <w:rsid w:val="00B4395A"/>
    <w:rsid w:val="00B45260"/>
    <w:rsid w:val="00B475DF"/>
    <w:rsid w:val="00B47CDB"/>
    <w:rsid w:val="00B47D6F"/>
    <w:rsid w:val="00B51A7A"/>
    <w:rsid w:val="00B542C5"/>
    <w:rsid w:val="00B54884"/>
    <w:rsid w:val="00B568A2"/>
    <w:rsid w:val="00B56D14"/>
    <w:rsid w:val="00B578A9"/>
    <w:rsid w:val="00B615B4"/>
    <w:rsid w:val="00B6180C"/>
    <w:rsid w:val="00B62EDD"/>
    <w:rsid w:val="00B63C98"/>
    <w:rsid w:val="00B64166"/>
    <w:rsid w:val="00B65E51"/>
    <w:rsid w:val="00B70355"/>
    <w:rsid w:val="00B72939"/>
    <w:rsid w:val="00B75F0A"/>
    <w:rsid w:val="00B76185"/>
    <w:rsid w:val="00B76FB9"/>
    <w:rsid w:val="00B812F7"/>
    <w:rsid w:val="00B815E3"/>
    <w:rsid w:val="00B817DE"/>
    <w:rsid w:val="00B81DC9"/>
    <w:rsid w:val="00B87223"/>
    <w:rsid w:val="00B907E1"/>
    <w:rsid w:val="00B91BE0"/>
    <w:rsid w:val="00B932EC"/>
    <w:rsid w:val="00B9348F"/>
    <w:rsid w:val="00B942E0"/>
    <w:rsid w:val="00B965D5"/>
    <w:rsid w:val="00BA0515"/>
    <w:rsid w:val="00BA11BD"/>
    <w:rsid w:val="00BA181C"/>
    <w:rsid w:val="00BA210A"/>
    <w:rsid w:val="00BA42C6"/>
    <w:rsid w:val="00BA4BD6"/>
    <w:rsid w:val="00BA5751"/>
    <w:rsid w:val="00BA5885"/>
    <w:rsid w:val="00BA6B9B"/>
    <w:rsid w:val="00BA6BFC"/>
    <w:rsid w:val="00BA743C"/>
    <w:rsid w:val="00BB0FC6"/>
    <w:rsid w:val="00BB1DF5"/>
    <w:rsid w:val="00BB2068"/>
    <w:rsid w:val="00BB4DC9"/>
    <w:rsid w:val="00BB56D1"/>
    <w:rsid w:val="00BB65A2"/>
    <w:rsid w:val="00BC0409"/>
    <w:rsid w:val="00BC1A43"/>
    <w:rsid w:val="00BC1A80"/>
    <w:rsid w:val="00BC1FCC"/>
    <w:rsid w:val="00BC250F"/>
    <w:rsid w:val="00BC2896"/>
    <w:rsid w:val="00BC2DAA"/>
    <w:rsid w:val="00BC300E"/>
    <w:rsid w:val="00BC4358"/>
    <w:rsid w:val="00BC5DDD"/>
    <w:rsid w:val="00BC61CF"/>
    <w:rsid w:val="00BC7224"/>
    <w:rsid w:val="00BC7F53"/>
    <w:rsid w:val="00BD2DC7"/>
    <w:rsid w:val="00BD33A7"/>
    <w:rsid w:val="00BD749F"/>
    <w:rsid w:val="00BD7C58"/>
    <w:rsid w:val="00BE05D4"/>
    <w:rsid w:val="00BE09C7"/>
    <w:rsid w:val="00BE0F80"/>
    <w:rsid w:val="00BE4C16"/>
    <w:rsid w:val="00BE5F32"/>
    <w:rsid w:val="00BE6629"/>
    <w:rsid w:val="00BE702A"/>
    <w:rsid w:val="00BF09E3"/>
    <w:rsid w:val="00BF1E81"/>
    <w:rsid w:val="00BF32AF"/>
    <w:rsid w:val="00BF38BD"/>
    <w:rsid w:val="00BF53A3"/>
    <w:rsid w:val="00BF716C"/>
    <w:rsid w:val="00C0147D"/>
    <w:rsid w:val="00C020A0"/>
    <w:rsid w:val="00C0291D"/>
    <w:rsid w:val="00C02E2E"/>
    <w:rsid w:val="00C041E3"/>
    <w:rsid w:val="00C05E1D"/>
    <w:rsid w:val="00C05F04"/>
    <w:rsid w:val="00C068D1"/>
    <w:rsid w:val="00C07889"/>
    <w:rsid w:val="00C07AEA"/>
    <w:rsid w:val="00C1037A"/>
    <w:rsid w:val="00C109E2"/>
    <w:rsid w:val="00C11149"/>
    <w:rsid w:val="00C11603"/>
    <w:rsid w:val="00C11EFB"/>
    <w:rsid w:val="00C121DE"/>
    <w:rsid w:val="00C12C71"/>
    <w:rsid w:val="00C13B55"/>
    <w:rsid w:val="00C14706"/>
    <w:rsid w:val="00C1477C"/>
    <w:rsid w:val="00C158CA"/>
    <w:rsid w:val="00C1643D"/>
    <w:rsid w:val="00C17552"/>
    <w:rsid w:val="00C17AE5"/>
    <w:rsid w:val="00C24D2F"/>
    <w:rsid w:val="00C2532B"/>
    <w:rsid w:val="00C25FDB"/>
    <w:rsid w:val="00C26EC9"/>
    <w:rsid w:val="00C2725B"/>
    <w:rsid w:val="00C3206B"/>
    <w:rsid w:val="00C3365F"/>
    <w:rsid w:val="00C33721"/>
    <w:rsid w:val="00C347F6"/>
    <w:rsid w:val="00C34C79"/>
    <w:rsid w:val="00C40309"/>
    <w:rsid w:val="00C407C9"/>
    <w:rsid w:val="00C41143"/>
    <w:rsid w:val="00C41A8B"/>
    <w:rsid w:val="00C42810"/>
    <w:rsid w:val="00C458F9"/>
    <w:rsid w:val="00C506E3"/>
    <w:rsid w:val="00C5084A"/>
    <w:rsid w:val="00C50CBE"/>
    <w:rsid w:val="00C50F7B"/>
    <w:rsid w:val="00C52389"/>
    <w:rsid w:val="00C52CFD"/>
    <w:rsid w:val="00C53C43"/>
    <w:rsid w:val="00C54869"/>
    <w:rsid w:val="00C55D4C"/>
    <w:rsid w:val="00C57D9C"/>
    <w:rsid w:val="00C61829"/>
    <w:rsid w:val="00C62AF1"/>
    <w:rsid w:val="00C62D80"/>
    <w:rsid w:val="00C63286"/>
    <w:rsid w:val="00C632B5"/>
    <w:rsid w:val="00C63D7C"/>
    <w:rsid w:val="00C63FA7"/>
    <w:rsid w:val="00C64270"/>
    <w:rsid w:val="00C649B2"/>
    <w:rsid w:val="00C64B18"/>
    <w:rsid w:val="00C65AFC"/>
    <w:rsid w:val="00C66590"/>
    <w:rsid w:val="00C667C0"/>
    <w:rsid w:val="00C676B1"/>
    <w:rsid w:val="00C707A0"/>
    <w:rsid w:val="00C70CD0"/>
    <w:rsid w:val="00C70D68"/>
    <w:rsid w:val="00C713DD"/>
    <w:rsid w:val="00C72E08"/>
    <w:rsid w:val="00C74799"/>
    <w:rsid w:val="00C7693B"/>
    <w:rsid w:val="00C77ACB"/>
    <w:rsid w:val="00C842AF"/>
    <w:rsid w:val="00C8481E"/>
    <w:rsid w:val="00C86784"/>
    <w:rsid w:val="00C86C53"/>
    <w:rsid w:val="00C86ED5"/>
    <w:rsid w:val="00C87CCA"/>
    <w:rsid w:val="00C90797"/>
    <w:rsid w:val="00C9125D"/>
    <w:rsid w:val="00C917E4"/>
    <w:rsid w:val="00C91937"/>
    <w:rsid w:val="00C9284F"/>
    <w:rsid w:val="00C94DFC"/>
    <w:rsid w:val="00C961E4"/>
    <w:rsid w:val="00CA0EC2"/>
    <w:rsid w:val="00CA1921"/>
    <w:rsid w:val="00CA3172"/>
    <w:rsid w:val="00CA51C9"/>
    <w:rsid w:val="00CA6ADC"/>
    <w:rsid w:val="00CA707D"/>
    <w:rsid w:val="00CA75E6"/>
    <w:rsid w:val="00CA77F0"/>
    <w:rsid w:val="00CA7A4A"/>
    <w:rsid w:val="00CB09E0"/>
    <w:rsid w:val="00CB0D6C"/>
    <w:rsid w:val="00CB10BB"/>
    <w:rsid w:val="00CB253B"/>
    <w:rsid w:val="00CB2F9B"/>
    <w:rsid w:val="00CB43A7"/>
    <w:rsid w:val="00CB55F5"/>
    <w:rsid w:val="00CC0572"/>
    <w:rsid w:val="00CC09AC"/>
    <w:rsid w:val="00CC1756"/>
    <w:rsid w:val="00CC18F9"/>
    <w:rsid w:val="00CC1A2C"/>
    <w:rsid w:val="00CC29A8"/>
    <w:rsid w:val="00CC2C72"/>
    <w:rsid w:val="00CC373C"/>
    <w:rsid w:val="00CC3843"/>
    <w:rsid w:val="00CC7D76"/>
    <w:rsid w:val="00CC7EFA"/>
    <w:rsid w:val="00CD2808"/>
    <w:rsid w:val="00CD498E"/>
    <w:rsid w:val="00CD4F93"/>
    <w:rsid w:val="00CD6457"/>
    <w:rsid w:val="00CD6B86"/>
    <w:rsid w:val="00CD6ED4"/>
    <w:rsid w:val="00CE0EF6"/>
    <w:rsid w:val="00CE1ED6"/>
    <w:rsid w:val="00CE35B4"/>
    <w:rsid w:val="00CE6B11"/>
    <w:rsid w:val="00CF0917"/>
    <w:rsid w:val="00CF1135"/>
    <w:rsid w:val="00CF412D"/>
    <w:rsid w:val="00CF5626"/>
    <w:rsid w:val="00CF6118"/>
    <w:rsid w:val="00CF6BF0"/>
    <w:rsid w:val="00D00AB5"/>
    <w:rsid w:val="00D01753"/>
    <w:rsid w:val="00D01C6E"/>
    <w:rsid w:val="00D03323"/>
    <w:rsid w:val="00D0579C"/>
    <w:rsid w:val="00D05BAB"/>
    <w:rsid w:val="00D05D83"/>
    <w:rsid w:val="00D06B73"/>
    <w:rsid w:val="00D073C2"/>
    <w:rsid w:val="00D07969"/>
    <w:rsid w:val="00D10C56"/>
    <w:rsid w:val="00D10FE7"/>
    <w:rsid w:val="00D12079"/>
    <w:rsid w:val="00D12EF5"/>
    <w:rsid w:val="00D13239"/>
    <w:rsid w:val="00D1529E"/>
    <w:rsid w:val="00D205C3"/>
    <w:rsid w:val="00D207F7"/>
    <w:rsid w:val="00D24240"/>
    <w:rsid w:val="00D24F6C"/>
    <w:rsid w:val="00D25DD0"/>
    <w:rsid w:val="00D25FB9"/>
    <w:rsid w:val="00D260B8"/>
    <w:rsid w:val="00D26689"/>
    <w:rsid w:val="00D2673A"/>
    <w:rsid w:val="00D275BF"/>
    <w:rsid w:val="00D30A7F"/>
    <w:rsid w:val="00D30BFF"/>
    <w:rsid w:val="00D30C1F"/>
    <w:rsid w:val="00D316C8"/>
    <w:rsid w:val="00D34B84"/>
    <w:rsid w:val="00D35326"/>
    <w:rsid w:val="00D357DF"/>
    <w:rsid w:val="00D37676"/>
    <w:rsid w:val="00D37740"/>
    <w:rsid w:val="00D43837"/>
    <w:rsid w:val="00D4586B"/>
    <w:rsid w:val="00D46BB8"/>
    <w:rsid w:val="00D47E9D"/>
    <w:rsid w:val="00D5164E"/>
    <w:rsid w:val="00D52ACA"/>
    <w:rsid w:val="00D53859"/>
    <w:rsid w:val="00D543BC"/>
    <w:rsid w:val="00D54947"/>
    <w:rsid w:val="00D55863"/>
    <w:rsid w:val="00D55ACA"/>
    <w:rsid w:val="00D55CD1"/>
    <w:rsid w:val="00D56E44"/>
    <w:rsid w:val="00D57542"/>
    <w:rsid w:val="00D605C9"/>
    <w:rsid w:val="00D6096B"/>
    <w:rsid w:val="00D61D41"/>
    <w:rsid w:val="00D63549"/>
    <w:rsid w:val="00D664B6"/>
    <w:rsid w:val="00D6769B"/>
    <w:rsid w:val="00D7055C"/>
    <w:rsid w:val="00D70A4F"/>
    <w:rsid w:val="00D70FE9"/>
    <w:rsid w:val="00D71A01"/>
    <w:rsid w:val="00D723FA"/>
    <w:rsid w:val="00D72D27"/>
    <w:rsid w:val="00D73E4D"/>
    <w:rsid w:val="00D7525E"/>
    <w:rsid w:val="00D773D5"/>
    <w:rsid w:val="00D7765E"/>
    <w:rsid w:val="00D77A43"/>
    <w:rsid w:val="00D805DE"/>
    <w:rsid w:val="00D81C3B"/>
    <w:rsid w:val="00D84DA0"/>
    <w:rsid w:val="00D85E16"/>
    <w:rsid w:val="00D85E6B"/>
    <w:rsid w:val="00D87BD9"/>
    <w:rsid w:val="00D90307"/>
    <w:rsid w:val="00D90AAC"/>
    <w:rsid w:val="00D90BD8"/>
    <w:rsid w:val="00D93277"/>
    <w:rsid w:val="00D93836"/>
    <w:rsid w:val="00D9396B"/>
    <w:rsid w:val="00D9595E"/>
    <w:rsid w:val="00D95B1F"/>
    <w:rsid w:val="00D95B36"/>
    <w:rsid w:val="00D96188"/>
    <w:rsid w:val="00D97B3D"/>
    <w:rsid w:val="00DA0EA0"/>
    <w:rsid w:val="00DA6DAF"/>
    <w:rsid w:val="00DA74C7"/>
    <w:rsid w:val="00DB01F2"/>
    <w:rsid w:val="00DB09CF"/>
    <w:rsid w:val="00DB2F24"/>
    <w:rsid w:val="00DB40A5"/>
    <w:rsid w:val="00DB4D74"/>
    <w:rsid w:val="00DB6946"/>
    <w:rsid w:val="00DB71EA"/>
    <w:rsid w:val="00DB7C1E"/>
    <w:rsid w:val="00DB7CF6"/>
    <w:rsid w:val="00DC0C49"/>
    <w:rsid w:val="00DC11B9"/>
    <w:rsid w:val="00DC14F4"/>
    <w:rsid w:val="00DC25E7"/>
    <w:rsid w:val="00DC347A"/>
    <w:rsid w:val="00DC40AA"/>
    <w:rsid w:val="00DC5F24"/>
    <w:rsid w:val="00DC6694"/>
    <w:rsid w:val="00DC75A6"/>
    <w:rsid w:val="00DD3E6F"/>
    <w:rsid w:val="00DD44CB"/>
    <w:rsid w:val="00DE063E"/>
    <w:rsid w:val="00DE15C6"/>
    <w:rsid w:val="00DE1977"/>
    <w:rsid w:val="00DE1D68"/>
    <w:rsid w:val="00DE2433"/>
    <w:rsid w:val="00DE3987"/>
    <w:rsid w:val="00DE3B1E"/>
    <w:rsid w:val="00DE3BED"/>
    <w:rsid w:val="00DE3D3A"/>
    <w:rsid w:val="00DE4086"/>
    <w:rsid w:val="00DE4E8E"/>
    <w:rsid w:val="00DE525C"/>
    <w:rsid w:val="00DE7062"/>
    <w:rsid w:val="00DF0130"/>
    <w:rsid w:val="00DF0AED"/>
    <w:rsid w:val="00DF1DD3"/>
    <w:rsid w:val="00DF2E89"/>
    <w:rsid w:val="00DF460A"/>
    <w:rsid w:val="00DF4AEE"/>
    <w:rsid w:val="00DF589D"/>
    <w:rsid w:val="00DF76BD"/>
    <w:rsid w:val="00DF7875"/>
    <w:rsid w:val="00E02B81"/>
    <w:rsid w:val="00E03D46"/>
    <w:rsid w:val="00E03DC8"/>
    <w:rsid w:val="00E0443A"/>
    <w:rsid w:val="00E06136"/>
    <w:rsid w:val="00E07736"/>
    <w:rsid w:val="00E12433"/>
    <w:rsid w:val="00E142B1"/>
    <w:rsid w:val="00E152E7"/>
    <w:rsid w:val="00E15BFB"/>
    <w:rsid w:val="00E15CCB"/>
    <w:rsid w:val="00E161E7"/>
    <w:rsid w:val="00E1736B"/>
    <w:rsid w:val="00E1762F"/>
    <w:rsid w:val="00E1791B"/>
    <w:rsid w:val="00E17FD8"/>
    <w:rsid w:val="00E21EC7"/>
    <w:rsid w:val="00E22CB2"/>
    <w:rsid w:val="00E231BB"/>
    <w:rsid w:val="00E25980"/>
    <w:rsid w:val="00E271C9"/>
    <w:rsid w:val="00E30A75"/>
    <w:rsid w:val="00E31237"/>
    <w:rsid w:val="00E32327"/>
    <w:rsid w:val="00E32A06"/>
    <w:rsid w:val="00E32AD5"/>
    <w:rsid w:val="00E33385"/>
    <w:rsid w:val="00E338EB"/>
    <w:rsid w:val="00E338F5"/>
    <w:rsid w:val="00E34A7B"/>
    <w:rsid w:val="00E34ADD"/>
    <w:rsid w:val="00E34D0D"/>
    <w:rsid w:val="00E35BE1"/>
    <w:rsid w:val="00E3730B"/>
    <w:rsid w:val="00E41869"/>
    <w:rsid w:val="00E43AC9"/>
    <w:rsid w:val="00E4424D"/>
    <w:rsid w:val="00E446F2"/>
    <w:rsid w:val="00E47719"/>
    <w:rsid w:val="00E528A7"/>
    <w:rsid w:val="00E52B4D"/>
    <w:rsid w:val="00E535D8"/>
    <w:rsid w:val="00E53795"/>
    <w:rsid w:val="00E5484B"/>
    <w:rsid w:val="00E55631"/>
    <w:rsid w:val="00E568B7"/>
    <w:rsid w:val="00E573FA"/>
    <w:rsid w:val="00E57872"/>
    <w:rsid w:val="00E6152F"/>
    <w:rsid w:val="00E63780"/>
    <w:rsid w:val="00E65CEE"/>
    <w:rsid w:val="00E661B9"/>
    <w:rsid w:val="00E66852"/>
    <w:rsid w:val="00E71560"/>
    <w:rsid w:val="00E71C59"/>
    <w:rsid w:val="00E73B81"/>
    <w:rsid w:val="00E74030"/>
    <w:rsid w:val="00E74034"/>
    <w:rsid w:val="00E74CAF"/>
    <w:rsid w:val="00E7525D"/>
    <w:rsid w:val="00E754D1"/>
    <w:rsid w:val="00E77DDE"/>
    <w:rsid w:val="00E80878"/>
    <w:rsid w:val="00E80F06"/>
    <w:rsid w:val="00E82B3C"/>
    <w:rsid w:val="00E8390C"/>
    <w:rsid w:val="00E83F95"/>
    <w:rsid w:val="00E86C23"/>
    <w:rsid w:val="00E9233A"/>
    <w:rsid w:val="00E94252"/>
    <w:rsid w:val="00E9467A"/>
    <w:rsid w:val="00E95B30"/>
    <w:rsid w:val="00EA1229"/>
    <w:rsid w:val="00EA1B60"/>
    <w:rsid w:val="00EA272E"/>
    <w:rsid w:val="00EA354A"/>
    <w:rsid w:val="00EA52BD"/>
    <w:rsid w:val="00EA5315"/>
    <w:rsid w:val="00EA5AC6"/>
    <w:rsid w:val="00EA5CBC"/>
    <w:rsid w:val="00EA609E"/>
    <w:rsid w:val="00EB2474"/>
    <w:rsid w:val="00EB2530"/>
    <w:rsid w:val="00EB2A67"/>
    <w:rsid w:val="00EB2CDE"/>
    <w:rsid w:val="00EB33B1"/>
    <w:rsid w:val="00EB4633"/>
    <w:rsid w:val="00EB4C63"/>
    <w:rsid w:val="00EB57FD"/>
    <w:rsid w:val="00EB5D7F"/>
    <w:rsid w:val="00EB6682"/>
    <w:rsid w:val="00EB729D"/>
    <w:rsid w:val="00EC0CD1"/>
    <w:rsid w:val="00EC267E"/>
    <w:rsid w:val="00EC2A7D"/>
    <w:rsid w:val="00EC47CD"/>
    <w:rsid w:val="00EC5DCC"/>
    <w:rsid w:val="00EC6AA6"/>
    <w:rsid w:val="00ED0A6F"/>
    <w:rsid w:val="00ED1AE8"/>
    <w:rsid w:val="00ED2FA7"/>
    <w:rsid w:val="00ED3116"/>
    <w:rsid w:val="00ED71CB"/>
    <w:rsid w:val="00ED7929"/>
    <w:rsid w:val="00EE0083"/>
    <w:rsid w:val="00EE038E"/>
    <w:rsid w:val="00EE2D70"/>
    <w:rsid w:val="00EE2FCC"/>
    <w:rsid w:val="00EE37D6"/>
    <w:rsid w:val="00EE6689"/>
    <w:rsid w:val="00EF09B6"/>
    <w:rsid w:val="00EF0A45"/>
    <w:rsid w:val="00EF1C42"/>
    <w:rsid w:val="00EF1F6E"/>
    <w:rsid w:val="00EF71CF"/>
    <w:rsid w:val="00F00667"/>
    <w:rsid w:val="00F02B0C"/>
    <w:rsid w:val="00F02E4E"/>
    <w:rsid w:val="00F05162"/>
    <w:rsid w:val="00F05DB7"/>
    <w:rsid w:val="00F071A7"/>
    <w:rsid w:val="00F1014F"/>
    <w:rsid w:val="00F1260A"/>
    <w:rsid w:val="00F14A91"/>
    <w:rsid w:val="00F1580F"/>
    <w:rsid w:val="00F17826"/>
    <w:rsid w:val="00F17C3F"/>
    <w:rsid w:val="00F204E4"/>
    <w:rsid w:val="00F25D42"/>
    <w:rsid w:val="00F27797"/>
    <w:rsid w:val="00F30F01"/>
    <w:rsid w:val="00F32C74"/>
    <w:rsid w:val="00F33CC0"/>
    <w:rsid w:val="00F36456"/>
    <w:rsid w:val="00F37133"/>
    <w:rsid w:val="00F379FB"/>
    <w:rsid w:val="00F37F08"/>
    <w:rsid w:val="00F4008F"/>
    <w:rsid w:val="00F4118E"/>
    <w:rsid w:val="00F41459"/>
    <w:rsid w:val="00F432B6"/>
    <w:rsid w:val="00F43AD8"/>
    <w:rsid w:val="00F4458D"/>
    <w:rsid w:val="00F45432"/>
    <w:rsid w:val="00F46F9D"/>
    <w:rsid w:val="00F5166A"/>
    <w:rsid w:val="00F52A81"/>
    <w:rsid w:val="00F5520A"/>
    <w:rsid w:val="00F559D0"/>
    <w:rsid w:val="00F568F1"/>
    <w:rsid w:val="00F60172"/>
    <w:rsid w:val="00F605A7"/>
    <w:rsid w:val="00F64AC5"/>
    <w:rsid w:val="00F65835"/>
    <w:rsid w:val="00F65B17"/>
    <w:rsid w:val="00F6756A"/>
    <w:rsid w:val="00F710BE"/>
    <w:rsid w:val="00F7280F"/>
    <w:rsid w:val="00F72B6F"/>
    <w:rsid w:val="00F7306B"/>
    <w:rsid w:val="00F73CA6"/>
    <w:rsid w:val="00F73E82"/>
    <w:rsid w:val="00F760AD"/>
    <w:rsid w:val="00F76B39"/>
    <w:rsid w:val="00F7705E"/>
    <w:rsid w:val="00F80982"/>
    <w:rsid w:val="00F81787"/>
    <w:rsid w:val="00F82751"/>
    <w:rsid w:val="00F83660"/>
    <w:rsid w:val="00F8597E"/>
    <w:rsid w:val="00F871F4"/>
    <w:rsid w:val="00F872F9"/>
    <w:rsid w:val="00F873D8"/>
    <w:rsid w:val="00F876C8"/>
    <w:rsid w:val="00F9155E"/>
    <w:rsid w:val="00F97495"/>
    <w:rsid w:val="00FA1B58"/>
    <w:rsid w:val="00FA1F8A"/>
    <w:rsid w:val="00FA2863"/>
    <w:rsid w:val="00FA460A"/>
    <w:rsid w:val="00FA5166"/>
    <w:rsid w:val="00FA5348"/>
    <w:rsid w:val="00FA5A2F"/>
    <w:rsid w:val="00FA6322"/>
    <w:rsid w:val="00FA6806"/>
    <w:rsid w:val="00FB0577"/>
    <w:rsid w:val="00FB1406"/>
    <w:rsid w:val="00FB1F13"/>
    <w:rsid w:val="00FB1FC5"/>
    <w:rsid w:val="00FB1FD6"/>
    <w:rsid w:val="00FB2CFC"/>
    <w:rsid w:val="00FB2E17"/>
    <w:rsid w:val="00FB465D"/>
    <w:rsid w:val="00FB4C21"/>
    <w:rsid w:val="00FC1454"/>
    <w:rsid w:val="00FC1BCC"/>
    <w:rsid w:val="00FC1E7F"/>
    <w:rsid w:val="00FC3C58"/>
    <w:rsid w:val="00FC4A9E"/>
    <w:rsid w:val="00FC4C91"/>
    <w:rsid w:val="00FC5BDD"/>
    <w:rsid w:val="00FC5D31"/>
    <w:rsid w:val="00FC6878"/>
    <w:rsid w:val="00FC6BCD"/>
    <w:rsid w:val="00FD0583"/>
    <w:rsid w:val="00FD1D13"/>
    <w:rsid w:val="00FD2086"/>
    <w:rsid w:val="00FD2212"/>
    <w:rsid w:val="00FD2296"/>
    <w:rsid w:val="00FD274E"/>
    <w:rsid w:val="00FD43A6"/>
    <w:rsid w:val="00FD4612"/>
    <w:rsid w:val="00FD562C"/>
    <w:rsid w:val="00FD5F79"/>
    <w:rsid w:val="00FD67FC"/>
    <w:rsid w:val="00FE281D"/>
    <w:rsid w:val="00FE3044"/>
    <w:rsid w:val="00FE373B"/>
    <w:rsid w:val="00FE4F1F"/>
    <w:rsid w:val="00FE6189"/>
    <w:rsid w:val="00FE6CC5"/>
    <w:rsid w:val="00FE6F73"/>
    <w:rsid w:val="00FE7025"/>
    <w:rsid w:val="00FE7C85"/>
    <w:rsid w:val="00FF047B"/>
    <w:rsid w:val="00FF14A5"/>
    <w:rsid w:val="00FF1BF6"/>
    <w:rsid w:val="00FF2C6B"/>
    <w:rsid w:val="00FF3AB9"/>
    <w:rsid w:val="00FF7C09"/>
    <w:rsid w:val="0287E927"/>
    <w:rsid w:val="0404AEBE"/>
    <w:rsid w:val="05E51075"/>
    <w:rsid w:val="067498DD"/>
    <w:rsid w:val="070CBB00"/>
    <w:rsid w:val="0A6EE3E2"/>
    <w:rsid w:val="0C74826B"/>
    <w:rsid w:val="0DA980BD"/>
    <w:rsid w:val="0ED67F2C"/>
    <w:rsid w:val="0F24B715"/>
    <w:rsid w:val="10F75015"/>
    <w:rsid w:val="11F3857F"/>
    <w:rsid w:val="13A30BC6"/>
    <w:rsid w:val="16768D0C"/>
    <w:rsid w:val="18435CF3"/>
    <w:rsid w:val="19967884"/>
    <w:rsid w:val="1C20C00D"/>
    <w:rsid w:val="1C6367A9"/>
    <w:rsid w:val="1E2E2FB2"/>
    <w:rsid w:val="21EF5C4C"/>
    <w:rsid w:val="2302C6A5"/>
    <w:rsid w:val="26D1DE08"/>
    <w:rsid w:val="2961420F"/>
    <w:rsid w:val="2AEA33BD"/>
    <w:rsid w:val="2E32D882"/>
    <w:rsid w:val="2E89C838"/>
    <w:rsid w:val="31060E56"/>
    <w:rsid w:val="312B2363"/>
    <w:rsid w:val="3394C356"/>
    <w:rsid w:val="3645589F"/>
    <w:rsid w:val="36C65200"/>
    <w:rsid w:val="384F1ED3"/>
    <w:rsid w:val="3D2D0105"/>
    <w:rsid w:val="3D810D73"/>
    <w:rsid w:val="3F80873E"/>
    <w:rsid w:val="419B4454"/>
    <w:rsid w:val="41A8727C"/>
    <w:rsid w:val="42122777"/>
    <w:rsid w:val="42A9F129"/>
    <w:rsid w:val="42AB1A4A"/>
    <w:rsid w:val="435B4522"/>
    <w:rsid w:val="474FB087"/>
    <w:rsid w:val="47590D95"/>
    <w:rsid w:val="476A302B"/>
    <w:rsid w:val="48157458"/>
    <w:rsid w:val="48C7ABE5"/>
    <w:rsid w:val="4AA8C26F"/>
    <w:rsid w:val="4D930BD2"/>
    <w:rsid w:val="4E8F959C"/>
    <w:rsid w:val="504E1434"/>
    <w:rsid w:val="50E72A0C"/>
    <w:rsid w:val="52B947EB"/>
    <w:rsid w:val="56525508"/>
    <w:rsid w:val="57F7F398"/>
    <w:rsid w:val="587830E5"/>
    <w:rsid w:val="597C4373"/>
    <w:rsid w:val="5981A37C"/>
    <w:rsid w:val="5999F614"/>
    <w:rsid w:val="5A9F3CF3"/>
    <w:rsid w:val="5B40C1FF"/>
    <w:rsid w:val="5BE52291"/>
    <w:rsid w:val="5C0F78F4"/>
    <w:rsid w:val="602E7F5B"/>
    <w:rsid w:val="61DF4F02"/>
    <w:rsid w:val="61E4A1D4"/>
    <w:rsid w:val="640BE613"/>
    <w:rsid w:val="651F0012"/>
    <w:rsid w:val="6554BC11"/>
    <w:rsid w:val="65D24A1D"/>
    <w:rsid w:val="67AC5137"/>
    <w:rsid w:val="6827B904"/>
    <w:rsid w:val="6D8A9027"/>
    <w:rsid w:val="6DFC6554"/>
    <w:rsid w:val="6E36DA80"/>
    <w:rsid w:val="6E4D4F9B"/>
    <w:rsid w:val="722321F5"/>
    <w:rsid w:val="74496FC9"/>
    <w:rsid w:val="759E6ECB"/>
    <w:rsid w:val="76437D5D"/>
    <w:rsid w:val="764970CE"/>
    <w:rsid w:val="780744AE"/>
    <w:rsid w:val="7B332091"/>
    <w:rsid w:val="7C0D7D7E"/>
    <w:rsid w:val="7C7B0369"/>
    <w:rsid w:val="7CCEF0F2"/>
    <w:rsid w:val="7D7CE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95D45"/>
  <w15:docId w15:val="{216FB9B1-2A51-423F-83EC-3FD5CA158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mt-MT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A2E"/>
    <w:rPr>
      <w:sz w:val="24"/>
      <w:lang w:val="mt-MT"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mt-MT"/>
    </w:rPr>
  </w:style>
  <w:style w:type="character" w:customStyle="1" w:styleId="Heading3Char">
    <w:name w:val="Heading 3 Char"/>
    <w:link w:val="Heading3"/>
    <w:uiPriority w:val="9"/>
    <w:semiHidden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mt-MT" w:eastAsia="en-GB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val="mt-MT"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val="mt-MT"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val="mt-MT"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  <w:lang w:val="mt-MT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A16B2C"/>
    <w:rPr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30C1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9595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ompetition-policy.ec.europa.eu/state-aid/legislation/forms-notifications-and-reporting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74593FF89B74189D2FB1E3E459C18" ma:contentTypeVersion="6" ma:contentTypeDescription="Create a new document." ma:contentTypeScope="" ma:versionID="2b872985756f5dc424bf8f8acc790855">
  <xsd:schema xmlns:xsd="http://www.w3.org/2001/XMLSchema" xmlns:xs="http://www.w3.org/2001/XMLSchema" xmlns:p="http://schemas.microsoft.com/office/2006/metadata/properties" xmlns:ns2="a94e2606-67d3-479b-bb64-e7d9251b8ee1" xmlns:ns3="66b6254d-0f40-4716-8f91-c3453959d219" targetNamespace="http://schemas.microsoft.com/office/2006/metadata/properties" ma:root="true" ma:fieldsID="7b38acc1be897bd6fab0d6b0ef2bc8f2" ns2:_="" ns3:_="">
    <xsd:import namespace="a94e2606-67d3-479b-bb64-e7d9251b8ee1"/>
    <xsd:import namespace="66b6254d-0f40-4716-8f91-c3453959d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e2606-67d3-479b-bb64-e7d9251b8e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6254d-0f40-4716-8f91-c3453959d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447D74-E4D5-415C-9DE1-1957880052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3CC7F0-200F-402F-8694-FE0FCCA75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4e2606-67d3-479b-bb64-e7d9251b8ee1"/>
    <ds:schemaRef ds:uri="66b6254d-0f40-4716-8f91-c3453959d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EBDC8-A0F9-488E-B2A2-204AC66CCD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1C1DA78-896E-461D-A61E-B93DC91F7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5995</Words>
  <Characters>31419</Characters>
  <DocSecurity>0</DocSecurity>
  <Lines>714</Lines>
  <Paragraphs>269</Paragraphs>
  <ScaleCrop>false</ScaleCrop>
  <LinksUpToDate>false</LinksUpToDate>
  <CharactersWithSpaces>37145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2022-04-14T20:59:00Z</cp:lastPrinted>
  <dcterms:created xsi:type="dcterms:W3CDTF">2024-10-28T10:27:00Z</dcterms:created>
  <dcterms:modified xsi:type="dcterms:W3CDTF">2024-10-28T10:45:00Z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6425e87d-dba4-488c-abda-47c222c3ac0b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0x010100E4974593FF89B74189D2FB1E3E459C18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2023-12-13T14:28:09Z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7db8107c-3f88-4e60-9a4a-cbde5fdfb553</vt:lpwstr>
  </property>
  <property fmtid="{D5CDD505-2E9C-101B-9397-08002B2CF9AE}" pid="14" name="MSIP_Label_6bd9ddd1-4d20-43f6-abfa-fc3c07406f94_ContentBits">
    <vt:lpwstr>0</vt:lpwstr>
  </property>
</Properties>
</file>