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III.6 dalis</w:t>
            </w:r>
            <w:r>
              <w:rPr>
                <w:sz w:val="32"/>
              </w:rPr>
              <w:t xml:space="preserve"> </w:t>
            </w:r>
          </w:p>
          <w:p w14:paraId="1C239D2C" w14:textId="79113717" w:rsidR="000442F5" w:rsidRPr="00B429BF" w:rsidRDefault="00BA39B3" w:rsidP="007B485D">
            <w:pPr>
              <w:pStyle w:val="Heading2"/>
              <w:spacing w:before="240" w:after="240"/>
              <w:jc w:val="center"/>
              <w:rPr>
                <w:sz w:val="32"/>
                <w:szCs w:val="32"/>
              </w:rPr>
            </w:pPr>
            <w:r>
              <w:rPr>
                <w:sz w:val="32"/>
                <w:rStyle w:val="normaltextrun"/>
                <w:color w:val="000000"/>
                <w:bdr w:val="none" w:sz="0" w:space="0" w:color="auto" w:frame="1"/>
              </w:rPr>
              <w:t xml:space="preserve">Atnaujinta*</w:t>
            </w:r>
            <w:r>
              <w:rPr>
                <w:sz w:val="32"/>
              </w:rPr>
              <w:t xml:space="preserve"> papildomos informacijos apie valstybės pagalbą, suteiktą pagal 2022 m. valstybės pagalbos klimato ir aplinkos apsaugai ir energetikai gaires</w:t>
            </w:r>
            <w:r>
              <w:rPr>
                <w:sz w:val="32"/>
                <w:szCs w:val="32"/>
                <w:vertAlign w:val="superscript"/>
              </w:rPr>
              <w:footnoteReference w:id="2"/>
            </w:r>
            <w:r>
              <w:rPr>
                <w:sz w:val="32"/>
              </w:rPr>
              <w:t xml:space="preserve">, pateikimo forma</w:t>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4.7.2 skyrius. Pagalba aplinkos apsaugai parafiskalinių ar kitų mokesčių sumažinimo forma</w:t>
            </w:r>
            <w:r>
              <w:rPr>
                <w:sz w:val="32"/>
              </w:rPr>
              <w:t xml:space="preserve">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xml:space="preserve">* oficialiai dar nepriimta.</w:t>
            </w:r>
          </w:p>
        </w:tc>
      </w:tr>
    </w:tbl>
    <w:p w14:paraId="5F26D476" w14:textId="4F5B65DA" w:rsidR="000442F5" w:rsidRPr="00B429BF" w:rsidRDefault="000442F5" w:rsidP="000442F5">
      <w:pPr>
        <w:spacing w:before="120" w:after="120"/>
        <w:ind w:right="-142"/>
        <w:jc w:val="both"/>
        <w:rPr>
          <w:i/>
          <w:iCs/>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1B60656B" w14:textId="774A2BA8" w:rsidR="009E2EA1" w:rsidRPr="00B429BF" w:rsidRDefault="0072538B" w:rsidP="009E2EA1">
      <w:pPr>
        <w:spacing w:before="120" w:after="120"/>
        <w:ind w:right="-142"/>
        <w:jc w:val="both"/>
        <w:rPr>
          <w:i/>
          <w:iCs/>
        </w:rPr>
      </w:pPr>
      <w:r>
        <w:rPr>
          <w:i/>
        </w:rPr>
        <w:t xml:space="preserve">Šioje formoje pateikiama papildoma informacija apie priemones, kurioms taikomas PKAAE gairių 4.7.2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05E36007" w14:textId="5E24D00F" w:rsidR="009E2EA1" w:rsidRPr="00B429BF" w:rsidRDefault="009E2EA1" w:rsidP="009E2EA1">
      <w:pPr>
        <w:spacing w:before="120" w:after="120"/>
        <w:ind w:right="-142"/>
        <w:jc w:val="both"/>
        <w:rPr>
          <w:i/>
          <w:iCs/>
        </w:rPr>
      </w:pPr>
      <w:r>
        <w:rPr>
          <w:i/>
        </w:rPr>
        <w:t xml:space="preserve">Valstybės narės turi sunumeruoti visus prie šios papildomos informacijos pateikimo formos pridedamus dokumentus ir nurodyti dokumentų numerius atitinkamose šios formos skirsniuose.</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apie kurią (-ias) pranešama, pagrindinių charakteristikų santrauka</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 xml:space="preserve">Priemonės (-ių), apie kurią (-ias) pranešama, aplinkybės ir tikslas (-ai)</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 xml:space="preserve">Jei dar nenurodėte formos „Bendroji informacija“ 5.2 skirsnyje (I dalis), nurodykite priemonės aplinkybes ir pagrindinį tikslą, įskaitant Sąjungos aplinkos apsaugos tikslus, kurių siekimą ketinama remti šia priemone.</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Nurodykite visus kitus ja siekiamus tikslus.</w:t>
      </w:r>
      <w:r>
        <w:t xml:space="preserve"> </w:t>
      </w:r>
      <w:r>
        <w:t xml:space="preserve">Jei tikslai yra ne vien aplinkos apsaugos, paaiškinkite, ar juos pasiekus gali būti iškraipoma konkurencija vidaus rinkoje.</w:t>
      </w:r>
      <w:r>
        <w:t xml:space="preserve">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 xml:space="preserve">Įsigaliojimas ir taikymo trukmė</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 xml:space="preserve">Jei dar nenurodėte formos „Bendroji informacija“ 5.5 skirsnyje (I dalis), nurodykite numatomą pagalbos schemos įsigaliojimo datą.</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 xml:space="preserve">Nurodykite schemos taikymo trukmę</w:t>
      </w:r>
      <w:r>
        <w:rPr>
          <w:rStyle w:val="FootnoteReference"/>
          <w:rFonts w:cs="Arial Unicode MS"/>
          <w:bCs/>
          <w:lang w:bidi="si-LK"/>
        </w:rPr>
        <w:footnoteReference w:id="3"/>
      </w:r>
      <w:r>
        <w:t xml:space="preserve">.</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Pagalbos gavėjas (-ai)</w:t>
      </w:r>
      <w: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 xml:space="preserve">Jei dar nenurodėte „Bendrosios informacijos formos“ 3 skirsnyje (I dalis), apibūdinkite (galimą) priemonės (-ių) pagalbos gavėją (-us).</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 xml:space="preserve">Nurodykite pagalbos gavėjo (-ų) vietą (t. y. ar teisę dalyvauti priemonėje turi tik atitinkamoje valstybėje narėje esantys ūkio subjektai, ar ir kitose valstybėse narėse esantys ūkio subjektai).</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w:t>
      </w:r>
      <w:r>
        <w:t xml:space="preserve">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Jei taip, pateikite informaciją apie pagalbos sumą, kuri dar nesusigrąžinta, kad Komisija į ją atsižvelgtų vertindama pagalbos priemonę (-es).</w:t>
      </w:r>
      <w:r>
        <w:t xml:space="preserve">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Priemonės (-ių) biudžetas ir finansavimas</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rFonts w:cs="Arial Unicode MS"/>
          <w:bCs/>
          <w:vertAlign w:val="superscript"/>
          <w:lang w:bidi="si-LK"/>
        </w:rPr>
        <w:footnoteReference w:id="4"/>
      </w:r>
      <w:r>
        <w:t xml:space="preserve">.</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bCs/>
          <w:rFonts w:cs="Arial Unicode MS"/>
        </w:rPr>
      </w:pPr>
      <w:bookmarkStart w:id="3" w:name="_Ref126829235"/>
      <w:r>
        <w:t xml:space="preserve">Jei priemonė (t. y. parafiskalinio ar kito mokesčio sumažinimas) </w:t>
      </w:r>
      <w:r>
        <w:rPr>
          <w:u w:val="single"/>
        </w:rPr>
        <w:t xml:space="preserve">finansuojama</w:t>
      </w:r>
      <w:r>
        <w:t xml:space="preserve"> iš mokesčio, paaiškinkite, ar:</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bCs/>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bCs/>
          <w:rFonts w:cs="Arial Unicode MS"/>
        </w:rPr>
      </w:pPr>
      <w:r>
        <w:t xml:space="preserve">mokestis vienodai taikomas ir vidaus, ir importuojamiems produktams;</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bCs/>
          <w:rFonts w:cs="Arial Unicode MS"/>
        </w:rPr>
      </w:pPr>
      <w:r>
        <w:t xml:space="preserve">priemonė, apie kurią pranešama, bus vienodai naudinga ir vidaus, ir importuojamų produktų gamintojams;</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bCs/>
          <w:rFonts w:cs="Arial Unicode MS"/>
        </w:rPr>
      </w:pPr>
      <w:r>
        <w:t xml:space="preserve">priemonė yra visiškai ar tik iš dalies finansuojama iš mokesčio.</w:t>
      </w:r>
      <w:r>
        <w:t xml:space="preserve"> </w:t>
      </w:r>
      <w:r>
        <w:t xml:space="preserve">Jei priemonė tik iš dalies finansuojama iš mokesčio, nurodyti kitus priemonės finansavimo šaltinius ir atitinkamas jų dalis;</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bCs/>
          <w:rFonts w:cs="Arial Unicode MS"/>
        </w:rPr>
      </w:pPr>
      <w:r>
        <w:t xml:space="preserve">priemonė, apie kurią pranešama, finansuojama iš mokesčio, iš kurio finansuojamos ir kitos pagalbos priemonės.</w:t>
      </w:r>
      <w:r>
        <w:t xml:space="preserve"> </w:t>
      </w:r>
      <w:r>
        <w:t xml:space="preserve">Jei taip, nurodykite tas kitas iš atitinkamo mokesčio finansuojamas pagalbos priemones.</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 xml:space="preserve">Indėlis į ekonominės veiklos plėtrą</w:t>
            </w:r>
          </w:p>
        </w:tc>
      </w:tr>
    </w:tbl>
    <w:p w14:paraId="1E2599D2" w14:textId="65CF0F4D" w:rsidR="000442F5" w:rsidRPr="00B429BF" w:rsidRDefault="000442F5" w:rsidP="000442F5">
      <w:pPr>
        <w:spacing w:before="360" w:after="120"/>
        <w:jc w:val="both"/>
        <w:rPr>
          <w:i/>
        </w:rPr>
      </w:pPr>
      <w:r>
        <w:rPr>
          <w:i/>
        </w:rPr>
        <w:t xml:space="preserve">Kad pateiktumėte šiame skirsnyje prašomą informaciją, žr. PKAAE gairių 3.1.1 skirsnį (23–25 punktus), 4.7.2.1 skirsnį (310 punktą) ir 4.7.2.2 skirsnį (311–313 punktus)</w:t>
      </w:r>
      <w:r>
        <w:rPr>
          <w:i/>
          <w:color w:val="000000"/>
        </w:rPr>
        <w:t xml:space="preserve">.</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Sutarties dėl Europos Sąjungos veikimo (SESV) 107 straipsnio 3 dalies c punkte nustatyta, kad Komisija gali pripažinti, kad suderinama yra „</w:t>
      </w:r>
      <w:r>
        <w:rPr>
          <w:i/>
        </w:rPr>
        <w:t xml:space="preserve">pagalba, skirta tam tikros ekonominės veiklos rūšių arba tam tikrų ekonomikos sričių plėtrai skatinti, jei ji netrikdo prekybos sąlygų taip, kad prieštarautų bendram interesui</w:t>
      </w:r>
      <w:r>
        <w:t xml:space="preserve">“.</w:t>
      </w:r>
      <w:r>
        <w:t xml:space="preserve"> </w:t>
      </w:r>
      <w:r>
        <w:t xml:space="preserve">Todėl pagal šią SESV nuostatą suderinama pagalba turi prisidėti prie tam tikros ekonominės veiklos plėtros.</w:t>
      </w:r>
      <w:r>
        <w:t xml:space="preserve"> </w:t>
      </w:r>
    </w:p>
    <w:p w14:paraId="1D59B711" w14:textId="015DAACF" w:rsidR="002A11D4" w:rsidRPr="00B429BF" w:rsidRDefault="00E75ECB" w:rsidP="00864DCD">
      <w:pPr>
        <w:pStyle w:val="ListParagraph"/>
        <w:spacing w:before="120" w:after="120"/>
        <w:ind w:left="567"/>
        <w:contextualSpacing w:val="0"/>
        <w:jc w:val="both"/>
      </w:pPr>
      <w:r>
        <w:t xml:space="preserve">Kad būtų galima įvertinti, ar laikomasi PKAAE gairių 23 punkto, nurodykite, kokią ekonominę veiklą skatins pagalba ir kaip remiama šios veiklos plėtra.</w:t>
      </w:r>
      <w:r>
        <w:t xml:space="preserve">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Kad būtų galima įvertinti, ar laikomasi PKAAE gairių 25 punkto, „</w:t>
      </w:r>
      <w:r>
        <w:rPr>
          <w:i/>
        </w:rPr>
        <w:t xml:space="preserve">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 xml:space="preserve">“.</w:t>
      </w:r>
      <w:r>
        <w:t xml:space="preserve">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Be to, </w:t>
      </w:r>
      <w:bookmarkStart w:id="4" w:name="_Hlk169774371"/>
      <w:r>
        <w:t xml:space="preserve">priklausomai nuo PKAAE gairių skirsnio, kuris taikomas remiamai veiklai,</w:t>
      </w:r>
      <w:bookmarkEnd w:id="4"/>
      <w:r>
        <w:t xml:space="preserve"> nurodykite, kokiu mastu pagalba yra susijusi su tikslais ir (arba) politika, aprašytais PKAAE gairių 135 punkte (4.2 skirsnis), 160–161 punktuose (4.3.1 skirsnis), 190–191 punktuose (4.3.2 skirsnis), 217–219 punktuose (4.4 skirsnis), 253–254 punktuose (4.5 skirsnis) arba 276–278 punktuose (4.6 skirsnis).</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 xml:space="preserve">Pagal PKAAE gairių 311 punktą ir priklausomai nuo PKAAE gairių skirsnio, kuris taikomas remiamai veiklai, pateikite tikslią informaciją apie pagalbos priemonės (-ių) taikymo sritį ir pagal ją (jas) remiamos veiklos rūšis, užpildydami toliau pateiktą (-us) atitinkamos papildomos informacijos pateikimo formos punktą (-us).</w:t>
      </w:r>
      <w:r>
        <w:t xml:space="preserve"> </w:t>
      </w:r>
      <w:r>
        <w:t xml:space="preserve">Skirsnyje nurodytos veiklos atveju:</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 xml:space="preserve">o</w:t>
      </w:r>
      <w:r>
        <w:t xml:space="preserve"> </w:t>
      </w:r>
      <w:bookmarkEnd w:id="6"/>
      <w:r>
        <w:t xml:space="preserve">4.2 </w:t>
      </w:r>
      <w:bookmarkStart w:id="8" w:name="_Hlk164179209"/>
      <w:r>
        <w:t xml:space="preserve">(</w:t>
      </w:r>
      <w:r>
        <w:rPr>
          <w:i/>
        </w:rPr>
        <w:t xml:space="preserve">atitinkamos papildomos informacijos pateikimo formos 9–12 punktai)</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 xml:space="preserve">o</w:t>
      </w:r>
      <w:r>
        <w:t xml:space="preserve"> 4.3.1 (</w:t>
      </w:r>
      <w:r>
        <w:rPr>
          <w:i/>
        </w:rPr>
        <w:t xml:space="preserve">atitinkamos papildomos informacijos pateikimo formos 10 punktas)</w:t>
      </w:r>
    </w:p>
    <w:p w14:paraId="518455AD" w14:textId="19A689A1" w:rsidR="009A73F9" w:rsidRPr="00B429BF" w:rsidRDefault="009A73F9" w:rsidP="00287B08">
      <w:pPr>
        <w:spacing w:before="120" w:after="120"/>
        <w:ind w:firstLine="567"/>
        <w:contextualSpacing/>
        <w:jc w:val="both"/>
      </w:pPr>
      <w:r>
        <w:rPr>
          <w:rFonts w:ascii="Wingdings" w:hAnsi="Wingdings"/>
        </w:rPr>
        <w:t xml:space="preserve">o</w:t>
      </w:r>
      <w:r>
        <w:t xml:space="preserve"> 4.3.2 (</w:t>
      </w:r>
      <w:r>
        <w:rPr>
          <w:i/>
        </w:rPr>
        <w:t xml:space="preserve">atitinkamos papildomos informacijos pateikimo formos 10 punktas)</w:t>
      </w:r>
    </w:p>
    <w:p w14:paraId="5CD7BA0B" w14:textId="3542DAA3" w:rsidR="009A73F9" w:rsidRPr="00B429BF" w:rsidRDefault="009A73F9" w:rsidP="00287B08">
      <w:pPr>
        <w:spacing w:before="120" w:after="120"/>
        <w:ind w:firstLine="567"/>
        <w:contextualSpacing/>
        <w:jc w:val="both"/>
      </w:pPr>
      <w:r>
        <w:rPr>
          <w:rFonts w:ascii="Wingdings" w:hAnsi="Wingdings"/>
        </w:rPr>
        <w:t xml:space="preserve">o</w:t>
      </w:r>
      <w:r>
        <w:t xml:space="preserve"> 4.4 (</w:t>
      </w:r>
      <w:r>
        <w:rPr>
          <w:i/>
        </w:rPr>
        <w:t xml:space="preserve">atitinkamos papildomos informacijos pateikimo formos 11–13 punktai)</w:t>
      </w:r>
    </w:p>
    <w:p w14:paraId="5B091CEC" w14:textId="7D7965C9" w:rsidR="009A73F9" w:rsidRPr="00B429BF" w:rsidRDefault="009A73F9" w:rsidP="00287B08">
      <w:pPr>
        <w:spacing w:before="120" w:after="120"/>
        <w:ind w:firstLine="567"/>
        <w:contextualSpacing/>
        <w:jc w:val="both"/>
      </w:pPr>
      <w:r>
        <w:rPr>
          <w:rFonts w:ascii="Wingdings" w:hAnsi="Wingdings"/>
        </w:rPr>
        <w:t xml:space="preserve">o</w:t>
      </w:r>
      <w:r>
        <w:t xml:space="preserve"> 4.5 (</w:t>
      </w:r>
      <w:r>
        <w:rPr>
          <w:i/>
        </w:rPr>
        <w:t xml:space="preserve">atitinkamos papildomos informacijos pateikimo formos 10–15 punktai)</w:t>
      </w:r>
    </w:p>
    <w:p w14:paraId="2D8685DE" w14:textId="26E9D332" w:rsidR="009A73F9" w:rsidRPr="00B429BF" w:rsidRDefault="009A73F9" w:rsidP="00287B08">
      <w:pPr>
        <w:spacing w:before="120" w:after="120"/>
        <w:ind w:firstLine="567"/>
        <w:contextualSpacing/>
        <w:jc w:val="both"/>
      </w:pPr>
      <w:r>
        <w:rPr>
          <w:rFonts w:ascii="Wingdings" w:hAnsi="Wingdings"/>
        </w:rPr>
        <w:t xml:space="preserve">o</w:t>
      </w:r>
      <w:r>
        <w:t xml:space="preserve"> 4.6 (</w:t>
      </w:r>
      <w:r>
        <w:rPr>
          <w:i/>
        </w:rPr>
        <w:t xml:space="preserve">atitinkamos papildomos informacijos pateikimo formos 10–12 punktai)</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t xml:space="preserve">Patvirtinkite, ar remiama veikla visų pirma siekiama priklausomybės nuo iškastinio kuro mažinimo tikslo.</w:t>
      </w:r>
      <w:r>
        <w:t xml:space="preserve">  </w:t>
      </w:r>
      <w:r>
        <w:t xml:space="preserve">Jei pagrindinis pagalbos priemonės tikslas yra šiltnamio efektą sukeliančių dujų išmetimo prevencija arba mažinimas, žr. PKAAE gairių 4.1 skirsnio papildomos informacijos pateikimo formą pagal PKAAE gairių 312 punktą, nes tokia pagalba vertinama pagal PKAAE gairių 4.1 skirsnį.</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Pateikite išsamų parafiskalinių ir (arba) kitų mokesčių, kurie bus sumažinti, aprašymą (nurodydami, be kita ko, jų paskirtį, kaip jie taikomi mokesčio bazei, jų tarifą ir subjektus, dalyvaujančius nustatant ir peržiūrint tarifą, taip pat renkant mokesčius ir tvarkant jų pajamas).</w:t>
      </w:r>
      <w:r>
        <w:t xml:space="preserve"> </w:t>
      </w:r>
      <w:r>
        <w:t xml:space="preserve">Kad būtų galima patikrinti, ar laikomasi PKAAE gairių 313 punkto, tuo remdamiesi įrodykite, kad siūloma priemonė neapima esmines energijos tiekimo ar susijusių paslaugų teikimo sąnaudas atspindinčių mokesčių ar rinkliavų, kaip antai tinklo mokesčių ar mokesčių, kuriais finansuojami pajėgumų užtikrinimo mechanizmai, sumažinimo.</w:t>
      </w:r>
      <w:r>
        <w:t xml:space="preserve"> </w:t>
      </w:r>
      <w:r>
        <w:t xml:space="preserve">Be to, patvirtinkite, kad priemonė netaikoma elektros energijos suvartojimo mokesčių, kurių lėšomis finansuojamas energetikos politikos tikslas, sumažinimui.</w:t>
      </w:r>
      <w:r>
        <w:t xml:space="preserve">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 xml:space="preserve">Apibūdinkite pagalbos gavėjui (-ams) taikomus tinkamumo finansuoti reikalavimus (pvz., nurodykite, kokių techninių, aplinkos apsaugos (t. y. susijusių su leidimais), finansinių (t. y. užstato) ar kitų reikalavimų turi laikytis pagalbos gavėjas (-ai).</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 xml:space="preserve">Skatinamasis poveikis</w:t>
            </w:r>
          </w:p>
        </w:tc>
      </w:tr>
    </w:tbl>
    <w:p w14:paraId="20915284" w14:textId="1074403D" w:rsidR="00015E2B" w:rsidRPr="00B429BF" w:rsidRDefault="00B15313" w:rsidP="00015E2B">
      <w:pPr>
        <w:spacing w:before="360" w:after="120"/>
        <w:jc w:val="both"/>
        <w:rPr>
          <w:i/>
        </w:rPr>
      </w:pPr>
      <w:r>
        <w:rPr>
          <w:i/>
        </w:rPr>
        <w:t xml:space="preserve">Kad pateiktumėte šiame skirsnyje prašomą informaciją, žr. PKAAE gairių 3.1.2 skirsnį (26–32 punktus) ir 4.7.2,3 skirsnį (315–316 punktus).</w:t>
      </w:r>
      <w:r>
        <w:rPr>
          <w:i/>
        </w:rPr>
        <w:t xml:space="preserve">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 xml:space="preserve">Pagalba gali būti laikoma skatinančia ekonominę veiklą tik tuo atveju, jei ji turi skatinamąjį poveikį.</w:t>
      </w:r>
      <w:r>
        <w:t xml:space="preserve"> </w:t>
      </w:r>
      <w:r>
        <w:t xml:space="preserve">Kad būtų galima įvertinti, ar laikomasi PKAAE gairių 26 punkto, paaiškinkite, kaip priemonė (-ės) „</w:t>
      </w:r>
      <w:r>
        <w:rPr>
          <w:i/>
        </w:rPr>
        <w:t xml:space="preserve">paskatina pagalbos gavėją keisti elgesį, imtis papildomos ekonominės veiklos arba aplinkai palankesnės ekonominės veiklos, kurios jis be pagalbos nevykdytų arba vykdytų ribotai ar kitaip</w:t>
      </w:r>
      <w:r>
        <w:t xml:space="preserve">“.</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 xml:space="preserve">Vadovaudamiesi PKAAE gairių 28 ir 315 punktais pateikite toliau nurodytą informaciją.</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Išsamiai aprašykite numatomą pasiekti faktinį scenarijų, jei pagalbos priemonė būtų įgyvendinta, ir tikėtiną priešingos padėties scenarijų (-us), jei pagalbos priemonė nebūtų įgyvendinta</w:t>
      </w:r>
      <w:r>
        <w:rPr>
          <w:vertAlign w:val="superscript"/>
        </w:rPr>
        <w:footnoteReference w:id="5"/>
      </w:r>
      <w:r>
        <w:t xml:space="preserve">.</w:t>
      </w:r>
      <w:r>
        <w:t xml:space="preserve"> </w:t>
      </w:r>
      <w:r>
        <w:t xml:space="preserve">Jei numatote, kad parama gali būti teikiama skirtingų kategorijų pagalbos gavėjams, užtikrinkite, kad priešingos padėties scenarijuje būtų patikimai atspindėta kiekviena iš šių kategorijų.</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 xml:space="preserve">Atkreipkite dėmesį į reikalavimus dėl priešingos padėties scenarijaus, įtrauktus į PKAAE gairių 165–169 punktus (jei projektai ir veikla patenka į PKAAE gairių 4.3.1 skirsnio taikymo sritį,) ir 226–230 punktus (jei projektai ir veikla patenka į PKAAE gairių 4.4 ir 4.5 skirsnių taikymo sritį), ir užpildykite atitinkamos 4.3.1, 4.4 arba 4.5 skirsnių papildomos informacijos pateikimo formos punktus.</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 xml:space="preserve">Atsižvelgdami į siūlomas skirtingas pagalbos gavėjų kategorijas, jei taikytina, trumpai pagrįskite, kodėl pasirinkote šį tikėtiną priešingos padėties scenarijų (-us).</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 xml:space="preserve">Kiekybiškai įvertinkite faktinio ir priešingos padėties scenarijų išlaidas ir pajamas ir pagrįskite kiekvienos kategorijos pagalbos gavėjų, jei aktualu, elgesio pokyčius, palygindami etaloninio projekto</w:t>
      </w:r>
      <w:r>
        <w:rPr>
          <w:iCs/>
          <w:vertAlign w:val="superscript"/>
        </w:rPr>
        <w:footnoteReference w:id="6"/>
      </w:r>
      <w:r>
        <w:t xml:space="preserve"> arba veiklos pelningumą sumažinus parafiskalinį ar kitą mokestį ir jo (jų) nesumažinus</w:t>
      </w:r>
      <w:r>
        <w:rPr>
          <w:iCs/>
          <w:vertAlign w:val="superscript"/>
        </w:rPr>
        <w:footnoteReference w:id="7"/>
      </w:r>
      <w:r>
        <w:t xml:space="preserve">, remdamiesi:</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 xml:space="preserve">atitinkamu etaloniniu projektu, atitinkamais priešingos padėties scenarijais ir dėl jų atsiradusiu trūkstamu finansavimu</w:t>
      </w:r>
      <w:r>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 xml:space="preserve">ARBA</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 xml:space="preserve">lygiaverčiais duomenimis</w:t>
      </w:r>
      <w:bookmarkEnd w:id="13"/>
      <w:r>
        <w:t xml:space="preserve">.</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 xml:space="preserve">Kad būtų galima įvertinti, ar laikomasi PKAAE gairių 27 punkto, pateikite informaciją ir patvirtinkite, kad pagalba neremiamos veiklos, kurią pagalbos gavėjas ir taip būtų vykdęs, išlaidos ir nekompensuojama įprasta ekonominės veiklos verslo rizika.</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Kad įrodytumėte, kad laikotės PKAAE gairių 29, 31 ir 316 punktų, nurodykite, ar projektas arba veikla jau pradėti prieš pagalbos gavėjui nacionalinėms valdžios institucijoms pateikiant rašytinę paraišką gauti pagalbą.</w:t>
      </w:r>
      <w:r>
        <w:t xml:space="preserve">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 xml:space="preserve">Jei projektai arba veikla pradėti prieš pateikiant paraišką gauti pagalbą:</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 xml:space="preserve">patvirtinkite, kad priemone suteikiama teisė į pagalbą pagal objektyvius ir nediskriminacinius kriterijus toliau nepaliekant valstybei narei teisės spręsti savo nuožiūra ir kad priemonė yra priimta ir įsigaliojusi dar prieš pradedant su tos pagalbos lėšomis remiamu projektu ar veikla susijusius darbus,</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 xml:space="preserve">ARBA</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 xml:space="preserve">jei projektas arba veikla jau buvo pradėti prieš pateikiant rašytinę paraišką gauti pagalbą ir prieš patvirtinant ir (arba) įsigaliojant priemonei, patvirtinkite, kad projektui arba veiklai jau buvo taikoma ankstesnė panaši schema parafiskalinių ar kitų mokesčių lengvatų forma,</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 xml:space="preserve">ARBA</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įrodykite, kad projektui arba veiklai taikoma viena iš PKAAE gairių 31 punkto b ar c papunkčiuose nurodytų išimčių.</w:t>
      </w:r>
      <w:r>
        <w:t xml:space="preserve">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 xml:space="preserve">Kad įrodytumėte, kad laikotės PKAAE gairių 30 punkto, patvirtinkite, kad paraiškoje gauti pagalbą yra nurodytas bent jau pareiškėjo pavadinimas, projekto ar veiklos aprašymas, įskaitant jų vietą, ir pagalbos suma, reikalinga jiems įgyvendinti.</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 xml:space="preserve">Kad įrodytumėte, kad laikotės PKAAE gairių 32 punkto:</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r>
      <w:r>
        <w:t xml:space="preserve">nurodykite, ar priemonei (-ėms), apie kurią (-ias) pranešama, taikomi Sąjungos standartai</w:t>
      </w:r>
      <w:r>
        <w:rPr>
          <w:rStyle w:val="FootnoteReference"/>
          <w:lang w:val="en-IE" w:eastAsia="en-GB"/>
        </w:rPr>
        <w:footnoteReference w:id="9"/>
      </w:r>
      <w:r>
        <w:t xml:space="preserve">, privalomi nacionaliniai standartai, kurie yra griežtesni ar platesnio užmojo nei atitinkami Sąjungos standartai, arba, jei Sąjungos standartų nėra, ar priimti privalomi nacionaliniai standartai.</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Atsižvelgdami į tai, pateikite skatinamąjį poveikį įrodančią informaciją.</w:t>
      </w:r>
      <w:r>
        <w:t xml:space="preserve">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Tais atvejais, kai atitinkamas Sąjungos standartas jau priimtas, bet dar neįsigaliojo, įrodykite, kad pagalba turi skatinamąjį poveikį, nes ja skatinama investicijas iki galo įgyvendinti likus ne mažiau kaip 18 mėnesių iki standarto įsigaliojimo.</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 xml:space="preserve">Jei projektai ir veikla patenka į 4.2 skirsnio taikymo sritį, paaiškinkite, ar projektai, kurių grąžos laikotarpis</w:t>
      </w:r>
      <w:r>
        <w:rPr>
          <w:iCs/>
          <w:vertAlign w:val="superscript"/>
          <w:lang w:eastAsia="en-GB"/>
        </w:rPr>
        <w:footnoteReference w:id="10"/>
      </w:r>
      <w:r>
        <w:t xml:space="preserve"> yra trumpesnis nei penkeri metai, atitinka pagalbos skyrimo pagal priemonę (-es) reikalavimus.</w:t>
      </w:r>
      <w:r>
        <w:t xml:space="preserve"> </w:t>
      </w:r>
      <w:r>
        <w:t xml:space="preserve">Jei taip, pateikite įrodymų, kad pagalba yra būtina siekiant paskatinti elgsenos pokytį, kaip reikalaujama PKAAE gairių 142 punkte.</w:t>
      </w:r>
      <w:r>
        <w:t xml:space="preserve">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 xml:space="preserve">Nepažeidžiama jokia atitinkama Sąjungos teisės nuostata</w:t>
            </w:r>
          </w:p>
        </w:tc>
      </w:tr>
    </w:tbl>
    <w:p w14:paraId="665FE026" w14:textId="3B202F2B" w:rsidR="00DE1D68" w:rsidRPr="00B429BF" w:rsidRDefault="00DE1D68" w:rsidP="00DE1D68">
      <w:pPr>
        <w:spacing w:before="360" w:after="120"/>
        <w:jc w:val="both"/>
        <w:rPr>
          <w:i/>
        </w:rPr>
      </w:pPr>
      <w:r>
        <w:rPr>
          <w:i/>
        </w:rPr>
        <w:t xml:space="preserve">Kad pateiktumėte šiame skirsnyje prašomą informaciją, žr. PKAAE gairių 3.1.3 skirsnį (33 punktą).</w:t>
      </w:r>
      <w:r>
        <w:rPr>
          <w:i/>
        </w:rPr>
        <w:t xml:space="preserve">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 xml:space="preserve">Pateikite informaciją ir patvirtinkite, kad laikomasi atitinkamų ES teisės nuostatų, kaip nurodyta PKAAE gairių 33 punkte.</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Jei priemonei (-ėms) </w:t>
      </w:r>
      <w:r>
        <w:rPr>
          <w:u w:val="single"/>
        </w:rPr>
        <w:t xml:space="preserve">finansuoti</w:t>
      </w:r>
      <w:r>
        <w:t xml:space="preserve"> naudojamas mokestis, paaiškinkite, ar reikia atlikti atitikties SESV 30 ir 110 straipsniams vertinimą.</w:t>
      </w:r>
      <w:r>
        <w:t xml:space="preserve"> </w:t>
      </w:r>
      <w:r>
        <w:t xml:space="preserve">Jei taip, įrodykite, kaip priemonė atitinka SESV 30 ir 110 straipsnių nuostatas.</w:t>
      </w:r>
      <w:r>
        <w:rPr>
          <w:i/>
        </w:rPr>
        <w:t xml:space="preserve"> </w:t>
      </w:r>
      <w:r>
        <w:t xml:space="preserve">Jei priemonė (-ės), apie kurią (-ias) pranešama, yra finansuojama (-os) iš mokesčio, pateikdami įrodymus galite remtis </w:t>
      </w:r>
      <w:r>
        <w:fldChar w:fldCharType="begin" w:dirty="true"/>
      </w:r>
      <w:r>
        <w:instrText xml:space="preserve"> REF _Ref126829229 \w \h </w:instrText>
      </w:r>
      <w:r>
        <w:instrText xml:space="preserve"> \* MERGEFORMAT </w:instrText>
      </w:r>
      <w:r/>
      <w:r>
        <w:fldChar w:fldCharType="separate"/>
      </w:r>
      <w:r>
        <w:t xml:space="preserve">5</w:t>
      </w:r>
      <w:r>
        <w:fldChar w:fldCharType="end"/>
      </w:r>
      <w:r>
        <w:t xml:space="preserve"> punkto </w:t>
      </w:r>
      <w:r>
        <w:fldChar w:fldCharType="begin" w:dirty="true"/>
      </w:r>
      <w:r>
        <w:instrText xml:space="preserve"> REF _Ref126829235 \w \h </w:instrText>
      </w:r>
      <w:r>
        <w:instrText xml:space="preserve"> \* MERGEFORMAT </w:instrText>
      </w:r>
      <w:r/>
      <w:r>
        <w:fldChar w:fldCharType="separate"/>
      </w:r>
      <w:r>
        <w:t xml:space="preserve">ii</w:t>
      </w:r>
      <w:r>
        <w:fldChar w:fldCharType="end"/>
      </w:r>
      <w:r>
        <w:t xml:space="preserve"> papunktyje pateikta informacija.</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 xml:space="preserve">Konkurencijos ir prekybos iškraipymo mažinimas</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 xml:space="preserve">Pagalbos būtinumas</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color w:val="000000"/>
        </w:rPr>
        <w:t xml:space="preserve">Kad</w:t>
      </w:r>
      <w:r>
        <w:rPr>
          <w:i/>
          <w:color w:val="000000"/>
        </w:rPr>
        <w:t xml:space="preserve"> pateiktumėte šiame skirsnyje prašomą informaciją, žr. PKAAE gairių 3.2.1.1 skirsnį (34–38 punktus).</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 xml:space="preserve">Paaiškinkite, kokį rinkos nepakankamumą, trukdantį užtikrinti pakankamą aplinkos apsaugos lygį, nustatė jūsų valdžios institucijos.</w:t>
      </w:r>
      <w:r>
        <w:t xml:space="preserve"> </w:t>
      </w:r>
      <w:r>
        <w:t xml:space="preserve">Nurodykite nustatytų rinkos nepakankamumo kategoriją pagal PKAAE gairių 34 punkto a, b, c ar d papunkčius.</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Vadovaudamiesi PKAAE gairių 35 punktu pateikite informaciją</w:t>
      </w:r>
      <w:r>
        <w:t xml:space="preserve">, ar jūsų valdžios institucijos nustatė, kad jau yra taikoma </w:t>
      </w:r>
      <w:r>
        <w:rPr>
          <w:shd w:val="clear" w:color="auto" w:fill="FFFFFF"/>
        </w:rPr>
        <w:t xml:space="preserve">politika ir priemonės, kuriomis siekiama pašalinti nustatytą reguliavimo ar rinkos nepakankamumą.</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w:t>
      </w:r>
      <w:r>
        <w:t xml:space="preserve">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rPr>
          <w:color w:val="000000"/>
          <w:shd w:val="clear" w:color="auto" w:fill="FFFFFF"/>
        </w:rPr>
        <w:t xml:space="preserve">Kad įrodytumėte</w:t>
      </w:r>
      <w:r>
        <w:rPr>
          <w:color w:val="000000"/>
          <w:shd w:val="clear" w:color="auto" w:fill="FFFFFF"/>
        </w:rPr>
        <w:t xml:space="preserve">, kad laikotės PKAAE gairių 37 punkto, paaiškinkite ar, jūsų valdžios</w:t>
      </w:r>
      <w:r>
        <w:rPr>
          <w:color w:val="000000"/>
          <w:shd w:val="clear" w:color="auto" w:fill="FFFFFF"/>
        </w:rPr>
        <w:t xml:space="preserve"> institucijų žiniomis, Sąjungoje rinkos sąlygomis jau įgyvendinami</w:t>
      </w:r>
      <w:r>
        <w:rPr>
          <w:color w:val="000000"/>
          <w:shd w:val="clear" w:color="auto" w:fill="FFFFFF"/>
        </w:rPr>
        <w:t xml:space="preserve"> projektai arba vykdoma veikla, kurie pagal savo technologinį turinį, rizikos lygį ir mastą yra panašūs į tuos, kuriems taikoma priemonė (-ės), apie kurią (-ias) pranešama.</w:t>
      </w:r>
      <w:r>
        <w:t xml:space="preserve"> </w:t>
      </w:r>
      <w:r>
        <w:t xml:space="preserve">Jei taip, pateikite papildomų įrodymų, kad valstybės pagalba yra būtina.</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Kad įrodytumėte, kad laikotės PKAAE gairių 38 punkto, remkitės kiekybiniais įrodymais, kuriuos jau pateikėte </w:t>
      </w:r>
      <w:r>
        <w:fldChar w:fldCharType="begin" w:dirty="true"/>
      </w:r>
      <w:r>
        <w:instrText xml:space="preserve"> REF _Ref164673942 \r \h  \* MERGEFORMAT </w:instrText>
      </w:r>
      <w:r>
        <w:fldChar w:fldCharType="separate"/>
      </w:r>
      <w:r>
        <w:t xml:space="preserve">14</w:t>
      </w:r>
      <w:r>
        <w:fldChar w:fldCharType="end"/>
      </w:r>
      <w:r>
        <w:t xml:space="preserve"> punkto </w:t>
      </w:r>
      <w:r>
        <w:fldChar w:fldCharType="begin" w:dirty="true"/>
      </w:r>
      <w:r>
        <w:instrText xml:space="preserve"> REF _Ref172646432 \r \h  \* MERGEFORMAT </w:instrText>
      </w:r>
      <w:r>
        <w:fldChar w:fldCharType="separate"/>
      </w:r>
      <w:r>
        <w:t xml:space="preserve">C</w:t>
      </w:r>
      <w:r>
        <w:fldChar w:fldCharType="end"/>
      </w:r>
      <w:r>
        <w:t xml:space="preserve"> papunktyje.</w:t>
      </w:r>
      <w:r>
        <w:t xml:space="preserve">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Tinkamumas</w:t>
            </w:r>
            <w:r>
              <w:rPr>
                <w:color w:val="000000"/>
              </w:rPr>
              <w:t xml:space="preserve"> </w:t>
            </w:r>
          </w:p>
        </w:tc>
      </w:tr>
    </w:tbl>
    <w:p w14:paraId="4C2D927B" w14:textId="7D36EFC6" w:rsidR="00EA354A" w:rsidRPr="00B429BF" w:rsidRDefault="00EA354A" w:rsidP="00EA354A">
      <w:pPr>
        <w:spacing w:before="360" w:after="120"/>
        <w:jc w:val="both"/>
        <w:rPr>
          <w:i/>
          <w:color w:val="000000"/>
        </w:rPr>
      </w:pPr>
      <w:r>
        <w:rPr>
          <w:i/>
          <w:color w:val="000000"/>
        </w:rPr>
        <w:t xml:space="preserve">Kad</w:t>
      </w:r>
      <w:r>
        <w:rPr>
          <w:i/>
          <w:color w:val="000000"/>
        </w:rPr>
        <w:t xml:space="preserve"> pateiktumėte šiame skirsnyje prašomą informaciją, žr. PKAAE gairių 3.2.1.2 skirsnį (39–46 punktus).</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Kad būtų galima patikrinti, ar laikomasi PKAAE gairių 40 punkto, įrodykite, kad nėra mažesnio iškreipiamojo poveikio priemonių, kurios būtų tinkamesnės.</w:t>
      </w:r>
      <w:r>
        <w:t xml:space="preserve">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 xml:space="preserve">Kad būtų galima patikrinti, ar laikomasi PKAAE gairių 41 punkto, įrodykite, kad pagalbos priemonė parengta taip, kad nesumažintų kitų tam pačiam rinkos nepakankamumui pašalinti skirtų priemonių (pvz., tokių rinka grindžiamų mechanizmų kaip ES ATLPS) efektyvumo.</w:t>
      </w:r>
      <w:r>
        <w:rPr>
          <w:rStyle w:val="normaltextrun"/>
          <w:color w:val="000000"/>
          <w:shd w:val="clear" w:color="auto" w:fill="FFFFFF"/>
        </w:rPr>
        <w:t xml:space="preserve">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rPr>
          <w:shd w:val="clear" w:color="auto" w:fill="FFFFFF"/>
          <w:color w:val="000000"/>
        </w:rPr>
        <w:t xml:space="preserve">Kad būtų galima patikrinti, ar laikomasi PKAAE gairių 42 punkto, patvirtinkite, kad nė vienas pagal priemonę (-es) teikiamos pagalbos gavėjas negali būti laikomas atsakingu už taršą pagal galiojančius Sąjungos ar nacionalinės teisės aktus (</w:t>
      </w:r>
      <w:r>
        <w:rPr>
          <w:shd w:val="clear" w:color="auto" w:fill="FFFFFF"/>
          <w:color w:val="000000"/>
          <w:i/>
        </w:rPr>
        <w:t xml:space="preserve">principas „teršėjas moka“</w:t>
      </w:r>
      <w:r>
        <w:rPr>
          <w:shd w:val="clear" w:color="auto" w:fill="FFFFFF"/>
          <w:color w:val="000000"/>
        </w:rPr>
        <w:t xml:space="preserve">).</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Kad būtų galima patikrinti, ar laikomasi PKAAE gairių 43–46 punktų, ir siekdami įrodyti pagal įvairias pagalbos priemones teikiamos pagalbos tinkamumą, pateikite šią informaciją:</w:t>
      </w:r>
      <w:r>
        <w:t xml:space="preserve">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paaiškinkite, kodėl kitų formų potencialiai mažesnį iškraipomąjį poveikį turinti pagalba yra mažiau tinkama, </w:t>
      </w:r>
      <w:r>
        <w:rPr>
          <w:rStyle w:val="normaltextrun"/>
        </w:rPr>
        <w:t xml:space="preserve">kaip reikalaujama PKAAE gairių 44 punkte</w:t>
      </w:r>
      <w:r>
        <w:t xml:space="preserve">.</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 xml:space="preserve">įrodykite, kad pagalbos priemonės pasirinkimas atitinka rinkos nepakankamumą, kurį ta pagalbos priemone (-ėmis) siekiama pašalinti, kaip reikalaujama PKAAE gairių 45 punkte;</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 xml:space="preserve">paaiškinkite, kaip pagalbos priemonė ir jos struktūra yra tinkamos siekti to priemonės tikslo </w:t>
      </w:r>
      <w:r>
        <w:rPr>
          <w:rStyle w:val="normaltextrun"/>
        </w:rPr>
        <w:t xml:space="preserve">(PKAAE gairių 46 punktas)</w:t>
      </w:r>
      <w:r>
        <w:t xml:space="preserve">.</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Proporcingumas</w:t>
            </w:r>
            <w:r>
              <w:t xml:space="preserve"> </w:t>
            </w:r>
          </w:p>
        </w:tc>
      </w:tr>
    </w:tbl>
    <w:p w14:paraId="5A2A77DE" w14:textId="20FE0FA7" w:rsidR="00451471" w:rsidRPr="00B429BF" w:rsidRDefault="00863406" w:rsidP="00864350">
      <w:pPr>
        <w:spacing w:before="360" w:after="120"/>
        <w:jc w:val="both"/>
        <w:rPr>
          <w:i/>
        </w:rPr>
      </w:pPr>
      <w:r>
        <w:rPr>
          <w:i/>
        </w:rPr>
        <w:t xml:space="preserve">Kad pateiktumėte šiame skirsnyje prašomą informaciją, žr. PKAAE gairių 4.7.2,4 skirsnį (318–320 punktus).</w:t>
      </w:r>
      <w:r>
        <w:rPr>
          <w:i/>
        </w:rPr>
        <w:t xml:space="preserve"> </w:t>
      </w:r>
    </w:p>
    <w:p w14:paraId="1D6DB95B" w14:textId="15CA435A" w:rsidR="00F60556" w:rsidRPr="00B429BF" w:rsidRDefault="00F60556" w:rsidP="4B2A093F">
      <w:pPr>
        <w:pStyle w:val="ListParagraph"/>
        <w:numPr>
          <w:ilvl w:val="0"/>
          <w:numId w:val="4"/>
        </w:numPr>
        <w:spacing w:before="120" w:after="120"/>
        <w:ind w:left="567" w:hanging="567"/>
      </w:pPr>
      <w:r>
        <w:t xml:space="preserve">Kad būtų galima patikrinti, ar laikomasi PKAAE gairių 318 punkto, pateikite informaciją, įrodančią, kad pagalba neviršija įprastų mokesčių dydžio, kurie būtų taikomi kitu atveju.</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Jei parafiskalinio ar kito mokesčio sumažinimas susijęs su investiciniais kaštais, priklausomai nuo PKAAE gairių skirsnio, kuris taikomas remiamai veiklai, pagal PKAAE gairių 319 punktą aprašykite, kaip bus užtikrinta, kad pagalba neviršys taikomo pagalbos intensyvumo ir didžiausių pagalbos sumų:</w:t>
      </w:r>
    </w:p>
    <w:p w14:paraId="20FA8CFC" w14:textId="1761824E" w:rsidR="007821A1" w:rsidRPr="00B429BF" w:rsidRDefault="007821A1" w:rsidP="00287B08">
      <w:pPr>
        <w:pStyle w:val="ListParagraph"/>
        <w:ind w:left="567"/>
      </w:pPr>
      <w:r>
        <w:rPr>
          <w:rFonts w:ascii="Wingdings" w:hAnsi="Wingdings"/>
        </w:rPr>
        <w:t xml:space="preserve">o</w:t>
      </w:r>
      <w:r>
        <w:t xml:space="preserve"> 4.2 skirsnis (PKAAE gairių 146–151 punktai)</w:t>
      </w:r>
    </w:p>
    <w:p w14:paraId="46FF5EA3" w14:textId="12D0A8FB" w:rsidR="007821A1" w:rsidRPr="00B429BF" w:rsidRDefault="007821A1" w:rsidP="00287B08">
      <w:pPr>
        <w:pStyle w:val="ListParagraph"/>
        <w:ind w:left="567"/>
      </w:pPr>
      <w:r>
        <w:rPr>
          <w:rFonts w:ascii="Wingdings" w:hAnsi="Wingdings"/>
        </w:rPr>
        <w:t xml:space="preserve">o</w:t>
      </w:r>
      <w:r>
        <w:t xml:space="preserve"> 4.3.1 skirsnis (PKAAE gairių 177–180 punktai)</w:t>
      </w:r>
    </w:p>
    <w:p w14:paraId="4DDE6ACE" w14:textId="07725BA8" w:rsidR="007821A1" w:rsidRPr="00B429BF" w:rsidRDefault="007821A1" w:rsidP="00287B08">
      <w:pPr>
        <w:pStyle w:val="ListParagraph"/>
        <w:ind w:left="567"/>
      </w:pPr>
      <w:r>
        <w:rPr>
          <w:rFonts w:ascii="Wingdings" w:hAnsi="Wingdings"/>
        </w:rPr>
        <w:t xml:space="preserve">o</w:t>
      </w:r>
      <w:r>
        <w:t xml:space="preserve"> 4.3.2 skirsnis (PKAAE gairių 200–204 punktai)</w:t>
      </w:r>
      <w:r>
        <w:t xml:space="preserve"> </w:t>
      </w:r>
    </w:p>
    <w:p w14:paraId="68B447A3" w14:textId="4932DFC6" w:rsidR="007821A1" w:rsidRPr="00B429BF" w:rsidRDefault="007821A1" w:rsidP="00287B08">
      <w:pPr>
        <w:pStyle w:val="ListParagraph"/>
        <w:ind w:left="567"/>
      </w:pPr>
      <w:r>
        <w:rPr>
          <w:rFonts w:ascii="Wingdings" w:hAnsi="Wingdings"/>
        </w:rPr>
        <w:t xml:space="preserve">o</w:t>
      </w:r>
      <w:r>
        <w:t xml:space="preserve"> 4.4 skirsnis (PKAAE gairių 239–245 punktai)</w:t>
      </w:r>
    </w:p>
    <w:p w14:paraId="672D1A25" w14:textId="77777777" w:rsidR="007821A1" w:rsidRPr="00B429BF" w:rsidRDefault="007821A1" w:rsidP="00287B08">
      <w:pPr>
        <w:pStyle w:val="ListParagraph"/>
        <w:ind w:left="567"/>
      </w:pPr>
      <w:r>
        <w:rPr>
          <w:rFonts w:ascii="Wingdings" w:hAnsi="Wingdings"/>
        </w:rPr>
        <w:t xml:space="preserve">o</w:t>
      </w:r>
      <w:r>
        <w:t xml:space="preserve"> 4.5 skirsnis (PKAAE gairių 265–271 punktai)</w:t>
      </w:r>
    </w:p>
    <w:p w14:paraId="4850E6CA" w14:textId="77777777" w:rsidR="007821A1" w:rsidRPr="00B429BF" w:rsidRDefault="007821A1" w:rsidP="00287B08">
      <w:pPr>
        <w:pStyle w:val="ListParagraph"/>
        <w:ind w:left="567"/>
      </w:pPr>
      <w:r>
        <w:rPr>
          <w:rFonts w:ascii="Wingdings" w:hAnsi="Wingdings"/>
        </w:rPr>
        <w:t xml:space="preserve">o</w:t>
      </w:r>
      <w:r>
        <w:t xml:space="preserve"> 4.6 skirsnis (PKAAE gairių 288–291 punktai)</w:t>
      </w:r>
    </w:p>
    <w:p w14:paraId="5F482D19" w14:textId="046B4DE9" w:rsidR="008E0F56" w:rsidRPr="00B429BF" w:rsidRDefault="004E74BB" w:rsidP="008E0F56">
      <w:pPr>
        <w:tabs>
          <w:tab w:val="left" w:leader="dot" w:pos="9072"/>
        </w:tabs>
        <w:spacing w:before="120" w:after="120"/>
        <w:ind w:left="567"/>
        <w:jc w:val="both"/>
      </w:pPr>
      <w:r>
        <w:t xml:space="preserve">Didžiausio pagalbos intensyvumo ir didžiausių pagalbos sumų atveju užpildykite atitinkamo skirsnio atitinkamos papildomos informacijos pateikimo formos punktus.</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Jeigu dėl parafiskalinių ar kitų mokesčių sumažinimo sumažėja einamosios veiklos išlaidos, kad būtų galima patikrinti, ar laikomasi PKAAE gairių 320 punkto, apibūdinkite, kaip bus užtikrinta, kad pagalbos suma neviršys aplinką tausojančio projekto ar veiklos ir mažiau aplinkai palankaus priešingos padėties scenarijaus einamųjų išlaidų skirtumo.</w:t>
      </w:r>
      <w:r>
        <w:t xml:space="preserve"> </w:t>
      </w:r>
      <w:r>
        <w:t xml:space="preserve">Taip pat išsamiai nurodykite, kaip bus atsižvelgta į labiau aplinką tausojančio projekto potencialą sutaupyti lėšų ir (arba) gauti papildomų pajamų.</w:t>
      </w:r>
      <w:r>
        <w:t xml:space="preserve">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 xml:space="preserve">Skaidrumas</w:t>
            </w:r>
          </w:p>
        </w:tc>
      </w:tr>
    </w:tbl>
    <w:p w14:paraId="07229A8F" w14:textId="4DAB462B" w:rsidR="006773CE" w:rsidRPr="00B429BF" w:rsidRDefault="006773CE" w:rsidP="006773CE">
      <w:pPr>
        <w:spacing w:before="360" w:after="120"/>
        <w:jc w:val="both"/>
        <w:rPr>
          <w:i/>
        </w:rPr>
      </w:pPr>
      <w:r>
        <w:rPr>
          <w:i/>
          <w:color w:val="000000"/>
        </w:rPr>
        <w:t xml:space="preserve">Kad</w:t>
      </w:r>
      <w:r>
        <w:rPr>
          <w:i/>
          <w:color w:val="000000"/>
        </w:rPr>
        <w:t xml:space="preserve"> pateiktumėte šiame skirsnyje prašomą informaciją, žr. PKAAE gairių 3.2.1.4 skirsnį (58–62 punktus).</w:t>
      </w:r>
      <w:r>
        <w:rPr>
          <w:i/>
        </w:rPr>
        <w:t xml:space="preserv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szCs w:val="24"/>
          <w:rFonts w:eastAsia="Times New Roman"/>
        </w:rPr>
      </w:pPr>
      <w:r>
        <w:t xml:space="preserve">Patvirtinkite, kad valstybė narė laikysis PKAAE gairių 58–61 punktuose </w:t>
      </w:r>
      <w:r>
        <w:t xml:space="preserve">nustatytų</w:t>
      </w:r>
      <w:r>
        <w:t xml:space="preserve"> skaidrumo reikalavimų.</w:t>
      </w:r>
      <w:r>
        <w:t xml:space="preserve">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Pateikite interneto nuorodą į puslapį, kuriame bus paskelbtas visas patvirtintos pagalbos schemos arba sprendimo dėl individualios pagalbos skyrimo ir jos įgyvendinimo nuostatų tekstas ir informacija apie kiekvieną individualią pagalbą, suteiktą </w:t>
      </w:r>
      <w:r>
        <w:rPr>
          <w:i/>
        </w:rPr>
        <w:t xml:space="preserve">ad hoc</w:t>
      </w:r>
      <w:r>
        <w:t xml:space="preserve"> arba pagal pagalbos schemą, patvirtintą remiantis PKAAE gairėmis ir viršijančią 100 000 EUR, tuo atveju, kai individualios pagalbos sumos gali būti skelbiamos PKAAE gairių 60 punkte nustatytais intervalais.</w:t>
      </w:r>
      <w:r>
        <w:t xml:space="preserve">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 xml:space="preserve">Nederamo neigiamo pagalbos poveikio konkurencijai ir prekybai vengimas ir pusiausvyros užtikrinimas</w:t>
            </w:r>
          </w:p>
        </w:tc>
      </w:tr>
    </w:tbl>
    <w:p w14:paraId="6CD3884F" w14:textId="2069A458" w:rsidR="00F83660" w:rsidRPr="00B429BF" w:rsidRDefault="00F83660" w:rsidP="00F83660">
      <w:pPr>
        <w:spacing w:before="360" w:after="120"/>
        <w:jc w:val="both"/>
        <w:rPr>
          <w:i/>
        </w:rPr>
      </w:pPr>
      <w:r>
        <w:rPr>
          <w:i/>
        </w:rPr>
        <w:t xml:space="preserve">Kad pateiktumėte šiame skirsnyje prašomą informaciją, žr. PKAAE gairių 3.2.2 skirsnį (63–70 punktus) ir 4.7.2.5 skirsnį (322–324 punktus).</w:t>
      </w:r>
      <w:r>
        <w:rPr>
          <w:i/>
        </w:rPr>
        <w:t xml:space="preserve">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Kad būtų galima patikrinti, ar laikomasi PKAAE gairių 67 punkto, pateikite informaciją apie galimą trumpalaikį ir ilgalaikį neigiamą priemonės (-ių), apie kurią (-ias) pranešama, poveikį konkurencijai ir prekybai.</w:t>
      </w:r>
      <w:r>
        <w:t xml:space="preserve">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Paaiškinkite, ar priemonė taikoma kuriuo nors iš šių atvejų:</w:t>
      </w:r>
      <w:r>
        <w:t xml:space="preserve"> </w:t>
      </w:r>
    </w:p>
    <w:p w14:paraId="554349FE" w14:textId="018208B6" w:rsidR="00397D3C" w:rsidRPr="00B429BF" w:rsidRDefault="00EC455B" w:rsidP="00B82F95">
      <w:pPr>
        <w:pStyle w:val="ListParagraph"/>
        <w:numPr>
          <w:ilvl w:val="1"/>
          <w:numId w:val="28"/>
        </w:numPr>
        <w:spacing w:before="120" w:after="120"/>
        <w:contextualSpacing w:val="0"/>
        <w:jc w:val="both"/>
      </w:pPr>
      <w:r>
        <w:t xml:space="preserve">ji bus naudinga tik vienam pagalbos gavėjui arba ypač ribotam pagalbos gavėjų skaičiui.</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 xml:space="preserve">ji susijusi su rinka (arba rinkomis), kurioje (-iose) įsitvirtinusios įmonės įgijo įtaką prieš liberalizuojant rinką.</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Jei pagalbos priemonė orientuota į konkretų technologinį pasirinkimą ir (arba) kelią, pagrįskite priežastį, kodėl pasirinktos šios technologijos, ir tai, kad šis pasirinkimas netrukdys diegti švaresnių technologijų.</w:t>
      </w:r>
      <w:r>
        <w:t xml:space="preserve">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 xml:space="preserve">Jei priemonė (-ės), apie kurią (-ias) pranešama, bus naudinga (-os) tik vienam pagalbos gavėjui arba ypač ribotam pagalbos gavėjų skaičiui, kad būtų galima patikrinti, ar laikomasi PKAAE gairių 68 punkto:</w:t>
      </w:r>
    </w:p>
    <w:p w14:paraId="05892635" w14:textId="438AD58D" w:rsidR="00F83660" w:rsidRPr="00B429BF" w:rsidRDefault="00D4206D" w:rsidP="00B82F95">
      <w:pPr>
        <w:pStyle w:val="ListParagraph"/>
        <w:numPr>
          <w:ilvl w:val="1"/>
          <w:numId w:val="28"/>
        </w:numPr>
        <w:spacing w:before="120" w:after="120"/>
        <w:contextualSpacing w:val="0"/>
        <w:jc w:val="both"/>
      </w:pPr>
      <w:r>
        <w:t xml:space="preserve">paaiškinkite, ar priemonė (-ės), apie kurią (-ias) pranešama, sustiprina pagalbos gavėjo (-ų) įtaką rinkoje arba padeda ją išlaikyti, skatina esamus konkurentus atsisakyti plėtros ar pasitraukti iš rinkos arba atgraso naujus konkurentus nuo žengimo į rinką.</w:t>
      </w:r>
      <w:r>
        <w:t xml:space="preserve"> </w:t>
      </w:r>
      <w:r>
        <w:t xml:space="preserve">Taip pat paaiškinkite, ar taikant pagalbos priemonę padidės pagalbos gavėjo gamybos pajėgumai;</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apibūdinkite taikomą (-as) priemonę (-es), kuria (-iomis) siekiama apriboti pagalbos suteikimo pagalbos gavėjui (-ams) sukeltą galimą konkurencijos iškraipymą.</w:t>
      </w:r>
      <w:r>
        <w:t xml:space="preserve">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 xml:space="preserve">Kad būtų galima patikrinti, ar laikomasi PKAAE gairių 69 punkto, pateikite šią informaciją:</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ar pagal priemonę (-es), apie kurią (-ias) pranešama, teikiamos pagalbos tikslas yra išlaikyti ekonominę veiklą viename regione arba ją pritraukti iš kitų vidaus rinkos regionų;</w:t>
      </w:r>
      <w:r>
        <w:t xml:space="preserve">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 xml:space="preserve">jei taip, nurodykite, koks yra priemonės (-ių), apie kurią (-ias) pranešama, grynasis poveikis aplinkai ir kaip šia priemone (-ėmis) gerinamas esamas aplinkos apsaugos lygis valstybėse narėse;</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paaiškinkite, kodėl pagal priemonę (-es), apie kurią (-ias) pranešama, teikiama pagalba nedaro akivaizdaus neigiamo poveikio konkurencijai ir prekybai.</w:t>
      </w:r>
      <w:r>
        <w:t xml:space="preserve">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 xml:space="preserve">Kad būtų galima patikrinti, ar laikomasi PKAAE gairių 70 punkto:</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patvirtinkite, kad pagalba pagal schemą, apie kurią pranešama, gali būti suteikta ne ilgiau kaip dešimčiai metų </w:t>
      </w:r>
      <w:r>
        <w:rPr>
          <w:color w:val="000000"/>
          <w:shd w:val="clear" w:color="auto" w:fill="FFFFFF"/>
        </w:rPr>
        <w:t xml:space="preserve">nuo pranešimo apie Komisijos sprendimą, kuriuo pagalba pripažįstama suderinama, dienos</w:t>
      </w:r>
      <w:r>
        <w:t xml:space="preserve">;</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patvirtinkite, kad tuo atveju, jei jūsų valdžios institucijos norėtų pratęsti schemos taikymo trukmę ilgesniam laikotarpiui nei tas ilgiausias laikotarpis, jos dar kartą praneš apie priemonę.</w:t>
      </w:r>
      <w:r>
        <w:t xml:space="preserve">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 xml:space="preserve">Aprašykite, kaip užtikrinama, kad pagalba pagal PKAAE gairių 322 punktą būtų teikiama vienodai visoms reikalavimus atitinkančioms įmonėms, veikiančioms tame pačiame ekonominės veiklos sektoriuje ir esančioms tokioje pačioje arba panašioje faktinėje padėtyje pagalbos priemonės tikslų ar uždavinių atžvilgiu.</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 xml:space="preserve">Jei schemos taikomos ilgiau nei trejus metus, pagal PKAAE gairių 323 punktą apibūdinkite stebėseną, kuri bus vykdoma siekiant užtikrinti, kad pagalba išliktų būtina, ir patvirtinkite, kad schema bus tikrinama bent kas trejus metus.</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 xml:space="preserve">Pagal PKAAE gairių 324 punktą ir priklausomai nuo PKAAE gairių skirsnio, kuris taikomas remiamai veiklai, užpildykite toliau pateiktą (-us) atitinkamos papildomos informacijos pateikimo formos punktą (-us).</w:t>
      </w:r>
      <w:r>
        <w:t xml:space="preserve"> </w:t>
      </w:r>
      <w:r>
        <w:t xml:space="preserve">Skirsnyje nurodytų projektų atveju:</w:t>
      </w:r>
    </w:p>
    <w:p w14:paraId="2145D288" w14:textId="60CA7A8D" w:rsidR="00287B08" w:rsidRPr="00B429BF" w:rsidRDefault="00287B08" w:rsidP="00971636">
      <w:pPr>
        <w:pStyle w:val="ListParagraph"/>
        <w:ind w:left="567"/>
      </w:pPr>
      <w:r>
        <w:rPr>
          <w:rFonts w:ascii="Wingdings" w:hAnsi="Wingdings"/>
        </w:rPr>
        <w:t xml:space="preserve">o</w:t>
      </w:r>
      <w:r>
        <w:t xml:space="preserve"> 4.2 (</w:t>
      </w:r>
      <w:r>
        <w:rPr>
          <w:i/>
        </w:rPr>
        <w:t xml:space="preserve">atitinkamos papildomos informacijos pateikimo formos 52 punktas)</w:t>
      </w:r>
    </w:p>
    <w:p w14:paraId="0EAA7C42" w14:textId="52CC5D2C" w:rsidR="00287B08" w:rsidRPr="00B429BF" w:rsidRDefault="00287B08" w:rsidP="00971636">
      <w:pPr>
        <w:pStyle w:val="ListParagraph"/>
        <w:ind w:left="567"/>
      </w:pPr>
      <w:r>
        <w:rPr>
          <w:rFonts w:ascii="Wingdings" w:hAnsi="Wingdings"/>
        </w:rPr>
        <w:t xml:space="preserve">o</w:t>
      </w:r>
      <w:r>
        <w:t xml:space="preserve"> 4.3.1 (</w:t>
      </w:r>
      <w:r>
        <w:rPr>
          <w:i/>
        </w:rPr>
        <w:t xml:space="preserve">atitinkamos papildomos informacijos pateikimo formos 49–52 punktai)</w:t>
      </w:r>
    </w:p>
    <w:p w14:paraId="3D6DA314" w14:textId="051F34AF" w:rsidR="00287B08" w:rsidRPr="00B429BF" w:rsidRDefault="00287B08" w:rsidP="00971636">
      <w:pPr>
        <w:pStyle w:val="ListParagraph"/>
        <w:ind w:left="567"/>
      </w:pPr>
      <w:r>
        <w:rPr>
          <w:rFonts w:ascii="Wingdings" w:hAnsi="Wingdings"/>
        </w:rPr>
        <w:t xml:space="preserve">o</w:t>
      </w:r>
      <w:r>
        <w:t xml:space="preserve"> 4.3.2 (</w:t>
      </w:r>
      <w:r>
        <w:rPr>
          <w:i/>
        </w:rPr>
        <w:t xml:space="preserve">atitinkamos papildomos informacijos pateikimo formos 46–55 punktai)</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 xml:space="preserve">Teigiamo pagalbos poveikio ir neigiamo poveikio konkurencijai ir prekybai pasvėrimas</w:t>
            </w:r>
          </w:p>
        </w:tc>
      </w:tr>
    </w:tbl>
    <w:p w14:paraId="2BA426DC" w14:textId="4CDBD959" w:rsidR="00265702" w:rsidRPr="00B429BF" w:rsidRDefault="00265702" w:rsidP="00265702">
      <w:pPr>
        <w:spacing w:before="360" w:after="120"/>
        <w:jc w:val="both"/>
        <w:rPr>
          <w:i/>
          <w:color w:val="000000"/>
        </w:rPr>
      </w:pPr>
      <w:r>
        <w:rPr>
          <w:i/>
          <w:color w:val="000000"/>
        </w:rPr>
        <w:t xml:space="preserve">Kad</w:t>
      </w:r>
      <w:r>
        <w:rPr>
          <w:i/>
          <w:color w:val="000000"/>
        </w:rPr>
        <w:t xml:space="preserve"> pateiktumėte šiame skirsnyje prašomą informaciją, žr. PKAAE gairių 3.3 skirsnį (71–76 punktus).</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rPr>
          <w:shd w:val="clear" w:color="auto" w:fill="FFFFFF"/>
        </w:rPr>
        <w:t xml:space="preserve">Kad būtų galima patikrinti, ar laikomasi PKAAE gairių 72 punkto, paaiškinkite, ar pagal priemonę, apie kurią pranešama, remiama veikla atitinka Europos Parlamento ir Tarybos reglamento (ES) 2020/852</w:t>
      </w:r>
      <w:r>
        <w:rPr>
          <w:rStyle w:val="FootnoteReference"/>
          <w:lang w:eastAsia="en-GB"/>
        </w:rPr>
        <w:footnoteReference w:id="11"/>
      </w:r>
      <w:r>
        <w:rPr>
          <w:shd w:val="clear" w:color="auto" w:fill="FFFFFF"/>
        </w:rPr>
        <w:t xml:space="preserve"> 3 straipsnyje nustatytus aplinkos atžvilgiu tvarios ekonominės veiklos kriterijus, įskaitant principą „nedaryti reikšmingos žalos“, arba kitas panašias metodikas.</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 xml:space="preserve">C skirsnis.</w:t>
            </w:r>
            <w:r>
              <w:rPr>
                <w:b/>
                <w:sz w:val="32"/>
              </w:rPr>
              <w:t xml:space="preserve"> </w:t>
            </w:r>
            <w:r>
              <w:rPr>
                <w:b/>
                <w:sz w:val="32"/>
              </w:rPr>
              <w:t xml:space="preserve">Vertinimas</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 xml:space="preserve">Kad pateiktumėte šiame skirsnyje prašomą informaciją, žr. PKAAE gairių 5 skyrių (455–463 punktus).</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 xml:space="preserve">Jei priemonė (-ės), apie kurią (-ias) pranešama, viršija PKAAE gairių 456 punkte nustatytas biudžeto ir (arba) išlaidų ribas, paaiškinkite, kodėl, jūsų nuomone, turėtų būti taikoma PKAAE gairių 457 punkte nustatyta išimtis, arba šios papildomos informacijos pateikimo formos priede pateikite, be kita ko, vertinimo plano projektą, apimantį PKAAE gairių 458 punkte nurodytą taikymo sritį</w:t>
      </w:r>
      <w:r>
        <w:rPr>
          <w:rStyle w:val="FootnoteReference"/>
          <w:lang w:eastAsia="en-GB"/>
        </w:rPr>
        <w:footnoteReference w:id="12"/>
      </w:r>
      <w:r>
        <w:t xml:space="preserve">.</w:t>
      </w:r>
    </w:p>
    <w:p w14:paraId="56FD497B" w14:textId="77777777" w:rsidR="00571769" w:rsidRPr="00B429BF" w:rsidRDefault="00571769" w:rsidP="00571769">
      <w:pPr>
        <w:pStyle w:val="ListParagraph"/>
        <w:spacing w:before="120" w:after="120"/>
        <w:ind w:left="0" w:firstLine="567"/>
        <w:contextualSpacing w:val="0"/>
        <w:jc w:val="both"/>
      </w:pPr>
      <w:r>
        <w:t xml:space="preserve">……………………………………………………………………………………………</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 xml:space="preserve">Jei pateikiamas vertinimo plano projektas:</w:t>
      </w:r>
    </w:p>
    <w:p w14:paraId="61554CC9" w14:textId="77777777" w:rsidR="00571769" w:rsidRPr="00B429BF" w:rsidRDefault="00571769" w:rsidP="00B82F95">
      <w:pPr>
        <w:pStyle w:val="ListParagraph"/>
        <w:numPr>
          <w:ilvl w:val="0"/>
          <w:numId w:val="33"/>
        </w:numPr>
        <w:spacing w:before="120" w:after="120"/>
        <w:contextualSpacing w:val="0"/>
        <w:jc w:val="both"/>
      </w:pPr>
      <w:r>
        <w:t xml:space="preserve">pateikite šios pranešimo formos priede pateikto vertinimo plano projekto santrauką;</w:t>
      </w:r>
    </w:p>
    <w:p w14:paraId="206F9456" w14:textId="77777777" w:rsidR="00571769" w:rsidRPr="00B429BF" w:rsidRDefault="00571769" w:rsidP="00571769">
      <w:pPr>
        <w:pStyle w:val="ListParagraph"/>
        <w:spacing w:before="120" w:after="120"/>
        <w:ind w:left="1440"/>
        <w:contextualSpacing w:val="0"/>
        <w:jc w:val="both"/>
      </w:pPr>
      <w:r>
        <w:t xml:space="preserve">………………………………………………………………………………….</w:t>
      </w:r>
    </w:p>
    <w:p w14:paraId="739A6E7F" w14:textId="77777777" w:rsidR="00571769" w:rsidRPr="00B429BF" w:rsidRDefault="00571769" w:rsidP="00B82F95">
      <w:pPr>
        <w:pStyle w:val="ListParagraph"/>
        <w:numPr>
          <w:ilvl w:val="0"/>
          <w:numId w:val="33"/>
        </w:numPr>
        <w:spacing w:before="120" w:after="120"/>
        <w:contextualSpacing w:val="0"/>
        <w:jc w:val="both"/>
      </w:pPr>
      <w:r>
        <w:t xml:space="preserve">patvirtinkite, kad bus laikomasi PKAAE gairių 460 punkto;</w:t>
      </w:r>
    </w:p>
    <w:p w14:paraId="068DF461" w14:textId="77777777" w:rsidR="00571769" w:rsidRPr="00B429BF" w:rsidRDefault="00571769" w:rsidP="00571769">
      <w:pPr>
        <w:pStyle w:val="ListParagraph"/>
        <w:spacing w:before="120" w:after="120"/>
        <w:ind w:left="1440"/>
        <w:contextualSpacing w:val="0"/>
        <w:jc w:val="both"/>
      </w:pPr>
      <w:r>
        <w:t xml:space="preserve">………………………………………………………………………………….</w:t>
      </w: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 xml:space="preserve">pateikite interneto nuorodą į vertinimo planą ir nurodykite, nuo kada jis bus skelbiamas viešai.</w:t>
      </w:r>
    </w:p>
    <w:p w14:paraId="7B713676" w14:textId="77777777" w:rsidR="00571769" w:rsidRPr="00B429BF" w:rsidRDefault="00571769" w:rsidP="00571769">
      <w:pPr>
        <w:pStyle w:val="ListParagraph"/>
        <w:spacing w:before="120" w:after="120"/>
        <w:ind w:left="1440"/>
        <w:contextualSpacing w:val="0"/>
        <w:jc w:val="both"/>
      </w:pPr>
      <w:r>
        <w:t xml:space="preserve">………………………………………………………………………………….</w:t>
      </w: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w:t>
      </w:r>
      <w:r>
        <w:t xml:space="preserve">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kad būtų galima patikrinti, ar laikomasi PKAAE gairių 459 punkto c papunkčio, pateikite įsipareigojimą, kad valstybė narė vertinimo plano projektą pateiks </w:t>
      </w:r>
      <w:r>
        <w:rPr>
          <w:shd w:val="clear" w:color="auto" w:fill="FFFFFF"/>
        </w:rPr>
        <w:t xml:space="preserve">per 30 darbo dienų po 150 mln. EUR viršijančių praėjusių metų išlaidų užregistravimo oficialiojoje apskaitoje</w:t>
      </w:r>
      <w:r>
        <w:t xml:space="preserve">.</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 xml:space="preserve">Kad būtų galima patikrinti, ar laikomasi PKAAE gairių 461 punkto:</w:t>
      </w:r>
    </w:p>
    <w:p w14:paraId="3A9B542E" w14:textId="089343AF" w:rsidR="00277BC0" w:rsidRPr="00B429BF" w:rsidRDefault="00277BC0" w:rsidP="00B82F95">
      <w:pPr>
        <w:pStyle w:val="ListParagraph"/>
        <w:numPr>
          <w:ilvl w:val="1"/>
          <w:numId w:val="28"/>
        </w:numPr>
        <w:spacing w:before="120" w:after="120"/>
        <w:contextualSpacing w:val="0"/>
        <w:jc w:val="both"/>
      </w:pPr>
      <w:r>
        <w:t xml:space="preserve">patikslinkite, ar nepriklausomas ekspertas jau atrinktas, ar bus atrinktas;</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 xml:space="preserve">pateikite informaciją apie eksperto atrankos procedūrą;</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pagrįskite, kodėl ekspertas nepriklauso nuo pagalbą teikiančios institucijos.</w:t>
      </w:r>
      <w:r>
        <w:t xml:space="preserve">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Kad būtų galima patikrinti, ar laikomasi PKAAE gairių 461 punkto:</w:t>
      </w:r>
      <w:r>
        <w:t xml:space="preserve"> </w:t>
      </w:r>
    </w:p>
    <w:p w14:paraId="342FFFFA" w14:textId="67690732" w:rsidR="0036428C" w:rsidRPr="00B429BF" w:rsidRDefault="002C0264" w:rsidP="00B82F95">
      <w:pPr>
        <w:pStyle w:val="ListParagraph"/>
        <w:numPr>
          <w:ilvl w:val="1"/>
          <w:numId w:val="28"/>
        </w:numPr>
        <w:spacing w:before="120" w:after="120"/>
        <w:contextualSpacing w:val="0"/>
        <w:jc w:val="both"/>
      </w:pPr>
      <w:r>
        <w:t xml:space="preserve">nurodykite siūlomus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b/>
                <w:iCs/>
                <w:sz w:val="32"/>
                <w:szCs w:val="32"/>
                <w:rFonts w:eastAsia="Times New Roman"/>
              </w:rPr>
            </w:pPr>
            <w:r>
              <w:rPr>
                <w:b/>
                <w:sz w:val="32"/>
              </w:rPr>
              <w:t xml:space="preserve">D skirsnis. Ataskaitų teikimas ir stebėsena</w:t>
            </w:r>
          </w:p>
        </w:tc>
      </w:tr>
    </w:tbl>
    <w:p w14:paraId="1C16B3DB" w14:textId="77777777" w:rsidR="006F0AE2" w:rsidRPr="00B429BF" w:rsidRDefault="006F0AE2" w:rsidP="006F0AE2">
      <w:pPr>
        <w:tabs>
          <w:tab w:val="left" w:leader="dot" w:pos="9072"/>
        </w:tabs>
        <w:spacing w:before="120" w:after="120"/>
        <w:ind w:left="567"/>
        <w:jc w:val="both"/>
      </w:pPr>
      <w:r>
        <w:rPr>
          <w:i/>
        </w:rPr>
        <w:t xml:space="preserve">Kad pateiktumėte šiame skirsnyje prašomą informaciją, žr. PKAAE gairių 6 skirsnį (464 ir 465 punktus).</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 xml:space="preserve">Patvirtinkite, kad valstybė narė laikysis PKAAE gairių 6 skirsnio 464 ir 465 punktuose nustatytų ataskaitų teikimo ir stebėsenos reikalavimų.</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r>
      <w:r>
        <w:t xml:space="preserve">OL C 80, 2022 2 18, p. 1.</w:t>
      </w:r>
    </w:p>
  </w:footnote>
  <w:footnote w:id="3">
    <w:p w14:paraId="721B2C3E" w14:textId="5CF0F3FA" w:rsidR="005B06D6" w:rsidRPr="00B429BF" w:rsidRDefault="005B06D6" w:rsidP="002A2C73">
      <w:pPr>
        <w:pStyle w:val="FootnoteText"/>
      </w:pPr>
      <w:r>
        <w:rPr>
          <w:rStyle w:val="FootnoteReference"/>
        </w:rPr>
        <w:footnoteRef/>
      </w:r>
      <w:r>
        <w:t xml:space="preserve"> </w:t>
      </w:r>
      <w:r>
        <w:tab/>
      </w:r>
      <w:r>
        <w:t xml:space="preserve">Atkreipkite dėmesį, kad pagalbos schemos taikymo trukmė – tai laikotarpis, per kurį galima prašyti pagalbos ir priimti sprendimą ją suteikti (taigi, įskaičiuojamas laikas, kurio nacionalinėms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r>
        <w:t xml:space="preserve"> </w:t>
      </w:r>
    </w:p>
  </w:footnote>
  <w:footnote w:id="4">
    <w:p w14:paraId="51CA7B9F" w14:textId="77777777" w:rsidR="00A53EBB" w:rsidRPr="00B429BF" w:rsidRDefault="00A53EBB" w:rsidP="00A53EBB">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7AC0A709" w14:textId="328426FA" w:rsidR="007F5A4A" w:rsidRPr="00B429BF" w:rsidRDefault="007F5A4A" w:rsidP="007F5A4A">
      <w:pPr>
        <w:pStyle w:val="FootnoteText"/>
      </w:pPr>
      <w:r>
        <w:rPr>
          <w:rStyle w:val="FootnoteReference"/>
        </w:rPr>
        <w:footnoteRef/>
      </w:r>
      <w:r>
        <w:tab/>
      </w:r>
      <w:r>
        <w:t xml:space="preserve">Atkreipkite dėmesį, kad PKAAE gairių 38 ir 52 punktuose, taip pat 39 ir 45 išnašose pateikiama papildomų gairių, kaip turėtų būti rengiamas tikėtinas priešingos padėties scenarijus.</w:t>
      </w:r>
    </w:p>
  </w:footnote>
  <w:footnote w:id="6">
    <w:p w14:paraId="1AA8BB84" w14:textId="6CCB314C" w:rsidR="00B00EC5" w:rsidRPr="00B429BF" w:rsidRDefault="00B00EC5" w:rsidP="00B00EC5">
      <w:pPr>
        <w:pStyle w:val="FootnoteText"/>
      </w:pPr>
      <w:r>
        <w:rPr>
          <w:rStyle w:val="FootnoteReference"/>
        </w:rPr>
        <w:footnoteRef/>
      </w:r>
      <w:r>
        <w:tab/>
      </w:r>
      <w:r>
        <w:t xml:space="preserve">Terminas „etaloninis projektas“ apibrėžtas PKAAE gairių 19 punkto 63 papunktyje.</w:t>
      </w:r>
      <w:r>
        <w:t xml:space="preserve">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Pavyzdžiui, jei priemonė susijusi su elektromobilių registracijos mokesčio sumažinimu, valstybė narė pirmiausia turėtų palyginti etaloninio projekto (elektromobilių parko įsigijimo) ir priešingos padėties scenarijaus projekto (pvz., benzininių automobilių parko įsigijimo) pelningumą abiem atvejais taikant įprastą automobilių registracijos mokestį.</w:t>
      </w:r>
      <w:r>
        <w:t xml:space="preserve"> </w:t>
      </w:r>
      <w:r>
        <w:t xml:space="preserve">Vėliau valstybė narė turi įrodyti, kad sumažinus elektromobilių registracijos mokestį pagalbos gavėjas būtų skatinamas įsigyti elektromobilių parką, palygindama etaloninio projekto pelningumą sumažinus mokestį (t. y. elektrinių automobilių parko įsigijimą taikant sumažintą automobilių registracijos mokestį) ir priešingos padėties scenarijaus projekto (t. y. benzininių automobilių parko įsigijimo taikant įprastą automobilių registracijos mokesčio tarifą) pelningumą.</w:t>
      </w:r>
      <w:r>
        <w:t xml:space="preserve"> </w:t>
      </w:r>
      <w:r>
        <w:t xml:space="preserve">Kitas pavyzdys galėtų būti priemonė, kurią taikant, be standartinio nusidėvėjimo mokesčių tikslais, už investicijas į aplinką tausojančias mašinas iš apmokestinamojo pelno papildomai atskaitoma 40 proc. išlaidų.</w:t>
      </w:r>
      <w:r>
        <w:t xml:space="preserve"> </w:t>
      </w:r>
      <w:r>
        <w:t xml:space="preserve">Tokiu atveju valstybė narė turėtų palyginti etaloninio projekto (aplinką tausojančių mašinų įsigijimo) pelningumą ir priešingos padėties scenarijaus projekto (pvz., standartinių mašinų įsigijimo) pelningumą, abiem atvejais taikydama standartinio nusidėvėjimo taisykles mokesčių tikslais ir tą patį nusidėvėjimo laikotarpį.</w:t>
      </w:r>
      <w:r>
        <w:t xml:space="preserve"> </w:t>
      </w:r>
      <w:r>
        <w:t xml:space="preserve">Paskui valstybė narė turi įrodyti, kad iš mokesčio bazės papildomai atėmus 40 proc. aplinką tausojančių mašinų investicinių kaštų (t. y. iš viso 140 proc. išlaidų nuvertėjimas per visą mašinų naudojimo laikotarpį), pagalbos gavėjas būtų paskatintas įsigyti šią brangesnę versiją.</w:t>
      </w:r>
      <w:r>
        <w:t xml:space="preserve"> </w:t>
      </w:r>
      <w:r>
        <w:t xml:space="preserve">Tai galima atlikti lyginant etaloninio projekto pelningumą </w:t>
      </w:r>
      <w:r>
        <w:rPr>
          <w:u w:val="single"/>
        </w:rPr>
        <w:t xml:space="preserve">sumažinus</w:t>
      </w:r>
      <w:r>
        <w:t xml:space="preserve"> mokestį (t. y. galutinę mokesčio sumą, mokėtiną pritaikius papildomą mokesčio bazės atskaitymą) ir priešingos padėties scenarijaus projekto pelningumą (t. y. galutinę mokesčio sumą, mokėtiną mokesčio bazei pritaikius standartinio nusidėvėjimo taisykles).</w:t>
      </w:r>
      <w:bookmarkEnd w:id="14"/>
    </w:p>
  </w:footnote>
  <w:footnote w:id="8">
    <w:p w14:paraId="1249B222" w14:textId="4F95552D" w:rsidR="006F1071" w:rsidRPr="00B429BF" w:rsidRDefault="006F1071">
      <w:pPr>
        <w:pStyle w:val="FootnoteText"/>
      </w:pPr>
      <w:r>
        <w:rPr>
          <w:rStyle w:val="FootnoteReference"/>
        </w:rPr>
        <w:footnoteRef/>
      </w:r>
      <w:r>
        <w:t xml:space="preserve"> </w:t>
      </w:r>
      <w:r>
        <w:tab/>
      </w:r>
      <w:r>
        <w:t xml:space="preserve">Žr. 6 išnašoje pateiktus pavyzdžius.</w:t>
      </w:r>
    </w:p>
  </w:footnote>
  <w:footnote w:id="9">
    <w:p w14:paraId="590F3FC7" w14:textId="30CB4935" w:rsidR="005B06D6" w:rsidRPr="00B429BF" w:rsidRDefault="005B06D6" w:rsidP="00821F07">
      <w:pPr>
        <w:pStyle w:val="FootnoteText"/>
      </w:pPr>
      <w:r>
        <w:rPr>
          <w:rStyle w:val="FootnoteReference"/>
        </w:rPr>
        <w:footnoteRef/>
      </w:r>
      <w:r>
        <w:tab/>
      </w:r>
      <w:r>
        <w:t xml:space="preserve">Pagal PKAAE gairių 19 punkto 89 papunktį, Sąjungos standartas yra</w:t>
      </w:r>
    </w:p>
    <w:p w14:paraId="340A0B20" w14:textId="77777777" w:rsidR="005B06D6" w:rsidRPr="00B429BF" w:rsidRDefault="005B06D6" w:rsidP="00B82F95">
      <w:pPr>
        <w:pStyle w:val="FootnoteText"/>
        <w:numPr>
          <w:ilvl w:val="0"/>
          <w:numId w:val="27"/>
        </w:numPr>
        <w:rPr>
          <w:i/>
        </w:rPr>
      </w:pPr>
      <w:r>
        <w:rPr>
          <w:i/>
        </w:rPr>
        <w:t xml:space="preserve">privalomas Sąjungos standartas, nustatantis rodiklius, kuriuos atskiros įmonės turi pasiekti aplinkosaugos srityje, išskyrus Sąjungos lygmeniu nustatytus standartus arba tikslus, kurie privalomi valstybėms narėms, bet ne atskiroms įmonėms;</w:t>
      </w:r>
    </w:p>
    <w:p w14:paraId="02AC4E0B" w14:textId="45D77588" w:rsidR="005B06D6" w:rsidRPr="00B429BF" w:rsidRDefault="005B06D6" w:rsidP="00B82F95">
      <w:pPr>
        <w:pStyle w:val="FootnoteText"/>
        <w:numPr>
          <w:ilvl w:val="0"/>
          <w:numId w:val="27"/>
        </w:numPr>
      </w:pPr>
      <w:r>
        <w:rPr>
          <w:i/>
        </w:rPr>
        <w:t xml:space="preserve">įpareigojimas taikyti geriausius prieinamus gamybos būdus (GPGB), apibrėžtus Direktyvoje 2010/75/ES, ir užtikrinti, kad išmetamųjų teršalų kiekis neviršytų kiekio, kuris būtų pasiektas taikant GPGB;</w:t>
      </w:r>
      <w:r>
        <w:rPr>
          <w:i/>
        </w:rPr>
        <w:t xml:space="preserve"> </w:t>
      </w:r>
      <w:r>
        <w:rPr>
          <w:i/>
        </w:rPr>
        <w:t xml:space="preserve">jeigu su GPGB susiję išmetamųjų teršalų kiekiai nustatyti įgyvendinimo aktuose, priimtuose pagal Direktyvą 2010/75/ES ar pagal kitas taikytinas direktyvas, atsižvelgiant į šias gaires bus taikomi tie kiekiai;</w:t>
      </w:r>
      <w:r>
        <w:rPr>
          <w:i/>
        </w:rPr>
        <w:t xml:space="preserve"> </w:t>
      </w:r>
      <w:r>
        <w:rPr>
          <w:i/>
        </w:rPr>
        <w:t xml:space="preserve">jeigu tie kiekiai išreikšti intervalu, bus taikoma ta riba, nuo kurios laikoma, kad atitinkama įmonė taiko GPGB.</w:t>
      </w:r>
    </w:p>
  </w:footnote>
  <w:footnote w:id="10">
    <w:p w14:paraId="383FBE2E" w14:textId="77777777" w:rsidR="00FB55E9" w:rsidRPr="00B429BF" w:rsidRDefault="00FB55E9" w:rsidP="00FB55E9">
      <w:pPr>
        <w:pStyle w:val="FootnoteText"/>
      </w:pPr>
      <w:r>
        <w:rPr>
          <w:rStyle w:val="FootnoteReference"/>
        </w:rPr>
        <w:footnoteRef/>
      </w:r>
      <w:r>
        <w:t xml:space="preserve"> </w:t>
      </w:r>
      <w:r>
        <w:tab/>
      </w:r>
      <w:r>
        <w:t xml:space="preserve">Grąžos laikotarpis – laiko tarpas, kurio reikia investicijų sąnaudoms susigrąžinti (be pagalbos).</w:t>
      </w:r>
    </w:p>
  </w:footnote>
  <w:footnote w:id="11">
    <w:p w14:paraId="02AA3570" w14:textId="77777777" w:rsidR="005B06D6" w:rsidRPr="00B429BF" w:rsidRDefault="005B06D6" w:rsidP="004B2EF3">
      <w:pPr>
        <w:pStyle w:val="FootnoteText"/>
      </w:pPr>
      <w:r>
        <w:rPr>
          <w:rStyle w:val="FootnoteReference"/>
        </w:rPr>
        <w:footnoteRef/>
      </w:r>
      <w:r>
        <w:tab/>
      </w:r>
      <w:r>
        <w:t xml:space="preserve">2020 m. birželio 18 d. Europos Parlamento ir Tarybos reglamentas (ES) 2020/852 dėl sistemos tvariam investavimui palengvinti sukūrimo, kuriuo iš dalies keičiamas Reglamentas (ES) 2019/2088 (OL L 198, 2020 6 22, p. 13).</w:t>
      </w:r>
    </w:p>
  </w:footnote>
  <w:footnote w:id="12">
    <w:p w14:paraId="05B1881A" w14:textId="77777777" w:rsidR="008472A5" w:rsidRDefault="008472A5" w:rsidP="008472A5">
      <w:pPr>
        <w:pStyle w:val="FootnoteText"/>
      </w:pPr>
      <w:r>
        <w:rPr>
          <w:rStyle w:val="FootnoteReference"/>
        </w:rPr>
        <w:footnoteRef/>
      </w:r>
      <w:r>
        <w:tab/>
      </w:r>
      <w:r>
        <w:t xml:space="preserve">Pranešimo apie vertinimo planą papildomos informacijos lapo (III.8 dalis) šablonas pateikiamas adresu</w:t>
      </w:r>
      <w:r>
        <w:t xml:space="preserve"> </w:t>
      </w:r>
      <w:hyperlink w:anchor="evaluation-plan" w:history="1">
        <w:r>
          <w:rPr>
            <w:rStyle w:val="Hyperlink"/>
            <w:color w:val="auto"/>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lt-LT"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5.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4216</Words>
  <Characters>22097</Characters>
  <DocSecurity>0</DocSecurity>
  <Lines>502</Lines>
  <Paragraphs>189</Paragraphs>
  <ScaleCrop>false</ScaleCrop>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