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214"/>
      </w:tblGrid>
      <w:tr w:rsidR="000442F5" w:rsidRPr="00B429BF" w14:paraId="2D98EF73" w14:textId="77777777" w:rsidTr="00697188">
        <w:trPr>
          <w:trHeight w:val="1134"/>
        </w:trPr>
        <w:tc>
          <w:tcPr>
            <w:tcW w:w="9214" w:type="dxa"/>
            <w:shd w:val="pct15" w:color="auto" w:fill="auto"/>
          </w:tcPr>
          <w:p w14:paraId="522D7E84" w14:textId="03911590" w:rsidR="00BA39B3" w:rsidRPr="00B429BF" w:rsidRDefault="00FA1F8A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bookmarkStart w:id="0" w:name="_Toc414370364"/>
            <w:bookmarkStart w:id="1" w:name="_Toc416949016"/>
            <w:r>
              <w:rPr>
                <w:sz w:val="32"/>
              </w:rPr>
              <w:t xml:space="preserve">Part III.6 – </w:t>
            </w:r>
          </w:p>
          <w:p w14:paraId="1C239D2C" w14:textId="2B3F4B82" w:rsidR="000442F5" w:rsidRPr="00B429BF" w:rsidRDefault="00BA39B3" w:rsidP="007B485D">
            <w:pPr>
              <w:pStyle w:val="Heading2"/>
              <w:spacing w:before="240" w:after="240"/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>Skeda ta’ informazzjoni supplimentari</w:t>
            </w:r>
            <w:r w:rsidR="00D64B52">
              <w:rPr>
                <w:sz w:val="32"/>
              </w:rPr>
              <w:t xml:space="preserve"> </w:t>
            </w:r>
            <w:r>
              <w:rPr>
                <w:rStyle w:val="normaltextrun"/>
                <w:color w:val="000000"/>
                <w:sz w:val="32"/>
                <w:bdr w:val="none" w:sz="0" w:space="0" w:color="auto" w:frame="1"/>
              </w:rPr>
              <w:t xml:space="preserve">aġġornata* </w:t>
            </w:r>
            <w:r>
              <w:rPr>
                <w:sz w:val="32"/>
              </w:rPr>
              <w:t>għall-għajnuna mill-Istat mogħtija skont il-Linji Gwida dwar l-għajnuna mill-Istat għall-klima, għall-ħarsien tal-ambjent u għall-enerġija 2022 (CEEAG)</w:t>
            </w:r>
            <w:r w:rsidR="007B485D" w:rsidRPr="00B429BF">
              <w:rPr>
                <w:sz w:val="32"/>
                <w:szCs w:val="32"/>
                <w:vertAlign w:val="superscript"/>
              </w:rPr>
              <w:footnoteReference w:id="2"/>
            </w:r>
            <w:r>
              <w:rPr>
                <w:sz w:val="32"/>
              </w:rPr>
              <w:t xml:space="preserve"> </w:t>
            </w:r>
            <w:bookmarkEnd w:id="0"/>
            <w:bookmarkEnd w:id="1"/>
          </w:p>
          <w:p w14:paraId="467EC4F2" w14:textId="1DB0B963" w:rsidR="002B52B3" w:rsidRPr="00B429BF" w:rsidRDefault="009A73F9" w:rsidP="008D75A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</w:rPr>
              <w:t xml:space="preserve">Kapitolu 4.7.2 — Għajnuna għall-ħarsien tal-ambjent fil-forma ta’ tnaqqis fit-taxxi jew imposti </w:t>
            </w:r>
            <w:proofErr w:type="spellStart"/>
            <w:r>
              <w:rPr>
                <w:sz w:val="32"/>
              </w:rPr>
              <w:t>parafiskali</w:t>
            </w:r>
            <w:proofErr w:type="spellEnd"/>
            <w:r>
              <w:rPr>
                <w:sz w:val="32"/>
              </w:rPr>
              <w:t xml:space="preserve"> </w:t>
            </w:r>
          </w:p>
          <w:p w14:paraId="79584A3D" w14:textId="77777777" w:rsidR="000B11A6" w:rsidRPr="00B429BF" w:rsidRDefault="000B11A6" w:rsidP="008D75A6">
            <w:pPr>
              <w:jc w:val="center"/>
              <w:rPr>
                <w:sz w:val="32"/>
                <w:szCs w:val="32"/>
              </w:rPr>
            </w:pPr>
          </w:p>
          <w:p w14:paraId="469DC4EF" w14:textId="71D196DD" w:rsidR="000B11A6" w:rsidRPr="00B429BF" w:rsidRDefault="000B11A6" w:rsidP="000B11A6">
            <w:pPr>
              <w:rPr>
                <w:szCs w:val="24"/>
              </w:rPr>
            </w:pPr>
            <w:r>
              <w:t>* għadha ma ġietx adottata formalment</w:t>
            </w:r>
          </w:p>
        </w:tc>
      </w:tr>
    </w:tbl>
    <w:p w14:paraId="5F26D476" w14:textId="4F5B65DA" w:rsidR="000442F5" w:rsidRPr="00B429BF" w:rsidRDefault="000442F5" w:rsidP="000442F5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Dan l-iskeda ta’ informazzjoni supplimentari trid tintuża għan-notifika ta’ kwalunkwe għajnuna koperta mil-Linji Gwida dwar l-għajnuna mill-Istat għall-klima, għall-ħarsien tal-ambjent u għall-enerġija 2022 (minn hawn ’il quddiem </w:t>
      </w:r>
      <w:proofErr w:type="spellStart"/>
      <w:r>
        <w:rPr>
          <w:i/>
        </w:rPr>
        <w:t>is</w:t>
      </w:r>
      <w:proofErr w:type="spellEnd"/>
      <w:r>
        <w:rPr>
          <w:i/>
        </w:rPr>
        <w:t>- “CEEAG”).</w:t>
      </w:r>
    </w:p>
    <w:p w14:paraId="1B60656B" w14:textId="774A2BA8" w:rsidR="009E2EA1" w:rsidRPr="00B429BF" w:rsidRDefault="0072538B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 xml:space="preserve">Din l-iskeda ta’ informazzjoni supplimentari tikkonċerna miżuri koperti fil-Kapitolu 4.7.2 tas-CEEAG. Jekk in-notifika tinkludi miżuri li huma koperti minn aktar minn kapitolu wieħed tas-CEEAG, ladarba tkun disponibbli imla wkoll l-iskeda ta’ informazzjoni supplimentari rispettiva li tikkonċerna l-kapitolu rispettiv tas-CEEAG. </w:t>
      </w:r>
    </w:p>
    <w:p w14:paraId="05E36007" w14:textId="5E24D00F" w:rsidR="009E2EA1" w:rsidRPr="00B429BF" w:rsidRDefault="009E2EA1" w:rsidP="009E2EA1">
      <w:pPr>
        <w:spacing w:before="120" w:after="120"/>
        <w:ind w:right="-142"/>
        <w:jc w:val="both"/>
        <w:rPr>
          <w:i/>
          <w:iCs/>
        </w:rPr>
      </w:pPr>
      <w:r>
        <w:rPr>
          <w:i/>
        </w:rPr>
        <w:t>Id-dokumenti kollha pprovduti mill-Istati Membri bħala annessi għal dan id-dokument ta’ informazzjoni supplimentari jridu jiġu nnumerati u n-numri tad-dokumenti jridu jiġu indikati fit-taqsimiet rilevanti ta’ dan id-dokument ta’ informazzjoni supplimentari.</w:t>
      </w:r>
    </w:p>
    <w:p w14:paraId="73EB8CDA" w14:textId="77777777" w:rsidR="00193E48" w:rsidRPr="00B429BF" w:rsidRDefault="00193E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5A412F" w:rsidRPr="00B429BF" w14:paraId="2EC55755" w14:textId="77777777" w:rsidTr="00697188">
        <w:tc>
          <w:tcPr>
            <w:tcW w:w="9286" w:type="dxa"/>
            <w:shd w:val="pct15" w:color="auto" w:fill="auto"/>
          </w:tcPr>
          <w:p w14:paraId="3FE0D12C" w14:textId="2FC409D3" w:rsidR="000442F5" w:rsidRPr="00B429BF" w:rsidRDefault="00193E48" w:rsidP="007B7B48">
            <w:pPr>
              <w:spacing w:before="120" w:after="120"/>
              <w:jc w:val="center"/>
              <w:rPr>
                <w:b/>
                <w:iCs/>
                <w:sz w:val="32"/>
                <w:szCs w:val="3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32"/>
              </w:rPr>
              <w:t>Taqsima A: Sommarju tal-karatteristiċi ewlenin tal-miżura/i notifikata/i</w:t>
            </w:r>
          </w:p>
        </w:tc>
      </w:tr>
    </w:tbl>
    <w:p w14:paraId="58CA5BA7" w14:textId="77777777" w:rsidR="00564D5B" w:rsidRPr="00B429BF" w:rsidRDefault="00564D5B" w:rsidP="00564D5B">
      <w:pPr>
        <w:pStyle w:val="ListParagraph"/>
        <w:spacing w:before="120" w:after="120"/>
        <w:ind w:left="567"/>
        <w:contextualSpacing w:val="0"/>
        <w:jc w:val="both"/>
        <w:rPr>
          <w:b/>
        </w:rPr>
      </w:pPr>
    </w:p>
    <w:p w14:paraId="28B706E8" w14:textId="5AE686B3" w:rsidR="000442F5" w:rsidRPr="00B429BF" w:rsidRDefault="007302C9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b/>
        </w:rPr>
      </w:pPr>
      <w:r>
        <w:rPr>
          <w:b/>
        </w:rPr>
        <w:t>L-isfond u l-objettiv/i tal-miżura/i notifikata/i.</w:t>
      </w:r>
    </w:p>
    <w:p w14:paraId="4B9EEEE5" w14:textId="77777777" w:rsidR="00B615AA" w:rsidRPr="00B429BF" w:rsidRDefault="00B615AA" w:rsidP="00B615AA">
      <w:pPr>
        <w:tabs>
          <w:tab w:val="left" w:leader="dot" w:pos="9072"/>
        </w:tabs>
        <w:spacing w:before="120" w:after="120"/>
        <w:jc w:val="both"/>
        <w:rPr>
          <w:szCs w:val="24"/>
        </w:rPr>
      </w:pPr>
    </w:p>
    <w:p w14:paraId="66C78946" w14:textId="475EAECF" w:rsidR="004725A8" w:rsidRPr="00B429BF" w:rsidRDefault="00293E1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Jekk mhux diġà diskuss fit-Taqsima 5.2 tal-Formola ta’ Informazzjoni Ġenerali (Parti I), jekk jogħġbok ipprovdi l-isfond u l-objettiv ewlieni, inkluż kwalunkwe mira tal-Unjoni għall-protezzjoni ambjentali li l-miżura hija maħsuba li tappoġġa.</w:t>
      </w:r>
    </w:p>
    <w:p w14:paraId="33832EC3" w14:textId="35C78E32" w:rsidR="004725A8" w:rsidRPr="00B429BF" w:rsidRDefault="004725A8" w:rsidP="004725A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F30DFB" w14:textId="77777777" w:rsidR="004725A8" w:rsidRPr="00B429BF" w:rsidRDefault="004725A8" w:rsidP="004725A8">
      <w:pPr>
        <w:pStyle w:val="ListParagraph"/>
        <w:spacing w:after="240"/>
        <w:ind w:left="993"/>
        <w:jc w:val="both"/>
      </w:pPr>
    </w:p>
    <w:p w14:paraId="738AA964" w14:textId="073629E5" w:rsidR="00C0702F" w:rsidRPr="00B429BF" w:rsidRDefault="00C0702F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 xml:space="preserve">Jekk jogħġbok indika kwalunkwe objettiv ieħor segwit mill-miżura. Għal kwalunkwe objettiv li mhuwiex purament ambjentali, jekk jogħġbok spjega jekk dawn jistgħux jirriżultaw f’xi distorsjoni tal-kompetizzjoni fis-suq intern. </w:t>
      </w:r>
    </w:p>
    <w:p w14:paraId="29915C83" w14:textId="77777777" w:rsidR="00C0702F" w:rsidRPr="00B429BF" w:rsidRDefault="00C0702F" w:rsidP="00C0702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9CBFA17" w14:textId="11F9F6B0" w:rsidR="005A412F" w:rsidRPr="00B429BF" w:rsidRDefault="00C66E22" w:rsidP="0015042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b/>
        </w:rPr>
        <w:t>Dħul fis-seħħ u tul ta’ żmien</w:t>
      </w:r>
      <w:r>
        <w:t>:</w:t>
      </w:r>
    </w:p>
    <w:p w14:paraId="3951E532" w14:textId="16650BC0" w:rsidR="00FD5F79" w:rsidRPr="00B429BF" w:rsidRDefault="00826128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Sa fejn mhux diġà previst fit-taqsima 5.5 tal-Formola ta’ Informazzjoni Ġenerali (Parti I), jekk jogħġbok indika d-data li fiha l-iskema ta’ għajnuna hija ppjanata li tidħol fis-seħħ;</w:t>
      </w:r>
    </w:p>
    <w:p w14:paraId="7DB33CA8" w14:textId="1BA7B70D" w:rsidR="00C90797" w:rsidRPr="00B429BF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D5D598E" w14:textId="62E0EE51" w:rsidR="002A2C73" w:rsidRPr="00B429BF" w:rsidRDefault="002A2C73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</w:pPr>
      <w:r>
        <w:t>Jekk jogħġbok indika t-tul ta’ żmien tal-iskema</w:t>
      </w:r>
      <w:r w:rsidRPr="00B429BF">
        <w:rPr>
          <w:rStyle w:val="FootnoteReference"/>
          <w:rFonts w:cs="Arial Unicode MS"/>
          <w:bCs/>
          <w:lang w:bidi="si-LK"/>
        </w:rPr>
        <w:footnoteReference w:id="3"/>
      </w:r>
      <w:r>
        <w:t>.</w:t>
      </w:r>
    </w:p>
    <w:p w14:paraId="6667C7A6" w14:textId="77777777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12E752" w14:textId="3773BE4C" w:rsidR="000442F5" w:rsidRPr="00B429BF" w:rsidRDefault="004D14A6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/>
          <w:bCs/>
        </w:rPr>
      </w:pPr>
      <w:r>
        <w:rPr>
          <w:b/>
        </w:rPr>
        <w:t>Benefiċjarju/i</w:t>
      </w:r>
      <w:r>
        <w:rPr>
          <w:b/>
        </w:rPr>
        <w:tab/>
      </w:r>
    </w:p>
    <w:p w14:paraId="0B353EA4" w14:textId="3D808257" w:rsidR="00BC5DDD" w:rsidRPr="00B429BF" w:rsidRDefault="0008415C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Jekk mhux diġà pprovdut fit-taqsima 3 tal-Formola ta’ Informazzjoni Ġenerali (Parti I), jekk jogħġbok </w:t>
      </w:r>
      <w:proofErr w:type="spellStart"/>
      <w:r>
        <w:t>iddeskrivi</w:t>
      </w:r>
      <w:proofErr w:type="spellEnd"/>
      <w:r>
        <w:t xml:space="preserve"> l-benefiċjarju/i (potenzjali) tal-miżura/i;</w:t>
      </w:r>
    </w:p>
    <w:p w14:paraId="364AE839" w14:textId="2258C142" w:rsidR="00C90797" w:rsidRPr="00B429BF" w:rsidRDefault="00564D5B" w:rsidP="00564D5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6F08713" w14:textId="793BA347" w:rsidR="00F33CC0" w:rsidRPr="00B429BF" w:rsidRDefault="00DB40A5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>Jekk jogħġbok indika l-post tal-benefiċjarju(i) (jiġifieri jekk humiex eliġibbli biex jipparteċipaw fil-miżura biss l-entitajiet ekonomiċi li jinsabu fl-Istat Membru rispettiv jew ukoll fi Stati Membri oħra).</w:t>
      </w:r>
    </w:p>
    <w:p w14:paraId="51412974" w14:textId="5EFBD0ED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DDBE9A" w14:textId="579719EF" w:rsidR="00E4424D" w:rsidRPr="00B429BF" w:rsidRDefault="003C33B1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szCs w:val="24"/>
        </w:rPr>
      </w:pPr>
      <w:r>
        <w:t xml:space="preserve">Sabiex tivvaluta l-konformità mal-punt 15 tas-CEEAG, speċifika jekk l-għajnuna tingħatax skont il-miżura/i favur impriża (individwali jew parti minn skema) li hija soġġetta għal ordni ta’ rkupru pendenti wara deċiżjoni preċedenti tal-Kummissjoni li tiddikjara għajnuna illegali u inkompatibbli mas-suq intern. </w:t>
      </w:r>
    </w:p>
    <w:p w14:paraId="7EAFEF40" w14:textId="77777777" w:rsidR="00E4424D" w:rsidRPr="00B429BF" w:rsidRDefault="00E4424D" w:rsidP="00E4424D">
      <w:pPr>
        <w:pStyle w:val="ListParagraph"/>
        <w:rPr>
          <w:szCs w:val="24"/>
        </w:rPr>
      </w:pPr>
    </w:p>
    <w:p w14:paraId="6DA13136" w14:textId="1E67BBAE" w:rsidR="003C33B1" w:rsidRPr="00B429BF" w:rsidRDefault="00181BB0" w:rsidP="00E4424D">
      <w:pPr>
        <w:pStyle w:val="ListParagraph"/>
        <w:spacing w:after="240"/>
        <w:ind w:left="1080"/>
        <w:jc w:val="both"/>
        <w:rPr>
          <w:szCs w:val="24"/>
        </w:rPr>
      </w:pPr>
      <w:r>
        <w:lastRenderedPageBreak/>
        <w:t xml:space="preserve">Fl-affermattiv, ipprovdi informazzjoni dwar l-ammont ta’ għajnuna li għad irid jiġi rkuprat sabiex il-Kummissjoni tikkunsidrah fil-valutazzjoni tal-miżura/i ta’ għajnuna. </w:t>
      </w:r>
    </w:p>
    <w:p w14:paraId="5BE9C845" w14:textId="77777777" w:rsidR="003C33B1" w:rsidRPr="00B429BF" w:rsidRDefault="003C33B1" w:rsidP="003C33B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C10575C" w14:textId="0C97CBB8" w:rsidR="002E10AC" w:rsidRPr="00B429BF" w:rsidRDefault="003F0F81" w:rsidP="00FE702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l-miżura(i) ma tinvolvix(jinvolvux) għajnuna għal attivitajiet li jaqgħu barra mill-kamp ta’ applikazzjoni tas-CEEAG (ara l-punt 13 tas-CEEAG). Inkella, jekk jogħġbok ipprovdi d-dettalji.</w:t>
      </w:r>
    </w:p>
    <w:p w14:paraId="6780EF79" w14:textId="17E52AF7" w:rsidR="00577AF5" w:rsidRPr="00B429BF" w:rsidRDefault="009368F1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42676FE" w14:textId="40D0E59A" w:rsidR="00C11603" w:rsidRPr="00B429BF" w:rsidRDefault="00C11603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cs="Arial Unicode MS"/>
          <w:bCs/>
        </w:rPr>
      </w:pPr>
      <w:bookmarkStart w:id="2" w:name="_Ref126829229"/>
      <w:r>
        <w:rPr>
          <w:b/>
        </w:rPr>
        <w:t>Il-baġit u l-finanzjament tal-miżura/i</w:t>
      </w:r>
      <w:r>
        <w:t>.</w:t>
      </w:r>
      <w:bookmarkEnd w:id="2"/>
    </w:p>
    <w:p w14:paraId="52B28A95" w14:textId="06152949" w:rsidR="00115C85" w:rsidRPr="00B429BF" w:rsidRDefault="00D65A84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r>
        <w:t>Jekk mhux diġà msemmija fit-tabella taħt it-taqsima 7.1 tal-Formola ta’ Informazzjoni Ġenerali (Parti I), jekk jogħġbok ipprovdi l-baġit annwali u/jew totali għad-durata kollha tal-miżura/i; jekk il-baġit totali ma jkunx magħruf (pereżempju minħabba li jiddependi fuq ir-riżultati tal-offerti), jekk jogħġbok indika baġit stmat, inklużi s-suppożizzjonijiet użati għall-kalkolu tal-baġit stmat rispettiv</w:t>
      </w:r>
      <w:r w:rsidR="00A53EBB" w:rsidRPr="00B429BF">
        <w:rPr>
          <w:rFonts w:cs="Arial Unicode MS"/>
          <w:bCs/>
          <w:vertAlign w:val="superscript"/>
          <w:lang w:bidi="si-LK"/>
        </w:rPr>
        <w:footnoteReference w:id="4"/>
      </w:r>
      <w:r>
        <w:t>.</w:t>
      </w:r>
    </w:p>
    <w:p w14:paraId="61879372" w14:textId="77777777" w:rsidR="00D25FB9" w:rsidRPr="00B429BF" w:rsidRDefault="00D25FB9" w:rsidP="00D25FB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28B0642" w14:textId="38BE16AB" w:rsidR="00ED4BB5" w:rsidRPr="00B429BF" w:rsidRDefault="005C2ABA" w:rsidP="00451471">
      <w:pPr>
        <w:pStyle w:val="ListParagraph"/>
        <w:numPr>
          <w:ilvl w:val="1"/>
          <w:numId w:val="4"/>
        </w:numPr>
        <w:spacing w:before="120" w:after="120"/>
        <w:ind w:left="1276" w:hanging="567"/>
        <w:contextualSpacing w:val="0"/>
        <w:jc w:val="both"/>
        <w:rPr>
          <w:rFonts w:cs="Arial Unicode MS"/>
          <w:bCs/>
        </w:rPr>
      </w:pPr>
      <w:bookmarkStart w:id="3" w:name="_Ref126829235"/>
      <w:r>
        <w:t>jekk il-miżura (jiġifieri t-tnaqqis tat-taxxa/</w:t>
      </w:r>
      <w:proofErr w:type="spellStart"/>
      <w:r>
        <w:t>parafiskali</w:t>
      </w:r>
      <w:proofErr w:type="spellEnd"/>
      <w:r>
        <w:t xml:space="preserve">) hija </w:t>
      </w:r>
      <w:r>
        <w:rPr>
          <w:u w:val="single"/>
        </w:rPr>
        <w:t>ffinanzjata</w:t>
      </w:r>
      <w:r>
        <w:t xml:space="preserve"> permezz ta’ imposta, jekk jogħġbok iċċara jekk:</w:t>
      </w:r>
      <w:bookmarkEnd w:id="3"/>
      <w:r>
        <w:t xml:space="preserve"> </w:t>
      </w:r>
    </w:p>
    <w:p w14:paraId="7D9CD5BC" w14:textId="0464CD8F" w:rsidR="004D34AD" w:rsidRPr="00B429BF" w:rsidRDefault="00AD0976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hijiex stabbilita mil-liġi jew minn kwalunkwe att leġiżlattiv ieħor; fl-affermattiv, jekk jogħġbok ipprovdi l-att legali, in-numru u d-data meta ġie adottat u daħal fis-seħħ, il-link tal-internet għall-att legali;</w:t>
      </w:r>
    </w:p>
    <w:p w14:paraId="1AB3FA42" w14:textId="72255969" w:rsidR="00C90797" w:rsidRPr="00B429BF" w:rsidRDefault="00C90797" w:rsidP="00C907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449BAE9" w14:textId="77777777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hija imposta ugwalment fuq prodotti domestiċi u importati;</w:t>
      </w:r>
    </w:p>
    <w:p w14:paraId="3881C491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30E6EB4" w14:textId="30DA85B9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il-miżura notifikata se tkun ta’ benefiċċju għall-prodotti domestiċi u importati b’mod ugwali;</w:t>
      </w:r>
    </w:p>
    <w:p w14:paraId="7282F728" w14:textId="0B8D937A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11AB37F" w14:textId="77777777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tiffinanzja il-miżura kompletament jew parzjalment biss. Jekk l-imposta tiffinanzja biss parzjalment il-miżura, indika s-sorsi l-oħra ta’ finanzjament tal-miżura u l-proporzjon rispettiv tagħhom;</w:t>
      </w:r>
    </w:p>
    <w:p w14:paraId="494B272B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4379DDF" w14:textId="77777777" w:rsidR="00ED4BB5" w:rsidRPr="00B429BF" w:rsidRDefault="00ED4BB5" w:rsidP="00B82F95">
      <w:pPr>
        <w:pStyle w:val="ListParagraph"/>
        <w:numPr>
          <w:ilvl w:val="1"/>
          <w:numId w:val="21"/>
        </w:numPr>
        <w:spacing w:before="120" w:after="120"/>
        <w:contextualSpacing w:val="0"/>
        <w:jc w:val="both"/>
        <w:rPr>
          <w:rFonts w:cs="Arial Unicode MS"/>
          <w:bCs/>
        </w:rPr>
      </w:pPr>
      <w:r>
        <w:t>l-imposta li tiffinanzja l-miżura notifikata tiffinanzja wkoll miżuri oħra ta’ għajnuna. Jekk iva, indika l-miżuri l-oħra ta’ għajnuna ffinanzjati mill-imposta kkonċernata.</w:t>
      </w:r>
    </w:p>
    <w:p w14:paraId="7F291A69" w14:textId="77777777" w:rsidR="00ED4BB5" w:rsidRPr="00B429BF" w:rsidRDefault="00ED4BB5" w:rsidP="00425CC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DE40BF4" w14:textId="77777777" w:rsidR="00ED4BB5" w:rsidRPr="00B429BF" w:rsidRDefault="00ED4BB5" w:rsidP="00C90797">
      <w:pPr>
        <w:tabs>
          <w:tab w:val="left" w:leader="dot" w:pos="9072"/>
        </w:tabs>
        <w:spacing w:before="120" w:after="120"/>
        <w:ind w:left="567"/>
        <w:jc w:val="both"/>
      </w:pPr>
    </w:p>
    <w:p w14:paraId="65388348" w14:textId="77777777" w:rsidR="00BA5751" w:rsidRPr="00B429BF" w:rsidRDefault="00BA5751" w:rsidP="00BA5751">
      <w:pPr>
        <w:pStyle w:val="ListParagraph"/>
        <w:spacing w:before="120" w:after="120"/>
        <w:ind w:left="993"/>
        <w:contextualSpacing w:val="0"/>
        <w:jc w:val="both"/>
      </w:pPr>
    </w:p>
    <w:p w14:paraId="42A291CB" w14:textId="77777777" w:rsidR="009916D5" w:rsidRPr="00B429BF" w:rsidRDefault="009916D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060"/>
      </w:tblGrid>
      <w:tr w:rsidR="00DE2433" w:rsidRPr="00B429BF" w14:paraId="23C2E9FC" w14:textId="77777777" w:rsidTr="00697188">
        <w:tc>
          <w:tcPr>
            <w:tcW w:w="9286" w:type="dxa"/>
            <w:shd w:val="pct15" w:color="auto" w:fill="auto"/>
          </w:tcPr>
          <w:p w14:paraId="1E14EC88" w14:textId="71541B27" w:rsidR="000442F5" w:rsidRPr="00B429BF" w:rsidRDefault="000442F5" w:rsidP="00DE243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</w:rPr>
              <w:lastRenderedPageBreak/>
              <w:t>Sezzjoni B: Valutazzjoni tal-kompatibbiltà tal-għajnuna</w:t>
            </w:r>
          </w:p>
        </w:tc>
      </w:tr>
    </w:tbl>
    <w:p w14:paraId="07973474" w14:textId="77777777" w:rsidR="000442F5" w:rsidRPr="00B429BF" w:rsidRDefault="000442F5" w:rsidP="000442F5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429BF" w14:paraId="4F4ED3F1" w14:textId="77777777" w:rsidTr="00697188">
        <w:tc>
          <w:tcPr>
            <w:tcW w:w="9322" w:type="dxa"/>
            <w:shd w:val="pct15" w:color="auto" w:fill="auto"/>
          </w:tcPr>
          <w:p w14:paraId="4EC3F9B1" w14:textId="4AFDC259" w:rsidR="000442F5" w:rsidRPr="00B429BF" w:rsidRDefault="007D1E08" w:rsidP="00B82F95">
            <w:pPr>
              <w:pStyle w:val="Heading1"/>
              <w:numPr>
                <w:ilvl w:val="0"/>
                <w:numId w:val="22"/>
              </w:numPr>
              <w:rPr>
                <w:i/>
                <w:sz w:val="28"/>
                <w:szCs w:val="28"/>
              </w:rPr>
            </w:pPr>
            <w:r>
              <w:rPr>
                <w:i/>
                <w:sz w:val="28"/>
              </w:rPr>
              <w:t>Kundizzjoni pożittiva: l-għajnuna trid tiffaċilita l-iżvilupp ta’ attività ekonomika</w:t>
            </w:r>
          </w:p>
        </w:tc>
      </w:tr>
    </w:tbl>
    <w:p w14:paraId="51388EE2" w14:textId="77777777" w:rsidR="004B5C2A" w:rsidRPr="00B429BF" w:rsidRDefault="004B5C2A" w:rsidP="004B5C2A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4B5C2A" w:rsidRPr="00B429BF" w14:paraId="6414F6C3" w14:textId="77777777" w:rsidTr="00305DC0">
        <w:tc>
          <w:tcPr>
            <w:tcW w:w="9322" w:type="dxa"/>
            <w:shd w:val="pct15" w:color="auto" w:fill="auto"/>
          </w:tcPr>
          <w:p w14:paraId="01CE580F" w14:textId="11F5C724" w:rsidR="004B5C2A" w:rsidRPr="00B429BF" w:rsidRDefault="007D1E0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Il-kontribut għall-iżvilupp ta’ attività ekonomika</w:t>
            </w:r>
          </w:p>
        </w:tc>
      </w:tr>
    </w:tbl>
    <w:p w14:paraId="1E2599D2" w14:textId="65CF0F4D" w:rsidR="000442F5" w:rsidRPr="00B429BF" w:rsidRDefault="000442F5" w:rsidP="000442F5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3.1.1 (il-punti 23-25) u </w:t>
      </w:r>
      <w:r>
        <w:rPr>
          <w:i/>
          <w:color w:val="000000"/>
        </w:rPr>
        <w:t>t-taqsimiet 4.7.2.1 (il-punt 310) u 4.7.2.2 (il-punti 311-313) tas-CEEAG.</w:t>
      </w:r>
    </w:p>
    <w:p w14:paraId="05FCD0A3" w14:textId="002E0AB6" w:rsidR="00864DCD" w:rsidRPr="00B429BF" w:rsidRDefault="006B6657" w:rsidP="00C52C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L-Artikolu 107(3)(c) tat-Trattat dwar il-Funzjonament tal-Unjoni Ewropea (“TFUE”) jipprevedi li l-Kummissjoni tista’ tiddikjara kompatibbli “</w:t>
      </w:r>
      <w:r>
        <w:rPr>
          <w:i/>
        </w:rPr>
        <w:t>għajnuna maħsuba sabiex tiffaċilita l-iżvilupp ta’ ċerti attivitajiet jew ta’ ċerti reġjuni ekonomiċi, basta dik l-għajnuna ma tfixkilx il-kondizzjonijiet tal-kummerċ sa grad li jkun kuntrarju għall-interess komuni”.</w:t>
      </w:r>
      <w:r>
        <w:t xml:space="preserve"> Għalhekk, l-għajnuna kompatibbli skont dik id-dispożizzjoni tat-TFUE trid tikkontribwixxi għall-iżvilupp ta’ ċerta attività ekonomika. </w:t>
      </w:r>
    </w:p>
    <w:p w14:paraId="1D59B711" w14:textId="015DAACF" w:rsidR="002A11D4" w:rsidRPr="00B429BF" w:rsidRDefault="00E75ECB" w:rsidP="00864DCD">
      <w:pPr>
        <w:pStyle w:val="ListParagraph"/>
        <w:spacing w:before="120" w:after="120"/>
        <w:ind w:left="567"/>
        <w:contextualSpacing w:val="0"/>
        <w:jc w:val="both"/>
      </w:pPr>
      <w:r>
        <w:t xml:space="preserve">Sabiex tivvaluta l-konformità mal-punt 23 tas-CEEAG, identifika l-attivitajiet ekonomiċi li se jiġu ffaċilitati bħala riżultat tal-għajnuna u kif l-iżvilupp ta’ dawk l-attivitajiet huwa appoġġat. </w:t>
      </w:r>
    </w:p>
    <w:p w14:paraId="43E4572F" w14:textId="77777777" w:rsidR="000442F5" w:rsidRPr="00B429BF" w:rsidRDefault="000442F5" w:rsidP="000442F5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4B5453" w14:textId="016E6DA5" w:rsidR="00622FDD" w:rsidRPr="00B429BF" w:rsidRDefault="00622FDD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tivvaluta l-konformità mal-punt 25 tas-CEEAG,</w:t>
      </w:r>
      <w:r>
        <w:rPr>
          <w:i/>
        </w:rPr>
        <w:t xml:space="preserve"> “</w:t>
      </w:r>
      <w:proofErr w:type="spellStart"/>
      <w:r>
        <w:rPr>
          <w:i/>
        </w:rPr>
        <w:t>iddeskrivi</w:t>
      </w:r>
      <w:proofErr w:type="spellEnd"/>
      <w:r>
        <w:rPr>
          <w:i/>
        </w:rPr>
        <w:t xml:space="preserve"> jekk u kif l-għajnuna se tikkontribwixxi għall-kisba tal-objettivi tal-politika tal-Unjoni dwar il-klima, il-politika ambjentali u l-politika tal-enerġija u b’mod aktar speċifiku, il-benefiċċji mistennija tal-għajnuna f’termini tal-kontribut materjali tagħha għall-protezzjoni ambjentali, inkluż il-mitigazzjoni tat-tibdil fil-klima, jew il-funzjonament effiċjenti tas-suq intern tal-enerġija</w:t>
      </w:r>
      <w:r>
        <w:t xml:space="preserve">”. </w:t>
      </w:r>
    </w:p>
    <w:p w14:paraId="6AB99B07" w14:textId="77777777" w:rsidR="002D3097" w:rsidRPr="00B429BF" w:rsidRDefault="002D3097" w:rsidP="002D309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57E7362" w14:textId="43C846C4" w:rsidR="009A73F9" w:rsidRPr="00B429BF" w:rsidRDefault="009A73F9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Barra minn hekk, </w:t>
      </w:r>
      <w:bookmarkStart w:id="4" w:name="_Hlk169774371"/>
      <w:r>
        <w:t>skont it-Taqsima tas-CEAAG li taħtha jaqgħu l-attivitajiet appoġġati</w:t>
      </w:r>
      <w:bookmarkEnd w:id="4"/>
      <w:r>
        <w:t>, enfasizza sa liema punt l-għajnuna hija relatata mal-objettivi u/jew il-politiki deskritti fil-punt 135 tas-CEEAG (għat-Taqsima 4.2), il-punti 160–161 tas-CEEAG (għat-Taqsima 4.3.1), il-punti 190–191 tas-CEEAG (għat-Taqsima 4.3.2), il-punti 217–219 tas-CEEAG (għat-Taqsima 4.4), il-punti 253–254 tas-CEEAG (għat-Taqsima 4.5) jew il-punti 276–278 tas-CEEAG (għat-Taqsima 4.6).</w:t>
      </w:r>
    </w:p>
    <w:p w14:paraId="2CF2C3D1" w14:textId="38F54855" w:rsidR="00D72D27" w:rsidRPr="00B429BF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7E27F75" w14:textId="7FDEB6DB" w:rsidR="009A73F9" w:rsidRPr="00B429BF" w:rsidRDefault="009A73F9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bookmarkStart w:id="5" w:name="_Hlk169796485"/>
      <w:r>
        <w:t>Skont il-punt 311 tas-CEEAG, u skont it-Taqsima tas-CEEAG li taħtha jaqgħu l-attivitajiet appoġġati, ipprovdi informazzjoni dwar l-ambitu preċiż u l-attivitajiet appoġġati preċiżi tal-miżura/i ta’ għajnuna billi timla l-mistoqsija/i li ġejja/ġejjin tal-iskeda ta’ informazzjoni supplimentari rilevanti. Għall-attivitajiet li jaqgħu taħt it-Taqsima:</w:t>
      </w:r>
    </w:p>
    <w:p w14:paraId="57407E26" w14:textId="77777777" w:rsidR="009A73F9" w:rsidRPr="00B429BF" w:rsidRDefault="009A73F9" w:rsidP="00287B08">
      <w:pPr>
        <w:spacing w:before="120" w:after="120"/>
        <w:ind w:firstLine="567"/>
        <w:contextualSpacing/>
        <w:jc w:val="both"/>
        <w:rPr>
          <w:i/>
          <w:iCs/>
        </w:rPr>
      </w:pPr>
      <w:bookmarkStart w:id="6" w:name="_Hlk164178286"/>
      <w:bookmarkStart w:id="7" w:name="_Hlk169774504"/>
      <w:r>
        <w:rPr>
          <w:rFonts w:ascii="Wingdings" w:hAnsi="Wingdings"/>
        </w:rPr>
        <w:t>o</w:t>
      </w:r>
      <w:r>
        <w:t xml:space="preserve"> </w:t>
      </w:r>
      <w:bookmarkEnd w:id="6"/>
      <w:r>
        <w:t xml:space="preserve">4.2 </w:t>
      </w:r>
      <w:bookmarkStart w:id="8" w:name="_Hlk164179209"/>
      <w:r>
        <w:t>(</w:t>
      </w:r>
      <w:r>
        <w:rPr>
          <w:i/>
        </w:rPr>
        <w:t>mistoqsijiet 9-12 tal-iskeda ta’ informazzjoni supplimentari rilevanti)</w:t>
      </w:r>
      <w:bookmarkEnd w:id="8"/>
    </w:p>
    <w:p w14:paraId="1F566C45" w14:textId="64B93CBF" w:rsidR="009A73F9" w:rsidRPr="00B429BF" w:rsidRDefault="009A73F9" w:rsidP="00287B08">
      <w:pPr>
        <w:spacing w:before="120" w:after="120"/>
        <w:ind w:firstLine="567"/>
        <w:contextualSpacing/>
        <w:jc w:val="both"/>
      </w:pPr>
      <w:r>
        <w:rPr>
          <w:rFonts w:ascii="Wingdings" w:hAnsi="Wingdings"/>
        </w:rPr>
        <w:t>o</w:t>
      </w:r>
      <w:r>
        <w:t xml:space="preserve"> 4.3.1 (</w:t>
      </w:r>
      <w:r>
        <w:rPr>
          <w:i/>
        </w:rPr>
        <w:t>mistoqsija 10 tal-iskeda ta’ informazzjoni supplimentari rilevanti)</w:t>
      </w:r>
    </w:p>
    <w:p w14:paraId="518455AD" w14:textId="19A689A1" w:rsidR="009A73F9" w:rsidRPr="00B429BF" w:rsidRDefault="009A73F9" w:rsidP="00287B08">
      <w:pPr>
        <w:spacing w:before="120" w:after="120"/>
        <w:ind w:firstLine="567"/>
        <w:contextualSpacing/>
        <w:jc w:val="both"/>
      </w:pPr>
      <w:r>
        <w:rPr>
          <w:rFonts w:ascii="Wingdings" w:hAnsi="Wingdings"/>
        </w:rPr>
        <w:t>o</w:t>
      </w:r>
      <w:r>
        <w:t xml:space="preserve"> 4.3.2 (</w:t>
      </w:r>
      <w:r>
        <w:rPr>
          <w:i/>
        </w:rPr>
        <w:t>mistoqsija 10 tal-iskeda ta’ informazzjoni supplimentari rilevanti)</w:t>
      </w:r>
    </w:p>
    <w:p w14:paraId="5CD7BA0B" w14:textId="63FC1EAF" w:rsidR="009A73F9" w:rsidRPr="00B429BF" w:rsidRDefault="009A73F9" w:rsidP="00287B08">
      <w:pPr>
        <w:spacing w:before="120" w:after="120"/>
        <w:ind w:firstLine="567"/>
        <w:contextualSpacing/>
        <w:jc w:val="both"/>
      </w:pPr>
      <w:r>
        <w:rPr>
          <w:rFonts w:ascii="Wingdings" w:hAnsi="Wingdings"/>
        </w:rPr>
        <w:t>o</w:t>
      </w:r>
      <w:r>
        <w:t>4.4 (</w:t>
      </w:r>
      <w:r>
        <w:rPr>
          <w:i/>
        </w:rPr>
        <w:t>il-mistoqsijiet 11-13 tal-iskeda ta’ informazzjoni supplimentari rilevanti)</w:t>
      </w:r>
    </w:p>
    <w:p w14:paraId="5B091CEC" w14:textId="7D7965C9" w:rsidR="009A73F9" w:rsidRPr="00B429BF" w:rsidRDefault="009A73F9" w:rsidP="00287B08">
      <w:pPr>
        <w:spacing w:before="120" w:after="120"/>
        <w:ind w:firstLine="567"/>
        <w:contextualSpacing/>
        <w:jc w:val="both"/>
      </w:pPr>
      <w:r>
        <w:rPr>
          <w:rFonts w:ascii="Wingdings" w:hAnsi="Wingdings"/>
        </w:rPr>
        <w:t>o</w:t>
      </w:r>
      <w:r>
        <w:t>4.5 (</w:t>
      </w:r>
      <w:r>
        <w:rPr>
          <w:i/>
        </w:rPr>
        <w:t>il-mistoqsijiet 10-15 tal-iskeda ta’ informazzjoni supplimentari rilevanti)</w:t>
      </w:r>
    </w:p>
    <w:p w14:paraId="2D8685DE" w14:textId="26E9D332" w:rsidR="009A73F9" w:rsidRPr="00B429BF" w:rsidRDefault="009A73F9" w:rsidP="00287B08">
      <w:pPr>
        <w:spacing w:before="120" w:after="120"/>
        <w:ind w:firstLine="567"/>
        <w:contextualSpacing/>
        <w:jc w:val="both"/>
      </w:pPr>
      <w:r>
        <w:rPr>
          <w:rFonts w:ascii="Wingdings" w:hAnsi="Wingdings"/>
        </w:rPr>
        <w:lastRenderedPageBreak/>
        <w:t>o</w:t>
      </w:r>
      <w:r>
        <w:t>4.6 (</w:t>
      </w:r>
      <w:r>
        <w:rPr>
          <w:i/>
        </w:rPr>
        <w:t>il-mistoqsijiet 10-12 tal-iskeda ta’ informazzjoni supplimentari rilevanti)</w:t>
      </w:r>
    </w:p>
    <w:p w14:paraId="60345F0E" w14:textId="77777777" w:rsidR="009A73F9" w:rsidRPr="00B429BF" w:rsidRDefault="009A73F9" w:rsidP="009A73F9">
      <w:pPr>
        <w:ind w:left="720"/>
        <w:contextualSpacing/>
      </w:pPr>
    </w:p>
    <w:bookmarkEnd w:id="5"/>
    <w:bookmarkEnd w:id="7"/>
    <w:p w14:paraId="1F1A70B1" w14:textId="0647AF72" w:rsidR="00FC6137" w:rsidRPr="00B429BF" w:rsidRDefault="00FC6137" w:rsidP="002C3ED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2AEF70E" w14:textId="06843422" w:rsidR="000B0680" w:rsidRPr="00B429BF" w:rsidRDefault="009E5AE0" w:rsidP="009A73F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ikkonferma jekk l-attivitajiet appoġġati primarjament għandhomx objettiv ta’ dekarbonizzazzjoni.  Jekk il-prevenzjoni jew it-tnaqqis tal-emissjonijiet ta’ gassijiet serra huma l-objettiv predominanti tal-miżura ta’ għajnuna, irreferi għall-folja ta’ informazzjoni supplimentari għat-Taqsima 4.1 tas-CEEAG f’konformità mal-punt 312 tas-CEEAG, peress li tali għajnuna hija vvalutata fuq il-bażi tat-Taqsima 4.1 tas-CEEAG.</w:t>
      </w:r>
      <w:r>
        <w:tab/>
      </w:r>
    </w:p>
    <w:p w14:paraId="7A3069FE" w14:textId="77777777" w:rsidR="00B729DF" w:rsidRPr="00B429BF" w:rsidRDefault="00B729DF" w:rsidP="00B729DF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057AFAF" w14:textId="30506D39" w:rsidR="00B56AD4" w:rsidRPr="00B429BF" w:rsidRDefault="00B56AD4" w:rsidP="00354BD8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ipprovdi deskrizzjoni dettaljata tat-taxxi u/jew l-imposti </w:t>
      </w:r>
      <w:proofErr w:type="spellStart"/>
      <w:r>
        <w:t>parafiskali</w:t>
      </w:r>
      <w:proofErr w:type="spellEnd"/>
      <w:r>
        <w:t xml:space="preserve"> li se jitnaqqsu (inkluż l-iskop tagħhom, kif jiġu imposti fuq il-bażi, ir-rata u l-entitajiet involuti fl-istabbiliment u r-rieżami tar-rata kif ukoll fil-ġbir u </w:t>
      </w:r>
      <w:proofErr w:type="spellStart"/>
      <w:r>
        <w:t>l-ġestjoni</w:t>
      </w:r>
      <w:proofErr w:type="spellEnd"/>
      <w:r>
        <w:t xml:space="preserve"> tad-dħul iġġenerat). Fuq din il-bażi, sabiex tiġi żgurata l-konformità mal-punt 313 tas-CEEAG, uri li l-miżura proposta ma tinvolvix tnaqqis fit-taxxi jew fl-imposti li jirriflettu l-kostijiet essenzjali tal-provvista tal-enerġija jew ta’ servizzi relatati, bħal tariffi tan-network jew imposti li jiffinanzjaw mekkaniżmi ta’ kapaċità. Barra minn hekk, ikkonferma li l-miżura ma tkoprix it-tnaqqis mill-imposti fuq il-konsum tal-elettriku li jiffinanzja objettiv tal-politika tal-enerġija. </w:t>
      </w:r>
    </w:p>
    <w:p w14:paraId="32F28140" w14:textId="79ABA515" w:rsidR="00B56AD4" w:rsidRPr="00B429BF" w:rsidRDefault="00B56AD4" w:rsidP="00864350">
      <w:pPr>
        <w:tabs>
          <w:tab w:val="left" w:leader="dot" w:pos="9072"/>
        </w:tabs>
        <w:spacing w:before="120" w:after="120"/>
        <w:ind w:left="567"/>
        <w:jc w:val="both"/>
      </w:pPr>
      <w:bookmarkStart w:id="9" w:name="_Hlk172646144"/>
      <w:r>
        <w:tab/>
      </w:r>
    </w:p>
    <w:bookmarkEnd w:id="9"/>
    <w:p w14:paraId="1174800F" w14:textId="066F2273" w:rsidR="00B56AD4" w:rsidRPr="00B429BF" w:rsidRDefault="00B56AD4" w:rsidP="00C47CAC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Jekk jogħġbok </w:t>
      </w:r>
      <w:proofErr w:type="spellStart"/>
      <w:r>
        <w:t>iddeskrivi</w:t>
      </w:r>
      <w:proofErr w:type="spellEnd"/>
      <w:r>
        <w:t xml:space="preserve"> r-rekwiżiti ta’ eliġibbiltà applikabbli għall-benefiċjarju/i (pereżempju billi tinkludi kwalunkwe rekwiżit tekniku, ambjentali (jiġifieri permessi), finanzjarju (jiġifieri kollaterali) jew ieħor li l-benefiċjarju(i) jeħtieġ li jikkonforma(w) magħhom).</w:t>
      </w:r>
    </w:p>
    <w:p w14:paraId="2720D3CB" w14:textId="680761BC" w:rsidR="00015E2B" w:rsidRPr="00B429BF" w:rsidRDefault="007821A1" w:rsidP="007821A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C0EFE5" w14:textId="77777777" w:rsidR="007821A1" w:rsidRPr="00B429BF" w:rsidRDefault="007821A1" w:rsidP="00E1791B">
      <w:pPr>
        <w:rPr>
          <w:iCs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015E2B" w:rsidRPr="00B429BF" w14:paraId="45672207" w14:textId="77777777" w:rsidTr="00305DC0">
        <w:tc>
          <w:tcPr>
            <w:tcW w:w="9322" w:type="dxa"/>
            <w:shd w:val="pct15" w:color="auto" w:fill="auto"/>
          </w:tcPr>
          <w:p w14:paraId="3169DD9A" w14:textId="209AD687" w:rsidR="00015E2B" w:rsidRPr="00B429BF" w:rsidRDefault="00015E2B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Effett ta’ inċentiv</w:t>
            </w:r>
          </w:p>
        </w:tc>
      </w:tr>
    </w:tbl>
    <w:p w14:paraId="20915284" w14:textId="1074403D" w:rsidR="00015E2B" w:rsidRPr="00B429BF" w:rsidRDefault="00B15313" w:rsidP="00015E2B">
      <w:pPr>
        <w:spacing w:before="360" w:after="120"/>
        <w:jc w:val="both"/>
        <w:rPr>
          <w:i/>
        </w:rPr>
      </w:pPr>
      <w:r>
        <w:rPr>
          <w:i/>
        </w:rPr>
        <w:t xml:space="preserve">Sabiex tipprovdi l-informazzjoni f’din it-taqsima, irreferi għat-taqsima 3.1.2 (il-punti 26–32) u t-taqsima 4.7.2.3 (il-punti 315-316) tas-CEEAG. </w:t>
      </w:r>
    </w:p>
    <w:p w14:paraId="1EB5279D" w14:textId="4E856EB4" w:rsidR="00210BE0" w:rsidRPr="00B429BF" w:rsidRDefault="004B676F" w:rsidP="00560BD5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L-għajnuna tista’ titqies li tiffaċilita attività ekonomika biss jekk ikollha effett ta’ inċentiv. Sabiex tiġi vvalutata l-konformità mal-punt 26 tas-CEEAG, spjega kif il-miżura/i “</w:t>
      </w:r>
      <w:r>
        <w:rPr>
          <w:i/>
        </w:rPr>
        <w:t xml:space="preserve">tħajjar lill-benefiċjarju jibdel l-imġiba tiegħu, jinvolvi ruħu f’attività ekonomika addizzjonali jew f’attività ekonomika aktar favur l-ambjent, li ma kienx iwettaq mingħajr l-għajnuna jew li kien iwettaq b’mod ristrett jew differenti”. </w:t>
      </w:r>
    </w:p>
    <w:p w14:paraId="26BD861B" w14:textId="77777777" w:rsidR="00210BE0" w:rsidRPr="00B429BF" w:rsidRDefault="00210BE0" w:rsidP="00210B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6BAEE" w14:textId="24CAE409" w:rsidR="00462836" w:rsidRPr="00B429BF" w:rsidRDefault="00096F09" w:rsidP="006E6B4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iCs/>
        </w:rPr>
      </w:pPr>
      <w:bookmarkStart w:id="10" w:name="_Ref164673942"/>
      <w:bookmarkStart w:id="11" w:name="_Ref126829801"/>
      <w:r>
        <w:t>Skont il-punti 28 u 315 tas-CEEAG:</w:t>
      </w:r>
      <w:bookmarkEnd w:id="10"/>
    </w:p>
    <w:p w14:paraId="7E7CF517" w14:textId="77777777" w:rsidR="00F05E31" w:rsidRPr="00B429BF" w:rsidRDefault="00AE74BC" w:rsidP="00EF6E64">
      <w:pPr>
        <w:pStyle w:val="ListParagraph"/>
        <w:numPr>
          <w:ilvl w:val="5"/>
          <w:numId w:val="34"/>
        </w:numPr>
        <w:spacing w:before="120" w:after="120"/>
        <w:ind w:left="993" w:hanging="426"/>
        <w:contextualSpacing w:val="0"/>
        <w:jc w:val="both"/>
      </w:pPr>
      <w:r>
        <w:t>Ipprovdi deskrizzjoni komprensiva tax-xenarju fattwali li mistenni jirriżulta mill-miżura ta’ għajnuna u x-xenarju/i kontrofattwali probabbli fin-nuqqas tal-miżura ta’ għajnuna.</w:t>
      </w:r>
      <w:r w:rsidR="007F5A4A" w:rsidRPr="00B429BF">
        <w:rPr>
          <w:vertAlign w:val="superscript"/>
        </w:rPr>
        <w:footnoteReference w:id="5"/>
      </w:r>
      <w:r>
        <w:t xml:space="preserve"> Fejn tistenna li kategoriji differenti ta’ benefiċjarji jistgħu jiġu appoġġati, </w:t>
      </w:r>
      <w:r>
        <w:lastRenderedPageBreak/>
        <w:t>jekk jogħġbok żgura li x-xenarju kontrofattwali huwa kredibbli għal kull waħda minn dawn il-kategoriji.</w:t>
      </w:r>
      <w:bookmarkEnd w:id="11"/>
      <w:r>
        <w:t xml:space="preserve"> </w:t>
      </w:r>
    </w:p>
    <w:p w14:paraId="6257C278" w14:textId="3949F9FA" w:rsidR="00CC7B7B" w:rsidRPr="00B429BF" w:rsidRDefault="00770906" w:rsidP="00B00EC5">
      <w:pPr>
        <w:pStyle w:val="ListParagraph"/>
        <w:spacing w:before="120" w:after="120"/>
        <w:ind w:left="993"/>
        <w:contextualSpacing w:val="0"/>
        <w:jc w:val="both"/>
      </w:pPr>
      <w:r>
        <w:t>Jekk jogħġbok qis ir-rekwiżiti rigward il-kontrofattwali inklużi fil-punti 165-169 tas-CEEAG (għal proġetti u attivitajiet li jaqgħu fil-kamp ta’ applikazzjoni tat-Taqsima 4.3.1) u 226-230 tas-CEEAG (għal proġetti u attivitajiet li jaqgħu fil-kamp ta’ applikazzjoni tat-Taqsimiet 4.4 u 4.5) u imla l-mistoqsijiet mill-iskeda ta’ informazzjoni supplimentari rispettiva għat-Taqsimiet 4.3.1, 4.4 jew 4.5.</w:t>
      </w:r>
    </w:p>
    <w:p w14:paraId="5BCC59EC" w14:textId="77777777" w:rsidR="00CC7B7B" w:rsidRPr="00B429BF" w:rsidRDefault="00CC7B7B" w:rsidP="00CC7B7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B21E8D6" w14:textId="77777777" w:rsidR="00A51399" w:rsidRPr="00B429BF" w:rsidRDefault="00A51399" w:rsidP="00B80079">
      <w:pPr>
        <w:tabs>
          <w:tab w:val="left" w:leader="dot" w:pos="9072"/>
        </w:tabs>
        <w:spacing w:before="120" w:after="120"/>
        <w:ind w:left="567"/>
        <w:jc w:val="both"/>
      </w:pPr>
    </w:p>
    <w:p w14:paraId="65B55C41" w14:textId="25755A69" w:rsidR="006E6B4D" w:rsidRPr="00B429BF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r>
        <w:t>Jekk jogħġbok spjega fil-qosor ir-raġunament għall-għażla tax-xenarju/i kontrofattwali probabbli, fid-dawl tal-kategoriji differenti proposti ta’ benefiċjarji, jekk applikabbli;</w:t>
      </w:r>
    </w:p>
    <w:p w14:paraId="526D2EBB" w14:textId="77777777" w:rsidR="000665D4" w:rsidRPr="00B429BF" w:rsidRDefault="000665D4" w:rsidP="000665D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7BCDB5" w14:textId="1F09A984" w:rsidR="00B70424" w:rsidRPr="00B429BF" w:rsidRDefault="00AE74BC" w:rsidP="00B82F95">
      <w:pPr>
        <w:pStyle w:val="ListParagraph"/>
        <w:numPr>
          <w:ilvl w:val="0"/>
          <w:numId w:val="38"/>
        </w:numPr>
        <w:spacing w:before="120" w:after="120"/>
        <w:ind w:left="993" w:hanging="426"/>
        <w:contextualSpacing w:val="0"/>
        <w:jc w:val="both"/>
      </w:pPr>
      <w:bookmarkStart w:id="12" w:name="_Ref172646432"/>
      <w:bookmarkStart w:id="13" w:name="_Ref164673945"/>
      <w:proofErr w:type="spellStart"/>
      <w:r>
        <w:t>Ikkwantifika</w:t>
      </w:r>
      <w:proofErr w:type="spellEnd"/>
      <w:r>
        <w:t xml:space="preserve"> l-ispejjeż u d-dħul tax-xenarji fattwali u kontrofattwali u ġġustifika l-bidla fl-imġiba, fejn rilevanti għal kull kategorija ta’ benefiċjarju, billi tqabbel il-profittabbiltà tal-proġett</w:t>
      </w:r>
      <w:r w:rsidR="00B00EC5" w:rsidRPr="00B429BF">
        <w:rPr>
          <w:iCs/>
          <w:vertAlign w:val="superscript"/>
        </w:rPr>
        <w:footnoteReference w:id="6"/>
      </w:r>
      <w:r>
        <w:t xml:space="preserve"> jew tal-attività ta’ referenza mat-tnaqqis tat-taxxa jew tal-imposta </w:t>
      </w:r>
      <w:proofErr w:type="spellStart"/>
      <w:r>
        <w:t>parafiskali</w:t>
      </w:r>
      <w:proofErr w:type="spellEnd"/>
      <w:r>
        <w:t xml:space="preserve"> u mingħajru</w:t>
      </w:r>
      <w:r w:rsidR="00B00EC5" w:rsidRPr="00B429BF">
        <w:rPr>
          <w:iCs/>
          <w:vertAlign w:val="superscript"/>
        </w:rPr>
        <w:footnoteReference w:id="7"/>
      </w:r>
      <w:r>
        <w:t>, abbażi ta’:</w:t>
      </w:r>
      <w:bookmarkEnd w:id="12"/>
    </w:p>
    <w:p w14:paraId="10227AFD" w14:textId="691629AD" w:rsidR="002158CE" w:rsidRPr="00B429BF" w:rsidRDefault="00BF736D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t>il-proġett ta’ referenza rispettiv, il-</w:t>
      </w:r>
      <w:proofErr w:type="spellStart"/>
      <w:r>
        <w:t>kontrofatti</w:t>
      </w:r>
      <w:proofErr w:type="spellEnd"/>
      <w:r>
        <w:t xml:space="preserve"> korrispondenti u d-diskrepanza fil-finanzjament li tirriżulta</w:t>
      </w:r>
      <w:r w:rsidR="006F1071" w:rsidRPr="00B429BF">
        <w:rPr>
          <w:rStyle w:val="FootnoteReference"/>
        </w:rPr>
        <w:footnoteReference w:id="8"/>
      </w:r>
      <w:r>
        <w:t xml:space="preserve">; </w:t>
      </w:r>
    </w:p>
    <w:p w14:paraId="2B4E89F9" w14:textId="77777777" w:rsidR="002158CE" w:rsidRPr="00B429BF" w:rsidRDefault="002158CE" w:rsidP="002158CE">
      <w:pPr>
        <w:pStyle w:val="ListParagraph"/>
        <w:spacing w:before="120" w:after="120"/>
        <w:ind w:left="949"/>
        <w:contextualSpacing w:val="0"/>
        <w:jc w:val="both"/>
        <w:rPr>
          <w:i/>
          <w:iCs/>
        </w:rPr>
      </w:pPr>
      <w:r>
        <w:rPr>
          <w:i/>
        </w:rPr>
        <w:t>JEW</w:t>
      </w:r>
    </w:p>
    <w:p w14:paraId="6E21EA8B" w14:textId="7BC58665" w:rsidR="00451471" w:rsidRPr="00B429BF" w:rsidRDefault="00B00EC5" w:rsidP="00B82F95">
      <w:pPr>
        <w:pStyle w:val="ListParagraph"/>
        <w:numPr>
          <w:ilvl w:val="0"/>
          <w:numId w:val="23"/>
        </w:numPr>
        <w:spacing w:before="120" w:after="120"/>
        <w:ind w:left="1276" w:hanging="284"/>
        <w:contextualSpacing w:val="0"/>
        <w:jc w:val="both"/>
      </w:pPr>
      <w:r>
        <w:rPr>
          <w:i/>
          <w:iCs/>
        </w:rPr>
        <w:t>data</w:t>
      </w:r>
      <w:r>
        <w:t xml:space="preserve"> ekwivalenti</w:t>
      </w:r>
      <w:bookmarkEnd w:id="13"/>
      <w:r>
        <w:t>.</w:t>
      </w:r>
    </w:p>
    <w:p w14:paraId="6C2E94BB" w14:textId="58F782C3" w:rsidR="00541B6E" w:rsidRPr="00B429BF" w:rsidRDefault="00644D98" w:rsidP="0045147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EAC10B1" w14:textId="6023952C" w:rsidR="00090B8E" w:rsidRPr="00B429BF" w:rsidRDefault="00090B8E" w:rsidP="00090B8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tivvaluta l-konformità mal-punt 27 tas-CEEAG, ipprovdi informazzjoni biex tikkonferma li l-għajnuna ma tappoġġax il-kostijiet ta’ attività li l-benefiċjarju tal-</w:t>
      </w:r>
      <w:r>
        <w:lastRenderedPageBreak/>
        <w:t xml:space="preserve">għajnuna xorta waħda jwettaq u ma </w:t>
      </w:r>
      <w:proofErr w:type="spellStart"/>
      <w:r>
        <w:t>tikkumpensax</w:t>
      </w:r>
      <w:proofErr w:type="spellEnd"/>
      <w:r>
        <w:t xml:space="preserve"> għar-riskju kummerċjali normali ta’ attività ekonomika</w:t>
      </w:r>
      <w:r>
        <w:rPr>
          <w:i/>
        </w:rPr>
        <w:t xml:space="preserve">. </w:t>
      </w:r>
    </w:p>
    <w:p w14:paraId="7A897E6F" w14:textId="5768CA28" w:rsidR="00090B8E" w:rsidRPr="00B429BF" w:rsidRDefault="00090B8E" w:rsidP="00090B8E">
      <w:pPr>
        <w:tabs>
          <w:tab w:val="left" w:leader="dot" w:pos="9072"/>
        </w:tabs>
        <w:spacing w:before="120" w:after="120"/>
        <w:ind w:left="567"/>
        <w:jc w:val="both"/>
      </w:pPr>
      <w:bookmarkStart w:id="15" w:name="_Hlk172796407"/>
      <w:r>
        <w:tab/>
      </w:r>
    </w:p>
    <w:bookmarkEnd w:id="15"/>
    <w:p w14:paraId="2AB2EE92" w14:textId="5A321D9A" w:rsidR="00546877" w:rsidRPr="00B429BF" w:rsidRDefault="00090B8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mal-punti 29, 31 u 316 tas-CEEAG, indika jekk il-proġett jew l-attività </w:t>
      </w:r>
      <w:proofErr w:type="spellStart"/>
      <w:r>
        <w:t>nbdewx</w:t>
      </w:r>
      <w:proofErr w:type="spellEnd"/>
      <w:r>
        <w:t xml:space="preserve"> diġà qabel applikazzjoni għall-għajnuna bil-miktub mill-benefiċjarju lill-awtoritajiet nazzjonali. </w:t>
      </w:r>
    </w:p>
    <w:p w14:paraId="2D7719A7" w14:textId="367A2045" w:rsidR="00546877" w:rsidRPr="00B429BF" w:rsidRDefault="00730DA3" w:rsidP="00730DA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8A49F12" w14:textId="6AC11453" w:rsidR="00C14706" w:rsidRPr="00B429BF" w:rsidRDefault="000440DB" w:rsidP="000440DB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Għal proġetti jew attivitajiet li bdew qabel ma ġiet sottomessa l-applikazzjoni għall-għajnuna, jekk jogħġbok:</w:t>
      </w:r>
    </w:p>
    <w:p w14:paraId="48499390" w14:textId="3CDF635F" w:rsidR="006445C3" w:rsidRPr="00B429BF" w:rsidRDefault="00090B8E" w:rsidP="00B82F95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>ikkonferma li l-miżura tistabbilixxi dritt għall-għajnuna f’konformità ma’ kriterji oġġettivi u mhux diskriminatorji u mingħajr eżerċizzju ulterjuri ta’ diskrezzjoni mill-Istati Membri u li l-miżura tkun ġiet adottata u tkun fis-seħħ qabel ma tkun bdiet il-ħidma fuq il-proġett jew l-attività megħjuna;</w:t>
      </w:r>
    </w:p>
    <w:p w14:paraId="74427F37" w14:textId="4A363792" w:rsidR="006445C3" w:rsidRPr="00B429BF" w:rsidRDefault="00546877" w:rsidP="00546877">
      <w:pPr>
        <w:tabs>
          <w:tab w:val="left" w:pos="850"/>
          <w:tab w:val="left" w:leader="dot" w:pos="9072"/>
        </w:tabs>
        <w:spacing w:before="120" w:after="120"/>
        <w:ind w:left="567"/>
        <w:jc w:val="both"/>
      </w:pPr>
      <w:bookmarkStart w:id="16" w:name="_Hlk172645462"/>
      <w:r>
        <w:tab/>
      </w:r>
      <w:bookmarkEnd w:id="16"/>
      <w:r>
        <w:rPr>
          <w:i/>
        </w:rPr>
        <w:t>JEW</w:t>
      </w:r>
    </w:p>
    <w:p w14:paraId="29516660" w14:textId="114E0ADF" w:rsidR="00090B8E" w:rsidRPr="00B429BF" w:rsidRDefault="00090B8E" w:rsidP="00090B8E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 xml:space="preserve">F’każ li l-proġett jew l-attività jkunu diġà bdew qabel applikazzjoni għall-għajnuna bil-miktub u qabel l-adozzjoni u/jew id-dħul fis-seħħ tal-miżura, ikkonferma li l-proġett jew l-attività kienu diġà koperti minn skema simili preċedenti fil-forma ta’ vantaġġi fiskali jew </w:t>
      </w:r>
      <w:proofErr w:type="spellStart"/>
      <w:r>
        <w:t>parafiskali</w:t>
      </w:r>
      <w:proofErr w:type="spellEnd"/>
    </w:p>
    <w:p w14:paraId="72A76C4D" w14:textId="7A77BE98" w:rsidR="00090B8E" w:rsidRPr="00B429BF" w:rsidRDefault="00090B8E" w:rsidP="00090B8E">
      <w:pPr>
        <w:pStyle w:val="ListParagraph"/>
        <w:tabs>
          <w:tab w:val="left" w:pos="1610"/>
          <w:tab w:val="left" w:leader="dot" w:pos="9072"/>
        </w:tabs>
        <w:spacing w:before="120" w:after="120"/>
        <w:ind w:left="949"/>
        <w:jc w:val="both"/>
        <w:rPr>
          <w:i/>
          <w:iCs/>
        </w:rPr>
      </w:pPr>
      <w:r>
        <w:rPr>
          <w:i/>
        </w:rPr>
        <w:t>JEW</w:t>
      </w:r>
    </w:p>
    <w:p w14:paraId="34422BF1" w14:textId="3CD5D70A" w:rsidR="00090B8E" w:rsidRPr="00B429BF" w:rsidRDefault="00090B8E" w:rsidP="00090B8E">
      <w:pPr>
        <w:pStyle w:val="ListParagraph"/>
        <w:tabs>
          <w:tab w:val="left" w:pos="1610"/>
          <w:tab w:val="left" w:leader="dot" w:pos="9072"/>
        </w:tabs>
        <w:spacing w:before="120" w:after="120"/>
        <w:ind w:left="949"/>
        <w:jc w:val="both"/>
      </w:pPr>
      <w:r>
        <w:tab/>
      </w:r>
    </w:p>
    <w:p w14:paraId="0252AF86" w14:textId="3AF46890" w:rsidR="000442F5" w:rsidRPr="00B429BF" w:rsidRDefault="003F629D" w:rsidP="00546877">
      <w:pPr>
        <w:pStyle w:val="ListParagraph"/>
        <w:numPr>
          <w:ilvl w:val="0"/>
          <w:numId w:val="40"/>
        </w:numPr>
        <w:spacing w:before="120" w:after="120"/>
        <w:ind w:left="1276" w:hanging="283"/>
        <w:contextualSpacing w:val="0"/>
        <w:jc w:val="both"/>
      </w:pPr>
      <w:r>
        <w:t xml:space="preserve">juru li l-proġett jew l-attività jaqgħu taħt wieħed mill-każijiet eċċezzjonali previsti fil-punt 31 tas-CEEAG (b) jew (c). </w:t>
      </w:r>
    </w:p>
    <w:p w14:paraId="76275A84" w14:textId="77777777" w:rsidR="00FC1BCC" w:rsidRPr="00B429BF" w:rsidRDefault="00FC1BCC" w:rsidP="00FC1BCC">
      <w:pPr>
        <w:tabs>
          <w:tab w:val="left" w:leader="dot" w:pos="9072"/>
        </w:tabs>
        <w:spacing w:before="120" w:after="120"/>
        <w:ind w:left="567"/>
        <w:jc w:val="both"/>
      </w:pPr>
      <w:bookmarkStart w:id="17" w:name="_Hlk172645191"/>
      <w:r>
        <w:tab/>
      </w:r>
    </w:p>
    <w:bookmarkEnd w:id="17"/>
    <w:p w14:paraId="6F7E35DB" w14:textId="77777777" w:rsidR="00842188" w:rsidRPr="00B429BF" w:rsidRDefault="00842188" w:rsidP="00842188">
      <w:pPr>
        <w:numPr>
          <w:ilvl w:val="0"/>
          <w:numId w:val="4"/>
        </w:numPr>
        <w:spacing w:before="120" w:after="120"/>
        <w:ind w:left="567" w:hanging="567"/>
        <w:jc w:val="both"/>
      </w:pPr>
      <w:r>
        <w:t>Sabiex tintwera l-konformità mal-punt 30 tas-CEEAG, ikkonferma li l-applikazzjoni għall-għajnuna tinkludi mill-inqas l-isem tal-applikant, deskrizzjoni tal-proġett jew tal-attività, inkluż il-post fejn tinsab, u l-ammont ta’ għajnuna meħtieġa biex dan jitwettaq.</w:t>
      </w:r>
    </w:p>
    <w:p w14:paraId="053E0A10" w14:textId="75ADB4FB" w:rsidR="00842188" w:rsidRPr="00B429BF" w:rsidRDefault="00842188" w:rsidP="0084218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BA9B2F2" w14:textId="5631E722" w:rsidR="0025374D" w:rsidRPr="00B429BF" w:rsidRDefault="00305DC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tintwera l-konformità mal-punt 32 tas-CEEAG:</w:t>
      </w:r>
    </w:p>
    <w:p w14:paraId="2F32664D" w14:textId="28D97C1C" w:rsidR="007947ED" w:rsidRPr="00B429BF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 xml:space="preserve"> </w:t>
      </w:r>
      <w:r>
        <w:tab/>
        <w:t>Jekk jogħġbok indika jekk hemmx standards tal-Unjoni</w:t>
      </w:r>
      <w:r w:rsidR="005B7DF0" w:rsidRPr="00B429BF">
        <w:rPr>
          <w:rStyle w:val="FootnoteReference"/>
          <w:lang w:val="en-IE" w:eastAsia="en-GB"/>
        </w:rPr>
        <w:footnoteReference w:id="9"/>
      </w:r>
      <w:r>
        <w:t xml:space="preserve"> applikabbli għall-miżura/i notifikata/i, standards nazzjonali obbligatorji li huma aktar stretti jew ambizzjużi mill-istandards korrispondenti tal-Unjoni, jew standards nazzjonali obbligatorji adottati fin-nuqqas ta’ standards tal-Unjoni.</w:t>
      </w:r>
    </w:p>
    <w:p w14:paraId="5CE9EEA0" w14:textId="420E9645" w:rsidR="009B2A4B" w:rsidRPr="00B429BF" w:rsidRDefault="00D039B4" w:rsidP="007947ED">
      <w:pPr>
        <w:pStyle w:val="ListParagraph"/>
        <w:tabs>
          <w:tab w:val="left" w:pos="1134"/>
        </w:tabs>
        <w:spacing w:before="120" w:after="120"/>
        <w:ind w:left="1276"/>
        <w:contextualSpacing w:val="0"/>
        <w:jc w:val="both"/>
      </w:pPr>
      <w:r>
        <w:t xml:space="preserve">F’dak il-kuntest, jekk jogħġbok ipprovdi informazzjoni biex turi l-effett ta’ inċentiv.  </w:t>
      </w:r>
    </w:p>
    <w:p w14:paraId="0E3763A8" w14:textId="17FA829E" w:rsidR="0025374D" w:rsidRPr="00B429BF" w:rsidRDefault="00300D5F" w:rsidP="00424B44">
      <w:pPr>
        <w:tabs>
          <w:tab w:val="left" w:leader="dot" w:pos="9072"/>
        </w:tabs>
        <w:spacing w:before="120" w:after="120"/>
        <w:ind w:left="567"/>
        <w:jc w:val="both"/>
      </w:pPr>
      <w:bookmarkStart w:id="18" w:name="_Hlk176942272"/>
      <w:r>
        <w:lastRenderedPageBreak/>
        <w:tab/>
      </w:r>
    </w:p>
    <w:bookmarkEnd w:id="18"/>
    <w:p w14:paraId="39E079DA" w14:textId="77777777" w:rsidR="00FB55E9" w:rsidRPr="00B429BF" w:rsidRDefault="00DF0130" w:rsidP="00B82F95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</w:pPr>
      <w:r>
        <w:t>F’każijiet fejn l-istandard rilevanti tal-Unjoni diġà ġie adottat iżda għadu mhux fis-seħħ, uri li l-għajnuna għandha effett ta’ inċentiv minħabba li tinċentiva l-investiment li għandu jiġi implimentat u ffinalizzat mill-inqas 18-il xahar qabel ma jidħol fis-seħħ l-istandard.</w:t>
      </w:r>
    </w:p>
    <w:p w14:paraId="2B0A524B" w14:textId="2C4AE0B8" w:rsidR="00FB55E9" w:rsidRPr="00B429BF" w:rsidRDefault="00FB55E9" w:rsidP="00FB55E9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75931F9" w14:textId="1B913795" w:rsidR="00C86C53" w:rsidRPr="00B429BF" w:rsidRDefault="00FB55E9" w:rsidP="00FB55E9">
      <w:pPr>
        <w:pStyle w:val="ListParagraph"/>
        <w:numPr>
          <w:ilvl w:val="0"/>
          <w:numId w:val="41"/>
        </w:numPr>
        <w:tabs>
          <w:tab w:val="left" w:pos="1134"/>
        </w:tabs>
        <w:spacing w:before="120" w:after="120"/>
        <w:ind w:left="1276" w:hanging="283"/>
        <w:contextualSpacing w:val="0"/>
        <w:jc w:val="both"/>
        <w:rPr>
          <w:iCs/>
        </w:rPr>
      </w:pPr>
      <w:r>
        <w:t>Għal proġetti u attivitajiet li jaqgħu fil-kamp ta’ applikazzjoni tat-Taqsima 4.2, spjega jekk proġetti b’perjodu ta’ rkupru</w:t>
      </w:r>
      <w:r w:rsidRPr="00B429BF">
        <w:rPr>
          <w:iCs/>
          <w:vertAlign w:val="superscript"/>
          <w:lang w:eastAsia="en-GB"/>
        </w:rPr>
        <w:footnoteReference w:id="10"/>
      </w:r>
      <w:r>
        <w:t xml:space="preserve"> ta’ inqas minn ħames snin humiex eliġibbli għall-għajnuna taħt il-miżura/i. Fl-affermattiv, ipprovdi evidenza biex turi li l-għajnuna hija meħtieġa biex tiskatta bidla fl-imġiba, kif meħtieġ mill-punt 142 tas-CEEAG. </w:t>
      </w:r>
    </w:p>
    <w:p w14:paraId="1F681DE3" w14:textId="77777777" w:rsidR="00C86C53" w:rsidRPr="00B429BF" w:rsidRDefault="00C86C53" w:rsidP="00C86C5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63B88D" w14:textId="77777777" w:rsidR="00DE1D68" w:rsidRPr="00B429BF" w:rsidRDefault="00DE1D68" w:rsidP="00DE1D68">
      <w:pPr>
        <w:ind w:left="-567" w:firstLine="1412"/>
        <w:rPr>
          <w:i/>
          <w:color w:val="FF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DE1D68" w:rsidRPr="00B429BF" w14:paraId="66A1C06C" w14:textId="77777777" w:rsidTr="00504F2E">
        <w:tc>
          <w:tcPr>
            <w:tcW w:w="9322" w:type="dxa"/>
            <w:shd w:val="pct15" w:color="auto" w:fill="auto"/>
          </w:tcPr>
          <w:p w14:paraId="7CABD1EF" w14:textId="4D11A7A0" w:rsidR="00DE1D68" w:rsidRPr="00B429BF" w:rsidRDefault="00DE1D68" w:rsidP="00B82F95">
            <w:pPr>
              <w:pStyle w:val="Heading1"/>
              <w:numPr>
                <w:ilvl w:val="1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>Ebda ksur ta’ xi dispożizzjoni rilevanti tad-dritt tal-Unjoni</w:t>
            </w:r>
          </w:p>
        </w:tc>
      </w:tr>
    </w:tbl>
    <w:p w14:paraId="665FE026" w14:textId="3B202F2B" w:rsidR="00DE1D68" w:rsidRPr="00B429BF" w:rsidRDefault="00DE1D68" w:rsidP="00DE1D68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3.1.3 (il-punt 33) tas-CEEAG. </w:t>
      </w:r>
    </w:p>
    <w:p w14:paraId="3E98C3D7" w14:textId="29B82232" w:rsidR="00BE702A" w:rsidRPr="00B429BF" w:rsidRDefault="0023543E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Ipprovdi informazzjoni biex tikkonferma l-konformità mad-dispożizzjonijiet rilevanti tal-liġi tal-UE, f’konformità mal-punt 33 tas-CEEAG.</w:t>
      </w:r>
    </w:p>
    <w:p w14:paraId="1698F3A1" w14:textId="77777777" w:rsidR="00424B44" w:rsidRPr="00B429BF" w:rsidRDefault="00424B44" w:rsidP="00425CC6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48458E54" w14:textId="7D691DDF" w:rsidR="00544B04" w:rsidRPr="00B429BF" w:rsidRDefault="00BE702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color w:val="000000"/>
        </w:rPr>
      </w:pPr>
      <w:r>
        <w:t xml:space="preserve">Jekk tintuża imposta </w:t>
      </w:r>
      <w:r>
        <w:rPr>
          <w:u w:val="single"/>
        </w:rPr>
        <w:t>għall-finanzjament</w:t>
      </w:r>
      <w:r>
        <w:t xml:space="preserve"> tal-miżura/i, jekk jogħġbok iċċara jekk għandhiex titwettaq il-valutazzjoni tal-konformità mal-Artikolu 30 u 110 tat-TFUE. Fl-affermattiv, uri kif il-miżura tikkonforma mad-dispożizzjonijiet tal-Artikolu 30 u 110 tat-TFUE.</w:t>
      </w:r>
      <w:r>
        <w:rPr>
          <w:i/>
        </w:rPr>
        <w:t xml:space="preserve"> </w:t>
      </w:r>
      <w:r>
        <w:t xml:space="preserve">F’dan il-kuntest, tista’ ssir referenza għall-informazzjoni sottomessa fil-mistoqsija ta’ </w:t>
      </w:r>
      <w:r w:rsidR="00CF64F1" w:rsidRPr="00B429BF">
        <w:fldChar w:fldCharType="begin"/>
      </w:r>
      <w:r w:rsidR="00CF64F1" w:rsidRPr="00B429BF">
        <w:instrText xml:space="preserve"> REF _Ref126829229 \w \h </w:instrText>
      </w:r>
      <w:r w:rsidR="008B0B2B" w:rsidRPr="00B429BF">
        <w:instrText xml:space="preserve"> \* MERGEFORMAT </w:instrText>
      </w:r>
      <w:r w:rsidR="00CF64F1" w:rsidRPr="00B429BF">
        <w:fldChar w:fldCharType="separate"/>
      </w:r>
      <w:r w:rsidR="001565DA" w:rsidRPr="00B429BF">
        <w:t>5</w:t>
      </w:r>
      <w:r w:rsidR="00CF64F1" w:rsidRPr="00B429BF">
        <w:fldChar w:fldCharType="end"/>
      </w:r>
      <w:r w:rsidR="00CF64F1" w:rsidRPr="00B429BF">
        <w:fldChar w:fldCharType="begin"/>
      </w:r>
      <w:r w:rsidR="00CF64F1" w:rsidRPr="00B429BF">
        <w:instrText xml:space="preserve"> REF _Ref126829235 \w \h </w:instrText>
      </w:r>
      <w:r w:rsidR="008B0B2B" w:rsidRPr="00B429BF">
        <w:instrText xml:space="preserve"> \* MERGEFORMAT </w:instrText>
      </w:r>
      <w:r w:rsidR="00CF64F1" w:rsidRPr="00B429BF">
        <w:fldChar w:fldCharType="separate"/>
      </w:r>
      <w:r w:rsidR="001565DA" w:rsidRPr="00B429BF">
        <w:t>ii</w:t>
      </w:r>
      <w:r w:rsidR="00CF64F1" w:rsidRPr="00B429BF">
        <w:fldChar w:fldCharType="end"/>
      </w:r>
      <w:r>
        <w:t xml:space="preserve"> hawn fuq, fejn il-miżura/i notifikata/i hija/huma ffinanzjata/i permezz ta’ imposta.</w:t>
      </w:r>
    </w:p>
    <w:p w14:paraId="54F4831B" w14:textId="69B14E43" w:rsidR="00C501C5" w:rsidRPr="00B429BF" w:rsidRDefault="00544B04" w:rsidP="00544B04">
      <w:pPr>
        <w:tabs>
          <w:tab w:val="left" w:leader="dot" w:pos="9072"/>
        </w:tabs>
        <w:spacing w:before="120" w:after="120"/>
        <w:ind w:left="567"/>
        <w:jc w:val="both"/>
        <w:rPr>
          <w:color w:val="000000"/>
        </w:rPr>
      </w:pPr>
      <w:r>
        <w:rPr>
          <w:color w:val="000000"/>
        </w:rPr>
        <w:tab/>
      </w:r>
    </w:p>
    <w:p w14:paraId="12BBBE61" w14:textId="5214445E" w:rsidR="00663008" w:rsidRPr="00B429BF" w:rsidRDefault="00663008" w:rsidP="00B91C09">
      <w:pPr>
        <w:tabs>
          <w:tab w:val="left" w:leader="dot" w:pos="9072"/>
        </w:tabs>
        <w:spacing w:before="120" w:after="120"/>
        <w:ind w:left="567"/>
        <w:jc w:val="both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1446B9C4" w14:textId="77777777" w:rsidTr="00504F2E">
        <w:tc>
          <w:tcPr>
            <w:tcW w:w="9322" w:type="dxa"/>
            <w:shd w:val="pct15" w:color="auto" w:fill="auto"/>
          </w:tcPr>
          <w:p w14:paraId="47835452" w14:textId="1E46754C" w:rsidR="00663008" w:rsidRPr="00B429BF" w:rsidRDefault="00663008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Kundizzjoni negattiva: l-għajnuna ma tistax taffettwa b’mod mhux xieraq il-kundizzjonijiet tal-kummerċ sa punt li jmur kontra l-interess komuni</w:t>
            </w:r>
          </w:p>
        </w:tc>
      </w:tr>
    </w:tbl>
    <w:p w14:paraId="78513DDC" w14:textId="7983A86C" w:rsidR="00663008" w:rsidRPr="00B429BF" w:rsidRDefault="00663008" w:rsidP="00663008">
      <w:pPr>
        <w:ind w:left="-567" w:firstLine="1412"/>
        <w:rPr>
          <w:i/>
          <w:color w:val="000000"/>
        </w:rPr>
      </w:pPr>
    </w:p>
    <w:p w14:paraId="567C40B6" w14:textId="77777777" w:rsidR="00164ADE" w:rsidRPr="00B429BF" w:rsidRDefault="00164ADE" w:rsidP="00164ADE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164ADE" w:rsidRPr="00B429BF" w14:paraId="51499EDF" w14:textId="77777777" w:rsidTr="00B91C09">
        <w:tc>
          <w:tcPr>
            <w:tcW w:w="9322" w:type="dxa"/>
            <w:shd w:val="pct15" w:color="auto" w:fill="auto"/>
            <w:vAlign w:val="center"/>
          </w:tcPr>
          <w:p w14:paraId="3009ADCD" w14:textId="77777777" w:rsidR="00B91C09" w:rsidRPr="00B429BF" w:rsidRDefault="00B91C09" w:rsidP="00B91C09">
            <w:pPr>
              <w:pStyle w:val="Heading2"/>
              <w:spacing w:before="0"/>
              <w:ind w:left="360"/>
              <w:jc w:val="center"/>
            </w:pPr>
          </w:p>
          <w:p w14:paraId="2877BABE" w14:textId="299764FB" w:rsidR="00164ADE" w:rsidRPr="00B429BF" w:rsidRDefault="00164ADE" w:rsidP="00B82F95">
            <w:pPr>
              <w:pStyle w:val="Heading2"/>
              <w:numPr>
                <w:ilvl w:val="1"/>
                <w:numId w:val="22"/>
              </w:numPr>
              <w:spacing w:before="0"/>
              <w:ind w:left="788" w:hanging="431"/>
              <w:jc w:val="center"/>
            </w:pPr>
            <w:r>
              <w:t>Minimizzazzjoni tad-distorsjonijiet tal-kompetizzjoni u tal-kummerċ</w:t>
            </w:r>
          </w:p>
          <w:p w14:paraId="77CB675F" w14:textId="629AFEE9" w:rsidR="00B91C09" w:rsidRPr="00B429BF" w:rsidRDefault="00B91C09" w:rsidP="00B91C09"/>
        </w:tc>
      </w:tr>
    </w:tbl>
    <w:p w14:paraId="1060B87E" w14:textId="77777777" w:rsidR="00164ADE" w:rsidRPr="00B429BF" w:rsidRDefault="00164ADE" w:rsidP="00164ADE">
      <w:pPr>
        <w:ind w:left="-567" w:firstLine="1412"/>
        <w:rPr>
          <w:i/>
          <w:color w:val="000000"/>
        </w:rPr>
      </w:pPr>
    </w:p>
    <w:p w14:paraId="7218929B" w14:textId="77777777" w:rsidR="00164ADE" w:rsidRPr="00B429BF" w:rsidRDefault="00164ADE" w:rsidP="00663008">
      <w:pPr>
        <w:ind w:left="-567" w:firstLine="1412"/>
        <w:rPr>
          <w:i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425B1AE4" w14:textId="77777777" w:rsidTr="00504F2E">
        <w:tc>
          <w:tcPr>
            <w:tcW w:w="9322" w:type="dxa"/>
            <w:shd w:val="pct15" w:color="auto" w:fill="auto"/>
          </w:tcPr>
          <w:p w14:paraId="1D921C64" w14:textId="6E8FB6CB" w:rsidR="00663008" w:rsidRPr="00B429BF" w:rsidRDefault="00C45342" w:rsidP="00B82F95">
            <w:pPr>
              <w:pStyle w:val="Heading2"/>
              <w:numPr>
                <w:ilvl w:val="2"/>
                <w:numId w:val="22"/>
              </w:numPr>
              <w:jc w:val="center"/>
            </w:pPr>
            <w:r>
              <w:lastRenderedPageBreak/>
              <w:t>Il-ħtieġa tal-għajnuna</w:t>
            </w:r>
          </w:p>
          <w:p w14:paraId="5FBF20D3" w14:textId="16263FD7" w:rsidR="00B91C09" w:rsidRPr="00B429BF" w:rsidRDefault="00B91C09" w:rsidP="00B91C09"/>
        </w:tc>
      </w:tr>
    </w:tbl>
    <w:p w14:paraId="3C23674F" w14:textId="29D22089" w:rsidR="00663008" w:rsidRPr="00B429BF" w:rsidRDefault="00663008" w:rsidP="00663008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 xml:space="preserve">f’din it-taqsima, irreferi għat-taqsima 3.2.1.1 (il-punti 34-38) tas-CEEAG. </w:t>
      </w:r>
    </w:p>
    <w:p w14:paraId="6668EB5F" w14:textId="649E35C4" w:rsidR="00663008" w:rsidRPr="00B429BF" w:rsidRDefault="006630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jogħġbok spjega liema falliment(i) tas-suq identifikaw l-awtoritajiet tiegħek li jipprevjenu l-kisba ta’ livell suffiċjenti ta’ protezzjoni ambjentali. Speċifika f’liema kategorija jaqgħu l-fallimenti tas-suq identifikati, billi tagħmel referenza għall-ittri (a), (b), (c) jew (d) tal-punt 34 tas-CEEAG.</w:t>
      </w:r>
    </w:p>
    <w:p w14:paraId="621A86A8" w14:textId="77777777" w:rsidR="00663008" w:rsidRPr="00B429BF" w:rsidRDefault="00663008" w:rsidP="0066300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BF7751" w14:textId="78759A4E" w:rsidR="00836816" w:rsidRPr="00B429BF" w:rsidRDefault="00406F04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rPr>
          <w:rStyle w:val="normaltextrun"/>
        </w:rPr>
        <w:t>F’</w:t>
      </w:r>
      <w:r>
        <w:rPr>
          <w:rStyle w:val="normaltextrun"/>
          <w:color w:val="000000"/>
          <w:shd w:val="clear" w:color="auto" w:fill="FFFFFF"/>
        </w:rPr>
        <w:t>konformità</w:t>
      </w:r>
      <w:r>
        <w:rPr>
          <w:rStyle w:val="normaltextrun"/>
        </w:rPr>
        <w:t xml:space="preserve"> mal-punt 35 tas-CEEAG, </w:t>
      </w:r>
      <w:r>
        <w:t xml:space="preserve">ipprovdi informazzjoni dwar </w:t>
      </w:r>
      <w:r>
        <w:rPr>
          <w:shd w:val="clear" w:color="auto" w:fill="FFFFFF"/>
        </w:rPr>
        <w:t>kwalunkwe politika u miżura eżistenti li l-awtoritajiet tiegħek identifikaw, li diġà huma mmirati lejn il-fallimenti regolatorji jew tas-suq identifikati.</w:t>
      </w:r>
    </w:p>
    <w:p w14:paraId="1F515EEE" w14:textId="77777777" w:rsidR="00836816" w:rsidRPr="00B429BF" w:rsidRDefault="00836816" w:rsidP="0083681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143972C" w14:textId="01DFCA07" w:rsidR="00AE4020" w:rsidRPr="00B429BF" w:rsidRDefault="00AE4020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36 tas-CEEAG, ipprovdi informazzjoni li turi li l-għajnuna effettivament timmira lejn il-fallimenti tas-suq residwu, filwaqt li tqis ukoll kwalunkwe politika u miżura oħra diġà fis-seħħ biex tindirizza xi wħud mill-fallimenti tas-suq identifikati. </w:t>
      </w:r>
    </w:p>
    <w:p w14:paraId="2346D88A" w14:textId="77777777" w:rsidR="00AE4020" w:rsidRPr="00B429BF" w:rsidRDefault="00AE4020" w:rsidP="00AE402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02D9B40A" w14:textId="52AD8EC2" w:rsidR="00502FC2" w:rsidRPr="00B429BF" w:rsidRDefault="00502FC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tintwera l-konformità mal-punt 37 tas-CEEAG, spjega jekk, skont l-għarfien, </w:t>
      </w:r>
      <w:r>
        <w:rPr>
          <w:color w:val="000000"/>
          <w:shd w:val="clear" w:color="auto" w:fill="FFFFFF"/>
        </w:rPr>
        <w:t xml:space="preserve">il-proġetti jew l-attivitajiet </w:t>
      </w:r>
      <w:r>
        <w:t xml:space="preserve">tal-awtoritajiet tiegħek simili għal dawk </w:t>
      </w:r>
      <w:r>
        <w:rPr>
          <w:color w:val="000000"/>
          <w:shd w:val="clear" w:color="auto" w:fill="FFFFFF"/>
        </w:rPr>
        <w:t>koperti</w:t>
      </w:r>
      <w:r>
        <w:t xml:space="preserve"> mill-miżura/i notifikata/i </w:t>
      </w:r>
      <w:r>
        <w:rPr>
          <w:color w:val="000000"/>
          <w:shd w:val="clear" w:color="auto" w:fill="FFFFFF"/>
        </w:rPr>
        <w:t>fir-rigward tal-kontenut teknoloġiku, il-livell ta’ riskju u d-daqs tagħhom, humiex diġà</w:t>
      </w:r>
      <w:r>
        <w:t xml:space="preserve"> kkonsenjati </w:t>
      </w:r>
      <w:r>
        <w:rPr>
          <w:color w:val="000000"/>
          <w:shd w:val="clear" w:color="auto" w:fill="FFFFFF"/>
        </w:rPr>
        <w:t>fl-Unjoni bil-kundizzjonijiet tas-suq</w:t>
      </w:r>
      <w:r>
        <w:t>. Fl-affermattiv, jekk jogħġbok ipprovdi aktar evidenza biex turi l-ħtieġa għal għajnuna mill-Istat.</w:t>
      </w:r>
    </w:p>
    <w:p w14:paraId="61BF0D7C" w14:textId="539EDEFB" w:rsidR="00AE4020" w:rsidRPr="00B429BF" w:rsidRDefault="004152C3" w:rsidP="004152C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1F1F1CB" w14:textId="5FF003B6" w:rsidR="0016585C" w:rsidRPr="00B429BF" w:rsidRDefault="00D90307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Sabiex turi l-konformità mal-punt 38 tas-CEEAG, irreferi għall-evidenza kwantitattiva diġà pprovduta fil-mistoqsija </w:t>
      </w:r>
      <w:r>
        <w:fldChar w:fldCharType="begin"/>
      </w:r>
      <w:r>
        <w:instrText xml:space="preserve"> REF _Ref164673942 \r \h  \* MERGEFORMAT </w:instrText>
      </w:r>
      <w:r>
        <w:fldChar w:fldCharType="separate"/>
      </w:r>
      <w:r w:rsidR="007821A1">
        <w:t>14</w:t>
      </w:r>
      <w:r>
        <w:fldChar w:fldCharType="end"/>
      </w:r>
      <w:r>
        <w:fldChar w:fldCharType="begin"/>
      </w:r>
      <w:r>
        <w:instrText xml:space="preserve"> REF _Ref172646432 \r \h  \* MERGEFORMAT </w:instrText>
      </w:r>
      <w:r>
        <w:fldChar w:fldCharType="separate"/>
      </w:r>
      <w:r w:rsidR="007821A1">
        <w:t>C</w:t>
      </w:r>
      <w:r>
        <w:fldChar w:fldCharType="end"/>
      </w:r>
      <w:r>
        <w:t xml:space="preserve"> ta’ hawn fuq. </w:t>
      </w:r>
    </w:p>
    <w:p w14:paraId="6C2C6881" w14:textId="75FBF64A" w:rsidR="004E1CCE" w:rsidRPr="00B429BF" w:rsidRDefault="0016585C" w:rsidP="00B876B2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7AF542E9" w14:textId="77777777" w:rsidR="00094738" w:rsidRPr="00B429BF" w:rsidRDefault="00094738" w:rsidP="00094738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3406" w:rsidRPr="00B429BF" w14:paraId="039A2943" w14:textId="77777777" w:rsidTr="00504F2E">
        <w:tc>
          <w:tcPr>
            <w:tcW w:w="9322" w:type="dxa"/>
            <w:shd w:val="pct15" w:color="auto" w:fill="auto"/>
          </w:tcPr>
          <w:p w14:paraId="11FBCAA7" w14:textId="722C3100" w:rsidR="00EA354A" w:rsidRPr="00B429BF" w:rsidRDefault="00233A2F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In-natura adegwata tal-għajnuna </w:t>
            </w:r>
          </w:p>
        </w:tc>
      </w:tr>
    </w:tbl>
    <w:p w14:paraId="4C2D927B" w14:textId="7D36EFC6" w:rsidR="00EA354A" w:rsidRPr="00B429BF" w:rsidRDefault="00EA354A" w:rsidP="00EA354A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>Biex</w:t>
      </w:r>
      <w:r>
        <w:rPr>
          <w:i/>
        </w:rPr>
        <w:t xml:space="preserve"> tipprovdi l-informazzjoni </w:t>
      </w:r>
      <w:r>
        <w:rPr>
          <w:i/>
          <w:color w:val="000000"/>
        </w:rPr>
        <w:t xml:space="preserve">f’din it-taqsima, irreferi għat-taqsima 3.2.1.2 (il-punti 39-46) tas-CEEAG. </w:t>
      </w:r>
    </w:p>
    <w:p w14:paraId="58095579" w14:textId="77777777" w:rsidR="0004786A" w:rsidRPr="00B429BF" w:rsidRDefault="0004786A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40 tas-CEEAG, uri li ma hemmx strumenti inqas </w:t>
      </w:r>
      <w:proofErr w:type="spellStart"/>
      <w:r>
        <w:t>distorsivi</w:t>
      </w:r>
      <w:proofErr w:type="spellEnd"/>
      <w:r>
        <w:t xml:space="preserve"> disponibbli li huma aktar xierqa. </w:t>
      </w:r>
    </w:p>
    <w:p w14:paraId="7920EB54" w14:textId="77777777" w:rsidR="0004786A" w:rsidRPr="00B429BF" w:rsidRDefault="0004786A" w:rsidP="0004786A">
      <w:pPr>
        <w:tabs>
          <w:tab w:val="left" w:leader="dot" w:pos="9072"/>
        </w:tabs>
        <w:spacing w:before="120" w:after="120"/>
        <w:ind w:left="360"/>
        <w:jc w:val="both"/>
      </w:pPr>
      <w:r>
        <w:tab/>
      </w:r>
    </w:p>
    <w:p w14:paraId="7DD683CE" w14:textId="62AF1989" w:rsidR="00EA354A" w:rsidRPr="00B429BF" w:rsidRDefault="003D433B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41 tas-CEEAG, uri li l-miżura ta’ għajnuna hija mfassla b’tali mod li ma timminax l-effiċjenza ta’ miżuri oħra li jirrimedjaw l-istess falliment tas-suq, bħal mekkaniżmi bbażati fuq is-suq (eż. l-EU ETS).</w:t>
      </w:r>
      <w:r>
        <w:rPr>
          <w:rStyle w:val="normaltextrun"/>
          <w:color w:val="000000"/>
          <w:shd w:val="clear" w:color="auto" w:fill="FFFFFF"/>
        </w:rPr>
        <w:t> </w:t>
      </w:r>
      <w:r>
        <w:t xml:space="preserve"> </w:t>
      </w:r>
    </w:p>
    <w:p w14:paraId="298B657B" w14:textId="77777777" w:rsidR="00EA354A" w:rsidRPr="00B429BF" w:rsidRDefault="00EA354A" w:rsidP="00EA354A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E99B968" w14:textId="09E2A74F" w:rsidR="00E02B81" w:rsidRPr="00B429BF" w:rsidRDefault="00E02B81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 xml:space="preserve">Sabiex tiġi vverifikata l-konformità mal-punt 42 tas-CEEAG, ikkonferma li l-ebda wieħed </w:t>
      </w:r>
      <w:r>
        <w:rPr>
          <w:color w:val="000000"/>
          <w:shd w:val="clear" w:color="auto" w:fill="FFFFFF"/>
        </w:rPr>
        <w:t xml:space="preserve">mill-benefiċjarji tal-miżura/i ta’ għajnuna ma jista’ jinżamm responsabbli għat-tniġġis skont </w:t>
      </w:r>
      <w:r>
        <w:rPr>
          <w:shd w:val="clear" w:color="auto" w:fill="FFFFFF"/>
        </w:rPr>
        <w:t>il-liġi tal-Unjoni jew nazzjonali eżistenti (</w:t>
      </w:r>
      <w:r>
        <w:rPr>
          <w:i/>
          <w:shd w:val="clear" w:color="auto" w:fill="FFFFFF"/>
        </w:rPr>
        <w:t>il-prinċipju ta’ “min iniġġes iħallas”</w:t>
      </w:r>
      <w:r>
        <w:rPr>
          <w:shd w:val="clear" w:color="auto" w:fill="FFFFFF"/>
        </w:rPr>
        <w:t xml:space="preserve">). </w:t>
      </w:r>
    </w:p>
    <w:p w14:paraId="4A6AA871" w14:textId="77777777" w:rsidR="00E02B81" w:rsidRPr="00B429BF" w:rsidRDefault="00E02B81" w:rsidP="00E02B81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E8078B3" w14:textId="5739371F" w:rsidR="00F6400A" w:rsidRPr="00B429BF" w:rsidRDefault="002F593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mal-punti 43 sa 46 tas-CEEAG, sabiex turi l-adegwatezza tal-għajnuna fost strumenti ta’ għajnuna differenti, ipprovdi l-informazzjoni li ġejja: </w:t>
      </w:r>
    </w:p>
    <w:p w14:paraId="4F88C324" w14:textId="66497F82" w:rsidR="00EF1F6E" w:rsidRPr="00B429BF" w:rsidRDefault="00D97CBE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 xml:space="preserve">Spjega għaliex forom oħra ta’ għajnuna potenzjalment inqas </w:t>
      </w:r>
      <w:proofErr w:type="spellStart"/>
      <w:r>
        <w:t>distorsivi</w:t>
      </w:r>
      <w:proofErr w:type="spellEnd"/>
      <w:r>
        <w:t xml:space="preserve"> huma inqas adatti</w:t>
      </w:r>
      <w:r>
        <w:rPr>
          <w:rStyle w:val="normaltextrun"/>
        </w:rPr>
        <w:t>, kif meħtieġ fil-punt 44 tas-CEEAG</w:t>
      </w:r>
      <w:r>
        <w:t xml:space="preserve">. </w:t>
      </w:r>
    </w:p>
    <w:p w14:paraId="4CB3170A" w14:textId="77777777" w:rsidR="00EF1F6E" w:rsidRPr="00B429BF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AC5661D" w14:textId="73F7D8A9" w:rsidR="00EF1F6E" w:rsidRPr="00B429BF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Uri li l-għażla tal-istrument ta’ għajnuna hija xierqa għall-falliment tas-suq li l-miżura/i ta’ għajnuna għandha l-għan li tindirizza, kif meħtieġ fil-punt 45 tas-CEEAG.</w:t>
      </w:r>
    </w:p>
    <w:p w14:paraId="57DB0283" w14:textId="77777777" w:rsidR="00EF1F6E" w:rsidRPr="00B429BF" w:rsidRDefault="00EF1F6E" w:rsidP="00EF1F6E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3A4CB4" w14:textId="382D70C6" w:rsidR="00ED71CB" w:rsidRPr="00B429BF" w:rsidRDefault="00F6400A" w:rsidP="00B82F95">
      <w:pPr>
        <w:pStyle w:val="ListParagraph"/>
        <w:numPr>
          <w:ilvl w:val="0"/>
          <w:numId w:val="32"/>
        </w:numPr>
        <w:spacing w:before="120" w:after="120"/>
        <w:contextualSpacing w:val="0"/>
        <w:jc w:val="both"/>
      </w:pPr>
      <w:r>
        <w:t>Spjega kif il-</w:t>
      </w:r>
      <w:r>
        <w:rPr>
          <w:color w:val="000000"/>
          <w:shd w:val="clear" w:color="auto" w:fill="FFFFFF"/>
        </w:rPr>
        <w:t xml:space="preserve">miżura ta’ għajnuna u t-tfassil tagħha huma xierqa biex jintlaħaq l-objettiv tagħha </w:t>
      </w:r>
      <w:r>
        <w:rPr>
          <w:rStyle w:val="normaltextrun"/>
          <w:shd w:val="clear" w:color="auto" w:fill="FFFFFF"/>
        </w:rPr>
        <w:t>(il-punt 46 tas-CEEAG)</w:t>
      </w:r>
      <w:r>
        <w:rPr>
          <w:shd w:val="clear" w:color="auto" w:fill="FFFFFF"/>
        </w:rPr>
        <w:t>.</w:t>
      </w:r>
    </w:p>
    <w:p w14:paraId="519D6DA8" w14:textId="6A1C9C92" w:rsidR="00ED71CB" w:rsidRPr="00B429BF" w:rsidRDefault="00ED71CB" w:rsidP="00ED71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589B387" w14:textId="5D8B302A" w:rsidR="00863406" w:rsidRPr="00B429BF" w:rsidRDefault="00E74034" w:rsidP="00863406">
      <w:pPr>
        <w:ind w:left="-567" w:firstLine="1412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FC6878" w:rsidRPr="00B429BF" w14:paraId="6548EFF5" w14:textId="77777777" w:rsidTr="00504F2E">
        <w:tc>
          <w:tcPr>
            <w:tcW w:w="9322" w:type="dxa"/>
            <w:shd w:val="pct15" w:color="auto" w:fill="auto"/>
          </w:tcPr>
          <w:p w14:paraId="3EB94997" w14:textId="7AE3B307" w:rsidR="00863406" w:rsidRPr="00B429BF" w:rsidRDefault="00190FD9" w:rsidP="00B82F95">
            <w:pPr>
              <w:pStyle w:val="Heading2"/>
              <w:numPr>
                <w:ilvl w:val="2"/>
                <w:numId w:val="22"/>
              </w:numPr>
              <w:jc w:val="center"/>
              <w:rPr>
                <w:szCs w:val="24"/>
              </w:rPr>
            </w:pPr>
            <w:r>
              <w:t xml:space="preserve">Proporzjonalità </w:t>
            </w:r>
          </w:p>
        </w:tc>
      </w:tr>
    </w:tbl>
    <w:p w14:paraId="5A2A77DE" w14:textId="20FE0FA7" w:rsidR="00451471" w:rsidRPr="00B429BF" w:rsidRDefault="00863406" w:rsidP="00864350">
      <w:pPr>
        <w:spacing w:before="360" w:after="120"/>
        <w:jc w:val="both"/>
        <w:rPr>
          <w:i/>
        </w:rPr>
      </w:pPr>
      <w:r>
        <w:rPr>
          <w:i/>
        </w:rPr>
        <w:t xml:space="preserve">Biex tipprovdi l-informazzjoni f’din it-taqsima, irreferi għat-taqsima 4.7.2.4 (il-punti 318–320) tas-CEEAG. </w:t>
      </w:r>
    </w:p>
    <w:p w14:paraId="1D6DB95B" w14:textId="15CA435A" w:rsidR="00F60556" w:rsidRPr="00B429BF" w:rsidRDefault="00F60556" w:rsidP="4B2A093F">
      <w:pPr>
        <w:pStyle w:val="ListParagraph"/>
        <w:numPr>
          <w:ilvl w:val="0"/>
          <w:numId w:val="4"/>
        </w:numPr>
        <w:spacing w:before="120" w:after="120"/>
        <w:ind w:left="567" w:hanging="567"/>
      </w:pPr>
      <w:r>
        <w:t>Sabiex tivverifika l-konformità mal-punt 318 tas-CEEAG, ipprovdi informazzjoni biex turi li l-għajnuna ma taqbiżx l-ammont normali tat-taxxa jew tal-imposta li kieku kienu jkunu applikabbli.</w:t>
      </w:r>
      <w:r>
        <w:tab/>
      </w:r>
    </w:p>
    <w:p w14:paraId="7CAECDEE" w14:textId="77777777" w:rsidR="00E50157" w:rsidRPr="00B429BF" w:rsidRDefault="00E50157" w:rsidP="00E50157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206FBE6" w14:textId="3024DE00" w:rsidR="007821A1" w:rsidRPr="00B429BF" w:rsidRDefault="007821A1" w:rsidP="007821A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F’każijiet fejn it-tnaqqis tat-taxxa jew tal-imposta </w:t>
      </w:r>
      <w:proofErr w:type="spellStart"/>
      <w:r>
        <w:t>parafiskali</w:t>
      </w:r>
      <w:proofErr w:type="spellEnd"/>
      <w:r>
        <w:t xml:space="preserve"> huwa marbut mal-kostijiet tal-investiment, skont it-Taqsima tas-CEAAG li taħtha jaqgħu l-attivitajiet appoġġati, </w:t>
      </w:r>
      <w:proofErr w:type="spellStart"/>
      <w:r>
        <w:t>iddeskrivi</w:t>
      </w:r>
      <w:proofErr w:type="spellEnd"/>
      <w:r>
        <w:t xml:space="preserve"> f’konformità mal-punt 319 tas-CEEAG kif se jiġi żgurat li l-għajnuna ma taqbiżx l-intensitajiet tal-għajnuna applikabbli u l-ammonti massimi tal-għajnuna:</w:t>
      </w:r>
    </w:p>
    <w:p w14:paraId="20FA8CFC" w14:textId="1761824E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4.2 (il-punti 146–151 tas-CEEAG)</w:t>
      </w:r>
    </w:p>
    <w:p w14:paraId="46FF5EA3" w14:textId="12D0A8FB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4.3.1 (il-punti 177–180 tas-CEEAG</w:t>
      </w:r>
      <w:r>
        <w:rPr>
          <w:i/>
        </w:rPr>
        <w:t>)</w:t>
      </w:r>
    </w:p>
    <w:p w14:paraId="4DDE6ACE" w14:textId="07725BA8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4.3.2 (il-punti 200–204 tas-CEEAG </w:t>
      </w:r>
    </w:p>
    <w:p w14:paraId="68B447A3" w14:textId="4932DFC6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4.4 (il-punti 239–245 tas-CEEAG)</w:t>
      </w:r>
    </w:p>
    <w:p w14:paraId="672D1A25" w14:textId="77777777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4.5 (il-punti 265–271 tas-CEEAG)</w:t>
      </w:r>
    </w:p>
    <w:p w14:paraId="4850E6CA" w14:textId="77777777" w:rsidR="007821A1" w:rsidRPr="00B429BF" w:rsidRDefault="007821A1" w:rsidP="00287B08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Għat-Taqsima 4.6 (il-punti 288–291 tas-CEEAG)</w:t>
      </w:r>
    </w:p>
    <w:p w14:paraId="5F482D19" w14:textId="046B4DE9" w:rsidR="008E0F56" w:rsidRPr="00B429BF" w:rsidRDefault="004E74BB" w:rsidP="008E0F56">
      <w:pPr>
        <w:tabs>
          <w:tab w:val="left" w:leader="dot" w:pos="9072"/>
        </w:tabs>
        <w:spacing w:before="120" w:after="120"/>
        <w:ind w:left="567"/>
        <w:jc w:val="both"/>
      </w:pPr>
      <w:r>
        <w:t>Għall-intensitajiet massimi tal-għajnuna u l-ammonti massimi tal-għajnuna, jekk jogħġbok imla l-mistoqsijiet mill-formola ta’ informazzjoni supplimentari rispettiva għat-Taqsima rilevanti.</w:t>
      </w:r>
      <w:r>
        <w:tab/>
      </w:r>
    </w:p>
    <w:p w14:paraId="533F9BDE" w14:textId="0699221A" w:rsidR="005416C4" w:rsidRPr="00B429BF" w:rsidRDefault="00287B0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F’każijiet fejn it-tnaqqis tat-taxxa jew tal-imposta </w:t>
      </w:r>
      <w:proofErr w:type="spellStart"/>
      <w:r>
        <w:t>parafiskali</w:t>
      </w:r>
      <w:proofErr w:type="spellEnd"/>
      <w:r>
        <w:t xml:space="preserve"> jnaqqas il-kostijiet operatorji rikorrenti, sabiex tiġi vverifikata l-konformità mal-punt 320 tas-CEEAG, </w:t>
      </w:r>
      <w:proofErr w:type="spellStart"/>
      <w:r>
        <w:t>iddeskrivi</w:t>
      </w:r>
      <w:proofErr w:type="spellEnd"/>
      <w:r>
        <w:t xml:space="preserve"> kif se jiġi żgurat li l-ammont tal-għajnuna ma jaqbiżx id-differenza bejn il-</w:t>
      </w:r>
      <w:r>
        <w:lastRenderedPageBreak/>
        <w:t xml:space="preserve">kostijiet tal-proġett jew tal-attività li ma jagħmlux ħsara lill-ambjent u tax-xenarju kontrofattwali li ma jagħmilx ħsara lill-ambjent. Jekk jogħġbok agħti wkoll dettalji dwar kif se jitqiesu l-iffrankar potenzjali tal-ispejjeż u/jew id-dħul addizzjonali tal-proġett li ma jagħmilx ħsara lill-ambjent. </w:t>
      </w:r>
    </w:p>
    <w:p w14:paraId="4A4B66D2" w14:textId="77777777" w:rsidR="005416C4" w:rsidRPr="00B429BF" w:rsidRDefault="005416C4" w:rsidP="005416C4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4CEF8F72" w14:textId="77777777" w:rsidR="00B21377" w:rsidRPr="00B429BF" w:rsidRDefault="00B21377" w:rsidP="00287B08">
      <w:pPr>
        <w:rPr>
          <w:i/>
          <w:color w:val="000000"/>
        </w:rPr>
      </w:pPr>
    </w:p>
    <w:p w14:paraId="4A76BA85" w14:textId="4C3D3B39" w:rsidR="0078387C" w:rsidRPr="00B429BF" w:rsidRDefault="0078387C" w:rsidP="0078387C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6773CE" w:rsidRPr="00B429BF" w14:paraId="3B675B34" w14:textId="77777777" w:rsidTr="00504F2E">
        <w:tc>
          <w:tcPr>
            <w:tcW w:w="9322" w:type="dxa"/>
            <w:shd w:val="pct15" w:color="auto" w:fill="auto"/>
          </w:tcPr>
          <w:p w14:paraId="75619393" w14:textId="382F2F6E" w:rsidR="006773CE" w:rsidRPr="00B429BF" w:rsidRDefault="00571910" w:rsidP="00B82F95">
            <w:pPr>
              <w:pStyle w:val="Heading1"/>
              <w:numPr>
                <w:ilvl w:val="2"/>
                <w:numId w:val="22"/>
              </w:num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It-trasparenza</w:t>
            </w:r>
          </w:p>
        </w:tc>
      </w:tr>
    </w:tbl>
    <w:p w14:paraId="07229A8F" w14:textId="4DAB462B" w:rsidR="006773CE" w:rsidRPr="00B429BF" w:rsidRDefault="006773CE" w:rsidP="006773CE">
      <w:pPr>
        <w:spacing w:before="360" w:after="120"/>
        <w:jc w:val="both"/>
        <w:rPr>
          <w:i/>
        </w:rPr>
      </w:pPr>
      <w:r>
        <w:rPr>
          <w:i/>
          <w:color w:val="000000"/>
        </w:rPr>
        <w:t xml:space="preserve">Biex </w:t>
      </w:r>
      <w:r>
        <w:rPr>
          <w:i/>
        </w:rPr>
        <w:t xml:space="preserve">tipprovdi l-informazzjoni </w:t>
      </w:r>
      <w:r>
        <w:rPr>
          <w:i/>
          <w:color w:val="000000"/>
        </w:rPr>
        <w:t xml:space="preserve">f’din it-taqsima, irreferi </w:t>
      </w:r>
      <w:r>
        <w:rPr>
          <w:i/>
        </w:rPr>
        <w:t xml:space="preserve">għat-taqsima 3.2.1.4 (il-punti 58-62) tas-CEEAG. </w:t>
      </w:r>
    </w:p>
    <w:p w14:paraId="2F90DC37" w14:textId="29443E0A" w:rsidR="00726BC8" w:rsidRPr="00B429BF" w:rsidRDefault="00726BC8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eastAsia="Times New Roman"/>
          <w:szCs w:val="24"/>
        </w:rPr>
      </w:pPr>
      <w:r>
        <w:t xml:space="preserve">Ikkonferma li l-Istat Membru se jikkonforma mar-rekwiżiti dwar it-trasparenza pprovduti fil-punti 58-61 tas-CEEAG. </w:t>
      </w:r>
    </w:p>
    <w:p w14:paraId="635CE9AB" w14:textId="77777777" w:rsidR="00726BC8" w:rsidRPr="00B429B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7D2E18" w14:textId="11709778" w:rsidR="00726BC8" w:rsidRPr="00B429BF" w:rsidRDefault="00726BC8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  <w:rPr>
          <w:rFonts w:eastAsia="Times New Roman"/>
        </w:rPr>
      </w:pPr>
      <w:r>
        <w:t>Ipprovdi l-link tal-internet fejn se jiġi ppubblikat it-test sħiħ tal-iskema ta’ għajnuna approvata jew</w:t>
      </w:r>
      <w:r>
        <w:rPr>
          <w:color w:val="000000" w:themeColor="text1"/>
        </w:rPr>
        <w:t xml:space="preserve"> tad-deċiżjoni tal-għoti tal-għajnuna individwali u d-dispożizzjonijiet ta’ implimentazzjoni tagħha, u </w:t>
      </w:r>
      <w:r>
        <w:t>informazzjoni</w:t>
      </w:r>
      <w:r>
        <w:rPr>
          <w:color w:val="000000" w:themeColor="text1"/>
        </w:rPr>
        <w:t xml:space="preserve"> dwar kull għotja ta’ għajnuna individwali mogħtija </w:t>
      </w:r>
      <w:proofErr w:type="spellStart"/>
      <w:r>
        <w:rPr>
          <w:color w:val="000000" w:themeColor="text1"/>
        </w:rPr>
        <w:t>ad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hoc</w:t>
      </w:r>
      <w:proofErr w:type="spellEnd"/>
      <w:r>
        <w:rPr>
          <w:color w:val="000000" w:themeColor="text1"/>
        </w:rPr>
        <w:t xml:space="preserve"> jew skont skema ta’ għajnuna approvata fuq il-bażi tas-CEEAG </w:t>
      </w:r>
      <w:r>
        <w:t xml:space="preserve">u li taqbeż il-EUR 100 000, fejn l-ammonti ta’ għajnuna individwali jistgħu jiġu ppubblikati f’firxiet kif stabbilit fil-punt 60 tas-CEEAG. </w:t>
      </w:r>
    </w:p>
    <w:p w14:paraId="235E3AEB" w14:textId="77777777" w:rsidR="00726BC8" w:rsidRPr="00B429BF" w:rsidRDefault="00726BC8" w:rsidP="00726BC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FE0B14" w14:textId="672006CA" w:rsidR="007C0A44" w:rsidRPr="00B429BF" w:rsidRDefault="00FF1BF6" w:rsidP="00425CC6">
      <w:pPr>
        <w:pStyle w:val="ListParagraph"/>
        <w:spacing w:before="120" w:after="120"/>
        <w:ind w:left="0"/>
        <w:contextualSpacing w:val="0"/>
        <w:jc w:val="both"/>
        <w:rPr>
          <w:i/>
          <w:color w:val="000000"/>
        </w:rPr>
      </w:pPr>
      <w: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D37F9" w:rsidRPr="00B429BF" w14:paraId="3CD6496D" w14:textId="77777777" w:rsidTr="00504F2E">
        <w:tc>
          <w:tcPr>
            <w:tcW w:w="9322" w:type="dxa"/>
            <w:shd w:val="pct15" w:color="auto" w:fill="auto"/>
          </w:tcPr>
          <w:p w14:paraId="6D3C4956" w14:textId="35FDE87A" w:rsidR="008D37F9" w:rsidRPr="00B429BF" w:rsidRDefault="00011908" w:rsidP="00B82F95">
            <w:pPr>
              <w:pStyle w:val="Heading2"/>
              <w:numPr>
                <w:ilvl w:val="1"/>
                <w:numId w:val="22"/>
              </w:numPr>
              <w:jc w:val="center"/>
              <w:rPr>
                <w:iCs/>
                <w:color w:val="000000"/>
                <w:szCs w:val="24"/>
              </w:rPr>
            </w:pPr>
            <w:r>
              <w:rPr>
                <w:color w:val="000000"/>
              </w:rPr>
              <w:t>L-evitar ta’ effetti negattivi mhux dovuti tal-għajnuna fuq il-kompetizzjoni u l-kummerċ u l-ibbilanċjar</w:t>
            </w:r>
          </w:p>
        </w:tc>
      </w:tr>
    </w:tbl>
    <w:p w14:paraId="6CD3884F" w14:textId="2069A458" w:rsidR="00F83660" w:rsidRPr="00B429BF" w:rsidRDefault="00F83660" w:rsidP="00F83660">
      <w:pPr>
        <w:spacing w:before="360" w:after="120"/>
        <w:jc w:val="both"/>
        <w:rPr>
          <w:i/>
        </w:rPr>
      </w:pPr>
      <w:r>
        <w:rPr>
          <w:i/>
          <w:color w:val="000000"/>
        </w:rPr>
        <w:t xml:space="preserve">Sabiex </w:t>
      </w:r>
      <w:r>
        <w:rPr>
          <w:i/>
        </w:rPr>
        <w:t xml:space="preserve">tipprovdi l-informazzjoni f’din it-taqsima, irreferi għat-taqsima 3.2.2 (il-punti 63-70) u t-taqsima 4.7.2.5 (il-punti 322-324) tas-CEEAG. </w:t>
      </w:r>
    </w:p>
    <w:p w14:paraId="0A211E3D" w14:textId="3B9DF17B" w:rsidR="00F83660" w:rsidRPr="00B429BF" w:rsidRDefault="00F83660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tivverifika l-konformità mal-punt 67 tas-CEEAG, ipprovdi informazzjoni dwar l-effetti negattivi possibbli fuq terminu qasir u twil tal-miżura/i notifikata/i fuq il-kompetizzjoni u l-kummerċ. </w:t>
      </w:r>
    </w:p>
    <w:p w14:paraId="3391AE0D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F1F194C" w14:textId="4EC1B488" w:rsidR="00397D3C" w:rsidRPr="00B429BF" w:rsidRDefault="00397D3C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Spjega jekk il-miżura taqax taħt xi waħda mis-sitwazzjonijiet li ġejjin: </w:t>
      </w:r>
    </w:p>
    <w:p w14:paraId="554349FE" w14:textId="018208B6" w:rsidR="00397D3C" w:rsidRPr="00B429BF" w:rsidRDefault="00EC455B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Se tkun ta’ benefiċċju biss għal benefiċjarju wieħed jew għal għadd partikolarment limitat ta’ benefiċjarji;</w:t>
      </w:r>
    </w:p>
    <w:p w14:paraId="1396D52A" w14:textId="77777777" w:rsidR="00397D3C" w:rsidRPr="00B429BF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5A4A2360" w14:textId="0D83D163" w:rsidR="00397D3C" w:rsidRPr="00B429BF" w:rsidRDefault="00EC455B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Hija mmirata lejn suq (jew swieq) fejn l-operaturi stabbiliti kisbu setgħa fis-suq qabel il-liberalizzazzjoni tas-suq.</w:t>
      </w:r>
    </w:p>
    <w:p w14:paraId="400965A9" w14:textId="2D2C5BAD" w:rsidR="00C546A0" w:rsidRPr="00B429BF" w:rsidRDefault="00C546A0" w:rsidP="00C546A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C7AA24B" w14:textId="5B3ED28B" w:rsidR="00A404D9" w:rsidRPr="00B429BF" w:rsidRDefault="00F85F8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lastRenderedPageBreak/>
        <w:t xml:space="preserve">Jekk il-miżura ta’ għajnuna tiffoka fuq għażla/perkors teknoloġiku speċifiku, jekk jogħġbok </w:t>
      </w:r>
      <w:proofErr w:type="spellStart"/>
      <w:r>
        <w:t>iġġustifika</w:t>
      </w:r>
      <w:proofErr w:type="spellEnd"/>
      <w:r>
        <w:t xml:space="preserve"> r-raġuni għall-għażla teknoloġika u li mhux se tiskoraġġixxi l-użu ta’ teknoloġiji aktar nodfa. </w:t>
      </w:r>
    </w:p>
    <w:p w14:paraId="38340427" w14:textId="77777777" w:rsidR="00397D3C" w:rsidRPr="00B429BF" w:rsidRDefault="00397D3C" w:rsidP="00397D3C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CF02C9" w14:textId="15047877" w:rsidR="00F83660" w:rsidRPr="00B429BF" w:rsidRDefault="00D7429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il-miżura/i notifikata/i se tibbenefika biss benefiċjarju wieħed jew għadd partikolarment limitat ta’ benefiċjarji, sabiex tiġi vverifikata l-konformità mal-punt 68 tas-CEEAG, jekk jogħġbok:</w:t>
      </w:r>
    </w:p>
    <w:p w14:paraId="05892635" w14:textId="438AD58D" w:rsidR="00F83660" w:rsidRPr="00B429BF" w:rsidRDefault="00D4206D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Spjega jekk il-miżura/i notifikata/i </w:t>
      </w:r>
      <w:proofErr w:type="spellStart"/>
      <w:r>
        <w:t>ssaħħaħx</w:t>
      </w:r>
      <w:proofErr w:type="spellEnd"/>
      <w:r>
        <w:t xml:space="preserve"> jew iżżommx is-saħħa fis-suq tal-benefiċjarju/i jew </w:t>
      </w:r>
      <w:proofErr w:type="spellStart"/>
      <w:r>
        <w:t>tiskoraġġixxix</w:t>
      </w:r>
      <w:proofErr w:type="spellEnd"/>
      <w:r>
        <w:t xml:space="preserve"> l-espansjoni ta’ kompetituri eżistenti jew </w:t>
      </w:r>
      <w:proofErr w:type="spellStart"/>
      <w:r>
        <w:t>tinduċix</w:t>
      </w:r>
      <w:proofErr w:type="spellEnd"/>
      <w:r>
        <w:t xml:space="preserve"> il-ħruġ tagħhom jew </w:t>
      </w:r>
      <w:proofErr w:type="spellStart"/>
      <w:r>
        <w:t>tiskoraġġixxix</w:t>
      </w:r>
      <w:proofErr w:type="spellEnd"/>
      <w:r>
        <w:t xml:space="preserve"> id-dħul ta’ kompetituri ġodda. Spjega wkoll f’dan ir-rigward jekk il-miżura ta’ għajnuna hijiex se twassal għal żieda fil-kapaċità tal-produzzjoni tal-benefiċjarju.</w:t>
      </w:r>
    </w:p>
    <w:p w14:paraId="798B76FF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6611A3B" w14:textId="42022102" w:rsidR="00F83660" w:rsidRPr="00B429BF" w:rsidRDefault="00D4206D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Iddeskrivi l-miżura/i stabbilita/i biex tillimita d-distorsjoni potenzjali tal-kompetizzjoni kkawżata mill-għoti tal-għajnuna lill-benefiċjarju/i. </w:t>
      </w:r>
    </w:p>
    <w:p w14:paraId="0638448B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EA03E9A" w14:textId="5223C3B6" w:rsidR="00F83660" w:rsidRPr="00B429BF" w:rsidRDefault="00F83660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tivverifika l-konformità mal-punt 69 tas-CEEAG, spjega:</w:t>
      </w:r>
    </w:p>
    <w:p w14:paraId="4FA1E951" w14:textId="7EB570EA" w:rsidR="00787938" w:rsidRPr="00B429BF" w:rsidRDefault="00787938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Jekk l-għajnuna mogħtija skont il-miżura(i) notifikata(i) għandha l-għan li tippreserva l-attività ekonomika f’reġjun wieħed jew tattira lil hinn minn reġjuni oħra fi ħdan is-suq intern. </w:t>
      </w:r>
    </w:p>
    <w:p w14:paraId="20D1C08A" w14:textId="77777777" w:rsidR="00787938" w:rsidRPr="00B429BF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48EA6BC" w14:textId="3ADC28CF" w:rsidR="00F83660" w:rsidRPr="00B429BF" w:rsidRDefault="00F8366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Fl-affermattiv, jekk jogħġbok speċifika liema huwa l-effett ambjentali nett tal-miżura/i notifikata/i u kif il-miżura/i notifikata/i ttejjeb/itejbu l-livell eżistenti ta’ protezzjoni ambjentali fl-Istati Membri.</w:t>
      </w:r>
    </w:p>
    <w:p w14:paraId="4F9F5FD3" w14:textId="77777777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302C0037" w14:textId="11B9BE71" w:rsidR="00F83660" w:rsidRPr="00B429BF" w:rsidRDefault="00787938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Kif l-għajnuna mogħtija taħt il-miżura/i notifikata/i ma tirriżultax f’effetti manifestament negattivi fuq il-kompetizzjoni u l-kummerċ. </w:t>
      </w:r>
    </w:p>
    <w:p w14:paraId="117B8B16" w14:textId="77777777" w:rsidR="00787938" w:rsidRPr="00B429BF" w:rsidRDefault="00787938" w:rsidP="00787938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77064147" w14:textId="5ED0072F" w:rsidR="00F83660" w:rsidRPr="00B429BF" w:rsidRDefault="00F83660" w:rsidP="00F83660">
      <w:pPr>
        <w:tabs>
          <w:tab w:val="left" w:leader="dot" w:pos="9072"/>
        </w:tabs>
        <w:spacing w:before="120" w:after="120"/>
        <w:ind w:left="567"/>
        <w:jc w:val="both"/>
      </w:pPr>
    </w:p>
    <w:p w14:paraId="43910A00" w14:textId="77777777" w:rsidR="00E84057" w:rsidRPr="00B429BF" w:rsidRDefault="00E84057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70 tas-CEEAG:</w:t>
      </w:r>
    </w:p>
    <w:p w14:paraId="2E397074" w14:textId="77777777" w:rsidR="00E84057" w:rsidRPr="00B429BF" w:rsidRDefault="00E84057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Ikkonferma li l-għajnuna tista’ tingħata taħt l-iskema notifikata għal perjodu massimu ta’ 10 snin </w:t>
      </w:r>
      <w:r>
        <w:rPr>
          <w:color w:val="000000"/>
          <w:shd w:val="clear" w:color="auto" w:fill="FFFFFF"/>
        </w:rPr>
        <w:t>mid-data tan-notifika tad-deċiżjoni tal-Kummissjoni li tiddikjara l-għajnuna kompatibbli</w:t>
      </w:r>
      <w:r>
        <w:t xml:space="preserve">.  </w:t>
      </w:r>
    </w:p>
    <w:p w14:paraId="6C9BCC6F" w14:textId="77777777" w:rsidR="00E84057" w:rsidRPr="00B429BF" w:rsidRDefault="00E84057" w:rsidP="00E84057">
      <w:pPr>
        <w:tabs>
          <w:tab w:val="left" w:leader="dot" w:pos="9072"/>
        </w:tabs>
        <w:spacing w:before="120" w:after="120"/>
        <w:ind w:left="1440"/>
        <w:jc w:val="both"/>
      </w:pPr>
      <w:r>
        <w:tab/>
      </w:r>
    </w:p>
    <w:p w14:paraId="2FFEA44E" w14:textId="77777777" w:rsidR="00E84057" w:rsidRPr="00B429BF" w:rsidRDefault="00E84057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Jekk jogħġbok ikkonferma li, jekk l-awtoritajiet tiegħek jixtiequ jestendu t-tul ta’ żmien tal-iskema lil hinn minn dak il-perjodu massimu, huma se </w:t>
      </w:r>
      <w:proofErr w:type="spellStart"/>
      <w:r>
        <w:t>jirrinotifikaw</w:t>
      </w:r>
      <w:proofErr w:type="spellEnd"/>
      <w:r>
        <w:t xml:space="preserve"> il-miżura. </w:t>
      </w:r>
    </w:p>
    <w:p w14:paraId="56F2000D" w14:textId="77777777" w:rsidR="00E84057" w:rsidRPr="00B429BF" w:rsidRDefault="00E84057" w:rsidP="00E84057">
      <w:pPr>
        <w:tabs>
          <w:tab w:val="left" w:leader="dot" w:pos="9072"/>
        </w:tabs>
        <w:spacing w:before="120" w:after="120"/>
        <w:ind w:left="720"/>
        <w:jc w:val="both"/>
      </w:pPr>
      <w:bookmarkStart w:id="19" w:name="_Hlk172647350"/>
      <w:r>
        <w:tab/>
      </w:r>
    </w:p>
    <w:bookmarkEnd w:id="19"/>
    <w:p w14:paraId="37787B1E" w14:textId="66372EEA" w:rsidR="002C45A2" w:rsidRPr="00B429BF" w:rsidRDefault="00287B0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Iddeskrivi kif huwa żgurat li tingħata l-għajnuna, f’konformità mal-punt 322 tas-CEEAG, bl-istess mod għall-impriżi eliġibbli kollha li joperaw fl-istess settur ta’ attività ekonomika li jinsabu fl-istess sitwazzjoni fattwali jew f’sitwazzjoni fattwali simili fir-rigward tal-għanijiet jew l-objettivi tal-miżura ta’ għajnuna.</w:t>
      </w:r>
    </w:p>
    <w:p w14:paraId="5047CE45" w14:textId="47C759CB" w:rsidR="00287B08" w:rsidRPr="00B429BF" w:rsidRDefault="00287B08" w:rsidP="00287B08">
      <w:pPr>
        <w:tabs>
          <w:tab w:val="left" w:leader="dot" w:pos="9072"/>
        </w:tabs>
        <w:spacing w:before="120" w:after="120"/>
        <w:ind w:left="720"/>
        <w:jc w:val="both"/>
      </w:pPr>
      <w:r>
        <w:lastRenderedPageBreak/>
        <w:tab/>
      </w:r>
    </w:p>
    <w:p w14:paraId="1E241DBD" w14:textId="55B8D539" w:rsidR="00287B08" w:rsidRPr="00B429BF" w:rsidRDefault="00287B08" w:rsidP="4B2A093F">
      <w:pPr>
        <w:pStyle w:val="ListParagraph"/>
        <w:numPr>
          <w:ilvl w:val="0"/>
          <w:numId w:val="4"/>
        </w:numPr>
        <w:spacing w:before="120" w:after="120"/>
        <w:ind w:left="567" w:hanging="567"/>
        <w:jc w:val="both"/>
      </w:pPr>
      <w:r>
        <w:t xml:space="preserve">Għal skemi li ilhom għaddejjin għal aktar minn 3 snin, </w:t>
      </w:r>
      <w:proofErr w:type="spellStart"/>
      <w:r>
        <w:t>iddeskrivi</w:t>
      </w:r>
      <w:proofErr w:type="spellEnd"/>
      <w:r>
        <w:t xml:space="preserve"> f’konformità mal-punt 323 tas-CEEAG il-monitoraġġ li se jsir biex jiġi żgurat li l-għajnuna tibqa’ meħtieġa u kkonferma li l-iskema se tkun soġġetta għal eżerċizzju ta’ verifika mill-inqas kull 3 snin.</w:t>
      </w:r>
    </w:p>
    <w:p w14:paraId="42AB8BE5" w14:textId="77777777" w:rsidR="00970586" w:rsidRPr="00B429BF" w:rsidRDefault="00970586" w:rsidP="00C47CAC">
      <w:pPr>
        <w:tabs>
          <w:tab w:val="left" w:leader="dot" w:pos="9072"/>
        </w:tabs>
        <w:spacing w:before="120" w:after="120"/>
        <w:ind w:left="567"/>
        <w:jc w:val="both"/>
      </w:pPr>
      <w:bookmarkStart w:id="20" w:name="_Hlk172647548"/>
      <w:r>
        <w:tab/>
      </w:r>
    </w:p>
    <w:bookmarkEnd w:id="20"/>
    <w:p w14:paraId="156D2393" w14:textId="6C069953" w:rsidR="00287B08" w:rsidRPr="00B429BF" w:rsidRDefault="00287B08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Skont il-punt 324 tas-CEEAG, u skont it-Taqsima tas-CEEAG li taħtha jaqgħu l-attivitajiet appoġġati, imla l-mistoqsija/</w:t>
      </w:r>
      <w:proofErr w:type="spellStart"/>
      <w:r>
        <w:t>iet</w:t>
      </w:r>
      <w:proofErr w:type="spellEnd"/>
      <w:r>
        <w:t xml:space="preserve"> li ġejja/ġejjin tal-iskeda ta’ informazzjoni supplimentari rilevanti. Għall-proġetti li jaqgħu taħt it-Taqsima:</w:t>
      </w:r>
    </w:p>
    <w:p w14:paraId="2145D288" w14:textId="60CA7A8D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 xml:space="preserve"> 4.2 (</w:t>
      </w:r>
      <w:r>
        <w:rPr>
          <w:i/>
        </w:rPr>
        <w:t>mistoqsija 52 tad-dokument ta’ informazzjoni supplimentari rilevanti)</w:t>
      </w:r>
    </w:p>
    <w:p w14:paraId="0EAA7C42" w14:textId="52CC5D2C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>4.3.1 (</w:t>
      </w:r>
      <w:r>
        <w:rPr>
          <w:i/>
        </w:rPr>
        <w:t>il-mistoqsijiet 49-52 tad-dokument ta’ informazzjoni supplimentari rilevanti)</w:t>
      </w:r>
    </w:p>
    <w:p w14:paraId="3D6DA314" w14:textId="051F34AF" w:rsidR="00287B08" w:rsidRPr="00B429BF" w:rsidRDefault="00287B08" w:rsidP="00971636">
      <w:pPr>
        <w:pStyle w:val="ListParagraph"/>
        <w:ind w:left="567"/>
      </w:pPr>
      <w:r>
        <w:rPr>
          <w:rFonts w:ascii="Wingdings" w:hAnsi="Wingdings"/>
        </w:rPr>
        <w:t>o</w:t>
      </w:r>
      <w:r>
        <w:t>4.3.2 (</w:t>
      </w:r>
      <w:r>
        <w:rPr>
          <w:i/>
        </w:rPr>
        <w:t>il-mistoqsijiet 46-55 tad-dokument ta’ informazzjoni supplimentari rilevanti)</w:t>
      </w:r>
    </w:p>
    <w:p w14:paraId="0088DC10" w14:textId="37FFD92F" w:rsidR="00CA0D41" w:rsidRPr="00B429BF" w:rsidRDefault="00971636" w:rsidP="00971636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763972A" w14:textId="77777777" w:rsidR="00971636" w:rsidRPr="00B429BF" w:rsidRDefault="00971636" w:rsidP="00971636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96537D" w:rsidRPr="00B429BF" w14:paraId="30392405" w14:textId="77777777" w:rsidTr="00504F2E">
        <w:tc>
          <w:tcPr>
            <w:tcW w:w="9322" w:type="dxa"/>
            <w:shd w:val="pct15" w:color="auto" w:fill="auto"/>
          </w:tcPr>
          <w:p w14:paraId="4A3A0E08" w14:textId="2B1D34AF" w:rsidR="0096537D" w:rsidRPr="00B429BF" w:rsidRDefault="00265702" w:rsidP="00B82F95">
            <w:pPr>
              <w:pStyle w:val="Heading1"/>
              <w:numPr>
                <w:ilvl w:val="0"/>
                <w:numId w:val="22"/>
              </w:num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</w:rPr>
              <w:t>L-ibbilanċjar tal-effetti pożittivi tal-għajnuna mal-effetti negattivi fuq il-kompetizzjoni u l-kummerċ</w:t>
            </w:r>
          </w:p>
        </w:tc>
      </w:tr>
    </w:tbl>
    <w:p w14:paraId="2BA426DC" w14:textId="4CDBD959" w:rsidR="00265702" w:rsidRPr="00B429BF" w:rsidRDefault="00265702" w:rsidP="00265702">
      <w:pPr>
        <w:spacing w:before="360" w:after="120"/>
        <w:jc w:val="both"/>
        <w:rPr>
          <w:i/>
          <w:color w:val="000000"/>
        </w:rPr>
      </w:pPr>
      <w:r>
        <w:rPr>
          <w:i/>
          <w:color w:val="000000"/>
        </w:rPr>
        <w:t xml:space="preserve">Biex </w:t>
      </w:r>
      <w:r>
        <w:rPr>
          <w:i/>
        </w:rPr>
        <w:t xml:space="preserve">tipprovdi l-informazzjoni </w:t>
      </w:r>
      <w:r>
        <w:rPr>
          <w:i/>
          <w:color w:val="000000"/>
        </w:rPr>
        <w:t xml:space="preserve">f’din it-taqsima, irreferi għat-taqsima 3.3 (il-punti 71–76) tas-CEEAG. </w:t>
      </w:r>
    </w:p>
    <w:p w14:paraId="693D9200" w14:textId="7DE58251" w:rsidR="004B2EF3" w:rsidRPr="00B429BF" w:rsidRDefault="004B2EF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72 tas-CEEAG, spjega jekk l-attivitajiet appoġġati skont il-miżura notifikata jissodisfawx il-kriterji għal attivitajiet ekonomiċi ambjentalment sostenibbli</w:t>
      </w:r>
      <w:r>
        <w:rPr>
          <w:shd w:val="clear" w:color="auto" w:fill="FFFFFF"/>
        </w:rPr>
        <w:t xml:space="preserve"> previsti </w:t>
      </w:r>
      <w:r>
        <w:t>fl-Artikolu 3 tar-Regolament (UE) 2020/852 tal-Parlament Ewropew u tal-Kunsill</w:t>
      </w:r>
      <w:r w:rsidRPr="00B429BF">
        <w:rPr>
          <w:rStyle w:val="FootnoteReference"/>
          <w:lang w:eastAsia="en-GB"/>
        </w:rPr>
        <w:footnoteReference w:id="11"/>
      </w:r>
      <w:r>
        <w:t>,</w:t>
      </w:r>
      <w:r>
        <w:rPr>
          <w:shd w:val="clear" w:color="auto" w:fill="FFFFFF"/>
        </w:rPr>
        <w:t xml:space="preserve"> inkluż il-prinċipju “la tagħmilx ħsara sinifikanti”, jew metodoloġiji komparabbli oħrajn.</w:t>
      </w:r>
    </w:p>
    <w:p w14:paraId="2C6E14C8" w14:textId="77777777" w:rsidR="004B2EF3" w:rsidRPr="00B429BF" w:rsidRDefault="004B2EF3" w:rsidP="004B2EF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6B3F9EA" w14:textId="77777777" w:rsidR="0086255C" w:rsidRPr="00B429BF" w:rsidRDefault="0086255C" w:rsidP="004B2EF3">
      <w:pPr>
        <w:tabs>
          <w:tab w:val="left" w:leader="dot" w:pos="9072"/>
        </w:tabs>
        <w:spacing w:before="120" w:after="120"/>
        <w:ind w:left="567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322"/>
      </w:tblGrid>
      <w:tr w:rsidR="0086255C" w:rsidRPr="00B429BF" w14:paraId="2FE5631C" w14:textId="77777777">
        <w:tc>
          <w:tcPr>
            <w:tcW w:w="9322" w:type="dxa"/>
            <w:shd w:val="pct15" w:color="auto" w:fill="auto"/>
          </w:tcPr>
          <w:p w14:paraId="6AA0A4F6" w14:textId="77777777" w:rsidR="0086255C" w:rsidRPr="00B429BF" w:rsidRDefault="0086255C">
            <w:pPr>
              <w:spacing w:before="120" w:after="12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/>
                <w:sz w:val="32"/>
              </w:rPr>
              <w:t>Taqsima C: Evalwazzjoni</w:t>
            </w:r>
            <w:r>
              <w:rPr>
                <w:i/>
                <w:color w:val="000000"/>
                <w:sz w:val="28"/>
              </w:rPr>
              <w:t xml:space="preserve"> </w:t>
            </w:r>
          </w:p>
        </w:tc>
      </w:tr>
    </w:tbl>
    <w:p w14:paraId="10688268" w14:textId="77777777" w:rsidR="00C33721" w:rsidRPr="00B429BF" w:rsidRDefault="00C33721" w:rsidP="00C33721">
      <w:pPr>
        <w:ind w:left="-567" w:firstLine="1412"/>
        <w:rPr>
          <w:i/>
          <w:color w:val="000000"/>
        </w:rPr>
      </w:pPr>
    </w:p>
    <w:p w14:paraId="78AC9B95" w14:textId="06A46036" w:rsidR="00C33721" w:rsidRPr="00B429BF" w:rsidRDefault="00C33721" w:rsidP="00C47CAC">
      <w:pPr>
        <w:tabs>
          <w:tab w:val="left" w:leader="dot" w:pos="9072"/>
        </w:tabs>
        <w:spacing w:before="120" w:after="120"/>
        <w:jc w:val="both"/>
      </w:pPr>
      <w:r>
        <w:rPr>
          <w:i/>
        </w:rPr>
        <w:t>Biex tipprovdi l-informazzjoni f’din it-taqsima, irreferi għall-Kapitolu 5 (il-punti 455–463) tas-CEEAG.</w:t>
      </w:r>
    </w:p>
    <w:p w14:paraId="2F5E6798" w14:textId="4524BCC0" w:rsidR="007F5375" w:rsidRPr="00B429BF" w:rsidRDefault="007F5375" w:rsidP="00392A3E">
      <w:pPr>
        <w:pStyle w:val="ListParagraph"/>
        <w:spacing w:before="120" w:after="120"/>
        <w:ind w:left="567"/>
        <w:jc w:val="both"/>
        <w:rPr>
          <w:lang w:eastAsia="en-GB"/>
        </w:rPr>
      </w:pPr>
    </w:p>
    <w:p w14:paraId="6689FEB5" w14:textId="35703D04" w:rsidR="00571769" w:rsidRPr="00B429BF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il-miżura/i notifikata/i taqbeż il-limiti tal-baġit/tan-nefqa fil-punt 456 tas-CEEAG, jekk jogħġbok spjega għaliex fil-fehma tiegħek għandha tapplika l-eċċezzjoni fil-punt 457 tas-CEEAG, jew ehmeż ma’ din l-iskeda ta’ informazzjoni supplimentari Anness li jinkludi abbozz ta’ pjan ta’ evalwazzjoni li jkopri l-kamp ta’ applikazzjoni msemmi fil-punt 458 tas-CEEAG</w:t>
      </w:r>
      <w:r w:rsidR="008472A5" w:rsidRPr="00B429BF">
        <w:rPr>
          <w:rStyle w:val="FootnoteReference"/>
          <w:lang w:eastAsia="en-GB"/>
        </w:rPr>
        <w:footnoteReference w:id="12"/>
      </w:r>
      <w:r>
        <w:t>.</w:t>
      </w:r>
    </w:p>
    <w:p w14:paraId="56FD497B" w14:textId="77777777" w:rsidR="00571769" w:rsidRPr="00B429BF" w:rsidRDefault="00571769" w:rsidP="00571769">
      <w:pPr>
        <w:pStyle w:val="ListParagraph"/>
        <w:spacing w:before="120" w:after="120"/>
        <w:ind w:left="0" w:firstLine="567"/>
        <w:contextualSpacing w:val="0"/>
        <w:jc w:val="both"/>
      </w:pPr>
      <w:r>
        <w:lastRenderedPageBreak/>
        <w:t>……………………………………………………………………………………………</w:t>
      </w:r>
    </w:p>
    <w:p w14:paraId="4DF8EAD2" w14:textId="77777777" w:rsidR="00571769" w:rsidRPr="00B429BF" w:rsidRDefault="00571769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Jekk jiġi pprovdut abbozz ta’ pjan ta’ evalwazzjoni, jekk jogħġbok:</w:t>
      </w:r>
    </w:p>
    <w:p w14:paraId="61554CC9" w14:textId="77777777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hawn taħt ipprovdi sommarju ta’ dak l-abbozz tal-pjan ta’ evalwazzjoni inkluż fl-Anness.</w:t>
      </w:r>
    </w:p>
    <w:p w14:paraId="206F9456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>………………………………………………………………………………….</w:t>
      </w:r>
    </w:p>
    <w:p w14:paraId="739A6E7F" w14:textId="77777777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ikkonferma li l-punt 460 tas-CEEAG se jiġi rispettat.</w:t>
      </w:r>
    </w:p>
    <w:p w14:paraId="068DF461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0EE4D2A1" w14:textId="77777777" w:rsidR="00571769" w:rsidRPr="00B429BF" w:rsidRDefault="00571769" w:rsidP="00B82F95">
      <w:pPr>
        <w:pStyle w:val="ListParagraph"/>
        <w:numPr>
          <w:ilvl w:val="0"/>
          <w:numId w:val="33"/>
        </w:numPr>
        <w:spacing w:before="120" w:after="120"/>
        <w:contextualSpacing w:val="0"/>
        <w:jc w:val="both"/>
      </w:pPr>
      <w:r>
        <w:t>ipprovdi d-data u l-link tal-internet fejn il-pjan ta’ evalwazzjoni se jkun disponibbli għall-pubbliku.</w:t>
      </w:r>
    </w:p>
    <w:p w14:paraId="7B713676" w14:textId="77777777" w:rsidR="00571769" w:rsidRPr="00B429BF" w:rsidRDefault="00571769" w:rsidP="00571769">
      <w:pPr>
        <w:pStyle w:val="ListParagraph"/>
        <w:spacing w:before="120" w:after="120"/>
        <w:ind w:left="1440"/>
        <w:contextualSpacing w:val="0"/>
        <w:jc w:val="both"/>
      </w:pPr>
      <w:r>
        <w:t xml:space="preserve">…………………………………………………………………………………. </w:t>
      </w:r>
    </w:p>
    <w:p w14:paraId="43746EE1" w14:textId="2DE1A463" w:rsidR="00576C43" w:rsidRPr="00B429BF" w:rsidRDefault="00576C4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459(b) tas-CEEAG, f’każ li l-iskema ta’ għajnuna bħalissa mhijiex soġġetta għal evalwazzjoni </w:t>
      </w:r>
      <w:r>
        <w:rPr>
          <w:i/>
        </w:rPr>
        <w:t>ex post</w:t>
      </w:r>
      <w:r>
        <w:t xml:space="preserve">, u d-durata tagħha taqbeż it-tliet snin, ikkonferma li se tinnotifika abbozz ta’ pjan ta’ evalwazzjoni fi żmien 30 jum tax-xogħol wara modifika sinifikanti li żżid il-baġit tal-iskema għal aktar minn EUR 150 miljun fi kwalunkwe sena partikolari jew EUR 750 miljun matul id-durata totali tal-iskema. </w:t>
      </w:r>
    </w:p>
    <w:p w14:paraId="64CE86FA" w14:textId="77777777" w:rsidR="00576C43" w:rsidRPr="00B429BF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21D0B78" w14:textId="446C2CF3" w:rsidR="00576C43" w:rsidRPr="00B429BF" w:rsidRDefault="00576C43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459(c) tas-CEEAG, f’każ li l-iskema ta’ għajnuna bħalissa mhijiex soġġetta għal evalwazzjoni </w:t>
      </w:r>
      <w:r>
        <w:rPr>
          <w:i/>
        </w:rPr>
        <w:t>ex post</w:t>
      </w:r>
      <w:r>
        <w:t xml:space="preserve">, ipprovdi hawn taħt impenn li l-Istat Membru se jinnotifika abbozz ta’ pjan ta’ evalwazzjoni </w:t>
      </w:r>
      <w:r>
        <w:rPr>
          <w:shd w:val="clear" w:color="auto" w:fill="FFFFFF"/>
        </w:rPr>
        <w:t>fi żmien 30 jum tax-xogħol wara li jirreġistra fil-kontijiet uffiċjali nefqiet ta’ aktar minn EUR 150 miljun fis-sena preċedenti</w:t>
      </w:r>
      <w:r>
        <w:t xml:space="preserve">. </w:t>
      </w:r>
    </w:p>
    <w:p w14:paraId="0F4DF4F4" w14:textId="77777777" w:rsidR="00576C43" w:rsidRPr="00B429BF" w:rsidRDefault="00576C43" w:rsidP="00576C43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286CBB6" w14:textId="05054EF5" w:rsidR="005F4A56" w:rsidRPr="00B429BF" w:rsidRDefault="00F65B17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Sabiex tiġi vverifikata l-konformità mal-punt 461 tas-CEEAG:</w:t>
      </w:r>
    </w:p>
    <w:p w14:paraId="3A9B542E" w14:textId="089343AF" w:rsidR="00277BC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Jekk jogħġbok iċċara jekk l-espert indipendenti </w:t>
      </w:r>
      <w:proofErr w:type="spellStart"/>
      <w:r>
        <w:t>ntgħażlix</w:t>
      </w:r>
      <w:proofErr w:type="spellEnd"/>
      <w:r>
        <w:t xml:space="preserve"> diġà jew jekk hux se jintgħażel fil-futur.</w:t>
      </w:r>
    </w:p>
    <w:p w14:paraId="11C2DACA" w14:textId="77777777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2FFFD5BA" w14:textId="10702D47" w:rsidR="00277BC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Jekk jogħġbok ipprovdi informazzjoni dwar il-proċedura tal-għażla tal-espert.</w:t>
      </w:r>
    </w:p>
    <w:p w14:paraId="3A85B5D0" w14:textId="29760030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6615DE04" w14:textId="2086DBF7" w:rsidR="004165E0" w:rsidRPr="00B429BF" w:rsidRDefault="00277BC0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 xml:space="preserve">Jekk jogħġbok </w:t>
      </w:r>
      <w:proofErr w:type="spellStart"/>
      <w:r>
        <w:t>iġġustifika</w:t>
      </w:r>
      <w:proofErr w:type="spellEnd"/>
      <w:r>
        <w:t xml:space="preserve"> kif l-espert huwa indipendenti mill-awtorità tal-għoti. </w:t>
      </w:r>
    </w:p>
    <w:p w14:paraId="43CB3832" w14:textId="77777777" w:rsidR="004165E0" w:rsidRPr="00B429BF" w:rsidRDefault="004165E0" w:rsidP="004165E0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4172C76" w14:textId="37B2B6F7" w:rsidR="00A42834" w:rsidRPr="00B429BF" w:rsidRDefault="006F0AE2" w:rsidP="00BB3F79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 xml:space="preserve">Sabiex tiġi vverifikata l-konformità mal-punt 461 tas-CEEAG: </w:t>
      </w:r>
    </w:p>
    <w:p w14:paraId="342FFFFA" w14:textId="67690732" w:rsidR="0036428C" w:rsidRPr="00B429BF" w:rsidRDefault="002C0264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t>Jekk jogħġbok ipprovdi l-iskadenzi proposti tiegħek għas-sottomissjoni tar-rapport ta’ evalwazzjoni interim u finali. Kun af li r-rapport ta’ evalwazzjoni finali jrid jiġi sottomess lill-Kummissjoni fi żmien xieraq sabiex tkun tista’ ssir il-valutazzjoni tal-estensjoni possibbli tal-iskema ta’ għajnuna u mhux aktar tard minn 9 xhur qabel l-iskadenza tagħha, f’konformità mal-punt 463 tas-CEEAG. Jekk jogħġbok innota li dik l-iskadenza tista’ titnaqqas għal skemi li jiskattaw ir-rekwiżit ta’ evalwazzjoni fl-aħħar sentejn ta’ implimentazzjoni tagħhom.</w:t>
      </w:r>
    </w:p>
    <w:p w14:paraId="7E1490E3" w14:textId="77777777" w:rsidR="0036428C" w:rsidRPr="00B429BF" w:rsidRDefault="00C07AEA" w:rsidP="0036428C">
      <w:pPr>
        <w:tabs>
          <w:tab w:val="left" w:leader="dot" w:pos="9072"/>
        </w:tabs>
        <w:spacing w:before="120" w:after="120"/>
        <w:ind w:left="567"/>
        <w:jc w:val="both"/>
      </w:pPr>
      <w:r>
        <w:t xml:space="preserve"> </w:t>
      </w:r>
      <w:r>
        <w:tab/>
      </w:r>
    </w:p>
    <w:p w14:paraId="06364DCE" w14:textId="6F743DBC" w:rsidR="001169CB" w:rsidRPr="00B429BF" w:rsidRDefault="0036428C" w:rsidP="00B82F95">
      <w:pPr>
        <w:pStyle w:val="ListParagraph"/>
        <w:numPr>
          <w:ilvl w:val="1"/>
          <w:numId w:val="28"/>
        </w:numPr>
        <w:spacing w:before="120" w:after="120"/>
        <w:contextualSpacing w:val="0"/>
        <w:jc w:val="both"/>
      </w:pPr>
      <w:r>
        <w:lastRenderedPageBreak/>
        <w:t xml:space="preserve">Jekk jogħġbok ikkonferma li r-rapport ta’ evalwazzjoni interim u finali se jsir pubbliku. Jekk jogħġbok ipprovdi d-data u l-link tal-internet fejn dawk ir-rapporti se jkunu disponibbli għall-pubbliku. </w:t>
      </w:r>
    </w:p>
    <w:p w14:paraId="3784DF29" w14:textId="0F23C278" w:rsidR="00B2631C" w:rsidRPr="00B429BF" w:rsidRDefault="001169CB">
      <w:pPr>
        <w:tabs>
          <w:tab w:val="left" w:leader="dot" w:pos="9072"/>
        </w:tabs>
        <w:spacing w:before="120" w:after="120"/>
        <w:ind w:left="567"/>
        <w:jc w:val="both"/>
      </w:pPr>
      <w:r>
        <w:tab/>
      </w:r>
    </w:p>
    <w:p w14:paraId="10FA3DB0" w14:textId="77777777" w:rsidR="00627715" w:rsidRPr="00B429BF" w:rsidRDefault="00627715" w:rsidP="00EF3CEF">
      <w:pPr>
        <w:rPr>
          <w:i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4A0" w:firstRow="1" w:lastRow="0" w:firstColumn="1" w:lastColumn="0" w:noHBand="0" w:noVBand="1"/>
      </w:tblPr>
      <w:tblGrid>
        <w:gridCol w:w="9487"/>
      </w:tblGrid>
      <w:tr w:rsidR="00491994" w:rsidRPr="00B429BF" w14:paraId="6FABECF9" w14:textId="77777777" w:rsidTr="00491994">
        <w:trPr>
          <w:trHeight w:val="736"/>
        </w:trPr>
        <w:tc>
          <w:tcPr>
            <w:tcW w:w="9487" w:type="dxa"/>
            <w:shd w:val="pct15" w:color="auto" w:fill="auto"/>
            <w:vAlign w:val="center"/>
          </w:tcPr>
          <w:p w14:paraId="6F216851" w14:textId="77777777" w:rsidR="00491994" w:rsidRPr="00B429BF" w:rsidRDefault="00491994">
            <w:pPr>
              <w:ind w:left="360"/>
              <w:jc w:val="center"/>
              <w:rPr>
                <w:rFonts w:eastAsia="Times New Roman"/>
                <w:b/>
                <w:iCs/>
                <w:sz w:val="32"/>
                <w:szCs w:val="32"/>
              </w:rPr>
            </w:pPr>
            <w:r>
              <w:rPr>
                <w:b/>
                <w:sz w:val="32"/>
              </w:rPr>
              <w:t>Taqsima D - Rappurtar u monitoraġġ</w:t>
            </w:r>
          </w:p>
        </w:tc>
      </w:tr>
    </w:tbl>
    <w:p w14:paraId="1C16B3DB" w14:textId="77777777" w:rsidR="006F0AE2" w:rsidRPr="00B429BF" w:rsidRDefault="006F0AE2" w:rsidP="006F0AE2">
      <w:pPr>
        <w:tabs>
          <w:tab w:val="left" w:leader="dot" w:pos="9072"/>
        </w:tabs>
        <w:spacing w:before="120" w:after="120"/>
        <w:ind w:left="567"/>
        <w:jc w:val="both"/>
      </w:pPr>
      <w:r>
        <w:rPr>
          <w:i/>
        </w:rPr>
        <w:t>Biex tipprovdi l-informazzjoni f’din it-taqsima, irreferi għat-Taqsima 6 (il-punti 464 u 465) tas-CEEAG.</w:t>
      </w:r>
    </w:p>
    <w:p w14:paraId="0AD3805C" w14:textId="67C44370" w:rsidR="006F0AE2" w:rsidRPr="00B429BF" w:rsidRDefault="006F0AE2" w:rsidP="00451471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</w:pPr>
      <w:r>
        <w:t>Ikkonferma li l-Istat Membru se jikkonforma mar-rekwiżiti għar-rapportar u l-monitoraġġ stabbiliti fit-Taqsima 6, il-punti 464 u 465, tas-CEEAG.</w:t>
      </w:r>
    </w:p>
    <w:p w14:paraId="4EED6F4A" w14:textId="0BA823AF" w:rsidR="003A66DE" w:rsidRPr="006773CE" w:rsidRDefault="006F0AE2" w:rsidP="00265702">
      <w:pPr>
        <w:tabs>
          <w:tab w:val="left" w:leader="dot" w:pos="9072"/>
        </w:tabs>
        <w:spacing w:before="120" w:after="120"/>
        <w:ind w:left="567"/>
        <w:jc w:val="both"/>
        <w:rPr>
          <w:color w:val="00B050"/>
        </w:rPr>
      </w:pPr>
      <w:r>
        <w:t xml:space="preserve">…………………………………………………………………………………………..... </w:t>
      </w:r>
    </w:p>
    <w:p w14:paraId="6B996AF9" w14:textId="77777777" w:rsidR="00697188" w:rsidRPr="00711243" w:rsidRDefault="00697188" w:rsidP="000442F5"/>
    <w:sectPr w:rsidR="00697188" w:rsidRPr="00711243" w:rsidSect="00393A93"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1CAC8" w14:textId="77777777" w:rsidR="0015396D" w:rsidRDefault="0015396D" w:rsidP="000442F5">
      <w:r>
        <w:separator/>
      </w:r>
    </w:p>
  </w:endnote>
  <w:endnote w:type="continuationSeparator" w:id="0">
    <w:p w14:paraId="67747A80" w14:textId="77777777" w:rsidR="0015396D" w:rsidRDefault="0015396D" w:rsidP="000442F5">
      <w:r>
        <w:continuationSeparator/>
      </w:r>
    </w:p>
  </w:endnote>
  <w:endnote w:type="continuationNotice" w:id="1">
    <w:p w14:paraId="7941016F" w14:textId="77777777" w:rsidR="0015396D" w:rsidRDefault="00153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6DBDA" w14:textId="41ADFC3C" w:rsidR="005B06D6" w:rsidRDefault="005B06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C81">
      <w:t>1</w:t>
    </w:r>
    <w:r w:rsidR="00334C81">
      <w:t>1</w:t>
    </w:r>
    <w:r>
      <w:fldChar w:fldCharType="end"/>
    </w:r>
  </w:p>
  <w:p w14:paraId="75E356FD" w14:textId="77777777" w:rsidR="005B06D6" w:rsidRDefault="005B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BA21C" w14:textId="77777777" w:rsidR="0015396D" w:rsidRDefault="0015396D" w:rsidP="000442F5">
      <w:r>
        <w:separator/>
      </w:r>
    </w:p>
  </w:footnote>
  <w:footnote w:type="continuationSeparator" w:id="0">
    <w:p w14:paraId="519E5CA5" w14:textId="77777777" w:rsidR="0015396D" w:rsidRDefault="0015396D" w:rsidP="000442F5">
      <w:r>
        <w:continuationSeparator/>
      </w:r>
    </w:p>
  </w:footnote>
  <w:footnote w:type="continuationNotice" w:id="1">
    <w:p w14:paraId="3274A455" w14:textId="77777777" w:rsidR="0015396D" w:rsidRDefault="0015396D"/>
  </w:footnote>
  <w:footnote w:id="2">
    <w:p w14:paraId="2E1DAC13" w14:textId="63D9607A" w:rsidR="005B06D6" w:rsidRPr="00B429BF" w:rsidRDefault="005B06D6" w:rsidP="007B485D">
      <w:pPr>
        <w:pStyle w:val="FootnoteText"/>
      </w:pPr>
      <w:r>
        <w:rPr>
          <w:rStyle w:val="FootnoteReference"/>
        </w:rPr>
        <w:footnoteRef/>
      </w:r>
      <w:r>
        <w:tab/>
        <w:t>ĠU C 80, 18.2.2022, p. 1.</w:t>
      </w:r>
    </w:p>
  </w:footnote>
  <w:footnote w:id="3">
    <w:p w14:paraId="721B2C3E" w14:textId="5CF0F3FA" w:rsidR="005B06D6" w:rsidRPr="00B429BF" w:rsidRDefault="005B06D6" w:rsidP="002A2C73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Kun af li għal skema ta’ għajnuna, id-durata hija l-perjodu li matulu tista’ ssir applikazzjoni għall-għajnuna u tittieħed deċiżjoni dwarha (inkluż għalhekk iż-żmien meħtieġ biex l-awtoritajiet nazzjonali japprovaw l-applikazzjonijiet għall-għajnuna). Id-durata msemmija f’din id-domanda ma </w:t>
      </w:r>
      <w:proofErr w:type="spellStart"/>
      <w:r>
        <w:t>tirrigwardax</w:t>
      </w:r>
      <w:proofErr w:type="spellEnd"/>
      <w:r>
        <w:t xml:space="preserve"> id-durata tal-kuntratti konklużi taħt l-iskema ta’ għajnuna, li tista’ tkompli lil hinn mid-durata tal-miżura. </w:t>
      </w:r>
    </w:p>
  </w:footnote>
  <w:footnote w:id="4">
    <w:p w14:paraId="51CA7B9F" w14:textId="77777777" w:rsidR="00A53EBB" w:rsidRPr="00B429BF" w:rsidRDefault="00A53EBB" w:rsidP="00A53EBB">
      <w:pPr>
        <w:pStyle w:val="FootnoteText"/>
      </w:pPr>
      <w:r>
        <w:rPr>
          <w:rStyle w:val="FootnoteReference"/>
        </w:rPr>
        <w:footnoteRef/>
      </w:r>
      <w:r>
        <w:tab/>
      </w:r>
      <w:r>
        <w:t>Jekk jogħġbok innota li bidla fil-baġit attwali jew stmat tista’ tkun bidla fl-għajnuna, li teħtieġ notifika ġdida.</w:t>
      </w:r>
    </w:p>
  </w:footnote>
  <w:footnote w:id="5">
    <w:p w14:paraId="7AC0A709" w14:textId="328426FA" w:rsidR="007F5A4A" w:rsidRPr="00B429BF" w:rsidRDefault="007F5A4A" w:rsidP="007F5A4A">
      <w:pPr>
        <w:pStyle w:val="FootnoteText"/>
      </w:pPr>
      <w:r>
        <w:rPr>
          <w:rStyle w:val="FootnoteReference"/>
        </w:rPr>
        <w:footnoteRef/>
      </w:r>
      <w:r>
        <w:tab/>
      </w:r>
      <w:r>
        <w:t>Innota li l-punti 38 u 52, kif ukoll in-noti 39 u 45 f’qiegħ il-paġna tas-CEEAG jipprovdu gwida ulterjuri dwar kif għandu jiġi żviluppat ix-xenarju kontrofattwali probabbli.</w:t>
      </w:r>
    </w:p>
  </w:footnote>
  <w:footnote w:id="6">
    <w:p w14:paraId="1AA8BB84" w14:textId="6CCB314C" w:rsidR="00B00EC5" w:rsidRPr="00B429BF" w:rsidRDefault="00B00EC5" w:rsidP="00B00EC5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“Proġett ta’ referenza” huwa definit fil-punt 19(63) tas-CEEAG. </w:t>
      </w:r>
    </w:p>
  </w:footnote>
  <w:footnote w:id="7">
    <w:p w14:paraId="562E6841" w14:textId="76F1D22E" w:rsidR="00B00EC5" w:rsidRPr="00B429BF" w:rsidRDefault="00B00EC5" w:rsidP="00B00E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bookmarkStart w:id="14" w:name="_Hlk170923537"/>
      <w:r>
        <w:t xml:space="preserve">Pereżempju, jekk il-miżura tikkonsisti fi tnaqqis tat-taxxa tar-reġistrazzjoni tal-karozzi fuq il-karozzi elettriċi, l-Istat Membru l-ewwel ikollu jqabbel il-profittabbiltà tal-proġett ta’ referenza (l-akkwist ta’ flotta ta’ karozzi elettriċi) u l-proġett kontrofattwali (eż. l-akkwist ta’ flotta ta’ karozzi tal-petrol) li japplika fiż-żewġ xenarji t-taxxa normali tar-reġistrazzjoni tal-karozzi. Sussegwentement, l-Istat Membru mbagħad irid juri li t-tnaqqis fit-taxxa tar-reġistrazzjoni tal-karozzi għall-karozzi elettriċi jinċentiva lill-benefiċjarju biex jakkwista l-flotta tal-karozzi elettriċi billi jagħmel tqabbil bejn il-profittabbiltà tal-proġett ta’ referenza </w:t>
      </w:r>
      <w:r>
        <w:rPr>
          <w:u w:val="single"/>
        </w:rPr>
        <w:t>mat-tnaqqis</w:t>
      </w:r>
      <w:r>
        <w:t xml:space="preserve"> fit-taxxa (jiġifieri l-akkwist ta’ flotta ta’ karozzi elettriċi li tapplika taxxa mnaqqsa fuq ir-reġistrazzjoni tal-karozzi) u l-profittabbiltà tal-proġett kontrofattwali (jiġifieri</w:t>
      </w:r>
      <w:r>
        <w:rPr>
          <w:sz w:val="24"/>
        </w:rPr>
        <w:t xml:space="preserve"> </w:t>
      </w:r>
      <w:r>
        <w:t>l-akkwist ta’ flotta ta’ karozzi tal-petrol bl-applikazzjoni tar-rata normali tat-taxxa tar-reġistrazzjoni tal-karozzi). Eżempju ieħor jista’ jkun miżura li tikkonsisti fi tnaqqis ta’ 40 % fil-kostijiet addizzjonali mill-bażi tal-introjtu taxxabbli minbarra d-deprezzament standard għall-finijiet tat-taxxa għal investimenti f’makkinarju li ma jagħmilx ħsara lill-ambjent. F’dak il-każ, l-Istat Membru jkollu jqabbel il-profittabbiltà tal-proġett ta’ referenza (l-akkwist ta’ makkinarju li ma jagħmilx ħsara lill-ambjent) u l-proġett kontrofattwali (eż. l-akkwist ta’ makkinarju standard) billi japplika fiż-żewġ xenarji r-regoli standard ta’ deprezzament għal finijiet ta’ taxxa u l-istess perjodu ta’ deprezzament. Sussegwentement, l-Istat Membru jrid juri li t-tnaqqis addizzjonali ta’ 40 % tal-kost tal-investiment tal-makkinarju</w:t>
      </w:r>
      <w:r>
        <w:rPr>
          <w:sz w:val="24"/>
        </w:rPr>
        <w:t xml:space="preserve"> </w:t>
      </w:r>
      <w:r>
        <w:t xml:space="preserve">li ma jagħmilx ħsara lill-ambjent mill-bażi taxxabbli (għalhekk f’deprezzament totali ta’ 140 % tal-kostijiet matul il-ħajja tal-makkinarju) jinċentiva lill-benefiċjarju jikseb din il-verżjoni aktar għalja. Dan jista’ jitwettaq billi jsir tqabbil bejn il-profittabbiltà tal-proġett ta’ referenza </w:t>
      </w:r>
      <w:r>
        <w:rPr>
          <w:u w:val="single"/>
        </w:rPr>
        <w:t>mat-tnaqqis</w:t>
      </w:r>
      <w:r>
        <w:t xml:space="preserve"> fit-taxxa (jiġifieri l-ammont finali ta’ taxxa dovuta wara l-applikazzjoni tat-tnaqqis addizzjonali għall-bażi tat-taxxa) u l-profittabbiltà tal-proġett kontrofattwali (jiġifieri l-ammont finali ta’ taxxa dovuta wara l-applikazzjoni tar-regoli standard ta’ deprezzament għall-bażi taxxabbli).</w:t>
      </w:r>
      <w:bookmarkEnd w:id="14"/>
    </w:p>
  </w:footnote>
  <w:footnote w:id="8">
    <w:p w14:paraId="1249B222" w14:textId="4F95552D" w:rsidR="006F1071" w:rsidRPr="00B429BF" w:rsidRDefault="006F1071">
      <w:pPr>
        <w:pStyle w:val="FootnoteText"/>
      </w:pPr>
      <w:r>
        <w:rPr>
          <w:rStyle w:val="FootnoteReference"/>
        </w:rPr>
        <w:footnoteRef/>
      </w:r>
      <w:r>
        <w:tab/>
      </w:r>
      <w:r>
        <w:t>Ara l-eżempji pprovduti fin-nota 6 f’qiegħ il-paġna.</w:t>
      </w:r>
    </w:p>
  </w:footnote>
  <w:footnote w:id="9">
    <w:p w14:paraId="590F3FC7" w14:textId="30CB4935" w:rsidR="005B06D6" w:rsidRPr="00B429BF" w:rsidRDefault="005B06D6" w:rsidP="00821F07">
      <w:pPr>
        <w:pStyle w:val="FootnoteText"/>
      </w:pPr>
      <w:r>
        <w:rPr>
          <w:rStyle w:val="FootnoteReference"/>
        </w:rPr>
        <w:footnoteRef/>
      </w:r>
      <w:r>
        <w:tab/>
      </w:r>
      <w:r>
        <w:t>Skont il-punt 19(89) tas-CEEAG, “standard tal-Unjoni” tfisser:</w:t>
      </w:r>
    </w:p>
    <w:p w14:paraId="340A0B20" w14:textId="77777777" w:rsidR="005B06D6" w:rsidRPr="00B429BF" w:rsidRDefault="005B06D6" w:rsidP="00B82F95">
      <w:pPr>
        <w:pStyle w:val="FootnoteText"/>
        <w:numPr>
          <w:ilvl w:val="0"/>
          <w:numId w:val="27"/>
        </w:numPr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02AC4E0B" w14:textId="45D77588" w:rsidR="005B06D6" w:rsidRPr="00B429BF" w:rsidRDefault="005B06D6" w:rsidP="00B82F95">
      <w:pPr>
        <w:pStyle w:val="FootnoteText"/>
        <w:numPr>
          <w:ilvl w:val="0"/>
          <w:numId w:val="27"/>
        </w:numPr>
      </w:pPr>
      <w:r>
        <w:rPr>
          <w:i/>
        </w:rPr>
        <w:t xml:space="preserve">l-obbligu li jintużaw l-aqwa tekniki disponibbli (BAT, </w:t>
      </w:r>
      <w:proofErr w:type="spellStart"/>
      <w:r>
        <w:rPr>
          <w:i/>
        </w:rPr>
        <w:t>best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available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techniques</w:t>
      </w:r>
      <w:proofErr w:type="spellEnd"/>
      <w:r>
        <w:rPr>
          <w:i/>
        </w:rPr>
        <w:t>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applikabbli oħrajn, dawk il-livelli jkunu applikabbli għall-fini ta’ dawn il-linji gwida; meta dawn il-livelli jiġu espressi bħala medda, ikun applikabbli l-limitu li għalih il-BAT tinkiseb għall-ewwel darba għall-impriża kkonċernata.</w:t>
      </w:r>
    </w:p>
  </w:footnote>
  <w:footnote w:id="10">
    <w:p w14:paraId="383FBE2E" w14:textId="77777777" w:rsidR="00FB55E9" w:rsidRPr="00B429BF" w:rsidRDefault="00FB55E9" w:rsidP="00FB55E9">
      <w:pPr>
        <w:pStyle w:val="FootnoteText"/>
      </w:pPr>
      <w:r>
        <w:rPr>
          <w:rStyle w:val="FootnoteReference"/>
        </w:rPr>
        <w:footnoteRef/>
      </w:r>
      <w:r>
        <w:tab/>
      </w:r>
      <w:r>
        <w:t>Il-perjodu ta’ ħlas lura huwa l-ammont ta’ żmien biex tiġi rkuprata l-ispiża ta’ investiment (mingħajr għajnuna).</w:t>
      </w:r>
    </w:p>
  </w:footnote>
  <w:footnote w:id="11">
    <w:p w14:paraId="02AA3570" w14:textId="77777777" w:rsidR="005B06D6" w:rsidRPr="00B429BF" w:rsidRDefault="005B06D6" w:rsidP="004B2EF3">
      <w:pPr>
        <w:pStyle w:val="FootnoteText"/>
      </w:pPr>
      <w:r>
        <w:rPr>
          <w:rStyle w:val="FootnoteReference"/>
        </w:rPr>
        <w:footnoteRef/>
      </w:r>
      <w:r>
        <w:tab/>
      </w:r>
      <w:r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2">
    <w:p w14:paraId="05B1881A" w14:textId="77777777" w:rsidR="008472A5" w:rsidRDefault="008472A5" w:rsidP="008472A5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Il-mudell għall-iskeda ta’ informazzjoni supplimentari għan-notifika ta’ pjan ta’ evalwazzjoni (Parti III.8) huwa aċċessibbli hawnhekk: </w:t>
      </w:r>
      <w:hyperlink w:anchor="evaluation-plan" w:history="1">
        <w:r>
          <w:rPr>
            <w:rStyle w:val="Hyperlink"/>
            <w:color w:val="auto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4040" w14:textId="76368D65" w:rsidR="005B06D6" w:rsidRDefault="005B06D6" w:rsidP="000456D8">
    <w:pPr>
      <w:pStyle w:val="Header"/>
      <w:tabs>
        <w:tab w:val="clear" w:pos="4536"/>
        <w:tab w:val="clear" w:pos="9072"/>
        <w:tab w:val="left" w:pos="13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2181E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3B615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C21297"/>
    <w:multiLevelType w:val="hybridMultilevel"/>
    <w:tmpl w:val="C436C6C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70" w:hanging="360"/>
      </w:pPr>
    </w:lvl>
    <w:lvl w:ilvl="2" w:tplc="0809001B" w:tentative="1">
      <w:start w:val="1"/>
      <w:numFmt w:val="lowerRoman"/>
      <w:lvlText w:val="%3."/>
      <w:lvlJc w:val="right"/>
      <w:pPr>
        <w:ind w:left="2990" w:hanging="180"/>
      </w:p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4" w15:restartNumberingAfterBreak="0">
    <w:nsid w:val="0AC54A0F"/>
    <w:multiLevelType w:val="hybridMultilevel"/>
    <w:tmpl w:val="4AE6DC8E"/>
    <w:lvl w:ilvl="0" w:tplc="BF6C3F54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86B6E"/>
    <w:multiLevelType w:val="hybridMultilevel"/>
    <w:tmpl w:val="29A85612"/>
    <w:lvl w:ilvl="0" w:tplc="BF6C3F54">
      <w:start w:val="1"/>
      <w:numFmt w:val="lowerRoman"/>
      <w:lvlText w:val="%1."/>
      <w:lvlJc w:val="right"/>
      <w:pPr>
        <w:ind w:left="155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>
      <w:start w:val="1"/>
      <w:numFmt w:val="lowerLetter"/>
      <w:lvlText w:val="%2."/>
      <w:lvlJc w:val="left"/>
      <w:pPr>
        <w:ind w:left="2270" w:hanging="360"/>
      </w:pPr>
    </w:lvl>
    <w:lvl w:ilvl="2" w:tplc="9C6C854E">
      <w:start w:val="1"/>
      <w:numFmt w:val="bullet"/>
      <w:lvlText w:val=""/>
      <w:lvlJc w:val="left"/>
      <w:pPr>
        <w:ind w:left="299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3710" w:hanging="360"/>
      </w:pPr>
    </w:lvl>
    <w:lvl w:ilvl="4" w:tplc="08090019" w:tentative="1">
      <w:start w:val="1"/>
      <w:numFmt w:val="lowerLetter"/>
      <w:lvlText w:val="%5."/>
      <w:lvlJc w:val="left"/>
      <w:pPr>
        <w:ind w:left="4430" w:hanging="360"/>
      </w:pPr>
    </w:lvl>
    <w:lvl w:ilvl="5" w:tplc="0809001B" w:tentative="1">
      <w:start w:val="1"/>
      <w:numFmt w:val="lowerRoman"/>
      <w:lvlText w:val="%6."/>
      <w:lvlJc w:val="right"/>
      <w:pPr>
        <w:ind w:left="5150" w:hanging="180"/>
      </w:pPr>
    </w:lvl>
    <w:lvl w:ilvl="6" w:tplc="0809000F" w:tentative="1">
      <w:start w:val="1"/>
      <w:numFmt w:val="decimal"/>
      <w:lvlText w:val="%7."/>
      <w:lvlJc w:val="left"/>
      <w:pPr>
        <w:ind w:left="5870" w:hanging="360"/>
      </w:pPr>
    </w:lvl>
    <w:lvl w:ilvl="7" w:tplc="08090019" w:tentative="1">
      <w:start w:val="1"/>
      <w:numFmt w:val="lowerLetter"/>
      <w:lvlText w:val="%8."/>
      <w:lvlJc w:val="left"/>
      <w:pPr>
        <w:ind w:left="6590" w:hanging="360"/>
      </w:pPr>
    </w:lvl>
    <w:lvl w:ilvl="8" w:tplc="0809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 w15:restartNumberingAfterBreak="0">
    <w:nsid w:val="0EDE11C6"/>
    <w:multiLevelType w:val="hybridMultilevel"/>
    <w:tmpl w:val="233AEB8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B">
      <w:start w:val="1"/>
      <w:numFmt w:val="lowerRoman"/>
      <w:lvlText w:val="%2."/>
      <w:lvlJc w:val="right"/>
      <w:pPr>
        <w:ind w:left="2007" w:hanging="360"/>
      </w:pPr>
    </w:lvl>
    <w:lvl w:ilvl="2" w:tplc="9C6C854E">
      <w:start w:val="1"/>
      <w:numFmt w:val="bullet"/>
      <w:lvlText w:val=""/>
      <w:lvlJc w:val="left"/>
      <w:pPr>
        <w:ind w:left="290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18090015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5B68E0"/>
    <w:multiLevelType w:val="hybridMultilevel"/>
    <w:tmpl w:val="3648EA64"/>
    <w:lvl w:ilvl="0" w:tplc="0EEE22A0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1" w15:restartNumberingAfterBreak="0">
    <w:nsid w:val="1F2B7435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2" w15:restartNumberingAfterBreak="0">
    <w:nsid w:val="20947326"/>
    <w:multiLevelType w:val="multilevel"/>
    <w:tmpl w:val="08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E60F42"/>
    <w:multiLevelType w:val="hybridMultilevel"/>
    <w:tmpl w:val="91504C36"/>
    <w:lvl w:ilvl="0" w:tplc="0EEE22A0">
      <w:start w:val="1"/>
      <w:numFmt w:val="lowerRoman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5" w15:restartNumberingAfterBreak="0">
    <w:nsid w:val="2BDD00CF"/>
    <w:multiLevelType w:val="hybridMultilevel"/>
    <w:tmpl w:val="C0843B88"/>
    <w:lvl w:ilvl="0" w:tplc="C99CEE36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6483AA0">
      <w:start w:val="1"/>
      <w:numFmt w:val="decimal"/>
      <w:lvlText w:val="%3-"/>
      <w:lvlJc w:val="left"/>
      <w:pPr>
        <w:ind w:left="273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7" w15:restartNumberingAfterBreak="0">
    <w:nsid w:val="2D9F791A"/>
    <w:multiLevelType w:val="hybridMultilevel"/>
    <w:tmpl w:val="D312E74E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18090019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Letter"/>
      <w:lvlText w:val="%3."/>
      <w:lvlJc w:val="left"/>
      <w:pPr>
        <w:ind w:left="2907" w:hanging="36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upperLetter"/>
      <w:lvlText w:val="%6."/>
      <w:lvlJc w:val="left"/>
      <w:pPr>
        <w:ind w:left="5067" w:hanging="36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2B69A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955151"/>
    <w:multiLevelType w:val="hybridMultilevel"/>
    <w:tmpl w:val="DC30E0A2"/>
    <w:lvl w:ilvl="0" w:tplc="5BBCC5A6">
      <w:start w:val="1"/>
      <w:numFmt w:val="lowerLetter"/>
      <w:lvlText w:val="(%1)"/>
      <w:lvlJc w:val="left"/>
      <w:pPr>
        <w:ind w:left="1080" w:hanging="360"/>
      </w:pPr>
      <w:rPr>
        <w:rFonts w:hint="default"/>
        <w:i/>
        <w:i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4125702B"/>
    <w:multiLevelType w:val="hybridMultilevel"/>
    <w:tmpl w:val="344483E2"/>
    <w:lvl w:ilvl="0" w:tplc="CBB2EC0A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3B239D1"/>
    <w:multiLevelType w:val="hybridMultilevel"/>
    <w:tmpl w:val="B762BD8A"/>
    <w:lvl w:ilvl="0" w:tplc="9B4884B4">
      <w:start w:val="43"/>
      <w:numFmt w:val="decimal"/>
      <w:lvlText w:val="%1."/>
      <w:lvlJc w:val="left"/>
      <w:pPr>
        <w:ind w:left="501" w:hanging="360"/>
      </w:pPr>
      <w:rPr>
        <w:rFonts w:hint="default"/>
        <w:b/>
        <w:i w:val="0"/>
      </w:rPr>
    </w:lvl>
    <w:lvl w:ilvl="1" w:tplc="C7A0D2A8">
      <w:start w:val="1"/>
      <w:numFmt w:val="lowerRoman"/>
      <w:lvlText w:val="%2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54525058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06C59"/>
    <w:multiLevelType w:val="hybridMultilevel"/>
    <w:tmpl w:val="9DA8A572"/>
    <w:lvl w:ilvl="0" w:tplc="F774C7A4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6C93E24"/>
    <w:multiLevelType w:val="hybridMultilevel"/>
    <w:tmpl w:val="E842B6E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93" w:hanging="360"/>
      </w:pPr>
    </w:lvl>
    <w:lvl w:ilvl="2" w:tplc="FFFFFFFF" w:tentative="1">
      <w:start w:val="1"/>
      <w:numFmt w:val="lowerRoman"/>
      <w:lvlText w:val="%3."/>
      <w:lvlJc w:val="right"/>
      <w:pPr>
        <w:ind w:left="2313" w:hanging="180"/>
      </w:pPr>
    </w:lvl>
    <w:lvl w:ilvl="3" w:tplc="FFFFFFFF" w:tentative="1">
      <w:start w:val="1"/>
      <w:numFmt w:val="decimal"/>
      <w:lvlText w:val="%4."/>
      <w:lvlJc w:val="left"/>
      <w:pPr>
        <w:ind w:left="3033" w:hanging="360"/>
      </w:pPr>
    </w:lvl>
    <w:lvl w:ilvl="4" w:tplc="FFFFFFFF" w:tentative="1">
      <w:start w:val="1"/>
      <w:numFmt w:val="lowerLetter"/>
      <w:lvlText w:val="%5."/>
      <w:lvlJc w:val="left"/>
      <w:pPr>
        <w:ind w:left="3753" w:hanging="360"/>
      </w:pPr>
    </w:lvl>
    <w:lvl w:ilvl="5" w:tplc="FFFFFFFF" w:tentative="1">
      <w:start w:val="1"/>
      <w:numFmt w:val="lowerRoman"/>
      <w:lvlText w:val="%6."/>
      <w:lvlJc w:val="right"/>
      <w:pPr>
        <w:ind w:left="4473" w:hanging="180"/>
      </w:pPr>
    </w:lvl>
    <w:lvl w:ilvl="6" w:tplc="FFFFFFFF" w:tentative="1">
      <w:start w:val="1"/>
      <w:numFmt w:val="decimal"/>
      <w:lvlText w:val="%7."/>
      <w:lvlJc w:val="left"/>
      <w:pPr>
        <w:ind w:left="5193" w:hanging="360"/>
      </w:pPr>
    </w:lvl>
    <w:lvl w:ilvl="7" w:tplc="FFFFFFFF" w:tentative="1">
      <w:start w:val="1"/>
      <w:numFmt w:val="lowerLetter"/>
      <w:lvlText w:val="%8."/>
      <w:lvlJc w:val="left"/>
      <w:pPr>
        <w:ind w:left="5913" w:hanging="360"/>
      </w:pPr>
    </w:lvl>
    <w:lvl w:ilvl="8" w:tplc="FFFFFFFF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8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7E52AF"/>
    <w:multiLevelType w:val="hybridMultilevel"/>
    <w:tmpl w:val="3BE2DB4C"/>
    <w:lvl w:ilvl="0" w:tplc="C4380AC2">
      <w:start w:val="1"/>
      <w:numFmt w:val="lowerRoman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D618DC"/>
    <w:multiLevelType w:val="hybridMultilevel"/>
    <w:tmpl w:val="177A10E0"/>
    <w:lvl w:ilvl="0" w:tplc="9F2CFD64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1" w15:restartNumberingAfterBreak="0">
    <w:nsid w:val="52554920"/>
    <w:multiLevelType w:val="hybridMultilevel"/>
    <w:tmpl w:val="3600EEB0"/>
    <w:lvl w:ilvl="0" w:tplc="37D8D61C">
      <w:start w:val="2"/>
      <w:numFmt w:val="upperLetter"/>
      <w:lvlText w:val="%1."/>
      <w:lvlJc w:val="left"/>
      <w:pPr>
        <w:ind w:left="5351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24" w:hanging="360"/>
      </w:pPr>
    </w:lvl>
    <w:lvl w:ilvl="2" w:tplc="1809001B" w:tentative="1">
      <w:start w:val="1"/>
      <w:numFmt w:val="lowerRoman"/>
      <w:lvlText w:val="%3."/>
      <w:lvlJc w:val="right"/>
      <w:pPr>
        <w:ind w:left="2444" w:hanging="180"/>
      </w:pPr>
    </w:lvl>
    <w:lvl w:ilvl="3" w:tplc="1809000F" w:tentative="1">
      <w:start w:val="1"/>
      <w:numFmt w:val="decimal"/>
      <w:lvlText w:val="%4."/>
      <w:lvlJc w:val="left"/>
      <w:pPr>
        <w:ind w:left="3164" w:hanging="360"/>
      </w:pPr>
    </w:lvl>
    <w:lvl w:ilvl="4" w:tplc="18090019" w:tentative="1">
      <w:start w:val="1"/>
      <w:numFmt w:val="lowerLetter"/>
      <w:lvlText w:val="%5."/>
      <w:lvlJc w:val="left"/>
      <w:pPr>
        <w:ind w:left="3884" w:hanging="360"/>
      </w:pPr>
    </w:lvl>
    <w:lvl w:ilvl="5" w:tplc="1809001B" w:tentative="1">
      <w:start w:val="1"/>
      <w:numFmt w:val="lowerRoman"/>
      <w:lvlText w:val="%6."/>
      <w:lvlJc w:val="right"/>
      <w:pPr>
        <w:ind w:left="4604" w:hanging="180"/>
      </w:pPr>
    </w:lvl>
    <w:lvl w:ilvl="6" w:tplc="1809000F" w:tentative="1">
      <w:start w:val="1"/>
      <w:numFmt w:val="decimal"/>
      <w:lvlText w:val="%7."/>
      <w:lvlJc w:val="left"/>
      <w:pPr>
        <w:ind w:left="5324" w:hanging="360"/>
      </w:pPr>
    </w:lvl>
    <w:lvl w:ilvl="7" w:tplc="18090019" w:tentative="1">
      <w:start w:val="1"/>
      <w:numFmt w:val="lowerLetter"/>
      <w:lvlText w:val="%8."/>
      <w:lvlJc w:val="left"/>
      <w:pPr>
        <w:ind w:left="6044" w:hanging="360"/>
      </w:pPr>
    </w:lvl>
    <w:lvl w:ilvl="8" w:tplc="1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27509D0"/>
    <w:multiLevelType w:val="hybridMultilevel"/>
    <w:tmpl w:val="45541A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FFFFFFFF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75BD8"/>
    <w:multiLevelType w:val="hybridMultilevel"/>
    <w:tmpl w:val="3648EA64"/>
    <w:lvl w:ilvl="0" w:tplc="FFFFFFFF">
      <w:start w:val="1"/>
      <w:numFmt w:val="lowerRoman"/>
      <w:lvlText w:val="%1."/>
      <w:lvlJc w:val="left"/>
      <w:pPr>
        <w:ind w:left="94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69" w:hanging="360"/>
      </w:pPr>
    </w:lvl>
    <w:lvl w:ilvl="2" w:tplc="FFFFFFFF" w:tentative="1">
      <w:start w:val="1"/>
      <w:numFmt w:val="lowerRoman"/>
      <w:lvlText w:val="%3."/>
      <w:lvlJc w:val="right"/>
      <w:pPr>
        <w:ind w:left="2389" w:hanging="180"/>
      </w:pPr>
    </w:lvl>
    <w:lvl w:ilvl="3" w:tplc="FFFFFFFF" w:tentative="1">
      <w:start w:val="1"/>
      <w:numFmt w:val="decimal"/>
      <w:lvlText w:val="%4."/>
      <w:lvlJc w:val="left"/>
      <w:pPr>
        <w:ind w:left="3109" w:hanging="360"/>
      </w:pPr>
    </w:lvl>
    <w:lvl w:ilvl="4" w:tplc="FFFFFFFF" w:tentative="1">
      <w:start w:val="1"/>
      <w:numFmt w:val="lowerLetter"/>
      <w:lvlText w:val="%5."/>
      <w:lvlJc w:val="left"/>
      <w:pPr>
        <w:ind w:left="3829" w:hanging="360"/>
      </w:pPr>
    </w:lvl>
    <w:lvl w:ilvl="5" w:tplc="FFFFFFFF" w:tentative="1">
      <w:start w:val="1"/>
      <w:numFmt w:val="lowerRoman"/>
      <w:lvlText w:val="%6."/>
      <w:lvlJc w:val="right"/>
      <w:pPr>
        <w:ind w:left="4549" w:hanging="180"/>
      </w:pPr>
    </w:lvl>
    <w:lvl w:ilvl="6" w:tplc="FFFFFFFF" w:tentative="1">
      <w:start w:val="1"/>
      <w:numFmt w:val="decimal"/>
      <w:lvlText w:val="%7."/>
      <w:lvlJc w:val="left"/>
      <w:pPr>
        <w:ind w:left="5269" w:hanging="360"/>
      </w:pPr>
    </w:lvl>
    <w:lvl w:ilvl="7" w:tplc="FFFFFFFF" w:tentative="1">
      <w:start w:val="1"/>
      <w:numFmt w:val="lowerLetter"/>
      <w:lvlText w:val="%8."/>
      <w:lvlJc w:val="left"/>
      <w:pPr>
        <w:ind w:left="5989" w:hanging="360"/>
      </w:pPr>
    </w:lvl>
    <w:lvl w:ilvl="8" w:tplc="FFFFFFFF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34" w15:restartNumberingAfterBreak="0">
    <w:nsid w:val="582A06EE"/>
    <w:multiLevelType w:val="hybridMultilevel"/>
    <w:tmpl w:val="15FE0870"/>
    <w:lvl w:ilvl="0" w:tplc="77BCF960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032575"/>
    <w:multiLevelType w:val="hybridMultilevel"/>
    <w:tmpl w:val="73C021E8"/>
    <w:lvl w:ilvl="0" w:tplc="1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8" w15:restartNumberingAfterBreak="0">
    <w:nsid w:val="66A63355"/>
    <w:multiLevelType w:val="hybridMultilevel"/>
    <w:tmpl w:val="5D76CF12"/>
    <w:lvl w:ilvl="0" w:tplc="8146D64A">
      <w:start w:val="1"/>
      <w:numFmt w:val="decimal"/>
      <w:lvlText w:val="%1."/>
      <w:lvlJc w:val="left"/>
      <w:pPr>
        <w:ind w:left="5256" w:hanging="360"/>
      </w:pPr>
      <w:rPr>
        <w:rFonts w:hint="default"/>
        <w:b/>
        <w:bCs w:val="0"/>
        <w:i w:val="0"/>
      </w:rPr>
    </w:lvl>
    <w:lvl w:ilvl="1" w:tplc="CBB2EC0A">
      <w:start w:val="1"/>
      <w:numFmt w:val="lowerRoman"/>
      <w:lvlText w:val="%2."/>
      <w:lvlJc w:val="left"/>
      <w:pPr>
        <w:ind w:left="5976" w:hanging="360"/>
      </w:pPr>
      <w:rPr>
        <w:rFonts w:ascii="Times New Roman" w:hAnsi="Times New Roman" w:hint="default"/>
        <w:b w:val="0"/>
        <w:i w:val="0"/>
        <w:sz w:val="24"/>
      </w:rPr>
    </w:lvl>
    <w:lvl w:ilvl="2" w:tplc="C91A5F2A">
      <w:start w:val="1"/>
      <w:numFmt w:val="lowerLetter"/>
      <w:lvlText w:val="%3."/>
      <w:lvlJc w:val="right"/>
      <w:pPr>
        <w:ind w:left="6696" w:hanging="18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7416" w:hanging="360"/>
      </w:pPr>
    </w:lvl>
    <w:lvl w:ilvl="4" w:tplc="615A0EBA">
      <w:start w:val="2"/>
      <w:numFmt w:val="lowerRoman"/>
      <w:lvlText w:val="(%5)"/>
      <w:lvlJc w:val="left"/>
      <w:pPr>
        <w:ind w:left="8496" w:hanging="72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3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 w15:restartNumberingAfterBreak="0">
    <w:nsid w:val="69146410"/>
    <w:multiLevelType w:val="hybridMultilevel"/>
    <w:tmpl w:val="271A8818"/>
    <w:lvl w:ilvl="0" w:tplc="92ECE10C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2" w15:restartNumberingAfterBreak="0">
    <w:nsid w:val="75267740"/>
    <w:multiLevelType w:val="hybridMultilevel"/>
    <w:tmpl w:val="83D4FB78"/>
    <w:lvl w:ilvl="0" w:tplc="E424D0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814EC"/>
    <w:multiLevelType w:val="hybridMultilevel"/>
    <w:tmpl w:val="4782C3C2"/>
    <w:lvl w:ilvl="0" w:tplc="FFFFFFFF">
      <w:start w:val="1"/>
      <w:numFmt w:val="lowerRoman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59607253">
    <w:abstractNumId w:val="9"/>
  </w:num>
  <w:num w:numId="2" w16cid:durableId="534778014">
    <w:abstractNumId w:val="12"/>
  </w:num>
  <w:num w:numId="3" w16cid:durableId="774106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7198">
    <w:abstractNumId w:val="38"/>
  </w:num>
  <w:num w:numId="5" w16cid:durableId="6950354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297377">
    <w:abstractNumId w:val="20"/>
  </w:num>
  <w:num w:numId="7" w16cid:durableId="1612585653">
    <w:abstractNumId w:val="16"/>
  </w:num>
  <w:num w:numId="8" w16cid:durableId="1521816062">
    <w:abstractNumId w:val="8"/>
  </w:num>
  <w:num w:numId="9" w16cid:durableId="1788306026">
    <w:abstractNumId w:val="7"/>
  </w:num>
  <w:num w:numId="10" w16cid:durableId="537359090">
    <w:abstractNumId w:val="36"/>
  </w:num>
  <w:num w:numId="11" w16cid:durableId="841239210">
    <w:abstractNumId w:val="39"/>
  </w:num>
  <w:num w:numId="12" w16cid:durableId="2101028302">
    <w:abstractNumId w:val="37"/>
  </w:num>
  <w:num w:numId="13" w16cid:durableId="1695106826">
    <w:abstractNumId w:val="41"/>
  </w:num>
  <w:num w:numId="14" w16cid:durableId="1413548228">
    <w:abstractNumId w:val="14"/>
  </w:num>
  <w:num w:numId="15" w16cid:durableId="1811551759">
    <w:abstractNumId w:val="25"/>
  </w:num>
  <w:num w:numId="16" w16cid:durableId="353188517">
    <w:abstractNumId w:val="2"/>
  </w:num>
  <w:num w:numId="17" w16cid:durableId="384454079">
    <w:abstractNumId w:val="28"/>
  </w:num>
  <w:num w:numId="18" w16cid:durableId="687685271">
    <w:abstractNumId w:val="1"/>
  </w:num>
  <w:num w:numId="19" w16cid:durableId="1678380314">
    <w:abstractNumId w:val="0"/>
  </w:num>
  <w:num w:numId="20" w16cid:durableId="640622050">
    <w:abstractNumId w:val="4"/>
  </w:num>
  <w:num w:numId="21" w16cid:durableId="481433966">
    <w:abstractNumId w:val="13"/>
  </w:num>
  <w:num w:numId="22" w16cid:durableId="1168793782">
    <w:abstractNumId w:val="18"/>
  </w:num>
  <w:num w:numId="23" w16cid:durableId="854002640">
    <w:abstractNumId w:val="10"/>
  </w:num>
  <w:num w:numId="24" w16cid:durableId="1158113797">
    <w:abstractNumId w:val="29"/>
  </w:num>
  <w:num w:numId="25" w16cid:durableId="686055548">
    <w:abstractNumId w:val="15"/>
  </w:num>
  <w:num w:numId="26" w16cid:durableId="1213038308">
    <w:abstractNumId w:val="40"/>
  </w:num>
  <w:num w:numId="27" w16cid:durableId="350112990">
    <w:abstractNumId w:val="19"/>
  </w:num>
  <w:num w:numId="28" w16cid:durableId="1371998172">
    <w:abstractNumId w:val="23"/>
  </w:num>
  <w:num w:numId="29" w16cid:durableId="1284729963">
    <w:abstractNumId w:val="3"/>
  </w:num>
  <w:num w:numId="30" w16cid:durableId="671880114">
    <w:abstractNumId w:val="5"/>
  </w:num>
  <w:num w:numId="31" w16cid:durableId="1579048592">
    <w:abstractNumId w:val="34"/>
  </w:num>
  <w:num w:numId="32" w16cid:durableId="1498618055">
    <w:abstractNumId w:val="30"/>
  </w:num>
  <w:num w:numId="33" w16cid:durableId="599488281">
    <w:abstractNumId w:val="24"/>
  </w:num>
  <w:num w:numId="34" w16cid:durableId="156073760">
    <w:abstractNumId w:val="6"/>
  </w:num>
  <w:num w:numId="35" w16cid:durableId="1230265584">
    <w:abstractNumId w:val="21"/>
  </w:num>
  <w:num w:numId="36" w16cid:durableId="1913076896">
    <w:abstractNumId w:val="27"/>
  </w:num>
  <w:num w:numId="37" w16cid:durableId="1061489316">
    <w:abstractNumId w:val="42"/>
  </w:num>
  <w:num w:numId="38" w16cid:durableId="1239753131">
    <w:abstractNumId w:val="31"/>
  </w:num>
  <w:num w:numId="39" w16cid:durableId="735783580">
    <w:abstractNumId w:val="17"/>
  </w:num>
  <w:num w:numId="40" w16cid:durableId="1119571239">
    <w:abstractNumId w:val="33"/>
  </w:num>
  <w:num w:numId="41" w16cid:durableId="1609198816">
    <w:abstractNumId w:val="11"/>
  </w:num>
  <w:num w:numId="42" w16cid:durableId="1894848695">
    <w:abstractNumId w:val="35"/>
  </w:num>
  <w:num w:numId="43" w16cid:durableId="563414294">
    <w:abstractNumId w:val="32"/>
  </w:num>
  <w:num w:numId="44" w16cid:durableId="1530292225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442F5"/>
    <w:rsid w:val="0000156E"/>
    <w:rsid w:val="00001A9C"/>
    <w:rsid w:val="0000461B"/>
    <w:rsid w:val="00004AB6"/>
    <w:rsid w:val="00004DA7"/>
    <w:rsid w:val="000055E9"/>
    <w:rsid w:val="00011908"/>
    <w:rsid w:val="0001211F"/>
    <w:rsid w:val="00012632"/>
    <w:rsid w:val="00012F14"/>
    <w:rsid w:val="00015204"/>
    <w:rsid w:val="00015E2B"/>
    <w:rsid w:val="00016884"/>
    <w:rsid w:val="00016924"/>
    <w:rsid w:val="000169C5"/>
    <w:rsid w:val="00020ECB"/>
    <w:rsid w:val="00021C73"/>
    <w:rsid w:val="0002251B"/>
    <w:rsid w:val="000236B2"/>
    <w:rsid w:val="00026DCF"/>
    <w:rsid w:val="00027952"/>
    <w:rsid w:val="00030283"/>
    <w:rsid w:val="000314D8"/>
    <w:rsid w:val="00033005"/>
    <w:rsid w:val="00034704"/>
    <w:rsid w:val="0003488B"/>
    <w:rsid w:val="000369C2"/>
    <w:rsid w:val="00041455"/>
    <w:rsid w:val="00042D7B"/>
    <w:rsid w:val="0004325C"/>
    <w:rsid w:val="000440DB"/>
    <w:rsid w:val="000442F5"/>
    <w:rsid w:val="0004464A"/>
    <w:rsid w:val="0004513C"/>
    <w:rsid w:val="000456D8"/>
    <w:rsid w:val="0004786A"/>
    <w:rsid w:val="00050EB9"/>
    <w:rsid w:val="00051090"/>
    <w:rsid w:val="0005250E"/>
    <w:rsid w:val="000531F9"/>
    <w:rsid w:val="00054C3D"/>
    <w:rsid w:val="00054C7D"/>
    <w:rsid w:val="000575C3"/>
    <w:rsid w:val="0006258B"/>
    <w:rsid w:val="00062608"/>
    <w:rsid w:val="000665D4"/>
    <w:rsid w:val="0006798B"/>
    <w:rsid w:val="00071540"/>
    <w:rsid w:val="00073906"/>
    <w:rsid w:val="00074701"/>
    <w:rsid w:val="00080012"/>
    <w:rsid w:val="00082E97"/>
    <w:rsid w:val="0008415C"/>
    <w:rsid w:val="0008583B"/>
    <w:rsid w:val="00086CC1"/>
    <w:rsid w:val="00087B19"/>
    <w:rsid w:val="00090B8E"/>
    <w:rsid w:val="00091C38"/>
    <w:rsid w:val="00094738"/>
    <w:rsid w:val="0009656E"/>
    <w:rsid w:val="00096BF6"/>
    <w:rsid w:val="00096F09"/>
    <w:rsid w:val="000A055E"/>
    <w:rsid w:val="000A0B4C"/>
    <w:rsid w:val="000A276B"/>
    <w:rsid w:val="000A5825"/>
    <w:rsid w:val="000A5C13"/>
    <w:rsid w:val="000B0680"/>
    <w:rsid w:val="000B0AAF"/>
    <w:rsid w:val="000B11A6"/>
    <w:rsid w:val="000B13BC"/>
    <w:rsid w:val="000B17C1"/>
    <w:rsid w:val="000B1BDB"/>
    <w:rsid w:val="000B1F8D"/>
    <w:rsid w:val="000B3274"/>
    <w:rsid w:val="000B389F"/>
    <w:rsid w:val="000B4557"/>
    <w:rsid w:val="000B46CA"/>
    <w:rsid w:val="000B65EA"/>
    <w:rsid w:val="000C160B"/>
    <w:rsid w:val="000C3517"/>
    <w:rsid w:val="000C614B"/>
    <w:rsid w:val="000C64AD"/>
    <w:rsid w:val="000C7906"/>
    <w:rsid w:val="000D23DD"/>
    <w:rsid w:val="000D3C38"/>
    <w:rsid w:val="000D3C54"/>
    <w:rsid w:val="000D7371"/>
    <w:rsid w:val="000D7C19"/>
    <w:rsid w:val="000E1D6B"/>
    <w:rsid w:val="000E5FAA"/>
    <w:rsid w:val="000E7DFF"/>
    <w:rsid w:val="000F176E"/>
    <w:rsid w:val="000F3D80"/>
    <w:rsid w:val="000F7499"/>
    <w:rsid w:val="00100464"/>
    <w:rsid w:val="00102684"/>
    <w:rsid w:val="00102E32"/>
    <w:rsid w:val="00105CC5"/>
    <w:rsid w:val="00112D60"/>
    <w:rsid w:val="00114695"/>
    <w:rsid w:val="00115C85"/>
    <w:rsid w:val="001169CB"/>
    <w:rsid w:val="00116C72"/>
    <w:rsid w:val="00117CBD"/>
    <w:rsid w:val="00120336"/>
    <w:rsid w:val="001221D1"/>
    <w:rsid w:val="0012340C"/>
    <w:rsid w:val="00123CB2"/>
    <w:rsid w:val="00124329"/>
    <w:rsid w:val="00124B6F"/>
    <w:rsid w:val="00125122"/>
    <w:rsid w:val="00126334"/>
    <w:rsid w:val="00133F66"/>
    <w:rsid w:val="00134A61"/>
    <w:rsid w:val="0013512B"/>
    <w:rsid w:val="001368AC"/>
    <w:rsid w:val="0013791D"/>
    <w:rsid w:val="00137C03"/>
    <w:rsid w:val="00140522"/>
    <w:rsid w:val="0014174B"/>
    <w:rsid w:val="00141E8B"/>
    <w:rsid w:val="00142B91"/>
    <w:rsid w:val="00143ABF"/>
    <w:rsid w:val="00144C96"/>
    <w:rsid w:val="0014629C"/>
    <w:rsid w:val="001474B5"/>
    <w:rsid w:val="0015042E"/>
    <w:rsid w:val="00152187"/>
    <w:rsid w:val="001533F4"/>
    <w:rsid w:val="0015340B"/>
    <w:rsid w:val="0015396D"/>
    <w:rsid w:val="001548B6"/>
    <w:rsid w:val="001555F0"/>
    <w:rsid w:val="00155F55"/>
    <w:rsid w:val="001565DA"/>
    <w:rsid w:val="0015675E"/>
    <w:rsid w:val="00157558"/>
    <w:rsid w:val="00157B86"/>
    <w:rsid w:val="001620DB"/>
    <w:rsid w:val="001622D8"/>
    <w:rsid w:val="00163D65"/>
    <w:rsid w:val="0016464C"/>
    <w:rsid w:val="00164ADE"/>
    <w:rsid w:val="0016585C"/>
    <w:rsid w:val="001672F7"/>
    <w:rsid w:val="0016750C"/>
    <w:rsid w:val="00170FBF"/>
    <w:rsid w:val="0017251B"/>
    <w:rsid w:val="00173244"/>
    <w:rsid w:val="00173E14"/>
    <w:rsid w:val="0017409E"/>
    <w:rsid w:val="001759B4"/>
    <w:rsid w:val="00175C89"/>
    <w:rsid w:val="0017744F"/>
    <w:rsid w:val="00180D53"/>
    <w:rsid w:val="00180EE7"/>
    <w:rsid w:val="00181BB0"/>
    <w:rsid w:val="00181F7C"/>
    <w:rsid w:val="001842CE"/>
    <w:rsid w:val="0018463C"/>
    <w:rsid w:val="001874A6"/>
    <w:rsid w:val="00187A99"/>
    <w:rsid w:val="00187D84"/>
    <w:rsid w:val="00190FD9"/>
    <w:rsid w:val="00191564"/>
    <w:rsid w:val="00191F68"/>
    <w:rsid w:val="001937FE"/>
    <w:rsid w:val="00193E48"/>
    <w:rsid w:val="00194878"/>
    <w:rsid w:val="00195029"/>
    <w:rsid w:val="00196847"/>
    <w:rsid w:val="00197CE8"/>
    <w:rsid w:val="001A7BBF"/>
    <w:rsid w:val="001A7CAC"/>
    <w:rsid w:val="001A7E86"/>
    <w:rsid w:val="001B0D9B"/>
    <w:rsid w:val="001B1480"/>
    <w:rsid w:val="001B1BE9"/>
    <w:rsid w:val="001B342A"/>
    <w:rsid w:val="001B645C"/>
    <w:rsid w:val="001B6590"/>
    <w:rsid w:val="001B6DD1"/>
    <w:rsid w:val="001C27EF"/>
    <w:rsid w:val="001C4D88"/>
    <w:rsid w:val="001C54D6"/>
    <w:rsid w:val="001C5A50"/>
    <w:rsid w:val="001C7129"/>
    <w:rsid w:val="001D3382"/>
    <w:rsid w:val="001D69A5"/>
    <w:rsid w:val="001D7EE4"/>
    <w:rsid w:val="001E0630"/>
    <w:rsid w:val="001E36BE"/>
    <w:rsid w:val="001E606A"/>
    <w:rsid w:val="001E6859"/>
    <w:rsid w:val="001F17A4"/>
    <w:rsid w:val="001F181F"/>
    <w:rsid w:val="001F56DC"/>
    <w:rsid w:val="001F5AD1"/>
    <w:rsid w:val="001F7473"/>
    <w:rsid w:val="001F7806"/>
    <w:rsid w:val="0020109B"/>
    <w:rsid w:val="00201201"/>
    <w:rsid w:val="00204CF1"/>
    <w:rsid w:val="002063B7"/>
    <w:rsid w:val="0020702F"/>
    <w:rsid w:val="00207301"/>
    <w:rsid w:val="0020770B"/>
    <w:rsid w:val="00207D52"/>
    <w:rsid w:val="00210BE0"/>
    <w:rsid w:val="00211A92"/>
    <w:rsid w:val="00212B4B"/>
    <w:rsid w:val="00212F30"/>
    <w:rsid w:val="002153A9"/>
    <w:rsid w:val="002158CE"/>
    <w:rsid w:val="0021639C"/>
    <w:rsid w:val="002178F0"/>
    <w:rsid w:val="00217E50"/>
    <w:rsid w:val="00222274"/>
    <w:rsid w:val="0022598D"/>
    <w:rsid w:val="00225F95"/>
    <w:rsid w:val="00227528"/>
    <w:rsid w:val="00230614"/>
    <w:rsid w:val="00231583"/>
    <w:rsid w:val="002334F7"/>
    <w:rsid w:val="00233A2F"/>
    <w:rsid w:val="00234412"/>
    <w:rsid w:val="0023543E"/>
    <w:rsid w:val="00235A26"/>
    <w:rsid w:val="0024109E"/>
    <w:rsid w:val="002451B4"/>
    <w:rsid w:val="00245FCA"/>
    <w:rsid w:val="002464D3"/>
    <w:rsid w:val="00250081"/>
    <w:rsid w:val="00250481"/>
    <w:rsid w:val="00250D9C"/>
    <w:rsid w:val="0025374D"/>
    <w:rsid w:val="00254139"/>
    <w:rsid w:val="002565B7"/>
    <w:rsid w:val="00256F72"/>
    <w:rsid w:val="00257493"/>
    <w:rsid w:val="00262368"/>
    <w:rsid w:val="00263A65"/>
    <w:rsid w:val="00264FE6"/>
    <w:rsid w:val="00265702"/>
    <w:rsid w:val="00270A0F"/>
    <w:rsid w:val="002717D7"/>
    <w:rsid w:val="002723C4"/>
    <w:rsid w:val="002727F7"/>
    <w:rsid w:val="00275EB4"/>
    <w:rsid w:val="00277BC0"/>
    <w:rsid w:val="00277FC9"/>
    <w:rsid w:val="00280D61"/>
    <w:rsid w:val="00282914"/>
    <w:rsid w:val="0028489C"/>
    <w:rsid w:val="00284ADA"/>
    <w:rsid w:val="00286D91"/>
    <w:rsid w:val="00287B08"/>
    <w:rsid w:val="0029002E"/>
    <w:rsid w:val="0029110A"/>
    <w:rsid w:val="00291ACC"/>
    <w:rsid w:val="002928CD"/>
    <w:rsid w:val="00293076"/>
    <w:rsid w:val="002933E1"/>
    <w:rsid w:val="00293E15"/>
    <w:rsid w:val="00295028"/>
    <w:rsid w:val="00295065"/>
    <w:rsid w:val="00295C90"/>
    <w:rsid w:val="0029714D"/>
    <w:rsid w:val="002A11D4"/>
    <w:rsid w:val="002A1C55"/>
    <w:rsid w:val="002A210E"/>
    <w:rsid w:val="002A2303"/>
    <w:rsid w:val="002A2C73"/>
    <w:rsid w:val="002A3B51"/>
    <w:rsid w:val="002A4F00"/>
    <w:rsid w:val="002A6D03"/>
    <w:rsid w:val="002B019C"/>
    <w:rsid w:val="002B0498"/>
    <w:rsid w:val="002B04AE"/>
    <w:rsid w:val="002B0F24"/>
    <w:rsid w:val="002B4509"/>
    <w:rsid w:val="002B45E8"/>
    <w:rsid w:val="002B52B3"/>
    <w:rsid w:val="002B70C6"/>
    <w:rsid w:val="002C0264"/>
    <w:rsid w:val="002C0338"/>
    <w:rsid w:val="002C150B"/>
    <w:rsid w:val="002C1559"/>
    <w:rsid w:val="002C3ED9"/>
    <w:rsid w:val="002C45A2"/>
    <w:rsid w:val="002C4CEE"/>
    <w:rsid w:val="002C6636"/>
    <w:rsid w:val="002C6BE5"/>
    <w:rsid w:val="002C79ED"/>
    <w:rsid w:val="002D014F"/>
    <w:rsid w:val="002D3097"/>
    <w:rsid w:val="002D3277"/>
    <w:rsid w:val="002D3699"/>
    <w:rsid w:val="002D3887"/>
    <w:rsid w:val="002D67D0"/>
    <w:rsid w:val="002D6F97"/>
    <w:rsid w:val="002D7B90"/>
    <w:rsid w:val="002E10AC"/>
    <w:rsid w:val="002E1B91"/>
    <w:rsid w:val="002E7116"/>
    <w:rsid w:val="002F08C2"/>
    <w:rsid w:val="002F1377"/>
    <w:rsid w:val="002F16BD"/>
    <w:rsid w:val="002F32B3"/>
    <w:rsid w:val="002F4845"/>
    <w:rsid w:val="002F4F73"/>
    <w:rsid w:val="002F5939"/>
    <w:rsid w:val="002F69D6"/>
    <w:rsid w:val="0030040A"/>
    <w:rsid w:val="00300D5F"/>
    <w:rsid w:val="0030108D"/>
    <w:rsid w:val="00304535"/>
    <w:rsid w:val="00305DC0"/>
    <w:rsid w:val="00307FC7"/>
    <w:rsid w:val="00311892"/>
    <w:rsid w:val="00312659"/>
    <w:rsid w:val="00312A8F"/>
    <w:rsid w:val="00313347"/>
    <w:rsid w:val="0031371A"/>
    <w:rsid w:val="00313947"/>
    <w:rsid w:val="003151F7"/>
    <w:rsid w:val="00320CCB"/>
    <w:rsid w:val="00321874"/>
    <w:rsid w:val="00323FD2"/>
    <w:rsid w:val="00324224"/>
    <w:rsid w:val="00325713"/>
    <w:rsid w:val="00326F40"/>
    <w:rsid w:val="00327439"/>
    <w:rsid w:val="00327711"/>
    <w:rsid w:val="00333D3C"/>
    <w:rsid w:val="003342BE"/>
    <w:rsid w:val="00334C81"/>
    <w:rsid w:val="00335290"/>
    <w:rsid w:val="003358B3"/>
    <w:rsid w:val="00335A40"/>
    <w:rsid w:val="00336A87"/>
    <w:rsid w:val="003379AF"/>
    <w:rsid w:val="00340CC5"/>
    <w:rsid w:val="00341C6B"/>
    <w:rsid w:val="00343948"/>
    <w:rsid w:val="00345523"/>
    <w:rsid w:val="003458AA"/>
    <w:rsid w:val="00346146"/>
    <w:rsid w:val="003462AE"/>
    <w:rsid w:val="003469DB"/>
    <w:rsid w:val="00347212"/>
    <w:rsid w:val="00352819"/>
    <w:rsid w:val="00354BD8"/>
    <w:rsid w:val="00355ECB"/>
    <w:rsid w:val="00361B45"/>
    <w:rsid w:val="0036238A"/>
    <w:rsid w:val="003638CB"/>
    <w:rsid w:val="0036428C"/>
    <w:rsid w:val="00364FC0"/>
    <w:rsid w:val="003664A8"/>
    <w:rsid w:val="00372914"/>
    <w:rsid w:val="00373272"/>
    <w:rsid w:val="00374DC2"/>
    <w:rsid w:val="00374F76"/>
    <w:rsid w:val="003764EE"/>
    <w:rsid w:val="003765A5"/>
    <w:rsid w:val="00384B34"/>
    <w:rsid w:val="00387A82"/>
    <w:rsid w:val="00387CA0"/>
    <w:rsid w:val="0039008E"/>
    <w:rsid w:val="00390AE1"/>
    <w:rsid w:val="00391015"/>
    <w:rsid w:val="00392A3E"/>
    <w:rsid w:val="00393A93"/>
    <w:rsid w:val="0039646D"/>
    <w:rsid w:val="00396BCE"/>
    <w:rsid w:val="00397D3C"/>
    <w:rsid w:val="003A140C"/>
    <w:rsid w:val="003A2B41"/>
    <w:rsid w:val="003A4A67"/>
    <w:rsid w:val="003A66DE"/>
    <w:rsid w:val="003B3667"/>
    <w:rsid w:val="003B48FF"/>
    <w:rsid w:val="003B49D0"/>
    <w:rsid w:val="003B58FE"/>
    <w:rsid w:val="003B7A1C"/>
    <w:rsid w:val="003C1D16"/>
    <w:rsid w:val="003C1D18"/>
    <w:rsid w:val="003C33B1"/>
    <w:rsid w:val="003C344B"/>
    <w:rsid w:val="003C4F59"/>
    <w:rsid w:val="003C668A"/>
    <w:rsid w:val="003D0318"/>
    <w:rsid w:val="003D0AAE"/>
    <w:rsid w:val="003D433B"/>
    <w:rsid w:val="003D4B63"/>
    <w:rsid w:val="003D4D77"/>
    <w:rsid w:val="003E2897"/>
    <w:rsid w:val="003E38AB"/>
    <w:rsid w:val="003E4266"/>
    <w:rsid w:val="003E4F53"/>
    <w:rsid w:val="003E6E6B"/>
    <w:rsid w:val="003F0F81"/>
    <w:rsid w:val="003F4AAB"/>
    <w:rsid w:val="003F629D"/>
    <w:rsid w:val="00403BCE"/>
    <w:rsid w:val="004065A8"/>
    <w:rsid w:val="00406F04"/>
    <w:rsid w:val="00407C0A"/>
    <w:rsid w:val="00411A2F"/>
    <w:rsid w:val="004133BD"/>
    <w:rsid w:val="004152C3"/>
    <w:rsid w:val="00415614"/>
    <w:rsid w:val="004165E0"/>
    <w:rsid w:val="00416D76"/>
    <w:rsid w:val="00421F63"/>
    <w:rsid w:val="0042268F"/>
    <w:rsid w:val="00424B44"/>
    <w:rsid w:val="00425CC6"/>
    <w:rsid w:val="004261E0"/>
    <w:rsid w:val="004266E5"/>
    <w:rsid w:val="00427308"/>
    <w:rsid w:val="00427762"/>
    <w:rsid w:val="004312C0"/>
    <w:rsid w:val="00431D32"/>
    <w:rsid w:val="00432738"/>
    <w:rsid w:val="0043413B"/>
    <w:rsid w:val="00435C49"/>
    <w:rsid w:val="00441F0B"/>
    <w:rsid w:val="004428D6"/>
    <w:rsid w:val="004438D6"/>
    <w:rsid w:val="00445F48"/>
    <w:rsid w:val="004473F5"/>
    <w:rsid w:val="004478AF"/>
    <w:rsid w:val="00450212"/>
    <w:rsid w:val="0045139E"/>
    <w:rsid w:val="00451471"/>
    <w:rsid w:val="004525DA"/>
    <w:rsid w:val="00452F5A"/>
    <w:rsid w:val="004556D2"/>
    <w:rsid w:val="0046055F"/>
    <w:rsid w:val="00462836"/>
    <w:rsid w:val="00466405"/>
    <w:rsid w:val="00471B74"/>
    <w:rsid w:val="004725A8"/>
    <w:rsid w:val="004755F4"/>
    <w:rsid w:val="004776A4"/>
    <w:rsid w:val="00477FE6"/>
    <w:rsid w:val="0048026D"/>
    <w:rsid w:val="004810CA"/>
    <w:rsid w:val="00483882"/>
    <w:rsid w:val="00484374"/>
    <w:rsid w:val="00491994"/>
    <w:rsid w:val="004932E8"/>
    <w:rsid w:val="00493C5B"/>
    <w:rsid w:val="00494C68"/>
    <w:rsid w:val="004959D6"/>
    <w:rsid w:val="00495AF5"/>
    <w:rsid w:val="00497548"/>
    <w:rsid w:val="00497669"/>
    <w:rsid w:val="004978B1"/>
    <w:rsid w:val="004A0C9C"/>
    <w:rsid w:val="004A0CB0"/>
    <w:rsid w:val="004A3012"/>
    <w:rsid w:val="004B0C34"/>
    <w:rsid w:val="004B10B5"/>
    <w:rsid w:val="004B2EF3"/>
    <w:rsid w:val="004B5C2A"/>
    <w:rsid w:val="004B676F"/>
    <w:rsid w:val="004B74BC"/>
    <w:rsid w:val="004C0064"/>
    <w:rsid w:val="004C0EFC"/>
    <w:rsid w:val="004C5420"/>
    <w:rsid w:val="004D061A"/>
    <w:rsid w:val="004D0660"/>
    <w:rsid w:val="004D1161"/>
    <w:rsid w:val="004D14A6"/>
    <w:rsid w:val="004D17A8"/>
    <w:rsid w:val="004D194B"/>
    <w:rsid w:val="004D34AD"/>
    <w:rsid w:val="004D6830"/>
    <w:rsid w:val="004D6AB4"/>
    <w:rsid w:val="004D6B12"/>
    <w:rsid w:val="004E0647"/>
    <w:rsid w:val="004E1CCE"/>
    <w:rsid w:val="004E3043"/>
    <w:rsid w:val="004E5900"/>
    <w:rsid w:val="004E74BB"/>
    <w:rsid w:val="004F00F0"/>
    <w:rsid w:val="004F192A"/>
    <w:rsid w:val="004F1FC4"/>
    <w:rsid w:val="004F668D"/>
    <w:rsid w:val="00500367"/>
    <w:rsid w:val="005003AE"/>
    <w:rsid w:val="00501DBF"/>
    <w:rsid w:val="0050219C"/>
    <w:rsid w:val="005021C4"/>
    <w:rsid w:val="00502FC2"/>
    <w:rsid w:val="005039EF"/>
    <w:rsid w:val="00503FD6"/>
    <w:rsid w:val="00504F2E"/>
    <w:rsid w:val="00507D75"/>
    <w:rsid w:val="005105A1"/>
    <w:rsid w:val="005115E4"/>
    <w:rsid w:val="0051165C"/>
    <w:rsid w:val="00512A31"/>
    <w:rsid w:val="0051324D"/>
    <w:rsid w:val="00514375"/>
    <w:rsid w:val="00515C4D"/>
    <w:rsid w:val="00516FE4"/>
    <w:rsid w:val="00521DD2"/>
    <w:rsid w:val="00523B4F"/>
    <w:rsid w:val="00523E17"/>
    <w:rsid w:val="00525113"/>
    <w:rsid w:val="00525ED5"/>
    <w:rsid w:val="00526352"/>
    <w:rsid w:val="00526607"/>
    <w:rsid w:val="00526ADF"/>
    <w:rsid w:val="00526D74"/>
    <w:rsid w:val="00526E16"/>
    <w:rsid w:val="0052784C"/>
    <w:rsid w:val="0053006D"/>
    <w:rsid w:val="00531E2B"/>
    <w:rsid w:val="005333AD"/>
    <w:rsid w:val="00533595"/>
    <w:rsid w:val="00533AE4"/>
    <w:rsid w:val="00536691"/>
    <w:rsid w:val="005406CB"/>
    <w:rsid w:val="005416C4"/>
    <w:rsid w:val="005417BE"/>
    <w:rsid w:val="00541B6E"/>
    <w:rsid w:val="00541D50"/>
    <w:rsid w:val="00541F71"/>
    <w:rsid w:val="00542F4A"/>
    <w:rsid w:val="005440AC"/>
    <w:rsid w:val="0054472A"/>
    <w:rsid w:val="00544B04"/>
    <w:rsid w:val="0054515A"/>
    <w:rsid w:val="00545B2F"/>
    <w:rsid w:val="00546877"/>
    <w:rsid w:val="00546CDE"/>
    <w:rsid w:val="005536DD"/>
    <w:rsid w:val="00554E1F"/>
    <w:rsid w:val="00557962"/>
    <w:rsid w:val="00560BD5"/>
    <w:rsid w:val="00560F44"/>
    <w:rsid w:val="00562354"/>
    <w:rsid w:val="0056278A"/>
    <w:rsid w:val="005647F5"/>
    <w:rsid w:val="00564D5B"/>
    <w:rsid w:val="00564F05"/>
    <w:rsid w:val="00565AB9"/>
    <w:rsid w:val="00566315"/>
    <w:rsid w:val="00571769"/>
    <w:rsid w:val="00571910"/>
    <w:rsid w:val="0057276B"/>
    <w:rsid w:val="0057362D"/>
    <w:rsid w:val="00573E29"/>
    <w:rsid w:val="0057408B"/>
    <w:rsid w:val="00574327"/>
    <w:rsid w:val="00574891"/>
    <w:rsid w:val="005749F8"/>
    <w:rsid w:val="00575506"/>
    <w:rsid w:val="005756CE"/>
    <w:rsid w:val="005758DA"/>
    <w:rsid w:val="00576C43"/>
    <w:rsid w:val="00576C44"/>
    <w:rsid w:val="00577325"/>
    <w:rsid w:val="00577AF5"/>
    <w:rsid w:val="005832CC"/>
    <w:rsid w:val="0058489E"/>
    <w:rsid w:val="00586556"/>
    <w:rsid w:val="00587E6E"/>
    <w:rsid w:val="00592A5F"/>
    <w:rsid w:val="00594B15"/>
    <w:rsid w:val="00597345"/>
    <w:rsid w:val="005A0B00"/>
    <w:rsid w:val="005A138A"/>
    <w:rsid w:val="005A3421"/>
    <w:rsid w:val="005A370E"/>
    <w:rsid w:val="005A3EEA"/>
    <w:rsid w:val="005A412F"/>
    <w:rsid w:val="005A4BB2"/>
    <w:rsid w:val="005A4D83"/>
    <w:rsid w:val="005A72A6"/>
    <w:rsid w:val="005A7976"/>
    <w:rsid w:val="005B06D6"/>
    <w:rsid w:val="005B0B3B"/>
    <w:rsid w:val="005B1A69"/>
    <w:rsid w:val="005B272C"/>
    <w:rsid w:val="005B2ED3"/>
    <w:rsid w:val="005B2FED"/>
    <w:rsid w:val="005B40D5"/>
    <w:rsid w:val="005B7DF0"/>
    <w:rsid w:val="005C0DBD"/>
    <w:rsid w:val="005C1156"/>
    <w:rsid w:val="005C2ABA"/>
    <w:rsid w:val="005C2EC2"/>
    <w:rsid w:val="005C5481"/>
    <w:rsid w:val="005C6138"/>
    <w:rsid w:val="005C6594"/>
    <w:rsid w:val="005C7B32"/>
    <w:rsid w:val="005D5884"/>
    <w:rsid w:val="005E0688"/>
    <w:rsid w:val="005E3625"/>
    <w:rsid w:val="005E45BD"/>
    <w:rsid w:val="005F0397"/>
    <w:rsid w:val="005F0E0A"/>
    <w:rsid w:val="005F459F"/>
    <w:rsid w:val="005F4A56"/>
    <w:rsid w:val="005F6E6B"/>
    <w:rsid w:val="00606D3F"/>
    <w:rsid w:val="00611562"/>
    <w:rsid w:val="00611C85"/>
    <w:rsid w:val="00611EA4"/>
    <w:rsid w:val="00613560"/>
    <w:rsid w:val="006135D9"/>
    <w:rsid w:val="0061499B"/>
    <w:rsid w:val="00615130"/>
    <w:rsid w:val="006209FA"/>
    <w:rsid w:val="00622E98"/>
    <w:rsid w:val="00622EA9"/>
    <w:rsid w:val="00622FDD"/>
    <w:rsid w:val="00623467"/>
    <w:rsid w:val="00626571"/>
    <w:rsid w:val="00627715"/>
    <w:rsid w:val="0062775F"/>
    <w:rsid w:val="006322A6"/>
    <w:rsid w:val="00633726"/>
    <w:rsid w:val="00633A78"/>
    <w:rsid w:val="00634BFB"/>
    <w:rsid w:val="0063791A"/>
    <w:rsid w:val="0064082D"/>
    <w:rsid w:val="00643CEC"/>
    <w:rsid w:val="006445C3"/>
    <w:rsid w:val="00644D98"/>
    <w:rsid w:val="006461A6"/>
    <w:rsid w:val="0065148C"/>
    <w:rsid w:val="00652CAB"/>
    <w:rsid w:val="00653D67"/>
    <w:rsid w:val="0065496A"/>
    <w:rsid w:val="00654AEF"/>
    <w:rsid w:val="00656492"/>
    <w:rsid w:val="006579DF"/>
    <w:rsid w:val="00660F14"/>
    <w:rsid w:val="00663008"/>
    <w:rsid w:val="00663ED6"/>
    <w:rsid w:val="00663F9A"/>
    <w:rsid w:val="00665B4F"/>
    <w:rsid w:val="006668D8"/>
    <w:rsid w:val="0067080E"/>
    <w:rsid w:val="00671053"/>
    <w:rsid w:val="0067348B"/>
    <w:rsid w:val="00674CF3"/>
    <w:rsid w:val="006773CE"/>
    <w:rsid w:val="00677805"/>
    <w:rsid w:val="00677E67"/>
    <w:rsid w:val="006906AE"/>
    <w:rsid w:val="00691101"/>
    <w:rsid w:val="00692909"/>
    <w:rsid w:val="00697188"/>
    <w:rsid w:val="00697BDC"/>
    <w:rsid w:val="006A73D2"/>
    <w:rsid w:val="006B0930"/>
    <w:rsid w:val="006B1712"/>
    <w:rsid w:val="006B1762"/>
    <w:rsid w:val="006B2D40"/>
    <w:rsid w:val="006B45D5"/>
    <w:rsid w:val="006B59A2"/>
    <w:rsid w:val="006B6657"/>
    <w:rsid w:val="006B66DC"/>
    <w:rsid w:val="006B7161"/>
    <w:rsid w:val="006C0CB7"/>
    <w:rsid w:val="006C58D2"/>
    <w:rsid w:val="006D10E1"/>
    <w:rsid w:val="006D38D6"/>
    <w:rsid w:val="006D38F8"/>
    <w:rsid w:val="006D6281"/>
    <w:rsid w:val="006D7C8C"/>
    <w:rsid w:val="006E34F7"/>
    <w:rsid w:val="006E59A1"/>
    <w:rsid w:val="006E6B4D"/>
    <w:rsid w:val="006F0AE2"/>
    <w:rsid w:val="006F1071"/>
    <w:rsid w:val="006F1CCB"/>
    <w:rsid w:val="006F256F"/>
    <w:rsid w:val="006F2898"/>
    <w:rsid w:val="006F2B64"/>
    <w:rsid w:val="006F2D71"/>
    <w:rsid w:val="006F48C7"/>
    <w:rsid w:val="006F55B6"/>
    <w:rsid w:val="006F666A"/>
    <w:rsid w:val="006F75A2"/>
    <w:rsid w:val="007014C6"/>
    <w:rsid w:val="007019E7"/>
    <w:rsid w:val="0070514E"/>
    <w:rsid w:val="00706616"/>
    <w:rsid w:val="00706DC8"/>
    <w:rsid w:val="00710029"/>
    <w:rsid w:val="00710EED"/>
    <w:rsid w:val="00711243"/>
    <w:rsid w:val="007123ED"/>
    <w:rsid w:val="00715827"/>
    <w:rsid w:val="00715D6C"/>
    <w:rsid w:val="00715F5E"/>
    <w:rsid w:val="00717049"/>
    <w:rsid w:val="0071799C"/>
    <w:rsid w:val="00720766"/>
    <w:rsid w:val="00720951"/>
    <w:rsid w:val="007210F3"/>
    <w:rsid w:val="0072121D"/>
    <w:rsid w:val="007237B8"/>
    <w:rsid w:val="0072538B"/>
    <w:rsid w:val="007257F0"/>
    <w:rsid w:val="00726BC8"/>
    <w:rsid w:val="00726FB4"/>
    <w:rsid w:val="007272A8"/>
    <w:rsid w:val="007302C9"/>
    <w:rsid w:val="0073048C"/>
    <w:rsid w:val="007304F9"/>
    <w:rsid w:val="00730DA3"/>
    <w:rsid w:val="007315B8"/>
    <w:rsid w:val="00732B89"/>
    <w:rsid w:val="00734FD0"/>
    <w:rsid w:val="00740165"/>
    <w:rsid w:val="00741A7A"/>
    <w:rsid w:val="00741C93"/>
    <w:rsid w:val="007457AF"/>
    <w:rsid w:val="00745B62"/>
    <w:rsid w:val="0074772E"/>
    <w:rsid w:val="00750C29"/>
    <w:rsid w:val="00752850"/>
    <w:rsid w:val="00753463"/>
    <w:rsid w:val="00753B93"/>
    <w:rsid w:val="00754C35"/>
    <w:rsid w:val="00755FDE"/>
    <w:rsid w:val="0075622E"/>
    <w:rsid w:val="00761131"/>
    <w:rsid w:val="007622AC"/>
    <w:rsid w:val="007627C5"/>
    <w:rsid w:val="007629B8"/>
    <w:rsid w:val="00763003"/>
    <w:rsid w:val="00764CD2"/>
    <w:rsid w:val="00767505"/>
    <w:rsid w:val="007705F4"/>
    <w:rsid w:val="0077075F"/>
    <w:rsid w:val="00770906"/>
    <w:rsid w:val="00770BD4"/>
    <w:rsid w:val="007746DD"/>
    <w:rsid w:val="007749A8"/>
    <w:rsid w:val="007749AC"/>
    <w:rsid w:val="007754A5"/>
    <w:rsid w:val="00775A33"/>
    <w:rsid w:val="00775A7E"/>
    <w:rsid w:val="00780A9F"/>
    <w:rsid w:val="0078179E"/>
    <w:rsid w:val="007821A1"/>
    <w:rsid w:val="0078387C"/>
    <w:rsid w:val="00785906"/>
    <w:rsid w:val="00787938"/>
    <w:rsid w:val="007947ED"/>
    <w:rsid w:val="007969DC"/>
    <w:rsid w:val="007979CA"/>
    <w:rsid w:val="007A002C"/>
    <w:rsid w:val="007A1EBC"/>
    <w:rsid w:val="007A4DBB"/>
    <w:rsid w:val="007A56A1"/>
    <w:rsid w:val="007A5DD1"/>
    <w:rsid w:val="007A5F19"/>
    <w:rsid w:val="007A704E"/>
    <w:rsid w:val="007B1CF1"/>
    <w:rsid w:val="007B1E25"/>
    <w:rsid w:val="007B21BD"/>
    <w:rsid w:val="007B3F93"/>
    <w:rsid w:val="007B485D"/>
    <w:rsid w:val="007B4BC2"/>
    <w:rsid w:val="007B706A"/>
    <w:rsid w:val="007B7684"/>
    <w:rsid w:val="007B7B48"/>
    <w:rsid w:val="007C0A44"/>
    <w:rsid w:val="007C0C88"/>
    <w:rsid w:val="007C39F8"/>
    <w:rsid w:val="007C4E0C"/>
    <w:rsid w:val="007C723A"/>
    <w:rsid w:val="007C72F6"/>
    <w:rsid w:val="007C7ECB"/>
    <w:rsid w:val="007D076D"/>
    <w:rsid w:val="007D1BBE"/>
    <w:rsid w:val="007D1E08"/>
    <w:rsid w:val="007D3544"/>
    <w:rsid w:val="007E1302"/>
    <w:rsid w:val="007E327D"/>
    <w:rsid w:val="007E3B07"/>
    <w:rsid w:val="007E3BA1"/>
    <w:rsid w:val="007E434C"/>
    <w:rsid w:val="007E4583"/>
    <w:rsid w:val="007E5766"/>
    <w:rsid w:val="007F0A5C"/>
    <w:rsid w:val="007F2769"/>
    <w:rsid w:val="007F2D9B"/>
    <w:rsid w:val="007F4026"/>
    <w:rsid w:val="007F5375"/>
    <w:rsid w:val="007F5A4A"/>
    <w:rsid w:val="007F7B2E"/>
    <w:rsid w:val="007F7C2A"/>
    <w:rsid w:val="007F7D67"/>
    <w:rsid w:val="008004CB"/>
    <w:rsid w:val="008009F9"/>
    <w:rsid w:val="00800E21"/>
    <w:rsid w:val="008022EA"/>
    <w:rsid w:val="00803223"/>
    <w:rsid w:val="00805640"/>
    <w:rsid w:val="00805DDB"/>
    <w:rsid w:val="0080609B"/>
    <w:rsid w:val="00807298"/>
    <w:rsid w:val="0080741F"/>
    <w:rsid w:val="00807B85"/>
    <w:rsid w:val="00807C9E"/>
    <w:rsid w:val="00810988"/>
    <w:rsid w:val="0081111E"/>
    <w:rsid w:val="00812A88"/>
    <w:rsid w:val="00813C7F"/>
    <w:rsid w:val="00815E69"/>
    <w:rsid w:val="008163D2"/>
    <w:rsid w:val="008167A0"/>
    <w:rsid w:val="00816A2B"/>
    <w:rsid w:val="00816D66"/>
    <w:rsid w:val="008171CE"/>
    <w:rsid w:val="008172E2"/>
    <w:rsid w:val="00820985"/>
    <w:rsid w:val="00821F07"/>
    <w:rsid w:val="00824886"/>
    <w:rsid w:val="00825B94"/>
    <w:rsid w:val="00826128"/>
    <w:rsid w:val="0082643A"/>
    <w:rsid w:val="00826E8A"/>
    <w:rsid w:val="0082799F"/>
    <w:rsid w:val="00830629"/>
    <w:rsid w:val="008309FC"/>
    <w:rsid w:val="008317D4"/>
    <w:rsid w:val="008334E3"/>
    <w:rsid w:val="00833705"/>
    <w:rsid w:val="0083561E"/>
    <w:rsid w:val="00836324"/>
    <w:rsid w:val="00836816"/>
    <w:rsid w:val="00842188"/>
    <w:rsid w:val="00843D95"/>
    <w:rsid w:val="00846B27"/>
    <w:rsid w:val="00846CE7"/>
    <w:rsid w:val="008472A5"/>
    <w:rsid w:val="008475F8"/>
    <w:rsid w:val="008507BB"/>
    <w:rsid w:val="008515FB"/>
    <w:rsid w:val="0085208E"/>
    <w:rsid w:val="0085324F"/>
    <w:rsid w:val="00853AC4"/>
    <w:rsid w:val="00857733"/>
    <w:rsid w:val="00860626"/>
    <w:rsid w:val="008618B1"/>
    <w:rsid w:val="00861D9F"/>
    <w:rsid w:val="0086255C"/>
    <w:rsid w:val="00863406"/>
    <w:rsid w:val="00863626"/>
    <w:rsid w:val="00864350"/>
    <w:rsid w:val="00864DCD"/>
    <w:rsid w:val="00865716"/>
    <w:rsid w:val="00865A9D"/>
    <w:rsid w:val="00866C66"/>
    <w:rsid w:val="008674C0"/>
    <w:rsid w:val="00870C6A"/>
    <w:rsid w:val="00871E67"/>
    <w:rsid w:val="0087250F"/>
    <w:rsid w:val="008769EA"/>
    <w:rsid w:val="00876D06"/>
    <w:rsid w:val="008806FA"/>
    <w:rsid w:val="00880C85"/>
    <w:rsid w:val="008828D4"/>
    <w:rsid w:val="0088350E"/>
    <w:rsid w:val="00883777"/>
    <w:rsid w:val="008848B5"/>
    <w:rsid w:val="0088595E"/>
    <w:rsid w:val="008861D9"/>
    <w:rsid w:val="00890F0D"/>
    <w:rsid w:val="008948A5"/>
    <w:rsid w:val="00895CCB"/>
    <w:rsid w:val="00897919"/>
    <w:rsid w:val="008A18BC"/>
    <w:rsid w:val="008A2C52"/>
    <w:rsid w:val="008A3CB7"/>
    <w:rsid w:val="008A47DB"/>
    <w:rsid w:val="008A559D"/>
    <w:rsid w:val="008A5B68"/>
    <w:rsid w:val="008A7903"/>
    <w:rsid w:val="008A7E93"/>
    <w:rsid w:val="008B005B"/>
    <w:rsid w:val="008B0B2B"/>
    <w:rsid w:val="008B16AB"/>
    <w:rsid w:val="008B1CA3"/>
    <w:rsid w:val="008B1E43"/>
    <w:rsid w:val="008C3068"/>
    <w:rsid w:val="008C3AB2"/>
    <w:rsid w:val="008C5759"/>
    <w:rsid w:val="008D1C65"/>
    <w:rsid w:val="008D1DCC"/>
    <w:rsid w:val="008D2AB4"/>
    <w:rsid w:val="008D35ED"/>
    <w:rsid w:val="008D37F9"/>
    <w:rsid w:val="008D43BC"/>
    <w:rsid w:val="008D5571"/>
    <w:rsid w:val="008D5F3F"/>
    <w:rsid w:val="008D71EF"/>
    <w:rsid w:val="008D75A6"/>
    <w:rsid w:val="008E0275"/>
    <w:rsid w:val="008E0F56"/>
    <w:rsid w:val="008E4062"/>
    <w:rsid w:val="008E4E94"/>
    <w:rsid w:val="008E5D62"/>
    <w:rsid w:val="008E62E0"/>
    <w:rsid w:val="008F0097"/>
    <w:rsid w:val="008F12AC"/>
    <w:rsid w:val="008F26C5"/>
    <w:rsid w:val="008F2CDE"/>
    <w:rsid w:val="008F39B1"/>
    <w:rsid w:val="008F445C"/>
    <w:rsid w:val="008F51F1"/>
    <w:rsid w:val="008F5A1E"/>
    <w:rsid w:val="009000F0"/>
    <w:rsid w:val="00900825"/>
    <w:rsid w:val="0090138C"/>
    <w:rsid w:val="00904729"/>
    <w:rsid w:val="00904979"/>
    <w:rsid w:val="009103AD"/>
    <w:rsid w:val="00913078"/>
    <w:rsid w:val="009159A7"/>
    <w:rsid w:val="009162D0"/>
    <w:rsid w:val="009204DA"/>
    <w:rsid w:val="00920B9C"/>
    <w:rsid w:val="00920D8D"/>
    <w:rsid w:val="00921247"/>
    <w:rsid w:val="0092172E"/>
    <w:rsid w:val="00921896"/>
    <w:rsid w:val="00925EF8"/>
    <w:rsid w:val="0093046D"/>
    <w:rsid w:val="009329F1"/>
    <w:rsid w:val="00932D56"/>
    <w:rsid w:val="00935000"/>
    <w:rsid w:val="00935A6B"/>
    <w:rsid w:val="00936276"/>
    <w:rsid w:val="00936573"/>
    <w:rsid w:val="009368F1"/>
    <w:rsid w:val="00936DCB"/>
    <w:rsid w:val="009372CD"/>
    <w:rsid w:val="009412D3"/>
    <w:rsid w:val="0094429F"/>
    <w:rsid w:val="0094494E"/>
    <w:rsid w:val="00945368"/>
    <w:rsid w:val="00947BCE"/>
    <w:rsid w:val="00947DBA"/>
    <w:rsid w:val="00951E13"/>
    <w:rsid w:val="009576B9"/>
    <w:rsid w:val="00957B21"/>
    <w:rsid w:val="00957C98"/>
    <w:rsid w:val="00957D47"/>
    <w:rsid w:val="00961876"/>
    <w:rsid w:val="00964232"/>
    <w:rsid w:val="00964DF7"/>
    <w:rsid w:val="0096537D"/>
    <w:rsid w:val="0096562F"/>
    <w:rsid w:val="0096752D"/>
    <w:rsid w:val="00967EF9"/>
    <w:rsid w:val="00970586"/>
    <w:rsid w:val="00970EF3"/>
    <w:rsid w:val="00971636"/>
    <w:rsid w:val="00972776"/>
    <w:rsid w:val="00972DFB"/>
    <w:rsid w:val="00980D9E"/>
    <w:rsid w:val="009813AF"/>
    <w:rsid w:val="00981863"/>
    <w:rsid w:val="009839E2"/>
    <w:rsid w:val="00984373"/>
    <w:rsid w:val="009861F5"/>
    <w:rsid w:val="0098722B"/>
    <w:rsid w:val="00990163"/>
    <w:rsid w:val="009916D5"/>
    <w:rsid w:val="009965BA"/>
    <w:rsid w:val="00996699"/>
    <w:rsid w:val="009A5EB5"/>
    <w:rsid w:val="009A606D"/>
    <w:rsid w:val="009A73F9"/>
    <w:rsid w:val="009B23EB"/>
    <w:rsid w:val="009B2A4B"/>
    <w:rsid w:val="009B2F61"/>
    <w:rsid w:val="009B354C"/>
    <w:rsid w:val="009B4C3C"/>
    <w:rsid w:val="009B5996"/>
    <w:rsid w:val="009B6EA8"/>
    <w:rsid w:val="009C26EC"/>
    <w:rsid w:val="009C275F"/>
    <w:rsid w:val="009C2EB5"/>
    <w:rsid w:val="009D0772"/>
    <w:rsid w:val="009D15AC"/>
    <w:rsid w:val="009D22F2"/>
    <w:rsid w:val="009D249D"/>
    <w:rsid w:val="009D24E6"/>
    <w:rsid w:val="009D3BC5"/>
    <w:rsid w:val="009D3D84"/>
    <w:rsid w:val="009D420F"/>
    <w:rsid w:val="009D65D3"/>
    <w:rsid w:val="009D6AD7"/>
    <w:rsid w:val="009D7827"/>
    <w:rsid w:val="009E2C04"/>
    <w:rsid w:val="009E2EA1"/>
    <w:rsid w:val="009E309F"/>
    <w:rsid w:val="009E5AE0"/>
    <w:rsid w:val="009E5EFC"/>
    <w:rsid w:val="009E6C0F"/>
    <w:rsid w:val="009F0A72"/>
    <w:rsid w:val="009F39D1"/>
    <w:rsid w:val="009F4041"/>
    <w:rsid w:val="00A05235"/>
    <w:rsid w:val="00A06698"/>
    <w:rsid w:val="00A141F3"/>
    <w:rsid w:val="00A2108A"/>
    <w:rsid w:val="00A22402"/>
    <w:rsid w:val="00A24694"/>
    <w:rsid w:val="00A255BF"/>
    <w:rsid w:val="00A25D46"/>
    <w:rsid w:val="00A27330"/>
    <w:rsid w:val="00A27600"/>
    <w:rsid w:val="00A27E0C"/>
    <w:rsid w:val="00A33BDE"/>
    <w:rsid w:val="00A34202"/>
    <w:rsid w:val="00A34C87"/>
    <w:rsid w:val="00A35E9E"/>
    <w:rsid w:val="00A37E3B"/>
    <w:rsid w:val="00A404D9"/>
    <w:rsid w:val="00A40CA2"/>
    <w:rsid w:val="00A40CD8"/>
    <w:rsid w:val="00A416AB"/>
    <w:rsid w:val="00A42834"/>
    <w:rsid w:val="00A4493E"/>
    <w:rsid w:val="00A45079"/>
    <w:rsid w:val="00A51399"/>
    <w:rsid w:val="00A51C4A"/>
    <w:rsid w:val="00A52895"/>
    <w:rsid w:val="00A53011"/>
    <w:rsid w:val="00A530E1"/>
    <w:rsid w:val="00A53EBB"/>
    <w:rsid w:val="00A54EFB"/>
    <w:rsid w:val="00A5623C"/>
    <w:rsid w:val="00A5666E"/>
    <w:rsid w:val="00A56FE6"/>
    <w:rsid w:val="00A6007A"/>
    <w:rsid w:val="00A66FA2"/>
    <w:rsid w:val="00A67B98"/>
    <w:rsid w:val="00A70104"/>
    <w:rsid w:val="00A70BC9"/>
    <w:rsid w:val="00A7102B"/>
    <w:rsid w:val="00A7305F"/>
    <w:rsid w:val="00A7418E"/>
    <w:rsid w:val="00A74A51"/>
    <w:rsid w:val="00A769AE"/>
    <w:rsid w:val="00A77677"/>
    <w:rsid w:val="00A77F76"/>
    <w:rsid w:val="00A811AA"/>
    <w:rsid w:val="00A82DEE"/>
    <w:rsid w:val="00A82E5C"/>
    <w:rsid w:val="00A833DD"/>
    <w:rsid w:val="00A84D63"/>
    <w:rsid w:val="00A86D0B"/>
    <w:rsid w:val="00A94C5F"/>
    <w:rsid w:val="00A94E6A"/>
    <w:rsid w:val="00A95983"/>
    <w:rsid w:val="00AA0C07"/>
    <w:rsid w:val="00AA1CA7"/>
    <w:rsid w:val="00AA251D"/>
    <w:rsid w:val="00AA36A9"/>
    <w:rsid w:val="00AA39F3"/>
    <w:rsid w:val="00AA3BCD"/>
    <w:rsid w:val="00AA6F85"/>
    <w:rsid w:val="00AA7DB4"/>
    <w:rsid w:val="00AB288A"/>
    <w:rsid w:val="00AB322D"/>
    <w:rsid w:val="00AB47A1"/>
    <w:rsid w:val="00AB5EC2"/>
    <w:rsid w:val="00AB61CD"/>
    <w:rsid w:val="00AB6E4E"/>
    <w:rsid w:val="00AB7338"/>
    <w:rsid w:val="00AB745F"/>
    <w:rsid w:val="00AC16A7"/>
    <w:rsid w:val="00AC506E"/>
    <w:rsid w:val="00AC5B96"/>
    <w:rsid w:val="00AC6E0D"/>
    <w:rsid w:val="00AD0976"/>
    <w:rsid w:val="00AD38C3"/>
    <w:rsid w:val="00AD3A3E"/>
    <w:rsid w:val="00AD4586"/>
    <w:rsid w:val="00AD5B63"/>
    <w:rsid w:val="00AD6D0E"/>
    <w:rsid w:val="00AE19CC"/>
    <w:rsid w:val="00AE2138"/>
    <w:rsid w:val="00AE4020"/>
    <w:rsid w:val="00AE74BC"/>
    <w:rsid w:val="00AF1422"/>
    <w:rsid w:val="00AF1772"/>
    <w:rsid w:val="00AF1FCF"/>
    <w:rsid w:val="00AF203B"/>
    <w:rsid w:val="00AF3BAB"/>
    <w:rsid w:val="00AF3E4A"/>
    <w:rsid w:val="00AF4FD2"/>
    <w:rsid w:val="00AF520F"/>
    <w:rsid w:val="00AF5C98"/>
    <w:rsid w:val="00AF63F5"/>
    <w:rsid w:val="00B00EC5"/>
    <w:rsid w:val="00B0483A"/>
    <w:rsid w:val="00B049F9"/>
    <w:rsid w:val="00B05591"/>
    <w:rsid w:val="00B0574D"/>
    <w:rsid w:val="00B07E32"/>
    <w:rsid w:val="00B13D02"/>
    <w:rsid w:val="00B13E24"/>
    <w:rsid w:val="00B146C8"/>
    <w:rsid w:val="00B15313"/>
    <w:rsid w:val="00B16496"/>
    <w:rsid w:val="00B17905"/>
    <w:rsid w:val="00B17DAB"/>
    <w:rsid w:val="00B2002A"/>
    <w:rsid w:val="00B21377"/>
    <w:rsid w:val="00B22704"/>
    <w:rsid w:val="00B246B7"/>
    <w:rsid w:val="00B249F6"/>
    <w:rsid w:val="00B24D9B"/>
    <w:rsid w:val="00B2631C"/>
    <w:rsid w:val="00B26532"/>
    <w:rsid w:val="00B27DBF"/>
    <w:rsid w:val="00B32302"/>
    <w:rsid w:val="00B35F1C"/>
    <w:rsid w:val="00B40159"/>
    <w:rsid w:val="00B418CC"/>
    <w:rsid w:val="00B420EA"/>
    <w:rsid w:val="00B429BF"/>
    <w:rsid w:val="00B42C99"/>
    <w:rsid w:val="00B42D95"/>
    <w:rsid w:val="00B435C8"/>
    <w:rsid w:val="00B43653"/>
    <w:rsid w:val="00B44A5B"/>
    <w:rsid w:val="00B45260"/>
    <w:rsid w:val="00B45B17"/>
    <w:rsid w:val="00B477C6"/>
    <w:rsid w:val="00B47CDB"/>
    <w:rsid w:val="00B47D6F"/>
    <w:rsid w:val="00B547CC"/>
    <w:rsid w:val="00B54884"/>
    <w:rsid w:val="00B568A2"/>
    <w:rsid w:val="00B56AD4"/>
    <w:rsid w:val="00B56D14"/>
    <w:rsid w:val="00B578A9"/>
    <w:rsid w:val="00B578FF"/>
    <w:rsid w:val="00B615AA"/>
    <w:rsid w:val="00B615B4"/>
    <w:rsid w:val="00B62EDD"/>
    <w:rsid w:val="00B64C84"/>
    <w:rsid w:val="00B65CAC"/>
    <w:rsid w:val="00B67A47"/>
    <w:rsid w:val="00B70355"/>
    <w:rsid w:val="00B70424"/>
    <w:rsid w:val="00B72939"/>
    <w:rsid w:val="00B729DF"/>
    <w:rsid w:val="00B76185"/>
    <w:rsid w:val="00B76FB9"/>
    <w:rsid w:val="00B80079"/>
    <w:rsid w:val="00B815E3"/>
    <w:rsid w:val="00B82F95"/>
    <w:rsid w:val="00B8320B"/>
    <w:rsid w:val="00B87223"/>
    <w:rsid w:val="00B876B2"/>
    <w:rsid w:val="00B87E0D"/>
    <w:rsid w:val="00B91BE0"/>
    <w:rsid w:val="00B91C09"/>
    <w:rsid w:val="00B932EC"/>
    <w:rsid w:val="00B942E0"/>
    <w:rsid w:val="00B95E02"/>
    <w:rsid w:val="00B96268"/>
    <w:rsid w:val="00B964A3"/>
    <w:rsid w:val="00BA0515"/>
    <w:rsid w:val="00BA1A31"/>
    <w:rsid w:val="00BA39B3"/>
    <w:rsid w:val="00BA42C6"/>
    <w:rsid w:val="00BA5554"/>
    <w:rsid w:val="00BA5751"/>
    <w:rsid w:val="00BA6CA1"/>
    <w:rsid w:val="00BB0FC6"/>
    <w:rsid w:val="00BB0FE8"/>
    <w:rsid w:val="00BB1DF5"/>
    <w:rsid w:val="00BB2068"/>
    <w:rsid w:val="00BB3F79"/>
    <w:rsid w:val="00BB42AC"/>
    <w:rsid w:val="00BB56D1"/>
    <w:rsid w:val="00BB7DC4"/>
    <w:rsid w:val="00BC0409"/>
    <w:rsid w:val="00BC1988"/>
    <w:rsid w:val="00BC1A80"/>
    <w:rsid w:val="00BC250F"/>
    <w:rsid w:val="00BC2DAA"/>
    <w:rsid w:val="00BC2E97"/>
    <w:rsid w:val="00BC5DDD"/>
    <w:rsid w:val="00BC61CF"/>
    <w:rsid w:val="00BC7F53"/>
    <w:rsid w:val="00BD0A42"/>
    <w:rsid w:val="00BD2DC7"/>
    <w:rsid w:val="00BD33A7"/>
    <w:rsid w:val="00BD3564"/>
    <w:rsid w:val="00BD4056"/>
    <w:rsid w:val="00BD72EF"/>
    <w:rsid w:val="00BD7C58"/>
    <w:rsid w:val="00BE09C7"/>
    <w:rsid w:val="00BE3AB2"/>
    <w:rsid w:val="00BE42AF"/>
    <w:rsid w:val="00BE4703"/>
    <w:rsid w:val="00BE4C16"/>
    <w:rsid w:val="00BE53D1"/>
    <w:rsid w:val="00BE6629"/>
    <w:rsid w:val="00BE702A"/>
    <w:rsid w:val="00BE7C63"/>
    <w:rsid w:val="00BF09E3"/>
    <w:rsid w:val="00BF2636"/>
    <w:rsid w:val="00BF2813"/>
    <w:rsid w:val="00BF32AF"/>
    <w:rsid w:val="00BF38BD"/>
    <w:rsid w:val="00BF3B23"/>
    <w:rsid w:val="00BF53A3"/>
    <w:rsid w:val="00BF5737"/>
    <w:rsid w:val="00BF5E38"/>
    <w:rsid w:val="00BF6A64"/>
    <w:rsid w:val="00BF716C"/>
    <w:rsid w:val="00BF736D"/>
    <w:rsid w:val="00BF7539"/>
    <w:rsid w:val="00C0082A"/>
    <w:rsid w:val="00C0147D"/>
    <w:rsid w:val="00C020A0"/>
    <w:rsid w:val="00C0291D"/>
    <w:rsid w:val="00C02F52"/>
    <w:rsid w:val="00C041E3"/>
    <w:rsid w:val="00C04541"/>
    <w:rsid w:val="00C068D1"/>
    <w:rsid w:val="00C06B59"/>
    <w:rsid w:val="00C0702F"/>
    <w:rsid w:val="00C0766C"/>
    <w:rsid w:val="00C07889"/>
    <w:rsid w:val="00C07AEA"/>
    <w:rsid w:val="00C109E2"/>
    <w:rsid w:val="00C11149"/>
    <w:rsid w:val="00C11603"/>
    <w:rsid w:val="00C121DE"/>
    <w:rsid w:val="00C1396E"/>
    <w:rsid w:val="00C13B55"/>
    <w:rsid w:val="00C14706"/>
    <w:rsid w:val="00C158CA"/>
    <w:rsid w:val="00C1643D"/>
    <w:rsid w:val="00C16A39"/>
    <w:rsid w:val="00C17552"/>
    <w:rsid w:val="00C225F1"/>
    <w:rsid w:val="00C23032"/>
    <w:rsid w:val="00C24D2F"/>
    <w:rsid w:val="00C25FDB"/>
    <w:rsid w:val="00C33721"/>
    <w:rsid w:val="00C33A46"/>
    <w:rsid w:val="00C347F6"/>
    <w:rsid w:val="00C34C79"/>
    <w:rsid w:val="00C35705"/>
    <w:rsid w:val="00C40309"/>
    <w:rsid w:val="00C432AE"/>
    <w:rsid w:val="00C43D8A"/>
    <w:rsid w:val="00C45342"/>
    <w:rsid w:val="00C458F9"/>
    <w:rsid w:val="00C46421"/>
    <w:rsid w:val="00C47CAC"/>
    <w:rsid w:val="00C501C5"/>
    <w:rsid w:val="00C506E3"/>
    <w:rsid w:val="00C50CBE"/>
    <w:rsid w:val="00C50F7B"/>
    <w:rsid w:val="00C52389"/>
    <w:rsid w:val="00C52CFD"/>
    <w:rsid w:val="00C53C43"/>
    <w:rsid w:val="00C546A0"/>
    <w:rsid w:val="00C55D4C"/>
    <w:rsid w:val="00C61679"/>
    <w:rsid w:val="00C61829"/>
    <w:rsid w:val="00C63D7C"/>
    <w:rsid w:val="00C63FA7"/>
    <w:rsid w:val="00C64270"/>
    <w:rsid w:val="00C66590"/>
    <w:rsid w:val="00C667C0"/>
    <w:rsid w:val="00C66E22"/>
    <w:rsid w:val="00C707A0"/>
    <w:rsid w:val="00C70CD0"/>
    <w:rsid w:val="00C70D68"/>
    <w:rsid w:val="00C713DD"/>
    <w:rsid w:val="00C736B5"/>
    <w:rsid w:val="00C74C70"/>
    <w:rsid w:val="00C75687"/>
    <w:rsid w:val="00C7664E"/>
    <w:rsid w:val="00C842AF"/>
    <w:rsid w:val="00C8481E"/>
    <w:rsid w:val="00C849BA"/>
    <w:rsid w:val="00C86C53"/>
    <w:rsid w:val="00C90797"/>
    <w:rsid w:val="00C92744"/>
    <w:rsid w:val="00C95D66"/>
    <w:rsid w:val="00C97477"/>
    <w:rsid w:val="00CA0D41"/>
    <w:rsid w:val="00CA1921"/>
    <w:rsid w:val="00CA2C95"/>
    <w:rsid w:val="00CA3172"/>
    <w:rsid w:val="00CA611B"/>
    <w:rsid w:val="00CA66EF"/>
    <w:rsid w:val="00CA6ADC"/>
    <w:rsid w:val="00CA7A4A"/>
    <w:rsid w:val="00CB09E0"/>
    <w:rsid w:val="00CB1212"/>
    <w:rsid w:val="00CB253B"/>
    <w:rsid w:val="00CB43A7"/>
    <w:rsid w:val="00CB6B1C"/>
    <w:rsid w:val="00CC09AC"/>
    <w:rsid w:val="00CC1756"/>
    <w:rsid w:val="00CC1879"/>
    <w:rsid w:val="00CC1A2C"/>
    <w:rsid w:val="00CC29A8"/>
    <w:rsid w:val="00CC373C"/>
    <w:rsid w:val="00CC3843"/>
    <w:rsid w:val="00CC766E"/>
    <w:rsid w:val="00CC7B7B"/>
    <w:rsid w:val="00CC7D76"/>
    <w:rsid w:val="00CC7EFA"/>
    <w:rsid w:val="00CD17F7"/>
    <w:rsid w:val="00CD498E"/>
    <w:rsid w:val="00CD6B86"/>
    <w:rsid w:val="00CD6ED4"/>
    <w:rsid w:val="00CD70D1"/>
    <w:rsid w:val="00CD7749"/>
    <w:rsid w:val="00CE1E84"/>
    <w:rsid w:val="00CE1ED6"/>
    <w:rsid w:val="00CF0917"/>
    <w:rsid w:val="00CF0E4C"/>
    <w:rsid w:val="00CF1135"/>
    <w:rsid w:val="00CF2E46"/>
    <w:rsid w:val="00CF412D"/>
    <w:rsid w:val="00CF4A34"/>
    <w:rsid w:val="00CF6360"/>
    <w:rsid w:val="00CF64F1"/>
    <w:rsid w:val="00CF6F23"/>
    <w:rsid w:val="00CF7E72"/>
    <w:rsid w:val="00D00AB5"/>
    <w:rsid w:val="00D01C6E"/>
    <w:rsid w:val="00D039B4"/>
    <w:rsid w:val="00D06B73"/>
    <w:rsid w:val="00D073C2"/>
    <w:rsid w:val="00D07969"/>
    <w:rsid w:val="00D10FE7"/>
    <w:rsid w:val="00D12079"/>
    <w:rsid w:val="00D12B0D"/>
    <w:rsid w:val="00D13239"/>
    <w:rsid w:val="00D1529E"/>
    <w:rsid w:val="00D15EF0"/>
    <w:rsid w:val="00D24240"/>
    <w:rsid w:val="00D251D5"/>
    <w:rsid w:val="00D25DD0"/>
    <w:rsid w:val="00D25FB9"/>
    <w:rsid w:val="00D2673A"/>
    <w:rsid w:val="00D271B1"/>
    <w:rsid w:val="00D275BF"/>
    <w:rsid w:val="00D2785A"/>
    <w:rsid w:val="00D31176"/>
    <w:rsid w:val="00D3240C"/>
    <w:rsid w:val="00D346DF"/>
    <w:rsid w:val="00D34FF1"/>
    <w:rsid w:val="00D357DF"/>
    <w:rsid w:val="00D35BB9"/>
    <w:rsid w:val="00D37676"/>
    <w:rsid w:val="00D4206D"/>
    <w:rsid w:val="00D424A2"/>
    <w:rsid w:val="00D429CF"/>
    <w:rsid w:val="00D43837"/>
    <w:rsid w:val="00D45E0A"/>
    <w:rsid w:val="00D52AF1"/>
    <w:rsid w:val="00D52D0C"/>
    <w:rsid w:val="00D53859"/>
    <w:rsid w:val="00D54947"/>
    <w:rsid w:val="00D55ACA"/>
    <w:rsid w:val="00D56E44"/>
    <w:rsid w:val="00D605C9"/>
    <w:rsid w:val="00D6096B"/>
    <w:rsid w:val="00D61D41"/>
    <w:rsid w:val="00D64B52"/>
    <w:rsid w:val="00D65A84"/>
    <w:rsid w:val="00D7055C"/>
    <w:rsid w:val="00D70FE9"/>
    <w:rsid w:val="00D71498"/>
    <w:rsid w:val="00D71E9E"/>
    <w:rsid w:val="00D72D27"/>
    <w:rsid w:val="00D74293"/>
    <w:rsid w:val="00D7525E"/>
    <w:rsid w:val="00D75664"/>
    <w:rsid w:val="00D77A43"/>
    <w:rsid w:val="00D80378"/>
    <w:rsid w:val="00D81C3B"/>
    <w:rsid w:val="00D84DA0"/>
    <w:rsid w:val="00D873B3"/>
    <w:rsid w:val="00D90307"/>
    <w:rsid w:val="00D90AAC"/>
    <w:rsid w:val="00D90BD8"/>
    <w:rsid w:val="00D936A7"/>
    <w:rsid w:val="00D93836"/>
    <w:rsid w:val="00D95B36"/>
    <w:rsid w:val="00D96EB0"/>
    <w:rsid w:val="00D97B3D"/>
    <w:rsid w:val="00D97CBE"/>
    <w:rsid w:val="00DA05AE"/>
    <w:rsid w:val="00DA74C7"/>
    <w:rsid w:val="00DB09CF"/>
    <w:rsid w:val="00DB2B84"/>
    <w:rsid w:val="00DB40A5"/>
    <w:rsid w:val="00DB4CFE"/>
    <w:rsid w:val="00DB52AD"/>
    <w:rsid w:val="00DB54D4"/>
    <w:rsid w:val="00DB60B0"/>
    <w:rsid w:val="00DC0171"/>
    <w:rsid w:val="00DC11B9"/>
    <w:rsid w:val="00DC14C8"/>
    <w:rsid w:val="00DC25E7"/>
    <w:rsid w:val="00DC2BEB"/>
    <w:rsid w:val="00DC347A"/>
    <w:rsid w:val="00DC560A"/>
    <w:rsid w:val="00DD0932"/>
    <w:rsid w:val="00DD3E6F"/>
    <w:rsid w:val="00DD52BF"/>
    <w:rsid w:val="00DE063E"/>
    <w:rsid w:val="00DE1D68"/>
    <w:rsid w:val="00DE2433"/>
    <w:rsid w:val="00DE3BED"/>
    <w:rsid w:val="00DE4086"/>
    <w:rsid w:val="00DE525C"/>
    <w:rsid w:val="00DE616B"/>
    <w:rsid w:val="00DE74C3"/>
    <w:rsid w:val="00DF0130"/>
    <w:rsid w:val="00DF0AED"/>
    <w:rsid w:val="00DF1CAE"/>
    <w:rsid w:val="00DF1DD3"/>
    <w:rsid w:val="00DF3587"/>
    <w:rsid w:val="00DF5B6B"/>
    <w:rsid w:val="00DF6743"/>
    <w:rsid w:val="00DF75C4"/>
    <w:rsid w:val="00DF76BD"/>
    <w:rsid w:val="00DF7875"/>
    <w:rsid w:val="00E00345"/>
    <w:rsid w:val="00E02B81"/>
    <w:rsid w:val="00E03749"/>
    <w:rsid w:val="00E04157"/>
    <w:rsid w:val="00E11D02"/>
    <w:rsid w:val="00E123EA"/>
    <w:rsid w:val="00E123FF"/>
    <w:rsid w:val="00E12DD9"/>
    <w:rsid w:val="00E142B1"/>
    <w:rsid w:val="00E1437C"/>
    <w:rsid w:val="00E152E7"/>
    <w:rsid w:val="00E15CCB"/>
    <w:rsid w:val="00E16EC6"/>
    <w:rsid w:val="00E1791B"/>
    <w:rsid w:val="00E17A18"/>
    <w:rsid w:val="00E21EC7"/>
    <w:rsid w:val="00E2629B"/>
    <w:rsid w:val="00E26E41"/>
    <w:rsid w:val="00E27781"/>
    <w:rsid w:val="00E27E60"/>
    <w:rsid w:val="00E30A75"/>
    <w:rsid w:val="00E32327"/>
    <w:rsid w:val="00E32AD5"/>
    <w:rsid w:val="00E33385"/>
    <w:rsid w:val="00E3382D"/>
    <w:rsid w:val="00E338F5"/>
    <w:rsid w:val="00E34D0D"/>
    <w:rsid w:val="00E35000"/>
    <w:rsid w:val="00E3507A"/>
    <w:rsid w:val="00E35BE1"/>
    <w:rsid w:val="00E374B9"/>
    <w:rsid w:val="00E41869"/>
    <w:rsid w:val="00E4312F"/>
    <w:rsid w:val="00E4424D"/>
    <w:rsid w:val="00E446F2"/>
    <w:rsid w:val="00E4515A"/>
    <w:rsid w:val="00E4601E"/>
    <w:rsid w:val="00E47719"/>
    <w:rsid w:val="00E50157"/>
    <w:rsid w:val="00E50845"/>
    <w:rsid w:val="00E528A7"/>
    <w:rsid w:val="00E52B4D"/>
    <w:rsid w:val="00E535D8"/>
    <w:rsid w:val="00E539EA"/>
    <w:rsid w:val="00E53D19"/>
    <w:rsid w:val="00E5484B"/>
    <w:rsid w:val="00E55631"/>
    <w:rsid w:val="00E573FA"/>
    <w:rsid w:val="00E57872"/>
    <w:rsid w:val="00E61386"/>
    <w:rsid w:val="00E61D07"/>
    <w:rsid w:val="00E6461C"/>
    <w:rsid w:val="00E65190"/>
    <w:rsid w:val="00E661B9"/>
    <w:rsid w:val="00E67EF6"/>
    <w:rsid w:val="00E71C59"/>
    <w:rsid w:val="00E72618"/>
    <w:rsid w:val="00E72E7D"/>
    <w:rsid w:val="00E74034"/>
    <w:rsid w:val="00E74CAF"/>
    <w:rsid w:val="00E754D1"/>
    <w:rsid w:val="00E75650"/>
    <w:rsid w:val="00E75ECB"/>
    <w:rsid w:val="00E766C0"/>
    <w:rsid w:val="00E77DDE"/>
    <w:rsid w:val="00E80F06"/>
    <w:rsid w:val="00E8390C"/>
    <w:rsid w:val="00E84057"/>
    <w:rsid w:val="00E84CC9"/>
    <w:rsid w:val="00E86C23"/>
    <w:rsid w:val="00E87A5A"/>
    <w:rsid w:val="00E9233A"/>
    <w:rsid w:val="00E95285"/>
    <w:rsid w:val="00EA0192"/>
    <w:rsid w:val="00EA272E"/>
    <w:rsid w:val="00EA354A"/>
    <w:rsid w:val="00EA47A7"/>
    <w:rsid w:val="00EA5AC6"/>
    <w:rsid w:val="00EA5CBC"/>
    <w:rsid w:val="00EA609E"/>
    <w:rsid w:val="00EA6B3A"/>
    <w:rsid w:val="00EB2530"/>
    <w:rsid w:val="00EB2A67"/>
    <w:rsid w:val="00EB2CDE"/>
    <w:rsid w:val="00EB33B1"/>
    <w:rsid w:val="00EB3E49"/>
    <w:rsid w:val="00EB4633"/>
    <w:rsid w:val="00EB4C63"/>
    <w:rsid w:val="00EB5D7F"/>
    <w:rsid w:val="00EB6682"/>
    <w:rsid w:val="00EB729D"/>
    <w:rsid w:val="00EB76F7"/>
    <w:rsid w:val="00EC0FBF"/>
    <w:rsid w:val="00EC18F1"/>
    <w:rsid w:val="00EC2A7D"/>
    <w:rsid w:val="00EC455B"/>
    <w:rsid w:val="00EC47CD"/>
    <w:rsid w:val="00EC5DCC"/>
    <w:rsid w:val="00EC7DF8"/>
    <w:rsid w:val="00ED2FA7"/>
    <w:rsid w:val="00ED3116"/>
    <w:rsid w:val="00ED4BB5"/>
    <w:rsid w:val="00ED71CB"/>
    <w:rsid w:val="00ED7690"/>
    <w:rsid w:val="00ED7929"/>
    <w:rsid w:val="00EE0083"/>
    <w:rsid w:val="00EE038E"/>
    <w:rsid w:val="00EE059E"/>
    <w:rsid w:val="00EE1187"/>
    <w:rsid w:val="00EE2D70"/>
    <w:rsid w:val="00EE2FCC"/>
    <w:rsid w:val="00EE6689"/>
    <w:rsid w:val="00EE6966"/>
    <w:rsid w:val="00EE79F1"/>
    <w:rsid w:val="00EF0A45"/>
    <w:rsid w:val="00EF0D56"/>
    <w:rsid w:val="00EF1F6E"/>
    <w:rsid w:val="00EF3CEF"/>
    <w:rsid w:val="00EF48E1"/>
    <w:rsid w:val="00EF7C85"/>
    <w:rsid w:val="00EF7F9E"/>
    <w:rsid w:val="00F00086"/>
    <w:rsid w:val="00F02247"/>
    <w:rsid w:val="00F02B0C"/>
    <w:rsid w:val="00F05162"/>
    <w:rsid w:val="00F0590F"/>
    <w:rsid w:val="00F05DB7"/>
    <w:rsid w:val="00F05E31"/>
    <w:rsid w:val="00F1014F"/>
    <w:rsid w:val="00F1260A"/>
    <w:rsid w:val="00F14A91"/>
    <w:rsid w:val="00F15753"/>
    <w:rsid w:val="00F1739D"/>
    <w:rsid w:val="00F17AAB"/>
    <w:rsid w:val="00F2211A"/>
    <w:rsid w:val="00F25D42"/>
    <w:rsid w:val="00F26706"/>
    <w:rsid w:val="00F30F01"/>
    <w:rsid w:val="00F3129A"/>
    <w:rsid w:val="00F32768"/>
    <w:rsid w:val="00F32C74"/>
    <w:rsid w:val="00F33CC0"/>
    <w:rsid w:val="00F36456"/>
    <w:rsid w:val="00F40F60"/>
    <w:rsid w:val="00F41459"/>
    <w:rsid w:val="00F44FF9"/>
    <w:rsid w:val="00F4610C"/>
    <w:rsid w:val="00F51CB0"/>
    <w:rsid w:val="00F52A81"/>
    <w:rsid w:val="00F54CDC"/>
    <w:rsid w:val="00F5520A"/>
    <w:rsid w:val="00F55F4E"/>
    <w:rsid w:val="00F566BC"/>
    <w:rsid w:val="00F56D44"/>
    <w:rsid w:val="00F60145"/>
    <w:rsid w:val="00F60172"/>
    <w:rsid w:val="00F60556"/>
    <w:rsid w:val="00F605A7"/>
    <w:rsid w:val="00F635A5"/>
    <w:rsid w:val="00F6400A"/>
    <w:rsid w:val="00F65835"/>
    <w:rsid w:val="00F65B17"/>
    <w:rsid w:val="00F6619D"/>
    <w:rsid w:val="00F6756A"/>
    <w:rsid w:val="00F710BE"/>
    <w:rsid w:val="00F710E3"/>
    <w:rsid w:val="00F71306"/>
    <w:rsid w:val="00F72351"/>
    <w:rsid w:val="00F7280F"/>
    <w:rsid w:val="00F73CA6"/>
    <w:rsid w:val="00F7509F"/>
    <w:rsid w:val="00F760AD"/>
    <w:rsid w:val="00F76B39"/>
    <w:rsid w:val="00F7705E"/>
    <w:rsid w:val="00F83660"/>
    <w:rsid w:val="00F83E74"/>
    <w:rsid w:val="00F8597E"/>
    <w:rsid w:val="00F85F88"/>
    <w:rsid w:val="00F93B6C"/>
    <w:rsid w:val="00FA137E"/>
    <w:rsid w:val="00FA15E4"/>
    <w:rsid w:val="00FA1F8A"/>
    <w:rsid w:val="00FA2FAF"/>
    <w:rsid w:val="00FA5166"/>
    <w:rsid w:val="00FA5348"/>
    <w:rsid w:val="00FA6322"/>
    <w:rsid w:val="00FB0102"/>
    <w:rsid w:val="00FB1406"/>
    <w:rsid w:val="00FB1FC5"/>
    <w:rsid w:val="00FB1FD6"/>
    <w:rsid w:val="00FB2A38"/>
    <w:rsid w:val="00FB2CFC"/>
    <w:rsid w:val="00FB2E17"/>
    <w:rsid w:val="00FB3208"/>
    <w:rsid w:val="00FB4C21"/>
    <w:rsid w:val="00FB55E9"/>
    <w:rsid w:val="00FB5601"/>
    <w:rsid w:val="00FB7692"/>
    <w:rsid w:val="00FC1454"/>
    <w:rsid w:val="00FC1BCC"/>
    <w:rsid w:val="00FC1D3A"/>
    <w:rsid w:val="00FC3C58"/>
    <w:rsid w:val="00FC4278"/>
    <w:rsid w:val="00FC4711"/>
    <w:rsid w:val="00FC4A9E"/>
    <w:rsid w:val="00FC5724"/>
    <w:rsid w:val="00FC5D31"/>
    <w:rsid w:val="00FC6137"/>
    <w:rsid w:val="00FC6878"/>
    <w:rsid w:val="00FC6BCD"/>
    <w:rsid w:val="00FC7C88"/>
    <w:rsid w:val="00FD1D13"/>
    <w:rsid w:val="00FD2086"/>
    <w:rsid w:val="00FD2212"/>
    <w:rsid w:val="00FD2296"/>
    <w:rsid w:val="00FD270F"/>
    <w:rsid w:val="00FD40CD"/>
    <w:rsid w:val="00FD43A6"/>
    <w:rsid w:val="00FD5F79"/>
    <w:rsid w:val="00FD6174"/>
    <w:rsid w:val="00FE10B1"/>
    <w:rsid w:val="00FE2192"/>
    <w:rsid w:val="00FE2285"/>
    <w:rsid w:val="00FE281D"/>
    <w:rsid w:val="00FE3044"/>
    <w:rsid w:val="00FE5362"/>
    <w:rsid w:val="00FE6017"/>
    <w:rsid w:val="00FE7025"/>
    <w:rsid w:val="00FE7C85"/>
    <w:rsid w:val="00FF1BF6"/>
    <w:rsid w:val="00FF6F4F"/>
    <w:rsid w:val="0F9DD026"/>
    <w:rsid w:val="4B2A093F"/>
    <w:rsid w:val="55EF7AF9"/>
    <w:rsid w:val="5C76B3FE"/>
    <w:rsid w:val="625177B0"/>
    <w:rsid w:val="73B37B62"/>
    <w:rsid w:val="74454E54"/>
    <w:rsid w:val="7607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8F73F"/>
  <w15:chartTrackingRefBased/>
  <w15:docId w15:val="{EA242031-2E6D-4D38-9F74-D156CF35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B08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42F5"/>
    <w:pPr>
      <w:spacing w:before="75" w:after="75"/>
      <w:ind w:right="-29"/>
      <w:jc w:val="center"/>
      <w:outlineLvl w:val="0"/>
    </w:pPr>
    <w:rPr>
      <w:rFonts w:eastAsia="Times New Roman"/>
      <w:b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33A"/>
    <w:pPr>
      <w:keepNext/>
      <w:keepLines/>
      <w:spacing w:before="200"/>
      <w:outlineLvl w:val="1"/>
    </w:pPr>
    <w:rPr>
      <w:rFonts w:eastAsia="SimSu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42F5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0442F5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2F5"/>
    <w:pPr>
      <w:keepNext/>
      <w:keepLines/>
      <w:spacing w:before="200"/>
      <w:outlineLvl w:val="4"/>
    </w:pPr>
    <w:rPr>
      <w:rFonts w:ascii="Cambria" w:eastAsia="SimSu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2F5"/>
    <w:pPr>
      <w:keepNext/>
      <w:keepLines/>
      <w:spacing w:before="200"/>
      <w:outlineLvl w:val="5"/>
    </w:pPr>
    <w:rPr>
      <w:rFonts w:ascii="Cambria" w:eastAsia="SimSu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42F5"/>
    <w:rPr>
      <w:rFonts w:eastAsia="Times New Roman"/>
      <w:b/>
      <w:sz w:val="48"/>
      <w:szCs w:val="48"/>
    </w:rPr>
  </w:style>
  <w:style w:type="character" w:customStyle="1" w:styleId="Heading2Char">
    <w:name w:val="Heading 2 Char"/>
    <w:link w:val="Heading2"/>
    <w:uiPriority w:val="9"/>
    <w:rsid w:val="00E9233A"/>
    <w:rPr>
      <w:rFonts w:eastAsia="SimSun"/>
      <w:b/>
      <w:bCs/>
      <w:sz w:val="24"/>
      <w:szCs w:val="26"/>
      <w:lang w:val="mt-MT"/>
    </w:rPr>
  </w:style>
  <w:style w:type="character" w:customStyle="1" w:styleId="Heading3Char">
    <w:name w:val="Heading 3 Char"/>
    <w:link w:val="Heading3"/>
    <w:uiPriority w:val="9"/>
    <w:rsid w:val="000442F5"/>
    <w:rPr>
      <w:rFonts w:ascii="Cambria" w:eastAsia="SimSun" w:hAnsi="Cambria"/>
      <w:b/>
      <w:bCs/>
      <w:color w:val="4F81BD"/>
      <w:sz w:val="24"/>
      <w:lang w:eastAsia="en-US"/>
    </w:rPr>
  </w:style>
  <w:style w:type="character" w:customStyle="1" w:styleId="Heading4Char">
    <w:name w:val="Heading 4 Char"/>
    <w:link w:val="Heading4"/>
    <w:rsid w:val="000442F5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0442F5"/>
    <w:rPr>
      <w:rFonts w:ascii="Cambria" w:eastAsia="SimSun" w:hAnsi="Cambria"/>
      <w:color w:val="243F60"/>
      <w:sz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0442F5"/>
    <w:rPr>
      <w:rFonts w:ascii="Cambria" w:eastAsia="SimSun" w:hAnsi="Cambria"/>
      <w:i/>
      <w:iCs/>
      <w:color w:val="243F60"/>
      <w:sz w:val="24"/>
      <w:lang w:eastAsia="en-US"/>
    </w:rPr>
  </w:style>
  <w:style w:type="character" w:styleId="BookTitle">
    <w:name w:val="Book Title"/>
    <w:uiPriority w:val="33"/>
    <w:qFormat/>
    <w:rsid w:val="000442F5"/>
    <w:rPr>
      <w:b/>
      <w:bCs/>
      <w:smallCaps/>
      <w:spacing w:val="5"/>
    </w:rPr>
  </w:style>
  <w:style w:type="character" w:styleId="Strong">
    <w:name w:val="Strong"/>
    <w:uiPriority w:val="22"/>
    <w:qFormat/>
    <w:rsid w:val="000442F5"/>
    <w:rPr>
      <w:b/>
      <w:bCs/>
    </w:rPr>
  </w:style>
  <w:style w:type="character" w:styleId="Emphasis">
    <w:name w:val="Emphasis"/>
    <w:uiPriority w:val="20"/>
    <w:qFormat/>
    <w:rsid w:val="000442F5"/>
    <w:rPr>
      <w:i/>
      <w:iCs/>
    </w:rPr>
  </w:style>
  <w:style w:type="character" w:styleId="IntenseReference">
    <w:name w:val="Intense Reference"/>
    <w:uiPriority w:val="32"/>
    <w:qFormat/>
    <w:rsid w:val="000442F5"/>
    <w:rPr>
      <w:b/>
      <w:bCs/>
      <w:smallCaps/>
      <w:color w:val="C0504D"/>
      <w:spacing w:val="5"/>
      <w:u w:val="single"/>
    </w:rPr>
  </w:style>
  <w:style w:type="paragraph" w:styleId="ListParagraph">
    <w:name w:val="List Paragraph"/>
    <w:aliases w:val="Numbered Para 1,Dot pt,No Spacing1,List Paragraph Char Char Char,Indicator Text,Bullet 1,List Paragraph1,Bullet Points,MAIN CONTENT,List Paragraph12,F5 List Paragraph,Heading 2_sj,1st level - Bullet List Paragraph,Lettre d'introduction,L"/>
    <w:basedOn w:val="Normal"/>
    <w:link w:val="ListParagraphChar"/>
    <w:uiPriority w:val="34"/>
    <w:qFormat/>
    <w:rsid w:val="000442F5"/>
    <w:pPr>
      <w:ind w:left="720"/>
      <w:contextualSpacing/>
    </w:pPr>
  </w:style>
  <w:style w:type="paragraph" w:customStyle="1" w:styleId="Text2">
    <w:name w:val="Text 2"/>
    <w:basedOn w:val="Normal"/>
    <w:rsid w:val="000442F5"/>
    <w:pPr>
      <w:tabs>
        <w:tab w:val="left" w:pos="2161"/>
      </w:tabs>
      <w:spacing w:after="240"/>
      <w:ind w:left="1077"/>
      <w:jc w:val="both"/>
    </w:pPr>
    <w:rPr>
      <w:rFonts w:eastAsia="Times New Roman"/>
      <w:szCs w:val="24"/>
      <w:lang w:eastAsia="en-GB"/>
    </w:rPr>
  </w:style>
  <w:style w:type="paragraph" w:customStyle="1" w:styleId="NumPar2">
    <w:name w:val="NumPar 2"/>
    <w:basedOn w:val="Normal"/>
    <w:next w:val="Text2"/>
    <w:rsid w:val="000442F5"/>
    <w:pPr>
      <w:tabs>
        <w:tab w:val="num" w:pos="360"/>
      </w:tabs>
      <w:spacing w:before="120" w:after="120"/>
      <w:ind w:left="360" w:hanging="360"/>
      <w:jc w:val="both"/>
    </w:pPr>
    <w:rPr>
      <w:rFonts w:eastAsia="Times New Roman"/>
      <w:szCs w:val="24"/>
      <w:lang w:eastAsia="en-GB"/>
    </w:rPr>
  </w:style>
  <w:style w:type="paragraph" w:styleId="FootnoteText">
    <w:name w:val="footnote text"/>
    <w:aliases w:val="Schriftart: 9 pt,Schriftart: 10 pt,Schriftart: 8 pt,Voetnoottekst Char1,Voetnoottekst Char2 Char,Voetnoottekst Char1 Char Char,Voetnoottekst Char3 Char Char Char,Voetnoottekst Char2 Char Char Char Char,Voetnoottekst Char,fn,WB-Fußnotentext"/>
    <w:basedOn w:val="Normal"/>
    <w:link w:val="FootnoteTextChar"/>
    <w:uiPriority w:val="99"/>
    <w:unhideWhenUsed/>
    <w:qFormat/>
    <w:rsid w:val="000442F5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aliases w:val="Schriftart: 9 pt Char,Schriftart: 10 pt Char,Schriftart: 8 pt Char,Voetnoottekst Char1 Char,Voetnoottekst Char2 Char Char,Voetnoottekst Char1 Char Char Char,Voetnoottekst Char3 Char Char Char Char,Voetnoottekst Char Char,fn Char"/>
    <w:basedOn w:val="DefaultParagraphFont"/>
    <w:link w:val="FootnoteText"/>
    <w:uiPriority w:val="99"/>
    <w:qFormat/>
    <w:rsid w:val="000442F5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qFormat/>
    <w:rsid w:val="000442F5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442F5"/>
    <w:pPr>
      <w:spacing w:after="160" w:line="240" w:lineRule="exact"/>
    </w:pPr>
    <w:rPr>
      <w:sz w:val="20"/>
      <w:vertAlign w:val="superscript"/>
      <w:lang w:eastAsia="en-GB"/>
    </w:rPr>
  </w:style>
  <w:style w:type="paragraph" w:customStyle="1" w:styleId="Default">
    <w:name w:val="Default"/>
    <w:rsid w:val="000442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Sous-titreobjet">
    <w:name w:val="Sous-titre objet"/>
    <w:basedOn w:val="Normal"/>
    <w:rsid w:val="000442F5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0442F5"/>
    <w:pPr>
      <w:autoSpaceDE w:val="0"/>
      <w:autoSpaceDN w:val="0"/>
      <w:spacing w:before="120" w:after="120"/>
    </w:pPr>
    <w:rPr>
      <w:rFonts w:eastAsia="Times New Roman"/>
      <w:szCs w:val="24"/>
      <w:lang w:eastAsia="en-GB"/>
    </w:rPr>
  </w:style>
  <w:style w:type="paragraph" w:customStyle="1" w:styleId="Normal127Bullet63">
    <w:name w:val="Normal 127 Bullet6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161"/>
      </w:tabs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0442F5"/>
    <w:pPr>
      <w:numPr>
        <w:ilvl w:val="1"/>
        <w:numId w:val="1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jc w:val="both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0442F5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Indent127">
    <w:name w:val="Normal 127 Indent 127"/>
    <w:basedOn w:val="NormalKop111"/>
    <w:qFormat/>
    <w:rsid w:val="000442F5"/>
    <w:pPr>
      <w:spacing w:before="120"/>
    </w:pPr>
  </w:style>
  <w:style w:type="paragraph" w:customStyle="1" w:styleId="NumPar3">
    <w:name w:val="NumPar 3"/>
    <w:basedOn w:val="Heading3"/>
    <w:next w:val="Normal"/>
    <w:rsid w:val="000442F5"/>
    <w:pPr>
      <w:keepNext w:val="0"/>
      <w:keepLines w:val="0"/>
      <w:tabs>
        <w:tab w:val="num" w:pos="360"/>
      </w:tabs>
      <w:spacing w:before="0"/>
      <w:ind w:left="1920" w:hanging="720"/>
      <w:jc w:val="both"/>
      <w:outlineLvl w:val="9"/>
    </w:pPr>
    <w:rPr>
      <w:rFonts w:ascii="Times New Roman" w:eastAsia="Times New Roman" w:hAnsi="Times New Roman"/>
      <w:b w:val="0"/>
      <w:color w:val="auto"/>
      <w:sz w:val="28"/>
      <w:szCs w:val="28"/>
      <w:lang w:eastAsia="en-GB"/>
    </w:rPr>
  </w:style>
  <w:style w:type="character" w:styleId="Hyperlink">
    <w:name w:val="Hyperlink"/>
    <w:uiPriority w:val="99"/>
    <w:rsid w:val="000442F5"/>
    <w:rPr>
      <w:color w:val="0000FF"/>
      <w:u w:val="single"/>
    </w:rPr>
  </w:style>
  <w:style w:type="paragraph" w:customStyle="1" w:styleId="Normal127">
    <w:name w:val="Normal 127"/>
    <w:basedOn w:val="NormalKop111"/>
    <w:qFormat/>
    <w:rsid w:val="000442F5"/>
  </w:style>
  <w:style w:type="paragraph" w:styleId="Footer">
    <w:name w:val="footer"/>
    <w:basedOn w:val="Normal"/>
    <w:link w:val="FooterChar"/>
    <w:uiPriority w:val="99"/>
    <w:rsid w:val="000442F5"/>
    <w:pPr>
      <w:tabs>
        <w:tab w:val="center" w:pos="4536"/>
        <w:tab w:val="right" w:pos="9072"/>
      </w:tabs>
    </w:pPr>
    <w:rPr>
      <w:rFonts w:eastAsia="Times New Roman"/>
      <w:szCs w:val="24"/>
      <w:lang w:eastAsia="en-GB"/>
    </w:rPr>
  </w:style>
  <w:style w:type="character" w:customStyle="1" w:styleId="FooterChar">
    <w:name w:val="Footer Char"/>
    <w:link w:val="Footer"/>
    <w:uiPriority w:val="99"/>
    <w:rsid w:val="000442F5"/>
    <w:rPr>
      <w:rFonts w:eastAsia="Times New Roman"/>
      <w:sz w:val="24"/>
      <w:szCs w:val="24"/>
    </w:rPr>
  </w:style>
  <w:style w:type="paragraph" w:customStyle="1" w:styleId="ListDash2">
    <w:name w:val="List Dash 2"/>
    <w:basedOn w:val="Text2"/>
    <w:rsid w:val="000442F5"/>
    <w:pPr>
      <w:numPr>
        <w:numId w:val="12"/>
      </w:numPr>
      <w:tabs>
        <w:tab w:val="clear" w:pos="2161"/>
      </w:tabs>
    </w:pPr>
    <w:rPr>
      <w:szCs w:val="20"/>
      <w:lang w:eastAsia="en-US"/>
    </w:rPr>
  </w:style>
  <w:style w:type="paragraph" w:customStyle="1" w:styleId="Text1">
    <w:name w:val="Text 1"/>
    <w:basedOn w:val="Normal"/>
    <w:uiPriority w:val="99"/>
    <w:rsid w:val="000442F5"/>
    <w:pPr>
      <w:spacing w:after="240"/>
      <w:ind w:left="482"/>
      <w:jc w:val="both"/>
    </w:pPr>
    <w:rPr>
      <w:rFonts w:eastAsia="Times New Roman"/>
      <w:lang w:eastAsia="en-GB"/>
    </w:rPr>
  </w:style>
  <w:style w:type="paragraph" w:customStyle="1" w:styleId="Tiret0">
    <w:name w:val="Tiret 0"/>
    <w:basedOn w:val="Normal"/>
    <w:rsid w:val="000442F5"/>
    <w:pPr>
      <w:tabs>
        <w:tab w:val="num" w:pos="850"/>
      </w:tabs>
      <w:spacing w:before="120" w:after="120"/>
      <w:ind w:left="850" w:hanging="850"/>
      <w:jc w:val="both"/>
    </w:pPr>
    <w:rPr>
      <w:rFonts w:eastAsia="Times New Roman"/>
      <w:lang w:eastAsia="zh-CN"/>
    </w:rPr>
  </w:style>
  <w:style w:type="character" w:customStyle="1" w:styleId="Corpsdutexte2">
    <w:name w:val="Corps du texte (2)_"/>
    <w:link w:val="Corpsdutexte21"/>
    <w:uiPriority w:val="99"/>
    <w:rsid w:val="000442F5"/>
    <w:rPr>
      <w:i/>
      <w:iCs/>
      <w:sz w:val="15"/>
      <w:szCs w:val="15"/>
      <w:shd w:val="clear" w:color="auto" w:fill="FFFFFF"/>
    </w:rPr>
  </w:style>
  <w:style w:type="character" w:customStyle="1" w:styleId="Tabledesmatires3">
    <w:name w:val="Table des matières (3)_"/>
    <w:link w:val="Tabledesmatires31"/>
    <w:uiPriority w:val="99"/>
    <w:rsid w:val="000442F5"/>
    <w:rPr>
      <w:b/>
      <w:bCs/>
      <w:sz w:val="16"/>
      <w:szCs w:val="16"/>
      <w:shd w:val="clear" w:color="auto" w:fill="FFFFFF"/>
    </w:rPr>
  </w:style>
  <w:style w:type="character" w:customStyle="1" w:styleId="Corpsdutexte218">
    <w:name w:val="Corps du texte (2)18"/>
    <w:uiPriority w:val="99"/>
    <w:rsid w:val="000442F5"/>
  </w:style>
  <w:style w:type="paragraph" w:customStyle="1" w:styleId="Corpsdutexte21">
    <w:name w:val="Corps du texte (2)1"/>
    <w:basedOn w:val="Normal"/>
    <w:link w:val="Corpsdutexte2"/>
    <w:uiPriority w:val="99"/>
    <w:rsid w:val="000442F5"/>
    <w:pPr>
      <w:widowControl w:val="0"/>
      <w:shd w:val="clear" w:color="auto" w:fill="FFFFFF"/>
      <w:spacing w:before="240" w:after="480" w:line="240" w:lineRule="atLeast"/>
      <w:jc w:val="center"/>
    </w:pPr>
    <w:rPr>
      <w:i/>
      <w:iCs/>
      <w:sz w:val="15"/>
      <w:szCs w:val="15"/>
      <w:lang w:eastAsia="en-GB"/>
    </w:rPr>
  </w:style>
  <w:style w:type="paragraph" w:customStyle="1" w:styleId="Tabledesmatires31">
    <w:name w:val="Table des matières (3)1"/>
    <w:basedOn w:val="Normal"/>
    <w:link w:val="Tabledesmatires3"/>
    <w:uiPriority w:val="99"/>
    <w:rsid w:val="000442F5"/>
    <w:pPr>
      <w:widowControl w:val="0"/>
      <w:shd w:val="clear" w:color="auto" w:fill="FFFFFF"/>
      <w:spacing w:before="540" w:after="180" w:line="240" w:lineRule="atLeast"/>
      <w:jc w:val="both"/>
    </w:pPr>
    <w:rPr>
      <w:b/>
      <w:bCs/>
      <w:sz w:val="16"/>
      <w:szCs w:val="16"/>
      <w:lang w:eastAsia="en-GB"/>
    </w:rPr>
  </w:style>
  <w:style w:type="character" w:customStyle="1" w:styleId="Corpsdutexte">
    <w:name w:val="Corps du texte_"/>
    <w:link w:val="Corpsdutexte1"/>
    <w:rsid w:val="000442F5"/>
    <w:rPr>
      <w:sz w:val="15"/>
      <w:szCs w:val="15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rsid w:val="000442F5"/>
    <w:rPr>
      <w:b/>
      <w:bCs/>
      <w:sz w:val="16"/>
      <w:szCs w:val="16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0442F5"/>
    <w:pPr>
      <w:widowControl w:val="0"/>
      <w:shd w:val="clear" w:color="auto" w:fill="FFFFFF"/>
      <w:spacing w:after="300" w:line="240" w:lineRule="atLeast"/>
      <w:ind w:hanging="620"/>
      <w:jc w:val="both"/>
    </w:pPr>
    <w:rPr>
      <w:sz w:val="15"/>
      <w:szCs w:val="15"/>
      <w:lang w:eastAsia="en-GB"/>
    </w:rPr>
  </w:style>
  <w:style w:type="paragraph" w:customStyle="1" w:styleId="Corpsdutexte41">
    <w:name w:val="Corps du texte (4)1"/>
    <w:basedOn w:val="Normal"/>
    <w:link w:val="Corpsdutexte4"/>
    <w:uiPriority w:val="99"/>
    <w:rsid w:val="000442F5"/>
    <w:pPr>
      <w:widowControl w:val="0"/>
      <w:shd w:val="clear" w:color="auto" w:fill="FFFFFF"/>
      <w:spacing w:before="300" w:after="180" w:line="302" w:lineRule="exact"/>
      <w:jc w:val="center"/>
    </w:pPr>
    <w:rPr>
      <w:b/>
      <w:bCs/>
      <w:sz w:val="16"/>
      <w:szCs w:val="16"/>
      <w:lang w:eastAsia="en-GB"/>
    </w:rPr>
  </w:style>
  <w:style w:type="character" w:customStyle="1" w:styleId="Tabledesmatires">
    <w:name w:val="Table des matières_"/>
    <w:link w:val="Tabledesmatires0"/>
    <w:uiPriority w:val="99"/>
    <w:rsid w:val="000442F5"/>
    <w:rPr>
      <w:sz w:val="15"/>
      <w:szCs w:val="15"/>
      <w:shd w:val="clear" w:color="auto" w:fill="FFFFFF"/>
    </w:rPr>
  </w:style>
  <w:style w:type="paragraph" w:customStyle="1" w:styleId="Tabledesmatires0">
    <w:name w:val="Table des matières"/>
    <w:basedOn w:val="Normal"/>
    <w:link w:val="Tabledesmatires"/>
    <w:uiPriority w:val="99"/>
    <w:rsid w:val="000442F5"/>
    <w:pPr>
      <w:widowControl w:val="0"/>
      <w:shd w:val="clear" w:color="auto" w:fill="FFFFFF"/>
      <w:spacing w:line="379" w:lineRule="exact"/>
      <w:ind w:hanging="620"/>
      <w:jc w:val="both"/>
    </w:pPr>
    <w:rPr>
      <w:sz w:val="15"/>
      <w:szCs w:val="15"/>
      <w:lang w:eastAsia="en-GB"/>
    </w:rPr>
  </w:style>
  <w:style w:type="character" w:customStyle="1" w:styleId="Corpsdutexte216">
    <w:name w:val="Corps du texte (2)16"/>
    <w:uiPriority w:val="99"/>
    <w:rsid w:val="000442F5"/>
  </w:style>
  <w:style w:type="paragraph" w:customStyle="1" w:styleId="Text3">
    <w:name w:val="Text 3"/>
    <w:basedOn w:val="Normal"/>
    <w:rsid w:val="000442F5"/>
    <w:pPr>
      <w:tabs>
        <w:tab w:val="left" w:pos="720"/>
        <w:tab w:val="left" w:pos="1077"/>
        <w:tab w:val="left" w:pos="1440"/>
        <w:tab w:val="left" w:pos="1797"/>
        <w:tab w:val="left" w:pos="2302"/>
      </w:tabs>
      <w:spacing w:after="240"/>
      <w:ind w:left="1202"/>
      <w:jc w:val="both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044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0442F5"/>
    <w:pPr>
      <w:numPr>
        <w:numId w:val="18"/>
      </w:numPr>
      <w:tabs>
        <w:tab w:val="clear" w:pos="360"/>
        <w:tab w:val="num" w:pos="283"/>
      </w:tabs>
      <w:spacing w:after="240"/>
      <w:ind w:left="283" w:hanging="283"/>
      <w:jc w:val="both"/>
    </w:pPr>
    <w:rPr>
      <w:rFonts w:eastAsia="Times New Roman"/>
    </w:rPr>
  </w:style>
  <w:style w:type="paragraph" w:customStyle="1" w:styleId="Point1">
    <w:name w:val="Point 1"/>
    <w:basedOn w:val="Normal"/>
    <w:uiPriority w:val="99"/>
    <w:rsid w:val="000442F5"/>
    <w:pPr>
      <w:spacing w:before="120" w:after="120"/>
      <w:ind w:left="1417" w:hanging="567"/>
      <w:jc w:val="both"/>
    </w:pPr>
    <w:rPr>
      <w:rFonts w:eastAsia="Times New Roman"/>
      <w:szCs w:val="24"/>
    </w:rPr>
  </w:style>
  <w:style w:type="paragraph" w:styleId="ListNumber">
    <w:name w:val="List Number"/>
    <w:basedOn w:val="Normal"/>
    <w:rsid w:val="000442F5"/>
    <w:pPr>
      <w:numPr>
        <w:numId w:val="19"/>
      </w:numPr>
      <w:tabs>
        <w:tab w:val="clear" w:pos="360"/>
        <w:tab w:val="num" w:pos="709"/>
      </w:tabs>
      <w:spacing w:after="240"/>
      <w:ind w:left="709" w:hanging="709"/>
      <w:jc w:val="both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442F5"/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0442F5"/>
    <w:rPr>
      <w:rFonts w:ascii="Calibri" w:hAnsi="Calibri"/>
      <w:sz w:val="22"/>
      <w:szCs w:val="21"/>
      <w:lang w:eastAsia="en-US"/>
    </w:rPr>
  </w:style>
  <w:style w:type="paragraph" w:customStyle="1" w:styleId="ManualHeading2">
    <w:name w:val="Manual Heading 2"/>
    <w:basedOn w:val="Normal"/>
    <w:next w:val="Normal"/>
    <w:uiPriority w:val="99"/>
    <w:rsid w:val="000442F5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Times New Roman"/>
      <w:b/>
      <w:szCs w:val="24"/>
      <w:lang w:eastAsia="de-DE"/>
    </w:rPr>
  </w:style>
  <w:style w:type="paragraph" w:customStyle="1" w:styleId="NormalCentered">
    <w:name w:val="Normal Centered"/>
    <w:basedOn w:val="Normal"/>
    <w:uiPriority w:val="99"/>
    <w:rsid w:val="000442F5"/>
    <w:pPr>
      <w:spacing w:before="120" w:after="120"/>
      <w:jc w:val="center"/>
    </w:pPr>
    <w:rPr>
      <w:rFonts w:eastAsia="Times New Roman"/>
      <w:szCs w:val="24"/>
      <w:lang w:eastAsia="en-GB"/>
    </w:rPr>
  </w:style>
  <w:style w:type="paragraph" w:customStyle="1" w:styleId="ManualNumPar2">
    <w:name w:val="Manual NumPar 2"/>
    <w:basedOn w:val="Normal"/>
    <w:next w:val="Normal"/>
    <w:uiPriority w:val="99"/>
    <w:rsid w:val="000442F5"/>
    <w:pPr>
      <w:spacing w:before="120" w:after="120"/>
      <w:ind w:left="851" w:hanging="851"/>
      <w:jc w:val="both"/>
    </w:pPr>
    <w:rPr>
      <w:rFonts w:eastAsia="Times New Roman"/>
      <w:szCs w:val="24"/>
      <w:lang w:eastAsia="en-GB"/>
    </w:rPr>
  </w:style>
  <w:style w:type="paragraph" w:customStyle="1" w:styleId="Tiret1">
    <w:name w:val="Tiret 1"/>
    <w:basedOn w:val="Normal"/>
    <w:uiPriority w:val="99"/>
    <w:rsid w:val="000442F5"/>
    <w:pPr>
      <w:spacing w:before="120" w:after="120"/>
      <w:ind w:left="1418" w:hanging="567"/>
      <w:jc w:val="both"/>
    </w:pPr>
    <w:rPr>
      <w:rFonts w:eastAsia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442F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42F5"/>
    <w:rPr>
      <w:sz w:val="24"/>
      <w:lang w:eastAsia="en-US"/>
    </w:rPr>
  </w:style>
  <w:style w:type="paragraph" w:styleId="TOCHeading">
    <w:name w:val="TOC Heading"/>
    <w:basedOn w:val="Normal"/>
    <w:next w:val="Normal"/>
    <w:qFormat/>
    <w:rsid w:val="000442F5"/>
    <w:pPr>
      <w:keepNext/>
      <w:spacing w:before="240" w:after="240"/>
      <w:jc w:val="center"/>
    </w:pPr>
    <w:rPr>
      <w:rFonts w:eastAsia="Times New Roman"/>
      <w:b/>
    </w:rPr>
  </w:style>
  <w:style w:type="paragraph" w:styleId="TOC1">
    <w:name w:val="toc 1"/>
    <w:basedOn w:val="Normal"/>
    <w:next w:val="Normal"/>
    <w:rsid w:val="000442F5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eastAsia="Times New Roman"/>
      <w:caps/>
    </w:rPr>
  </w:style>
  <w:style w:type="paragraph" w:styleId="TOC2">
    <w:name w:val="toc 2"/>
    <w:basedOn w:val="Normal"/>
    <w:next w:val="Normal"/>
    <w:rsid w:val="000442F5"/>
    <w:pPr>
      <w:tabs>
        <w:tab w:val="right" w:leader="dot" w:pos="8640"/>
      </w:tabs>
      <w:spacing w:before="60" w:after="60"/>
      <w:ind w:left="1077" w:right="720" w:hanging="595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42F5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2F5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0442F5"/>
    <w:rPr>
      <w:lang w:eastAsia="en-US"/>
    </w:rPr>
  </w:style>
  <w:style w:type="character" w:styleId="EndnoteReference">
    <w:name w:val="endnote reference"/>
    <w:uiPriority w:val="99"/>
    <w:semiHidden/>
    <w:unhideWhenUsed/>
    <w:rsid w:val="000442F5"/>
    <w:rPr>
      <w:vertAlign w:val="superscript"/>
    </w:rPr>
  </w:style>
  <w:style w:type="paragraph" w:customStyle="1" w:styleId="Contact">
    <w:name w:val="Contact"/>
    <w:basedOn w:val="Normal"/>
    <w:next w:val="Normal"/>
    <w:rsid w:val="000442F5"/>
    <w:pPr>
      <w:spacing w:before="480"/>
      <w:ind w:left="567" w:hanging="567"/>
    </w:pPr>
    <w:rPr>
      <w:rFonts w:eastAsia="Times New Roman"/>
    </w:rPr>
  </w:style>
  <w:style w:type="paragraph" w:customStyle="1" w:styleId="ListBullet1">
    <w:name w:val="List Bullet 1"/>
    <w:basedOn w:val="Text1"/>
    <w:rsid w:val="000442F5"/>
    <w:pPr>
      <w:numPr>
        <w:numId w:val="6"/>
      </w:numPr>
    </w:pPr>
    <w:rPr>
      <w:lang w:eastAsia="en-US"/>
    </w:rPr>
  </w:style>
  <w:style w:type="paragraph" w:styleId="ListBullet2">
    <w:name w:val="List Bullet 2"/>
    <w:basedOn w:val="Text2"/>
    <w:rsid w:val="000442F5"/>
    <w:pPr>
      <w:numPr>
        <w:numId w:val="7"/>
      </w:numPr>
      <w:tabs>
        <w:tab w:val="clear" w:pos="2161"/>
      </w:tabs>
    </w:pPr>
    <w:rPr>
      <w:szCs w:val="20"/>
      <w:lang w:eastAsia="en-US"/>
    </w:rPr>
  </w:style>
  <w:style w:type="paragraph" w:styleId="ListBullet3">
    <w:name w:val="List Bullet 3"/>
    <w:basedOn w:val="Text3"/>
    <w:rsid w:val="000442F5"/>
    <w:pPr>
      <w:numPr>
        <w:numId w:val="8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Bullet4">
    <w:name w:val="List Bullet 4"/>
    <w:basedOn w:val="Normal"/>
    <w:rsid w:val="000442F5"/>
    <w:pPr>
      <w:numPr>
        <w:numId w:val="9"/>
      </w:numPr>
      <w:spacing w:after="240"/>
      <w:jc w:val="both"/>
    </w:pPr>
    <w:rPr>
      <w:rFonts w:eastAsia="Times New Roman"/>
    </w:rPr>
  </w:style>
  <w:style w:type="paragraph" w:customStyle="1" w:styleId="ListDash">
    <w:name w:val="List Dash"/>
    <w:basedOn w:val="Normal"/>
    <w:rsid w:val="000442F5"/>
    <w:pPr>
      <w:numPr>
        <w:numId w:val="10"/>
      </w:numPr>
      <w:spacing w:after="240"/>
      <w:jc w:val="both"/>
    </w:pPr>
    <w:rPr>
      <w:rFonts w:eastAsia="Times New Roman"/>
    </w:rPr>
  </w:style>
  <w:style w:type="paragraph" w:customStyle="1" w:styleId="ListDash1">
    <w:name w:val="List Dash 1"/>
    <w:basedOn w:val="Text1"/>
    <w:rsid w:val="000442F5"/>
    <w:pPr>
      <w:numPr>
        <w:numId w:val="11"/>
      </w:numPr>
    </w:pPr>
    <w:rPr>
      <w:lang w:eastAsia="en-US"/>
    </w:rPr>
  </w:style>
  <w:style w:type="paragraph" w:customStyle="1" w:styleId="ListDash3">
    <w:name w:val="List Dash 3"/>
    <w:basedOn w:val="Text3"/>
    <w:rsid w:val="000442F5"/>
    <w:pPr>
      <w:numPr>
        <w:numId w:val="13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Dash4">
    <w:name w:val="List Dash 4"/>
    <w:basedOn w:val="Normal"/>
    <w:rsid w:val="000442F5"/>
    <w:pPr>
      <w:numPr>
        <w:numId w:val="14"/>
      </w:numPr>
      <w:spacing w:after="240"/>
      <w:jc w:val="both"/>
    </w:pPr>
    <w:rPr>
      <w:rFonts w:eastAsia="Times New Roman"/>
    </w:rPr>
  </w:style>
  <w:style w:type="paragraph" w:customStyle="1" w:styleId="ListNumber1">
    <w:name w:val="List Number 1"/>
    <w:basedOn w:val="Text1"/>
    <w:rsid w:val="000442F5"/>
    <w:pPr>
      <w:numPr>
        <w:numId w:val="5"/>
      </w:numPr>
    </w:pPr>
    <w:rPr>
      <w:lang w:eastAsia="en-US"/>
    </w:rPr>
  </w:style>
  <w:style w:type="paragraph" w:styleId="ListNumber2">
    <w:name w:val="List Number 2"/>
    <w:basedOn w:val="Text2"/>
    <w:rsid w:val="000442F5"/>
    <w:pPr>
      <w:numPr>
        <w:numId w:val="15"/>
      </w:numPr>
      <w:tabs>
        <w:tab w:val="clear" w:pos="2161"/>
      </w:tabs>
    </w:pPr>
    <w:rPr>
      <w:szCs w:val="20"/>
      <w:lang w:eastAsia="en-US"/>
    </w:rPr>
  </w:style>
  <w:style w:type="paragraph" w:styleId="ListNumber3">
    <w:name w:val="List Number 3"/>
    <w:basedOn w:val="Text3"/>
    <w:rsid w:val="000442F5"/>
    <w:pPr>
      <w:numPr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styleId="ListNumber4">
    <w:name w:val="List Number 4"/>
    <w:basedOn w:val="Normal"/>
    <w:rsid w:val="000442F5"/>
    <w:pPr>
      <w:numPr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0442F5"/>
    <w:pPr>
      <w:numPr>
        <w:ilvl w:val="1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2">
    <w:name w:val="List Number 1 (Level 2)"/>
    <w:basedOn w:val="Text1"/>
    <w:rsid w:val="000442F5"/>
    <w:pPr>
      <w:numPr>
        <w:ilvl w:val="1"/>
        <w:numId w:val="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442F5"/>
    <w:pPr>
      <w:numPr>
        <w:ilvl w:val="1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2">
    <w:name w:val="List Number 3 (Level 2)"/>
    <w:basedOn w:val="Text3"/>
    <w:rsid w:val="000442F5"/>
    <w:pPr>
      <w:numPr>
        <w:ilvl w:val="1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2">
    <w:name w:val="List Number 4 (Level 2)"/>
    <w:basedOn w:val="Normal"/>
    <w:rsid w:val="000442F5"/>
    <w:pPr>
      <w:numPr>
        <w:ilvl w:val="1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0442F5"/>
    <w:pPr>
      <w:numPr>
        <w:ilvl w:val="2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3">
    <w:name w:val="List Number 1 (Level 3)"/>
    <w:basedOn w:val="Text1"/>
    <w:rsid w:val="000442F5"/>
    <w:pPr>
      <w:numPr>
        <w:ilvl w:val="2"/>
        <w:numId w:val="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442F5"/>
    <w:pPr>
      <w:numPr>
        <w:ilvl w:val="2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3">
    <w:name w:val="List Number 3 (Level 3)"/>
    <w:basedOn w:val="Text3"/>
    <w:rsid w:val="000442F5"/>
    <w:pPr>
      <w:numPr>
        <w:ilvl w:val="2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3">
    <w:name w:val="List Number 4 (Level 3)"/>
    <w:basedOn w:val="Normal"/>
    <w:rsid w:val="000442F5"/>
    <w:pPr>
      <w:numPr>
        <w:ilvl w:val="2"/>
        <w:numId w:val="17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0442F5"/>
    <w:pPr>
      <w:numPr>
        <w:ilvl w:val="3"/>
        <w:numId w:val="3"/>
      </w:numPr>
      <w:spacing w:after="240"/>
      <w:jc w:val="both"/>
    </w:pPr>
    <w:rPr>
      <w:rFonts w:eastAsia="Times New Roman"/>
    </w:rPr>
  </w:style>
  <w:style w:type="paragraph" w:customStyle="1" w:styleId="ListNumber1Level4">
    <w:name w:val="List Number 1 (Level 4)"/>
    <w:basedOn w:val="Text1"/>
    <w:rsid w:val="000442F5"/>
    <w:pPr>
      <w:numPr>
        <w:ilvl w:val="3"/>
        <w:numId w:val="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442F5"/>
    <w:pPr>
      <w:numPr>
        <w:ilvl w:val="3"/>
        <w:numId w:val="15"/>
      </w:numPr>
      <w:tabs>
        <w:tab w:val="clear" w:pos="2161"/>
      </w:tabs>
    </w:pPr>
    <w:rPr>
      <w:szCs w:val="20"/>
      <w:lang w:eastAsia="en-US"/>
    </w:rPr>
  </w:style>
  <w:style w:type="paragraph" w:customStyle="1" w:styleId="ListNumber3Level4">
    <w:name w:val="List Number 3 (Level 4)"/>
    <w:basedOn w:val="Text3"/>
    <w:rsid w:val="000442F5"/>
    <w:pPr>
      <w:numPr>
        <w:ilvl w:val="3"/>
        <w:numId w:val="16"/>
      </w:numPr>
      <w:tabs>
        <w:tab w:val="clear" w:pos="720"/>
        <w:tab w:val="clear" w:pos="1077"/>
        <w:tab w:val="clear" w:pos="1440"/>
        <w:tab w:val="clear" w:pos="1797"/>
        <w:tab w:val="clear" w:pos="2302"/>
      </w:tabs>
    </w:pPr>
    <w:rPr>
      <w:rFonts w:cs="Times New Roman"/>
      <w:szCs w:val="20"/>
      <w:lang w:eastAsia="en-US" w:bidi="ar-SA"/>
    </w:rPr>
  </w:style>
  <w:style w:type="paragraph" w:customStyle="1" w:styleId="ListNumber4Level4">
    <w:name w:val="List Number 4 (Level 4)"/>
    <w:basedOn w:val="Normal"/>
    <w:rsid w:val="000442F5"/>
    <w:pPr>
      <w:numPr>
        <w:ilvl w:val="3"/>
        <w:numId w:val="17"/>
      </w:numPr>
      <w:spacing w:after="240"/>
      <w:jc w:val="both"/>
    </w:pPr>
    <w:rPr>
      <w:rFonts w:eastAsia="Times New Roman"/>
    </w:rPr>
  </w:style>
  <w:style w:type="paragraph" w:styleId="TOC5">
    <w:name w:val="toc 5"/>
    <w:basedOn w:val="Normal"/>
    <w:next w:val="Normal"/>
    <w:semiHidden/>
    <w:rsid w:val="000442F5"/>
    <w:pPr>
      <w:tabs>
        <w:tab w:val="right" w:leader="dot" w:pos="8641"/>
      </w:tabs>
      <w:spacing w:before="240" w:after="120"/>
      <w:ind w:right="720"/>
      <w:jc w:val="both"/>
    </w:pPr>
    <w:rPr>
      <w:rFonts w:eastAsia="Times New Roman"/>
      <w:caps/>
    </w:rPr>
  </w:style>
  <w:style w:type="numbering" w:customStyle="1" w:styleId="Style1">
    <w:name w:val="Style1"/>
    <w:uiPriority w:val="99"/>
    <w:rsid w:val="000442F5"/>
    <w:pPr>
      <w:numPr>
        <w:numId w:val="2"/>
      </w:numPr>
    </w:pPr>
  </w:style>
  <w:style w:type="character" w:customStyle="1" w:styleId="outputecliaff">
    <w:name w:val="outputecliaff"/>
    <w:rsid w:val="000442F5"/>
  </w:style>
  <w:style w:type="character" w:styleId="CommentReference">
    <w:name w:val="annotation reference"/>
    <w:uiPriority w:val="99"/>
    <w:unhideWhenUsed/>
    <w:rsid w:val="00044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2F5"/>
    <w:rPr>
      <w:sz w:val="20"/>
    </w:rPr>
  </w:style>
  <w:style w:type="character" w:customStyle="1" w:styleId="CommentTextChar">
    <w:name w:val="Comment Text Char"/>
    <w:link w:val="CommentText"/>
    <w:uiPriority w:val="99"/>
    <w:rsid w:val="000442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2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42F5"/>
    <w:rPr>
      <w:b/>
      <w:bCs/>
      <w:lang w:eastAsia="en-US"/>
    </w:rPr>
  </w:style>
  <w:style w:type="paragraph" w:styleId="TOC3">
    <w:name w:val="toc 3"/>
    <w:basedOn w:val="Normal"/>
    <w:next w:val="Normal"/>
    <w:semiHidden/>
    <w:rsid w:val="000442F5"/>
    <w:pPr>
      <w:tabs>
        <w:tab w:val="right" w:leader="dot" w:pos="8640"/>
      </w:tabs>
      <w:spacing w:before="60" w:after="60"/>
      <w:ind w:left="1916" w:right="720" w:hanging="839"/>
      <w:jc w:val="both"/>
    </w:pPr>
    <w:rPr>
      <w:rFonts w:eastAsia="Times New Roman"/>
    </w:rPr>
  </w:style>
  <w:style w:type="paragraph" w:styleId="TOC4">
    <w:name w:val="toc 4"/>
    <w:basedOn w:val="Normal"/>
    <w:next w:val="Normal"/>
    <w:semiHidden/>
    <w:rsid w:val="000442F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eastAsia="Times New Roman"/>
    </w:rPr>
  </w:style>
  <w:style w:type="paragraph" w:styleId="Revision">
    <w:name w:val="Revision"/>
    <w:hidden/>
    <w:uiPriority w:val="99"/>
    <w:semiHidden/>
    <w:rsid w:val="000442F5"/>
    <w:rPr>
      <w:sz w:val="24"/>
      <w:lang w:eastAsia="en-US"/>
    </w:rPr>
  </w:style>
  <w:style w:type="character" w:styleId="FollowedHyperlink">
    <w:name w:val="FollowedHyperlink"/>
    <w:uiPriority w:val="99"/>
    <w:semiHidden/>
    <w:unhideWhenUsed/>
    <w:rsid w:val="000442F5"/>
    <w:rPr>
      <w:color w:val="800080"/>
      <w:u w:val="single"/>
    </w:rPr>
  </w:style>
  <w:style w:type="paragraph" w:customStyle="1" w:styleId="Corpsdutexte0">
    <w:name w:val="Corps du texte"/>
    <w:basedOn w:val="Normal"/>
    <w:rsid w:val="000442F5"/>
    <w:pPr>
      <w:widowControl w:val="0"/>
      <w:shd w:val="clear" w:color="auto" w:fill="FFFFFF"/>
      <w:spacing w:after="300" w:line="0" w:lineRule="atLeast"/>
      <w:ind w:hanging="620"/>
      <w:jc w:val="both"/>
    </w:pPr>
    <w:rPr>
      <w:sz w:val="15"/>
      <w:szCs w:val="15"/>
      <w:lang w:eastAsia="en-GB"/>
    </w:rPr>
  </w:style>
  <w:style w:type="character" w:customStyle="1" w:styleId="Corpsdutexte11">
    <w:name w:val="Corps du texte (11)_"/>
    <w:link w:val="Corpsdutexte110"/>
    <w:locked/>
    <w:rsid w:val="000442F5"/>
    <w:rPr>
      <w:sz w:val="15"/>
      <w:szCs w:val="15"/>
      <w:shd w:val="clear" w:color="auto" w:fill="FFFFFF"/>
    </w:rPr>
  </w:style>
  <w:style w:type="paragraph" w:customStyle="1" w:styleId="Corpsdutexte110">
    <w:name w:val="Corps du texte (11)"/>
    <w:basedOn w:val="Normal"/>
    <w:link w:val="Corpsdutexte11"/>
    <w:rsid w:val="000442F5"/>
    <w:pPr>
      <w:widowControl w:val="0"/>
      <w:shd w:val="clear" w:color="auto" w:fill="FFFFFF"/>
      <w:spacing w:before="360" w:line="0" w:lineRule="atLeast"/>
      <w:jc w:val="center"/>
    </w:pPr>
    <w:rPr>
      <w:sz w:val="15"/>
      <w:szCs w:val="15"/>
      <w:lang w:eastAsia="en-GB"/>
    </w:rPr>
  </w:style>
  <w:style w:type="character" w:customStyle="1" w:styleId="Bodytext">
    <w:name w:val="Body text_"/>
    <w:link w:val="BodyText1"/>
    <w:locked/>
    <w:rsid w:val="000442F5"/>
    <w:rPr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"/>
    <w:rsid w:val="000442F5"/>
    <w:pPr>
      <w:widowControl w:val="0"/>
      <w:shd w:val="clear" w:color="auto" w:fill="FFFFFF"/>
      <w:spacing w:line="0" w:lineRule="atLeast"/>
      <w:ind w:hanging="580"/>
    </w:pPr>
    <w:rPr>
      <w:sz w:val="15"/>
      <w:szCs w:val="15"/>
      <w:lang w:eastAsia="en-GB"/>
    </w:rPr>
  </w:style>
  <w:style w:type="character" w:customStyle="1" w:styleId="Corpsdutexte9">
    <w:name w:val="Corps du texte (9)"/>
    <w:rsid w:val="000442F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mt-MT"/>
    </w:rPr>
  </w:style>
  <w:style w:type="paragraph" w:customStyle="1" w:styleId="CM1">
    <w:name w:val="CM1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442F5"/>
    <w:rPr>
      <w:rFonts w:eastAsia="Calibri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442F5"/>
    <w:rPr>
      <w:rFonts w:eastAsia="Calibri" w:cs="Times New Roman"/>
      <w:color w:val="auto"/>
    </w:rPr>
  </w:style>
  <w:style w:type="character" w:customStyle="1" w:styleId="st1">
    <w:name w:val="st1"/>
    <w:rsid w:val="000442F5"/>
  </w:style>
  <w:style w:type="character" w:customStyle="1" w:styleId="Marker">
    <w:name w:val="Marker"/>
    <w:rsid w:val="000442F5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0442F5"/>
    <w:pPr>
      <w:jc w:val="both"/>
    </w:pPr>
    <w:rPr>
      <w:szCs w:val="22"/>
    </w:rPr>
  </w:style>
  <w:style w:type="paragraph" w:customStyle="1" w:styleId="FooterCoverPage">
    <w:name w:val="Footer Cover Page"/>
    <w:basedOn w:val="Normal"/>
    <w:link w:val="FooterCoverPageChar"/>
    <w:rsid w:val="000442F5"/>
    <w:pPr>
      <w:tabs>
        <w:tab w:val="center" w:pos="4535"/>
        <w:tab w:val="right" w:pos="9071"/>
        <w:tab w:val="right" w:pos="9921"/>
      </w:tabs>
      <w:spacing w:before="360"/>
      <w:ind w:left="-850" w:right="-850"/>
      <w:outlineLvl w:val="0"/>
    </w:pPr>
    <w:rPr>
      <w:rFonts w:eastAsia="Times New Roman"/>
      <w:szCs w:val="48"/>
      <w:lang w:eastAsia="en-GB"/>
    </w:rPr>
  </w:style>
  <w:style w:type="character" w:customStyle="1" w:styleId="FooterCoverPageChar">
    <w:name w:val="Footer Cover Page Char"/>
    <w:link w:val="FooterCoverPage"/>
    <w:rsid w:val="000442F5"/>
    <w:rPr>
      <w:rFonts w:eastAsia="Times New Roman"/>
      <w:sz w:val="24"/>
      <w:szCs w:val="48"/>
    </w:rPr>
  </w:style>
  <w:style w:type="paragraph" w:customStyle="1" w:styleId="HeaderCoverPage">
    <w:name w:val="Header Cover Page"/>
    <w:basedOn w:val="Normal"/>
    <w:link w:val="HeaderCoverPageChar"/>
    <w:rsid w:val="000442F5"/>
    <w:pPr>
      <w:tabs>
        <w:tab w:val="center" w:pos="4535"/>
        <w:tab w:val="right" w:pos="9071"/>
      </w:tabs>
      <w:spacing w:after="120"/>
      <w:jc w:val="both"/>
      <w:outlineLvl w:val="0"/>
    </w:pPr>
    <w:rPr>
      <w:rFonts w:eastAsia="Times New Roman"/>
      <w:szCs w:val="48"/>
      <w:lang w:eastAsia="en-GB"/>
    </w:rPr>
  </w:style>
  <w:style w:type="character" w:customStyle="1" w:styleId="HeaderCoverPageChar">
    <w:name w:val="Header Cover Page Char"/>
    <w:link w:val="HeaderCoverPage"/>
    <w:rsid w:val="000442F5"/>
    <w:rPr>
      <w:rFonts w:eastAsia="Times New Roman"/>
      <w:sz w:val="24"/>
      <w:szCs w:val="48"/>
    </w:rPr>
  </w:style>
  <w:style w:type="paragraph" w:customStyle="1" w:styleId="CharCharChar">
    <w:name w:val="Char Char Char"/>
    <w:basedOn w:val="Normal"/>
    <w:uiPriority w:val="99"/>
    <w:rsid w:val="006B6657"/>
    <w:pPr>
      <w:spacing w:after="160" w:line="240" w:lineRule="exact"/>
    </w:pPr>
    <w:rPr>
      <w:rFonts w:eastAsia="Times New Roman"/>
      <w:vertAlign w:val="superscript"/>
      <w:lang w:eastAsia="fr-BE"/>
    </w:rPr>
  </w:style>
  <w:style w:type="character" w:customStyle="1" w:styleId="oj-super">
    <w:name w:val="oj-super"/>
    <w:rsid w:val="00A94C5F"/>
  </w:style>
  <w:style w:type="character" w:customStyle="1" w:styleId="oj-italic">
    <w:name w:val="oj-italic"/>
    <w:rsid w:val="009D22F2"/>
  </w:style>
  <w:style w:type="paragraph" w:customStyle="1" w:styleId="oj-normal">
    <w:name w:val="oj-normal"/>
    <w:basedOn w:val="Normal"/>
    <w:rsid w:val="00FF1BF6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ListParagraphChar">
    <w:name w:val="List Paragraph Char"/>
    <w:aliases w:val="Numbered Para 1 Char,Dot pt Char,No Spacing1 Char,List Paragraph Char Char Char Char,Indicator Text Char,Bullet 1 Char,List Paragraph1 Char,Bullet Points Char,MAIN CONTENT Char,List Paragraph12 Char,F5 List Paragraph Char,L Char"/>
    <w:link w:val="ListParagraph"/>
    <w:uiPriority w:val="34"/>
    <w:qFormat/>
    <w:locked/>
    <w:rsid w:val="0015042E"/>
    <w:rPr>
      <w:sz w:val="24"/>
      <w:lang w:eastAsia="en-US"/>
    </w:rPr>
  </w:style>
  <w:style w:type="paragraph" w:customStyle="1" w:styleId="paragraph">
    <w:name w:val="paragraph"/>
    <w:basedOn w:val="Normal"/>
    <w:rsid w:val="00A404D9"/>
    <w:pPr>
      <w:spacing w:before="100" w:beforeAutospacing="1" w:after="100" w:afterAutospacing="1"/>
    </w:pPr>
    <w:rPr>
      <w:rFonts w:eastAsia="Times New Roman"/>
      <w:szCs w:val="24"/>
      <w:lang w:eastAsia="en-IE"/>
    </w:rPr>
  </w:style>
  <w:style w:type="character" w:customStyle="1" w:styleId="normaltextrun">
    <w:name w:val="normaltextrun"/>
    <w:basedOn w:val="DefaultParagraphFont"/>
    <w:rsid w:val="00A404D9"/>
  </w:style>
  <w:style w:type="character" w:customStyle="1" w:styleId="eop">
    <w:name w:val="eop"/>
    <w:basedOn w:val="DefaultParagraphFont"/>
    <w:rsid w:val="00AD3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74593FF89B74189D2FB1E3E459C18" ma:contentTypeVersion="6" ma:contentTypeDescription="Create a new document." ma:contentTypeScope="" ma:versionID="2b872985756f5dc424bf8f8acc790855">
  <xsd:schema xmlns:xsd="http://www.w3.org/2001/XMLSchema" xmlns:xs="http://www.w3.org/2001/XMLSchema" xmlns:p="http://schemas.microsoft.com/office/2006/metadata/properties" xmlns:ns2="a94e2606-67d3-479b-bb64-e7d9251b8ee1" xmlns:ns3="66b6254d-0f40-4716-8f91-c3453959d219" targetNamespace="http://schemas.microsoft.com/office/2006/metadata/properties" ma:root="true" ma:fieldsID="7b38acc1be897bd6fab0d6b0ef2bc8f2" ns2:_="" ns3:_="">
    <xsd:import namespace="a94e2606-67d3-479b-bb64-e7d9251b8ee1"/>
    <xsd:import namespace="66b6254d-0f40-4716-8f91-c3453959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2606-67d3-479b-bb64-e7d9251b8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6254d-0f40-4716-8f91-c3453959d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87A-1B04-425F-A0DA-EF2AA0A4B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2606-67d3-479b-bb64-e7d9251b8ee1"/>
    <ds:schemaRef ds:uri="66b6254d-0f40-4716-8f91-c3453959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1DA78-896E-461D-A61E-B93DC91F7A48}">
  <ds:schemaRefs>
    <ds:schemaRef ds:uri="http://www.w3.org/XML/1998/namespace"/>
    <ds:schemaRef ds:uri="http://purl.org/dc/terms/"/>
    <ds:schemaRef ds:uri="http://schemas.microsoft.com/office/2006/documentManagement/types"/>
    <ds:schemaRef ds:uri="66b6254d-0f40-4716-8f91-c3453959d219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94e2606-67d3-479b-bb64-e7d9251b8ee1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BB600E-C0C0-4046-9B71-B16BFBD9A1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1B53F-6B15-4F06-898D-534C93499D5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62510F2-E011-428C-A709-35844F89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3365</Words>
  <Characters>24269</Characters>
  <DocSecurity>0</DocSecurity>
  <Lines>516</Lines>
  <Paragraphs>180</Paragraphs>
  <ScaleCrop>false</ScaleCrop>
  <LinksUpToDate>false</LinksUpToDate>
  <CharactersWithSpaces>27454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2022-04-13T08:59:00Z</cp:lastPrinted>
  <dcterms:created xsi:type="dcterms:W3CDTF">2024-10-28T10:36:00Z</dcterms:created>
  <dcterms:modified xsi:type="dcterms:W3CDTF">2024-11-21T09:22:00Z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COMPCOLLAB-850037142-32</vt:lpwstr>
  </property>
  <property fmtid="{D5CDD505-2E9C-101B-9397-08002B2CF9AE}" pid="3" name="_dlc_DocIdItemGuid">
    <vt:lpwstr>ca30e79b-a721-46d5-9f0c-421d6b7c563f</vt:lpwstr>
  </property>
  <property fmtid="{D5CDD505-2E9C-101B-9397-08002B2CF9AE}" pid="4" name="_dlc_DocIdUrl">
    <vt:lpwstr>https://compcollab.ec.europa.eu/cases/HT.6305/_layouts/15/DocIdRedir.aspx?ID=COMPCOLLAB-850037142-32, COMPCOLLAB-850037142-32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ContentTypeId">
    <vt:lpwstr>0x010100E4974593FF89B74189D2FB1E3E459C18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2023-08-07T12:15:44Z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e8a00901-d989-44a0-b410-76c28d096e74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Order">
    <vt:r8>1000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