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A2FDD" w14:textId="1A0AF5FA" w:rsidR="00B6207C" w:rsidRPr="00584A45" w:rsidRDefault="00B6207C" w:rsidP="00B6207C">
      <w:pPr>
        <w:pStyle w:val="ManualHeading1"/>
        <w:rPr>
          <w:noProof/>
        </w:rPr>
      </w:pPr>
      <w:r w:rsidRPr="00584A45">
        <w:rPr>
          <w:noProof/>
        </w:rPr>
        <w:t>DEL III.6.I</w:t>
      </w:r>
      <w:r>
        <w:rPr>
          <w:noProof/>
        </w:rPr>
        <w:t xml:space="preserve"> - </w:t>
      </w:r>
      <w:r w:rsidRPr="00584A45">
        <w:rPr>
          <w:noProof/>
        </w:rPr>
        <w:t>Supplerende informationsskema om statsstøtte ydet i henhold til retningslinjerne for statsstøtte til klima, miljøbeskyttelse og energi 2022 ("CEEAG") – Afsnit 4.7.2 – Støtte til miljøbeskyttelse i form af nedsættelser af skatter og afgifter og skattelignende afgifter</w:t>
      </w:r>
    </w:p>
    <w:p w14:paraId="5F8B3ADA" w14:textId="77777777" w:rsidR="00B6207C" w:rsidRPr="00584A45" w:rsidRDefault="00B6207C" w:rsidP="00B6207C">
      <w:pPr>
        <w:ind w:right="-142"/>
        <w:rPr>
          <w:i/>
          <w:iCs/>
          <w:noProof/>
        </w:rPr>
      </w:pPr>
      <w:r w:rsidRPr="00584A45">
        <w:rPr>
          <w:i/>
          <w:noProof/>
        </w:rPr>
        <w:t xml:space="preserve">Dette supplerende informationsskema vedrører foranstaltninger, der er omhandlet i afsnit 4.7.2 i CEEAG. Hvis anmeldelsen omfatter foranstaltninger, der er omhandlet i mere end et afsnit i CEEAG, udfyldes det supplerende informationsskema, som omhandler det pågældende afsnit i CEEAG, når skemaet bliver tilgængeligt. </w:t>
      </w:r>
    </w:p>
    <w:p w14:paraId="7B5DA9EA" w14:textId="77777777" w:rsidR="00B6207C" w:rsidRPr="00584A45" w:rsidRDefault="00B6207C" w:rsidP="00B6207C">
      <w:pPr>
        <w:ind w:right="-142"/>
        <w:rPr>
          <w:i/>
          <w:iCs/>
          <w:noProof/>
        </w:rPr>
      </w:pPr>
      <w:r w:rsidRPr="00584A45">
        <w:rPr>
          <w:i/>
          <w:noProof/>
        </w:rPr>
        <w:t>Alle de dokumenter, som medlemsstaterne vedlægger dette supplerende informationsskema som bilag, skal nummereres, og dokumentnumrene skal anføres i de relevante afsnit i dette supplerende informationsskema.</w:t>
      </w:r>
    </w:p>
    <w:p w14:paraId="534C655A" w14:textId="77777777" w:rsidR="00B6207C" w:rsidRPr="00584A45" w:rsidRDefault="00B6207C" w:rsidP="00B6207C">
      <w:pPr>
        <w:pStyle w:val="ManualHeading2"/>
        <w:rPr>
          <w:noProof/>
        </w:rPr>
      </w:pPr>
      <w:r w:rsidRPr="00584A45">
        <w:rPr>
          <w:noProof/>
        </w:rPr>
        <w:t>Afsnit A: Resumé af de vigtigste karakteristika ved den anmeldte foranstaltning</w:t>
      </w:r>
    </w:p>
    <w:p w14:paraId="34D9048A" w14:textId="77777777" w:rsidR="00B6207C" w:rsidRPr="00584A45" w:rsidRDefault="00B6207C" w:rsidP="00B6207C">
      <w:pPr>
        <w:pStyle w:val="ManualNumPar1"/>
        <w:rPr>
          <w:noProof/>
        </w:rPr>
      </w:pPr>
      <w:r w:rsidRPr="00A97060">
        <w:rPr>
          <w:noProof/>
        </w:rPr>
        <w:t>1.</w:t>
      </w:r>
      <w:r w:rsidRPr="00A97060">
        <w:rPr>
          <w:noProof/>
        </w:rPr>
        <w:tab/>
      </w:r>
      <w:r w:rsidRPr="00584A45">
        <w:rPr>
          <w:noProof/>
        </w:rPr>
        <w:t>Baggrund for og formål med den anmeldte foranstaltning.</w:t>
      </w:r>
    </w:p>
    <w:p w14:paraId="048FE99E" w14:textId="77777777" w:rsidR="00B6207C" w:rsidRPr="00584A45" w:rsidRDefault="00B6207C" w:rsidP="00B6207C">
      <w:pPr>
        <w:pStyle w:val="ManualNumPar2"/>
        <w:rPr>
          <w:noProof/>
        </w:rPr>
      </w:pPr>
      <w:r w:rsidRPr="00A97060">
        <w:rPr>
          <w:noProof/>
        </w:rPr>
        <w:t>1.1.</w:t>
      </w:r>
      <w:r w:rsidRPr="00A97060">
        <w:rPr>
          <w:noProof/>
        </w:rPr>
        <w:tab/>
      </w:r>
      <w:r w:rsidRPr="00584A45">
        <w:rPr>
          <w:noProof/>
        </w:rPr>
        <w:t>Angiv baggrunden og hovedformålet, herunder eventuelle EU-mål for miljøbeskyttelse, som foranstaltningen har til formål at understøtte, hvis der ikke allerede er redegjort for det i afsnit 5.2 i formularen vedrørende generelle oplysninger (del I).</w:t>
      </w:r>
    </w:p>
    <w:p w14:paraId="200210D1" w14:textId="77777777" w:rsidR="00B6207C" w:rsidRPr="00584A45" w:rsidRDefault="00B6207C" w:rsidP="00B6207C">
      <w:pPr>
        <w:tabs>
          <w:tab w:val="left" w:leader="dot" w:pos="9072"/>
        </w:tabs>
        <w:ind w:left="567"/>
        <w:rPr>
          <w:noProof/>
        </w:rPr>
      </w:pPr>
      <w:r w:rsidRPr="00584A45">
        <w:rPr>
          <w:noProof/>
        </w:rPr>
        <w:tab/>
      </w:r>
    </w:p>
    <w:p w14:paraId="0A4BE12B" w14:textId="77777777" w:rsidR="00B6207C" w:rsidRPr="00584A45" w:rsidRDefault="00B6207C" w:rsidP="00B6207C">
      <w:pPr>
        <w:pStyle w:val="ManualNumPar2"/>
        <w:rPr>
          <w:noProof/>
        </w:rPr>
      </w:pPr>
      <w:r w:rsidRPr="00A97060">
        <w:rPr>
          <w:noProof/>
        </w:rPr>
        <w:t>1.2.</w:t>
      </w:r>
      <w:r w:rsidRPr="00A97060">
        <w:rPr>
          <w:noProof/>
        </w:rPr>
        <w:tab/>
      </w:r>
      <w:r w:rsidRPr="00584A45">
        <w:rPr>
          <w:noProof/>
        </w:rPr>
        <w:t xml:space="preserve">Angiv eventuelle andre mål, der forfølges med foranstaltningen. For mål, der ikke er rent miljømæssige, skal det forklares, om de kan medføre fordrejning af konkurrencen i det indre marked. </w:t>
      </w:r>
    </w:p>
    <w:p w14:paraId="1C09EDCA" w14:textId="77777777" w:rsidR="00B6207C" w:rsidRPr="00584A45" w:rsidRDefault="00B6207C" w:rsidP="00B6207C">
      <w:pPr>
        <w:tabs>
          <w:tab w:val="left" w:leader="dot" w:pos="9072"/>
        </w:tabs>
        <w:ind w:left="567"/>
        <w:rPr>
          <w:noProof/>
        </w:rPr>
      </w:pPr>
      <w:r w:rsidRPr="00584A45">
        <w:rPr>
          <w:noProof/>
        </w:rPr>
        <w:tab/>
      </w:r>
    </w:p>
    <w:p w14:paraId="43F41694" w14:textId="77777777" w:rsidR="00B6207C" w:rsidRPr="00584A45" w:rsidRDefault="00B6207C" w:rsidP="00B6207C">
      <w:pPr>
        <w:pStyle w:val="ManualNumPar1"/>
        <w:rPr>
          <w:noProof/>
        </w:rPr>
      </w:pPr>
      <w:r w:rsidRPr="00A97060">
        <w:rPr>
          <w:noProof/>
        </w:rPr>
        <w:t>2.</w:t>
      </w:r>
      <w:r w:rsidRPr="00A97060">
        <w:rPr>
          <w:noProof/>
        </w:rPr>
        <w:tab/>
      </w:r>
      <w:r w:rsidRPr="00584A45">
        <w:rPr>
          <w:noProof/>
        </w:rPr>
        <w:t>Ikrafttræden og varighed:</w:t>
      </w:r>
    </w:p>
    <w:p w14:paraId="06130E73" w14:textId="2008224C" w:rsidR="00B6207C" w:rsidRPr="00584A45" w:rsidRDefault="00B6207C" w:rsidP="00B6207C">
      <w:pPr>
        <w:pStyle w:val="ManualNumPar2"/>
        <w:rPr>
          <w:noProof/>
        </w:rPr>
      </w:pPr>
      <w:r w:rsidRPr="00A97060">
        <w:rPr>
          <w:noProof/>
        </w:rPr>
        <w:t>2.1.</w:t>
      </w:r>
      <w:r w:rsidRPr="00A97060">
        <w:rPr>
          <w:noProof/>
        </w:rPr>
        <w:tab/>
      </w:r>
      <w:r w:rsidRPr="00584A45">
        <w:rPr>
          <w:noProof/>
        </w:rPr>
        <w:t>Angiv den dato, fra hvilken det er hensigten, at støtteordningen skal træde i kraft, for så vidt det ikke allerede er angivet i afsnit 5.</w:t>
      </w:r>
      <w:r w:rsidR="00A03FE4">
        <w:rPr>
          <w:noProof/>
        </w:rPr>
        <w:t>4</w:t>
      </w:r>
      <w:r w:rsidRPr="00584A45">
        <w:rPr>
          <w:noProof/>
        </w:rPr>
        <w:t xml:space="preserve"> i formularen vedrørende generelle oplysninger (del I).</w:t>
      </w:r>
    </w:p>
    <w:p w14:paraId="241E0DB9" w14:textId="77777777" w:rsidR="00B6207C" w:rsidRPr="00584A45" w:rsidRDefault="00B6207C" w:rsidP="00B6207C">
      <w:pPr>
        <w:tabs>
          <w:tab w:val="left" w:leader="dot" w:pos="9072"/>
        </w:tabs>
        <w:ind w:left="567"/>
        <w:rPr>
          <w:noProof/>
        </w:rPr>
      </w:pPr>
      <w:r w:rsidRPr="00584A45">
        <w:rPr>
          <w:noProof/>
        </w:rPr>
        <w:tab/>
      </w:r>
    </w:p>
    <w:p w14:paraId="300131AC" w14:textId="77777777" w:rsidR="00B6207C" w:rsidRPr="00584A45" w:rsidRDefault="00B6207C" w:rsidP="00B6207C">
      <w:pPr>
        <w:pStyle w:val="ManualNumPar2"/>
        <w:rPr>
          <w:noProof/>
        </w:rPr>
      </w:pPr>
      <w:r w:rsidRPr="00A97060">
        <w:rPr>
          <w:noProof/>
        </w:rPr>
        <w:t>2.2.</w:t>
      </w:r>
      <w:r w:rsidRPr="00A97060">
        <w:rPr>
          <w:noProof/>
        </w:rPr>
        <w:tab/>
      </w:r>
      <w:r w:rsidRPr="00584A45">
        <w:rPr>
          <w:noProof/>
        </w:rPr>
        <w:t>Angiv ordningens varighed</w:t>
      </w:r>
      <w:r w:rsidRPr="00584A45">
        <w:rPr>
          <w:rStyle w:val="FootnoteReference"/>
          <w:rFonts w:cs="Arial Unicode MS"/>
          <w:bCs/>
          <w:noProof/>
          <w:lang w:bidi="si-LK"/>
        </w:rPr>
        <w:footnoteReference w:id="1"/>
      </w:r>
      <w:r w:rsidRPr="00584A45">
        <w:rPr>
          <w:noProof/>
        </w:rPr>
        <w:t>.</w:t>
      </w:r>
    </w:p>
    <w:p w14:paraId="38DB678E" w14:textId="77777777" w:rsidR="00B6207C" w:rsidRPr="00584A45" w:rsidRDefault="00B6207C" w:rsidP="00B6207C">
      <w:pPr>
        <w:tabs>
          <w:tab w:val="left" w:leader="dot" w:pos="9072"/>
        </w:tabs>
        <w:ind w:left="567"/>
        <w:rPr>
          <w:noProof/>
        </w:rPr>
      </w:pPr>
      <w:r w:rsidRPr="00584A45">
        <w:rPr>
          <w:noProof/>
        </w:rPr>
        <w:tab/>
      </w:r>
    </w:p>
    <w:p w14:paraId="542084C8" w14:textId="77777777" w:rsidR="00B6207C" w:rsidRPr="00584A45" w:rsidRDefault="00B6207C" w:rsidP="00B6207C">
      <w:pPr>
        <w:pStyle w:val="ManualNumPar1"/>
        <w:rPr>
          <w:rFonts w:cs="Arial Unicode MS"/>
          <w:bCs/>
          <w:noProof/>
        </w:rPr>
      </w:pPr>
      <w:r w:rsidRPr="00A97060">
        <w:rPr>
          <w:noProof/>
        </w:rPr>
        <w:t>3.</w:t>
      </w:r>
      <w:r w:rsidRPr="00A97060">
        <w:rPr>
          <w:noProof/>
        </w:rPr>
        <w:tab/>
      </w:r>
      <w:r w:rsidRPr="00584A45">
        <w:rPr>
          <w:noProof/>
        </w:rPr>
        <w:t>Støttemodtager(e)</w:t>
      </w:r>
      <w:r w:rsidRPr="00584A45">
        <w:rPr>
          <w:noProof/>
        </w:rPr>
        <w:tab/>
      </w:r>
    </w:p>
    <w:p w14:paraId="7E92D075" w14:textId="77777777" w:rsidR="00B6207C" w:rsidRPr="00584A45" w:rsidRDefault="00B6207C" w:rsidP="00B6207C">
      <w:pPr>
        <w:pStyle w:val="ManualNumPar2"/>
        <w:rPr>
          <w:noProof/>
        </w:rPr>
      </w:pPr>
      <w:r w:rsidRPr="00A97060">
        <w:rPr>
          <w:noProof/>
        </w:rPr>
        <w:t>3.1.</w:t>
      </w:r>
      <w:r w:rsidRPr="00A97060">
        <w:rPr>
          <w:noProof/>
        </w:rPr>
        <w:tab/>
      </w:r>
      <w:r w:rsidRPr="00584A45">
        <w:rPr>
          <w:noProof/>
        </w:rPr>
        <w:t>Beskriv foranstaltningens (potentielle) støttemodtager(e), hvis dette ikke allerede er angivet i afsnit 3 i formularen vedrørende generelle oplysninger (del I).</w:t>
      </w:r>
    </w:p>
    <w:p w14:paraId="6154169B" w14:textId="77777777" w:rsidR="00B6207C" w:rsidRPr="00584A45" w:rsidRDefault="00B6207C" w:rsidP="00B6207C">
      <w:pPr>
        <w:tabs>
          <w:tab w:val="left" w:leader="dot" w:pos="9072"/>
        </w:tabs>
        <w:ind w:left="567"/>
        <w:rPr>
          <w:noProof/>
        </w:rPr>
      </w:pPr>
      <w:r w:rsidRPr="00584A45">
        <w:rPr>
          <w:noProof/>
        </w:rPr>
        <w:tab/>
      </w:r>
    </w:p>
    <w:p w14:paraId="71F42D1E" w14:textId="77777777" w:rsidR="00B6207C" w:rsidRPr="00584A45" w:rsidRDefault="00B6207C" w:rsidP="00B6207C">
      <w:pPr>
        <w:pStyle w:val="ManualNumPar2"/>
        <w:rPr>
          <w:noProof/>
        </w:rPr>
      </w:pPr>
      <w:r w:rsidRPr="00A97060">
        <w:rPr>
          <w:noProof/>
        </w:rPr>
        <w:t>3.2.</w:t>
      </w:r>
      <w:r w:rsidRPr="00A97060">
        <w:rPr>
          <w:noProof/>
        </w:rPr>
        <w:tab/>
      </w:r>
      <w:r w:rsidRPr="00584A45">
        <w:rPr>
          <w:noProof/>
        </w:rPr>
        <w:t>Angiv støttemodtagernes lokalisering (dvs. om kun økonomiske enheder, der er beliggende i den pågældende medlemsstat, eller om dem i andre medlemsstater ligeledes er berettigede til at deltage i foranstaltningen).</w:t>
      </w:r>
    </w:p>
    <w:p w14:paraId="3F73DEEB" w14:textId="77777777" w:rsidR="00B6207C" w:rsidRPr="00584A45" w:rsidRDefault="00B6207C" w:rsidP="00B6207C">
      <w:pPr>
        <w:tabs>
          <w:tab w:val="left" w:leader="dot" w:pos="9072"/>
        </w:tabs>
        <w:ind w:left="567"/>
        <w:rPr>
          <w:noProof/>
        </w:rPr>
      </w:pPr>
      <w:r w:rsidRPr="00584A45">
        <w:rPr>
          <w:noProof/>
        </w:rPr>
        <w:lastRenderedPageBreak/>
        <w:tab/>
      </w:r>
    </w:p>
    <w:p w14:paraId="5B3BC37F" w14:textId="77777777" w:rsidR="00B6207C" w:rsidRPr="00584A45" w:rsidRDefault="00B6207C" w:rsidP="00B6207C">
      <w:pPr>
        <w:pStyle w:val="ManualNumPar2"/>
        <w:rPr>
          <w:noProof/>
        </w:rPr>
      </w:pPr>
      <w:r w:rsidRPr="00A97060">
        <w:rPr>
          <w:noProof/>
        </w:rPr>
        <w:t>3.3.</w:t>
      </w:r>
      <w:r w:rsidRPr="00A97060">
        <w:rPr>
          <w:noProof/>
        </w:rPr>
        <w:tab/>
      </w:r>
      <w:r w:rsidRPr="00584A45">
        <w:rPr>
          <w:noProof/>
        </w:rPr>
        <w:t xml:space="preserve">Angiv med henblik på at vurdere, om punkt 15 i CEEAG er overholdt, hvorvidt der i henhold til foranstaltningen ydes støtte til fordel for en virksomhed (individuel eller en del af en ordning), der ikke har efterkommet et krav om tilbagebetaling af støtte, som Kommissionen ved en tidligere afgørelse har erklæret ulovlig og uforenelig med det indre marked. </w:t>
      </w:r>
    </w:p>
    <w:p w14:paraId="1EC7CF15" w14:textId="77777777" w:rsidR="00B6207C" w:rsidRPr="00584A45" w:rsidRDefault="00B6207C" w:rsidP="00B6207C">
      <w:pPr>
        <w:pStyle w:val="Text1"/>
        <w:rPr>
          <w:noProof/>
        </w:rPr>
      </w:pPr>
      <w:r w:rsidRPr="00584A45">
        <w:rPr>
          <w:noProof/>
        </w:rPr>
        <w:t xml:space="preserve">Oplys i bekræftende fald det støttebeløb, der endnu ikke er tilbagebetalt, med henblik på Kommissionens hensyntagen til dette i vurderingen af støtteforanstaltningen. </w:t>
      </w:r>
    </w:p>
    <w:p w14:paraId="72601A57" w14:textId="77777777" w:rsidR="00B6207C" w:rsidRPr="00584A45" w:rsidRDefault="00B6207C" w:rsidP="00B6207C">
      <w:pPr>
        <w:tabs>
          <w:tab w:val="left" w:leader="dot" w:pos="9072"/>
        </w:tabs>
        <w:ind w:left="567"/>
        <w:rPr>
          <w:noProof/>
        </w:rPr>
      </w:pPr>
      <w:r w:rsidRPr="00584A45">
        <w:rPr>
          <w:noProof/>
        </w:rPr>
        <w:tab/>
      </w:r>
    </w:p>
    <w:p w14:paraId="6BDF60E8" w14:textId="77777777" w:rsidR="00B6207C" w:rsidRPr="00584A45" w:rsidRDefault="00B6207C" w:rsidP="00B6207C">
      <w:pPr>
        <w:pStyle w:val="ManualNumPar1"/>
        <w:rPr>
          <w:noProof/>
        </w:rPr>
      </w:pPr>
      <w:r w:rsidRPr="00A97060">
        <w:rPr>
          <w:noProof/>
        </w:rPr>
        <w:t>4.</w:t>
      </w:r>
      <w:r w:rsidRPr="00A97060">
        <w:rPr>
          <w:noProof/>
        </w:rPr>
        <w:tab/>
      </w:r>
      <w:r w:rsidRPr="00584A45">
        <w:rPr>
          <w:noProof/>
        </w:rPr>
        <w:t>Bekræft, at foranstaltningen ikke omfatter støtte til aktiviteter, der falder uden for anvendelsesområdet for CEEAG (se punkt 13 i CEEAG). Angiv i modsat fald nærmere oplysninger.</w:t>
      </w:r>
    </w:p>
    <w:p w14:paraId="7395944C" w14:textId="77777777" w:rsidR="00B6207C" w:rsidRPr="00584A45" w:rsidRDefault="00B6207C" w:rsidP="00B6207C">
      <w:pPr>
        <w:tabs>
          <w:tab w:val="left" w:leader="dot" w:pos="9072"/>
        </w:tabs>
        <w:ind w:left="567"/>
        <w:rPr>
          <w:noProof/>
        </w:rPr>
      </w:pPr>
      <w:r w:rsidRPr="00584A45">
        <w:rPr>
          <w:noProof/>
        </w:rPr>
        <w:tab/>
      </w:r>
    </w:p>
    <w:p w14:paraId="4C6716BA" w14:textId="77777777" w:rsidR="00B6207C" w:rsidRPr="00584A45" w:rsidRDefault="00B6207C" w:rsidP="00B6207C">
      <w:pPr>
        <w:pStyle w:val="ManualNumPar1"/>
        <w:rPr>
          <w:noProof/>
        </w:rPr>
      </w:pPr>
      <w:r w:rsidRPr="00A97060">
        <w:rPr>
          <w:noProof/>
        </w:rPr>
        <w:t>5.</w:t>
      </w:r>
      <w:r w:rsidRPr="00A97060">
        <w:rPr>
          <w:noProof/>
        </w:rPr>
        <w:tab/>
      </w:r>
      <w:r w:rsidRPr="00584A45">
        <w:rPr>
          <w:noProof/>
        </w:rPr>
        <w:t>Budget og finansiering af foranstaltningen.</w:t>
      </w:r>
    </w:p>
    <w:p w14:paraId="29DFC5CC" w14:textId="77777777" w:rsidR="00B6207C" w:rsidRPr="00584A45" w:rsidRDefault="00B6207C" w:rsidP="00B6207C">
      <w:pPr>
        <w:pStyle w:val="ManualNumPar2"/>
        <w:rPr>
          <w:noProof/>
        </w:rPr>
      </w:pPr>
      <w:r w:rsidRPr="00A97060">
        <w:rPr>
          <w:noProof/>
        </w:rPr>
        <w:t>5.1.</w:t>
      </w:r>
      <w:r w:rsidRPr="00A97060">
        <w:rPr>
          <w:noProof/>
        </w:rPr>
        <w:tab/>
      </w:r>
      <w:r w:rsidRPr="00584A45">
        <w:rPr>
          <w:noProof/>
        </w:rPr>
        <w:t>Angiv det årlige og/eller samlede budget for foranstaltningens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sidRPr="00584A45">
        <w:rPr>
          <w:rStyle w:val="FootnoteReference"/>
          <w:noProof/>
        </w:rPr>
        <w:footnoteReference w:id="2"/>
      </w:r>
      <w:r w:rsidRPr="00584A45">
        <w:rPr>
          <w:noProof/>
        </w:rPr>
        <w:t>.</w:t>
      </w:r>
    </w:p>
    <w:p w14:paraId="08B3EFFD" w14:textId="77777777" w:rsidR="00B6207C" w:rsidRPr="00584A45" w:rsidRDefault="00B6207C" w:rsidP="00B6207C">
      <w:pPr>
        <w:tabs>
          <w:tab w:val="left" w:leader="dot" w:pos="9072"/>
        </w:tabs>
        <w:ind w:left="567"/>
        <w:rPr>
          <w:noProof/>
        </w:rPr>
      </w:pPr>
      <w:r w:rsidRPr="00584A45">
        <w:rPr>
          <w:noProof/>
        </w:rPr>
        <w:tab/>
      </w:r>
    </w:p>
    <w:p w14:paraId="7A0A7E52" w14:textId="77777777" w:rsidR="00B6207C" w:rsidRPr="00584A45" w:rsidRDefault="00B6207C" w:rsidP="00B6207C">
      <w:pPr>
        <w:pStyle w:val="ManualNumPar2"/>
        <w:rPr>
          <w:noProof/>
        </w:rPr>
      </w:pPr>
      <w:r w:rsidRPr="00A97060">
        <w:rPr>
          <w:noProof/>
        </w:rPr>
        <w:t>5.2.</w:t>
      </w:r>
      <w:r w:rsidRPr="00A97060">
        <w:rPr>
          <w:noProof/>
        </w:rPr>
        <w:tab/>
      </w:r>
      <w:r w:rsidRPr="00584A45">
        <w:rPr>
          <w:noProof/>
        </w:rPr>
        <w:t xml:space="preserve">Præciser ved foranstaltninger (dvs. nedsættelsen af skatter og afgifter/skattelignende afgifter), der </w:t>
      </w:r>
      <w:r w:rsidRPr="00584A45">
        <w:rPr>
          <w:noProof/>
          <w:u w:val="single"/>
        </w:rPr>
        <w:t>finansieres</w:t>
      </w:r>
      <w:r w:rsidRPr="00584A45">
        <w:rPr>
          <w:noProof/>
        </w:rPr>
        <w:t xml:space="preserve"> gennem en afgift, om: </w:t>
      </w:r>
    </w:p>
    <w:p w14:paraId="7F9CFF94" w14:textId="77777777" w:rsidR="00B6207C" w:rsidRPr="00584A45" w:rsidRDefault="00B6207C" w:rsidP="00B6207C">
      <w:pPr>
        <w:pStyle w:val="Point1"/>
        <w:rPr>
          <w:rFonts w:cs="Arial Unicode MS"/>
          <w:bCs/>
          <w:noProof/>
        </w:rPr>
      </w:pPr>
      <w:r w:rsidRPr="00A97060">
        <w:rPr>
          <w:noProof/>
        </w:rPr>
        <w:t>(a)</w:t>
      </w:r>
      <w:r w:rsidRPr="00A97060">
        <w:rPr>
          <w:noProof/>
        </w:rPr>
        <w:tab/>
      </w:r>
      <w:r w:rsidRPr="00584A45">
        <w:rPr>
          <w:noProof/>
        </w:rPr>
        <w:t>afgiften er fastsat ved lov eller anden retsakt. Angiv i bekræftende fald retsakten, dens nummer og datoen, hvor retsakten blev vedtaget og trådte i kraft, samt et link til retsakten</w:t>
      </w:r>
    </w:p>
    <w:p w14:paraId="4505D145" w14:textId="77777777" w:rsidR="00B6207C" w:rsidRPr="00584A45" w:rsidRDefault="00B6207C" w:rsidP="00B6207C">
      <w:pPr>
        <w:tabs>
          <w:tab w:val="left" w:leader="dot" w:pos="9072"/>
        </w:tabs>
        <w:ind w:left="567"/>
        <w:rPr>
          <w:noProof/>
        </w:rPr>
      </w:pPr>
      <w:r w:rsidRPr="00584A45">
        <w:rPr>
          <w:noProof/>
        </w:rPr>
        <w:tab/>
      </w:r>
    </w:p>
    <w:p w14:paraId="0B3A0B54" w14:textId="77777777" w:rsidR="00B6207C" w:rsidRPr="00584A45" w:rsidRDefault="00B6207C" w:rsidP="00B6207C">
      <w:pPr>
        <w:pStyle w:val="Point1"/>
        <w:rPr>
          <w:rFonts w:cs="Arial Unicode MS"/>
          <w:bCs/>
          <w:noProof/>
        </w:rPr>
      </w:pPr>
      <w:r w:rsidRPr="00A97060">
        <w:rPr>
          <w:noProof/>
        </w:rPr>
        <w:t>(b)</w:t>
      </w:r>
      <w:r w:rsidRPr="00A97060">
        <w:rPr>
          <w:noProof/>
        </w:rPr>
        <w:tab/>
      </w:r>
      <w:r w:rsidRPr="00584A45">
        <w:rPr>
          <w:noProof/>
        </w:rPr>
        <w:t>afgiften pålægges både indenlandske og importerede produkter</w:t>
      </w:r>
    </w:p>
    <w:p w14:paraId="4CD13F07" w14:textId="77777777" w:rsidR="00B6207C" w:rsidRPr="00584A45" w:rsidRDefault="00B6207C" w:rsidP="00B6207C">
      <w:pPr>
        <w:tabs>
          <w:tab w:val="left" w:leader="dot" w:pos="9072"/>
        </w:tabs>
        <w:ind w:left="567"/>
        <w:rPr>
          <w:noProof/>
        </w:rPr>
      </w:pPr>
      <w:r w:rsidRPr="00584A45">
        <w:rPr>
          <w:noProof/>
        </w:rPr>
        <w:tab/>
      </w:r>
    </w:p>
    <w:p w14:paraId="126BBB26" w14:textId="77777777" w:rsidR="00B6207C" w:rsidRPr="00584A45" w:rsidRDefault="00B6207C" w:rsidP="00B6207C">
      <w:pPr>
        <w:pStyle w:val="Point1"/>
        <w:rPr>
          <w:rFonts w:cs="Arial Unicode MS"/>
          <w:bCs/>
          <w:noProof/>
        </w:rPr>
      </w:pPr>
      <w:r w:rsidRPr="00A97060">
        <w:rPr>
          <w:noProof/>
        </w:rPr>
        <w:t>(c)</w:t>
      </w:r>
      <w:r w:rsidRPr="00A97060">
        <w:rPr>
          <w:noProof/>
        </w:rPr>
        <w:tab/>
      </w:r>
      <w:r w:rsidRPr="00584A45">
        <w:rPr>
          <w:noProof/>
        </w:rPr>
        <w:t>den anmeldte foranstaltning vil gavne både indenlandske og importerede produkter</w:t>
      </w:r>
    </w:p>
    <w:p w14:paraId="49F75ED8" w14:textId="77777777" w:rsidR="00B6207C" w:rsidRPr="00584A45" w:rsidRDefault="00B6207C" w:rsidP="00B6207C">
      <w:pPr>
        <w:tabs>
          <w:tab w:val="left" w:leader="dot" w:pos="9072"/>
        </w:tabs>
        <w:ind w:left="567"/>
        <w:rPr>
          <w:noProof/>
        </w:rPr>
      </w:pPr>
      <w:r w:rsidRPr="00584A45">
        <w:rPr>
          <w:noProof/>
        </w:rPr>
        <w:tab/>
      </w:r>
    </w:p>
    <w:p w14:paraId="31FE6D98" w14:textId="77777777" w:rsidR="00B6207C" w:rsidRPr="00584A45" w:rsidRDefault="00B6207C" w:rsidP="00B6207C">
      <w:pPr>
        <w:pStyle w:val="Point1"/>
        <w:rPr>
          <w:rFonts w:cs="Arial Unicode MS"/>
          <w:bCs/>
          <w:noProof/>
        </w:rPr>
      </w:pPr>
      <w:r w:rsidRPr="00A97060">
        <w:rPr>
          <w:noProof/>
        </w:rPr>
        <w:t>(d)</w:t>
      </w:r>
      <w:r w:rsidRPr="00A97060">
        <w:rPr>
          <w:noProof/>
        </w:rPr>
        <w:tab/>
      </w:r>
      <w:r w:rsidRPr="00584A45">
        <w:rPr>
          <w:noProof/>
        </w:rPr>
        <w:t>afgiften fuldt ud finansierer foranstaltningen eller kun gør det delvist. Hvis afgiften kun delvis finansierer foranstaltningen, skal de øvrige finansieringskilder for foranstaltningen og deres respektive andel angives</w:t>
      </w:r>
    </w:p>
    <w:p w14:paraId="08BF33FE" w14:textId="77777777" w:rsidR="00B6207C" w:rsidRPr="00584A45" w:rsidRDefault="00B6207C" w:rsidP="00B6207C">
      <w:pPr>
        <w:tabs>
          <w:tab w:val="left" w:leader="dot" w:pos="9072"/>
        </w:tabs>
        <w:ind w:left="567"/>
        <w:rPr>
          <w:noProof/>
        </w:rPr>
      </w:pPr>
      <w:r w:rsidRPr="00584A45">
        <w:rPr>
          <w:noProof/>
        </w:rPr>
        <w:tab/>
      </w:r>
    </w:p>
    <w:p w14:paraId="2A3A4D99" w14:textId="77777777" w:rsidR="00B6207C" w:rsidRPr="00584A45" w:rsidRDefault="00B6207C" w:rsidP="00B6207C">
      <w:pPr>
        <w:pStyle w:val="Point1"/>
        <w:rPr>
          <w:rFonts w:cs="Arial Unicode MS"/>
          <w:bCs/>
          <w:noProof/>
        </w:rPr>
      </w:pPr>
      <w:r w:rsidRPr="00A97060">
        <w:rPr>
          <w:noProof/>
        </w:rPr>
        <w:t>(e)</w:t>
      </w:r>
      <w:r w:rsidRPr="00A97060">
        <w:rPr>
          <w:noProof/>
        </w:rPr>
        <w:tab/>
      </w:r>
      <w:r w:rsidRPr="00584A45">
        <w:rPr>
          <w:noProof/>
        </w:rPr>
        <w:t>den afgift, der finansierer den anmeldte foranstaltning, også finansierer andre støtteforanstaltninger. Angiv i bekræftende fald de øvrige støtteforanstaltninger, der finansieres af den pågældende afgift.</w:t>
      </w:r>
    </w:p>
    <w:p w14:paraId="19BFB483" w14:textId="77777777" w:rsidR="00B6207C" w:rsidRPr="00584A45" w:rsidRDefault="00B6207C" w:rsidP="00B6207C">
      <w:pPr>
        <w:tabs>
          <w:tab w:val="left" w:leader="dot" w:pos="9072"/>
        </w:tabs>
        <w:ind w:left="567"/>
        <w:rPr>
          <w:noProof/>
        </w:rPr>
      </w:pPr>
      <w:r w:rsidRPr="00584A45">
        <w:rPr>
          <w:noProof/>
        </w:rPr>
        <w:tab/>
      </w:r>
    </w:p>
    <w:p w14:paraId="6A7CB577" w14:textId="77777777" w:rsidR="00B6207C" w:rsidRPr="00584A45" w:rsidRDefault="00B6207C" w:rsidP="00B6207C">
      <w:pPr>
        <w:pStyle w:val="ManualHeading2"/>
        <w:rPr>
          <w:noProof/>
        </w:rPr>
      </w:pPr>
      <w:r w:rsidRPr="00584A45">
        <w:rPr>
          <w:noProof/>
        </w:rPr>
        <w:lastRenderedPageBreak/>
        <w:t>Afsnit B: Forenelighedsvurdering af støtten</w:t>
      </w:r>
    </w:p>
    <w:p w14:paraId="4D4A990E" w14:textId="77777777" w:rsidR="00B6207C" w:rsidRPr="00584A45" w:rsidRDefault="00B6207C" w:rsidP="00B6207C">
      <w:pPr>
        <w:pStyle w:val="ManualHeading1"/>
        <w:rPr>
          <w:noProof/>
        </w:rPr>
      </w:pPr>
      <w:r w:rsidRPr="00A97060">
        <w:rPr>
          <w:noProof/>
        </w:rPr>
        <w:t>1.</w:t>
      </w:r>
      <w:r w:rsidRPr="00A97060">
        <w:rPr>
          <w:noProof/>
        </w:rPr>
        <w:tab/>
      </w:r>
      <w:r w:rsidRPr="00584A45">
        <w:rPr>
          <w:noProof/>
        </w:rPr>
        <w:t>Positiv betingelse: Støtten skal fremme udviklingen af en økonomisk aktivitet</w:t>
      </w:r>
    </w:p>
    <w:p w14:paraId="41DE8D78" w14:textId="77777777" w:rsidR="00B6207C" w:rsidRPr="00584A45" w:rsidRDefault="00B6207C" w:rsidP="00B6207C">
      <w:pPr>
        <w:pStyle w:val="ManualHeading2"/>
        <w:rPr>
          <w:noProof/>
        </w:rPr>
      </w:pPr>
      <w:r w:rsidRPr="00A97060">
        <w:rPr>
          <w:noProof/>
        </w:rPr>
        <w:t>1.1.</w:t>
      </w:r>
      <w:r w:rsidRPr="00A97060">
        <w:rPr>
          <w:noProof/>
        </w:rPr>
        <w:tab/>
      </w:r>
      <w:r w:rsidRPr="00584A45">
        <w:rPr>
          <w:noProof/>
        </w:rPr>
        <w:t>Bidrag til udviklingen af en økonomisk aktivitet</w:t>
      </w:r>
    </w:p>
    <w:p w14:paraId="11E61734" w14:textId="77777777" w:rsidR="00B6207C" w:rsidRPr="00584A45" w:rsidRDefault="00B6207C" w:rsidP="00B6207C">
      <w:pPr>
        <w:spacing w:before="360"/>
        <w:rPr>
          <w:i/>
          <w:noProof/>
        </w:rPr>
      </w:pPr>
      <w:r w:rsidRPr="00584A45">
        <w:rPr>
          <w:i/>
          <w:noProof/>
        </w:rPr>
        <w:t>Med henblik på angivelsen af oplysningerne i dette afsnit henvises til afsnit 3.1.1, punkt 23-25, afsnit 4.7.2.1, punkt 310, og afsnit 4.7.2.2, punkt 311-313, i CEEAG.</w:t>
      </w:r>
    </w:p>
    <w:p w14:paraId="4314DADD" w14:textId="77777777" w:rsidR="00B6207C" w:rsidRPr="00584A45" w:rsidRDefault="00B6207C" w:rsidP="00B6207C">
      <w:pPr>
        <w:pStyle w:val="ManualNumPar1"/>
        <w:rPr>
          <w:noProof/>
        </w:rPr>
      </w:pPr>
      <w:r w:rsidRPr="00A97060">
        <w:rPr>
          <w:noProof/>
        </w:rPr>
        <w:t>6.</w:t>
      </w:r>
      <w:r w:rsidRPr="00A97060">
        <w:rPr>
          <w:noProof/>
        </w:rPr>
        <w:tab/>
      </w:r>
      <w:r w:rsidRPr="00584A45">
        <w:rPr>
          <w:noProof/>
        </w:rPr>
        <w:t xml:space="preserve">Kommissionen kan i henhold til artikel 107, stk. 3, litra c), i traktaten om Den Europæiske Unions funktionsmåde ("traktaten") erklære "støtte til fremme af udviklingen af visse erhvervsgrene eller økonomiske regioner, når den ikke ændrer samhandelsvilkårene på en måde, der strider mod den fælles interesse", forenelig med det indre marked. Støtte, der er forenelig i henhold til denne bestemmelse i traktaten, skal derfor bidrage til udviklingen af en bestemt økonomisk aktivitet. </w:t>
      </w:r>
    </w:p>
    <w:p w14:paraId="121D3A3D" w14:textId="77777777" w:rsidR="00B6207C" w:rsidRPr="00584A45" w:rsidRDefault="00B6207C" w:rsidP="00B6207C">
      <w:pPr>
        <w:pStyle w:val="Text1"/>
        <w:rPr>
          <w:noProof/>
        </w:rPr>
      </w:pPr>
      <w:r w:rsidRPr="00584A45">
        <w:rPr>
          <w:noProof/>
        </w:rPr>
        <w:t xml:space="preserve">Angiv de økonomiske aktiviteter, der vil blive fremmet som følge af støtten, og hvordan udviklingen af disse aktiviteter støttes, med henblik på at vurdere overholdelsen af punkt 23 i CEEAG. </w:t>
      </w:r>
    </w:p>
    <w:p w14:paraId="064FE37F" w14:textId="77777777" w:rsidR="00B6207C" w:rsidRPr="00584A45" w:rsidRDefault="00B6207C" w:rsidP="00B6207C">
      <w:pPr>
        <w:tabs>
          <w:tab w:val="left" w:leader="dot" w:pos="9072"/>
        </w:tabs>
        <w:ind w:left="567"/>
        <w:rPr>
          <w:noProof/>
        </w:rPr>
      </w:pPr>
      <w:r w:rsidRPr="00584A45">
        <w:rPr>
          <w:noProof/>
        </w:rPr>
        <w:tab/>
      </w:r>
    </w:p>
    <w:p w14:paraId="41D72E7E" w14:textId="77777777" w:rsidR="00B6207C" w:rsidRPr="00584A45" w:rsidRDefault="00B6207C" w:rsidP="00B6207C">
      <w:pPr>
        <w:pStyle w:val="ManualNumPar1"/>
        <w:rPr>
          <w:noProof/>
        </w:rPr>
      </w:pPr>
      <w:r w:rsidRPr="00A97060">
        <w:rPr>
          <w:noProof/>
        </w:rPr>
        <w:t>7.</w:t>
      </w:r>
      <w:r w:rsidRPr="00A97060">
        <w:rPr>
          <w:noProof/>
        </w:rPr>
        <w:tab/>
      </w:r>
      <w:r w:rsidRPr="00584A45">
        <w:rPr>
          <w:noProof/>
        </w:rP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 </w:t>
      </w:r>
    </w:p>
    <w:p w14:paraId="771F69D1" w14:textId="77777777" w:rsidR="00B6207C" w:rsidRPr="00584A45" w:rsidRDefault="00B6207C" w:rsidP="00B6207C">
      <w:pPr>
        <w:tabs>
          <w:tab w:val="left" w:leader="dot" w:pos="9072"/>
        </w:tabs>
        <w:ind w:left="567"/>
        <w:rPr>
          <w:noProof/>
        </w:rPr>
      </w:pPr>
      <w:r w:rsidRPr="00584A45">
        <w:rPr>
          <w:noProof/>
        </w:rPr>
        <w:tab/>
      </w:r>
    </w:p>
    <w:p w14:paraId="0B2B7329" w14:textId="77777777" w:rsidR="00B6207C" w:rsidRPr="00584A45" w:rsidRDefault="00B6207C" w:rsidP="00B6207C">
      <w:pPr>
        <w:pStyle w:val="ManualNumPar1"/>
        <w:rPr>
          <w:noProof/>
        </w:rPr>
      </w:pPr>
      <w:bookmarkStart w:id="0" w:name="_Hlk169774371"/>
      <w:r w:rsidRPr="00A97060">
        <w:rPr>
          <w:noProof/>
        </w:rPr>
        <w:t>8.</w:t>
      </w:r>
      <w:r w:rsidRPr="00A97060">
        <w:rPr>
          <w:noProof/>
        </w:rPr>
        <w:tab/>
      </w:r>
      <w:r w:rsidRPr="00584A45">
        <w:rPr>
          <w:noProof/>
        </w:rPr>
        <w:t>Afhængigt af det afsnit i CEEAG, som de støttede aktiviteter hører under</w:t>
      </w:r>
      <w:bookmarkEnd w:id="0"/>
      <w:r w:rsidRPr="00584A45">
        <w:rPr>
          <w:noProof/>
        </w:rPr>
        <w:t>, skal der redegøres nærmere for, i hvilket omfang støtten vedrører de mål og/eller politikker, der er beskrevet i punkt 135 i CEEAG (for afsnit 4.2), punkt 160-161 i CEEAG (for afsnit 4.3.1), punkt 190-191 i CEEAG (for afsnit 4.3.2), punkt 217-219 i CEEAG (for afsnit 4.4), punkt 253-254 i CEEAG (for afsnit 4.5) eller punkt 276-278 i CEEAG (for afsnit 4.6).</w:t>
      </w:r>
    </w:p>
    <w:p w14:paraId="1CEDA5AB" w14:textId="77777777" w:rsidR="00B6207C" w:rsidRPr="00584A45" w:rsidRDefault="00B6207C" w:rsidP="00B6207C">
      <w:pPr>
        <w:tabs>
          <w:tab w:val="left" w:leader="dot" w:pos="9072"/>
        </w:tabs>
        <w:ind w:left="567"/>
        <w:rPr>
          <w:noProof/>
        </w:rPr>
      </w:pPr>
      <w:r w:rsidRPr="00584A45">
        <w:rPr>
          <w:noProof/>
        </w:rPr>
        <w:tab/>
      </w:r>
    </w:p>
    <w:p w14:paraId="63F94651" w14:textId="77777777" w:rsidR="00B6207C" w:rsidRPr="00584A45" w:rsidRDefault="00B6207C" w:rsidP="00B6207C">
      <w:pPr>
        <w:pStyle w:val="ManualNumPar1"/>
        <w:rPr>
          <w:noProof/>
        </w:rPr>
      </w:pPr>
      <w:bookmarkStart w:id="1" w:name="_Hlk169796485"/>
      <w:r w:rsidRPr="00A97060">
        <w:rPr>
          <w:noProof/>
        </w:rPr>
        <w:t>9.</w:t>
      </w:r>
      <w:r w:rsidRPr="00A97060">
        <w:rPr>
          <w:noProof/>
        </w:rPr>
        <w:tab/>
      </w:r>
      <w:r w:rsidRPr="00584A45">
        <w:rPr>
          <w:noProof/>
        </w:rPr>
        <w:t>I henhold til punkt 311 i CEEAG og afhængigt af det afsnit i CEEAG, som de støttede aktiviteter hører under, skal der gives oplysninger om støtteforanstaltningens nøjagtige omfang, og de støttede aktiviteter skal angives nøjagtigt; dette gøres ved at udfylde følgende spørgsmål i det relevante supplerende informationsskema. For aktiviteter, der er omfattet af afsnit:</w:t>
      </w:r>
    </w:p>
    <w:bookmarkStart w:id="2" w:name="_Hlk164178286"/>
    <w:bookmarkStart w:id="3" w:name="_Hlk169774504"/>
    <w:p w14:paraId="6D0B9047" w14:textId="77777777" w:rsidR="00B6207C" w:rsidRPr="00584A45" w:rsidRDefault="00A53CCA" w:rsidP="00B6207C">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lang w:eastAsia="en-GB"/>
            </w:rPr>
            <w:t>☐</w:t>
          </w:r>
        </w:sdtContent>
      </w:sdt>
      <w:r w:rsidR="00B6207C" w:rsidRPr="00584A45">
        <w:rPr>
          <w:noProof/>
        </w:rPr>
        <w:t xml:space="preserve"> </w:t>
      </w:r>
      <w:bookmarkEnd w:id="2"/>
      <w:r w:rsidR="00B6207C" w:rsidRPr="00584A45">
        <w:rPr>
          <w:noProof/>
        </w:rPr>
        <w:t>4.2 (</w:t>
      </w:r>
      <w:bookmarkStart w:id="4" w:name="_Hlk164179209"/>
      <w:r w:rsidR="00B6207C" w:rsidRPr="00584A45">
        <w:rPr>
          <w:noProof/>
        </w:rPr>
        <w:t>spørgsmål 9-12 i det relevante supplerende informationsskema)</w:t>
      </w:r>
      <w:bookmarkEnd w:id="4"/>
    </w:p>
    <w:p w14:paraId="6FAAE17C" w14:textId="77777777" w:rsidR="00B6207C" w:rsidRPr="00584A45" w:rsidRDefault="00A53CCA" w:rsidP="00B6207C">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lang w:eastAsia="en-GB"/>
            </w:rPr>
            <w:t>☐</w:t>
          </w:r>
        </w:sdtContent>
      </w:sdt>
      <w:r w:rsidR="00B6207C" w:rsidRPr="00584A45">
        <w:rPr>
          <w:noProof/>
        </w:rPr>
        <w:t xml:space="preserve"> 4.3.1 (spørgsmål 10 i det relevante supplerende informationsskema)</w:t>
      </w:r>
    </w:p>
    <w:p w14:paraId="09994F41" w14:textId="77777777" w:rsidR="00B6207C" w:rsidRPr="00584A45" w:rsidRDefault="00A53CCA" w:rsidP="00B6207C">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lang w:eastAsia="en-GB"/>
            </w:rPr>
            <w:t>☐</w:t>
          </w:r>
        </w:sdtContent>
      </w:sdt>
      <w:r w:rsidR="00B6207C" w:rsidRPr="00584A45">
        <w:rPr>
          <w:noProof/>
        </w:rPr>
        <w:t xml:space="preserve"> 4.3.2 (spørgsmål 10 i det relevante supplerende informationsskema)</w:t>
      </w:r>
    </w:p>
    <w:p w14:paraId="5982382B" w14:textId="77777777" w:rsidR="00B6207C" w:rsidRPr="00584A45" w:rsidRDefault="00A53CCA" w:rsidP="00B6207C">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lang w:eastAsia="en-GB"/>
            </w:rPr>
            <w:t>☐</w:t>
          </w:r>
        </w:sdtContent>
      </w:sdt>
      <w:r w:rsidR="00B6207C" w:rsidRPr="00584A45">
        <w:rPr>
          <w:noProof/>
        </w:rPr>
        <w:t xml:space="preserve"> 4.4 (spørgsmål 11-13 i det relevante supplerende informationsskema).</w:t>
      </w:r>
    </w:p>
    <w:p w14:paraId="73B1B55D" w14:textId="77777777" w:rsidR="00B6207C" w:rsidRPr="00584A45" w:rsidRDefault="00A53CCA" w:rsidP="00B6207C">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lang w:eastAsia="en-GB"/>
            </w:rPr>
            <w:t>☐</w:t>
          </w:r>
        </w:sdtContent>
      </w:sdt>
      <w:r w:rsidR="00B6207C" w:rsidRPr="00584A45">
        <w:rPr>
          <w:noProof/>
        </w:rPr>
        <w:t xml:space="preserve"> 4.5 (spørgsmål 10-15 i det relevante supplerende informationsskema).</w:t>
      </w:r>
    </w:p>
    <w:p w14:paraId="0387B8A2" w14:textId="77777777" w:rsidR="00B6207C" w:rsidRPr="00584A45" w:rsidRDefault="00A53CCA" w:rsidP="00B6207C">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lang w:eastAsia="en-GB"/>
            </w:rPr>
            <w:t>☐</w:t>
          </w:r>
        </w:sdtContent>
      </w:sdt>
      <w:r w:rsidR="00B6207C" w:rsidRPr="00584A45">
        <w:rPr>
          <w:noProof/>
        </w:rPr>
        <w:t xml:space="preserve"> 4.6 (spørgsmål 10-12 i det relevante supplerende informationsskema).</w:t>
      </w:r>
    </w:p>
    <w:bookmarkEnd w:id="1"/>
    <w:bookmarkEnd w:id="3"/>
    <w:p w14:paraId="08C2DE78" w14:textId="77777777" w:rsidR="00B6207C" w:rsidRPr="00584A45" w:rsidRDefault="00B6207C" w:rsidP="00B6207C">
      <w:pPr>
        <w:tabs>
          <w:tab w:val="left" w:leader="dot" w:pos="9072"/>
        </w:tabs>
        <w:ind w:left="567"/>
        <w:rPr>
          <w:noProof/>
        </w:rPr>
      </w:pPr>
      <w:r w:rsidRPr="00584A45">
        <w:rPr>
          <w:noProof/>
        </w:rPr>
        <w:lastRenderedPageBreak/>
        <w:tab/>
      </w:r>
    </w:p>
    <w:p w14:paraId="36DD5D3D" w14:textId="07D2068C" w:rsidR="00B6207C" w:rsidRPr="00584A45" w:rsidRDefault="00B6207C" w:rsidP="00B6207C">
      <w:pPr>
        <w:pStyle w:val="ManualNumPar1"/>
        <w:rPr>
          <w:noProof/>
        </w:rPr>
      </w:pPr>
      <w:r w:rsidRPr="00A97060">
        <w:rPr>
          <w:noProof/>
        </w:rPr>
        <w:t>10.</w:t>
      </w:r>
      <w:r w:rsidRPr="00A97060">
        <w:rPr>
          <w:noProof/>
        </w:rPr>
        <w:tab/>
      </w:r>
      <w:r w:rsidRPr="00584A45">
        <w:rPr>
          <w:noProof/>
        </w:rPr>
        <w:t>Angiv, om de støttede aktiviteter primært forfølger et dekarboniseringsmål.  Hvis forebyggelse eller reduktion af drivhusgasemissioner er støtteforanstaltningens fremherskende mål, henvises der i overensstemmelse med punkt 312 i CEEAG til det supplerende informationsskema for afsnit 4.1, da en sådan støtte vurderes på grundlag af afsnit 4.1.</w:t>
      </w:r>
    </w:p>
    <w:p w14:paraId="654EB71D" w14:textId="77777777" w:rsidR="00B6207C" w:rsidRPr="00584A45" w:rsidRDefault="00B6207C" w:rsidP="00B6207C">
      <w:pPr>
        <w:tabs>
          <w:tab w:val="left" w:leader="dot" w:pos="9072"/>
        </w:tabs>
        <w:ind w:left="567"/>
        <w:rPr>
          <w:noProof/>
        </w:rPr>
      </w:pPr>
      <w:r w:rsidRPr="00584A45">
        <w:rPr>
          <w:noProof/>
        </w:rPr>
        <w:tab/>
      </w:r>
    </w:p>
    <w:p w14:paraId="17D3B817" w14:textId="77777777" w:rsidR="00B6207C" w:rsidRPr="00584A45" w:rsidRDefault="00B6207C" w:rsidP="00B6207C">
      <w:pPr>
        <w:pStyle w:val="ManualNumPar1"/>
        <w:rPr>
          <w:noProof/>
        </w:rPr>
      </w:pPr>
      <w:r w:rsidRPr="00A97060">
        <w:rPr>
          <w:noProof/>
        </w:rPr>
        <w:t>11.</w:t>
      </w:r>
      <w:r w:rsidRPr="00A97060">
        <w:rPr>
          <w:noProof/>
        </w:rPr>
        <w:tab/>
      </w:r>
      <w:r w:rsidRPr="00584A45">
        <w:rPr>
          <w:noProof/>
        </w:rPr>
        <w:t>Giv en detaljeret beskrivelse af skatterne og afgifterne og/eller de skattelignende afgifter, der vil blive reduceret (herunder deres formål, hvordan de opkræves på tværs af grundlaget og de enheder, der er involveret i fastsættelsen og revisionen af satsen samt i opkrævningen og forvaltningen af indtægterne). Påvis på dette grundlag og for at sikre overholdelse af punkt 313 i CEEAG, at den foreslåede foranstaltning ikke indebærer nedsættelser af skatter eller afgifter, der afspejler de væsentlige omkostninger ved levering af energi eller relaterede tjenesteydelser, såsom netafgifter eller afgifter til finansiering af kapacitetsmekanismer. Bekræft derudover, at foranstaltningen ikke omfatter nedsættelser af afgifter på elforbrug, der finansierer et energipolitisk mål.</w:t>
      </w:r>
    </w:p>
    <w:p w14:paraId="304A1B0E" w14:textId="77777777" w:rsidR="00B6207C" w:rsidRPr="00584A45" w:rsidRDefault="00B6207C" w:rsidP="00B6207C">
      <w:pPr>
        <w:tabs>
          <w:tab w:val="left" w:leader="dot" w:pos="9072"/>
        </w:tabs>
        <w:ind w:left="567"/>
        <w:rPr>
          <w:noProof/>
        </w:rPr>
      </w:pPr>
      <w:bookmarkStart w:id="5" w:name="_Hlk172646144"/>
      <w:r w:rsidRPr="00584A45">
        <w:rPr>
          <w:noProof/>
        </w:rPr>
        <w:tab/>
      </w:r>
    </w:p>
    <w:bookmarkEnd w:id="5"/>
    <w:p w14:paraId="25FCB39E" w14:textId="77777777" w:rsidR="00B6207C" w:rsidRPr="00584A45" w:rsidRDefault="00B6207C" w:rsidP="00B6207C">
      <w:pPr>
        <w:pStyle w:val="ManualNumPar1"/>
        <w:rPr>
          <w:noProof/>
        </w:rPr>
      </w:pPr>
      <w:r w:rsidRPr="00A97060">
        <w:rPr>
          <w:noProof/>
        </w:rPr>
        <w:t>12.</w:t>
      </w:r>
      <w:r w:rsidRPr="00A97060">
        <w:rPr>
          <w:noProof/>
        </w:rPr>
        <w:tab/>
      </w:r>
      <w:r w:rsidRPr="00584A45">
        <w:rPr>
          <w:noProof/>
        </w:rPr>
        <w:t>Beskriv de støtteberettigelseskrav, der gælder for støttemodtagerne (f.eks. ved at medtage eventuelle tekniske, miljømæssige (dvs. tilladelser), finansielle (dvs. sikkerhedsstillelse) eller andre krav, som de skal opfylde).</w:t>
      </w:r>
    </w:p>
    <w:p w14:paraId="6A836B78" w14:textId="77777777" w:rsidR="00B6207C" w:rsidRPr="00584A45" w:rsidRDefault="00B6207C" w:rsidP="00B6207C">
      <w:pPr>
        <w:tabs>
          <w:tab w:val="left" w:leader="dot" w:pos="9072"/>
        </w:tabs>
        <w:ind w:left="567"/>
        <w:rPr>
          <w:noProof/>
        </w:rPr>
      </w:pPr>
      <w:r w:rsidRPr="00584A45">
        <w:rPr>
          <w:noProof/>
        </w:rPr>
        <w:tab/>
      </w:r>
    </w:p>
    <w:p w14:paraId="4EBEC7D7" w14:textId="77777777" w:rsidR="00B6207C" w:rsidRPr="00584A45" w:rsidRDefault="00B6207C" w:rsidP="00B6207C">
      <w:pPr>
        <w:pStyle w:val="ManualHeading2"/>
        <w:rPr>
          <w:noProof/>
        </w:rPr>
      </w:pPr>
      <w:r w:rsidRPr="00A97060">
        <w:rPr>
          <w:noProof/>
        </w:rPr>
        <w:t>1.2.</w:t>
      </w:r>
      <w:r w:rsidRPr="00A97060">
        <w:rPr>
          <w:noProof/>
        </w:rPr>
        <w:tab/>
      </w:r>
      <w:r w:rsidRPr="00584A45">
        <w:rPr>
          <w:noProof/>
        </w:rPr>
        <w:t>Tilskyndelsesvirkning</w:t>
      </w:r>
    </w:p>
    <w:p w14:paraId="08055681" w14:textId="77777777" w:rsidR="00B6207C" w:rsidRPr="00584A45" w:rsidRDefault="00B6207C" w:rsidP="00B6207C">
      <w:pPr>
        <w:spacing w:before="360"/>
        <w:rPr>
          <w:i/>
          <w:noProof/>
        </w:rPr>
      </w:pPr>
      <w:r w:rsidRPr="00584A45">
        <w:rPr>
          <w:i/>
          <w:noProof/>
        </w:rPr>
        <w:t xml:space="preserve">Med henblik på angivelsen af oplysningerne i dette afsnit henvises til afsnit 3.1.2, punkt 26-32, og afsnit 4.7.2.3, punkt 315-316, i CEEAG. </w:t>
      </w:r>
    </w:p>
    <w:p w14:paraId="4FD44CB5" w14:textId="77777777" w:rsidR="00B6207C" w:rsidRPr="00584A45" w:rsidRDefault="00B6207C" w:rsidP="00B6207C">
      <w:pPr>
        <w:pStyle w:val="ManualNumPar1"/>
        <w:rPr>
          <w:noProof/>
        </w:rPr>
      </w:pPr>
      <w:r w:rsidRPr="00A97060">
        <w:rPr>
          <w:noProof/>
        </w:rPr>
        <w:t>13.</w:t>
      </w:r>
      <w:r w:rsidRPr="00A97060">
        <w:rPr>
          <w:noProof/>
        </w:rPr>
        <w:tab/>
      </w:r>
      <w:r w:rsidRPr="00584A45">
        <w:rPr>
          <w:noProof/>
        </w:rPr>
        <w:t>Støtte kan kun anses for at fremme en økonomisk aktivitet, hvis den har en tilskyndelsesvirkning. Redegør for, hvordan foranstaltningen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sidRPr="00584A45">
        <w:rPr>
          <w:i/>
          <w:noProof/>
        </w:rPr>
        <w:t xml:space="preserve"> </w:t>
      </w:r>
    </w:p>
    <w:p w14:paraId="1E8F9E49" w14:textId="77777777" w:rsidR="00B6207C" w:rsidRPr="00584A45" w:rsidRDefault="00B6207C" w:rsidP="00B6207C">
      <w:pPr>
        <w:tabs>
          <w:tab w:val="left" w:leader="dot" w:pos="9072"/>
        </w:tabs>
        <w:ind w:left="567"/>
        <w:rPr>
          <w:noProof/>
        </w:rPr>
      </w:pPr>
      <w:r w:rsidRPr="00584A45">
        <w:rPr>
          <w:noProof/>
        </w:rPr>
        <w:tab/>
      </w:r>
    </w:p>
    <w:p w14:paraId="06B82AE5" w14:textId="77777777" w:rsidR="00B6207C" w:rsidRPr="00584A45" w:rsidRDefault="00B6207C" w:rsidP="00B6207C">
      <w:pPr>
        <w:pStyle w:val="ManualNumPar1"/>
        <w:rPr>
          <w:iCs/>
          <w:noProof/>
        </w:rPr>
      </w:pPr>
      <w:r w:rsidRPr="00A97060">
        <w:rPr>
          <w:noProof/>
        </w:rPr>
        <w:t>14.</w:t>
      </w:r>
      <w:r w:rsidRPr="00A97060">
        <w:rPr>
          <w:noProof/>
        </w:rPr>
        <w:tab/>
      </w:r>
      <w:r w:rsidRPr="00584A45">
        <w:rPr>
          <w:noProof/>
        </w:rPr>
        <w:t>I medfør af punkt 28 og 315 i CEEAG:</w:t>
      </w:r>
    </w:p>
    <w:p w14:paraId="62523488" w14:textId="77777777" w:rsidR="00B6207C" w:rsidRPr="00584A45" w:rsidRDefault="00B6207C" w:rsidP="00B6207C">
      <w:pPr>
        <w:pStyle w:val="ManualNumPar2"/>
        <w:rPr>
          <w:noProof/>
        </w:rPr>
      </w:pPr>
      <w:r w:rsidRPr="00A97060">
        <w:rPr>
          <w:noProof/>
        </w:rPr>
        <w:t>14.1.</w:t>
      </w:r>
      <w:r w:rsidRPr="00A97060">
        <w:rPr>
          <w:noProof/>
        </w:rPr>
        <w:tab/>
      </w:r>
      <w:r w:rsidRPr="00584A45">
        <w:rPr>
          <w:noProof/>
        </w:rPr>
        <w:t>Giv en omfattende beskrivelse af det faktiske scenario, der forventes at følge af støtteforanstaltningen, og de sandsynlige kontrafaktiske scenarier uden støtteforanstaltningen</w:t>
      </w:r>
      <w:r w:rsidRPr="00584A45">
        <w:rPr>
          <w:rStyle w:val="FootnoteReference"/>
          <w:noProof/>
        </w:rPr>
        <w:footnoteReference w:id="3"/>
      </w:r>
      <w:r w:rsidRPr="00584A45">
        <w:rPr>
          <w:noProof/>
        </w:rPr>
        <w:t xml:space="preserve">. Forventes det, at forskellige kategorier af støttemodtagere kan modtage støtte, skal det sikres, at det kontrafaktiske scenario er troværdigt for hver af disse kategorier. </w:t>
      </w:r>
    </w:p>
    <w:p w14:paraId="06B63F18" w14:textId="77777777" w:rsidR="00B6207C" w:rsidRPr="00584A45" w:rsidRDefault="00B6207C" w:rsidP="00B6207C">
      <w:pPr>
        <w:pStyle w:val="Text1"/>
        <w:rPr>
          <w:noProof/>
        </w:rPr>
      </w:pPr>
      <w:r w:rsidRPr="00584A45">
        <w:rPr>
          <w:noProof/>
        </w:rPr>
        <w:t xml:space="preserve">Tag hensyn til kravene vedrørende det kontrafaktiske scenario i punkt 165-169 i CEEAG (for projekter og aktiviteter, der hører under afsnit 4.3.1) og 226-230 i CEEAG (for projekter og aktiviteter, der hører under afsnit 4.4 og 4.5), og svar på </w:t>
      </w:r>
      <w:r w:rsidRPr="00584A45">
        <w:rPr>
          <w:noProof/>
        </w:rPr>
        <w:lastRenderedPageBreak/>
        <w:t>spørgsmålene fra det pågældende supplerende informationsskema for punkt 4.3.1, 4.4 eller 4.5.</w:t>
      </w:r>
    </w:p>
    <w:p w14:paraId="189F2E99" w14:textId="77777777" w:rsidR="00B6207C" w:rsidRPr="00584A45" w:rsidRDefault="00B6207C" w:rsidP="00B6207C">
      <w:pPr>
        <w:tabs>
          <w:tab w:val="left" w:leader="dot" w:pos="9072"/>
        </w:tabs>
        <w:ind w:left="567"/>
        <w:rPr>
          <w:noProof/>
        </w:rPr>
      </w:pPr>
      <w:r w:rsidRPr="00584A45">
        <w:rPr>
          <w:noProof/>
        </w:rPr>
        <w:tab/>
      </w:r>
    </w:p>
    <w:p w14:paraId="2DCB63DF" w14:textId="77777777" w:rsidR="00B6207C" w:rsidRPr="00584A45" w:rsidRDefault="00B6207C" w:rsidP="00B6207C">
      <w:pPr>
        <w:pStyle w:val="ManualNumPar2"/>
        <w:rPr>
          <w:noProof/>
        </w:rPr>
      </w:pPr>
      <w:r w:rsidRPr="00A97060">
        <w:rPr>
          <w:noProof/>
        </w:rPr>
        <w:t>14.2.</w:t>
      </w:r>
      <w:r w:rsidRPr="00A97060">
        <w:rPr>
          <w:noProof/>
        </w:rPr>
        <w:tab/>
      </w:r>
      <w:r w:rsidRPr="00584A45">
        <w:rPr>
          <w:noProof/>
        </w:rPr>
        <w:t>Forklar kort begrundelsen for valget af det eller de sandsynlige kontrafaktiske scenarier i lyset af de foreslåede forskellige kategorier af støttemodtagere, hvis det er relevant.</w:t>
      </w:r>
    </w:p>
    <w:p w14:paraId="6EC33601" w14:textId="77777777" w:rsidR="00B6207C" w:rsidRPr="00584A45" w:rsidRDefault="00B6207C" w:rsidP="00B6207C">
      <w:pPr>
        <w:tabs>
          <w:tab w:val="left" w:leader="dot" w:pos="9072"/>
        </w:tabs>
        <w:ind w:left="567"/>
        <w:rPr>
          <w:noProof/>
        </w:rPr>
      </w:pPr>
      <w:r w:rsidRPr="00584A45">
        <w:rPr>
          <w:noProof/>
        </w:rPr>
        <w:tab/>
      </w:r>
    </w:p>
    <w:p w14:paraId="51FBB5F4" w14:textId="77777777" w:rsidR="00B6207C" w:rsidRPr="00584A45" w:rsidRDefault="00B6207C" w:rsidP="00B6207C">
      <w:pPr>
        <w:pStyle w:val="ManualNumPar2"/>
        <w:rPr>
          <w:noProof/>
        </w:rPr>
      </w:pPr>
      <w:bookmarkStart w:id="6" w:name="_Ref172646432"/>
      <w:r w:rsidRPr="00A97060">
        <w:rPr>
          <w:noProof/>
        </w:rPr>
        <w:t>14.3.</w:t>
      </w:r>
      <w:r w:rsidRPr="00A97060">
        <w:rPr>
          <w:noProof/>
        </w:rPr>
        <w:tab/>
      </w:r>
      <w:r w:rsidRPr="00584A45">
        <w:rPr>
          <w:noProof/>
        </w:rPr>
        <w:t>Kvantificer omkostningerne og indtægterne for faktiske og kontrafaktiske scenarier, og begrund adfærdsændringen, hvis det er relevant for hver kategori af støttemodtagere, ved at sammenligne referenceprojektets</w:t>
      </w:r>
      <w:r w:rsidRPr="00584A45">
        <w:rPr>
          <w:rStyle w:val="FootnoteReference"/>
          <w:noProof/>
        </w:rPr>
        <w:footnoteReference w:id="4"/>
      </w:r>
      <w:r w:rsidRPr="00584A45">
        <w:rPr>
          <w:noProof/>
        </w:rPr>
        <w:t xml:space="preserve"> eller referenceaktivitetens rentabilitet med og uden nedsættelsen af skatten eller afgiften eller den skattelignende afgift</w:t>
      </w:r>
      <w:r w:rsidRPr="00584A45">
        <w:rPr>
          <w:rStyle w:val="FootnoteReference"/>
          <w:noProof/>
        </w:rPr>
        <w:footnoteReference w:id="5"/>
      </w:r>
      <w:r w:rsidRPr="00584A45">
        <w:rPr>
          <w:noProof/>
        </w:rPr>
        <w:t>. Dette gøres på følgende grundlag:</w:t>
      </w:r>
      <w:bookmarkEnd w:id="6"/>
    </w:p>
    <w:p w14:paraId="40803991" w14:textId="77777777" w:rsidR="00B6207C" w:rsidRPr="00584A45" w:rsidRDefault="00B6207C" w:rsidP="00B6207C">
      <w:pPr>
        <w:pStyle w:val="Point1"/>
        <w:rPr>
          <w:noProof/>
        </w:rPr>
      </w:pPr>
      <w:r w:rsidRPr="00A97060">
        <w:rPr>
          <w:noProof/>
        </w:rPr>
        <w:t>(a)</w:t>
      </w:r>
      <w:r w:rsidRPr="00A97060">
        <w:rPr>
          <w:noProof/>
        </w:rPr>
        <w:tab/>
      </w:r>
      <w:r w:rsidRPr="00584A45">
        <w:rPr>
          <w:noProof/>
        </w:rPr>
        <w:t>de respektive referenceprojekter, de tilsvarende kontrafaktiske scenarier og det deraf følgende finansieringsbehov</w:t>
      </w:r>
      <w:r w:rsidRPr="00584A45">
        <w:rPr>
          <w:rStyle w:val="FootnoteReference"/>
          <w:noProof/>
        </w:rPr>
        <w:footnoteReference w:id="6"/>
      </w:r>
      <w:r w:rsidRPr="00584A45">
        <w:rPr>
          <w:noProof/>
        </w:rPr>
        <w:t xml:space="preserve">, </w:t>
      </w:r>
    </w:p>
    <w:p w14:paraId="122D470C" w14:textId="77777777" w:rsidR="00B6207C" w:rsidRPr="00584A45" w:rsidRDefault="00B6207C" w:rsidP="00B6207C">
      <w:pPr>
        <w:tabs>
          <w:tab w:val="left" w:leader="dot" w:pos="9072"/>
        </w:tabs>
        <w:ind w:left="567"/>
        <w:rPr>
          <w:noProof/>
        </w:rPr>
      </w:pPr>
      <w:r w:rsidRPr="00584A45">
        <w:rPr>
          <w:noProof/>
        </w:rPr>
        <w:tab/>
      </w:r>
    </w:p>
    <w:p w14:paraId="6E0B42E4" w14:textId="77777777" w:rsidR="00B6207C" w:rsidRPr="00584A45" w:rsidRDefault="00B6207C" w:rsidP="00B6207C">
      <w:pPr>
        <w:pStyle w:val="Text1"/>
        <w:rPr>
          <w:i/>
          <w:iCs/>
          <w:noProof/>
        </w:rPr>
      </w:pPr>
      <w:r w:rsidRPr="00584A45">
        <w:rPr>
          <w:i/>
          <w:noProof/>
        </w:rPr>
        <w:t>ELLER</w:t>
      </w:r>
    </w:p>
    <w:p w14:paraId="4112131F" w14:textId="77777777" w:rsidR="00B6207C" w:rsidRPr="00584A45" w:rsidRDefault="00B6207C" w:rsidP="00B6207C">
      <w:pPr>
        <w:pStyle w:val="Point1"/>
        <w:rPr>
          <w:noProof/>
        </w:rPr>
      </w:pPr>
      <w:r w:rsidRPr="00A97060">
        <w:rPr>
          <w:noProof/>
        </w:rPr>
        <w:t>(b)</w:t>
      </w:r>
      <w:r w:rsidRPr="00A97060">
        <w:rPr>
          <w:noProof/>
        </w:rPr>
        <w:tab/>
      </w:r>
      <w:r w:rsidRPr="00584A45">
        <w:rPr>
          <w:noProof/>
        </w:rPr>
        <w:t>tilsvarende data.</w:t>
      </w:r>
    </w:p>
    <w:p w14:paraId="6D74747C" w14:textId="77777777" w:rsidR="00B6207C" w:rsidRPr="00584A45" w:rsidRDefault="00B6207C" w:rsidP="00B6207C">
      <w:pPr>
        <w:tabs>
          <w:tab w:val="left" w:leader="dot" w:pos="9072"/>
        </w:tabs>
        <w:ind w:left="567"/>
        <w:rPr>
          <w:noProof/>
        </w:rPr>
      </w:pPr>
      <w:r w:rsidRPr="00584A45">
        <w:rPr>
          <w:noProof/>
        </w:rPr>
        <w:tab/>
      </w:r>
    </w:p>
    <w:p w14:paraId="27A5AC4A" w14:textId="77777777" w:rsidR="00B6207C" w:rsidRPr="00584A45" w:rsidRDefault="00B6207C" w:rsidP="00B6207C">
      <w:pPr>
        <w:pStyle w:val="ManualNumPar1"/>
        <w:rPr>
          <w:noProof/>
        </w:rPr>
      </w:pPr>
      <w:r w:rsidRPr="00A97060">
        <w:rPr>
          <w:noProof/>
        </w:rPr>
        <w:t>15.</w:t>
      </w:r>
      <w:r w:rsidRPr="00A97060">
        <w:rPr>
          <w:noProof/>
        </w:rPr>
        <w:tab/>
      </w:r>
      <w:r w:rsidRPr="00584A45">
        <w:rPr>
          <w:noProof/>
        </w:rPr>
        <w:t>Med henblik på at vurdere overholdelsen af punkt 27 i CEEAG skal der angives oplysninger til bekræftelse af, at støtten ikke anvendes til omkostningerne ved en aktivitet, som støttemodtageren under alle omstændigheder ville udføre, eller kompenserer for den normale forretningsmæssige risiko ved en økonomisk aktivitet.</w:t>
      </w:r>
      <w:r w:rsidRPr="00584A45">
        <w:rPr>
          <w:i/>
          <w:noProof/>
        </w:rPr>
        <w:t xml:space="preserve"> </w:t>
      </w:r>
    </w:p>
    <w:p w14:paraId="19CF5473" w14:textId="77777777" w:rsidR="00B6207C" w:rsidRPr="00584A45" w:rsidRDefault="00B6207C" w:rsidP="00B6207C">
      <w:pPr>
        <w:tabs>
          <w:tab w:val="left" w:leader="dot" w:pos="9072"/>
        </w:tabs>
        <w:ind w:left="567"/>
        <w:rPr>
          <w:noProof/>
        </w:rPr>
      </w:pPr>
      <w:bookmarkStart w:id="8" w:name="_Hlk172796407"/>
      <w:r w:rsidRPr="00584A45">
        <w:rPr>
          <w:noProof/>
        </w:rPr>
        <w:tab/>
      </w:r>
    </w:p>
    <w:bookmarkEnd w:id="8"/>
    <w:p w14:paraId="41E770C8" w14:textId="77777777" w:rsidR="00B6207C" w:rsidRPr="00584A45" w:rsidRDefault="00B6207C" w:rsidP="00B6207C">
      <w:pPr>
        <w:pStyle w:val="ManualNumPar1"/>
        <w:rPr>
          <w:noProof/>
        </w:rPr>
      </w:pPr>
      <w:r w:rsidRPr="00A97060">
        <w:rPr>
          <w:noProof/>
        </w:rPr>
        <w:lastRenderedPageBreak/>
        <w:t>16.</w:t>
      </w:r>
      <w:r w:rsidRPr="00A97060">
        <w:rPr>
          <w:noProof/>
        </w:rPr>
        <w:tab/>
      </w:r>
      <w:r w:rsidRPr="00584A45">
        <w:rPr>
          <w:noProof/>
        </w:rPr>
        <w:t xml:space="preserve">For at påvise overensstemmelse med punkt 29, 31 og 316 i CEEAG skal det angives det, om projektet eller aktiviteten allerede er påbegyndt forud for en skriftlig støtteansøgning fra støttemodtageren til de nationale myndigheder. </w:t>
      </w:r>
    </w:p>
    <w:p w14:paraId="66DE7A8D" w14:textId="77777777" w:rsidR="00B6207C" w:rsidRPr="00584A45" w:rsidRDefault="00B6207C" w:rsidP="00B6207C">
      <w:pPr>
        <w:tabs>
          <w:tab w:val="left" w:leader="dot" w:pos="9072"/>
        </w:tabs>
        <w:ind w:left="567"/>
        <w:rPr>
          <w:noProof/>
        </w:rPr>
      </w:pPr>
      <w:r w:rsidRPr="00584A45">
        <w:rPr>
          <w:noProof/>
        </w:rPr>
        <w:tab/>
      </w:r>
    </w:p>
    <w:p w14:paraId="00106185" w14:textId="77777777" w:rsidR="00B6207C" w:rsidRPr="00584A45" w:rsidRDefault="00B6207C" w:rsidP="00B6207C">
      <w:pPr>
        <w:pStyle w:val="ManualNumPar1"/>
        <w:rPr>
          <w:noProof/>
        </w:rPr>
      </w:pPr>
      <w:r w:rsidRPr="00A97060">
        <w:rPr>
          <w:noProof/>
        </w:rPr>
        <w:t>17.</w:t>
      </w:r>
      <w:r w:rsidRPr="00A97060">
        <w:rPr>
          <w:noProof/>
        </w:rPr>
        <w:tab/>
      </w:r>
      <w:r w:rsidRPr="00584A45">
        <w:rPr>
          <w:noProof/>
        </w:rPr>
        <w:t>For projekter eller aktiviteter, der blev påbegyndt, inden støtteansøgningen blev indgivet:</w:t>
      </w:r>
    </w:p>
    <w:p w14:paraId="0F79ED2F" w14:textId="77777777" w:rsidR="00B6207C" w:rsidRPr="00584A45" w:rsidRDefault="00B6207C" w:rsidP="00B6207C">
      <w:pPr>
        <w:pStyle w:val="Point1"/>
        <w:rPr>
          <w:noProof/>
        </w:rPr>
      </w:pPr>
      <w:r w:rsidRPr="00A97060">
        <w:rPr>
          <w:noProof/>
        </w:rPr>
        <w:t>(a)</w:t>
      </w:r>
      <w:r w:rsidRPr="00A97060">
        <w:rPr>
          <w:noProof/>
        </w:rPr>
        <w:tab/>
      </w:r>
      <w:r w:rsidRPr="00584A45">
        <w:rPr>
          <w:noProof/>
        </w:rPr>
        <w:t>bekræft, at foranstaltningen giver ret til støtte i overensstemmelse med objektive og ikkediskriminerende kriterier og uden yderligere udøvelse af medlemsstatens skøn, og at foranstaltningen er vedtaget og er trådt i kraft, inden arbejdet med det projekt eller den aktivitet, hvortil der ydes støtte, er påbegyndt</w:t>
      </w:r>
    </w:p>
    <w:p w14:paraId="538CCA96" w14:textId="77777777" w:rsidR="00B6207C" w:rsidRPr="00584A45" w:rsidRDefault="00B6207C" w:rsidP="00B6207C">
      <w:pPr>
        <w:pStyle w:val="Text1"/>
        <w:rPr>
          <w:i/>
          <w:iCs/>
          <w:noProof/>
        </w:rPr>
      </w:pPr>
      <w:r w:rsidRPr="00584A45">
        <w:rPr>
          <w:i/>
          <w:noProof/>
        </w:rPr>
        <w:t>ELLER</w:t>
      </w:r>
    </w:p>
    <w:p w14:paraId="5B44D1EC" w14:textId="77777777" w:rsidR="00B6207C" w:rsidRPr="00584A45" w:rsidRDefault="00B6207C" w:rsidP="00B6207C">
      <w:pPr>
        <w:pStyle w:val="Point1"/>
        <w:rPr>
          <w:noProof/>
        </w:rPr>
      </w:pPr>
      <w:r w:rsidRPr="00A97060">
        <w:rPr>
          <w:noProof/>
        </w:rPr>
        <w:t>(b)</w:t>
      </w:r>
      <w:r w:rsidRPr="00A97060">
        <w:rPr>
          <w:noProof/>
        </w:rPr>
        <w:tab/>
      </w:r>
      <w:r w:rsidRPr="00584A45">
        <w:rPr>
          <w:noProof/>
        </w:rPr>
        <w:t>bekræft, hvis projektet eller aktiviteten allerede er påbegyndt forud for en skriftlig støtteansøgning og inden foranstaltningens vedtagelse og/eller ikrafttræden, at projektet eller aktiviteten allerede var omfattet af en tidligere lignende ordning i form af skattefordele eller skattelignende fordele</w:t>
      </w:r>
    </w:p>
    <w:p w14:paraId="7A3634E8" w14:textId="77777777" w:rsidR="00B6207C" w:rsidRPr="00584A45" w:rsidRDefault="00B6207C" w:rsidP="00B6207C">
      <w:pPr>
        <w:pStyle w:val="Text1"/>
        <w:rPr>
          <w:i/>
          <w:iCs/>
          <w:noProof/>
        </w:rPr>
      </w:pPr>
      <w:r w:rsidRPr="00584A45">
        <w:rPr>
          <w:i/>
          <w:noProof/>
        </w:rPr>
        <w:t>ELLER</w:t>
      </w:r>
    </w:p>
    <w:p w14:paraId="0C9890E2" w14:textId="77777777" w:rsidR="00B6207C" w:rsidRPr="00584A45" w:rsidRDefault="00B6207C" w:rsidP="00B6207C">
      <w:pPr>
        <w:pStyle w:val="Point1"/>
        <w:rPr>
          <w:noProof/>
        </w:rPr>
      </w:pPr>
      <w:r w:rsidRPr="00A97060">
        <w:rPr>
          <w:noProof/>
        </w:rPr>
        <w:t>(c)</w:t>
      </w:r>
      <w:r w:rsidRPr="00A97060">
        <w:rPr>
          <w:noProof/>
        </w:rPr>
        <w:tab/>
      </w:r>
      <w:r w:rsidRPr="00584A45">
        <w:rPr>
          <w:noProof/>
        </w:rPr>
        <w:t xml:space="preserve">påvis, at projektet falder ind under et af de undtagelsestilfælde, der er omhandlet i punkt 31, litra b) eller c), i CEEAG. </w:t>
      </w:r>
    </w:p>
    <w:p w14:paraId="53FAF775" w14:textId="77777777" w:rsidR="00B6207C" w:rsidRPr="00584A45" w:rsidRDefault="00B6207C" w:rsidP="00B6207C">
      <w:pPr>
        <w:tabs>
          <w:tab w:val="left" w:leader="dot" w:pos="9072"/>
        </w:tabs>
        <w:ind w:left="567"/>
        <w:rPr>
          <w:noProof/>
        </w:rPr>
      </w:pPr>
      <w:bookmarkStart w:id="9" w:name="_Hlk172645191"/>
      <w:r w:rsidRPr="00584A45">
        <w:rPr>
          <w:noProof/>
        </w:rPr>
        <w:tab/>
      </w:r>
    </w:p>
    <w:bookmarkEnd w:id="9"/>
    <w:p w14:paraId="5DF416AC" w14:textId="77777777" w:rsidR="00B6207C" w:rsidRPr="00584A45" w:rsidRDefault="00B6207C" w:rsidP="00B6207C">
      <w:pPr>
        <w:pStyle w:val="ManualNumPar1"/>
        <w:rPr>
          <w:noProof/>
        </w:rPr>
      </w:pPr>
      <w:r w:rsidRPr="00A97060">
        <w:rPr>
          <w:noProof/>
        </w:rPr>
        <w:t>18.</w:t>
      </w:r>
      <w:r w:rsidRPr="00A97060">
        <w:rPr>
          <w:noProof/>
        </w:rPr>
        <w:tab/>
      </w:r>
      <w:r w:rsidRPr="00584A45">
        <w:rPr>
          <w:noProof/>
        </w:rP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7816B626" w14:textId="77777777" w:rsidR="00B6207C" w:rsidRPr="00584A45" w:rsidRDefault="00B6207C" w:rsidP="00B6207C">
      <w:pPr>
        <w:tabs>
          <w:tab w:val="left" w:leader="dot" w:pos="9072"/>
        </w:tabs>
        <w:ind w:left="567"/>
        <w:rPr>
          <w:noProof/>
        </w:rPr>
      </w:pPr>
      <w:r w:rsidRPr="00584A45">
        <w:rPr>
          <w:noProof/>
        </w:rPr>
        <w:tab/>
      </w:r>
    </w:p>
    <w:p w14:paraId="1A56BEB4" w14:textId="77777777" w:rsidR="00B6207C" w:rsidRPr="00584A45" w:rsidRDefault="00B6207C" w:rsidP="00B6207C">
      <w:pPr>
        <w:pStyle w:val="ManualNumPar1"/>
        <w:rPr>
          <w:noProof/>
        </w:rPr>
      </w:pPr>
      <w:r w:rsidRPr="00A97060">
        <w:rPr>
          <w:noProof/>
        </w:rPr>
        <w:t>19.</w:t>
      </w:r>
      <w:r w:rsidRPr="00A97060">
        <w:rPr>
          <w:noProof/>
        </w:rPr>
        <w:tab/>
      </w:r>
      <w:r w:rsidRPr="00584A45">
        <w:rPr>
          <w:noProof/>
        </w:rPr>
        <w:t>Med henblik på at påvise overholdelsen af punkt 32 i CEEAG:</w:t>
      </w:r>
    </w:p>
    <w:p w14:paraId="0CDEAC47" w14:textId="77777777" w:rsidR="00B6207C" w:rsidRPr="00584A45" w:rsidRDefault="00B6207C" w:rsidP="00B6207C">
      <w:pPr>
        <w:pStyle w:val="Point1"/>
        <w:rPr>
          <w:noProof/>
        </w:rPr>
      </w:pPr>
      <w:r w:rsidRPr="00A97060">
        <w:rPr>
          <w:noProof/>
        </w:rPr>
        <w:t>(a)</w:t>
      </w:r>
      <w:r w:rsidRPr="00A97060">
        <w:rPr>
          <w:noProof/>
        </w:rPr>
        <w:tab/>
      </w:r>
      <w:r w:rsidRPr="00584A45">
        <w:rPr>
          <w:noProof/>
        </w:rPr>
        <w:t>Angiv, om der findes EU-standarder</w:t>
      </w:r>
      <w:r w:rsidRPr="00584A45">
        <w:rPr>
          <w:rStyle w:val="FootnoteReference"/>
          <w:noProof/>
          <w:lang w:eastAsia="en-GB"/>
        </w:rPr>
        <w:footnoteReference w:id="7"/>
      </w:r>
      <w:r w:rsidRPr="00584A45">
        <w:rPr>
          <w:noProof/>
        </w:rPr>
        <w:t>, der finder anvendelse på den anmeldte foranstaltning, obligatoriske nationale standarder, der er strengere eller mere ambitiøse end de tilsvarende EU-standarder, eller obligatoriske nationale standarder, som er vedtaget i fravær af EU-standarder.</w:t>
      </w:r>
    </w:p>
    <w:p w14:paraId="5583CBB3" w14:textId="77777777" w:rsidR="00B6207C" w:rsidRPr="00584A45" w:rsidRDefault="00B6207C" w:rsidP="00B6207C">
      <w:pPr>
        <w:pStyle w:val="Text2"/>
        <w:rPr>
          <w:noProof/>
        </w:rPr>
      </w:pPr>
      <w:r w:rsidRPr="00584A45">
        <w:rPr>
          <w:noProof/>
        </w:rPr>
        <w:t xml:space="preserve">Fremlæg i den forbindelse oplysninger til påvisning af tilskyndelsesvirkningen.  </w:t>
      </w:r>
    </w:p>
    <w:p w14:paraId="3C2A7CCD" w14:textId="77777777" w:rsidR="00B6207C" w:rsidRPr="00584A45" w:rsidRDefault="00B6207C" w:rsidP="00B6207C">
      <w:pPr>
        <w:tabs>
          <w:tab w:val="left" w:leader="dot" w:pos="9072"/>
        </w:tabs>
        <w:ind w:left="567"/>
        <w:rPr>
          <w:noProof/>
        </w:rPr>
      </w:pPr>
      <w:bookmarkStart w:id="10" w:name="_Hlk176942272"/>
      <w:r w:rsidRPr="00584A45">
        <w:rPr>
          <w:noProof/>
        </w:rPr>
        <w:tab/>
      </w:r>
    </w:p>
    <w:bookmarkEnd w:id="10"/>
    <w:p w14:paraId="45029818" w14:textId="77777777" w:rsidR="00B6207C" w:rsidRPr="00584A45" w:rsidRDefault="00B6207C" w:rsidP="00B6207C">
      <w:pPr>
        <w:pStyle w:val="Point1"/>
        <w:rPr>
          <w:noProof/>
        </w:rPr>
      </w:pPr>
      <w:r w:rsidRPr="00A97060">
        <w:rPr>
          <w:noProof/>
        </w:rPr>
        <w:lastRenderedPageBreak/>
        <w:t>(b)</w:t>
      </w:r>
      <w:r w:rsidRPr="00A97060">
        <w:rPr>
          <w:noProof/>
        </w:rPr>
        <w:tab/>
      </w:r>
      <w:r w:rsidRPr="00584A45">
        <w:rPr>
          <w:noProof/>
        </w:rPr>
        <w:t>Når den relevante EU-standard allerede er vedtaget, men endnu ikke er trådt i kraft, skal det påvises, at støtten har en tilskyndelsesvirkning, fordi den tilskynder til, at investeringen gennemføres og afsluttes mindst 18 måneder før, at standarden træder i kraft.</w:t>
      </w:r>
    </w:p>
    <w:p w14:paraId="0F919F79" w14:textId="77777777" w:rsidR="00B6207C" w:rsidRPr="00584A45" w:rsidRDefault="00B6207C" w:rsidP="00B6207C">
      <w:pPr>
        <w:tabs>
          <w:tab w:val="left" w:leader="dot" w:pos="9072"/>
        </w:tabs>
        <w:ind w:left="567"/>
        <w:rPr>
          <w:noProof/>
        </w:rPr>
      </w:pPr>
      <w:r w:rsidRPr="00584A45">
        <w:rPr>
          <w:noProof/>
        </w:rPr>
        <w:tab/>
      </w:r>
    </w:p>
    <w:p w14:paraId="609F94C2" w14:textId="77777777" w:rsidR="00B6207C" w:rsidRPr="00584A45" w:rsidRDefault="00B6207C" w:rsidP="00B6207C">
      <w:pPr>
        <w:pStyle w:val="Point1"/>
        <w:rPr>
          <w:iCs/>
          <w:noProof/>
        </w:rPr>
      </w:pPr>
      <w:r w:rsidRPr="00A97060">
        <w:rPr>
          <w:noProof/>
        </w:rPr>
        <w:t>(c)</w:t>
      </w:r>
      <w:r w:rsidRPr="00A97060">
        <w:rPr>
          <w:noProof/>
        </w:rPr>
        <w:tab/>
      </w:r>
      <w:r w:rsidRPr="00584A45">
        <w:rPr>
          <w:noProof/>
        </w:rPr>
        <w:t>Forklar for de projekter og aktiviteter, der er omfattet af afsnit 4.2, om projekter med en tilbagebetalingsperiode</w:t>
      </w:r>
      <w:r w:rsidRPr="00584A45">
        <w:rPr>
          <w:rStyle w:val="FootnoteReference"/>
          <w:noProof/>
        </w:rPr>
        <w:footnoteReference w:id="8"/>
      </w:r>
      <w:r w:rsidRPr="00584A45">
        <w:rPr>
          <w:noProof/>
        </w:rPr>
        <w:t xml:space="preserve"> på under fem år er støtteberettigede inden for rammerne af foranstaltningen. Fremlæg i bekræftende fald dokumentation for, at der er behov for støtten for at udløse en adfærdsændring, jf. punkt 142 i CEEAG. </w:t>
      </w:r>
    </w:p>
    <w:p w14:paraId="651AD255" w14:textId="77777777" w:rsidR="00B6207C" w:rsidRPr="00584A45" w:rsidRDefault="00B6207C" w:rsidP="00B6207C">
      <w:pPr>
        <w:tabs>
          <w:tab w:val="left" w:leader="dot" w:pos="9072"/>
        </w:tabs>
        <w:ind w:left="567"/>
        <w:rPr>
          <w:noProof/>
        </w:rPr>
      </w:pPr>
      <w:r w:rsidRPr="00584A45">
        <w:rPr>
          <w:noProof/>
        </w:rPr>
        <w:tab/>
      </w:r>
    </w:p>
    <w:p w14:paraId="5103EA62" w14:textId="77777777" w:rsidR="00B6207C" w:rsidRPr="00584A45" w:rsidRDefault="00B6207C" w:rsidP="00B6207C">
      <w:pPr>
        <w:pStyle w:val="ManualHeading2"/>
        <w:rPr>
          <w:noProof/>
        </w:rPr>
      </w:pPr>
      <w:r w:rsidRPr="00A97060">
        <w:rPr>
          <w:noProof/>
        </w:rPr>
        <w:t>1.3.</w:t>
      </w:r>
      <w:r w:rsidRPr="00A97060">
        <w:rPr>
          <w:noProof/>
        </w:rPr>
        <w:tab/>
      </w:r>
      <w:r w:rsidRPr="00584A45">
        <w:rPr>
          <w:noProof/>
        </w:rPr>
        <w:t>Ingen overtrædelse af relevante EU-retlige bestemmelser</w:t>
      </w:r>
    </w:p>
    <w:p w14:paraId="1E4393D6" w14:textId="77777777" w:rsidR="00B6207C" w:rsidRPr="00584A45" w:rsidRDefault="00B6207C" w:rsidP="00B6207C">
      <w:pPr>
        <w:spacing w:before="360"/>
        <w:rPr>
          <w:i/>
          <w:noProof/>
        </w:rPr>
      </w:pPr>
      <w:r w:rsidRPr="00584A45">
        <w:rPr>
          <w:i/>
          <w:noProof/>
        </w:rPr>
        <w:t xml:space="preserve">Med henblik på angivelsen af oplysningerne i dette afsnit henvises til afsnit 3.1.3, punkt 33, i CEEAG. </w:t>
      </w:r>
    </w:p>
    <w:p w14:paraId="218B313E" w14:textId="77777777" w:rsidR="00B6207C" w:rsidRPr="00584A45" w:rsidRDefault="00B6207C" w:rsidP="00B6207C">
      <w:pPr>
        <w:pStyle w:val="ManualNumPar1"/>
        <w:rPr>
          <w:noProof/>
        </w:rPr>
      </w:pPr>
      <w:r w:rsidRPr="00A97060">
        <w:rPr>
          <w:noProof/>
        </w:rPr>
        <w:t>20.</w:t>
      </w:r>
      <w:r w:rsidRPr="00A97060">
        <w:rPr>
          <w:noProof/>
        </w:rPr>
        <w:tab/>
      </w:r>
      <w:r w:rsidRPr="00584A45">
        <w:rPr>
          <w:noProof/>
        </w:rPr>
        <w:t>Angiv oplysninger til bekræftelse af overholdelsen af de relevante bestemmelser i EU-retten i overensstemmelse med punkt 33 i CEEAG.</w:t>
      </w:r>
    </w:p>
    <w:p w14:paraId="73ECC959" w14:textId="77777777" w:rsidR="00B6207C" w:rsidRPr="00584A45" w:rsidRDefault="00B6207C" w:rsidP="00B6207C">
      <w:pPr>
        <w:tabs>
          <w:tab w:val="left" w:leader="dot" w:pos="9072"/>
        </w:tabs>
        <w:ind w:left="567"/>
        <w:rPr>
          <w:noProof/>
          <w:color w:val="000000"/>
        </w:rPr>
      </w:pPr>
      <w:r w:rsidRPr="00584A45">
        <w:rPr>
          <w:noProof/>
          <w:color w:val="000000"/>
        </w:rPr>
        <w:tab/>
      </w:r>
    </w:p>
    <w:p w14:paraId="5DF55384" w14:textId="77777777" w:rsidR="00B6207C" w:rsidRPr="00584A45" w:rsidRDefault="00B6207C" w:rsidP="00B6207C">
      <w:pPr>
        <w:pStyle w:val="ManualNumPar1"/>
        <w:rPr>
          <w:noProof/>
          <w:color w:val="000000"/>
        </w:rPr>
      </w:pPr>
      <w:r w:rsidRPr="00A97060">
        <w:rPr>
          <w:noProof/>
        </w:rPr>
        <w:t>21.</w:t>
      </w:r>
      <w:r w:rsidRPr="00A97060">
        <w:rPr>
          <w:noProof/>
        </w:rPr>
        <w:tab/>
      </w:r>
      <w:r w:rsidRPr="00584A45">
        <w:rPr>
          <w:noProof/>
        </w:rPr>
        <w:t xml:space="preserve">Hvis en afgift anvendes til at </w:t>
      </w:r>
      <w:r w:rsidRPr="00584A45">
        <w:rPr>
          <w:noProof/>
          <w:u w:val="single"/>
        </w:rPr>
        <w:t>finansiere</w:t>
      </w:r>
      <w:r w:rsidRPr="00584A45">
        <w:rPr>
          <w:noProof/>
        </w:rPr>
        <w:t xml:space="preserve"> foranstaltningen, skal det præciseres, om det er nødvendigt at foretage en vurdering af overholdelsen af artikel 30 og 110 i traktaten. Påvis i bekræftende fald, hvordan foranstaltningen er i overensstemmelse med bestemmelserne i artikel 30 og 110 i traktaten.</w:t>
      </w:r>
      <w:r w:rsidRPr="00584A45">
        <w:rPr>
          <w:i/>
          <w:noProof/>
        </w:rPr>
        <w:t xml:space="preserve"> </w:t>
      </w:r>
      <w:r w:rsidRPr="00584A45">
        <w:rPr>
          <w:noProof/>
        </w:rPr>
        <w:t>I den forbindelse kan der henvises til de oplysninger, der er fremlagt ovenfor under spørgsmål 5.2, såfremt den anmeldte foranstaltning finansieres gennem en afgift.</w:t>
      </w:r>
    </w:p>
    <w:p w14:paraId="2791D648" w14:textId="77777777" w:rsidR="00B6207C" w:rsidRPr="00584A45" w:rsidRDefault="00B6207C" w:rsidP="00B6207C">
      <w:pPr>
        <w:tabs>
          <w:tab w:val="left" w:leader="dot" w:pos="9072"/>
        </w:tabs>
        <w:ind w:left="567"/>
        <w:rPr>
          <w:noProof/>
          <w:color w:val="000000"/>
        </w:rPr>
      </w:pPr>
      <w:r w:rsidRPr="00584A45">
        <w:rPr>
          <w:noProof/>
          <w:color w:val="000000"/>
        </w:rPr>
        <w:tab/>
      </w:r>
    </w:p>
    <w:p w14:paraId="20D64E24" w14:textId="77777777" w:rsidR="00B6207C" w:rsidRPr="00584A45" w:rsidRDefault="00B6207C" w:rsidP="00B6207C">
      <w:pPr>
        <w:pStyle w:val="ManualHeading1"/>
        <w:rPr>
          <w:noProof/>
        </w:rPr>
      </w:pPr>
      <w:r w:rsidRPr="00A97060">
        <w:rPr>
          <w:noProof/>
        </w:rPr>
        <w:t>2.</w:t>
      </w:r>
      <w:r w:rsidRPr="00A97060">
        <w:rPr>
          <w:noProof/>
        </w:rPr>
        <w:tab/>
      </w:r>
      <w:r w:rsidRPr="00584A45">
        <w:rPr>
          <w:noProof/>
        </w:rPr>
        <w:t>Negativ betingelse: Støtten påvirker ikke samhandelsvilkårene på en måde, der strider mod den fælles interesse</w:t>
      </w:r>
    </w:p>
    <w:p w14:paraId="58808794" w14:textId="77777777" w:rsidR="00B6207C" w:rsidRPr="00584A45" w:rsidRDefault="00B6207C" w:rsidP="00B6207C">
      <w:pPr>
        <w:pStyle w:val="ManualHeading2"/>
        <w:rPr>
          <w:noProof/>
        </w:rPr>
      </w:pPr>
      <w:r w:rsidRPr="00A97060">
        <w:rPr>
          <w:noProof/>
        </w:rPr>
        <w:t>2.1.</w:t>
      </w:r>
      <w:r w:rsidRPr="00A97060">
        <w:rPr>
          <w:noProof/>
        </w:rPr>
        <w:tab/>
      </w:r>
      <w:r w:rsidRPr="00584A45">
        <w:rPr>
          <w:noProof/>
        </w:rPr>
        <w:t>Minimering af konkurrence- og samhandelsfordrejninger</w:t>
      </w:r>
    </w:p>
    <w:p w14:paraId="55DE2410" w14:textId="77777777" w:rsidR="00B6207C" w:rsidRPr="00584A45" w:rsidRDefault="00B6207C" w:rsidP="00B6207C">
      <w:pPr>
        <w:pStyle w:val="ManualHeading3"/>
        <w:rPr>
          <w:noProof/>
        </w:rPr>
      </w:pPr>
      <w:r w:rsidRPr="00A97060">
        <w:rPr>
          <w:noProof/>
        </w:rPr>
        <w:t>2.1.1.</w:t>
      </w:r>
      <w:r w:rsidRPr="00A97060">
        <w:rPr>
          <w:noProof/>
        </w:rPr>
        <w:tab/>
      </w:r>
      <w:r w:rsidRPr="00584A45">
        <w:rPr>
          <w:noProof/>
        </w:rPr>
        <w:t>Støttens nødvendighed</w:t>
      </w:r>
    </w:p>
    <w:p w14:paraId="461A57D9" w14:textId="77777777" w:rsidR="00B6207C" w:rsidRPr="00584A45" w:rsidRDefault="00B6207C" w:rsidP="00B6207C">
      <w:pPr>
        <w:spacing w:before="360"/>
        <w:rPr>
          <w:i/>
          <w:noProof/>
          <w:color w:val="000000"/>
        </w:rPr>
      </w:pPr>
      <w:r w:rsidRPr="00584A45">
        <w:rPr>
          <w:i/>
          <w:noProof/>
        </w:rPr>
        <w:t>Med henblik på angivelsen af oplysningerne i dette afsnit henvises til afsnit 3.2.1.1, punkt 34-38, i CEEAG.</w:t>
      </w:r>
      <w:r w:rsidRPr="00584A45">
        <w:rPr>
          <w:i/>
          <w:noProof/>
          <w:color w:val="000000"/>
        </w:rPr>
        <w:t xml:space="preserve"> </w:t>
      </w:r>
    </w:p>
    <w:p w14:paraId="7BA8F818" w14:textId="77777777" w:rsidR="00B6207C" w:rsidRPr="00584A45" w:rsidRDefault="00B6207C" w:rsidP="00B6207C">
      <w:pPr>
        <w:pStyle w:val="ManualNumPar1"/>
        <w:rPr>
          <w:noProof/>
        </w:rPr>
      </w:pPr>
      <w:r w:rsidRPr="00A97060">
        <w:rPr>
          <w:noProof/>
        </w:rPr>
        <w:t>22.</w:t>
      </w:r>
      <w:r w:rsidRPr="00A97060">
        <w:rPr>
          <w:noProof/>
        </w:rPr>
        <w:tab/>
      </w:r>
      <w:r w:rsidRPr="00584A45">
        <w:rPr>
          <w:noProof/>
        </w:rPr>
        <w:t>Beskriv de markedssvigt, jeres myndigheder har konstateret, som forhindrer opnåelsen af et tilstrækkeligt miljøbeskyttelsesniveau. Angiv, i hvilken kategori de konstaterede markedssvigt falder, via henvisning til punkt 34, litra a), b), c) eller d), i CEEAG.</w:t>
      </w:r>
    </w:p>
    <w:p w14:paraId="1C42AFE0" w14:textId="77777777" w:rsidR="00B6207C" w:rsidRPr="00584A45" w:rsidRDefault="00B6207C" w:rsidP="00B6207C">
      <w:pPr>
        <w:tabs>
          <w:tab w:val="left" w:leader="dot" w:pos="9072"/>
        </w:tabs>
        <w:ind w:left="567"/>
        <w:rPr>
          <w:noProof/>
        </w:rPr>
      </w:pPr>
      <w:r w:rsidRPr="00584A45">
        <w:rPr>
          <w:noProof/>
        </w:rPr>
        <w:tab/>
      </w:r>
    </w:p>
    <w:p w14:paraId="4561E14B" w14:textId="77777777" w:rsidR="00B6207C" w:rsidRPr="00584A45" w:rsidRDefault="00B6207C" w:rsidP="00B6207C">
      <w:pPr>
        <w:pStyle w:val="ManualNumPar1"/>
        <w:rPr>
          <w:noProof/>
        </w:rPr>
      </w:pPr>
      <w:r w:rsidRPr="00A97060">
        <w:rPr>
          <w:noProof/>
        </w:rPr>
        <w:t>23.</w:t>
      </w:r>
      <w:r w:rsidRPr="00A97060">
        <w:rPr>
          <w:noProof/>
        </w:rPr>
        <w:tab/>
      </w:r>
      <w:r w:rsidRPr="00584A45">
        <w:rPr>
          <w:noProof/>
        </w:rPr>
        <w:t>Angiv oplysninger vedrørende jeres myndigheders afgrænsning af eventuelle eksisterende politikker og foranstaltninger, der allerede er rettet mod de konstaterede regulerings- eller markedssvigt, jf. punkt 35 i CEEAG.</w:t>
      </w:r>
    </w:p>
    <w:p w14:paraId="570CC792" w14:textId="77777777" w:rsidR="00B6207C" w:rsidRPr="00584A45" w:rsidRDefault="00B6207C" w:rsidP="00B6207C">
      <w:pPr>
        <w:tabs>
          <w:tab w:val="left" w:leader="dot" w:pos="9072"/>
        </w:tabs>
        <w:ind w:left="567"/>
        <w:rPr>
          <w:noProof/>
        </w:rPr>
      </w:pPr>
      <w:r w:rsidRPr="00584A45">
        <w:rPr>
          <w:noProof/>
        </w:rPr>
        <w:lastRenderedPageBreak/>
        <w:tab/>
      </w:r>
    </w:p>
    <w:p w14:paraId="20511744" w14:textId="77777777" w:rsidR="00B6207C" w:rsidRPr="00584A45" w:rsidRDefault="00B6207C" w:rsidP="00B6207C">
      <w:pPr>
        <w:pStyle w:val="ManualNumPar1"/>
        <w:rPr>
          <w:noProof/>
        </w:rPr>
      </w:pPr>
      <w:r w:rsidRPr="00A97060">
        <w:rPr>
          <w:noProof/>
        </w:rPr>
        <w:t>24.</w:t>
      </w:r>
      <w:r w:rsidRPr="00A97060">
        <w:rPr>
          <w:noProof/>
        </w:rPr>
        <w:tab/>
      </w:r>
      <w:r w:rsidRPr="00584A45">
        <w:rPr>
          <w:noProof/>
        </w:rPr>
        <w:t xml:space="preserve">Påvis overholdelse af punkt 36 i CEEAG ved at angive oplysninger, som viser, at støtten effektivt tager sigte på resterende markedssvigt, også under hensyntagen til eventuelle andre politikker og foranstaltninger, der allerede er iværksat for at afhjælpe nogle af de konstaterede markedssvigt. </w:t>
      </w:r>
    </w:p>
    <w:p w14:paraId="61F63C68" w14:textId="77777777" w:rsidR="00B6207C" w:rsidRPr="00584A45" w:rsidRDefault="00B6207C" w:rsidP="00B6207C">
      <w:pPr>
        <w:tabs>
          <w:tab w:val="left" w:leader="dot" w:pos="9072"/>
        </w:tabs>
        <w:ind w:left="567"/>
        <w:rPr>
          <w:noProof/>
        </w:rPr>
      </w:pPr>
      <w:r w:rsidRPr="00584A45">
        <w:rPr>
          <w:noProof/>
        </w:rPr>
        <w:tab/>
      </w:r>
    </w:p>
    <w:p w14:paraId="3E783E2B" w14:textId="77777777" w:rsidR="00B6207C" w:rsidRPr="00584A45" w:rsidRDefault="00B6207C" w:rsidP="00B6207C">
      <w:pPr>
        <w:pStyle w:val="ManualNumPar1"/>
        <w:rPr>
          <w:noProof/>
        </w:rPr>
      </w:pPr>
      <w:r w:rsidRPr="00A97060">
        <w:rPr>
          <w:noProof/>
        </w:rPr>
        <w:t>25.</w:t>
      </w:r>
      <w:r w:rsidRPr="00A97060">
        <w:rPr>
          <w:noProof/>
        </w:rPr>
        <w:tab/>
      </w:r>
      <w:r w:rsidRPr="00584A45">
        <w:rPr>
          <w:noProof/>
        </w:rPr>
        <w:t>Påvis overholdelse af punkt 37 i CEEAG ved at forklare, om jeres myndigheder har kendskab til, at projekter eller aktiviteter, der svarer til dem, der er omfattet af den anmeldte foranstaltning, med hensyn til deres teknologiske indhold, risikoniveau og størrelse, allerede er blevet leveret i Unionen på markedsvilkår. Fremlæg i bekræftende fald yderligere dokumentation, for at påvise at der er behov for statsstøtte.</w:t>
      </w:r>
    </w:p>
    <w:p w14:paraId="25F5D00A" w14:textId="77777777" w:rsidR="00B6207C" w:rsidRPr="00584A45" w:rsidRDefault="00B6207C" w:rsidP="00B6207C">
      <w:pPr>
        <w:tabs>
          <w:tab w:val="left" w:leader="dot" w:pos="9072"/>
        </w:tabs>
        <w:ind w:left="567"/>
        <w:rPr>
          <w:noProof/>
        </w:rPr>
      </w:pPr>
      <w:r w:rsidRPr="00584A45">
        <w:rPr>
          <w:noProof/>
        </w:rPr>
        <w:tab/>
      </w:r>
    </w:p>
    <w:p w14:paraId="623ACFFF" w14:textId="77777777" w:rsidR="00B6207C" w:rsidRPr="00584A45" w:rsidRDefault="00B6207C" w:rsidP="00B6207C">
      <w:pPr>
        <w:pStyle w:val="ManualNumPar1"/>
        <w:rPr>
          <w:noProof/>
        </w:rPr>
      </w:pPr>
      <w:r w:rsidRPr="00A97060">
        <w:rPr>
          <w:noProof/>
        </w:rPr>
        <w:t>26.</w:t>
      </w:r>
      <w:r w:rsidRPr="00A97060">
        <w:rPr>
          <w:noProof/>
        </w:rPr>
        <w:tab/>
      </w:r>
      <w:r w:rsidRPr="00584A45">
        <w:rPr>
          <w:noProof/>
        </w:rPr>
        <w:t xml:space="preserve">Påvis overholdelse af punkt 38 i CEEAG ved at henvise til den kvantitative dokumentation, der allerede er fremlagt under spørgsmål 14, litra c), ovenfor. </w:t>
      </w:r>
    </w:p>
    <w:p w14:paraId="054A449B" w14:textId="77777777" w:rsidR="00B6207C" w:rsidRPr="00584A45" w:rsidRDefault="00B6207C" w:rsidP="00B6207C">
      <w:pPr>
        <w:tabs>
          <w:tab w:val="left" w:leader="dot" w:pos="9072"/>
        </w:tabs>
        <w:ind w:left="360"/>
        <w:rPr>
          <w:noProof/>
        </w:rPr>
      </w:pPr>
      <w:r w:rsidRPr="00584A45">
        <w:rPr>
          <w:noProof/>
        </w:rPr>
        <w:tab/>
      </w:r>
    </w:p>
    <w:p w14:paraId="0D368F0E" w14:textId="77777777" w:rsidR="00B6207C" w:rsidRPr="00584A45" w:rsidRDefault="00B6207C" w:rsidP="00B6207C">
      <w:pPr>
        <w:pStyle w:val="ManualHeading3"/>
        <w:rPr>
          <w:noProof/>
        </w:rPr>
      </w:pPr>
      <w:r w:rsidRPr="00A97060">
        <w:rPr>
          <w:noProof/>
        </w:rPr>
        <w:t>2.1.2.</w:t>
      </w:r>
      <w:r w:rsidRPr="00A97060">
        <w:rPr>
          <w:noProof/>
        </w:rPr>
        <w:tab/>
      </w:r>
      <w:r w:rsidRPr="00584A45">
        <w:rPr>
          <w:noProof/>
        </w:rPr>
        <w:t>Hensigtsmæssighed</w:t>
      </w:r>
    </w:p>
    <w:p w14:paraId="011ACE07" w14:textId="77777777" w:rsidR="00B6207C" w:rsidRPr="00584A45" w:rsidRDefault="00B6207C" w:rsidP="00B6207C">
      <w:pPr>
        <w:spacing w:before="360"/>
        <w:rPr>
          <w:i/>
          <w:noProof/>
          <w:color w:val="000000"/>
        </w:rPr>
      </w:pPr>
      <w:r w:rsidRPr="00584A45">
        <w:rPr>
          <w:i/>
          <w:noProof/>
        </w:rPr>
        <w:t>Med henblik på angivelsen af oplysningerne i dette afsnit henvises til afsnit 3.2.1.2, punkt 39-46, i CEEAG.</w:t>
      </w:r>
      <w:r w:rsidRPr="00584A45">
        <w:rPr>
          <w:i/>
          <w:noProof/>
          <w:color w:val="000000"/>
        </w:rPr>
        <w:t xml:space="preserve"> </w:t>
      </w:r>
    </w:p>
    <w:p w14:paraId="7C5E9005" w14:textId="77777777" w:rsidR="00B6207C" w:rsidRPr="00584A45" w:rsidRDefault="00B6207C" w:rsidP="00B6207C">
      <w:pPr>
        <w:pStyle w:val="ManualNumPar1"/>
        <w:rPr>
          <w:noProof/>
        </w:rPr>
      </w:pPr>
      <w:r w:rsidRPr="00A97060">
        <w:rPr>
          <w:noProof/>
        </w:rPr>
        <w:t>27.</w:t>
      </w:r>
      <w:r w:rsidRPr="00A97060">
        <w:rPr>
          <w:noProof/>
        </w:rPr>
        <w:tab/>
      </w:r>
      <w:r w:rsidRPr="00584A45">
        <w:rPr>
          <w:noProof/>
        </w:rPr>
        <w:t xml:space="preserve">Med henblik på at kontrollere overholdelsen af punkt 40 i CEEAG skal det påvises, at der ikke findes mindre konkurrencefordrejende instrumenter, som er mere hensigtsmæssige. </w:t>
      </w:r>
    </w:p>
    <w:p w14:paraId="52C819D6" w14:textId="77777777" w:rsidR="00B6207C" w:rsidRPr="00584A45" w:rsidRDefault="00B6207C" w:rsidP="00B6207C">
      <w:pPr>
        <w:tabs>
          <w:tab w:val="left" w:leader="dot" w:pos="9072"/>
        </w:tabs>
        <w:ind w:left="360"/>
        <w:rPr>
          <w:noProof/>
        </w:rPr>
      </w:pPr>
      <w:r w:rsidRPr="00584A45">
        <w:rPr>
          <w:noProof/>
        </w:rPr>
        <w:tab/>
      </w:r>
    </w:p>
    <w:p w14:paraId="6193FC15" w14:textId="77777777" w:rsidR="00B6207C" w:rsidRPr="00584A45" w:rsidRDefault="00B6207C" w:rsidP="00B6207C">
      <w:pPr>
        <w:pStyle w:val="ManualNumPar1"/>
        <w:rPr>
          <w:noProof/>
        </w:rPr>
      </w:pPr>
      <w:r w:rsidRPr="00A97060">
        <w:rPr>
          <w:noProof/>
        </w:rPr>
        <w:t>28.</w:t>
      </w:r>
      <w:r w:rsidRPr="00A97060">
        <w:rPr>
          <w:noProof/>
        </w:rPr>
        <w:tab/>
      </w:r>
      <w:r w:rsidRPr="00584A45">
        <w:rPr>
          <w:noProof/>
        </w:rPr>
        <w:t>Med henblik på at kontrollere overholdelsen af punkt 41 i CEEAG skal det påvises, at støtteforanstaltningen er udformet på en sådan måde, at den ikke underminerer effektiviteten af andre foranstaltninger, der afhjælper det samme markedssvigt, såsom markedsbaserede mekanismer (f.eks. EU ETS).</w:t>
      </w:r>
      <w:r w:rsidRPr="00584A45">
        <w:rPr>
          <w:rStyle w:val="normaltextrun"/>
          <w:noProof/>
          <w:color w:val="000000"/>
          <w:shd w:val="clear" w:color="auto" w:fill="FFFFFF"/>
        </w:rPr>
        <w:t> </w:t>
      </w:r>
      <w:r w:rsidRPr="00584A45">
        <w:rPr>
          <w:noProof/>
        </w:rPr>
        <w:t xml:space="preserve"> </w:t>
      </w:r>
    </w:p>
    <w:p w14:paraId="053AAD90" w14:textId="77777777" w:rsidR="00B6207C" w:rsidRPr="00584A45" w:rsidRDefault="00B6207C" w:rsidP="00B6207C">
      <w:pPr>
        <w:tabs>
          <w:tab w:val="left" w:leader="dot" w:pos="9072"/>
        </w:tabs>
        <w:ind w:left="567"/>
        <w:rPr>
          <w:noProof/>
        </w:rPr>
      </w:pPr>
      <w:r w:rsidRPr="00584A45">
        <w:rPr>
          <w:noProof/>
        </w:rPr>
        <w:tab/>
      </w:r>
    </w:p>
    <w:p w14:paraId="3721316C" w14:textId="77777777" w:rsidR="00B6207C" w:rsidRPr="00584A45" w:rsidRDefault="00B6207C" w:rsidP="00B6207C">
      <w:pPr>
        <w:pStyle w:val="ManualNumPar1"/>
        <w:rPr>
          <w:noProof/>
        </w:rPr>
      </w:pPr>
      <w:r w:rsidRPr="00A97060">
        <w:rPr>
          <w:noProof/>
        </w:rPr>
        <w:t>29.</w:t>
      </w:r>
      <w:r w:rsidRPr="00A97060">
        <w:rPr>
          <w:noProof/>
        </w:rPr>
        <w:tab/>
      </w:r>
      <w:r w:rsidRPr="00584A45">
        <w:rPr>
          <w:noProof/>
        </w:rPr>
        <w:t>Med henblik på at påvise overholdelse af punkt 42 i CEEAG skal det bekræftes, at ingen af støttemodtagerne kan holdes ansvarlige for forureningen i henhold til nuværende EU-lovgivning eller national lovgivning (princippet om, at forureneren betaler).</w:t>
      </w:r>
      <w:r w:rsidRPr="00584A45">
        <w:rPr>
          <w:noProof/>
          <w:shd w:val="clear" w:color="auto" w:fill="FFFFFF"/>
        </w:rPr>
        <w:t xml:space="preserve"> </w:t>
      </w:r>
    </w:p>
    <w:p w14:paraId="0F71DA59" w14:textId="77777777" w:rsidR="00B6207C" w:rsidRPr="00584A45" w:rsidRDefault="00B6207C" w:rsidP="00B6207C">
      <w:pPr>
        <w:tabs>
          <w:tab w:val="left" w:leader="dot" w:pos="9072"/>
        </w:tabs>
        <w:ind w:left="567"/>
        <w:rPr>
          <w:noProof/>
        </w:rPr>
      </w:pPr>
      <w:r w:rsidRPr="00584A45">
        <w:rPr>
          <w:noProof/>
        </w:rPr>
        <w:tab/>
      </w:r>
    </w:p>
    <w:p w14:paraId="1DD24134" w14:textId="77777777" w:rsidR="00B6207C" w:rsidRPr="00584A45" w:rsidRDefault="00B6207C" w:rsidP="00B6207C">
      <w:pPr>
        <w:pStyle w:val="ManualNumPar1"/>
        <w:rPr>
          <w:noProof/>
        </w:rPr>
      </w:pPr>
      <w:r w:rsidRPr="00A97060">
        <w:rPr>
          <w:noProof/>
        </w:rPr>
        <w:t>30.</w:t>
      </w:r>
      <w:r w:rsidRPr="00A97060">
        <w:rPr>
          <w:noProof/>
        </w:rPr>
        <w:tab/>
      </w:r>
      <w:r w:rsidRPr="00584A45">
        <w:rPr>
          <w:noProof/>
        </w:rPr>
        <w:t xml:space="preserve">Med henblik på at påvise overholdelsen af punkt 43-46 i CEEAG skal der for at vise støttens hensigtsmæssighed i forhold til andre støtteinstrumenter gives følgende oplysninger: </w:t>
      </w:r>
    </w:p>
    <w:p w14:paraId="261C3C90" w14:textId="77777777" w:rsidR="00B6207C" w:rsidRPr="00584A45" w:rsidRDefault="00B6207C" w:rsidP="00B6207C">
      <w:pPr>
        <w:pStyle w:val="Point1"/>
        <w:rPr>
          <w:noProof/>
        </w:rPr>
      </w:pPr>
      <w:r w:rsidRPr="00A97060">
        <w:rPr>
          <w:noProof/>
        </w:rPr>
        <w:t>(a)</w:t>
      </w:r>
      <w:r w:rsidRPr="00A97060">
        <w:rPr>
          <w:noProof/>
        </w:rPr>
        <w:tab/>
      </w:r>
      <w:r w:rsidRPr="00584A45">
        <w:rPr>
          <w:noProof/>
        </w:rPr>
        <w:t xml:space="preserve">Forklar, hvorfor andre potentielt mindre fordrejende former for støtte er mindre hensigtsmæssige, jf. </w:t>
      </w:r>
      <w:r w:rsidRPr="00584A45">
        <w:rPr>
          <w:rStyle w:val="normaltextrun"/>
          <w:noProof/>
        </w:rPr>
        <w:t>kravet i punkt 44 i CEEAG.</w:t>
      </w:r>
      <w:r w:rsidRPr="00584A45">
        <w:rPr>
          <w:noProof/>
        </w:rPr>
        <w:t xml:space="preserve"> </w:t>
      </w:r>
    </w:p>
    <w:p w14:paraId="244C1D88" w14:textId="77777777" w:rsidR="00B6207C" w:rsidRPr="00584A45" w:rsidRDefault="00B6207C" w:rsidP="00B6207C">
      <w:pPr>
        <w:tabs>
          <w:tab w:val="left" w:leader="dot" w:pos="9072"/>
        </w:tabs>
        <w:ind w:left="567"/>
        <w:rPr>
          <w:noProof/>
        </w:rPr>
      </w:pPr>
      <w:r w:rsidRPr="00584A45">
        <w:rPr>
          <w:noProof/>
        </w:rPr>
        <w:tab/>
      </w:r>
    </w:p>
    <w:p w14:paraId="1715AD3F" w14:textId="77777777" w:rsidR="00B6207C" w:rsidRPr="00584A45" w:rsidRDefault="00B6207C" w:rsidP="00B6207C">
      <w:pPr>
        <w:pStyle w:val="Point1"/>
        <w:rPr>
          <w:noProof/>
        </w:rPr>
      </w:pPr>
      <w:r w:rsidRPr="00A97060">
        <w:rPr>
          <w:noProof/>
        </w:rPr>
        <w:t>(b)</w:t>
      </w:r>
      <w:r w:rsidRPr="00A97060">
        <w:rPr>
          <w:noProof/>
        </w:rPr>
        <w:tab/>
      </w:r>
      <w:r w:rsidRPr="00584A45">
        <w:rPr>
          <w:noProof/>
        </w:rPr>
        <w:t>Påvis, at valget af støtteinstrument er afpasset efter det markedssvigt, som støtteforanstaltningen skal afhjælpe, jf. kravet i punkt 45 i CEEAG.</w:t>
      </w:r>
    </w:p>
    <w:p w14:paraId="35A3FE43" w14:textId="77777777" w:rsidR="00B6207C" w:rsidRPr="00584A45" w:rsidRDefault="00B6207C" w:rsidP="00B6207C">
      <w:pPr>
        <w:tabs>
          <w:tab w:val="left" w:leader="dot" w:pos="9072"/>
        </w:tabs>
        <w:ind w:left="567"/>
        <w:rPr>
          <w:noProof/>
        </w:rPr>
      </w:pPr>
      <w:r w:rsidRPr="00584A45">
        <w:rPr>
          <w:noProof/>
        </w:rPr>
        <w:lastRenderedPageBreak/>
        <w:tab/>
      </w:r>
    </w:p>
    <w:p w14:paraId="6F5E28E7" w14:textId="77777777" w:rsidR="00B6207C" w:rsidRPr="00584A45" w:rsidRDefault="00B6207C" w:rsidP="00B6207C">
      <w:pPr>
        <w:pStyle w:val="Point1"/>
        <w:rPr>
          <w:noProof/>
        </w:rPr>
      </w:pPr>
      <w:r w:rsidRPr="00A97060">
        <w:rPr>
          <w:noProof/>
        </w:rPr>
        <w:t>(c)</w:t>
      </w:r>
      <w:r w:rsidRPr="00A97060">
        <w:rPr>
          <w:noProof/>
        </w:rPr>
        <w:tab/>
      </w:r>
      <w:r w:rsidRPr="00584A45">
        <w:rPr>
          <w:noProof/>
        </w:rPr>
        <w:t xml:space="preserve">Forklar, hvordan støtteforanstaltningen og dens udformning er egnet til at nå målet, </w:t>
      </w:r>
      <w:r w:rsidRPr="00584A45">
        <w:rPr>
          <w:rStyle w:val="normaltextrun"/>
          <w:noProof/>
        </w:rPr>
        <w:t>jf. punkt 46 i CEEAG.</w:t>
      </w:r>
    </w:p>
    <w:p w14:paraId="0A541A96" w14:textId="77777777" w:rsidR="00B6207C" w:rsidRPr="00584A45" w:rsidRDefault="00B6207C" w:rsidP="00B6207C">
      <w:pPr>
        <w:tabs>
          <w:tab w:val="left" w:leader="dot" w:pos="9072"/>
        </w:tabs>
        <w:ind w:left="567"/>
        <w:rPr>
          <w:noProof/>
        </w:rPr>
      </w:pPr>
      <w:r w:rsidRPr="00584A45">
        <w:rPr>
          <w:noProof/>
        </w:rPr>
        <w:tab/>
      </w:r>
    </w:p>
    <w:p w14:paraId="578C98EC" w14:textId="77777777" w:rsidR="00B6207C" w:rsidRPr="00584A45" w:rsidRDefault="00B6207C" w:rsidP="00B6207C">
      <w:pPr>
        <w:pStyle w:val="ManualHeading3"/>
        <w:rPr>
          <w:noProof/>
        </w:rPr>
      </w:pPr>
      <w:r w:rsidRPr="00A97060">
        <w:rPr>
          <w:noProof/>
        </w:rPr>
        <w:t>2.1.3.</w:t>
      </w:r>
      <w:r w:rsidRPr="00A97060">
        <w:rPr>
          <w:noProof/>
        </w:rPr>
        <w:tab/>
      </w:r>
      <w:r w:rsidRPr="00584A45">
        <w:rPr>
          <w:noProof/>
        </w:rPr>
        <w:t>Proportionalitet</w:t>
      </w:r>
    </w:p>
    <w:p w14:paraId="47D38AEC" w14:textId="77777777" w:rsidR="00B6207C" w:rsidRPr="00584A45" w:rsidRDefault="00B6207C" w:rsidP="00B6207C">
      <w:pPr>
        <w:spacing w:before="360"/>
        <w:rPr>
          <w:i/>
          <w:noProof/>
        </w:rPr>
      </w:pPr>
      <w:r w:rsidRPr="00584A45">
        <w:rPr>
          <w:i/>
          <w:noProof/>
        </w:rPr>
        <w:t xml:space="preserve">Med henblik på angivelsen af oplysningerne i dette afsnit henvises til afsnit 4.7.2.4, punkt 318-320, i CEEAG. </w:t>
      </w:r>
    </w:p>
    <w:p w14:paraId="19855CDF" w14:textId="77777777" w:rsidR="00B6207C" w:rsidRPr="00584A45" w:rsidRDefault="00B6207C" w:rsidP="00B6207C">
      <w:pPr>
        <w:pStyle w:val="ManualNumPar1"/>
        <w:rPr>
          <w:noProof/>
        </w:rPr>
      </w:pPr>
      <w:r w:rsidRPr="00A97060">
        <w:rPr>
          <w:noProof/>
        </w:rPr>
        <w:t>31.</w:t>
      </w:r>
      <w:r w:rsidRPr="00A97060">
        <w:rPr>
          <w:noProof/>
        </w:rPr>
        <w:tab/>
      </w:r>
      <w:r w:rsidRPr="00584A45">
        <w:rPr>
          <w:noProof/>
        </w:rPr>
        <w:t>For at kontrollere overholdelsen af punkt 318 i CEEAG, skal der angives oplysninger, der påviser, at støtten ikke overstiger det normale beløb for skatten eller afgiften, der ellers ville være gældende.</w:t>
      </w:r>
      <w:r w:rsidRPr="00584A45">
        <w:rPr>
          <w:noProof/>
        </w:rPr>
        <w:tab/>
      </w:r>
    </w:p>
    <w:p w14:paraId="2C48A863" w14:textId="77777777" w:rsidR="00B6207C" w:rsidRPr="00584A45" w:rsidRDefault="00B6207C" w:rsidP="00B6207C">
      <w:pPr>
        <w:tabs>
          <w:tab w:val="left" w:leader="dot" w:pos="9072"/>
        </w:tabs>
        <w:ind w:left="567"/>
        <w:rPr>
          <w:noProof/>
        </w:rPr>
      </w:pPr>
      <w:r w:rsidRPr="00584A45">
        <w:rPr>
          <w:noProof/>
        </w:rPr>
        <w:tab/>
      </w:r>
    </w:p>
    <w:p w14:paraId="7A709B7A" w14:textId="77777777" w:rsidR="00B6207C" w:rsidRPr="00584A45" w:rsidRDefault="00B6207C" w:rsidP="00B6207C">
      <w:pPr>
        <w:pStyle w:val="ManualNumPar1"/>
        <w:rPr>
          <w:noProof/>
        </w:rPr>
      </w:pPr>
      <w:r w:rsidRPr="00A97060">
        <w:rPr>
          <w:noProof/>
        </w:rPr>
        <w:t>32.</w:t>
      </w:r>
      <w:r w:rsidRPr="00A97060">
        <w:rPr>
          <w:noProof/>
        </w:rPr>
        <w:tab/>
      </w:r>
      <w:r w:rsidRPr="00584A45">
        <w:rPr>
          <w:noProof/>
        </w:rPr>
        <w:t>Når nedsættelsen af skatten, afgiften eller den skattelignende afgift er knyttet til investeringsomkostningerne, skal det i overensstemmelse med punkt 319 i CEEAG, afhængigt af hvilken del af CEEAG de støttede aktiviteter hører under, beskrives, hvordan det sikres, at støtten ikke overstiger de gældende støtteintensiteter og maksimale støttebeløb:</w:t>
      </w:r>
    </w:p>
    <w:p w14:paraId="4D099C64" w14:textId="77777777" w:rsidR="00B6207C" w:rsidRPr="00584A45" w:rsidRDefault="00A53CCA" w:rsidP="00B6207C">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For afsnit 4.2 (punkt 146-151 i CEEAG)</w:t>
      </w:r>
    </w:p>
    <w:p w14:paraId="04C198F3" w14:textId="77777777" w:rsidR="00B6207C" w:rsidRPr="00584A45" w:rsidRDefault="00A53CCA" w:rsidP="00B6207C">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For afsnit 4.3.1 (punkt 177-180 i CEEAG)</w:t>
      </w:r>
    </w:p>
    <w:p w14:paraId="121555FB" w14:textId="77777777" w:rsidR="00B6207C" w:rsidRPr="00584A45" w:rsidRDefault="00A53CCA" w:rsidP="00B6207C">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For afsnit 4.3.2 (punkt 200-204 i CEEAG) </w:t>
      </w:r>
    </w:p>
    <w:p w14:paraId="57903E65" w14:textId="77777777" w:rsidR="00B6207C" w:rsidRPr="00584A45" w:rsidRDefault="00A53CCA" w:rsidP="00B6207C">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For afsnit 4.4 (punkt 239-245 i CEEAG)</w:t>
      </w:r>
    </w:p>
    <w:p w14:paraId="53B69C15" w14:textId="77777777" w:rsidR="00B6207C" w:rsidRPr="00584A45" w:rsidRDefault="00A53CCA" w:rsidP="00B6207C">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For afsnit 4.5 (punkt 265-271 i CEEAG).</w:t>
      </w:r>
    </w:p>
    <w:p w14:paraId="1F8EA0FB" w14:textId="77777777" w:rsidR="00B6207C" w:rsidRPr="00584A45" w:rsidRDefault="00A53CCA" w:rsidP="00B6207C">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For afsnit 4.6 (punkt 288-291 i CEEAG).</w:t>
      </w:r>
    </w:p>
    <w:p w14:paraId="3DC27E5F" w14:textId="1F51DA9D" w:rsidR="00B6207C" w:rsidRDefault="00B6207C" w:rsidP="00B6207C">
      <w:pPr>
        <w:pStyle w:val="Text1"/>
        <w:rPr>
          <w:noProof/>
        </w:rPr>
      </w:pPr>
      <w:r w:rsidRPr="00584A45">
        <w:rPr>
          <w:noProof/>
        </w:rPr>
        <w:t>Udfyld spørgsmålene for de maksimale støtteintensiteter og maksimale støttebeløb i det respektive supplerende informationsskema for det relevante afsnit.</w:t>
      </w:r>
    </w:p>
    <w:p w14:paraId="069C86EA" w14:textId="613D413A" w:rsidR="00A53CCA" w:rsidRPr="00584A45" w:rsidRDefault="00A53CCA" w:rsidP="00A53CCA">
      <w:pPr>
        <w:tabs>
          <w:tab w:val="left" w:leader="dot" w:pos="9072"/>
        </w:tabs>
        <w:ind w:left="567"/>
        <w:rPr>
          <w:noProof/>
        </w:rPr>
      </w:pPr>
      <w:r w:rsidRPr="00584A45">
        <w:rPr>
          <w:noProof/>
        </w:rPr>
        <w:tab/>
      </w:r>
    </w:p>
    <w:p w14:paraId="6976DD66" w14:textId="77777777" w:rsidR="00B6207C" w:rsidRPr="00584A45" w:rsidRDefault="00B6207C" w:rsidP="00B6207C">
      <w:pPr>
        <w:pStyle w:val="ManualNumPar1"/>
        <w:rPr>
          <w:noProof/>
        </w:rPr>
      </w:pPr>
      <w:r w:rsidRPr="00A97060">
        <w:rPr>
          <w:noProof/>
        </w:rPr>
        <w:t>33.</w:t>
      </w:r>
      <w:r w:rsidRPr="00A97060">
        <w:rPr>
          <w:noProof/>
        </w:rPr>
        <w:tab/>
      </w:r>
      <w:r w:rsidRPr="00584A45">
        <w:rPr>
          <w:noProof/>
        </w:rPr>
        <w:t xml:space="preserve">Hvis nedsættelsen af skatten, afgiften eller den skattelignende afgift reducerer de løbende driftsomkostninger, skal det for at kontrollere overholdelsen af punkt 320 i CEEAG beskrives, hvordan det sikres, at støttebeløbet ikke overstiger forskellen mellem omkostningerne ved det miljøvenlige projekt eller den miljøvenlige aktivitet og det mindre miljøvenlige kontrafaktiske scenario. Beskriv også, hvordan der vil blive taget hensyn til potentielle omkostningsbesparelser og/eller yderligere indtægter i forbindelse med det mere miljøvenlige projekt. </w:t>
      </w:r>
    </w:p>
    <w:p w14:paraId="1018788F" w14:textId="77777777" w:rsidR="00B6207C" w:rsidRPr="00584A45" w:rsidRDefault="00B6207C" w:rsidP="00B6207C">
      <w:pPr>
        <w:tabs>
          <w:tab w:val="left" w:leader="dot" w:pos="9072"/>
        </w:tabs>
        <w:ind w:left="567"/>
        <w:rPr>
          <w:noProof/>
        </w:rPr>
      </w:pPr>
      <w:r w:rsidRPr="00584A45">
        <w:rPr>
          <w:noProof/>
        </w:rPr>
        <w:tab/>
      </w:r>
    </w:p>
    <w:p w14:paraId="15D5CC03" w14:textId="77777777" w:rsidR="00B6207C" w:rsidRPr="00584A45" w:rsidRDefault="00B6207C" w:rsidP="00B6207C">
      <w:pPr>
        <w:pStyle w:val="ManualHeading3"/>
        <w:rPr>
          <w:noProof/>
        </w:rPr>
      </w:pPr>
      <w:r w:rsidRPr="00A97060">
        <w:rPr>
          <w:noProof/>
        </w:rPr>
        <w:t>2.1.4.</w:t>
      </w:r>
      <w:r w:rsidRPr="00A97060">
        <w:rPr>
          <w:noProof/>
        </w:rPr>
        <w:tab/>
      </w:r>
      <w:r w:rsidRPr="00584A45">
        <w:rPr>
          <w:noProof/>
        </w:rPr>
        <w:t>Gennemsigtighed</w:t>
      </w:r>
    </w:p>
    <w:p w14:paraId="46003C32" w14:textId="77777777" w:rsidR="00B6207C" w:rsidRPr="00584A45" w:rsidRDefault="00B6207C" w:rsidP="00B6207C">
      <w:pPr>
        <w:spacing w:before="360"/>
        <w:rPr>
          <w:i/>
          <w:noProof/>
        </w:rPr>
      </w:pPr>
      <w:r w:rsidRPr="00584A45">
        <w:rPr>
          <w:i/>
          <w:noProof/>
        </w:rPr>
        <w:t xml:space="preserve">Med henblik på angivelsen af oplysningerne i dette afsnit henvises til afsnit 3.2.1.4, punkt 58-62, i CEEAG. </w:t>
      </w:r>
    </w:p>
    <w:p w14:paraId="12123158" w14:textId="77777777" w:rsidR="00B6207C" w:rsidRPr="00584A45" w:rsidRDefault="00B6207C" w:rsidP="00B6207C">
      <w:pPr>
        <w:pStyle w:val="ManualNumPar1"/>
        <w:rPr>
          <w:rFonts w:eastAsia="Times New Roman"/>
          <w:noProof/>
          <w:szCs w:val="24"/>
        </w:rPr>
      </w:pPr>
      <w:r w:rsidRPr="00A97060">
        <w:rPr>
          <w:noProof/>
        </w:rPr>
        <w:t>34.</w:t>
      </w:r>
      <w:r w:rsidRPr="00A97060">
        <w:rPr>
          <w:noProof/>
        </w:rPr>
        <w:tab/>
      </w:r>
      <w:r w:rsidRPr="00584A45">
        <w:rPr>
          <w:noProof/>
        </w:rPr>
        <w:t xml:space="preserve">Bekræft, at medlemsstaten vil opfylde kravene om gennemsigtighed i punkt 58-61 i CEEAG. </w:t>
      </w:r>
    </w:p>
    <w:p w14:paraId="5EFBB503" w14:textId="77777777" w:rsidR="00B6207C" w:rsidRPr="00584A45" w:rsidRDefault="00B6207C" w:rsidP="00B6207C">
      <w:pPr>
        <w:tabs>
          <w:tab w:val="left" w:leader="dot" w:pos="9072"/>
        </w:tabs>
        <w:ind w:left="567"/>
        <w:rPr>
          <w:noProof/>
        </w:rPr>
      </w:pPr>
      <w:r w:rsidRPr="00584A45">
        <w:rPr>
          <w:noProof/>
        </w:rPr>
        <w:tab/>
      </w:r>
    </w:p>
    <w:p w14:paraId="795C2F32" w14:textId="77777777" w:rsidR="00B6207C" w:rsidRPr="00584A45" w:rsidRDefault="00B6207C" w:rsidP="00B6207C">
      <w:pPr>
        <w:pStyle w:val="ManualNumPar1"/>
        <w:rPr>
          <w:noProof/>
        </w:rPr>
      </w:pPr>
      <w:r w:rsidRPr="00A97060">
        <w:rPr>
          <w:noProof/>
        </w:rPr>
        <w:lastRenderedPageBreak/>
        <w:t>35.</w:t>
      </w:r>
      <w:r w:rsidRPr="00A97060">
        <w:rPr>
          <w:noProof/>
        </w:rPr>
        <w:tab/>
      </w:r>
      <w:r w:rsidRPr="00584A45">
        <w:rPr>
          <w:noProof/>
        </w:rPr>
        <w:t xml:space="preserve">Angiv internetlinket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 hvorved de individuelle støttebeløb kan offentliggøres i intervaller som fastsat i punkt 60 i CEEAG. </w:t>
      </w:r>
    </w:p>
    <w:p w14:paraId="608B7BB6" w14:textId="77777777" w:rsidR="00B6207C" w:rsidRPr="00584A45" w:rsidRDefault="00B6207C" w:rsidP="00B6207C">
      <w:pPr>
        <w:tabs>
          <w:tab w:val="left" w:leader="dot" w:pos="9072"/>
        </w:tabs>
        <w:ind w:left="567"/>
        <w:rPr>
          <w:noProof/>
        </w:rPr>
      </w:pPr>
      <w:r w:rsidRPr="00584A45">
        <w:rPr>
          <w:noProof/>
        </w:rPr>
        <w:tab/>
      </w:r>
    </w:p>
    <w:p w14:paraId="6215DA58" w14:textId="77777777" w:rsidR="00B6207C" w:rsidRPr="00584A45" w:rsidRDefault="00B6207C" w:rsidP="00B6207C">
      <w:pPr>
        <w:pStyle w:val="ManualHeading2"/>
        <w:rPr>
          <w:noProof/>
        </w:rPr>
      </w:pPr>
      <w:r w:rsidRPr="00A97060">
        <w:rPr>
          <w:noProof/>
        </w:rPr>
        <w:t>2.2.</w:t>
      </w:r>
      <w:r w:rsidRPr="00A97060">
        <w:rPr>
          <w:noProof/>
        </w:rPr>
        <w:tab/>
      </w:r>
      <w:r w:rsidRPr="00584A45">
        <w:rPr>
          <w:noProof/>
        </w:rPr>
        <w:t>Undgåelse af støttens uberettigede negative virkninger på konkurrencen og samhandelen og på balanceringen</w:t>
      </w:r>
    </w:p>
    <w:p w14:paraId="7B664B04" w14:textId="77777777" w:rsidR="00B6207C" w:rsidRPr="00584A45" w:rsidRDefault="00B6207C" w:rsidP="00B6207C">
      <w:pPr>
        <w:spacing w:before="360"/>
        <w:rPr>
          <w:i/>
          <w:noProof/>
        </w:rPr>
      </w:pPr>
      <w:r w:rsidRPr="00584A45">
        <w:rPr>
          <w:i/>
          <w:noProof/>
        </w:rPr>
        <w:t xml:space="preserve">Med henblik på angivelsen af oplysningerne i dette afsnit henvises til afsnit 3.2.2, punkt 63-70, og afsnit 4.7.2.5, punkt 322-324, i CEEAG. </w:t>
      </w:r>
    </w:p>
    <w:p w14:paraId="1E58CB9F" w14:textId="77777777" w:rsidR="00B6207C" w:rsidRPr="00584A45" w:rsidRDefault="00B6207C" w:rsidP="00B6207C">
      <w:pPr>
        <w:pStyle w:val="ManualNumPar1"/>
        <w:rPr>
          <w:noProof/>
        </w:rPr>
      </w:pPr>
      <w:r w:rsidRPr="00A97060">
        <w:rPr>
          <w:noProof/>
        </w:rPr>
        <w:t>36.</w:t>
      </w:r>
      <w:r w:rsidRPr="00A97060">
        <w:rPr>
          <w:noProof/>
        </w:rPr>
        <w:tab/>
      </w:r>
      <w:r w:rsidRPr="00584A45">
        <w:rPr>
          <w:noProof/>
        </w:rPr>
        <w:t xml:space="preserve">Med henblik på at kontrollere overholdelsen af punkt 67 i CEEAG skal der gives oplysninger om den anmeldte foranstaltnings mulige kort- og langsigtede negative virkninger for konkurrencen og samhandelen. </w:t>
      </w:r>
    </w:p>
    <w:p w14:paraId="4F884D48" w14:textId="77777777" w:rsidR="00B6207C" w:rsidRPr="00584A45" w:rsidRDefault="00B6207C" w:rsidP="00B6207C">
      <w:pPr>
        <w:tabs>
          <w:tab w:val="left" w:leader="dot" w:pos="9072"/>
        </w:tabs>
        <w:ind w:left="567"/>
        <w:rPr>
          <w:noProof/>
        </w:rPr>
      </w:pPr>
      <w:r w:rsidRPr="00584A45">
        <w:rPr>
          <w:noProof/>
        </w:rPr>
        <w:tab/>
      </w:r>
    </w:p>
    <w:p w14:paraId="3B0997AD" w14:textId="77777777" w:rsidR="00B6207C" w:rsidRPr="00584A45" w:rsidRDefault="00B6207C" w:rsidP="00B6207C">
      <w:pPr>
        <w:pStyle w:val="ManualNumPar1"/>
        <w:rPr>
          <w:noProof/>
        </w:rPr>
      </w:pPr>
      <w:r w:rsidRPr="00A97060">
        <w:rPr>
          <w:noProof/>
        </w:rPr>
        <w:t>37.</w:t>
      </w:r>
      <w:r w:rsidRPr="00A97060">
        <w:rPr>
          <w:noProof/>
        </w:rPr>
        <w:tab/>
      </w:r>
      <w:r w:rsidRPr="00584A45">
        <w:rPr>
          <w:noProof/>
        </w:rPr>
        <w:t xml:space="preserve">Forklar, om foranstaltningen falder ind under en af følgende situationer: </w:t>
      </w:r>
    </w:p>
    <w:p w14:paraId="7A0C9D7D" w14:textId="77777777" w:rsidR="00B6207C" w:rsidRPr="00584A45" w:rsidRDefault="00B6207C" w:rsidP="00B6207C">
      <w:pPr>
        <w:pStyle w:val="Point1"/>
        <w:rPr>
          <w:noProof/>
        </w:rPr>
      </w:pPr>
      <w:r w:rsidRPr="00A97060">
        <w:rPr>
          <w:noProof/>
        </w:rPr>
        <w:t>(a)</w:t>
      </w:r>
      <w:r w:rsidRPr="00A97060">
        <w:rPr>
          <w:noProof/>
        </w:rPr>
        <w:tab/>
      </w:r>
      <w:r w:rsidRPr="00584A45">
        <w:rPr>
          <w:noProof/>
        </w:rPr>
        <w:t>Den vil kun komme én eller et særligt begrænset antal støttemodtagere til gode.</w:t>
      </w:r>
    </w:p>
    <w:p w14:paraId="5102B5DA" w14:textId="77777777" w:rsidR="00B6207C" w:rsidRPr="00584A45" w:rsidRDefault="00B6207C" w:rsidP="00B6207C">
      <w:pPr>
        <w:tabs>
          <w:tab w:val="left" w:leader="dot" w:pos="9072"/>
        </w:tabs>
        <w:ind w:left="567"/>
        <w:rPr>
          <w:noProof/>
        </w:rPr>
      </w:pPr>
      <w:r w:rsidRPr="00584A45">
        <w:rPr>
          <w:noProof/>
        </w:rPr>
        <w:tab/>
      </w:r>
    </w:p>
    <w:p w14:paraId="70074655" w14:textId="77777777" w:rsidR="00B6207C" w:rsidRPr="00584A45" w:rsidRDefault="00B6207C" w:rsidP="00B6207C">
      <w:pPr>
        <w:pStyle w:val="Point1"/>
        <w:rPr>
          <w:noProof/>
        </w:rPr>
      </w:pPr>
      <w:r w:rsidRPr="00A97060">
        <w:rPr>
          <w:noProof/>
        </w:rPr>
        <w:t>(b)</w:t>
      </w:r>
      <w:r w:rsidRPr="00A97060">
        <w:rPr>
          <w:noProof/>
        </w:rPr>
        <w:tab/>
      </w:r>
      <w:r w:rsidRPr="00584A45">
        <w:rPr>
          <w:noProof/>
        </w:rPr>
        <w:t>Den er rettet mod et eller flere markeder, hvor de etablerede operatører fik markedsstyrke forud for liberaliseringen af markedet.</w:t>
      </w:r>
    </w:p>
    <w:p w14:paraId="6222186C" w14:textId="77777777" w:rsidR="00B6207C" w:rsidRPr="00584A45" w:rsidRDefault="00B6207C" w:rsidP="00B6207C">
      <w:pPr>
        <w:tabs>
          <w:tab w:val="left" w:leader="dot" w:pos="9072"/>
        </w:tabs>
        <w:ind w:left="567"/>
        <w:rPr>
          <w:noProof/>
        </w:rPr>
      </w:pPr>
      <w:r w:rsidRPr="00584A45">
        <w:rPr>
          <w:noProof/>
        </w:rPr>
        <w:tab/>
      </w:r>
    </w:p>
    <w:p w14:paraId="510FD6A7" w14:textId="77777777" w:rsidR="00B6207C" w:rsidRPr="00584A45" w:rsidRDefault="00B6207C" w:rsidP="00B6207C">
      <w:pPr>
        <w:pStyle w:val="ManualNumPar1"/>
        <w:rPr>
          <w:noProof/>
        </w:rPr>
      </w:pPr>
      <w:r w:rsidRPr="00A97060">
        <w:rPr>
          <w:noProof/>
        </w:rPr>
        <w:t>38.</w:t>
      </w:r>
      <w:r w:rsidRPr="00A97060">
        <w:rPr>
          <w:noProof/>
        </w:rPr>
        <w:tab/>
      </w:r>
      <w:r w:rsidRPr="00584A45">
        <w:rPr>
          <w:noProof/>
        </w:rPr>
        <w:t xml:space="preserve">Hvis støtteforanstaltningen fokuserer på et specifikt teknologisk valg/en bestemt teknologisk vej, skal det teknologiske valg begrundes, og det skal begrundes, at dette ikke vil modvirke udbredelsen af renere teknologier. </w:t>
      </w:r>
    </w:p>
    <w:p w14:paraId="67AAA254" w14:textId="77777777" w:rsidR="00B6207C" w:rsidRPr="00584A45" w:rsidRDefault="00B6207C" w:rsidP="00B6207C">
      <w:pPr>
        <w:tabs>
          <w:tab w:val="left" w:leader="dot" w:pos="9072"/>
        </w:tabs>
        <w:ind w:left="567"/>
        <w:rPr>
          <w:noProof/>
        </w:rPr>
      </w:pPr>
      <w:r w:rsidRPr="00584A45">
        <w:rPr>
          <w:noProof/>
        </w:rPr>
        <w:tab/>
      </w:r>
    </w:p>
    <w:p w14:paraId="18224C4E" w14:textId="77777777" w:rsidR="00B6207C" w:rsidRPr="00584A45" w:rsidRDefault="00B6207C" w:rsidP="00B6207C">
      <w:pPr>
        <w:pStyle w:val="ManualNumPar1"/>
        <w:rPr>
          <w:noProof/>
        </w:rPr>
      </w:pPr>
      <w:r w:rsidRPr="00A97060">
        <w:rPr>
          <w:noProof/>
        </w:rPr>
        <w:t>39.</w:t>
      </w:r>
      <w:r w:rsidRPr="00A97060">
        <w:rPr>
          <w:noProof/>
        </w:rPr>
        <w:tab/>
      </w:r>
      <w:r w:rsidRPr="00584A45">
        <w:rPr>
          <w:noProof/>
        </w:rPr>
        <w:t>Hvis den anmeldte foranstaltning kun vil være til fordel for en eller et særligt begrænset antal støttemodtagere, kræves følgende med henblik på at kontrollere overholdelsen af punkt 68 i CEEAG:</w:t>
      </w:r>
    </w:p>
    <w:p w14:paraId="76D6135D" w14:textId="77777777" w:rsidR="00B6207C" w:rsidRPr="00584A45" w:rsidRDefault="00B6207C" w:rsidP="00B6207C">
      <w:pPr>
        <w:pStyle w:val="Point1"/>
        <w:rPr>
          <w:noProof/>
        </w:rPr>
      </w:pPr>
      <w:r w:rsidRPr="00A97060">
        <w:rPr>
          <w:noProof/>
        </w:rPr>
        <w:t>(a)</w:t>
      </w:r>
      <w:r w:rsidRPr="00A97060">
        <w:rPr>
          <w:noProof/>
        </w:rPr>
        <w:tab/>
      </w:r>
      <w:r w:rsidRPr="00584A45">
        <w:rPr>
          <w:noProof/>
        </w:rPr>
        <w:t>Forklar, om den anmeldte foranstaltning styrker eller opretholder støttemodtagernes markedsstyrke eller afholder eksisterende konkurrenter fra at ekspandere, fremprovokerer deres udtræden af markedet eller afholder nye konkurrenter fra at komme ind på markedet. Forklar i den forbindelse også, om støtteforanstaltningen vil føre til en forøgelse af støttemodtagerens produktionskapacitet.</w:t>
      </w:r>
    </w:p>
    <w:p w14:paraId="0DB1DE7C" w14:textId="77777777" w:rsidR="00B6207C" w:rsidRPr="00584A45" w:rsidRDefault="00B6207C" w:rsidP="00B6207C">
      <w:pPr>
        <w:tabs>
          <w:tab w:val="left" w:leader="dot" w:pos="9072"/>
        </w:tabs>
        <w:ind w:left="567"/>
        <w:rPr>
          <w:noProof/>
        </w:rPr>
      </w:pPr>
      <w:r w:rsidRPr="00584A45">
        <w:rPr>
          <w:noProof/>
        </w:rPr>
        <w:tab/>
      </w:r>
    </w:p>
    <w:p w14:paraId="7BB0ECB9" w14:textId="77777777" w:rsidR="00B6207C" w:rsidRPr="00584A45" w:rsidRDefault="00B6207C" w:rsidP="00B6207C">
      <w:pPr>
        <w:pStyle w:val="Point1"/>
        <w:rPr>
          <w:noProof/>
        </w:rPr>
      </w:pPr>
      <w:r w:rsidRPr="00A97060">
        <w:rPr>
          <w:noProof/>
        </w:rPr>
        <w:t>(b)</w:t>
      </w:r>
      <w:r w:rsidRPr="00A97060">
        <w:rPr>
          <w:noProof/>
        </w:rPr>
        <w:tab/>
      </w:r>
      <w:r w:rsidRPr="00584A45">
        <w:rPr>
          <w:noProof/>
        </w:rPr>
        <w:t xml:space="preserve">Beskriv, hvilke foranstaltninger der er indført for at begrænse den potentielle konkurrencefordrejning som følge af, at støtten ydes til støttemodtageren/støttemodtagerne. </w:t>
      </w:r>
    </w:p>
    <w:p w14:paraId="4D765F74" w14:textId="77777777" w:rsidR="00B6207C" w:rsidRPr="00584A45" w:rsidRDefault="00B6207C" w:rsidP="00B6207C">
      <w:pPr>
        <w:tabs>
          <w:tab w:val="left" w:leader="dot" w:pos="9072"/>
        </w:tabs>
        <w:ind w:left="567"/>
        <w:rPr>
          <w:noProof/>
        </w:rPr>
      </w:pPr>
      <w:r w:rsidRPr="00584A45">
        <w:rPr>
          <w:noProof/>
        </w:rPr>
        <w:tab/>
      </w:r>
    </w:p>
    <w:p w14:paraId="5138D4DC" w14:textId="77777777" w:rsidR="00B6207C" w:rsidRPr="00584A45" w:rsidRDefault="00B6207C" w:rsidP="00B6207C">
      <w:pPr>
        <w:pStyle w:val="ManualNumPar1"/>
        <w:rPr>
          <w:noProof/>
        </w:rPr>
      </w:pPr>
      <w:r w:rsidRPr="00A97060">
        <w:rPr>
          <w:noProof/>
        </w:rPr>
        <w:t>40.</w:t>
      </w:r>
      <w:r w:rsidRPr="00A97060">
        <w:rPr>
          <w:noProof/>
        </w:rPr>
        <w:tab/>
      </w:r>
      <w:r w:rsidRPr="00584A45">
        <w:rPr>
          <w:noProof/>
        </w:rPr>
        <w:t>Redegør for følgende med henblik på at påvise overholdelsen af punkt 69 i CEEAG:</w:t>
      </w:r>
    </w:p>
    <w:p w14:paraId="0C4ACF19" w14:textId="77777777" w:rsidR="00B6207C" w:rsidRPr="00584A45" w:rsidRDefault="00B6207C" w:rsidP="00B6207C">
      <w:pPr>
        <w:pStyle w:val="Point1"/>
        <w:rPr>
          <w:noProof/>
        </w:rPr>
      </w:pPr>
      <w:r w:rsidRPr="00A97060">
        <w:rPr>
          <w:noProof/>
        </w:rPr>
        <w:lastRenderedPageBreak/>
        <w:t>(a)</w:t>
      </w:r>
      <w:r w:rsidRPr="00A97060">
        <w:rPr>
          <w:noProof/>
        </w:rPr>
        <w:tab/>
      </w:r>
      <w:r w:rsidRPr="00584A45">
        <w:rPr>
          <w:noProof/>
        </w:rPr>
        <w:t xml:space="preserve">Om den støtte, der ydes inden for rammerne af den anmeldte foranstaltning, har til formål at opretholde den økonomiske aktivitet i én region eller flytte den fra andre regioner inden for det indre marked. </w:t>
      </w:r>
    </w:p>
    <w:p w14:paraId="2CF79706" w14:textId="77777777" w:rsidR="00B6207C" w:rsidRPr="00584A45" w:rsidRDefault="00B6207C" w:rsidP="00B6207C">
      <w:pPr>
        <w:tabs>
          <w:tab w:val="left" w:leader="dot" w:pos="9072"/>
        </w:tabs>
        <w:ind w:left="567"/>
        <w:rPr>
          <w:noProof/>
        </w:rPr>
      </w:pPr>
      <w:r w:rsidRPr="00584A45">
        <w:rPr>
          <w:noProof/>
        </w:rPr>
        <w:tab/>
      </w:r>
    </w:p>
    <w:p w14:paraId="316989B6" w14:textId="77777777" w:rsidR="00B6207C" w:rsidRPr="00584A45" w:rsidRDefault="00B6207C" w:rsidP="00B6207C">
      <w:pPr>
        <w:pStyle w:val="Point1"/>
        <w:rPr>
          <w:noProof/>
        </w:rPr>
      </w:pPr>
      <w:r w:rsidRPr="00A97060">
        <w:rPr>
          <w:noProof/>
        </w:rPr>
        <w:t>(b)</w:t>
      </w:r>
      <w:r w:rsidRPr="00A97060">
        <w:rPr>
          <w:noProof/>
        </w:rPr>
        <w:tab/>
      </w:r>
      <w:r w:rsidRPr="00584A45">
        <w:rPr>
          <w:noProof/>
        </w:rPr>
        <w:t>I bekræftende fald skal det angives, hvilke nettovirkninger den anmeldte foranstaltning har for miljøet, og hvordan den forbedrer det eksisterende miljøbeskyttelsesniveau i medlemsstaterne.</w:t>
      </w:r>
    </w:p>
    <w:p w14:paraId="38D4DE5D" w14:textId="77777777" w:rsidR="00B6207C" w:rsidRPr="00584A45" w:rsidRDefault="00B6207C" w:rsidP="00B6207C">
      <w:pPr>
        <w:tabs>
          <w:tab w:val="left" w:leader="dot" w:pos="9072"/>
        </w:tabs>
        <w:ind w:left="567"/>
        <w:rPr>
          <w:noProof/>
        </w:rPr>
      </w:pPr>
      <w:r w:rsidRPr="00584A45">
        <w:rPr>
          <w:noProof/>
        </w:rPr>
        <w:tab/>
      </w:r>
    </w:p>
    <w:p w14:paraId="5963680E" w14:textId="77777777" w:rsidR="00B6207C" w:rsidRPr="00584A45" w:rsidRDefault="00B6207C" w:rsidP="00B6207C">
      <w:pPr>
        <w:pStyle w:val="Point1"/>
        <w:rPr>
          <w:noProof/>
        </w:rPr>
      </w:pPr>
      <w:r w:rsidRPr="00A97060">
        <w:rPr>
          <w:noProof/>
        </w:rPr>
        <w:t>(c)</w:t>
      </w:r>
      <w:r w:rsidRPr="00A97060">
        <w:rPr>
          <w:noProof/>
        </w:rPr>
        <w:tab/>
      </w:r>
      <w:r w:rsidRPr="00584A45">
        <w:rPr>
          <w:noProof/>
        </w:rPr>
        <w:t xml:space="preserve">Hvordan den støtte, der ydes inden for rammerne af den anmeldte foranstaltning, ikke har nogen åbenlyst negative virkninger for konkurrencen og samhandelen. </w:t>
      </w:r>
    </w:p>
    <w:p w14:paraId="559BCBDC" w14:textId="77777777" w:rsidR="00B6207C" w:rsidRPr="00584A45" w:rsidRDefault="00B6207C" w:rsidP="00B6207C">
      <w:pPr>
        <w:tabs>
          <w:tab w:val="left" w:leader="dot" w:pos="9072"/>
        </w:tabs>
        <w:ind w:left="567"/>
        <w:rPr>
          <w:noProof/>
        </w:rPr>
      </w:pPr>
      <w:r w:rsidRPr="00584A45">
        <w:rPr>
          <w:noProof/>
        </w:rPr>
        <w:tab/>
      </w:r>
    </w:p>
    <w:p w14:paraId="54E88A8A" w14:textId="77777777" w:rsidR="00B6207C" w:rsidRPr="00584A45" w:rsidRDefault="00B6207C" w:rsidP="00B6207C">
      <w:pPr>
        <w:pStyle w:val="ManualNumPar1"/>
        <w:rPr>
          <w:noProof/>
        </w:rPr>
      </w:pPr>
      <w:r w:rsidRPr="00A97060">
        <w:rPr>
          <w:noProof/>
        </w:rPr>
        <w:t>41.</w:t>
      </w:r>
      <w:r w:rsidRPr="00A97060">
        <w:rPr>
          <w:noProof/>
        </w:rPr>
        <w:tab/>
      </w:r>
      <w:r w:rsidRPr="00584A45">
        <w:rPr>
          <w:noProof/>
        </w:rPr>
        <w:t>Med henblik på at påvise overholdelsen af punkt 70 i CEEAG:</w:t>
      </w:r>
    </w:p>
    <w:p w14:paraId="7817C53E" w14:textId="77777777" w:rsidR="00B6207C" w:rsidRPr="00584A45" w:rsidRDefault="00B6207C" w:rsidP="00B6207C">
      <w:pPr>
        <w:pStyle w:val="Point1"/>
        <w:rPr>
          <w:noProof/>
        </w:rPr>
      </w:pPr>
      <w:r w:rsidRPr="00A97060">
        <w:rPr>
          <w:noProof/>
        </w:rPr>
        <w:t>(a)</w:t>
      </w:r>
      <w:r w:rsidRPr="00A97060">
        <w:rPr>
          <w:noProof/>
        </w:rPr>
        <w:tab/>
      </w:r>
      <w:r w:rsidRPr="00584A45">
        <w:rPr>
          <w:noProof/>
        </w:rPr>
        <w:t xml:space="preserve">Bekræft, at støtten i henhold til den anmeldte støtteordning kan ydes inden for en frist på højst 10 år fra datoen for meddelelsen af Kommissionens afgørelse om, at støtten er forenelig med det indre marked.  </w:t>
      </w:r>
    </w:p>
    <w:p w14:paraId="42F6D80E" w14:textId="77777777" w:rsidR="00B6207C" w:rsidRPr="00584A45" w:rsidRDefault="00B6207C" w:rsidP="00B6207C">
      <w:pPr>
        <w:tabs>
          <w:tab w:val="left" w:leader="dot" w:pos="9072"/>
        </w:tabs>
        <w:ind w:left="850"/>
        <w:rPr>
          <w:noProof/>
        </w:rPr>
      </w:pPr>
      <w:r w:rsidRPr="00584A45">
        <w:rPr>
          <w:noProof/>
        </w:rPr>
        <w:tab/>
      </w:r>
    </w:p>
    <w:p w14:paraId="12CB66BB" w14:textId="77777777" w:rsidR="00B6207C" w:rsidRPr="00584A45" w:rsidRDefault="00B6207C" w:rsidP="00B6207C">
      <w:pPr>
        <w:pStyle w:val="Point1"/>
        <w:rPr>
          <w:noProof/>
        </w:rPr>
      </w:pPr>
      <w:r w:rsidRPr="00A97060">
        <w:rPr>
          <w:noProof/>
        </w:rPr>
        <w:t>(b)</w:t>
      </w:r>
      <w:r w:rsidRPr="00A97060">
        <w:rPr>
          <w:noProof/>
        </w:rPr>
        <w:tab/>
      </w:r>
      <w:r w:rsidRPr="00584A45">
        <w:rPr>
          <w:noProof/>
        </w:rPr>
        <w:t xml:space="preserve">Bekræft, at jeres myndigheder vil anmelde ordningen igen, hvis de ønsker at forlænge ordningens varighed ud over denne maksimale periode, </w:t>
      </w:r>
    </w:p>
    <w:p w14:paraId="2030DF04" w14:textId="77777777" w:rsidR="00B6207C" w:rsidRPr="00584A45" w:rsidRDefault="00B6207C" w:rsidP="00B6207C">
      <w:pPr>
        <w:tabs>
          <w:tab w:val="left" w:leader="dot" w:pos="9072"/>
        </w:tabs>
        <w:ind w:left="720"/>
        <w:rPr>
          <w:noProof/>
        </w:rPr>
      </w:pPr>
      <w:bookmarkStart w:id="11" w:name="_Hlk172647350"/>
      <w:r w:rsidRPr="00584A45">
        <w:rPr>
          <w:noProof/>
        </w:rPr>
        <w:tab/>
      </w:r>
    </w:p>
    <w:bookmarkEnd w:id="11"/>
    <w:p w14:paraId="0DE85015" w14:textId="77777777" w:rsidR="00B6207C" w:rsidRPr="00584A45" w:rsidRDefault="00B6207C" w:rsidP="00B6207C">
      <w:pPr>
        <w:pStyle w:val="ManualNumPar1"/>
        <w:rPr>
          <w:noProof/>
        </w:rPr>
      </w:pPr>
      <w:r w:rsidRPr="00A97060">
        <w:rPr>
          <w:noProof/>
        </w:rPr>
        <w:t>42.</w:t>
      </w:r>
      <w:r w:rsidRPr="00A97060">
        <w:rPr>
          <w:noProof/>
        </w:rPr>
        <w:tab/>
      </w:r>
      <w:r w:rsidRPr="00584A45">
        <w:rPr>
          <w:noProof/>
        </w:rPr>
        <w:t>Beskriv, hvordan det sikres, at støtte i overensstemmelse med punkt 322 i CEEAG ydes på samme måde til alle støtteberettigede virksomheder, der opererer inden for samme erhvervssektor, og som befinder sig i samme eller lignende faktiske situation med hensyn til støtteforanstaltningens mål.</w:t>
      </w:r>
    </w:p>
    <w:p w14:paraId="2454EEE0" w14:textId="77777777" w:rsidR="00B6207C" w:rsidRPr="00584A45" w:rsidRDefault="00B6207C" w:rsidP="00B6207C">
      <w:pPr>
        <w:tabs>
          <w:tab w:val="left" w:leader="dot" w:pos="9072"/>
        </w:tabs>
        <w:ind w:left="720"/>
        <w:rPr>
          <w:noProof/>
        </w:rPr>
      </w:pPr>
      <w:r w:rsidRPr="00584A45">
        <w:rPr>
          <w:noProof/>
        </w:rPr>
        <w:tab/>
      </w:r>
    </w:p>
    <w:p w14:paraId="695CD885" w14:textId="77777777" w:rsidR="00B6207C" w:rsidRPr="00584A45" w:rsidRDefault="00B6207C" w:rsidP="00B6207C">
      <w:pPr>
        <w:pStyle w:val="ManualNumPar1"/>
        <w:rPr>
          <w:noProof/>
        </w:rPr>
      </w:pPr>
      <w:r w:rsidRPr="00A97060">
        <w:rPr>
          <w:noProof/>
        </w:rPr>
        <w:t>43.</w:t>
      </w:r>
      <w:r w:rsidRPr="00A97060">
        <w:rPr>
          <w:noProof/>
        </w:rPr>
        <w:tab/>
      </w:r>
      <w:r w:rsidRPr="00584A45">
        <w:rPr>
          <w:noProof/>
        </w:rPr>
        <w:t>For ordninger, der løber i mere end 3 år, skal det i overensstemmelse med punkt 323 i CEEAG beskrives, hvilken overvågning der vil blive foretaget for at sikre, at støtten fortsat er nødvendig, og det skal bekræftes, at ordningen vil blive evalueret mindst hvert 3. år.</w:t>
      </w:r>
    </w:p>
    <w:p w14:paraId="29EB5BA8" w14:textId="77777777" w:rsidR="00B6207C" w:rsidRPr="00584A45" w:rsidRDefault="00B6207C" w:rsidP="00B6207C">
      <w:pPr>
        <w:tabs>
          <w:tab w:val="left" w:leader="dot" w:pos="9072"/>
        </w:tabs>
        <w:ind w:left="567"/>
        <w:rPr>
          <w:noProof/>
        </w:rPr>
      </w:pPr>
      <w:bookmarkStart w:id="12" w:name="_Hlk172647548"/>
      <w:r w:rsidRPr="00584A45">
        <w:rPr>
          <w:noProof/>
        </w:rPr>
        <w:tab/>
      </w:r>
    </w:p>
    <w:bookmarkEnd w:id="12"/>
    <w:p w14:paraId="452800BE" w14:textId="77777777" w:rsidR="00B6207C" w:rsidRPr="00584A45" w:rsidRDefault="00B6207C" w:rsidP="00B6207C">
      <w:pPr>
        <w:pStyle w:val="ManualNumPar1"/>
        <w:rPr>
          <w:noProof/>
        </w:rPr>
      </w:pPr>
      <w:r w:rsidRPr="00A97060">
        <w:rPr>
          <w:noProof/>
        </w:rPr>
        <w:t>44.</w:t>
      </w:r>
      <w:r w:rsidRPr="00A97060">
        <w:rPr>
          <w:noProof/>
        </w:rPr>
        <w:tab/>
      </w:r>
      <w:r w:rsidRPr="00584A45">
        <w:rPr>
          <w:noProof/>
        </w:rPr>
        <w:t>I overensstemmelse med punkt 324 i CEEAG og afhængigt af det afsnit i CEEAG, som de støttede aktiviteter er omfattet af, skal følgende spørgsmål udfyldes i det relevante supplerende informationsskema. For projekter, der er omfattet af afsnit:</w:t>
      </w:r>
    </w:p>
    <w:p w14:paraId="2AB14228" w14:textId="77777777" w:rsidR="00B6207C" w:rsidRPr="00584A45" w:rsidRDefault="00A53CCA" w:rsidP="00B6207C">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4.2 (spørgsmål 52 i det relevante supplerende informationsskema)</w:t>
      </w:r>
    </w:p>
    <w:p w14:paraId="6D43B6CB" w14:textId="77777777" w:rsidR="00B6207C" w:rsidRPr="00584A45" w:rsidRDefault="00A53CCA" w:rsidP="00B6207C">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4.3.1 (spørgsmål 49-52 i det relevante supplerende informationsskema)</w:t>
      </w:r>
    </w:p>
    <w:p w14:paraId="59C887C6" w14:textId="77777777" w:rsidR="00B6207C" w:rsidRPr="00584A45" w:rsidRDefault="00A53CCA" w:rsidP="00B6207C">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B6207C" w:rsidRPr="00584A45">
            <w:rPr>
              <w:rFonts w:ascii="MS Gothic" w:eastAsia="MS Gothic" w:hAnsi="MS Gothic" w:cs="Wingdings" w:hint="eastAsia"/>
              <w:noProof/>
            </w:rPr>
            <w:t>☐</w:t>
          </w:r>
        </w:sdtContent>
      </w:sdt>
      <w:r w:rsidR="00B6207C" w:rsidRPr="00584A45">
        <w:rPr>
          <w:noProof/>
        </w:rPr>
        <w:t xml:space="preserve"> 4.3.2 (spørgsmål 46-55 i det relevante supplerende informationsskema)</w:t>
      </w:r>
    </w:p>
    <w:p w14:paraId="7D0DA4D9" w14:textId="77777777" w:rsidR="00B6207C" w:rsidRPr="00584A45" w:rsidRDefault="00B6207C" w:rsidP="00B6207C">
      <w:pPr>
        <w:tabs>
          <w:tab w:val="left" w:leader="dot" w:pos="9072"/>
        </w:tabs>
        <w:ind w:left="567"/>
        <w:rPr>
          <w:noProof/>
        </w:rPr>
      </w:pPr>
      <w:r w:rsidRPr="00584A45">
        <w:rPr>
          <w:noProof/>
        </w:rPr>
        <w:tab/>
      </w:r>
    </w:p>
    <w:p w14:paraId="0F7A0495" w14:textId="77777777" w:rsidR="00B6207C" w:rsidRPr="00584A45" w:rsidRDefault="00B6207C" w:rsidP="00B6207C">
      <w:pPr>
        <w:pStyle w:val="ManualHeading1"/>
        <w:rPr>
          <w:noProof/>
        </w:rPr>
      </w:pPr>
      <w:r w:rsidRPr="00A97060">
        <w:rPr>
          <w:noProof/>
        </w:rPr>
        <w:lastRenderedPageBreak/>
        <w:t>3.</w:t>
      </w:r>
      <w:r w:rsidRPr="00A97060">
        <w:rPr>
          <w:noProof/>
        </w:rPr>
        <w:tab/>
      </w:r>
      <w:r w:rsidRPr="00584A45">
        <w:rPr>
          <w:noProof/>
        </w:rPr>
        <w:t>Afvejning af støttens positive virkninger i forhold til de negative virkninger for konkurrencen og samhandelen</w:t>
      </w:r>
    </w:p>
    <w:p w14:paraId="570E8365" w14:textId="77777777" w:rsidR="00B6207C" w:rsidRPr="00584A45" w:rsidRDefault="00B6207C" w:rsidP="00B6207C">
      <w:pPr>
        <w:spacing w:before="360"/>
        <w:rPr>
          <w:i/>
          <w:noProof/>
          <w:color w:val="000000"/>
        </w:rPr>
      </w:pPr>
      <w:r w:rsidRPr="00584A45">
        <w:rPr>
          <w:i/>
          <w:noProof/>
        </w:rPr>
        <w:t>Med henblik på angivelsen af oplysningerne i dette afsnit henvises til afsnit 3.3, punkt 71-76, i CEEAG.</w:t>
      </w:r>
      <w:r w:rsidRPr="00584A45">
        <w:rPr>
          <w:i/>
          <w:noProof/>
          <w:color w:val="000000"/>
        </w:rPr>
        <w:t xml:space="preserve"> </w:t>
      </w:r>
    </w:p>
    <w:p w14:paraId="62D3AD87" w14:textId="77777777" w:rsidR="00B6207C" w:rsidRPr="00584A45" w:rsidRDefault="00B6207C" w:rsidP="00B6207C">
      <w:pPr>
        <w:pStyle w:val="ManualNumPar1"/>
        <w:rPr>
          <w:noProof/>
        </w:rPr>
      </w:pPr>
      <w:r w:rsidRPr="00A97060">
        <w:rPr>
          <w:noProof/>
        </w:rPr>
        <w:t>45.</w:t>
      </w:r>
      <w:r w:rsidRPr="00A97060">
        <w:rPr>
          <w:noProof/>
        </w:rPr>
        <w:tab/>
      </w:r>
      <w:r w:rsidRPr="00584A45">
        <w:rPr>
          <w:noProof/>
        </w:rPr>
        <w:t>Med henblik på at påvise overholdelsen af punkt 72 i CEEAG skal det forklares, om de aktiviteter, der støttes i henhold til den eller de anmeldte foranstaltninger, opfylder kriterierne for miljømæssigt bæredygtige økonomiske aktiviteter i artikel 3 i Europa-Parlamentets og Rådets forordning (EU) 2020/852</w:t>
      </w:r>
      <w:r w:rsidRPr="00584A45">
        <w:rPr>
          <w:rStyle w:val="FootnoteReference"/>
          <w:noProof/>
          <w:lang w:eastAsia="en-GB"/>
        </w:rPr>
        <w:footnoteReference w:id="9"/>
      </w:r>
      <w:r w:rsidRPr="00584A45">
        <w:rPr>
          <w:noProof/>
        </w:rPr>
        <w:t>, herunder princippet om "ikke at gøre væsentlig skade", eller andre sammenlignelige metoder.</w:t>
      </w:r>
    </w:p>
    <w:p w14:paraId="6DB50D33" w14:textId="77777777" w:rsidR="00B6207C" w:rsidRPr="00584A45" w:rsidRDefault="00B6207C" w:rsidP="00B6207C">
      <w:pPr>
        <w:tabs>
          <w:tab w:val="left" w:leader="dot" w:pos="9072"/>
        </w:tabs>
        <w:ind w:left="567"/>
        <w:rPr>
          <w:noProof/>
        </w:rPr>
      </w:pPr>
      <w:r w:rsidRPr="00584A45">
        <w:rPr>
          <w:noProof/>
        </w:rPr>
        <w:tab/>
      </w:r>
    </w:p>
    <w:p w14:paraId="55C852B7" w14:textId="77777777" w:rsidR="00B6207C" w:rsidRPr="00584A45" w:rsidRDefault="00B6207C" w:rsidP="00B6207C">
      <w:pPr>
        <w:pStyle w:val="ManualHeading2"/>
        <w:rPr>
          <w:noProof/>
        </w:rPr>
      </w:pPr>
      <w:r w:rsidRPr="00584A45">
        <w:rPr>
          <w:noProof/>
        </w:rPr>
        <w:t>Afsnit C: Evaluering</w:t>
      </w:r>
    </w:p>
    <w:p w14:paraId="011A139F" w14:textId="77777777" w:rsidR="00B6207C" w:rsidRPr="00584A45" w:rsidRDefault="00B6207C" w:rsidP="00B6207C">
      <w:pPr>
        <w:tabs>
          <w:tab w:val="left" w:leader="dot" w:pos="9072"/>
        </w:tabs>
        <w:rPr>
          <w:noProof/>
        </w:rPr>
      </w:pPr>
      <w:r w:rsidRPr="00584A45">
        <w:rPr>
          <w:i/>
          <w:noProof/>
        </w:rPr>
        <w:t>Med henblik på angivelsen af oplysningerne i dette afsnit henvises til afsnit 5, punkt 455-463, i CEEAG.</w:t>
      </w:r>
    </w:p>
    <w:p w14:paraId="606F65C5" w14:textId="77777777" w:rsidR="00B6207C" w:rsidRPr="00584A45" w:rsidRDefault="00B6207C" w:rsidP="00B6207C">
      <w:pPr>
        <w:pStyle w:val="ManualNumPar1"/>
        <w:rPr>
          <w:noProof/>
        </w:rPr>
      </w:pPr>
      <w:r w:rsidRPr="00A97060">
        <w:rPr>
          <w:noProof/>
        </w:rPr>
        <w:t>46.</w:t>
      </w:r>
      <w:r w:rsidRPr="00A97060">
        <w:rPr>
          <w:noProof/>
        </w:rPr>
        <w:tab/>
      </w:r>
      <w:r w:rsidRPr="00584A45">
        <w:rPr>
          <w:noProof/>
        </w:rPr>
        <w:t>Hvis den anmeldte foranstaltning overskrider budget- eller udgiftstærsklerne i punkt 456 i CEEAG, skal det enten forklares, hvorfor undtagelsen i punkt 457 i CEEAG efter jeres mening bør finde anvendelse, eller der skal vedlægges et bilag til dette supplerende informationsskema, som indeholder et udkast til evalueringsplan, der dækker det anvendelsesområde, der er nævnt i punkt 458 i CEEAG</w:t>
      </w:r>
      <w:r w:rsidRPr="00584A45">
        <w:rPr>
          <w:rStyle w:val="FootnoteReference"/>
          <w:noProof/>
          <w:lang w:eastAsia="en-GB"/>
        </w:rPr>
        <w:footnoteReference w:id="10"/>
      </w:r>
      <w:r w:rsidRPr="00584A45">
        <w:rPr>
          <w:noProof/>
        </w:rPr>
        <w:t>.</w:t>
      </w:r>
    </w:p>
    <w:p w14:paraId="4E17D656" w14:textId="77777777" w:rsidR="00B6207C" w:rsidRPr="00584A45" w:rsidRDefault="00B6207C" w:rsidP="00B6207C">
      <w:pPr>
        <w:tabs>
          <w:tab w:val="left" w:leader="dot" w:pos="9072"/>
        </w:tabs>
        <w:ind w:left="567"/>
        <w:rPr>
          <w:noProof/>
        </w:rPr>
      </w:pPr>
      <w:r w:rsidRPr="00584A45">
        <w:rPr>
          <w:noProof/>
        </w:rPr>
        <w:tab/>
      </w:r>
    </w:p>
    <w:p w14:paraId="15237197" w14:textId="77777777" w:rsidR="00B6207C" w:rsidRPr="00584A45" w:rsidRDefault="00B6207C" w:rsidP="00B6207C">
      <w:pPr>
        <w:pStyle w:val="ManualNumPar1"/>
        <w:rPr>
          <w:noProof/>
        </w:rPr>
      </w:pPr>
      <w:r w:rsidRPr="00A97060">
        <w:rPr>
          <w:noProof/>
        </w:rPr>
        <w:t>47.</w:t>
      </w:r>
      <w:r w:rsidRPr="00A97060">
        <w:rPr>
          <w:noProof/>
        </w:rPr>
        <w:tab/>
      </w:r>
      <w:r w:rsidRPr="00584A45">
        <w:rPr>
          <w:noProof/>
        </w:rPr>
        <w:t>Hvis der fremlægges et udkast til evalueringsplan, skal der:</w:t>
      </w:r>
    </w:p>
    <w:p w14:paraId="0BC97018" w14:textId="77777777" w:rsidR="00B6207C" w:rsidRPr="00584A45" w:rsidRDefault="00B6207C" w:rsidP="00B6207C">
      <w:pPr>
        <w:pStyle w:val="Point1"/>
        <w:rPr>
          <w:noProof/>
        </w:rPr>
      </w:pPr>
      <w:r w:rsidRPr="00A97060">
        <w:rPr>
          <w:noProof/>
        </w:rPr>
        <w:t>(a)</w:t>
      </w:r>
      <w:r w:rsidRPr="00A97060">
        <w:rPr>
          <w:noProof/>
        </w:rPr>
        <w:tab/>
      </w:r>
      <w:r w:rsidRPr="00584A45">
        <w:rPr>
          <w:noProof/>
        </w:rPr>
        <w:t>nedenfor gives et resumé af udkastet til evalueringsplanen i bilaget</w:t>
      </w:r>
    </w:p>
    <w:p w14:paraId="2E8F64B9" w14:textId="77777777" w:rsidR="00B6207C" w:rsidRPr="00584A45" w:rsidRDefault="00B6207C" w:rsidP="00B6207C">
      <w:pPr>
        <w:tabs>
          <w:tab w:val="left" w:leader="dot" w:pos="9072"/>
        </w:tabs>
        <w:ind w:left="567"/>
        <w:rPr>
          <w:noProof/>
        </w:rPr>
      </w:pPr>
      <w:r w:rsidRPr="00584A45">
        <w:rPr>
          <w:noProof/>
        </w:rPr>
        <w:tab/>
      </w:r>
    </w:p>
    <w:p w14:paraId="67683612" w14:textId="77777777" w:rsidR="00B6207C" w:rsidRPr="00584A45" w:rsidRDefault="00B6207C" w:rsidP="00B6207C">
      <w:pPr>
        <w:pStyle w:val="Point1"/>
        <w:rPr>
          <w:noProof/>
        </w:rPr>
      </w:pPr>
      <w:r w:rsidRPr="00A97060">
        <w:rPr>
          <w:noProof/>
        </w:rPr>
        <w:t>(b)</w:t>
      </w:r>
      <w:r w:rsidRPr="00A97060">
        <w:rPr>
          <w:noProof/>
        </w:rPr>
        <w:tab/>
      </w:r>
      <w:r w:rsidRPr="00584A45">
        <w:rPr>
          <w:noProof/>
        </w:rPr>
        <w:t>gives en bekræftelse af, at punkt 460 i CEEAG vil blive overholdt</w:t>
      </w:r>
    </w:p>
    <w:p w14:paraId="0BC8B9DF" w14:textId="77777777" w:rsidR="00B6207C" w:rsidRPr="00584A45" w:rsidRDefault="00B6207C" w:rsidP="00B6207C">
      <w:pPr>
        <w:tabs>
          <w:tab w:val="left" w:leader="dot" w:pos="9072"/>
        </w:tabs>
        <w:ind w:left="567"/>
        <w:rPr>
          <w:noProof/>
        </w:rPr>
      </w:pPr>
      <w:r w:rsidRPr="00584A45">
        <w:rPr>
          <w:noProof/>
        </w:rPr>
        <w:tab/>
      </w:r>
    </w:p>
    <w:p w14:paraId="2CCBB3C9" w14:textId="77777777" w:rsidR="00B6207C" w:rsidRPr="00584A45" w:rsidRDefault="00B6207C" w:rsidP="00B6207C">
      <w:pPr>
        <w:pStyle w:val="Point1"/>
        <w:rPr>
          <w:noProof/>
        </w:rPr>
      </w:pPr>
      <w:r w:rsidRPr="00A97060">
        <w:rPr>
          <w:noProof/>
        </w:rPr>
        <w:t>(c)</w:t>
      </w:r>
      <w:r w:rsidRPr="00A97060">
        <w:rPr>
          <w:noProof/>
        </w:rPr>
        <w:tab/>
      </w:r>
      <w:r w:rsidRPr="00584A45">
        <w:rPr>
          <w:noProof/>
        </w:rPr>
        <w:t>angives den dato og det internetlink, hvor evalueringsplanen offentliggøres.</w:t>
      </w:r>
    </w:p>
    <w:p w14:paraId="4FE47E29" w14:textId="77777777" w:rsidR="00B6207C" w:rsidRPr="00584A45" w:rsidRDefault="00B6207C" w:rsidP="00B6207C">
      <w:pPr>
        <w:tabs>
          <w:tab w:val="left" w:leader="dot" w:pos="9072"/>
        </w:tabs>
        <w:ind w:left="567"/>
        <w:rPr>
          <w:noProof/>
        </w:rPr>
      </w:pPr>
      <w:r w:rsidRPr="00584A45">
        <w:rPr>
          <w:noProof/>
        </w:rPr>
        <w:tab/>
      </w:r>
    </w:p>
    <w:p w14:paraId="75B377F9" w14:textId="77777777" w:rsidR="00B6207C" w:rsidRPr="00584A45" w:rsidRDefault="00B6207C" w:rsidP="00B6207C">
      <w:pPr>
        <w:pStyle w:val="ManualNumPar1"/>
        <w:rPr>
          <w:noProof/>
        </w:rPr>
      </w:pPr>
      <w:r w:rsidRPr="00A97060">
        <w:rPr>
          <w:noProof/>
        </w:rPr>
        <w:t>48.</w:t>
      </w:r>
      <w:r w:rsidRPr="00A97060">
        <w:rPr>
          <w:noProof/>
        </w:rPr>
        <w:tab/>
      </w:r>
      <w:r w:rsidRPr="00584A45">
        <w:rPr>
          <w:noProof/>
        </w:rP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varighed. </w:t>
      </w:r>
    </w:p>
    <w:p w14:paraId="010E763C" w14:textId="77777777" w:rsidR="00B6207C" w:rsidRPr="00584A45" w:rsidRDefault="00B6207C" w:rsidP="00B6207C">
      <w:pPr>
        <w:tabs>
          <w:tab w:val="left" w:leader="dot" w:pos="9072"/>
        </w:tabs>
        <w:ind w:left="567"/>
        <w:rPr>
          <w:noProof/>
        </w:rPr>
      </w:pPr>
      <w:r w:rsidRPr="00584A45">
        <w:rPr>
          <w:noProof/>
        </w:rPr>
        <w:tab/>
      </w:r>
    </w:p>
    <w:p w14:paraId="22DA8921" w14:textId="77777777" w:rsidR="00B6207C" w:rsidRPr="00584A45" w:rsidRDefault="00B6207C" w:rsidP="00B6207C">
      <w:pPr>
        <w:pStyle w:val="ManualNumPar1"/>
        <w:rPr>
          <w:noProof/>
        </w:rPr>
      </w:pPr>
      <w:r w:rsidRPr="00A97060">
        <w:rPr>
          <w:noProof/>
        </w:rPr>
        <w:t>49.</w:t>
      </w:r>
      <w:r w:rsidRPr="00A97060">
        <w:rPr>
          <w:noProof/>
        </w:rPr>
        <w:tab/>
      </w:r>
      <w:r w:rsidRPr="00584A45">
        <w:rPr>
          <w:noProof/>
        </w:rPr>
        <w:t xml:space="preserve">For at påvise overholdelsen af punkt 459, litra c), i CEEAG skal der, såfremt støtteordningen i øjeblikket ikke er genstand for en efterfølgende evaluering, </w:t>
      </w:r>
      <w:r w:rsidRPr="00584A45">
        <w:rPr>
          <w:noProof/>
        </w:rPr>
        <w:lastRenderedPageBreak/>
        <w:t xml:space="preserve">nedenfor gives et tilsagn om, at medlemsstaten vil fremsende et udkast til evalueringsplan inden for 30 arbejdsdage efter registrering i de officielle regnskaber af udgifter på over 150 mio. EUR i det foregående år. </w:t>
      </w:r>
    </w:p>
    <w:p w14:paraId="34CB8CB5" w14:textId="77777777" w:rsidR="00B6207C" w:rsidRPr="00584A45" w:rsidRDefault="00B6207C" w:rsidP="00B6207C">
      <w:pPr>
        <w:tabs>
          <w:tab w:val="left" w:leader="dot" w:pos="9072"/>
        </w:tabs>
        <w:ind w:left="567"/>
        <w:rPr>
          <w:noProof/>
        </w:rPr>
      </w:pPr>
      <w:r w:rsidRPr="00584A45">
        <w:rPr>
          <w:noProof/>
        </w:rPr>
        <w:tab/>
      </w:r>
    </w:p>
    <w:p w14:paraId="7FE1D94C" w14:textId="77777777" w:rsidR="00B6207C" w:rsidRPr="00584A45" w:rsidRDefault="00B6207C" w:rsidP="00B6207C">
      <w:pPr>
        <w:pStyle w:val="ManualNumPar1"/>
        <w:rPr>
          <w:noProof/>
        </w:rPr>
      </w:pPr>
      <w:r w:rsidRPr="00A97060">
        <w:rPr>
          <w:noProof/>
        </w:rPr>
        <w:t>50.</w:t>
      </w:r>
      <w:r w:rsidRPr="00A97060">
        <w:rPr>
          <w:noProof/>
        </w:rPr>
        <w:tab/>
      </w:r>
      <w:r w:rsidRPr="00584A45">
        <w:rPr>
          <w:noProof/>
        </w:rPr>
        <w:t>Med henblik på at påvise overholdelsen af punkt 461 i CEEAG:</w:t>
      </w:r>
    </w:p>
    <w:p w14:paraId="165A437E" w14:textId="77777777" w:rsidR="00B6207C" w:rsidRPr="00584A45" w:rsidRDefault="00B6207C" w:rsidP="00B6207C">
      <w:pPr>
        <w:pStyle w:val="Point1"/>
        <w:rPr>
          <w:noProof/>
        </w:rPr>
      </w:pPr>
      <w:r w:rsidRPr="00A97060">
        <w:rPr>
          <w:noProof/>
        </w:rPr>
        <w:t>(a)</w:t>
      </w:r>
      <w:r w:rsidRPr="00A97060">
        <w:rPr>
          <w:noProof/>
        </w:rPr>
        <w:tab/>
      </w:r>
      <w:r w:rsidRPr="00584A45">
        <w:rPr>
          <w:noProof/>
        </w:rPr>
        <w:t>Angiv, om den uafhængige ekspert allerede er blevet udvalgt eller vil blive udvalgt senere.</w:t>
      </w:r>
    </w:p>
    <w:p w14:paraId="1FDBF2D8" w14:textId="77777777" w:rsidR="00B6207C" w:rsidRPr="00584A45" w:rsidRDefault="00B6207C" w:rsidP="00B6207C">
      <w:pPr>
        <w:tabs>
          <w:tab w:val="left" w:leader="dot" w:pos="9072"/>
        </w:tabs>
        <w:ind w:left="567"/>
        <w:rPr>
          <w:noProof/>
        </w:rPr>
      </w:pPr>
      <w:r w:rsidRPr="00584A45">
        <w:rPr>
          <w:noProof/>
        </w:rPr>
        <w:tab/>
      </w:r>
    </w:p>
    <w:p w14:paraId="5400198A" w14:textId="77777777" w:rsidR="00B6207C" w:rsidRPr="00584A45" w:rsidRDefault="00B6207C" w:rsidP="00B6207C">
      <w:pPr>
        <w:pStyle w:val="Point1"/>
        <w:rPr>
          <w:noProof/>
        </w:rPr>
      </w:pPr>
      <w:r w:rsidRPr="00A97060">
        <w:rPr>
          <w:noProof/>
        </w:rPr>
        <w:t>(b)</w:t>
      </w:r>
      <w:r w:rsidRPr="00A97060">
        <w:rPr>
          <w:noProof/>
        </w:rPr>
        <w:tab/>
      </w:r>
      <w:r w:rsidRPr="00584A45">
        <w:rPr>
          <w:noProof/>
        </w:rPr>
        <w:t>Angiv oplysninger om proceduren for udvælgelse af eksperten.</w:t>
      </w:r>
    </w:p>
    <w:p w14:paraId="22E0B181" w14:textId="77777777" w:rsidR="00B6207C" w:rsidRPr="00584A45" w:rsidRDefault="00B6207C" w:rsidP="00B6207C">
      <w:pPr>
        <w:tabs>
          <w:tab w:val="left" w:leader="dot" w:pos="9072"/>
        </w:tabs>
        <w:ind w:left="567"/>
        <w:rPr>
          <w:noProof/>
        </w:rPr>
      </w:pPr>
      <w:r w:rsidRPr="00584A45">
        <w:rPr>
          <w:noProof/>
        </w:rPr>
        <w:tab/>
      </w:r>
    </w:p>
    <w:p w14:paraId="21066AB2" w14:textId="77777777" w:rsidR="00B6207C" w:rsidRPr="00584A45" w:rsidRDefault="00B6207C" w:rsidP="00B6207C">
      <w:pPr>
        <w:pStyle w:val="Point1"/>
        <w:rPr>
          <w:noProof/>
        </w:rPr>
      </w:pPr>
      <w:r w:rsidRPr="00A97060">
        <w:rPr>
          <w:noProof/>
        </w:rPr>
        <w:t>(c)</w:t>
      </w:r>
      <w:r w:rsidRPr="00A97060">
        <w:rPr>
          <w:noProof/>
        </w:rPr>
        <w:tab/>
      </w:r>
      <w:r w:rsidRPr="00584A45">
        <w:rPr>
          <w:noProof/>
        </w:rPr>
        <w:t xml:space="preserve">Begrund, hvordan eksperten er uafhængig af den støttetildelende myndighed. </w:t>
      </w:r>
    </w:p>
    <w:p w14:paraId="0E37F76C" w14:textId="77777777" w:rsidR="00B6207C" w:rsidRPr="00584A45" w:rsidRDefault="00B6207C" w:rsidP="00B6207C">
      <w:pPr>
        <w:tabs>
          <w:tab w:val="left" w:leader="dot" w:pos="9072"/>
        </w:tabs>
        <w:ind w:left="567"/>
        <w:rPr>
          <w:noProof/>
        </w:rPr>
      </w:pPr>
      <w:r w:rsidRPr="00584A45">
        <w:rPr>
          <w:noProof/>
        </w:rPr>
        <w:tab/>
      </w:r>
    </w:p>
    <w:p w14:paraId="141BAC06" w14:textId="77777777" w:rsidR="00B6207C" w:rsidRPr="00584A45" w:rsidRDefault="00B6207C" w:rsidP="00B6207C">
      <w:pPr>
        <w:pStyle w:val="ManualNumPar1"/>
        <w:rPr>
          <w:noProof/>
        </w:rPr>
      </w:pPr>
      <w:r w:rsidRPr="00A97060">
        <w:rPr>
          <w:noProof/>
        </w:rPr>
        <w:t>51.</w:t>
      </w:r>
      <w:r w:rsidRPr="00A97060">
        <w:rPr>
          <w:noProof/>
        </w:rPr>
        <w:tab/>
      </w:r>
      <w:r w:rsidRPr="00584A45">
        <w:rPr>
          <w:noProof/>
        </w:rPr>
        <w:t xml:space="preserve">Med henblik på at påvise overholdelsen af punkt 461 i CEEAG: </w:t>
      </w:r>
    </w:p>
    <w:p w14:paraId="04A32817" w14:textId="77777777" w:rsidR="00B6207C" w:rsidRPr="00584A45" w:rsidRDefault="00B6207C" w:rsidP="00B6207C">
      <w:pPr>
        <w:pStyle w:val="Point1"/>
        <w:rPr>
          <w:noProof/>
        </w:rPr>
      </w:pPr>
      <w:r w:rsidRPr="00A97060">
        <w:rPr>
          <w:noProof/>
        </w:rPr>
        <w:t>(a)</w:t>
      </w:r>
      <w:r w:rsidRPr="00A97060">
        <w:rPr>
          <w:noProof/>
        </w:rPr>
        <w:tab/>
      </w:r>
      <w:r w:rsidRPr="00584A45">
        <w:rPr>
          <w:noProof/>
        </w:rP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0245BFE5" w14:textId="77777777" w:rsidR="00B6207C" w:rsidRPr="00584A45" w:rsidRDefault="00B6207C" w:rsidP="00B6207C">
      <w:pPr>
        <w:tabs>
          <w:tab w:val="left" w:leader="dot" w:pos="9072"/>
        </w:tabs>
        <w:ind w:left="567"/>
        <w:rPr>
          <w:noProof/>
        </w:rPr>
      </w:pPr>
      <w:r w:rsidRPr="00584A45">
        <w:rPr>
          <w:noProof/>
        </w:rPr>
        <w:tab/>
      </w:r>
    </w:p>
    <w:p w14:paraId="48DF56E2" w14:textId="77777777" w:rsidR="00B6207C" w:rsidRPr="00584A45" w:rsidRDefault="00B6207C" w:rsidP="00B6207C">
      <w:pPr>
        <w:pStyle w:val="Point1"/>
        <w:rPr>
          <w:noProof/>
        </w:rPr>
      </w:pPr>
      <w:r w:rsidRPr="00A97060">
        <w:rPr>
          <w:noProof/>
        </w:rPr>
        <w:t>(b)</w:t>
      </w:r>
      <w:r w:rsidRPr="00A97060">
        <w:rPr>
          <w:noProof/>
        </w:rPr>
        <w:tab/>
      </w:r>
      <w:r w:rsidRPr="00584A45">
        <w:rPr>
          <w:noProof/>
        </w:rPr>
        <w:t xml:space="preserve">Bekræft, at midtvejsrapporten og den endelige evalueringsrapport vil blive offentliggjort. Angiv den dato og det internetlink, hvor disse rapporter offentliggøres. </w:t>
      </w:r>
    </w:p>
    <w:p w14:paraId="3B14F9C4" w14:textId="77777777" w:rsidR="00B6207C" w:rsidRPr="00584A45" w:rsidRDefault="00B6207C" w:rsidP="00B6207C">
      <w:pPr>
        <w:tabs>
          <w:tab w:val="left" w:leader="dot" w:pos="9072"/>
        </w:tabs>
        <w:ind w:left="567"/>
        <w:rPr>
          <w:noProof/>
        </w:rPr>
      </w:pPr>
      <w:r w:rsidRPr="00584A45">
        <w:rPr>
          <w:noProof/>
        </w:rPr>
        <w:tab/>
      </w:r>
    </w:p>
    <w:p w14:paraId="2EBEA0A2" w14:textId="77777777" w:rsidR="00B6207C" w:rsidRPr="00584A45" w:rsidRDefault="00B6207C" w:rsidP="00B6207C">
      <w:pPr>
        <w:pStyle w:val="ManualHeading2"/>
        <w:rPr>
          <w:noProof/>
        </w:rPr>
      </w:pPr>
      <w:r w:rsidRPr="00584A45">
        <w:rPr>
          <w:noProof/>
        </w:rPr>
        <w:t>Afsnit D – Rapportering og overvågning</w:t>
      </w:r>
    </w:p>
    <w:p w14:paraId="622524D1" w14:textId="77777777" w:rsidR="00B6207C" w:rsidRPr="00584A45" w:rsidRDefault="00B6207C" w:rsidP="00B6207C">
      <w:pPr>
        <w:tabs>
          <w:tab w:val="left" w:leader="dot" w:pos="9072"/>
        </w:tabs>
        <w:ind w:left="567"/>
        <w:rPr>
          <w:noProof/>
        </w:rPr>
      </w:pPr>
      <w:r w:rsidRPr="00584A45">
        <w:rPr>
          <w:i/>
          <w:noProof/>
        </w:rPr>
        <w:t>Med henblik på angivelsen af oplysningerne i dette afsnit henvises til afsnit 6, punkt 464-465, i CEEAG.</w:t>
      </w:r>
    </w:p>
    <w:p w14:paraId="46024815" w14:textId="77777777" w:rsidR="00B6207C" w:rsidRPr="00584A45" w:rsidRDefault="00B6207C" w:rsidP="00B6207C">
      <w:pPr>
        <w:pStyle w:val="ManualNumPar1"/>
        <w:rPr>
          <w:noProof/>
        </w:rPr>
      </w:pPr>
      <w:r w:rsidRPr="00A97060">
        <w:rPr>
          <w:noProof/>
        </w:rPr>
        <w:t>52.</w:t>
      </w:r>
      <w:r w:rsidRPr="00A97060">
        <w:rPr>
          <w:noProof/>
        </w:rPr>
        <w:tab/>
      </w:r>
      <w:r w:rsidRPr="00584A45">
        <w:rPr>
          <w:noProof/>
        </w:rPr>
        <w:t>Bekræft, at medlemsstaten vil opfylde kravene om rapportering og overvågning i afsnit 6, punkt 464-465, i CEEAG.</w:t>
      </w:r>
    </w:p>
    <w:p w14:paraId="60942585" w14:textId="77777777" w:rsidR="00B6207C" w:rsidRPr="00584A45" w:rsidRDefault="00B6207C" w:rsidP="00B6207C">
      <w:pPr>
        <w:tabs>
          <w:tab w:val="left" w:leader="dot" w:pos="9072"/>
        </w:tabs>
        <w:ind w:left="567"/>
        <w:rPr>
          <w:noProof/>
        </w:rPr>
      </w:pPr>
      <w:r w:rsidRPr="00584A45">
        <w:rPr>
          <w:noProof/>
        </w:rPr>
        <w:tab/>
      </w:r>
    </w:p>
    <w:p w14:paraId="2D4B4897"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A976A" w14:textId="77777777" w:rsidR="00B6207C" w:rsidRDefault="00B6207C" w:rsidP="00B6207C">
      <w:pPr>
        <w:spacing w:before="0" w:after="0"/>
      </w:pPr>
      <w:r>
        <w:separator/>
      </w:r>
    </w:p>
  </w:endnote>
  <w:endnote w:type="continuationSeparator" w:id="0">
    <w:p w14:paraId="383AEB60" w14:textId="77777777" w:rsidR="00B6207C" w:rsidRDefault="00B6207C" w:rsidP="00B620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9B7" w14:textId="77777777" w:rsidR="00B6207C" w:rsidRDefault="00B620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467DB" w14:textId="40666630" w:rsidR="00B6207C" w:rsidRDefault="00B6207C" w:rsidP="00B6207C">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2BC3" w14:textId="77777777" w:rsidR="00B6207C" w:rsidRDefault="00B620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5143E" w14:textId="77777777" w:rsidR="00B6207C" w:rsidRDefault="00B6207C" w:rsidP="00B6207C">
      <w:pPr>
        <w:spacing w:before="0" w:after="0"/>
      </w:pPr>
      <w:r>
        <w:separator/>
      </w:r>
    </w:p>
  </w:footnote>
  <w:footnote w:type="continuationSeparator" w:id="0">
    <w:p w14:paraId="2E9ED9F4" w14:textId="77777777" w:rsidR="00B6207C" w:rsidRDefault="00B6207C" w:rsidP="00B6207C">
      <w:pPr>
        <w:spacing w:before="0" w:after="0"/>
      </w:pPr>
      <w:r>
        <w:continuationSeparator/>
      </w:r>
    </w:p>
  </w:footnote>
  <w:footnote w:id="1">
    <w:p w14:paraId="2E703BA1" w14:textId="77777777" w:rsidR="00B6207C" w:rsidRPr="00B429BF" w:rsidRDefault="00B6207C" w:rsidP="00B6207C">
      <w:pPr>
        <w:pStyle w:val="FootnoteText"/>
      </w:pPr>
      <w:r>
        <w:rPr>
          <w:rStyle w:val="FootnoteReference"/>
        </w:rPr>
        <w:footnoteRef/>
      </w:r>
      <w:r>
        <w:tab/>
        <w:t xml:space="preserve">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 </w:t>
      </w:r>
    </w:p>
  </w:footnote>
  <w:footnote w:id="2">
    <w:p w14:paraId="22AC60F0" w14:textId="77777777" w:rsidR="00B6207C" w:rsidRPr="00B429BF" w:rsidRDefault="00B6207C" w:rsidP="00B6207C">
      <w:pPr>
        <w:pStyle w:val="FootnoteText"/>
      </w:pPr>
      <w:r>
        <w:rPr>
          <w:rStyle w:val="FootnoteReference"/>
        </w:rPr>
        <w:footnoteRef/>
      </w:r>
      <w:r>
        <w:tab/>
        <w:t>Bemærk, at en ændring af det faktiske eller anslåede budget kan være en ændring af støtten, som kræver en ny anmeldelse.</w:t>
      </w:r>
    </w:p>
  </w:footnote>
  <w:footnote w:id="3">
    <w:p w14:paraId="4A0F9BAC" w14:textId="77777777" w:rsidR="00B6207C" w:rsidRPr="00B429BF" w:rsidRDefault="00B6207C" w:rsidP="00B6207C">
      <w:pPr>
        <w:pStyle w:val="FootnoteText"/>
      </w:pPr>
      <w:r>
        <w:rPr>
          <w:rStyle w:val="FootnoteReference"/>
        </w:rPr>
        <w:footnoteRef/>
      </w:r>
      <w:r>
        <w:tab/>
        <w:t>Bemærk, at punkt 38 og 52 samt fodnote 39 og 45 i CEEAG giver yderligere vejledning i, hvordan det sandsynlige kontrafaktiske scenario bør udfærdiges.</w:t>
      </w:r>
    </w:p>
  </w:footnote>
  <w:footnote w:id="4">
    <w:p w14:paraId="53D3F012" w14:textId="77777777" w:rsidR="00B6207C" w:rsidRPr="00B429BF" w:rsidRDefault="00B6207C" w:rsidP="00B6207C">
      <w:pPr>
        <w:pStyle w:val="FootnoteText"/>
      </w:pPr>
      <w:r>
        <w:rPr>
          <w:rStyle w:val="FootnoteReference"/>
        </w:rPr>
        <w:footnoteRef/>
      </w:r>
      <w:r>
        <w:tab/>
        <w:t xml:space="preserve">"Referenceprojekt" er defineret i punkt 19, nr. 63, i CEEAG. </w:t>
      </w:r>
    </w:p>
  </w:footnote>
  <w:footnote w:id="5">
    <w:p w14:paraId="04ADD389" w14:textId="77777777" w:rsidR="00B6207C" w:rsidRPr="00B429BF" w:rsidRDefault="00B6207C" w:rsidP="00B6207C">
      <w:pPr>
        <w:pStyle w:val="FootnoteText"/>
      </w:pPr>
      <w:r>
        <w:rPr>
          <w:rStyle w:val="FootnoteReference"/>
        </w:rPr>
        <w:footnoteRef/>
      </w:r>
      <w:r>
        <w:tab/>
      </w:r>
      <w:bookmarkStart w:id="7" w:name="_Hlk170923537"/>
      <w:r>
        <w:t xml:space="preserve">Hvis foranstaltningen f.eks. består i en nedsættelse af registreringsafgiften på elbiler, skal medlemsstaten først sammenligne rentabiliteten af referenceprojektet (anskaffelse af en flåde af elbiler) og det kontrafaktiske projekt (f.eks. erhvervelse af en flåde af benzinbiler) og i begge scenarier anvende den normale registreringsafgift for biler. Derefter skal medlemsstaten påvise, at nedsættelsen af registreringsafgiften for elbiler vil tilskynde støttemodtageren til at erhverve elbilparken ved at sammenligne referenceprojektets rentabilitet </w:t>
      </w:r>
      <w:r>
        <w:rPr>
          <w:u w:val="single"/>
        </w:rPr>
        <w:t>med</w:t>
      </w:r>
      <w:r>
        <w:t xml:space="preserve"> afgiftslempelsen (dvs. anskaffelse af en flåde af elbiler ved anvendelse en nedsat registreringsafgift) og rentabiliteten af det kontrafaktiske projekt (dvs. anskaffelse af en flåde af benzinbiler ved anvendelse af den normale registreringsafgift). Et andet eksempel kunne være en foranstaltning med et yderligere omkostningsfradrag på 40 % i det skattepligtige indkomstgrundlag ud over de normale skattemæssige afskrivninger for investeringer i miljøvenlige maskiner. I så fald skal medlemsstaten sammenligne rentabiliteten af referenceprojektet (anskaffelse af miljøvenlige maskiner) og det kontrafaktiske projekt (f.eks. anskaffelse af standardmaskiner) og i begge scenarier anvende de almindelige afskrivningsregler til skattemæssige formål og den samme afskrivningsperiode. Derefter skal medlemsstaten påvise, at den yderligere reduktion på 40 % af investeringsomkostningerne til miljøvenlige maskiner i beskatningsgrundlaget (dvs. i en samlet afskrivning på 140 % af omkostningerne i maskinernes levetid) ville tilskynde støttemodtageren til at erhverve denne dyrere udgave. Dette kan ske ved at sammenligne referenceprojektets rentabilitet </w:t>
      </w:r>
      <w:r>
        <w:rPr>
          <w:u w:val="single"/>
        </w:rPr>
        <w:t>med</w:t>
      </w:r>
      <w:r>
        <w:t xml:space="preserve"> skattenedsættelsen (dvs. det endelige skattebeløb, der skal betales efter anvendelse af det yderligere fradrag i beskatningsgrundlaget) og det kontrafaktiske projekts rentabilitet (dvs. det endelige skattebeløb, der skal betales efter anvendelse af de almindelige afskrivningsregler på beskatningsgrundlaget).</w:t>
      </w:r>
      <w:bookmarkEnd w:id="7"/>
    </w:p>
  </w:footnote>
  <w:footnote w:id="6">
    <w:p w14:paraId="1B98DEF3" w14:textId="77777777" w:rsidR="00B6207C" w:rsidRPr="00B429BF" w:rsidRDefault="00B6207C" w:rsidP="00B6207C">
      <w:pPr>
        <w:pStyle w:val="FootnoteText"/>
      </w:pPr>
      <w:r>
        <w:rPr>
          <w:rStyle w:val="FootnoteReference"/>
        </w:rPr>
        <w:footnoteRef/>
      </w:r>
      <w:r>
        <w:tab/>
        <w:t>Se eksemplerne i fodnote 6.</w:t>
      </w:r>
    </w:p>
  </w:footnote>
  <w:footnote w:id="7">
    <w:p w14:paraId="52ADE240" w14:textId="77777777" w:rsidR="00B6207C" w:rsidRPr="00B429BF" w:rsidRDefault="00B6207C" w:rsidP="00B6207C">
      <w:pPr>
        <w:pStyle w:val="FootnoteText"/>
      </w:pPr>
      <w:r>
        <w:rPr>
          <w:rStyle w:val="FootnoteReference"/>
        </w:rPr>
        <w:footnoteRef/>
      </w:r>
      <w:r>
        <w:tab/>
        <w:t>I henhold til punkt 19, nr. 89), i CEEAG forstås ved "EU-standard":</w:t>
      </w:r>
    </w:p>
    <w:p w14:paraId="73CD8026" w14:textId="77777777" w:rsidR="00B6207C" w:rsidRPr="00B429BF" w:rsidRDefault="00B6207C" w:rsidP="00B6207C">
      <w:pPr>
        <w:pStyle w:val="FootnoteText"/>
        <w:numPr>
          <w:ilvl w:val="0"/>
          <w:numId w:val="48"/>
        </w:numPr>
        <w:spacing w:before="0"/>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2DBA15E9" w14:textId="77777777" w:rsidR="00B6207C" w:rsidRPr="00B429BF" w:rsidRDefault="00B6207C" w:rsidP="00B6207C">
      <w:pPr>
        <w:pStyle w:val="FootnoteText"/>
        <w:numPr>
          <w:ilvl w:val="0"/>
          <w:numId w:val="48"/>
        </w:numPr>
        <w:spacing w:before="0"/>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8">
    <w:p w14:paraId="56E758E5" w14:textId="77777777" w:rsidR="00B6207C" w:rsidRPr="00B429BF" w:rsidRDefault="00B6207C" w:rsidP="00B6207C">
      <w:pPr>
        <w:pStyle w:val="FootnoteText"/>
      </w:pPr>
      <w:r>
        <w:rPr>
          <w:rStyle w:val="FootnoteReference"/>
        </w:rPr>
        <w:footnoteRef/>
      </w:r>
      <w:r>
        <w:tab/>
        <w:t>Tilbagebetalingsperioden er den tid, der er nødvendig for at få dækket omkostningerne ved en investering (uden støtte).</w:t>
      </w:r>
    </w:p>
  </w:footnote>
  <w:footnote w:id="9">
    <w:p w14:paraId="044A2D73" w14:textId="77777777" w:rsidR="00B6207C" w:rsidRPr="00B429BF" w:rsidRDefault="00B6207C" w:rsidP="00B6207C">
      <w:pPr>
        <w:pStyle w:val="FootnoteText"/>
      </w:pPr>
      <w:r>
        <w:rPr>
          <w:rStyle w:val="FootnoteReference"/>
        </w:rPr>
        <w:footnoteRef/>
      </w:r>
      <w:r>
        <w:tab/>
        <w:t>Europa-Parlamentets og Rådets forordning (EU) 2020/852 af 18. juni 2020 om fastlæggelse af en ramme til fremme af bæredygtige investeringer og om ændring af forordning (EU) 2019/2088 (EUT L 198 af 22.6.2020, s. 13).</w:t>
      </w:r>
    </w:p>
  </w:footnote>
  <w:footnote w:id="10">
    <w:p w14:paraId="2CBE499A" w14:textId="77777777" w:rsidR="00B6207C" w:rsidRDefault="00B6207C" w:rsidP="00B6207C">
      <w:pPr>
        <w:pStyle w:val="FootnoteText"/>
      </w:pPr>
      <w:r>
        <w:rPr>
          <w:rStyle w:val="FootnoteReference"/>
        </w:rPr>
        <w:footnoteRef/>
      </w:r>
      <w:r>
        <w:tab/>
        <w:t xml:space="preserve">Skabelonen til det supplerende informationsskema til anmeldelse af en evalueringsplan (del III.8) er tilgængelig her: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BC71" w14:textId="77777777" w:rsidR="00B6207C" w:rsidRDefault="00B620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0A718" w14:textId="77777777" w:rsidR="00B6207C" w:rsidRDefault="00B620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1CD07" w14:textId="77777777" w:rsidR="00B6207C" w:rsidRDefault="00B620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741023600">
    <w:abstractNumId w:val="21"/>
    <w:lvlOverride w:ilvl="0">
      <w:startOverride w:val="1"/>
    </w:lvlOverride>
  </w:num>
  <w:num w:numId="46" w16cid:durableId="223175479">
    <w:abstractNumId w:val="21"/>
    <w:lvlOverride w:ilvl="0">
      <w:startOverride w:val="1"/>
    </w:lvlOverride>
  </w:num>
  <w:num w:numId="47" w16cid:durableId="87388333">
    <w:abstractNumId w:val="21"/>
    <w:lvlOverride w:ilvl="0">
      <w:startOverride w:val="1"/>
    </w:lvlOverride>
  </w:num>
  <w:num w:numId="48" w16cid:durableId="2092237889">
    <w:abstractNumId w:val="13"/>
  </w:num>
  <w:num w:numId="49" w16cid:durableId="8854565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6207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039DC"/>
    <w:rsid w:val="00525721"/>
    <w:rsid w:val="005304FB"/>
    <w:rsid w:val="005323E0"/>
    <w:rsid w:val="00534B9A"/>
    <w:rsid w:val="005543B6"/>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B7984"/>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3FE4"/>
    <w:rsid w:val="00A07FC5"/>
    <w:rsid w:val="00A4098E"/>
    <w:rsid w:val="00A53CCA"/>
    <w:rsid w:val="00A55890"/>
    <w:rsid w:val="00A81EB8"/>
    <w:rsid w:val="00A83BD9"/>
    <w:rsid w:val="00AA7B4D"/>
    <w:rsid w:val="00AB1439"/>
    <w:rsid w:val="00AB7F0D"/>
    <w:rsid w:val="00AC578E"/>
    <w:rsid w:val="00B16ACF"/>
    <w:rsid w:val="00B25D1D"/>
    <w:rsid w:val="00B36AED"/>
    <w:rsid w:val="00B37B54"/>
    <w:rsid w:val="00B511CB"/>
    <w:rsid w:val="00B600C9"/>
    <w:rsid w:val="00B6207C"/>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36988"/>
  <w15:chartTrackingRefBased/>
  <w15:docId w15:val="{90DE8FFF-6D64-4A21-909F-40FB6BB8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C"/>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6207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6207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6207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6207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6207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20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207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20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207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207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6207C"/>
    <w:rPr>
      <w:i/>
      <w:iCs/>
      <w:color w:val="365F91" w:themeColor="accent1" w:themeShade="BF"/>
    </w:rPr>
  </w:style>
  <w:style w:type="paragraph" w:styleId="IntenseQuote">
    <w:name w:val="Intense Quote"/>
    <w:basedOn w:val="Normal"/>
    <w:next w:val="Normal"/>
    <w:link w:val="IntenseQuoteChar"/>
    <w:uiPriority w:val="30"/>
    <w:qFormat/>
    <w:rsid w:val="00B6207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6207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6207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6207C"/>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B6207C"/>
  </w:style>
  <w:style w:type="paragraph" w:customStyle="1" w:styleId="Text1">
    <w:name w:val="Text 1"/>
    <w:basedOn w:val="Normal"/>
    <w:rsid w:val="00B6207C"/>
    <w:pPr>
      <w:ind w:left="850"/>
    </w:pPr>
  </w:style>
  <w:style w:type="paragraph" w:customStyle="1" w:styleId="Text2">
    <w:name w:val="Text 2"/>
    <w:basedOn w:val="Normal"/>
    <w:rsid w:val="00B6207C"/>
    <w:pPr>
      <w:ind w:left="1417"/>
    </w:pPr>
  </w:style>
  <w:style w:type="paragraph" w:customStyle="1" w:styleId="Point1">
    <w:name w:val="Point 1"/>
    <w:basedOn w:val="Normal"/>
    <w:rsid w:val="00B6207C"/>
    <w:pPr>
      <w:ind w:left="1417" w:hanging="567"/>
    </w:pPr>
  </w:style>
  <w:style w:type="paragraph" w:customStyle="1" w:styleId="Tiret0">
    <w:name w:val="Tiret 0"/>
    <w:basedOn w:val="Normal"/>
    <w:rsid w:val="00B6207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3859</Words>
  <Characters>22848</Characters>
  <DocSecurity>0</DocSecurity>
  <Lines>476</Lines>
  <Paragraphs>175</Paragraphs>
  <ScaleCrop>false</ScaleCrop>
  <LinksUpToDate>false</LinksUpToDate>
  <CharactersWithSpaces>26532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2025-06-05T09:43:00Z</dcterms:created>
  <dcterms:modified xsi:type="dcterms:W3CDTF">2025-06-07T15:04:00Z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2025-06-05T09:45:46Z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16728fb0-0983-4a07-8b0a-bc819ab66038</vt:lpwstr>
  </property>
  <property fmtid="{D5CDD505-2E9C-101B-9397-08002B2CF9AE}" pid="8" name="MSIP_Label_6bd9ddd1-4d20-43f6-abfa-fc3c07406f94_ContentBits">
    <vt:lpwstr>0</vt:lpwstr>
  </property>
</Properties>
</file>