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Del III.6 – </w:t>
            </w:r>
          </w:p>
          <w:p w14:paraId="1C239D2C" w14:textId="79113717" w:rsidR="000442F5" w:rsidRPr="00B429BF" w:rsidRDefault="00BA39B3" w:rsidP="007B485D">
            <w:pPr>
              <w:pStyle w:val="Heading2"/>
              <w:spacing w:before="240" w:after="240"/>
              <w:jc w:val="center"/>
              <w:rPr>
                <w:sz w:val="32"/>
                <w:szCs w:val="32"/>
              </w:rPr>
            </w:pPr>
            <w:r>
              <w:rPr>
                <w:rStyle w:val="normaltextrun"/>
                <w:color w:val="000000"/>
                <w:sz w:val="32"/>
                <w:bdr w:val="none" w:sz="0" w:space="0" w:color="auto" w:frame="1"/>
              </w:rPr>
              <w:t xml:space="preserve">Ajourført* </w:t>
            </w:r>
            <w:r>
              <w:rPr>
                <w:sz w:val="32"/>
              </w:rPr>
              <w:t>Supplerende informationsskema for statsstøtte ydet i henhold til retningslinjerne for statsstøtte til klima, miljøbeskyttelse og energi 2022 (CEEAG)</w:t>
            </w:r>
            <w:r>
              <w:rPr>
                <w:sz w:val="32"/>
                <w:szCs w:val="32"/>
                <w:vertAlign w:val="superscript"/>
              </w:rPr>
              <w:footnoteReference w:id="2"/>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Kapitel 4.7.2 – Støtte til miljøbeskyttelse i form af nedsættelser af skatter og afgifter eller skattelignende afgifter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endnu ikke formelt vedtaget</w:t>
            </w:r>
          </w:p>
        </w:tc>
      </w:tr>
    </w:tbl>
    <w:p w14:paraId="5F26D476" w14:textId="4F5B65DA" w:rsidR="000442F5" w:rsidRPr="00B429BF" w:rsidRDefault="000442F5" w:rsidP="000442F5">
      <w:pPr>
        <w:spacing w:before="120" w:after="120"/>
        <w:ind w:right="-142"/>
        <w:jc w:val="both"/>
        <w:rPr>
          <w:i/>
          <w:iCs/>
        </w:rPr>
      </w:pPr>
      <w:r>
        <w:rPr>
          <w:i/>
        </w:rPr>
        <w:t>Dette supplerende informationsskema skal anvendes ved anmeldelse af enhver støtte, der er omfattet af retningslinjerne for statsstøtte til klima, miljøbeskyttelse og energi 2022 (herefter "CEEAG").</w:t>
      </w:r>
    </w:p>
    <w:p w14:paraId="1B60656B" w14:textId="774A2BA8" w:rsidR="009E2EA1" w:rsidRPr="00B429BF" w:rsidRDefault="0072538B" w:rsidP="009E2EA1">
      <w:pPr>
        <w:spacing w:before="120" w:after="120"/>
        <w:ind w:right="-142"/>
        <w:jc w:val="both"/>
        <w:rPr>
          <w:i/>
          <w:iCs/>
        </w:rPr>
      </w:pPr>
      <w:r>
        <w:rPr>
          <w:i/>
        </w:rPr>
        <w:t xml:space="preserve">Dette supplerende informationsskema vedrører foranstaltninger, der er omhandlet i kapitel 4.7.2 i CEEAG. Hvis anmeldelsen omfatter foranstaltninger, der er omhandlet i mere end et kapitel i CEEAG, skal det supplerende informationsskema, som omhandler det pågældende kapitel i CEEAG, ligeledes udfyldes, når skemaet bliver tilgængeligt. </w:t>
      </w:r>
    </w:p>
    <w:p w14:paraId="05E36007" w14:textId="5E24D00F" w:rsidR="009E2EA1" w:rsidRPr="00B429BF" w:rsidRDefault="009E2EA1" w:rsidP="009E2EA1">
      <w:pPr>
        <w:spacing w:before="120" w:after="120"/>
        <w:ind w:right="-142"/>
        <w:jc w:val="both"/>
        <w:rPr>
          <w:i/>
          <w:iCs/>
        </w:rPr>
      </w:pPr>
      <w:r>
        <w:rPr>
          <w:i/>
        </w:rPr>
        <w:t>Alle de dokumenter, som medlemsstaterne vedlægger dette supplerende informationsskema som bilag, skal nummereres, og dokumentnumrene skal anføres i de relevante afsnit i dette supplerende informationsskema.</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Afsnit A: Resumé af de vigtigste karakteristika ved den eller de anmeldte foranstaltninger</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Baggrund for og formål med den eller de anmeldte foranstaltninger.</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Angiv baggrunden og hovedformålet, herunder eventuelle EU-mål for miljøbeskyttelse, som foranstaltningen har til formål at understøtte, hvis der ikke allerede er redegjort for det i afsnit 5.2 i formularen vedrørende generelle oplysninger (del I).</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Angiv eventuelle andre formål, der forfølges med foranstaltningen. For mål, der ikke er rent miljømæssige, skal det forklares, om de kan medføre forvridninger af konkurrencen i det indre marked.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Ikrafttræden og varighed</w:t>
      </w:r>
      <w:r>
        <w:t>:</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Angiv den dato, fra hvilken det er hensigten, at støtteordningen skal træde i kraft, for så vidt det ikke allerede er angivet i afsnit 5.5 i formularen vedrørende generelle oplysninger (del I).</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Angiv ordningens maksimale løbetid</w:t>
      </w:r>
      <w:r>
        <w:rPr>
          <w:rStyle w:val="FootnoteReference"/>
          <w:rFonts w:cs="Arial Unicode MS"/>
          <w:bCs/>
          <w:lang w:bidi="si-LK"/>
        </w:rPr>
        <w:footnoteReference w:id="3"/>
      </w:r>
      <w:r>
        <w:t>.</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Støttemodtager(e)</w:t>
      </w:r>
      <w: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Beskriv foranstaltningens/foranstaltningernes (potentielle) støttemodtager(e), hvis dette ikke allerede er angivet i afsnit 3 i formularen vedrørende generelle oplysninger (del I).</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Angiv støttemodtagerens/støttemodtagernes lokalisering (dvs. om kun økonomiske enheder, der er beliggende i den pågældende medlemsstat, eller om dem i andre medlemsstater ligeledes er berettigede til at deltage i foranstaltningen).</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Angiv med henblik på at vurdere, om punkt 15 i CEEAG er overholdt, hvorvidt der inden for rammerne af foranstaltningen/foranstaltningerne ydes støtte til fordel for en virksomhed (individuel eller en del af en ordning), der ikke har efterkommet </w:t>
      </w:r>
      <w:r>
        <w:lastRenderedPageBreak/>
        <w:t xml:space="preserve">et krav om tilbagebetaling af støtte, som Kommissionen ved en tidligere afgørelse har erklæret ulovlig og uforenelig med det indre marked.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t xml:space="preserve">Oplys i bekræftende fald det støttebeløb, der endnu ikke er tilbagebetalt, med henblik på Kommissionens hensyntagen til dette i vurderingen af støtteforanstaltningen/støtteforanstaltningerne.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Bekræft, at foranstaltningen/foranstaltningerne ikke omfatter støtte til aktiviteter, der falder uden for anvendelsesområdet for CEEAG (se punkt 13 i CEEAG). Angiv i modsat fald nærmere oplysninger.</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Budget for og finansiering af foranstaltningen/foranstaltningerne</w:t>
      </w:r>
      <w:r>
        <w:t>.</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Angiv det årlige og/eller samlede budget for foranstaltningens/foranstaltningernes fulde varighed, hvis det ikke allerede er nævnt i tabellen i afsnit 7.1 i formularen vedrørende generelle oplysninger (del I). Angiv et anslået budget, hvis det samlede budget ikke er kendt (f.eks. fordi det afhænger af resultaterne af udbuddene), herunder de antagelser, der er lagt til grund for beregningen af det respektive anslåede budget</w:t>
      </w:r>
      <w:r>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Præciser ved foranstaltninger (dvs. nedsættelsen af skatter og afgifter/skattelignende afgifter), der </w:t>
      </w:r>
      <w:r>
        <w:rPr>
          <w:u w:val="single"/>
        </w:rPr>
        <w:t>finansieres</w:t>
      </w:r>
      <w:r>
        <w:t xml:space="preserve"> gennem en afgift, om:</w:t>
      </w:r>
      <w:bookmarkEnd w:id="3"/>
      <w: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rFonts w:cs="Arial Unicode MS"/>
          <w:bCs/>
        </w:rPr>
      </w:pPr>
      <w:r>
        <w:t>afgiften er fastsat ved lov eller anden retsakt. Angiv i bekræftende fald retsakten, dens nummer og datoen, hvor retsakten blev vedtaget og trådte i kraft, samt et link til retsakten</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afgiften pålægges både indenlandske og importerede produkter</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den anmeldte foranstaltning vil gavne både indenlandske og importerede produkter</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afgiften fuldt ud finansierer foranstaltningen eller kun gør det delvist. Hvis afgiften kun delvis finansierer foranstaltningen, skal de øvrige finansieringskilder for foranstaltningen og deres respektive andel angives</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den afgift, der finansierer den anmeldte foranstaltning, også finansierer andre støtteforanstaltninger. Angiv i bekræftende fald de øvrige støtteforanstaltninger, der finansieres af den pågældende afgift.</w:t>
      </w:r>
    </w:p>
    <w:p w14:paraId="7F291A69" w14:textId="77777777" w:rsidR="00ED4BB5" w:rsidRPr="00B429BF" w:rsidRDefault="00ED4BB5" w:rsidP="00425CC6">
      <w:pPr>
        <w:tabs>
          <w:tab w:val="left" w:leader="dot" w:pos="9072"/>
        </w:tabs>
        <w:spacing w:before="120" w:after="120"/>
        <w:ind w:left="567"/>
        <w:jc w:val="both"/>
      </w:pPr>
      <w:r>
        <w:tab/>
      </w:r>
    </w:p>
    <w:p w14:paraId="42A291CB" w14:textId="32CE615A" w:rsidR="009916D5" w:rsidRPr="00B429BF" w:rsidRDefault="009916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lastRenderedPageBreak/>
              <w:t>Afsnit B: Forenelighedsvurdering af støtten</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Positiv betingelse: Støtten skal fremme udviklingen af en økonomisk aktivitet</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Bidrag til udviklingen af en økonomisk aktivitet</w:t>
            </w:r>
          </w:p>
        </w:tc>
      </w:tr>
    </w:tbl>
    <w:p w14:paraId="1E2599D2" w14:textId="65CF0F4D" w:rsidR="000442F5" w:rsidRPr="00B429BF" w:rsidRDefault="000442F5" w:rsidP="000442F5">
      <w:pPr>
        <w:spacing w:before="360" w:after="120"/>
        <w:jc w:val="both"/>
        <w:rPr>
          <w:i/>
        </w:rPr>
      </w:pPr>
      <w:r>
        <w:rPr>
          <w:i/>
        </w:rPr>
        <w:t>Med henblik på angivelsen af oplysningerne i dette afsnit henvises til afsnit 3.1.1, punkt 23-25, afsnit 4.7.2.1, punkt 310, og afsnit 4.7.2.2, punkt 311-313, i CEEAG.</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 xml:space="preserve">Kommissionen kan i henhold til artikel 107, stk. 3, litra c), i traktaten om Den Europæiske Unions funktionsmåde (TEUF) erklære "støtte til fremme af udviklingen af visse erhvervsgrene eller økonomiske regioner, når den ikke ændrer samhandelsvilkårene på en måde, der strider mod den fælles interesse", forenelig med det indre marked. Støtte, der er forenelig i henhold til denne bestemmelse i TEUF, skal derfor bidrage til udviklingen af en bestemt økonomisk aktivitet </w:t>
      </w:r>
    </w:p>
    <w:p w14:paraId="1D59B711" w14:textId="015DAACF" w:rsidR="002A11D4" w:rsidRPr="00B429BF" w:rsidRDefault="00E75ECB" w:rsidP="00864DCD">
      <w:pPr>
        <w:pStyle w:val="ListParagraph"/>
        <w:spacing w:before="120" w:after="120"/>
        <w:ind w:left="567"/>
        <w:contextualSpacing w:val="0"/>
        <w:jc w:val="both"/>
      </w:pPr>
      <w:r>
        <w:t xml:space="preserve">Angiv de økonomiske aktiviteter, der vil blive fremmet som følge af støtten, og hvordan udviklingen af disse aktiviteter støttes, med henblik på at vurdere overholdelsen af punkt 23 i CEEAG.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 xml:space="preserve">Beskriv, "om og hvordan støtten vil bidrage til at nå målene for Unionens klimapolitik, miljøpolitik og energipolitik og mere specifikt de forventede fordele ved støtten i form af dens væsentlige bidrag til miljøbeskyttelse, herunder modvirkning af klimaændringer, eller et velfungerende indre energimarked" med henblik på at vurdere overholdelsen af punkt 25 i CEEAG. </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bookmarkStart w:id="4" w:name="_Hlk169774371"/>
      <w:r>
        <w:t>Afhængigt af det afsnit i CEEAG, som de støttede aktiviteter hører under</w:t>
      </w:r>
      <w:bookmarkEnd w:id="4"/>
      <w:r>
        <w:t>, skal der redegøres nærmere for, i hvilket omfang støtten vedrører de mål og/eller politikker, der er beskrevet i punkt 135 i CEEAG (for afsnit 4.2), punkt 160-161 i CEEAG (for afsnit 4.3.1), punkt 190-191 i CEEAG (for afsnit 4.3.2), punkt 217-219 i CEEAG (for afsnit 4.4), punkt 253-254 i CEEAG (for afsnit 4.5) eller punkt 276-278 i CEEAG (for afsnit 4.6).</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I henhold til punkt 311 i CEEAG og afhængigt af det afsnit i CEEAG, som de støttede aktiviteter hører under, skal der gives oplysninger om støtteforanstaltningens/støtteforanstaltningernes nøjagtige omfang, og de støttede aktiviteter skal angives nøjagtigt; dette gøres ved at udfylde følgende spørgsmål i det relevante supplerende informationsskema. For aktiviteter, der er omfattet af afsnit:</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o</w:t>
      </w:r>
      <w:r>
        <w:t xml:space="preserve"> </w:t>
      </w:r>
      <w:bookmarkEnd w:id="6"/>
      <w:r>
        <w:t xml:space="preserve">4.2 </w:t>
      </w:r>
      <w:bookmarkStart w:id="8" w:name="_Hlk164179209"/>
      <w:r>
        <w:t>(</w:t>
      </w:r>
      <w:r>
        <w:rPr>
          <w:i/>
        </w:rPr>
        <w:t>spørgsmål 9-12 i det relevante supplerende informationsskema)</w:t>
      </w:r>
      <w:bookmarkEnd w:id="8"/>
    </w:p>
    <w:p w14:paraId="1F566C45" w14:textId="64B93CBF" w:rsidR="009A73F9" w:rsidRPr="00B429BF" w:rsidRDefault="009A73F9" w:rsidP="00287B08">
      <w:pPr>
        <w:spacing w:before="120" w:after="120"/>
        <w:ind w:firstLine="567"/>
        <w:contextualSpacing/>
        <w:jc w:val="both"/>
      </w:pPr>
      <w:r>
        <w:rPr>
          <w:rFonts w:ascii="Wingdings" w:hAnsi="Wingdings"/>
        </w:rPr>
        <w:t>o</w:t>
      </w:r>
      <w:r>
        <w:t xml:space="preserve"> 4.3.1 (</w:t>
      </w:r>
      <w:r>
        <w:rPr>
          <w:i/>
        </w:rPr>
        <w:t>spørgsmål 10 i det relevante supplerende informationsskema)</w:t>
      </w:r>
    </w:p>
    <w:p w14:paraId="518455AD" w14:textId="19A689A1" w:rsidR="009A73F9" w:rsidRPr="00B429BF" w:rsidRDefault="009A73F9" w:rsidP="00287B08">
      <w:pPr>
        <w:spacing w:before="120" w:after="120"/>
        <w:ind w:firstLine="567"/>
        <w:contextualSpacing/>
        <w:jc w:val="both"/>
      </w:pPr>
      <w:r>
        <w:rPr>
          <w:rFonts w:ascii="Wingdings" w:hAnsi="Wingdings"/>
        </w:rPr>
        <w:t>o</w:t>
      </w:r>
      <w:r>
        <w:t xml:space="preserve"> 4.3.2 (</w:t>
      </w:r>
      <w:r>
        <w:rPr>
          <w:i/>
        </w:rPr>
        <w:t>spørgsmål 10 i det relevante supplerende informationsskema)</w:t>
      </w:r>
    </w:p>
    <w:p w14:paraId="5CD7BA0B" w14:textId="3542DAA3" w:rsidR="009A73F9" w:rsidRPr="00B429BF" w:rsidRDefault="009A73F9" w:rsidP="00287B08">
      <w:pPr>
        <w:spacing w:before="120" w:after="120"/>
        <w:ind w:firstLine="567"/>
        <w:contextualSpacing/>
        <w:jc w:val="both"/>
      </w:pPr>
      <w:r>
        <w:rPr>
          <w:rFonts w:ascii="Wingdings" w:hAnsi="Wingdings"/>
        </w:rPr>
        <w:t>o</w:t>
      </w:r>
      <w:r>
        <w:t xml:space="preserve"> 4.4 (</w:t>
      </w:r>
      <w:r>
        <w:rPr>
          <w:i/>
        </w:rPr>
        <w:t>spørgsmål 11-13 i det relevante supplerende informationsskema)</w:t>
      </w:r>
    </w:p>
    <w:p w14:paraId="5B091CEC" w14:textId="7D7965C9" w:rsidR="009A73F9" w:rsidRPr="00B429BF" w:rsidRDefault="009A73F9" w:rsidP="00287B08">
      <w:pPr>
        <w:spacing w:before="120" w:after="120"/>
        <w:ind w:firstLine="567"/>
        <w:contextualSpacing/>
        <w:jc w:val="both"/>
      </w:pPr>
      <w:r>
        <w:rPr>
          <w:rFonts w:ascii="Wingdings" w:hAnsi="Wingdings"/>
        </w:rPr>
        <w:t>o</w:t>
      </w:r>
      <w:r>
        <w:t xml:space="preserve"> 4.5 (</w:t>
      </w:r>
      <w:r>
        <w:rPr>
          <w:i/>
        </w:rPr>
        <w:t>spørgsmål 10-15 i det relevante supplerende informationsskema)</w:t>
      </w:r>
    </w:p>
    <w:p w14:paraId="2D8685DE" w14:textId="26E9D332" w:rsidR="009A73F9" w:rsidRPr="00B429BF" w:rsidRDefault="009A73F9" w:rsidP="00287B08">
      <w:pPr>
        <w:spacing w:before="120" w:after="120"/>
        <w:ind w:firstLine="567"/>
        <w:contextualSpacing/>
        <w:jc w:val="both"/>
      </w:pPr>
      <w:r>
        <w:rPr>
          <w:rFonts w:ascii="Wingdings" w:hAnsi="Wingdings"/>
        </w:rPr>
        <w:t>o</w:t>
      </w:r>
      <w:r>
        <w:t xml:space="preserve"> 4.6 (</w:t>
      </w:r>
      <w:r>
        <w:rPr>
          <w:i/>
        </w:rPr>
        <w:t>spørgsmål 10-12 i det relevante supplerende informationsskema)</w:t>
      </w:r>
      <w:r>
        <w:t>.</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27A3C1FD" w:rsidR="000B0680" w:rsidRPr="00B429BF" w:rsidRDefault="009E5AE0" w:rsidP="009A73F9">
      <w:pPr>
        <w:pStyle w:val="ListParagraph"/>
        <w:numPr>
          <w:ilvl w:val="0"/>
          <w:numId w:val="4"/>
        </w:numPr>
        <w:spacing w:before="120" w:after="120"/>
        <w:ind w:left="567" w:hanging="567"/>
        <w:contextualSpacing w:val="0"/>
        <w:jc w:val="both"/>
      </w:pPr>
      <w:r>
        <w:t>Bekræft, om de støttede aktiviteter primært forfølger et dekarboniseringsmål. Hvis forebyggelse eller reduktion af drivhusgasemissioner er støtteforanstaltningens fremherskende mål, henvises der i overensstemmelse med punkt 312 i CEEAG til det supplerende informationsskema for afsnit 4.1, da en sådan støtte vurderes på grundlag af afsnit 4.1.</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Giv en detaljeret beskrivelse af skatterne og afgifterne og/eller de skattelignende afgifter, der vil blive reduceret (herunder deres formål, hvordan de opkræves på tværs af grundlaget og de enheder, der er involveret i fastsættelsen og revisionen af satsen samt i opkrævningen og forvaltningen af indtægterne). Påvis på dette grundlag og for at sikre overholdelse af punkt 313 i CEEAG, at den foreslåede foranstaltning ikke indebærer nedsættelser af skatter eller afgifter, der afspejler de væsentlige omkostninger ved levering af energi eller relaterede tjenesteydelser, såsom netafgifter eller afgifter til finansiering af kapacitetsmekanismer. Bekræft derudover, at foranstaltningen ikke omfatter nedsættelser af afgifter på elforbrug, der finansierer et energipolitisk mål.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Beskriv de støtteberettigelseskrav, der gælder for støttemodtagerne (f.eks. ved at medtage eventuelle tekniske, miljømæssige (dvs. tilladelser), finansielle (dvs. sikkerhedsstillelse) eller andre krav, som de skal opfylde).</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Tilskyndelsesvirkning</w:t>
            </w:r>
          </w:p>
        </w:tc>
      </w:tr>
    </w:tbl>
    <w:p w14:paraId="20915284" w14:textId="1074403D" w:rsidR="00015E2B" w:rsidRPr="00B429BF" w:rsidRDefault="00B15313" w:rsidP="00015E2B">
      <w:pPr>
        <w:spacing w:before="360" w:after="120"/>
        <w:jc w:val="both"/>
        <w:rPr>
          <w:i/>
        </w:rPr>
      </w:pPr>
      <w:r>
        <w:rPr>
          <w:i/>
        </w:rPr>
        <w:t xml:space="preserve">Med henblik på angivelsen af oplysningerne i dette afsnit henvises til afsnit 3.1.2, punkt 26-32, og afsnit 4.7.2.3, punkt 315-316, i CEEAG.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Støtte kan kun anses for at fremme en økonomisk aktivitet, hvis den har en tilskyndelsesvirkning. Redegør for, hvordan foranstaltningen/foranstaltningerne "tilskynder støttemodtageren til at ændre adfærd, til at udøve yderligere økonomisk aktivitet eller til at udøve en mere miljøvenlig økonomisk aktivitet, som den ikke ville udøve uden støtten eller ville udøve på en begrænset eller anden måde", med henblik på at vurdere overholdelsen af punkt 26 i CEEAG.</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I medfør af punkt 28 og 315 i CEEAG:</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Giv en omfattende beskrivelse af det faktiske scenario, der forventes at følge af støtteforanstaltningen, og det eller de sandsynlige kontrafaktiske scenarier uden støtteforanstaltningen</w:t>
      </w:r>
      <w:r>
        <w:rPr>
          <w:vertAlign w:val="superscript"/>
        </w:rPr>
        <w:footnoteReference w:id="5"/>
      </w:r>
      <w:r>
        <w:t>. Forventes det, at forskellige kategorier af støttemodtagere kan modtage støtte, skal det sikres, at det kontrafaktiske scenario er troværdigt for hver af disse kategorier.</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lastRenderedPageBreak/>
        <w:t>Tag hensyn til kravene vedrørende det kontrafaktiske scenario i punkt 165-169 i CEEAG (for projekter og aktiviteter, der hører under afsnit 4.3.1) og 226-230 i CEEAG (for projekter og aktiviteter, der hører under afsnit 4.4 og 4.5), og svar på spørgsmålene fra det pågældende supplerende informationsskema for punkt 4.3.1, 4.4 eller 4.5.</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Forklar kort begrundelsen for valget af det eller de sandsynlige kontrafaktiske scenarier i lyset af de foreslåede forskellige kategorier af støttemodtagere, hvis det er relevant.</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Kvantificer omkostningerne og indtægterne for faktiske og kontrafaktiske scenarier, og begrund adfærdsændringen, hvis det er relevant for hver kategori af støttemodtagere, ved at sammenligne referenceprojektets</w:t>
      </w:r>
      <w:r>
        <w:rPr>
          <w:iCs/>
          <w:vertAlign w:val="superscript"/>
        </w:rPr>
        <w:footnoteReference w:id="6"/>
      </w:r>
      <w:r>
        <w:t xml:space="preserve"> eller referenceaktivitetens rentabilitet med og uden nedsættelsen af skatten eller afgiften eller den skattelignende afgift</w:t>
      </w:r>
      <w:r>
        <w:rPr>
          <w:iCs/>
          <w:vertAlign w:val="superscript"/>
        </w:rPr>
        <w:footnoteReference w:id="7"/>
      </w:r>
      <w:r>
        <w:t>. Dette gøres på følgende grundlag:</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t>de respektive referenceprojekter, de tilsvarende kontrafaktiske scenarier og det deraf følgende finansieringsbehov</w:t>
      </w:r>
      <w:r>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ELLER</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tilsvarende data</w:t>
      </w:r>
      <w:bookmarkEnd w:id="13"/>
      <w:r>
        <w:t>.</w:t>
      </w:r>
    </w:p>
    <w:p w14:paraId="6C2E94BB" w14:textId="58F782C3" w:rsidR="00541B6E" w:rsidRPr="00B429BF" w:rsidRDefault="00644D98" w:rsidP="00451471">
      <w:pPr>
        <w:tabs>
          <w:tab w:val="left" w:leader="dot" w:pos="9072"/>
        </w:tabs>
        <w:spacing w:before="120" w:after="120"/>
        <w:ind w:left="567"/>
        <w:jc w:val="both"/>
      </w:pPr>
      <w:r>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Med henblik på at vurdere overholdelsen af punkt 27 i CEEAG skal der angives oplysninger til bekræftelse af, at støtten ikke anvendes til omkostningerne ved en aktivitet, som støttemodtageren under alle omstændigheder ville udføre, eller kompenserer for den normale forretningsmæssige risiko ved en økonomisk aktivitet.</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lastRenderedPageBreak/>
        <w:t xml:space="preserve">For at påvise overensstemmelse med punkt 29, 31 og 316 i CEEAG skal det angives det, om projektet eller aktiviteten allerede er påbegyndt forud for en skriftlig støtteansøgning fra støttemodtageren til de nationale myndigheder.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For projekter eller aktiviteter, der blev påbegyndt, inden støtteansøgningen blev indgivet:</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bekræft, at foranstaltningen giver ret til støtte i overensstemmelse med objektive og ikkediskriminerende kriterier og uden yderligere udøvelse af medlemsstatens skøn, og at foranstaltningen er vedtaget og er trådt i kraft, inden arbejdet med det projekt eller den aktivitet, hvortil der ydes støtte, er påbegyndt</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ELLER</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bekræft, hvis projektet eller aktiviteten allerede er påbegyndt forud for en skriftlig støtteansøgning og inden foranstaltningens vedtagelse og/eller ikrafttræden, at projektet eller aktiviteten allerede var omfattet af en tidligere lignende ordning i form af skattefordele eller skattelignende fordele</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ELLER</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påvis, at projektet falder ind under et af de undtagelsestilfælde, der er omhandlet i punkt 31, litra b) eller c), i CEEAG.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Med henblik på at påvise overholdelsen af punkt 30 i CEEAG skal det bekræftes, at støtteansøgningen mindst indeholder ansøgerens navn, en beskrivelse af projektet eller aktiviteten, herunder dets beliggenhed, og det støttebeløb, der er nødvendigt for at gennemføre det.</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Med henblik på at påvise overholdelsen af punkt 32 i CEEAG:</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Angiv, om der findes EU-standarder</w:t>
      </w:r>
      <w:r>
        <w:rPr>
          <w:rStyle w:val="FootnoteReference"/>
          <w:lang w:val="en-IE" w:eastAsia="en-GB"/>
        </w:rPr>
        <w:footnoteReference w:id="9"/>
      </w:r>
      <w:r>
        <w:t>, der finder anvendelse på den eller de anmeldte foranstaltninger, obligatoriske nationale standarder, der er strengere eller mere ambitiøse end de tilsvarende EU-standarder, eller obligatoriske nationale standarder, som er vedtaget i fravær af EU-standarder.</w:t>
      </w:r>
    </w:p>
    <w:p w14:paraId="5CE9EEA0" w14:textId="09233CDB" w:rsidR="009B2A4B" w:rsidRPr="00B429BF" w:rsidRDefault="00D039B4" w:rsidP="007947ED">
      <w:pPr>
        <w:pStyle w:val="ListParagraph"/>
        <w:tabs>
          <w:tab w:val="left" w:pos="1134"/>
        </w:tabs>
        <w:spacing w:before="120" w:after="120"/>
        <w:ind w:left="1276"/>
        <w:contextualSpacing w:val="0"/>
        <w:jc w:val="both"/>
      </w:pPr>
      <w:r>
        <w:t>Fremlæg i den forbindelse oplysninger til påvisning af tilskyndelsesvirkningen.</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Påvis, når den relevante EU-standard allerede er vedtaget, men endnu ikke er trådt i kraft, at støtten har en tilskyndelsesvirkning, fordi den tilskynder til, at </w:t>
      </w:r>
      <w:r>
        <w:lastRenderedPageBreak/>
        <w:t>investeringen gennemføres og afsluttes mindst 18 måneder før, at standarden træder i kraft.</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Forklar for de projekter og aktiviteter, der er omfattet af afsnit 4.2, om projekter med en tilbagebetalingsperiode</w:t>
      </w:r>
      <w:r>
        <w:rPr>
          <w:iCs/>
          <w:vertAlign w:val="superscript"/>
          <w:lang w:eastAsia="en-GB"/>
        </w:rPr>
        <w:footnoteReference w:id="10"/>
      </w:r>
      <w:r>
        <w:t xml:space="preserve"> på under fem år er støtteberettigede inden for rammerne af foranstaltningen/foranstaltningerne. Fremlæg i bekræftende fald dokumentation for, at der er behov for støtten for at udløse en adfærdsændring, jf. punkt 142 i CEEAG.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Ingen overtrædelse af relevante EU-retlige bestemmelser</w:t>
            </w:r>
          </w:p>
        </w:tc>
      </w:tr>
    </w:tbl>
    <w:p w14:paraId="665FE026" w14:textId="3B202F2B" w:rsidR="00DE1D68" w:rsidRPr="00B429BF" w:rsidRDefault="00DE1D68" w:rsidP="00DE1D68">
      <w:pPr>
        <w:spacing w:before="360" w:after="120"/>
        <w:jc w:val="both"/>
        <w:rPr>
          <w:i/>
        </w:rPr>
      </w:pPr>
      <w:r>
        <w:rPr>
          <w:i/>
        </w:rPr>
        <w:t xml:space="preserve">Med henblik på angivelsen af oplysningerne i dette afsnit henvises til afsnit 3.1.3, punkt 33, i CEEAG.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Angiv oplysninger til bekræftelse af overholdelsen af de relevante bestemmelser i EU-retten i overensstemmelse med punkt 33 i CEEAG.</w:t>
      </w:r>
    </w:p>
    <w:p w14:paraId="1698F3A1" w14:textId="77777777" w:rsidR="00424B44" w:rsidRPr="00B429BF" w:rsidRDefault="00424B44" w:rsidP="00425CC6">
      <w:pPr>
        <w:tabs>
          <w:tab w:val="left" w:leader="dot" w:pos="9072"/>
        </w:tabs>
        <w:spacing w:before="120" w:after="120"/>
        <w:ind w:left="567"/>
        <w:jc w:val="both"/>
        <w:rPr>
          <w:color w:val="000000"/>
        </w:rPr>
      </w:pPr>
      <w: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Hvis en afgift anvendes til at </w:t>
      </w:r>
      <w:r>
        <w:rPr>
          <w:u w:val="single"/>
        </w:rPr>
        <w:t>finansiere</w:t>
      </w:r>
      <w:r>
        <w:t xml:space="preserve"> foranstaltningen/foranstaltningerne, skal det præciseres, om det er nødvendigt at </w:t>
      </w:r>
      <w:proofErr w:type="gramStart"/>
      <w:r>
        <w:t>foretage en vurdering af</w:t>
      </w:r>
      <w:proofErr w:type="gramEnd"/>
      <w:r>
        <w:t xml:space="preserve"> overholdelsen af artikel 30 og 110 i TEUF. Påvis i bekræftende fald, hvordan foranstaltningen er i overensstemmelse med bestemmelserne i artikel 30 og 110 i TEUF.</w:t>
      </w:r>
      <w:r>
        <w:rPr>
          <w:i/>
        </w:rPr>
        <w:t xml:space="preserve"> </w:t>
      </w:r>
      <w:r>
        <w:t xml:space="preserve">I den forbindelse kan der henvises til de oplysninger, der er fremlagt ovenfor under spørgsmål </w:t>
      </w:r>
      <w:r>
        <w:fldChar w:fldCharType="begin"/>
      </w:r>
      <w:r>
        <w:instrText xml:space="preserve"> REF _Ref126829229 \w \h  \* MERGEFORMAT </w:instrText>
      </w:r>
      <w:r>
        <w:fldChar w:fldCharType="separate"/>
      </w:r>
      <w:r>
        <w:t>5</w:t>
      </w:r>
      <w:r>
        <w:fldChar w:fldCharType="end"/>
      </w:r>
      <w:r>
        <w:t xml:space="preserve">, nr. </w:t>
      </w:r>
      <w:r>
        <w:fldChar w:fldCharType="begin"/>
      </w:r>
      <w:r>
        <w:instrText xml:space="preserve"> REF _Ref126829235 \w \h  \* MERGEFORMAT </w:instrText>
      </w:r>
      <w:r>
        <w:fldChar w:fldCharType="separate"/>
      </w:r>
      <w:r>
        <w:t>ii</w:t>
      </w:r>
      <w:r>
        <w:fldChar w:fldCharType="end"/>
      </w:r>
      <w:r>
        <w:t xml:space="preserve">, </w:t>
      </w:r>
      <w:proofErr w:type="gramStart"/>
      <w:r>
        <w:t>såfremt</w:t>
      </w:r>
      <w:proofErr w:type="gramEnd"/>
      <w:r>
        <w:t xml:space="preserve"> den eller de anmeldte foranstaltninger finansieres gennem en afgift.</w:t>
      </w:r>
    </w:p>
    <w:p w14:paraId="54F4831B" w14:textId="69B14E43" w:rsidR="00C501C5" w:rsidRPr="00B429BF" w:rsidRDefault="00544B04" w:rsidP="00544B04">
      <w:pPr>
        <w:tabs>
          <w:tab w:val="left" w:leader="dot" w:pos="9072"/>
        </w:tabs>
        <w:spacing w:before="120" w:after="120"/>
        <w:ind w:left="567"/>
        <w:jc w:val="both"/>
        <w:rPr>
          <w:color w:val="000000"/>
        </w:rPr>
      </w:pPr>
      <w: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Negativ betingelse: Støtten påvirker ikke samhandelsvilkårene på en måde, der strider mod den fælles interesse</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Minimering af konkurrence- og samhandelsfordrejninger</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Støttens nødvendighed</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rPr>
        <w:t>Med henblik på angivelsen af oplysningerne i dette afsnit henvises til afsnit 3.2.1.1, punkt 34-38, i CEEAG.</w:t>
      </w:r>
      <w:r>
        <w:rPr>
          <w:i/>
          <w:color w:val="000000"/>
        </w:rPr>
        <w:t xml:space="preserve">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lastRenderedPageBreak/>
        <w:t>Forklar, hvilke(t) markedssvigt jeres myndigheder har konstateret, som forhindrer opnåelsen af et tilstrækkeligt miljøbeskyttelsesniveau. Angiv, i hvilken kategori de konstaterede markedssvigt falder, via henvisning til punkt 34, litra a), b), c) eller d), i CEEAG.</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t>Angiv oplysninger vedrørende jeres myndigheders afgrænsning af eventuelle eksisterende politikker og foranstaltninger, der allerede er rettet mod de konstaterede regulerings- eller markedssvigt, jf. punkt 35 i CEEAG.</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Påvis overholdelse af punkt 36 i CEEAG ved at angive oplysninger, som viser, at støtten effektivt tager sigte på resterende markedssvigt, også under hensyntagen til eventuelle andre politikker og foranstaltninger, der allerede er iværksat for at afhjælpe nogle af de konstaterede markedssvigt.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Påvis overholdelse af punkt 37 i CEEAG ved at forklare, om jeres myndigheder har kendskab til, at projekter eller aktiviteter, der svarer til dem, der er omfattet af den eller de anmeldte foranstaltninger, med hensyn til deres teknologiske indhold, risikoniveau og størrelse, allerede er blevet leveret i Unionen på markedsvilkår. Fremlæg i bekræftende fald yderligere dokumentation for at påvise, at der er behov for statsstøtte.</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t xml:space="preserve">Påvis overholdelse af punkt 38 i CEEAG ved at henvise til den kvantitative dokumentation, der allerede er fremlagt under spørgsmål </w:t>
      </w:r>
      <w:r>
        <w:fldChar w:fldCharType="begin"/>
      </w:r>
      <w:r>
        <w:instrText xml:space="preserve"> REF _Ref164673942 \r \h  \* MERGEFORMAT </w:instrText>
      </w:r>
      <w:r>
        <w:fldChar w:fldCharType="separate"/>
      </w:r>
      <w:r>
        <w:t>14</w:t>
      </w:r>
      <w:r>
        <w:fldChar w:fldCharType="end"/>
      </w:r>
      <w:r>
        <w:t xml:space="preserve">, litra </w:t>
      </w:r>
      <w:r>
        <w:fldChar w:fldCharType="begin"/>
      </w:r>
      <w:r>
        <w:instrText xml:space="preserve"> REF _Ref172646432 \r \h  \* MERGEFORMAT </w:instrText>
      </w:r>
      <w:r>
        <w:fldChar w:fldCharType="separate"/>
      </w:r>
      <w:r>
        <w:t>C</w:t>
      </w:r>
      <w:r>
        <w:fldChar w:fldCharType="end"/>
      </w:r>
      <w:r>
        <w:t xml:space="preserve">), ovenfor.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Hensigtsmæssighed </w:t>
            </w:r>
          </w:p>
        </w:tc>
      </w:tr>
    </w:tbl>
    <w:p w14:paraId="4C2D927B" w14:textId="7D36EFC6" w:rsidR="00EA354A" w:rsidRPr="00B429BF" w:rsidRDefault="00EA354A" w:rsidP="00EA354A">
      <w:pPr>
        <w:spacing w:before="360" w:after="120"/>
        <w:jc w:val="both"/>
        <w:rPr>
          <w:i/>
          <w:color w:val="000000"/>
        </w:rPr>
      </w:pPr>
      <w:r>
        <w:rPr>
          <w:i/>
        </w:rPr>
        <w:t>Med henblik på angivelsen af oplysningerne i dette afsnit henvises til afsnit 3.2.1.2, punkt 39-46, i CEEAG.</w:t>
      </w:r>
      <w:r>
        <w:rPr>
          <w:i/>
          <w:color w:val="000000"/>
        </w:rPr>
        <w:t xml:space="preserve">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Med henblik på at kontrollere overholdelsen af punkt 40 i CEEAG skal det påvises, at der ikke findes mindre konkurrenceforvridende instrumenter, som er mere hensigtsmæssige. </w:t>
      </w:r>
    </w:p>
    <w:p w14:paraId="7920EB54" w14:textId="77777777" w:rsidR="0004786A" w:rsidRPr="00B429BF" w:rsidRDefault="0004786A" w:rsidP="0004786A">
      <w:pPr>
        <w:tabs>
          <w:tab w:val="left" w:leader="dot" w:pos="9072"/>
        </w:tabs>
        <w:spacing w:before="120" w:after="120"/>
        <w:ind w:left="360"/>
        <w:jc w:val="both"/>
      </w:pPr>
      <w:r>
        <w:tab/>
      </w:r>
    </w:p>
    <w:p w14:paraId="7DD683CE" w14:textId="332B76D6" w:rsidR="00EA354A" w:rsidRPr="00B429BF" w:rsidRDefault="003D433B" w:rsidP="00451471">
      <w:pPr>
        <w:pStyle w:val="ListParagraph"/>
        <w:numPr>
          <w:ilvl w:val="0"/>
          <w:numId w:val="4"/>
        </w:numPr>
        <w:spacing w:before="120" w:after="120"/>
        <w:ind w:left="567" w:hanging="567"/>
        <w:contextualSpacing w:val="0"/>
        <w:jc w:val="both"/>
      </w:pPr>
      <w:r>
        <w:t>Med henblik på at kontrollere overholdelsen af punkt 41 i CEEAG skal det påvises, at støtteforanstaltningen er udformet på en sådan måde, at den ikke underminerer effektiviteten af andre foranstaltninger, der afhjælper det samme markedssvigt, såsom markedsbaserede mekanismer (f.eks. EU ETS).</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Med henblik på at påvise overholdelse af punkt 42 i CEEAG skal det bekræftes, at ingen af støttemodtagerne kan holdes ansvarlige for forureningen i henhold til nuværende EU-lovgivning eller national lovgivning (princippet om, at forureneren betaler).</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lastRenderedPageBreak/>
        <w:t xml:space="preserve">Med henblik på at påvise overholdelsen af punkt 43-46 i CEEAG skal der for at vise støttens hensigtsmæssighed i forhold til andre støtteinstrumenter gives følgende oplysninger: </w:t>
      </w:r>
    </w:p>
    <w:p w14:paraId="4F88C324" w14:textId="66497F82" w:rsidR="00EF1F6E" w:rsidRPr="00B429BF" w:rsidRDefault="00D97CBE" w:rsidP="00B82F95">
      <w:pPr>
        <w:pStyle w:val="ListParagraph"/>
        <w:numPr>
          <w:ilvl w:val="0"/>
          <w:numId w:val="32"/>
        </w:numPr>
        <w:spacing w:before="120" w:after="120"/>
        <w:contextualSpacing w:val="0"/>
        <w:jc w:val="both"/>
      </w:pPr>
      <w:r>
        <w:t xml:space="preserve">Forklar, hvorfor andre potentielt mindre forvridende former for støtte er mindre hensigtsmæssige, jf. </w:t>
      </w:r>
      <w:r>
        <w:rPr>
          <w:rStyle w:val="normaltextrun"/>
        </w:rPr>
        <w:t>kravet i punkt 44 i CEEAG.</w:t>
      </w:r>
      <w:r>
        <w:t xml:space="preserve">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Påvis, at valget af støtteinstrument er afpasset efter det markedssvigt, som støtteforanstaltningen/støtteforanstaltningerne skal afhjælpe, jf. kravet i punkt 45 i CEEAG.</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t xml:space="preserve">Forklar, hvordan støtteforanstaltningen og dens udformning er egnet til at nå målet, </w:t>
      </w:r>
      <w:r>
        <w:rPr>
          <w:rStyle w:val="normaltextrun"/>
        </w:rPr>
        <w:t>jf. punkt 46 i CEEAG.</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Proportionalitet </w:t>
            </w:r>
          </w:p>
        </w:tc>
      </w:tr>
    </w:tbl>
    <w:p w14:paraId="5A2A77DE" w14:textId="20FE0FA7" w:rsidR="00451471" w:rsidRPr="00B429BF" w:rsidRDefault="00863406" w:rsidP="00864350">
      <w:pPr>
        <w:spacing w:before="360" w:after="120"/>
        <w:jc w:val="both"/>
        <w:rPr>
          <w:i/>
        </w:rPr>
      </w:pPr>
      <w:r>
        <w:rPr>
          <w:i/>
        </w:rPr>
        <w:t xml:space="preserve">Med henblik på angivelsen af oplysningerne i dette afsnit henvises til afsnit 4.7.2.4, punkt 318-320, i CEEAG. </w:t>
      </w:r>
    </w:p>
    <w:p w14:paraId="1D6DB95B" w14:textId="15CA435A" w:rsidR="00F60556" w:rsidRPr="00B429BF" w:rsidRDefault="00F60556" w:rsidP="4B2A093F">
      <w:pPr>
        <w:pStyle w:val="ListParagraph"/>
        <w:numPr>
          <w:ilvl w:val="0"/>
          <w:numId w:val="4"/>
        </w:numPr>
        <w:spacing w:before="120" w:after="120"/>
        <w:ind w:left="567" w:hanging="567"/>
      </w:pPr>
      <w:r>
        <w:t>For at kontrollere overholdelsen af punkt 318 i CEEAG, skal der angives oplysninger, der påviser, at støtten ikke overstiger det normale beløb for skatten eller afgiften, der ellers ville være gældende.</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Når nedsættelsen af skatten, afgiften eller den skattelignende afgift er knyttet til investeringsomkostningerne, skal det i overensstemmelse med punkt 319 i CEEAG, afhængigt af hvilken del af CEAAG de støttede aktiviteter hører under, beskrives, hvordan det sikres, at støtten ikke overstiger de gældende støtteintensiteter og maksimale støttebeløb:</w:t>
      </w:r>
    </w:p>
    <w:p w14:paraId="20FA8CFC" w14:textId="1761824E" w:rsidR="007821A1" w:rsidRPr="00B429BF" w:rsidRDefault="007821A1" w:rsidP="00287B08">
      <w:pPr>
        <w:pStyle w:val="ListParagraph"/>
        <w:ind w:left="567"/>
      </w:pPr>
      <w:r>
        <w:rPr>
          <w:rFonts w:ascii="Wingdings" w:hAnsi="Wingdings"/>
        </w:rPr>
        <w:t>o</w:t>
      </w:r>
      <w:r>
        <w:t xml:space="preserve"> For afsnit 4.2 (punkt 146-151 i CEEAG)</w:t>
      </w:r>
    </w:p>
    <w:p w14:paraId="46FF5EA3" w14:textId="12D0A8FB" w:rsidR="007821A1" w:rsidRPr="00B429BF" w:rsidRDefault="007821A1" w:rsidP="00287B08">
      <w:pPr>
        <w:pStyle w:val="ListParagraph"/>
        <w:ind w:left="567"/>
      </w:pPr>
      <w:r>
        <w:rPr>
          <w:rFonts w:ascii="Wingdings" w:hAnsi="Wingdings"/>
        </w:rPr>
        <w:t>o</w:t>
      </w:r>
      <w:r>
        <w:t xml:space="preserve"> For afsnit 4.3.1 (punkt 177-180 i CEEAG)</w:t>
      </w:r>
    </w:p>
    <w:p w14:paraId="4DDE6ACE" w14:textId="07725BA8" w:rsidR="007821A1" w:rsidRPr="00B429BF" w:rsidRDefault="007821A1" w:rsidP="00287B08">
      <w:pPr>
        <w:pStyle w:val="ListParagraph"/>
        <w:ind w:left="567"/>
      </w:pPr>
      <w:r>
        <w:rPr>
          <w:rFonts w:ascii="Wingdings" w:hAnsi="Wingdings"/>
        </w:rPr>
        <w:t>o</w:t>
      </w:r>
      <w:r>
        <w:t xml:space="preserve"> For afsnit 4.3.2 (punkt 200-204 i CEEAG) </w:t>
      </w:r>
    </w:p>
    <w:p w14:paraId="68B447A3" w14:textId="4932DFC6" w:rsidR="007821A1" w:rsidRPr="00B429BF" w:rsidRDefault="007821A1" w:rsidP="00287B08">
      <w:pPr>
        <w:pStyle w:val="ListParagraph"/>
        <w:ind w:left="567"/>
      </w:pPr>
      <w:r>
        <w:rPr>
          <w:rFonts w:ascii="Wingdings" w:hAnsi="Wingdings"/>
        </w:rPr>
        <w:t>o</w:t>
      </w:r>
      <w:r>
        <w:t xml:space="preserve"> For afsnit 4.4 (punkt 239-245 i CEEAG)</w:t>
      </w:r>
    </w:p>
    <w:p w14:paraId="672D1A25" w14:textId="77777777" w:rsidR="007821A1" w:rsidRPr="00B429BF" w:rsidRDefault="007821A1" w:rsidP="00287B08">
      <w:pPr>
        <w:pStyle w:val="ListParagraph"/>
        <w:ind w:left="567"/>
      </w:pPr>
      <w:r>
        <w:rPr>
          <w:rFonts w:ascii="Wingdings" w:hAnsi="Wingdings"/>
        </w:rPr>
        <w:t>o</w:t>
      </w:r>
      <w:r>
        <w:t xml:space="preserve"> For afsnit 4.5 (punkt 265-271 i CEEAG)</w:t>
      </w:r>
    </w:p>
    <w:p w14:paraId="4850E6CA" w14:textId="77777777" w:rsidR="007821A1" w:rsidRPr="00B429BF" w:rsidRDefault="007821A1" w:rsidP="00287B08">
      <w:pPr>
        <w:pStyle w:val="ListParagraph"/>
        <w:ind w:left="567"/>
      </w:pPr>
      <w:r>
        <w:rPr>
          <w:rFonts w:ascii="Wingdings" w:hAnsi="Wingdings"/>
        </w:rPr>
        <w:t>o</w:t>
      </w:r>
      <w:r>
        <w:t xml:space="preserve"> For afsnit 4.6 (punkt 288-291 i CEEAG).</w:t>
      </w:r>
    </w:p>
    <w:p w14:paraId="5F482D19" w14:textId="046B4DE9" w:rsidR="008E0F56" w:rsidRPr="00B429BF" w:rsidRDefault="004E74BB" w:rsidP="008E0F56">
      <w:pPr>
        <w:tabs>
          <w:tab w:val="left" w:leader="dot" w:pos="9072"/>
        </w:tabs>
        <w:spacing w:before="120" w:after="120"/>
        <w:ind w:left="567"/>
        <w:jc w:val="both"/>
      </w:pPr>
      <w:r>
        <w:t>Udfyld spørgsmålene for de maksimale støtteintensiteter og maksimale støttebeløb i det respektive supplerende informationsskema for det relevante afsnit.</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Hvis nedsættelsen af skatten, afgiften eller den skattelignende afgift reducerer de løbende driftsomkostninger, skal det for at kontrollere overholdelsen af punkt 320 i CEEAG beskrives, hvordan det sikres, at støttebeløbet ikke overstiger forskellen mellem omkostningerne ved det miljøvenlige projekt eller den miljøvenlige aktivitet og det mindre miljøvenlige kontrafaktiske scenario. Beskriv også, hvordan der vil blive taget hensyn til potentielle omkostningsbesparelser og/eller yderligere indtægter i forbindelse med det mere miljøvenlige projekt. </w:t>
      </w:r>
    </w:p>
    <w:p w14:paraId="4A4B66D2" w14:textId="77777777" w:rsidR="005416C4" w:rsidRPr="00B429BF" w:rsidRDefault="005416C4" w:rsidP="005416C4">
      <w:pPr>
        <w:tabs>
          <w:tab w:val="left" w:leader="dot" w:pos="9072"/>
        </w:tabs>
        <w:spacing w:before="120" w:after="120"/>
        <w:ind w:left="567"/>
        <w:jc w:val="both"/>
      </w:pPr>
      <w:r>
        <w:lastRenderedPageBreak/>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Gennemsigtighed</w:t>
            </w:r>
          </w:p>
        </w:tc>
      </w:tr>
    </w:tbl>
    <w:p w14:paraId="07229A8F" w14:textId="4DAB462B" w:rsidR="006773CE" w:rsidRPr="00B429BF" w:rsidRDefault="006773CE" w:rsidP="006773CE">
      <w:pPr>
        <w:spacing w:before="360" w:after="120"/>
        <w:jc w:val="both"/>
        <w:rPr>
          <w:i/>
        </w:rPr>
      </w:pPr>
      <w:r>
        <w:rPr>
          <w:i/>
        </w:rPr>
        <w:t xml:space="preserve">Med henblik på angivelsen af oplysningerne i dette afsnit henvises til afsnit 3.2.1.4, punkt 58-62, i CEEAG.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Bekræft, at medlemsstaten vil opfylde kravene om gennemsigtighed i punkt 58-61 i CEEAG.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 xml:space="preserve">Angiv internetlinket til offentliggørelsen af den godkendte støtteordnings fulde ordlyd eller afgørelsen om at yde individuel støtte og dennes gennemførelsesbestemmelser samt oplysninger om hver enkelt individuel tildeling af støtte, som ydes ad hoc eller i henhold til en støtteordning, der er godkendt på grundlag af CEEAG, og som overstiger 100 000 EUR, hvorved de individuelle støttebeløb kan offentliggøres i intervaller som fastsat i punkt 60 i CEEAG.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Undgåelse af støttens uberettigede negative virkninger på konkurrencen og samhandelen og på balanceringen</w:t>
            </w:r>
          </w:p>
        </w:tc>
      </w:tr>
    </w:tbl>
    <w:p w14:paraId="6CD3884F" w14:textId="2069A458" w:rsidR="00F83660" w:rsidRPr="00B429BF" w:rsidRDefault="00F83660" w:rsidP="00F83660">
      <w:pPr>
        <w:spacing w:before="360" w:after="120"/>
        <w:jc w:val="both"/>
        <w:rPr>
          <w:i/>
        </w:rPr>
      </w:pPr>
      <w:r>
        <w:rPr>
          <w:i/>
        </w:rPr>
        <w:t xml:space="preserve">Med henblik på angivelsen af oplysningerne i dette afsnit henvises til afsnit 3.2.2, punkt 63-70, og afsnit 4.7.2.5, punkt 322-324, i CEEAG.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Med henblik på at kontrollere overholdelsen af punkt 67 i CEEAG skal der gives oplysninger om den eller de anmeldte foranstaltningers mulige kort- og langsigtede negative virkninger for konkurrencen og samhandelen.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Forklar, om foranstaltningen falder ind under en af følgende situationer: </w:t>
      </w:r>
    </w:p>
    <w:p w14:paraId="554349FE" w14:textId="018208B6" w:rsidR="00397D3C" w:rsidRPr="00B429BF" w:rsidRDefault="00EC455B" w:rsidP="00B82F95">
      <w:pPr>
        <w:pStyle w:val="ListParagraph"/>
        <w:numPr>
          <w:ilvl w:val="1"/>
          <w:numId w:val="28"/>
        </w:numPr>
        <w:spacing w:before="120" w:after="120"/>
        <w:contextualSpacing w:val="0"/>
        <w:jc w:val="both"/>
      </w:pPr>
      <w:r>
        <w:t>Den vil kun komme én eller et særligt begrænset antal støttemodtagere til gode.</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Den er rettet mod et eller flere markeder, hvor de etablerede operatører fik markedsstyrke forud for liberaliseringen af markedet.</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Hvis støtteforanstaltningen fokuserer på et specifikt teknologisk valg/en bestemt teknologisk vej, skal det teknologiske valg begrundes, og det skal begrundes, at dette ikke vil modvirke udbredelsen af renere teknologier.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Hvis den eller de anmeldte foranstaltninger kun vil være til fordel for en eller et særligt begrænset antal støttemodtagere, kræves følgende med henblik på at kontrollere overholdelsen af punkt 68 i CEEAG:</w:t>
      </w:r>
    </w:p>
    <w:p w14:paraId="05892635" w14:textId="438AD58D" w:rsidR="00F83660" w:rsidRPr="00B429BF" w:rsidRDefault="00D4206D" w:rsidP="00B82F95">
      <w:pPr>
        <w:pStyle w:val="ListParagraph"/>
        <w:numPr>
          <w:ilvl w:val="1"/>
          <w:numId w:val="28"/>
        </w:numPr>
        <w:spacing w:before="120" w:after="120"/>
        <w:contextualSpacing w:val="0"/>
        <w:jc w:val="both"/>
      </w:pPr>
      <w:r>
        <w:lastRenderedPageBreak/>
        <w:t>Forklar, om den eller de anmeldte foranstaltninger styrker eller opretholder støttemodtagernes markedsstyrke eller afholder eksisterende konkurrenter fra at ekspandere, fremprovokerer deres udtræden af markedet eller afholder nye konkurrenter fra at komme ind på markedet. Forklar i den forbindelse også, om støtteforanstaltningen vil føre til en forøgelse af støttemodtagerens produktionskapacitet.</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Beskriv den eller de foranstaltninger, der er indført for at begrænse den potentielle konkurrenceforvridning som følge af, at støtten ydes til støttemodtageren/støttemodtagerne.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Redegør for følgende med henblik på at påvise overholdelsen af punkt 69 i CEEAG:</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Om den støtte, der ydes inden for rammerne af den eller de anmeldte foranstaltninger, har til formål at opretholde den økonomiske aktivitet i én region eller flytte den fra andre regioner inden for det indre marked.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t>I bekræftende fald skal det angives, hvilke nettovirkninger den eller de anmeldte foranstaltninger har for miljøet, og hvordan den eller de anmeldte foranstaltninger forbedrer det eksisterende miljøbeskyttelsesniveau i medlemsstaterne.</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Hvordan den støtte, der ydes inden for rammerne af den eller de anmeldte foranstaltninger, ikke har nogen åbenlyst negative virkninger for konkurrencen og samhandelen.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Med henblik på at påvise overholdelsen af punkt 70 i CEEAG:</w:t>
      </w:r>
    </w:p>
    <w:p w14:paraId="2E397074" w14:textId="6FA30CAE" w:rsidR="00E84057" w:rsidRPr="00B429BF" w:rsidRDefault="00E84057" w:rsidP="00B82F95">
      <w:pPr>
        <w:pStyle w:val="ListParagraph"/>
        <w:numPr>
          <w:ilvl w:val="1"/>
          <w:numId w:val="28"/>
        </w:numPr>
        <w:spacing w:before="120" w:after="120"/>
        <w:contextualSpacing w:val="0"/>
        <w:jc w:val="both"/>
      </w:pPr>
      <w:r>
        <w:t>Bekræft, at støtte i henhold til den anmeldte støtteordning kan ydes inden for en frist på højst 10 år fra datoen for meddelelsen af Kommissionens afgørelse om, at støtten er forenelig med det indre marked.</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Bekræft, at jeres myndigheder vil anmelde ordningen igen, hvis de ønsker at forlænge ordningens varighed ud over denne maksimale periode,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Beskriv, hvordan det sikres, at støtte i overensstemmelse med punkt 322 i CEEAG ydes på samme måde til alle støtteberettigede virksomheder, der opererer inden for samme erhvervssektor, og som befinder sig i samme eller lignende faktiske situation med hensyn til støtteforanstaltningens mål.</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 xml:space="preserve">For ordninger, der løber i mere end 3 år, skal det i overensstemmelse med punkt 323 i CEEAG beskrives, hvilken overvågning der vil blive foretaget for at sikre, at støtten </w:t>
      </w:r>
      <w:r>
        <w:lastRenderedPageBreak/>
        <w:t>fortsat er nødvendig, og det skal bekræftes, at ordningen vil blive evalueret mindst hvert 3. år.</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I overensstemmelse med punkt 324 i CEEAG og afhængigt af det afsnit i CEEAG, som de støttede aktiviteter er omfattet af, skal følgende spørgsmål udfyldes i det relevante supplerende informationsskema. For projekter, der er omfattet af afsnit:</w:t>
      </w:r>
    </w:p>
    <w:p w14:paraId="2145D288" w14:textId="60CA7A8D" w:rsidR="00287B08" w:rsidRPr="00B429BF" w:rsidRDefault="00287B08" w:rsidP="00971636">
      <w:pPr>
        <w:pStyle w:val="ListParagraph"/>
        <w:ind w:left="567"/>
      </w:pPr>
      <w:r>
        <w:rPr>
          <w:rFonts w:ascii="Wingdings" w:hAnsi="Wingdings"/>
        </w:rPr>
        <w:t>o</w:t>
      </w:r>
      <w:r>
        <w:t xml:space="preserve"> 4.2 (</w:t>
      </w:r>
      <w:r>
        <w:rPr>
          <w:i/>
        </w:rPr>
        <w:t>spørgsmål 52 i det relevante supplerende informationsskema)</w:t>
      </w:r>
    </w:p>
    <w:p w14:paraId="0EAA7C42" w14:textId="52CC5D2C" w:rsidR="00287B08" w:rsidRPr="00B429BF" w:rsidRDefault="00287B08" w:rsidP="00971636">
      <w:pPr>
        <w:pStyle w:val="ListParagraph"/>
        <w:ind w:left="567"/>
      </w:pPr>
      <w:r>
        <w:rPr>
          <w:rFonts w:ascii="Wingdings" w:hAnsi="Wingdings"/>
        </w:rPr>
        <w:t>o</w:t>
      </w:r>
      <w:r>
        <w:t xml:space="preserve"> 4.3.1 (</w:t>
      </w:r>
      <w:r>
        <w:rPr>
          <w:i/>
        </w:rPr>
        <w:t>spørgsmål 49-52 i det relevante supplerende informationsskema)</w:t>
      </w:r>
    </w:p>
    <w:p w14:paraId="3D6DA314" w14:textId="051F34AF" w:rsidR="00287B08" w:rsidRPr="00B429BF" w:rsidRDefault="00287B08" w:rsidP="00971636">
      <w:pPr>
        <w:pStyle w:val="ListParagraph"/>
        <w:ind w:left="567"/>
      </w:pPr>
      <w:r>
        <w:rPr>
          <w:rFonts w:ascii="Wingdings" w:hAnsi="Wingdings"/>
        </w:rPr>
        <w:t>o</w:t>
      </w:r>
      <w:r>
        <w:t xml:space="preserve"> 4.3.2 (</w:t>
      </w:r>
      <w:r>
        <w:rPr>
          <w:i/>
        </w:rPr>
        <w:t>spørgsmål 46-55 i det relevante supplerende informationsskema)</w:t>
      </w:r>
      <w:r>
        <w:t>.</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Afvejning af støttens positive virkninger i forhold til de negative virkninger for konkurrencen og samhandelen</w:t>
            </w:r>
          </w:p>
        </w:tc>
      </w:tr>
    </w:tbl>
    <w:p w14:paraId="2BA426DC" w14:textId="4CDBD959" w:rsidR="00265702" w:rsidRPr="00B429BF" w:rsidRDefault="00265702" w:rsidP="00265702">
      <w:pPr>
        <w:spacing w:before="360" w:after="120"/>
        <w:jc w:val="both"/>
        <w:rPr>
          <w:i/>
          <w:color w:val="000000"/>
        </w:rPr>
      </w:pPr>
      <w:r>
        <w:rPr>
          <w:i/>
        </w:rPr>
        <w:t>Med henblik på angivelsen af oplysningerne i dette afsnit henvises til afsnit 3.3, punkt 71-76, i CEEAG.</w:t>
      </w:r>
      <w:r>
        <w:rPr>
          <w:i/>
          <w:color w:val="000000"/>
        </w:rPr>
        <w:t xml:space="preserve">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t>Med henblik på at påvise overholdelsen af punkt 72 i CEEAG skal det forklares, om de aktiviteter, der støttes i henhold til den anmeldte foranstaltning, opfylder kriterierne for miljømæssigt bæredygtige økonomiske aktiviteter i artikel 3 i Europa-Parlamentets og Rådets forordning (EU) 2020/852</w:t>
      </w:r>
      <w:r>
        <w:rPr>
          <w:rStyle w:val="FootnoteReference"/>
          <w:lang w:eastAsia="en-GB"/>
        </w:rPr>
        <w:footnoteReference w:id="11"/>
      </w:r>
      <w:r>
        <w:t>, herunder princippet om "ikke at gøre væsentlig skade", eller andre sammenlignelige metoder.</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Afsnit C: Evaluering</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t>Med henblik på angivelsen af oplysningerne i dette afsnit henvises til kapitel 5, punkt 455-463, i CEEAG.</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Hvis den eller de anmeldte foranstaltninger overskrider budget- eller udgiftstærsklerne i punkt 456 i CEEAG, skal det enten forklares, hvorfor undtagelsen i punkt 457 i CEEAG efter jeres mening bør finde anvendelse, eller der skal vedlægges et bilag til dette supplerende informationsskema, som indeholder et udkast til evalueringsplan, der dækker det anvendelsesområde, der er nævnt i punkt 458 i CEEAG</w:t>
      </w:r>
      <w:r>
        <w:rPr>
          <w:rStyle w:val="FootnoteReference"/>
          <w:lang w:eastAsia="en-GB"/>
        </w:rPr>
        <w:footnoteReference w:id="12"/>
      </w:r>
      <w:r>
        <w:t>.</w:t>
      </w:r>
    </w:p>
    <w:p w14:paraId="56FD497B" w14:textId="77777777" w:rsidR="00571769" w:rsidRPr="00B429BF" w:rsidRDefault="00571769" w:rsidP="00571769">
      <w:pPr>
        <w:pStyle w:val="ListParagraph"/>
        <w:spacing w:before="120" w:after="120"/>
        <w:ind w:left="0" w:firstLine="567"/>
        <w:contextualSpacing w:val="0"/>
        <w:jc w:val="both"/>
      </w:pPr>
      <w:r>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Hvis der fremlægges et udkast til evalueringsplan, skal der:</w:t>
      </w:r>
    </w:p>
    <w:p w14:paraId="61554CC9" w14:textId="77777777" w:rsidR="00571769" w:rsidRPr="00B429BF" w:rsidRDefault="00571769" w:rsidP="00B82F95">
      <w:pPr>
        <w:pStyle w:val="ListParagraph"/>
        <w:numPr>
          <w:ilvl w:val="0"/>
          <w:numId w:val="33"/>
        </w:numPr>
        <w:spacing w:before="120" w:after="120"/>
        <w:contextualSpacing w:val="0"/>
        <w:jc w:val="both"/>
      </w:pPr>
      <w:r>
        <w:lastRenderedPageBreak/>
        <w:t>nedenfor gives et resumé af udkastet til evalueringsplanen i bilaget</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t>gives en bekræftelse af, at punkt 460 i CEEAG vil blive overholdt</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angives den dato og det internetlink, hvor evalueringsplanen offentliggøres.</w:t>
      </w:r>
    </w:p>
    <w:p w14:paraId="7B713676" w14:textId="77777777" w:rsidR="00571769" w:rsidRPr="00B429BF" w:rsidRDefault="00571769" w:rsidP="00571769">
      <w:pPr>
        <w:pStyle w:val="ListParagraph"/>
        <w:spacing w:before="120" w:after="120"/>
        <w:ind w:left="1440"/>
        <w:contextualSpacing w:val="0"/>
        <w:jc w:val="both"/>
      </w:pP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For at påvise overholdelsen af punkt 459, litra b), i CEEAG, </w:t>
      </w:r>
      <w:proofErr w:type="gramStart"/>
      <w:r>
        <w:t>såfremt</w:t>
      </w:r>
      <w:proofErr w:type="gramEnd"/>
      <w:r>
        <w:t xml:space="preserve"> støtteordningen i øjeblikket ikke er genstand for en efterfølgende evaluering, og dens varighed overstiger tre år, skal det bekræftes, at et udkast til evalueringsplan vil blive fremsendt inden for 30 arbejdsdage efter en betydelig ændring af ordningens budget til over 150 mio. EUR i et givet år eller 750 mio. EUR i løbet af ordningens samlede løbetid.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 xml:space="preserve">For at påvise overholdelsen af punkt 459, litra c), i CEEAG skal der, </w:t>
      </w:r>
      <w:proofErr w:type="gramStart"/>
      <w:r>
        <w:t>såfremt</w:t>
      </w:r>
      <w:proofErr w:type="gramEnd"/>
      <w:r>
        <w:t xml:space="preserve"> støtteordningen i øjeblikket ikke er genstand for en efterfølgende evaluering, nedenfor gives et tilsagn om, at medlemsstaten vil fremsende et udkast til evalueringsplan inden for 30 arbejdsdage efter registrering i de officielle regnskaber af udgifter på over 150 mio. EUR i det foregående år.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Med henblik på at påvise overholdelsen af punkt 461 i CEEAG:</w:t>
      </w:r>
    </w:p>
    <w:p w14:paraId="3A9B542E" w14:textId="089343AF" w:rsidR="00277BC0" w:rsidRPr="00B429BF" w:rsidRDefault="00277BC0" w:rsidP="00B82F95">
      <w:pPr>
        <w:pStyle w:val="ListParagraph"/>
        <w:numPr>
          <w:ilvl w:val="1"/>
          <w:numId w:val="28"/>
        </w:numPr>
        <w:spacing w:before="120" w:after="120"/>
        <w:contextualSpacing w:val="0"/>
        <w:jc w:val="both"/>
      </w:pPr>
      <w:r>
        <w:t>Angiv, om den uafhængige ekspert allerede er blevet udvalgt eller vil blive udvalgt senere.</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Angiv oplysninger om proceduren for udvælgelse af eksperten.</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t xml:space="preserve">Begrund, hvordan eksperten er uafhængig af den støttetildelende myndighed.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Med henblik på at påvise overholdelsen af punkt 461 i CEEAG: </w:t>
      </w:r>
    </w:p>
    <w:p w14:paraId="342FFFFA" w14:textId="67690732" w:rsidR="0036428C" w:rsidRPr="00B429BF" w:rsidRDefault="002C0264" w:rsidP="00B82F95">
      <w:pPr>
        <w:pStyle w:val="ListParagraph"/>
        <w:numPr>
          <w:ilvl w:val="1"/>
          <w:numId w:val="28"/>
        </w:numPr>
        <w:spacing w:before="120" w:after="120"/>
        <w:contextualSpacing w:val="0"/>
        <w:jc w:val="both"/>
      </w:pPr>
      <w:r>
        <w:t>Angiv de foreslåede frister for indgivelse af midtvejsrapporten og den endelige evalueringsrapport. Bemærk, at den endelige evalueringsrapport skal forelægges Kommissionen så betids, at den kan indgå i vurderingen af en eventuel forlængelse af støtteordningen, og senest ni måneder før dens udløb, jf. punkt 463 i CEEAG. Bemærk, at denne frist kan afkortes for ordninger, der udløser evalueringskravet i de sidste to gennemførelsesår.</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Bekræft, at midtvejsrapporten og den endelige evalueringsrapport vil blive offentliggjort. Angiv den dato og det internetlink, hvor disse rapporter offentliggøres.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lastRenderedPageBreak/>
              <w:t>Afsnit D – Rapportering og overvågning</w:t>
            </w:r>
          </w:p>
        </w:tc>
      </w:tr>
    </w:tbl>
    <w:p w14:paraId="1C16B3DB" w14:textId="77777777" w:rsidR="006F0AE2" w:rsidRPr="00B429BF" w:rsidRDefault="006F0AE2" w:rsidP="006F0AE2">
      <w:pPr>
        <w:tabs>
          <w:tab w:val="left" w:leader="dot" w:pos="9072"/>
        </w:tabs>
        <w:spacing w:before="120" w:after="120"/>
        <w:ind w:left="567"/>
        <w:jc w:val="both"/>
      </w:pPr>
      <w:r>
        <w:rPr>
          <w:i/>
        </w:rPr>
        <w:t>Med henblik på angivelsen af oplysningerne i dette afsnit henvises til afsnit 6, punkt 464-465, i CEEAG.</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Bekræft, at medlemsstaten vil opfylde kravene om rapportering og overvågning i afsnit 6, punkt 464-465, i CEEAG.</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EUT C 80 af 18.2.2022, s. 1.</w:t>
      </w:r>
    </w:p>
  </w:footnote>
  <w:footnote w:id="3">
    <w:p w14:paraId="721B2C3E" w14:textId="5CF0F3FA" w:rsidR="005B06D6" w:rsidRPr="00B429BF" w:rsidRDefault="005B06D6" w:rsidP="002A2C73">
      <w:pPr>
        <w:pStyle w:val="FootnoteText"/>
      </w:pPr>
      <w:r>
        <w:rPr>
          <w:rStyle w:val="FootnoteReference"/>
        </w:rPr>
        <w:footnoteRef/>
      </w:r>
      <w:r>
        <w:t xml:space="preserve"> </w:t>
      </w:r>
      <w:r>
        <w:tab/>
        <w:t xml:space="preserve">Bemærk, at for en støtteordning er varigheden den periode, hvor der kan ansøges om og træffes afgørelse om støtte (herunder den tid, der er nødvendig for, at de nationale myndigheders godkendelse af støtteansøgningerne). Den varighed, der henvises til i dette spørgsmål, vedrører ikke varigheden af de kontrakter, der er indgået inden for rammerne af støtteordningen og kan fortsætte ud over foranstaltningens varighed. </w:t>
      </w:r>
    </w:p>
  </w:footnote>
  <w:footnote w:id="4">
    <w:p w14:paraId="51CA7B9F" w14:textId="77777777" w:rsidR="00A53EBB" w:rsidRPr="00B429BF" w:rsidRDefault="00A53EBB" w:rsidP="00A53EBB">
      <w:pPr>
        <w:pStyle w:val="FootnoteText"/>
      </w:pPr>
      <w:r>
        <w:rPr>
          <w:rStyle w:val="FootnoteReference"/>
        </w:rPr>
        <w:footnoteRef/>
      </w:r>
      <w:r>
        <w:tab/>
        <w:t>Bemærk, at en ændring af det faktiske eller anslåede budget kan være en ændring af støtten, som kræver en ny anmeldelse.</w:t>
      </w:r>
    </w:p>
  </w:footnote>
  <w:footnote w:id="5">
    <w:p w14:paraId="7AC0A709" w14:textId="328426FA" w:rsidR="007F5A4A" w:rsidRPr="00B429BF" w:rsidRDefault="007F5A4A" w:rsidP="007F5A4A">
      <w:pPr>
        <w:pStyle w:val="FootnoteText"/>
      </w:pPr>
      <w:r>
        <w:rPr>
          <w:rStyle w:val="FootnoteReference"/>
        </w:rPr>
        <w:footnoteRef/>
      </w:r>
      <w:r>
        <w:t xml:space="preserve"> </w:t>
      </w:r>
      <w:r>
        <w:tab/>
        <w:t>Bemærk, at punkt 38 og 52 samt fodnote 39 og 45 i CEEAG giver yderligere vejledning i, hvordan det sandsynlige kontrafaktiske scenario bør udfærdiges.</w:t>
      </w:r>
    </w:p>
  </w:footnote>
  <w:footnote w:id="6">
    <w:p w14:paraId="1AA8BB84" w14:textId="6CCB314C" w:rsidR="00B00EC5" w:rsidRPr="00B429BF" w:rsidRDefault="00B00EC5" w:rsidP="00B00EC5">
      <w:pPr>
        <w:pStyle w:val="FootnoteText"/>
      </w:pPr>
      <w:r>
        <w:rPr>
          <w:rStyle w:val="FootnoteReference"/>
        </w:rPr>
        <w:footnoteRef/>
      </w:r>
      <w:r>
        <w:t xml:space="preserve"> </w:t>
      </w:r>
      <w:r>
        <w:tab/>
        <w:t xml:space="preserve">"Referenceprojekt" er defineret i punkt 19, nr. 63), i CEEAG.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Hvis foranstaltningen f.eks. består i en nedsættelse af registreringsafgiften på elbiler, skal medlemsstaten først sammenligne rentabiliteten af referenceprojektet (anskaffelse af en flåde af elbiler) og det kontrafaktiske projekt (f.eks. erhvervelse af en flåde af benzinbiler) og i begge scenarier anvende den normale registreringsafgift for biler. Derefter skal medlemsstaten påvise, at nedsættelsen af registreringsafgiften for elbiler vil tilskynde støttemodtageren til at erhverve elbilparken ved at sammenligne referenceprojektets rentabilitet </w:t>
      </w:r>
      <w:r>
        <w:rPr>
          <w:u w:val="single"/>
        </w:rPr>
        <w:t>med</w:t>
      </w:r>
      <w:r>
        <w:t xml:space="preserve"> afgiftslempelsen (dvs. anskaffelse af en flåde af elbiler ved anvendelse en nedsat registreringsafgift) og rentabiliteten af det kontrafaktiske projekt (dvs. anskaffelse af en flåde af benzinbiler ved anvendelse af den normale registreringsafgift). Et andet eksempel kunne være en foranstaltning med et yderligere omkostningsfradrag på 40 % i det skattepligtige indkomstgrundlag ud over de normale skattemæssige afskrivninger for investeringer i miljøvenlige maskiner. I så fald skal medlemsstaten sammenligne rentabiliteten af referenceprojektet (anskaffelse af miljøvenlige maskiner) og det kontrafaktiske projekt (f.eks. anskaffelse af standardmaskiner) og i begge scenarier anvende de almindelige afskrivningsregler til skattemæssige formål og den samme afskrivningsperiode. Derefter skal medlemsstaten påvise, at den yderligere reduktion på 40 % af investeringsomkostningerne til miljøvenlige maskiner i beskatningsgrundlaget (dvs. i en samlet afskrivning på 140 % af omkostningerne i maskinernes levetid) ville tilskynde støttemodtageren til at erhverve denne dyrere udgave. Dette kan ske ved at sammenligne referenceprojektets rentabilitet </w:t>
      </w:r>
      <w:r>
        <w:rPr>
          <w:u w:val="single"/>
        </w:rPr>
        <w:t>med</w:t>
      </w:r>
      <w:r>
        <w:t xml:space="preserve"> skattenedsættelsen (dvs. det endelige skattebeløb, der skal betales efter anvendelse af det yderligere fradrag i beskatningsgrundlaget) og det kontrafaktiske projekts rentabilitet (dvs. det endelige skattebeløb, der skal betales efter anvendelse af de almindelige afskrivningsregler på beskatningsgrundlaget).</w:t>
      </w:r>
      <w:bookmarkEnd w:id="14"/>
    </w:p>
  </w:footnote>
  <w:footnote w:id="8">
    <w:p w14:paraId="1249B222" w14:textId="4F95552D" w:rsidR="006F1071" w:rsidRPr="00B429BF" w:rsidRDefault="006F1071">
      <w:pPr>
        <w:pStyle w:val="FootnoteText"/>
      </w:pPr>
      <w:r>
        <w:rPr>
          <w:rStyle w:val="FootnoteReference"/>
        </w:rPr>
        <w:footnoteRef/>
      </w:r>
      <w:r>
        <w:t xml:space="preserve"> </w:t>
      </w:r>
      <w:r>
        <w:tab/>
        <w:t>Se eksemplerne i fodnote 6.</w:t>
      </w:r>
    </w:p>
  </w:footnote>
  <w:footnote w:id="9">
    <w:p w14:paraId="590F3FC7" w14:textId="30CB4935" w:rsidR="005B06D6" w:rsidRPr="00B429BF" w:rsidRDefault="005B06D6" w:rsidP="00821F07">
      <w:pPr>
        <w:pStyle w:val="FootnoteText"/>
      </w:pPr>
      <w:r>
        <w:rPr>
          <w:rStyle w:val="FootnoteReference"/>
        </w:rPr>
        <w:footnoteRef/>
      </w:r>
      <w:r>
        <w:tab/>
        <w:t>I henhold til punkt 19, nr. 89, i CEEAG forstås ved "EU-standard":</w:t>
      </w:r>
    </w:p>
    <w:p w14:paraId="340A0B20" w14:textId="77777777" w:rsidR="005B06D6" w:rsidRPr="00B429BF" w:rsidRDefault="005B06D6" w:rsidP="00B82F95">
      <w:pPr>
        <w:pStyle w:val="FootnoteText"/>
        <w:numPr>
          <w:ilvl w:val="0"/>
          <w:numId w:val="27"/>
        </w:numPr>
        <w:rPr>
          <w:i/>
        </w:rPr>
      </w:pPr>
      <w:r>
        <w:rPr>
          <w:i/>
        </w:rPr>
        <w:t>en obligatorisk EU-standard, der fastsætter de niveauer, som de enkelte virksomheder skal nå på miljøområdet, med undtagelse af standarder eller mål fastsat på EU-plan, som er bindende for medlemsstaterne, men ikke for individuelle virksomheder</w:t>
      </w:r>
    </w:p>
    <w:p w14:paraId="02AC4E0B" w14:textId="45D77588" w:rsidR="005B06D6" w:rsidRPr="00B429BF" w:rsidRDefault="005B06D6" w:rsidP="00B82F95">
      <w:pPr>
        <w:pStyle w:val="FootnoteText"/>
        <w:numPr>
          <w:ilvl w:val="0"/>
          <w:numId w:val="27"/>
        </w:numPr>
      </w:pPr>
      <w:r>
        <w:rPr>
          <w:i/>
        </w:rPr>
        <w:t>forpligtelsen til at anvende den bedste tilgængelige teknik (BAT) som defineret i direktiv 2010/75/EU og til at sikre, at emissionsniveauerne ikke overstiger dem, der ville være opnået ved anvendelse af BAT. Hvis de emissionsniveauer, der er forbundet med BAT, er defineret i gennemførelsesretsakter vedtaget i henhold til direktiv 2010/75/EU eller i henhold til andre gældende direktiver, finder disse niveauer anvendelse i forbindelse med disse retningslinjer. Hvis disse niveauer er udtrykt som et interval, finder den grænse, for hvilken BAT først er opnået for den pågældende virksomhed, anvendelse.</w:t>
      </w:r>
    </w:p>
  </w:footnote>
  <w:footnote w:id="10">
    <w:p w14:paraId="383FBE2E" w14:textId="77777777" w:rsidR="00FB55E9" w:rsidRPr="00B429BF" w:rsidRDefault="00FB55E9" w:rsidP="00FB55E9">
      <w:pPr>
        <w:pStyle w:val="FootnoteText"/>
      </w:pPr>
      <w:r>
        <w:rPr>
          <w:rStyle w:val="FootnoteReference"/>
        </w:rPr>
        <w:footnoteRef/>
      </w:r>
      <w:r>
        <w:t xml:space="preserve"> </w:t>
      </w:r>
      <w:r>
        <w:tab/>
        <w:t>Tilbagebetalingsperioden er den tid, der er nødvendig for at få dækket omkostningerne ved en investering (uden støtte).</w:t>
      </w:r>
    </w:p>
  </w:footnote>
  <w:footnote w:id="11">
    <w:p w14:paraId="02AA3570" w14:textId="77777777" w:rsidR="005B06D6" w:rsidRPr="00B429BF" w:rsidRDefault="005B06D6" w:rsidP="004B2EF3">
      <w:pPr>
        <w:pStyle w:val="FootnoteText"/>
      </w:pPr>
      <w:r>
        <w:rPr>
          <w:rStyle w:val="FootnoteReference"/>
        </w:rPr>
        <w:footnoteRef/>
      </w:r>
      <w:r>
        <w:t xml:space="preserve"> </w:t>
      </w:r>
      <w:r>
        <w:tab/>
        <w:t>Europa-Parlamentets og Rådets forordning (EU) 2020/852 af 18. juni 2020 om fastlæggelse af en ramme til fremme af bæredygtige investeringer og om ændring af forordning (EU) 2019/2088 (EUT L 198 af 22.6.2020, s. 13).</w:t>
      </w:r>
    </w:p>
  </w:footnote>
  <w:footnote w:id="12">
    <w:p w14:paraId="05B1881A" w14:textId="287FC92F" w:rsidR="008472A5" w:rsidRDefault="008472A5" w:rsidP="008472A5">
      <w:pPr>
        <w:pStyle w:val="FootnoteText"/>
      </w:pPr>
      <w:r>
        <w:rPr>
          <w:rStyle w:val="FootnoteReference"/>
        </w:rPr>
        <w:footnoteRef/>
      </w:r>
      <w:r>
        <w:t xml:space="preserve"> </w:t>
      </w:r>
      <w:r>
        <w:tab/>
        <w:t xml:space="preserve">Skabelonen til det supplerende informationsskema til anmeldelse af en evalueringsplan (del III.8) er tilgængelig her: </w:t>
      </w:r>
      <w:hyperlink w:anchor="evaluation-plan" w:history="1">
        <w:r>
          <w:rPr>
            <w:rStyle w:val="Hyperlink"/>
            <w:color w:val="auto"/>
          </w:rPr>
          <w:t>https://competition-policy.ec.europa.eu/state-aid/legislation/forms-notifications-and-reporting_en#evaluation-plan</w:t>
        </w:r>
      </w:hyperlink>
      <w:r w:rsidR="00B8208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089"/>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6234"/>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a-DK"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a-DK"/>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a-D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2.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5.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4376</Words>
  <Characters>22934</Characters>
  <DocSecurity>0</DocSecurity>
  <Lines>521</Lines>
  <Paragraphs>196</Paragraphs>
  <ScaleCrop>false</ScaleCrop>
  <LinksUpToDate>false</LinksUpToDate>
  <CharactersWithSpaces>27114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2024-11-18T10:42:00Z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