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23800" w14:textId="4333A5C6" w:rsidR="000E0A1E" w:rsidRPr="00571002" w:rsidRDefault="000E0A1E" w:rsidP="000E0A1E">
      <w:pPr>
        <w:pStyle w:val="ManualHeading1"/>
        <w:rPr>
          <w:noProof/>
        </w:rPr>
      </w:pPr>
      <w:r w:rsidRPr="00571002">
        <w:rPr>
          <w:noProof/>
        </w:rPr>
        <w:t>P</w:t>
      </w:r>
      <w:r w:rsidRPr="00571002">
        <w:rPr>
          <w:noProof/>
        </w:rPr>
        <w:t>ARTI</w:t>
      </w:r>
      <w:r w:rsidRPr="00571002">
        <w:rPr>
          <w:noProof/>
        </w:rPr>
        <w:t xml:space="preserve"> III.6.I</w:t>
      </w:r>
      <w:r>
        <w:rPr>
          <w:noProof/>
        </w:rPr>
        <w:t xml:space="preserve"> - </w:t>
      </w:r>
      <w:r w:rsidRPr="00571002">
        <w:rPr>
          <w:noProof/>
        </w:rPr>
        <w:t>Skeda ta’ informazzjoni supplimentari għall-għajnuna mill-Istat mogħtija taħt il-Linji Gwida dwar l-għajnuna mill-Istat għall-klima, għall-ħarsien tal-ambjent u għall-enerġija 2022 (minn hawn ’il quddiem “CEEAG”) – Taqsima 4.7.2 – Għajnuna għall-ħarsien tal-ambjent fil-forma ta’ tnaqqis fit-taxxi jew imposti parafiskali</w:t>
      </w:r>
    </w:p>
    <w:p w14:paraId="153B41A7" w14:textId="77777777" w:rsidR="000E0A1E" w:rsidRPr="00571002" w:rsidRDefault="000E0A1E" w:rsidP="000E0A1E">
      <w:pPr>
        <w:ind w:right="-142"/>
        <w:rPr>
          <w:i/>
          <w:iCs/>
          <w:noProof/>
        </w:rPr>
      </w:pPr>
      <w:r w:rsidRPr="00571002">
        <w:rPr>
          <w:i/>
          <w:noProof/>
        </w:rPr>
        <w:t xml:space="preserve">Din l-iskeda ta’ informazzjoni supplimentari tirrigwarda l-miżuri koperti fit-Taqsima 4.7.2 tas-CEEAG. Jekk in-notifika tinkludi miżuri li huma koperti minn aktar minn taqsima waħda tas-CEEAG, jekk jogħġbok, ladarba tkun disponibbli, qis li timla wkoll l-iskeda ta’ informazzjoni supplimentari rispettiva li tikkonċerna t-taqsima rispettiva tas-CEEAG. </w:t>
      </w:r>
    </w:p>
    <w:p w14:paraId="1D525B7E" w14:textId="77777777" w:rsidR="000E0A1E" w:rsidRPr="00571002" w:rsidRDefault="000E0A1E" w:rsidP="000E0A1E">
      <w:pPr>
        <w:ind w:right="-142"/>
        <w:rPr>
          <w:i/>
          <w:iCs/>
          <w:noProof/>
        </w:rPr>
      </w:pPr>
      <w:r w:rsidRPr="00571002">
        <w:rPr>
          <w:i/>
          <w:noProof/>
        </w:rPr>
        <w:t>Id-dokumenti kollha pprovduti mill-Istati Membri bħala annessi ma’ din l-iskeda ta’ informazzjoni supplimentari jridu jiġu nnumerati u n-numri tad-dokumenti jridu jiġu indikati fit-taqsimiet rilevanti ta’ din l-iskeda ta’ informazzjoni supplimentari.</w:t>
      </w:r>
    </w:p>
    <w:p w14:paraId="7B8CB09C" w14:textId="77777777" w:rsidR="000E0A1E" w:rsidRPr="00571002" w:rsidRDefault="000E0A1E" w:rsidP="000E0A1E">
      <w:pPr>
        <w:pStyle w:val="ManualHeading2"/>
        <w:rPr>
          <w:noProof/>
        </w:rPr>
      </w:pPr>
      <w:r w:rsidRPr="00571002">
        <w:rPr>
          <w:noProof/>
        </w:rPr>
        <w:t>Taqsima A: Sommarju tal-karatteristiċi ewlenin tal-miżura/i notifikata/i</w:t>
      </w:r>
    </w:p>
    <w:p w14:paraId="5F604795" w14:textId="77777777" w:rsidR="000E0A1E" w:rsidRPr="00571002" w:rsidRDefault="000E0A1E" w:rsidP="000E0A1E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L-isfond u l-objettiv(i) tal-miżura/i notifikata/i.</w:t>
      </w:r>
    </w:p>
    <w:p w14:paraId="0BA70329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diskuss fit-Taqsima 5.2 tal-Formola ta’ Informazzjoni Ġenerali (il-Parti I), jekk jogħġbok ipprovdi l-isfond u l-objettiv prinċipali, inkluża kwalunkwe mira tal-Unjoni għall-protezzjoni ambjentali li l-miżura hija maħsuba li tappoġġa.</w:t>
      </w:r>
    </w:p>
    <w:p w14:paraId="2131022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02D60B8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jogħġbok indika kwalunkwe objettiv ieħor tal-miżura. Għal kwalunkwe objettiv li mhuwiex purament ambjentali, jekk jogħġbok spjega jekk dan jistax jirriżulta f’xi distorsjoni tal-kompetizzjoni fis-suq intern. </w:t>
      </w:r>
    </w:p>
    <w:p w14:paraId="17E4740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243C35A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Dħul fis-seħħ u tul ta’ żmien:</w:t>
      </w:r>
    </w:p>
    <w:p w14:paraId="6CAA1DDF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ma tkunx diġà pprovduta fit-Taqsima </w:t>
      </w:r>
      <w:r>
        <w:rPr>
          <w:noProof/>
        </w:rPr>
        <w:t>5.4</w:t>
      </w:r>
      <w:r w:rsidRPr="00571002">
        <w:rPr>
          <w:noProof/>
        </w:rPr>
        <w:t xml:space="preserve"> tal-Formola ta’ Informazzjoni Ġenerali (il-Parti I), jekk jogħġbok indika d-data minn meta l-iskema ta’ għajnuna hija ppjanata li tidħol fis-seħħ;</w:t>
      </w:r>
    </w:p>
    <w:p w14:paraId="5548ED78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9CAFF5D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indika t-tul ta’ żmien tal-iskema</w:t>
      </w:r>
      <w:r w:rsidRPr="00571002">
        <w:rPr>
          <w:rStyle w:val="FootnoteReference"/>
          <w:rFonts w:cs="Arial Unicode MS"/>
          <w:bCs/>
          <w:noProof/>
          <w:lang w:bidi="si-LK"/>
        </w:rPr>
        <w:footnoteReference w:id="1"/>
      </w:r>
      <w:r w:rsidRPr="00571002">
        <w:rPr>
          <w:noProof/>
        </w:rPr>
        <w:t>.</w:t>
      </w:r>
    </w:p>
    <w:p w14:paraId="2BB38CC5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22C3051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>Benefiċjarju/i</w:t>
      </w:r>
      <w:r w:rsidRPr="00571002">
        <w:rPr>
          <w:noProof/>
        </w:rPr>
        <w:tab/>
      </w:r>
    </w:p>
    <w:p w14:paraId="14466999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pprovdut(i) fit-Taqsima 3 tal-Formola ta’ Informazzjoni Ġenerali (il-Parti I), jekk jogħġbok iddeskrivi l-benefiċjarju/i (potenzjali) tal-miżura/i;</w:t>
      </w:r>
    </w:p>
    <w:p w14:paraId="6C4DC1B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E0D469E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indika l-post tal-benefiċjarju/i (jiġifieri jekk l-entitajiet ekonomiċi li jinsabu biss fl-Istat Membru rispettiv jew ukoll dawk fi Stati Membri oħra jkunu eliġibbli li jipparteċipaw fil-miżura).</w:t>
      </w:r>
    </w:p>
    <w:p w14:paraId="5E5B23F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6980A635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Sabiex tiġi vvalutata l-konformità mal-punt 15 tas-CEEAG, jekk jogħġbok speċifika jekk l-għajnuna hix tingħata skont il-miżura/i favur l-impriża (individwali jew parti minn skema) li hija soġġetta għal ordni ta’ rkupru pendenti wara deċiżjoni preċedenti tal-Kummissjoni li tiddikjara li l-għajnuna hija illegali u inkompatibbli mas-suq intern. </w:t>
      </w:r>
    </w:p>
    <w:p w14:paraId="07751E6B" w14:textId="77777777" w:rsidR="000E0A1E" w:rsidRPr="00571002" w:rsidRDefault="000E0A1E" w:rsidP="000E0A1E">
      <w:pPr>
        <w:pStyle w:val="Text1"/>
        <w:rPr>
          <w:noProof/>
        </w:rPr>
      </w:pPr>
      <w:r w:rsidRPr="00571002">
        <w:rPr>
          <w:noProof/>
        </w:rPr>
        <w:t xml:space="preserve">Jekk iva, jekk jogħġbok ipprovdi informazzjoni dwar l-ammont ta’ għajnuna li għad irid jiġi rkuprat sabiex il-Kummissjoni tqisha fil-valutazzjoni tal-miżura/i ta’ għajnuna. </w:t>
      </w:r>
    </w:p>
    <w:p w14:paraId="331C963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ABB56F4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ikkonferma li l-miżura/i ma tinvolvix/jinvolvux għajnuna għal attivitajiet li jaqgħu barra mill-kamp ta’ applikazzjoni tas-CEEAG (ara l-punt 13 tas-CEEAG). Inkella, jekk jogħġbok ipprovdi d-dettalji.</w:t>
      </w:r>
    </w:p>
    <w:p w14:paraId="3003B77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9A22E7E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Baġit u finanzjament tal-miżura/i.</w:t>
      </w:r>
    </w:p>
    <w:p w14:paraId="7DDE5E94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semmejtu fit-tabella fit-Taqsima 7.1 tal-Formola ta’ Informazzjoni Ġenerali (il-Parti I), jekk jogħġbok ipprovdi l-baġit annwali u/jew totali għat-tul ta’ żmien kollu tal-miżura/i; jekk il-baġit totali mhuwiex magħruf (pereżempju minħabba li jiddependi fuq ir-riżultati tal-offerti), jekk jogħġbok indika stima tal-baġit, inklużi s-suppożizzjonijiet użati għall-kalkolu tal-baġit stmat rispettiv</w:t>
      </w:r>
      <w:r w:rsidRPr="00571002">
        <w:rPr>
          <w:rStyle w:val="FootnoteReference"/>
          <w:noProof/>
        </w:rPr>
        <w:footnoteReference w:id="2"/>
      </w:r>
      <w:r w:rsidRPr="00571002">
        <w:rPr>
          <w:noProof/>
        </w:rPr>
        <w:t>.</w:t>
      </w:r>
    </w:p>
    <w:p w14:paraId="56DF468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EA299EA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il-miżura (jiġifieri t-tnaqqis tat-taxxa/parafiskali) hija </w:t>
      </w:r>
      <w:r w:rsidRPr="00571002">
        <w:rPr>
          <w:noProof/>
          <w:u w:val="single"/>
        </w:rPr>
        <w:t>ffinanzjata</w:t>
      </w:r>
      <w:r w:rsidRPr="00571002">
        <w:rPr>
          <w:noProof/>
        </w:rPr>
        <w:t xml:space="preserve"> permezz ta’ imposta, jekk jogħġbok iċċara jekk: </w:t>
      </w:r>
    </w:p>
    <w:p w14:paraId="4EF7882A" w14:textId="77777777" w:rsidR="000E0A1E" w:rsidRPr="00571002" w:rsidRDefault="000E0A1E" w:rsidP="000E0A1E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hijiex stabbilita bil-liġi jew bi kwalunkwe att leġiżlattiv ieħor; jekk iva, jekk jogħġbok ipprovdi l-att legali, in-numru u d-data meta ġie adottat u daħal fis-seħħ, il-link tal-internet għall-att legali;</w:t>
      </w:r>
    </w:p>
    <w:p w14:paraId="092F8B2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FFA0D1D" w14:textId="77777777" w:rsidR="000E0A1E" w:rsidRPr="00571002" w:rsidRDefault="000E0A1E" w:rsidP="000E0A1E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hijiex imposta b’mod ugwali fuq il-prodotti domestiċi u importati;</w:t>
      </w:r>
    </w:p>
    <w:p w14:paraId="36D6095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C315FE4" w14:textId="77777777" w:rsidR="000E0A1E" w:rsidRPr="00571002" w:rsidRDefault="000E0A1E" w:rsidP="000E0A1E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il-miżura notifikata hijiex se tkun ta’ benefiċċju b’mod indaqs għall-prodotti domestiċi u dawk importati;</w:t>
      </w:r>
    </w:p>
    <w:p w14:paraId="1D388F6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DE18F7A" w14:textId="77777777" w:rsidR="000E0A1E" w:rsidRPr="00571002" w:rsidRDefault="000E0A1E" w:rsidP="000E0A1E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tiffinanzjax kompletament il-miżura jew parzjalment biss. Jekk l-imposta tiffinanzja biss parzjalment il-miżura, indika s-sorsi l-oħra ta’ finanzjament tal-miżura u l-proporzjon rispettiv tagħhom;</w:t>
      </w:r>
    </w:p>
    <w:p w14:paraId="7149EBDF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BEABED3" w14:textId="77777777" w:rsidR="000E0A1E" w:rsidRPr="00571002" w:rsidRDefault="000E0A1E" w:rsidP="000E0A1E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li tiffinanzja l-miżura notifikata tiffinanzjax ukoll miżuri oħra ta’ għajnuna. Jekk iva, indika l-miżuri l-oħra ta’ għajnuna ffinanzjati mill-imposta kkonċernata.</w:t>
      </w:r>
    </w:p>
    <w:p w14:paraId="37A7856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30B4ED8C" w14:textId="77777777" w:rsidR="000E0A1E" w:rsidRPr="00571002" w:rsidRDefault="000E0A1E" w:rsidP="000E0A1E">
      <w:pPr>
        <w:pStyle w:val="ManualHeading2"/>
        <w:rPr>
          <w:noProof/>
        </w:rPr>
      </w:pPr>
      <w:r w:rsidRPr="00571002">
        <w:rPr>
          <w:noProof/>
        </w:rPr>
        <w:t>Taqsima B: Valutazzjoni tal-kompatibbiltà tal-għajnuna</w:t>
      </w:r>
    </w:p>
    <w:p w14:paraId="2809F1BF" w14:textId="77777777" w:rsidR="000E0A1E" w:rsidRPr="00571002" w:rsidRDefault="000E0A1E" w:rsidP="000E0A1E">
      <w:pPr>
        <w:pStyle w:val="Heading1"/>
        <w:numPr>
          <w:ilvl w:val="0"/>
          <w:numId w:val="26"/>
        </w:numPr>
        <w:tabs>
          <w:tab w:val="clear" w:pos="850"/>
          <w:tab w:val="num" w:pos="360"/>
        </w:tabs>
        <w:rPr>
          <w:noProof/>
        </w:rPr>
      </w:pPr>
      <w:r w:rsidRPr="00571002">
        <w:rPr>
          <w:noProof/>
        </w:rPr>
        <w:t>Kundizzjoni pożittiva: l-għajnuna trid tiffaċilita l-iżvilupp ta’ attività ekonomika</w:t>
      </w:r>
    </w:p>
    <w:p w14:paraId="208BF6B8" w14:textId="77777777" w:rsidR="000E0A1E" w:rsidRPr="00571002" w:rsidRDefault="000E0A1E" w:rsidP="000E0A1E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Il-kontribut għall-iżvilupp ta’ attività ekonomika</w:t>
      </w:r>
    </w:p>
    <w:p w14:paraId="3484AB83" w14:textId="77777777" w:rsidR="000E0A1E" w:rsidRPr="00571002" w:rsidRDefault="000E0A1E" w:rsidP="000E0A1E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3.1.1 (il-punti 23-25) u </w:t>
      </w:r>
      <w:r w:rsidRPr="00571002">
        <w:rPr>
          <w:i/>
          <w:noProof/>
          <w:color w:val="000000"/>
        </w:rPr>
        <w:t>t-Taqsimiet 4.7.2.1 (il-punt 310) u 4.7.2.2 (il-punti 311-313) tas-CEEAG.</w:t>
      </w:r>
    </w:p>
    <w:p w14:paraId="60B4A30B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L-Artikolu 107(3), il-punt (c) tat-Trattat dwar il-Funzjonament tal-Unjoni Ewropea (“it-Trattat”) jipprevedi li l-Kummissjoni tista’ tiddikjara kompatibbli “</w:t>
      </w:r>
      <w:r w:rsidRPr="00571002">
        <w:rPr>
          <w:i/>
          <w:noProof/>
        </w:rPr>
        <w:t>għajnuna maħsuba sabiex tiffaċilita l-iżvilupp ta’ ċerti attivitajiet jew ta’ ċerti reġjuni ekonomiċi, basta dik l-għajnuna ma tfixkilx il-kondizzjonijiet tal-kummerċ sa grad li jkun kuntrarju għall-interess komuni</w:t>
      </w:r>
      <w:r w:rsidRPr="00571002">
        <w:rPr>
          <w:noProof/>
        </w:rPr>
        <w:t xml:space="preserve">”. Għaldaqstant, l-għajnuna kompatibbli skont din id-dispożizzjoni tat-Trattat trid tikkontribwixxi għall-iżvilupp ta’ ċertu attività ekonomika. </w:t>
      </w:r>
    </w:p>
    <w:p w14:paraId="0CDFD0C4" w14:textId="77777777" w:rsidR="000E0A1E" w:rsidRPr="00571002" w:rsidRDefault="000E0A1E" w:rsidP="000E0A1E">
      <w:pPr>
        <w:pStyle w:val="Text1"/>
        <w:rPr>
          <w:noProof/>
        </w:rPr>
      </w:pPr>
      <w:r w:rsidRPr="00571002">
        <w:rPr>
          <w:noProof/>
        </w:rPr>
        <w:t xml:space="preserve">Sabiex tiġi vvalutata l-konformità mal-punt 23 tas-CEEAG, jekk jogħġbok identifika l-attivitajiet ekonomiċi li se jiġu ffaċilitati b’riżultat tal-għajnuna u kif l-iżvilupp ta’ dawk l-attivitajiet huwa appoġġat. </w:t>
      </w:r>
    </w:p>
    <w:p w14:paraId="015894AC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E4C3711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vvalutata l-konformità mal-punt 25 tas-CEEAG, jekk jogħġbok “iddeskrivi jekk l-għajnuna hix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dan”. </w:t>
      </w:r>
    </w:p>
    <w:p w14:paraId="0CE963F1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0ABCE8B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Barra minn hekk, </w:t>
      </w:r>
      <w:bookmarkStart w:id="0" w:name="_Hlk169774371"/>
      <w:r w:rsidRPr="00571002">
        <w:rPr>
          <w:noProof/>
        </w:rPr>
        <w:t>skont it-Taqsima tas-CEAAG li taħtha jaqgħu l-attivitajiet appoġġati</w:t>
      </w:r>
      <w:bookmarkEnd w:id="0"/>
      <w:r w:rsidRPr="00571002">
        <w:rPr>
          <w:noProof/>
        </w:rPr>
        <w:t>, jekk jogħġbok enfasizza sa liema punt l-għajnuna hija relatata mal-objettivi u/jew il-politiki deskritti fil-punt 135 tas-CEEAG (għat-Taqsima 4.2), il-punti 160-161 tas-CEEAG (għat-Taqsima 4.3.1), il-punti 190-191 tas-CEEAG (għat-Taqsima 4.3.2), il-punti 217-219 tas-CEEAG (għat-Taqsima 4.4), il-punti 253-254 tas-CEEAG (għat-Taqsima 4.5) jew il-punti 276-278 tas-CEEAG (għat-Taqsima 4.6).</w:t>
      </w:r>
    </w:p>
    <w:p w14:paraId="0A1F9AF8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988C1EE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bookmarkStart w:id="1" w:name="_Hlk169796485"/>
      <w:r w:rsidRPr="00571002">
        <w:rPr>
          <w:noProof/>
        </w:rPr>
        <w:t>Skont il-punt 311 tas-CEEAG, u skont it-Taqsima tas-CEEAG li taħtha jaqgħu l-attivitajiet appoġġati, ipprovdi informazzjoni dwar l-ambitu preċiż u l-attivitajiet appoġġati preċiżi tal-miżura/i ta’ għajnuna billi timla l-mistoqsija/i li ġejja/ġejjin tal-iskeda ta’ informazzjoni supplimentari rilevanti. Għall-attivitajiet li jaqgħu taħt it-Taqsima:</w:t>
      </w:r>
    </w:p>
    <w:bookmarkStart w:id="2" w:name="_Hlk164178286"/>
    <w:bookmarkStart w:id="3" w:name="_Hlk169774504"/>
    <w:p w14:paraId="0E84BD40" w14:textId="77777777" w:rsidR="000E0A1E" w:rsidRPr="00571002" w:rsidRDefault="000E0A1E" w:rsidP="000E0A1E">
      <w:pPr>
        <w:pStyle w:val="Tiret0"/>
        <w:numPr>
          <w:ilvl w:val="0"/>
          <w:numId w:val="39"/>
        </w:numPr>
        <w:rPr>
          <w:noProof/>
        </w:rPr>
      </w:pPr>
      <w:sdt>
        <w:sdtPr>
          <w:rPr>
            <w:rFonts w:ascii="Wingdings" w:eastAsia="Wingdings" w:hAnsi="Wingdings" w:cs="Wingdings"/>
            <w:noProof/>
          </w:rPr>
          <w:id w:val="-131856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  <w:lang w:eastAsia="en-GB"/>
            </w:rPr>
            <w:t>☐</w:t>
          </w:r>
        </w:sdtContent>
      </w:sdt>
      <w:r w:rsidRPr="00571002">
        <w:rPr>
          <w:noProof/>
        </w:rPr>
        <w:t xml:space="preserve"> </w:t>
      </w:r>
      <w:bookmarkEnd w:id="2"/>
      <w:r w:rsidRPr="00571002">
        <w:rPr>
          <w:noProof/>
        </w:rPr>
        <w:t xml:space="preserve">4.2 </w:t>
      </w:r>
      <w:bookmarkStart w:id="4" w:name="_Hlk164179209"/>
      <w:r w:rsidRPr="00571002">
        <w:rPr>
          <w:noProof/>
        </w:rPr>
        <w:t>(il-mistoqsijiet 9-12 tal-iskeda ta’ informazzjoni supplimentari rilevanti)</w:t>
      </w:r>
      <w:bookmarkEnd w:id="4"/>
    </w:p>
    <w:p w14:paraId="155D0869" w14:textId="77777777" w:rsidR="000E0A1E" w:rsidRPr="00571002" w:rsidRDefault="000E0A1E" w:rsidP="000E0A1E">
      <w:pPr>
        <w:pStyle w:val="Tiret0"/>
        <w:numPr>
          <w:ilvl w:val="0"/>
          <w:numId w:val="42"/>
        </w:numPr>
        <w:rPr>
          <w:noProof/>
        </w:rPr>
      </w:pPr>
      <w:sdt>
        <w:sdtPr>
          <w:rPr>
            <w:rFonts w:ascii="Wingdings" w:eastAsia="Wingdings" w:hAnsi="Wingdings" w:cs="Wingdings"/>
            <w:noProof/>
          </w:rPr>
          <w:id w:val="1877583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  <w:lang w:eastAsia="en-GB"/>
            </w:rPr>
            <w:t>☐</w:t>
          </w:r>
        </w:sdtContent>
      </w:sdt>
      <w:r w:rsidRPr="00571002">
        <w:rPr>
          <w:noProof/>
        </w:rPr>
        <w:t xml:space="preserve"> 4.3.1 (il-mistoqsija 10 tal-iskeda ta’ informazzjoni supplimentari rilevanti)</w:t>
      </w:r>
    </w:p>
    <w:p w14:paraId="2D18548D" w14:textId="77777777" w:rsidR="000E0A1E" w:rsidRPr="00571002" w:rsidRDefault="000E0A1E" w:rsidP="000E0A1E">
      <w:pPr>
        <w:pStyle w:val="Tiret0"/>
        <w:numPr>
          <w:ilvl w:val="0"/>
          <w:numId w:val="42"/>
        </w:numPr>
        <w:rPr>
          <w:noProof/>
        </w:rPr>
      </w:pPr>
      <w:sdt>
        <w:sdtPr>
          <w:rPr>
            <w:rFonts w:ascii="Wingdings" w:eastAsia="Wingdings" w:hAnsi="Wingdings" w:cs="Wingdings"/>
            <w:noProof/>
          </w:rPr>
          <w:id w:val="499011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  <w:lang w:eastAsia="en-GB"/>
            </w:rPr>
            <w:t>☐</w:t>
          </w:r>
        </w:sdtContent>
      </w:sdt>
      <w:r w:rsidRPr="00571002">
        <w:rPr>
          <w:noProof/>
        </w:rPr>
        <w:t xml:space="preserve"> 4.3.2 (il-mistoqsija 10 tal-iskeda ta’ informazzjoni supplimentari rilevanti)</w:t>
      </w:r>
    </w:p>
    <w:p w14:paraId="197065BD" w14:textId="77777777" w:rsidR="000E0A1E" w:rsidRPr="00571002" w:rsidRDefault="000E0A1E" w:rsidP="000E0A1E">
      <w:pPr>
        <w:pStyle w:val="Tiret0"/>
        <w:numPr>
          <w:ilvl w:val="0"/>
          <w:numId w:val="42"/>
        </w:numPr>
        <w:rPr>
          <w:noProof/>
        </w:rPr>
      </w:pPr>
      <w:sdt>
        <w:sdtPr>
          <w:rPr>
            <w:rFonts w:ascii="Wingdings" w:eastAsia="Wingdings" w:hAnsi="Wingdings" w:cs="Wingdings"/>
            <w:noProof/>
          </w:rPr>
          <w:id w:val="1575934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  <w:lang w:eastAsia="en-GB"/>
            </w:rPr>
            <w:t>☐</w:t>
          </w:r>
        </w:sdtContent>
      </w:sdt>
      <w:r w:rsidRPr="00571002">
        <w:rPr>
          <w:noProof/>
        </w:rPr>
        <w:t xml:space="preserve"> 4.4 (il-mistoqsijiet 11-13 tal-iskeda ta’ informazzjoni supplimentari rilevanti)</w:t>
      </w:r>
    </w:p>
    <w:p w14:paraId="07FBC633" w14:textId="77777777" w:rsidR="000E0A1E" w:rsidRPr="00571002" w:rsidRDefault="000E0A1E" w:rsidP="000E0A1E">
      <w:pPr>
        <w:pStyle w:val="Tiret0"/>
        <w:numPr>
          <w:ilvl w:val="0"/>
          <w:numId w:val="42"/>
        </w:numPr>
        <w:rPr>
          <w:noProof/>
        </w:rPr>
      </w:pPr>
      <w:sdt>
        <w:sdtPr>
          <w:rPr>
            <w:rFonts w:ascii="Wingdings" w:eastAsia="Wingdings" w:hAnsi="Wingdings" w:cs="Wingdings"/>
            <w:noProof/>
          </w:rPr>
          <w:id w:val="-1382703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  <w:lang w:eastAsia="en-GB"/>
            </w:rPr>
            <w:t>☐</w:t>
          </w:r>
        </w:sdtContent>
      </w:sdt>
      <w:r w:rsidRPr="00571002">
        <w:rPr>
          <w:noProof/>
        </w:rPr>
        <w:t xml:space="preserve"> 4.5 (il-mistoqsijiet 10-15 tal-iskeda ta’ informazzjoni supplimentari rilevanti)</w:t>
      </w:r>
    </w:p>
    <w:p w14:paraId="60EF5164" w14:textId="77777777" w:rsidR="000E0A1E" w:rsidRPr="00571002" w:rsidRDefault="000E0A1E" w:rsidP="000E0A1E">
      <w:pPr>
        <w:pStyle w:val="Tiret0"/>
        <w:numPr>
          <w:ilvl w:val="0"/>
          <w:numId w:val="42"/>
        </w:numPr>
        <w:rPr>
          <w:noProof/>
        </w:rPr>
      </w:pPr>
      <w:sdt>
        <w:sdtPr>
          <w:rPr>
            <w:rFonts w:ascii="Wingdings" w:eastAsia="Wingdings" w:hAnsi="Wingdings" w:cs="Wingdings"/>
            <w:noProof/>
          </w:rPr>
          <w:id w:val="494071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  <w:lang w:eastAsia="en-GB"/>
            </w:rPr>
            <w:t>☐</w:t>
          </w:r>
        </w:sdtContent>
      </w:sdt>
      <w:r w:rsidRPr="00571002">
        <w:rPr>
          <w:noProof/>
        </w:rPr>
        <w:t xml:space="preserve"> 4.6 (il-mistoqsijiet 10-12 tal-iskeda ta’ informazzjoni supplimentari rilevanti)</w:t>
      </w:r>
    </w:p>
    <w:bookmarkEnd w:id="1"/>
    <w:bookmarkEnd w:id="3"/>
    <w:p w14:paraId="58125260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1EF200A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indika jekk l-attivitajiet appoġġati primarjament għandhomx objettiv ta’ dekarbonizzazzjoni.  Jekk il-prevenzjoni jew it-tnaqqis tal-emissjonijiet ta’ gassijiet serra huma l-objettiv predominanti tal-miżura ta’ għajnuna, jekk jogħġbok irreferi għall-iskeda ta’ informazzjoni supplimentari għat-Taqsima 4.1 tas-CEEAG f’konformità mal-punt 312 tas-CEEAG, peress li tali għajnuna hija vvalutata fuq il-bażi tat-Taqsima 4.1 tas-CEEAG.</w:t>
      </w:r>
      <w:r w:rsidRPr="00571002">
        <w:rPr>
          <w:noProof/>
        </w:rPr>
        <w:tab/>
      </w:r>
    </w:p>
    <w:p w14:paraId="5DAD0070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0F6BC9A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ipprovdi deskrizzjoni dettaljata tat-taxxi u/jew l-imposti parafiskali li se jitnaqqsu (inkluż l-iskop tagħhom, kif jiġu imposti fuq il-bażi, ir-rata u l-entitajiet involuti fl-istabbiliment u r-rieżami tar-rata kif ukoll fil-ġbir u l-ġestjoni tad-dħul iġġenerat). Fuq din il-bażi, sabiex tiġi żgurata l-konformità mal-punt 313 tas-CEEAG, jekk jogħġbok uri li l-miżura proposta ma tinvolvix tnaqqis fit-taxxi jew fl-imposti li jirriflettu l-kostijiet essenzjali tal-provvista tal-enerġija jew ta’ servizzi relatati, bħal tariffi tan-network jew imposti li jiffinanzjaw mekkaniżmi ta’ kapaċità. Barra minn hekk, jekk jogħġbok ikkonferma li l-miżura ma tkoprix tnaqqis mill-imposti fuq il-konsum tal-elettriku li jiffinanzja objettiv tal-politika tal-enerġija.</w:t>
      </w:r>
    </w:p>
    <w:p w14:paraId="24AE39B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bookmarkStart w:id="5" w:name="_Hlk172646144"/>
      <w:r w:rsidRPr="00571002">
        <w:rPr>
          <w:noProof/>
        </w:rPr>
        <w:tab/>
      </w:r>
    </w:p>
    <w:bookmarkEnd w:id="5"/>
    <w:p w14:paraId="4AE8C5D2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iddeskrivi r-rekwiżiti ta’ eliġibbiltà applikabbli għall-benefiċjarju/i (pereżempju billi tinkludi kwalunkwe rekwiżit tekniku, ambjentali (jiġifieri permessi), finanzjarji (jiġifieri kollaterali) jew rekwiżiti oħra li l-benefiċjarju/i jeħtieġ li jikkonforma/jikkonformaw magħhom).</w:t>
      </w:r>
    </w:p>
    <w:p w14:paraId="5EF9E6CC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4181453" w14:textId="77777777" w:rsidR="000E0A1E" w:rsidRPr="00571002" w:rsidRDefault="000E0A1E" w:rsidP="000E0A1E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Effett ta’ inċentiv</w:t>
      </w:r>
    </w:p>
    <w:p w14:paraId="1AD0836E" w14:textId="77777777" w:rsidR="000E0A1E" w:rsidRPr="00571002" w:rsidRDefault="000E0A1E" w:rsidP="000E0A1E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3.1.2 (il-punti 26-32) u t-Taqsima 4.7.2.3 (il-punti 315-316) tas-CEEAG. </w:t>
      </w:r>
    </w:p>
    <w:p w14:paraId="4C4ECD2E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L-għajnuna tista’ titqies li tiffaċilita attività ekonomika biss jekk ikollha effett ta’ inċentiv. Sabiex tiġi vvalutata l-konformità mal-punt 26 tas-CEEAG, jekk jogħġbok spjega kif il-miżura/i </w:t>
      </w:r>
      <w:r w:rsidRPr="00571002">
        <w:rPr>
          <w:i/>
          <w:noProof/>
        </w:rPr>
        <w:t>“ġġiegħel lill-benefiċjarju jibdel l-imġiba tiegħu, jinvolvi ruħu f’attività ekonomika addizzjonali jew f’attività ekonomika aktar ekoloġika, li kieku ma kienx iwettaqha mingħajr l-għajnuna jew kien iwettaqha b’mod ristrett jew differenti”</w:t>
      </w:r>
      <w:r w:rsidRPr="00571002">
        <w:rPr>
          <w:noProof/>
        </w:rPr>
        <w:t>.</w:t>
      </w:r>
      <w:r w:rsidRPr="00571002">
        <w:rPr>
          <w:i/>
          <w:noProof/>
        </w:rPr>
        <w:t xml:space="preserve"> </w:t>
      </w:r>
    </w:p>
    <w:p w14:paraId="06223CB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A8044F8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iCs/>
          <w:noProof/>
        </w:rPr>
      </w:pPr>
      <w:r w:rsidRPr="00571002">
        <w:rPr>
          <w:noProof/>
        </w:rPr>
        <w:t>Skont il-punti 28 u 315 tas-CEEAG:</w:t>
      </w:r>
    </w:p>
    <w:p w14:paraId="55E2CE09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jogħġbok ipprovdi deskrizzjoni komprensiva tax-xenarju fattwali li mistenni jirriżulta mill-miżura ta’ għajnuna u x-xenarju/i kontrofattwali probabbli fin-nuqqas </w:t>
      </w:r>
      <w:r w:rsidRPr="00571002">
        <w:rPr>
          <w:noProof/>
        </w:rPr>
        <w:lastRenderedPageBreak/>
        <w:t>tal-miżura ta’ għajnuna.</w:t>
      </w:r>
      <w:r w:rsidRPr="00571002">
        <w:rPr>
          <w:rStyle w:val="FootnoteReference"/>
          <w:noProof/>
        </w:rPr>
        <w:footnoteReference w:id="3"/>
      </w:r>
      <w:r w:rsidRPr="00571002">
        <w:rPr>
          <w:noProof/>
        </w:rPr>
        <w:t xml:space="preserve"> Fejn taħseb li kategoriji differenti ta’ benefiċjarji jistgħu jiġu appoġġati, jekk jogħġbok żgura li l-kontrofattwali jkun kredibbli għal kull waħda minn dawn il-kategoriji. </w:t>
      </w:r>
    </w:p>
    <w:p w14:paraId="79071757" w14:textId="77777777" w:rsidR="000E0A1E" w:rsidRPr="00571002" w:rsidRDefault="000E0A1E" w:rsidP="000E0A1E">
      <w:pPr>
        <w:pStyle w:val="Text1"/>
        <w:rPr>
          <w:noProof/>
        </w:rPr>
      </w:pPr>
      <w:r w:rsidRPr="00571002">
        <w:rPr>
          <w:noProof/>
        </w:rPr>
        <w:t>Jekk jogħġbok ikkunsidra r-rekwiżiti rigward il-kontrofattwali inklużi fil-punti 165-169 tas-CEEAG (għall-proġetti u l-attivitajiet li jaqgħu fil-kamp ta’ applikazzjoni tat-Taqsima 4.3.1) u 226-230 tas-CEEAG (għall-proġetti u l-attivitajiet li jaqgħu fil-kamp ta’ applikazzjoni tat-Taqsimiet 4.4 u 4.5) u wieġeb għall-mistoqsijiet mill-iskeda ta’ informazzjoni supplimentari rispettiva għat-Taqsimiet 4.3.1, 4.4 jew 4.5.</w:t>
      </w:r>
    </w:p>
    <w:p w14:paraId="2017704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E3AF716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spjega fil-qosor ir-raġunament għall-għażla tax-xenarju/i kontrofattwali probabbli, fid-dawl tal-kategoriji differenti proposti ta’ benefiċjarji, jekk applikabbli;</w:t>
      </w:r>
    </w:p>
    <w:p w14:paraId="7725CFA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09CDAAC" w14:textId="77777777" w:rsidR="000E0A1E" w:rsidRPr="00571002" w:rsidRDefault="000E0A1E" w:rsidP="000E0A1E">
      <w:pPr>
        <w:pStyle w:val="NumPar2"/>
        <w:numPr>
          <w:ilvl w:val="1"/>
          <w:numId w:val="19"/>
        </w:numPr>
        <w:rPr>
          <w:noProof/>
        </w:rPr>
      </w:pPr>
      <w:bookmarkStart w:id="6" w:name="_Ref172646432"/>
      <w:r w:rsidRPr="00571002">
        <w:rPr>
          <w:noProof/>
        </w:rPr>
        <w:t>Jekk jogħġbok ikkwantifika l-kostijiet u d-dħul tax-xenarji fattwali u kontrofattwali u ġġustifika l-bidla fl-imġiba, fejn rilevanti għal kull kategorija ta’ benefiċjarju, billi tqabbel il-profittabbiltà tal-proġett jew tal-attività ta’ referenza</w:t>
      </w:r>
      <w:r w:rsidRPr="00571002">
        <w:rPr>
          <w:rStyle w:val="FootnoteReference"/>
          <w:noProof/>
        </w:rPr>
        <w:footnoteReference w:id="4"/>
      </w:r>
      <w:r w:rsidRPr="00571002">
        <w:rPr>
          <w:noProof/>
        </w:rPr>
        <w:t xml:space="preserve"> bit-tnaqqis tat-taxxa jew tal-imposta parafiskali u mingħajru</w:t>
      </w:r>
      <w:r w:rsidRPr="00571002">
        <w:rPr>
          <w:rStyle w:val="FootnoteReference"/>
          <w:noProof/>
        </w:rPr>
        <w:footnoteReference w:id="5"/>
      </w:r>
      <w:r w:rsidRPr="00571002">
        <w:rPr>
          <w:noProof/>
        </w:rPr>
        <w:t>, abbażi ta’:</w:t>
      </w:r>
      <w:bookmarkEnd w:id="6"/>
    </w:p>
    <w:p w14:paraId="1C7D9C3A" w14:textId="77777777" w:rsidR="000E0A1E" w:rsidRPr="00571002" w:rsidRDefault="000E0A1E" w:rsidP="000E0A1E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>il-proġett ta’ referenza rispettiv, il-kontrofattwali korrispondenti u d-diskrepanza fil-finanzjament li tirriżulta</w:t>
      </w:r>
      <w:r w:rsidRPr="00571002">
        <w:rPr>
          <w:rStyle w:val="FootnoteReference"/>
          <w:noProof/>
        </w:rPr>
        <w:footnoteReference w:id="6"/>
      </w:r>
      <w:r w:rsidRPr="00571002">
        <w:rPr>
          <w:noProof/>
        </w:rPr>
        <w:t xml:space="preserve">; </w:t>
      </w:r>
    </w:p>
    <w:p w14:paraId="19DF2934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13C5D7D" w14:textId="77777777" w:rsidR="000E0A1E" w:rsidRPr="00571002" w:rsidRDefault="000E0A1E" w:rsidP="000E0A1E">
      <w:pPr>
        <w:pStyle w:val="Text1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23DB38F9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data ekwivalenti.</w:t>
      </w:r>
    </w:p>
    <w:p w14:paraId="2C257F4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35900485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vvalutata l-konformità mal-punt 27 tas-CEEAG, jekk jogħġbok ipprovdi informazzjoni biex tikkonferma li l-għajnuna ma tappoġġax il-kostijiet ta’ attività li l-benefiċjarju tal-għajnuna xorta waħda kien iwettaq u ma tikkumpensax għar-riskju kummerċjali normali ta’ attività ekonomika</w:t>
      </w:r>
      <w:r w:rsidRPr="00571002">
        <w:rPr>
          <w:i/>
          <w:noProof/>
        </w:rPr>
        <w:t xml:space="preserve">. </w:t>
      </w:r>
    </w:p>
    <w:p w14:paraId="710A35F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bookmarkStart w:id="8" w:name="_Hlk172796407"/>
      <w:r w:rsidRPr="00571002">
        <w:rPr>
          <w:noProof/>
        </w:rPr>
        <w:tab/>
      </w:r>
    </w:p>
    <w:bookmarkEnd w:id="8"/>
    <w:p w14:paraId="2FC576E9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turi l-konformità mal-punti 29, 31 u 316 tas-CEEAG, indika jekk il-proġett jew l-attività nbdewx diġà qabel applikazzjoni għall-għajnuna bil-miktub mill-benefiċjarju lill-awtoritajiet nazzjonali. </w:t>
      </w:r>
    </w:p>
    <w:p w14:paraId="456FA06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668C456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Għal proġetti jew attivitajiet li bdew qabel ma ġiet sottomessa l-applikazzjoni għall-għajnuna, jekk jogħġbok:</w:t>
      </w:r>
    </w:p>
    <w:p w14:paraId="5C41174B" w14:textId="77777777" w:rsidR="000E0A1E" w:rsidRPr="00571002" w:rsidRDefault="000E0A1E" w:rsidP="000E0A1E">
      <w:pPr>
        <w:pStyle w:val="Point1letter"/>
        <w:numPr>
          <w:ilvl w:val="3"/>
          <w:numId w:val="28"/>
        </w:numPr>
        <w:rPr>
          <w:noProof/>
        </w:rPr>
      </w:pPr>
      <w:r w:rsidRPr="00571002">
        <w:rPr>
          <w:noProof/>
        </w:rPr>
        <w:t>ikkonferma li l-miżura tistabbilixxi dritt għall-għajnuna f’konformità ma’ kriterji oġġettivi u mhux diskriminatorji u mingħajr eżerċizzju ulterjuri ta’ diskrezzjoni mill-Istati Membri u li l-miżura tkun ġiet adottata u tkun fis-seħħ qabel ma tkun bdiet il-ħidma fuq il-proġett jew l-attività megħjuna;</w:t>
      </w:r>
    </w:p>
    <w:p w14:paraId="48278258" w14:textId="77777777" w:rsidR="000E0A1E" w:rsidRPr="00571002" w:rsidRDefault="000E0A1E" w:rsidP="000E0A1E">
      <w:pPr>
        <w:pStyle w:val="Text1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2EC04B9A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F’każ li l-proġett jew l-attività jkunu diġà bdew qabel applikazzjoni għall-għajnuna bil-miktub u qabel l-adozzjoni u/jew id-dħul fis-seħħ tal-miżura, ikkonferma li l-proġett jew l-attività kienu diġà koperti minn skema simili preċedenti fil-forma ta’ vantaġġi fiskali jew parafiskali</w:t>
      </w:r>
    </w:p>
    <w:p w14:paraId="2221206C" w14:textId="77777777" w:rsidR="000E0A1E" w:rsidRPr="00571002" w:rsidRDefault="000E0A1E" w:rsidP="000E0A1E">
      <w:pPr>
        <w:pStyle w:val="Text1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6BE5A207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juru li l-proġett jew l-attività jaqgħu taħt wieħed mill-każijiet eċċezzjonali previsti fil-punt 31 tas-CEEAG (b) jew (c). </w:t>
      </w:r>
    </w:p>
    <w:p w14:paraId="6385DBB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bookmarkStart w:id="9" w:name="_Hlk172645191"/>
      <w:r w:rsidRPr="00571002">
        <w:rPr>
          <w:noProof/>
        </w:rPr>
        <w:tab/>
      </w:r>
    </w:p>
    <w:bookmarkEnd w:id="9"/>
    <w:p w14:paraId="214B7212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 30 tas-CEEAG, jekk jogħġbok ikkonferma li l-applikazzjoni għall-għajnuna tinkludi mill-inqas l-isem tal-applikant, deskrizzjoni tal-proġett jew l-attività, inkluż il-post, u l-ammont tal-għajnuna meħtieġa biex jitwettqu.</w:t>
      </w:r>
    </w:p>
    <w:p w14:paraId="6663EDE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2AAE787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turi l-konformità mal-punt 32 tas-CEEAG:</w:t>
      </w:r>
    </w:p>
    <w:p w14:paraId="1180DE64" w14:textId="77777777" w:rsidR="000E0A1E" w:rsidRPr="00571002" w:rsidRDefault="000E0A1E" w:rsidP="000E0A1E">
      <w:pPr>
        <w:pStyle w:val="Point1letter"/>
        <w:numPr>
          <w:ilvl w:val="3"/>
          <w:numId w:val="29"/>
        </w:numPr>
        <w:rPr>
          <w:noProof/>
        </w:rPr>
      </w:pPr>
      <w:r w:rsidRPr="00571002">
        <w:rPr>
          <w:noProof/>
        </w:rPr>
        <w:t>Jekk jogħġbok indika jekk hemmx standards tal-Unjoni</w:t>
      </w:r>
      <w:r w:rsidRPr="00571002">
        <w:rPr>
          <w:rStyle w:val="FootnoteReference"/>
          <w:noProof/>
          <w:lang w:eastAsia="en-GB"/>
        </w:rPr>
        <w:footnoteReference w:id="7"/>
      </w:r>
      <w:r w:rsidRPr="00571002">
        <w:rPr>
          <w:noProof/>
        </w:rPr>
        <w:t xml:space="preserve"> applikabbli għall-miżura/i notifikata/i, standards nazzjonali obbligatorji li huma aktar stretti jew </w:t>
      </w:r>
      <w:r w:rsidRPr="00571002">
        <w:rPr>
          <w:noProof/>
        </w:rPr>
        <w:lastRenderedPageBreak/>
        <w:t>ambizzjużi mill-istandards korrispondenti tal-Unjoni, jew standards nazzjonali obbligatorji adottati fin-nuqqas ta’ standards tal-Unjoni.</w:t>
      </w:r>
    </w:p>
    <w:p w14:paraId="17E06C96" w14:textId="77777777" w:rsidR="000E0A1E" w:rsidRPr="00571002" w:rsidRDefault="000E0A1E" w:rsidP="000E0A1E">
      <w:pPr>
        <w:pStyle w:val="Text2"/>
        <w:rPr>
          <w:noProof/>
        </w:rPr>
      </w:pPr>
      <w:r w:rsidRPr="00571002">
        <w:rPr>
          <w:noProof/>
        </w:rPr>
        <w:t xml:space="preserve">F’dak il-kuntest, jekk jogħġbok ipprovdi informazzjoni biex turi l-effett ta’ inċentiv.  </w:t>
      </w:r>
    </w:p>
    <w:p w14:paraId="17B26A32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bookmarkStart w:id="10" w:name="_Hlk176942272"/>
      <w:r w:rsidRPr="00571002">
        <w:rPr>
          <w:noProof/>
        </w:rPr>
        <w:tab/>
      </w:r>
    </w:p>
    <w:bookmarkEnd w:id="10"/>
    <w:p w14:paraId="32A0C061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F’każijiet fejn l-istandard rilevanti tal-Unjoni jkun diġà ġie adottat iżda jkun għadu mhux fis-seħħ, jekk jogħġbok uri li l-għajnuna għandha effett ta’ inċentiv għaliex tinċentiva l-investiment li għandu jiġi implimentat u ffinalizzat mill-inqas 18-il xahar qabel ma l-istandard jidħol fis-seħħ.</w:t>
      </w:r>
    </w:p>
    <w:p w14:paraId="5C01164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BFFE0E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iCs/>
          <w:noProof/>
        </w:rPr>
      </w:pPr>
      <w:r w:rsidRPr="00571002">
        <w:rPr>
          <w:noProof/>
        </w:rPr>
        <w:t>Għal proġetti u attivitajiet li jaqgħu fil-kamp ta’ applikazzjoni tat-Taqsima 4.2, jekk jogħġbok spjega jekk proġetti b’perjodu ta’ ħlas lura</w:t>
      </w:r>
      <w:r w:rsidRPr="00571002">
        <w:rPr>
          <w:rStyle w:val="FootnoteReference"/>
          <w:noProof/>
        </w:rPr>
        <w:footnoteReference w:id="8"/>
      </w:r>
      <w:r w:rsidRPr="00571002">
        <w:rPr>
          <w:noProof/>
        </w:rPr>
        <w:t xml:space="preserve"> ta’ inqas minn ħames snin humiex eliġibbli għall-għajnuna taħt il-miżura/i. Jekk iva, jekk jogħġbok ipprovdi evidenza biex turi li l-għajnuna hija meħtieġa biex tiskatta bidla fl-imġiba, kif meħtieġ mill-punt 142 tas-CEEAG. </w:t>
      </w:r>
    </w:p>
    <w:p w14:paraId="5082204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B1CF852" w14:textId="77777777" w:rsidR="000E0A1E" w:rsidRPr="00571002" w:rsidRDefault="000E0A1E" w:rsidP="000E0A1E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Ebda ksur ta’ ebda dispożizzjoni rilevanti tad-dritt tal-Unjoni</w:t>
      </w:r>
    </w:p>
    <w:p w14:paraId="116F21EE" w14:textId="77777777" w:rsidR="000E0A1E" w:rsidRPr="00571002" w:rsidRDefault="000E0A1E" w:rsidP="000E0A1E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3.1.3 (il-punt 33) tas-CEEAG. </w:t>
      </w:r>
    </w:p>
    <w:p w14:paraId="6F756D84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ipprovdi informazzjoni biex tikkonferma l-konformità mad-dispożizzjonijiet rilevanti tad-dritt tal-UE, f’konformità mal-punt 33 tas-CEEAG.</w:t>
      </w:r>
    </w:p>
    <w:p w14:paraId="06F75ACA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5A62B858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  <w:color w:val="000000"/>
        </w:rPr>
      </w:pPr>
      <w:r w:rsidRPr="00571002">
        <w:rPr>
          <w:noProof/>
        </w:rPr>
        <w:t xml:space="preserve">Jekk tintuża imposta biex </w:t>
      </w:r>
      <w:r w:rsidRPr="00571002">
        <w:rPr>
          <w:noProof/>
          <w:u w:val="single"/>
        </w:rPr>
        <w:t>tiffinanzja</w:t>
      </w:r>
      <w:r w:rsidRPr="00571002">
        <w:rPr>
          <w:noProof/>
        </w:rPr>
        <w:t xml:space="preserve"> l-miżura/i, jekk jogħġbok iċċara jekk hemmx bżonn li titwettaq il-valutazzjoni tal-konformità mal-Artikoli 30 u 110 tat-Trattat. Jekk iva, jekk jogħġbok uri kif il-miżura tikkonforma mad-dispożizzjonijiet tal-Artikoli 30 u 110 tat-Trattat.</w:t>
      </w:r>
      <w:r w:rsidRPr="00571002">
        <w:rPr>
          <w:i/>
          <w:noProof/>
        </w:rPr>
        <w:t xml:space="preserve"> </w:t>
      </w:r>
      <w:r w:rsidRPr="00571002">
        <w:rPr>
          <w:noProof/>
        </w:rPr>
        <w:t>F’dan il-kuntest, tista’ ssir referenza għall-informazzjoni ppreżentata taħt il-mistoqsija 5.2 ta’ hawn fuq, fejn il-miżura/i notifikata/i hija/huma ffinanzjata/i permezz ta’ imposta.</w:t>
      </w:r>
    </w:p>
    <w:p w14:paraId="1846F451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751793ED" w14:textId="77777777" w:rsidR="000E0A1E" w:rsidRPr="00571002" w:rsidRDefault="000E0A1E" w:rsidP="000E0A1E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t>Kundizzjoni negattiva: l-għajnuna ma tistax taffettwa b’mod mhux xieraq il-kundizzjonijiet tal-kummerċ sa punt li jmur kontra l-interess komuni</w:t>
      </w:r>
    </w:p>
    <w:p w14:paraId="2492D666" w14:textId="77777777" w:rsidR="000E0A1E" w:rsidRPr="00571002" w:rsidRDefault="000E0A1E" w:rsidP="000E0A1E">
      <w:pPr>
        <w:pStyle w:val="Heading2"/>
        <w:numPr>
          <w:ilvl w:val="1"/>
          <w:numId w:val="9"/>
        </w:numPr>
        <w:rPr>
          <w:noProof/>
        </w:rPr>
      </w:pPr>
      <w:r w:rsidRPr="00571002">
        <w:rPr>
          <w:noProof/>
        </w:rPr>
        <w:t>Minimizzazzjoni tad-distorsjonijiet tal-kompetizzjoni u tal-kummerċ</w:t>
      </w:r>
    </w:p>
    <w:p w14:paraId="3037BEBA" w14:textId="77777777" w:rsidR="000E0A1E" w:rsidRPr="00571002" w:rsidRDefault="000E0A1E" w:rsidP="000E0A1E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Neċessità tal-għajnuna</w:t>
      </w:r>
    </w:p>
    <w:p w14:paraId="659CBDD5" w14:textId="77777777" w:rsidR="000E0A1E" w:rsidRPr="00571002" w:rsidRDefault="000E0A1E" w:rsidP="000E0A1E">
      <w:pPr>
        <w:spacing w:before="360"/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3.2.1.1 (il-punti 34-38) tas-CEEAG. </w:t>
      </w:r>
    </w:p>
    <w:p w14:paraId="492B9388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spjega liema falliment(i) tas-suq identifikaw l-awtoritajiet tiegħek li jipprevjeni/u l-kisba ta’ livell suffiċjenti ta’ ħarsien tal-ambjent. Jekk jogħġbok </w:t>
      </w:r>
      <w:r w:rsidRPr="00571002">
        <w:rPr>
          <w:noProof/>
        </w:rPr>
        <w:lastRenderedPageBreak/>
        <w:t>speċifika f’liema kategorija jaqgħu l-fallimenti tas-suq identifikati, billi tagħmel referenza għall-ittri (a), (b), (c) jew (d) tal-punt 34 tas-CEEAG.</w:t>
      </w:r>
    </w:p>
    <w:p w14:paraId="27C7AB9D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20F6C65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rStyle w:val="normaltextrun"/>
          <w:noProof/>
        </w:rPr>
        <w:t>F’</w:t>
      </w:r>
      <w:r w:rsidRPr="00571002">
        <w:rPr>
          <w:rStyle w:val="normaltextrun"/>
          <w:noProof/>
          <w:color w:val="000000"/>
          <w:shd w:val="clear" w:color="auto" w:fill="FFFFFF"/>
        </w:rPr>
        <w:t>konformità</w:t>
      </w:r>
      <w:r w:rsidRPr="00571002">
        <w:rPr>
          <w:rStyle w:val="normaltextrun"/>
          <w:noProof/>
        </w:rPr>
        <w:t xml:space="preserve"> mal-punt 35 tas-CEEAG, </w:t>
      </w:r>
      <w:r w:rsidRPr="00571002">
        <w:rPr>
          <w:noProof/>
        </w:rPr>
        <w:t xml:space="preserve">jekk jogħġbok ipprovdi informazzjoni dwar </w:t>
      </w:r>
      <w:r w:rsidRPr="00571002">
        <w:rPr>
          <w:noProof/>
          <w:shd w:val="clear" w:color="auto" w:fill="FFFFFF"/>
        </w:rPr>
        <w:t>kwalunkwe politika u miżura eżistenti li l-awtoritajiet tiegħek identifikaw, li diġà għandhom fil-mira l-fallimenti regolatorji jew tas-suq identifikati.</w:t>
      </w:r>
    </w:p>
    <w:p w14:paraId="14BE27AD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E04C82D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turi l-konformità mal-punt 36 tas-CEEAG, jekk jogħġbok ipprovdi informazzjoni li turi li l-għajnuna għandha fil-mira b’mod effettiv il-fallimenti residwi tas-suq, filwaqt li tqis ukoll kwalunkwe politika u miżura oħra diġà fis-seħħ biex tindirizza wħud mill-fallimenti tas-suq identifikati. </w:t>
      </w:r>
    </w:p>
    <w:p w14:paraId="78804641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C1418A2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turi l-konformità mal-punt 37 tas-CEEAG, jekk jogħġbok spjega jekk, sa fejn jafu l-awtoritajiet tiegħek, </w:t>
      </w:r>
      <w:r w:rsidRPr="00571002">
        <w:rPr>
          <w:noProof/>
          <w:color w:val="000000"/>
          <w:shd w:val="clear" w:color="auto" w:fill="FFFFFF"/>
        </w:rPr>
        <w:t xml:space="preserve">proġetti jew attivitajiet </w:t>
      </w:r>
      <w:r w:rsidRPr="00571002">
        <w:rPr>
          <w:noProof/>
        </w:rPr>
        <w:t xml:space="preserve">simili għal dawk </w:t>
      </w:r>
      <w:r w:rsidRPr="00571002">
        <w:rPr>
          <w:noProof/>
          <w:color w:val="000000"/>
          <w:shd w:val="clear" w:color="auto" w:fill="FFFFFF"/>
        </w:rPr>
        <w:t>koperti mill-</w:t>
      </w:r>
      <w:r w:rsidRPr="00571002">
        <w:rPr>
          <w:noProof/>
        </w:rPr>
        <w:t xml:space="preserve">miżura/i notifikata/i </w:t>
      </w:r>
      <w:r w:rsidRPr="00571002">
        <w:rPr>
          <w:noProof/>
          <w:color w:val="000000"/>
          <w:shd w:val="clear" w:color="auto" w:fill="FFFFFF"/>
        </w:rPr>
        <w:t xml:space="preserve">fir-rigward tal-kontenut teknoloġiku, il-livell ta’ riskju u d-daqs tagħhom, humiex diġà </w:t>
      </w:r>
      <w:r w:rsidRPr="00571002">
        <w:rPr>
          <w:noProof/>
        </w:rPr>
        <w:t>mwassla</w:t>
      </w:r>
      <w:r w:rsidRPr="00571002">
        <w:rPr>
          <w:noProof/>
          <w:color w:val="000000"/>
          <w:shd w:val="clear" w:color="auto" w:fill="FFFFFF"/>
        </w:rPr>
        <w:t xml:space="preserve"> fl-Unjoni bil-kundizzjonijiet tas-suq</w:t>
      </w:r>
      <w:r w:rsidRPr="00571002">
        <w:rPr>
          <w:noProof/>
        </w:rPr>
        <w:t>. Jekk iva, jekk jogħġbok ipprovdi evidenza ulterjuri biex turi l-ħtieġa għal għajnuna mill-Istat.</w:t>
      </w:r>
    </w:p>
    <w:p w14:paraId="5A01E3C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58C3CE9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turi l-konformità mal-punt 38 tas-CEEAG, jekk jogħġbok irreferi għall-evidenza kwantitattiva diġà pprovduta fil-mistoqsija 14(c) ta’ hawn fuq. </w:t>
      </w:r>
    </w:p>
    <w:p w14:paraId="4009748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5C886F5" w14:textId="77777777" w:rsidR="000E0A1E" w:rsidRPr="00571002" w:rsidRDefault="000E0A1E" w:rsidP="000E0A1E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Adegwatezza</w:t>
      </w:r>
    </w:p>
    <w:p w14:paraId="38EE4104" w14:textId="77777777" w:rsidR="000E0A1E" w:rsidRPr="00571002" w:rsidRDefault="000E0A1E" w:rsidP="000E0A1E">
      <w:pPr>
        <w:spacing w:before="360"/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>Biex</w:t>
      </w:r>
      <w:r w:rsidRPr="00571002">
        <w:rPr>
          <w:i/>
          <w:noProof/>
        </w:rPr>
        <w:t xml:space="preserve"> 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3.2.1.2 (il-punti 39-46) tas-CEEAG. </w:t>
      </w:r>
    </w:p>
    <w:p w14:paraId="27411264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40 tas-CEEAG, jekk jogħġbok uri li ma hemmx strumenti inqas distorsivi disponibbli li huma aktar xierqa. </w:t>
      </w:r>
    </w:p>
    <w:p w14:paraId="066B5B4D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9A4BB3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41 tas-CEEAG, jekk jogħġbok uri li l-miżura ta’ għajnuna hija mfassla b’tali mod li ma ddgħajjifx l-effiċjenza ta’ miżuri oħra li jirrimedjaw l-istess falliment tas-suq, bħal mekkaniżmi bbażati fuq is-suq (pereżempju, l-EU ETS).</w:t>
      </w:r>
      <w:r w:rsidRPr="00571002">
        <w:rPr>
          <w:rStyle w:val="normaltextrun"/>
          <w:noProof/>
          <w:color w:val="000000"/>
          <w:shd w:val="clear" w:color="auto" w:fill="FFFFFF"/>
        </w:rPr>
        <w:t> </w:t>
      </w:r>
      <w:r w:rsidRPr="00571002">
        <w:rPr>
          <w:noProof/>
        </w:rPr>
        <w:t xml:space="preserve"> </w:t>
      </w:r>
    </w:p>
    <w:p w14:paraId="3D56EAB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A785743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42 tas-CEEAG, jekk jogħġbok ikkonferma li l-ebda wieħed </w:t>
      </w:r>
      <w:r w:rsidRPr="00571002">
        <w:rPr>
          <w:noProof/>
          <w:shd w:val="clear" w:color="auto" w:fill="FFFFFF"/>
        </w:rPr>
        <w:t>mill-benefiċjarji tal-miżura/i ta’ għajnuna ma seta’ jinżamm responsabbli għat-tniġġis taħt id-dritt eżistenti tal-Unjoni jew nazzjonali (</w:t>
      </w:r>
      <w:r w:rsidRPr="00571002">
        <w:rPr>
          <w:i/>
          <w:noProof/>
          <w:shd w:val="clear" w:color="auto" w:fill="FFFFFF"/>
        </w:rPr>
        <w:t>il-prinċipju ta’ “min iniġġes iħallas”</w:t>
      </w:r>
      <w:r w:rsidRPr="00571002">
        <w:rPr>
          <w:noProof/>
          <w:shd w:val="clear" w:color="auto" w:fill="FFFFFF"/>
        </w:rPr>
        <w:t xml:space="preserve">). </w:t>
      </w:r>
    </w:p>
    <w:p w14:paraId="05B86FD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FA693E6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mal-punti minn 43 sa 46 tas-CEEAG, biex turi l-adegwatezza tal-għajnuna fost strumenti ta’ għajnuna differenti, jekk jogħġbok ipprovdi l-informazzjoni li ġejja: </w:t>
      </w:r>
    </w:p>
    <w:p w14:paraId="04849269" w14:textId="77777777" w:rsidR="000E0A1E" w:rsidRPr="00571002" w:rsidRDefault="000E0A1E" w:rsidP="000E0A1E">
      <w:pPr>
        <w:pStyle w:val="Point1letter"/>
        <w:numPr>
          <w:ilvl w:val="3"/>
          <w:numId w:val="30"/>
        </w:numPr>
        <w:rPr>
          <w:noProof/>
        </w:rPr>
      </w:pPr>
      <w:r w:rsidRPr="00571002">
        <w:rPr>
          <w:noProof/>
        </w:rPr>
        <w:lastRenderedPageBreak/>
        <w:t>Jekk jogħġbok spjega għaliex forom oħra ta’ għajnuna li potenzjalment jiġġeneraw inqas distorsjoni huma inqas adegwati</w:t>
      </w:r>
      <w:r w:rsidRPr="00571002">
        <w:rPr>
          <w:rStyle w:val="normaltextrun"/>
          <w:noProof/>
        </w:rPr>
        <w:t>, kif meħtieġ fil-punt 44 tas-CEEAG</w:t>
      </w:r>
      <w:r w:rsidRPr="00571002">
        <w:rPr>
          <w:noProof/>
        </w:rPr>
        <w:t xml:space="preserve">. </w:t>
      </w:r>
    </w:p>
    <w:p w14:paraId="6CF16DE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132E9D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Uri li l-għażla tal-istrument ta’ għajnuna hija xierqa għall-falliment tas-suq li l-miżura/i ta’ għajnuna għandha l-għan li tindirizza, kif meħtieġ fil-punt 45 tas-CEEAG.</w:t>
      </w:r>
    </w:p>
    <w:p w14:paraId="4BEFE6E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D7AB3D1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Jekk jogħġbok spjega</w:t>
      </w:r>
      <w:r w:rsidRPr="00571002">
        <w:rPr>
          <w:noProof/>
          <w:color w:val="000000"/>
          <w:shd w:val="clear" w:color="auto" w:fill="FFFFFF"/>
        </w:rPr>
        <w:t xml:space="preserve"> </w:t>
      </w:r>
      <w:r w:rsidRPr="00571002">
        <w:rPr>
          <w:noProof/>
        </w:rPr>
        <w:t>kif</w:t>
      </w:r>
      <w:r w:rsidRPr="00571002">
        <w:rPr>
          <w:noProof/>
          <w:color w:val="000000"/>
          <w:shd w:val="clear" w:color="auto" w:fill="FFFFFF"/>
        </w:rPr>
        <w:t xml:space="preserve"> </w:t>
      </w:r>
      <w:r w:rsidRPr="00571002">
        <w:rPr>
          <w:noProof/>
        </w:rPr>
        <w:t>il-</w:t>
      </w:r>
      <w:r w:rsidRPr="00571002">
        <w:rPr>
          <w:noProof/>
          <w:color w:val="000000"/>
          <w:shd w:val="clear" w:color="auto" w:fill="FFFFFF"/>
        </w:rPr>
        <w:t xml:space="preserve">miżura ta’ għajnuna u t-tfassil tagħha huma xierqa sabiex jintlaħaq l-objettiv tagħha </w:t>
      </w:r>
      <w:r w:rsidRPr="00571002">
        <w:rPr>
          <w:rStyle w:val="normaltextrun"/>
          <w:noProof/>
          <w:shd w:val="clear" w:color="auto" w:fill="FFFFFF"/>
        </w:rPr>
        <w:t>(il-punt 46 tas-CEEAG)</w:t>
      </w:r>
      <w:r w:rsidRPr="00571002">
        <w:rPr>
          <w:noProof/>
        </w:rPr>
        <w:t>.</w:t>
      </w:r>
    </w:p>
    <w:p w14:paraId="775128B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F942C33" w14:textId="77777777" w:rsidR="000E0A1E" w:rsidRPr="00571002" w:rsidRDefault="000E0A1E" w:rsidP="000E0A1E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Proporzjonalità</w:t>
      </w:r>
    </w:p>
    <w:p w14:paraId="7270AF6A" w14:textId="77777777" w:rsidR="000E0A1E" w:rsidRPr="00571002" w:rsidRDefault="000E0A1E" w:rsidP="000E0A1E">
      <w:pPr>
        <w:spacing w:before="360"/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4.7.2.4 (il-punti 318-320) tas-CEEAG. </w:t>
      </w:r>
    </w:p>
    <w:p w14:paraId="68065E55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318 tas-CEEAG, jekk jogħġbok ipprovdi informazzjoni biex turi li l-għajnuna ma taqbiżx l-ammont normali tat-taxxa jew tal-imposta li altrimenti kien ikun applikabbli.</w:t>
      </w:r>
      <w:r w:rsidRPr="00571002">
        <w:rPr>
          <w:noProof/>
        </w:rPr>
        <w:tab/>
      </w:r>
    </w:p>
    <w:p w14:paraId="575DC13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2CA28C2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F’każijiet fejn it-tnaqqis tat-taxxa jew tal-imposta parafiskali huwa marbut mal-kostijiet tal-investiment, skont it-Taqsima tas-CEAAG li taħtha jaqgħu l-attivitajiet appoġġati, iddeskrivi f’konformità mal-punt 319 tas-CEEAG kif se jiġi żgurat li l-għajnuna ma taqbiżx l-intensitajiet tal-għajnuna applikabbli u l-ammonti massimi tal-għajnuna:</w:t>
      </w:r>
    </w:p>
    <w:p w14:paraId="608A62C8" w14:textId="77777777" w:rsidR="000E0A1E" w:rsidRPr="00571002" w:rsidRDefault="000E0A1E" w:rsidP="000E0A1E">
      <w:pPr>
        <w:pStyle w:val="Tiret0"/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1008565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Għat-Taqsima 4.2 (il-punti 146-151 tas-CEEAG)</w:t>
      </w:r>
    </w:p>
    <w:p w14:paraId="37FC775C" w14:textId="77777777" w:rsidR="000E0A1E" w:rsidRPr="00571002" w:rsidRDefault="000E0A1E" w:rsidP="000E0A1E">
      <w:pPr>
        <w:pStyle w:val="Tiret0"/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-1994328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Għat-Taqsima 4.3.1 (il-punti 177-180 tas-CEEAG)</w:t>
      </w:r>
    </w:p>
    <w:p w14:paraId="6B7BE30E" w14:textId="77777777" w:rsidR="000E0A1E" w:rsidRPr="00571002" w:rsidRDefault="000E0A1E" w:rsidP="000E0A1E">
      <w:pPr>
        <w:pStyle w:val="Tiret0"/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-1105261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Għat-Taqsima 4.3.2 (il-punti 200-204 tas-CEEAG </w:t>
      </w:r>
    </w:p>
    <w:p w14:paraId="0AC279BD" w14:textId="77777777" w:rsidR="000E0A1E" w:rsidRPr="00571002" w:rsidRDefault="000E0A1E" w:rsidP="000E0A1E">
      <w:pPr>
        <w:pStyle w:val="Tiret0"/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-2068647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Għat-Taqsima 4.4 (il-punti 239-245 tas-CEEAG)</w:t>
      </w:r>
    </w:p>
    <w:p w14:paraId="61C4FFA1" w14:textId="77777777" w:rsidR="000E0A1E" w:rsidRPr="00571002" w:rsidRDefault="000E0A1E" w:rsidP="000E0A1E">
      <w:pPr>
        <w:pStyle w:val="Tiret0"/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-1167625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Għat-Taqsima 4.5 (il-punti 265-271 tas-CEEAG)</w:t>
      </w:r>
    </w:p>
    <w:p w14:paraId="5D8FB7A0" w14:textId="77777777" w:rsidR="000E0A1E" w:rsidRPr="00571002" w:rsidRDefault="000E0A1E" w:rsidP="000E0A1E">
      <w:pPr>
        <w:pStyle w:val="Tiret0"/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-430133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Għat-Taqsima 4.6 (il-punti 288-291 tas-CEEAG)</w:t>
      </w:r>
    </w:p>
    <w:p w14:paraId="6D8463CB" w14:textId="470018B4" w:rsidR="000E0A1E" w:rsidRDefault="000E0A1E" w:rsidP="000E0A1E">
      <w:pPr>
        <w:pStyle w:val="Text1"/>
        <w:rPr>
          <w:noProof/>
        </w:rPr>
      </w:pPr>
      <w:r w:rsidRPr="00571002">
        <w:rPr>
          <w:noProof/>
        </w:rPr>
        <w:t>Għall-intensitajiet massimi tal-għajnuna u l-ammonti massimi tal-għajnuna, jekk jogħġbok imla l-mistoqsijiet mill-iskeda ta’ informazzjoni supplimentari rispettiva għat-Taqsima rilevanti.</w:t>
      </w:r>
    </w:p>
    <w:p w14:paraId="51B1C47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AF54774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F’każijiet fejn it-tnaqqis tat-taxxa jew tal-imposta parafiskali jnaqqas il-kostijiet operatorji rikorrenti, sabiex tiġi vverifikata l-konformità mal-punt 320 tas-CEEAG, jekk jogħġbok iddeskrivi kif se jiġi żgurat li l-ammont tal-għajnuna mhuwiex se jaqbeż id-differenza bejn il-kostijiet tal-proġett jew tal-attività ekoloġika u tax-xenarju kontrofattwali inqas ekoloġiku. Jekk jogħġbok agħti wkoll dettalji dwar kif se jitqies l-iffrankar potenzjali tal-kostijiet u/jew ir-rikavat addizzjonali tal-proġett ekoloġiku. </w:t>
      </w:r>
    </w:p>
    <w:p w14:paraId="7EC2E56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15E7D6CC" w14:textId="77777777" w:rsidR="000E0A1E" w:rsidRPr="00571002" w:rsidRDefault="000E0A1E" w:rsidP="000E0A1E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Trasparenza</w:t>
      </w:r>
    </w:p>
    <w:p w14:paraId="7A280814" w14:textId="77777777" w:rsidR="000E0A1E" w:rsidRPr="00571002" w:rsidRDefault="000E0A1E" w:rsidP="000E0A1E">
      <w:pPr>
        <w:spacing w:before="360"/>
        <w:rPr>
          <w:i/>
          <w:noProof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</w:t>
      </w:r>
      <w:r w:rsidRPr="00571002">
        <w:rPr>
          <w:i/>
          <w:noProof/>
        </w:rPr>
        <w:t xml:space="preserve">irreferi għat-Taqsima 3.2.1.4 (il-punti 58-62) tas-CEEAG. </w:t>
      </w:r>
    </w:p>
    <w:p w14:paraId="6CCADB67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rFonts w:eastAsia="Times New Roman"/>
          <w:noProof/>
          <w:szCs w:val="24"/>
        </w:rPr>
      </w:pPr>
      <w:r w:rsidRPr="00571002">
        <w:rPr>
          <w:noProof/>
        </w:rPr>
        <w:t xml:space="preserve">Jekk jogħġbok ikkonferma li l-Istat Membru se jikkonforma mar-rekwiżiti dwar it-trasparenza previsti fil-punti 58-61 tas-CEEAG. </w:t>
      </w:r>
    </w:p>
    <w:p w14:paraId="3D4FED3D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E4D0983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ipprovdi l-link tal-internet fejn se jiġu ppubblikati t-test sħiħ tal-iskema ta’ għajnuna approvata jew tad-deċiżjoni dwar l-għoti tal-għajnuna individwali u d-dispożizzjonijiet ta’ implimentazzjoni tagħha, u l-informazzjoni dwar kull għotja ta’ għajnuna individwali mogħtija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taħt skema ta’ għajnuna approvata fuq il-bażi tas-CEEAG u li taqbeż l-EUR 100 000, fejn l-ammonti ta’ għajnuna individwali jistgħu jiġu ppubblikati f’meded kif stabbilit fil-punt 60 tas-CEEAG. </w:t>
      </w:r>
    </w:p>
    <w:p w14:paraId="2C72C3F4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9D4278E" w14:textId="77777777" w:rsidR="000E0A1E" w:rsidRPr="00571002" w:rsidRDefault="000E0A1E" w:rsidP="000E0A1E">
      <w:pPr>
        <w:pStyle w:val="Heading2"/>
        <w:numPr>
          <w:ilvl w:val="1"/>
          <w:numId w:val="9"/>
        </w:numPr>
        <w:rPr>
          <w:noProof/>
          <w:color w:val="000000"/>
        </w:rPr>
      </w:pPr>
      <w:r w:rsidRPr="00571002">
        <w:rPr>
          <w:noProof/>
          <w:color w:val="000000"/>
        </w:rPr>
        <w:t>L-evitar ta’ effetti negattivi bla bżonn tal-għajnuna fuq il-kompetizzjoni u l-kummerċ u l-ibbilanċjar</w:t>
      </w:r>
    </w:p>
    <w:p w14:paraId="6AFE4A1A" w14:textId="77777777" w:rsidR="000E0A1E" w:rsidRPr="00571002" w:rsidRDefault="000E0A1E" w:rsidP="000E0A1E">
      <w:pPr>
        <w:spacing w:before="360"/>
        <w:rPr>
          <w:i/>
          <w:noProof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f’din it-Taqsima, jekk jogħġbok irreferi għat-Taqsima 3.2.2 (il-punti 63-70) u t-Taqsima 4.7.2.5 (il-punti 322-324) tas-CEEAG. </w:t>
      </w:r>
    </w:p>
    <w:p w14:paraId="386DA748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67 tas-CEEAG, jekk jogħġbok ipprovdi informazzjoni dwar l-effetti negattivi possibbli fuq terminu qasir u twil tal-miżura/i notifikata/i fuq il-kompetizzjoni u l-kummerċ. </w:t>
      </w:r>
    </w:p>
    <w:p w14:paraId="61B734E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C760B50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spjega jekk il-miżura taqax taħt xi waħda mis-sitwazzjonijiet li ġejjin: </w:t>
      </w:r>
    </w:p>
    <w:p w14:paraId="679CE423" w14:textId="77777777" w:rsidR="000E0A1E" w:rsidRPr="00571002" w:rsidRDefault="000E0A1E" w:rsidP="000E0A1E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>Se tkun ta’ benefiċċju biss għal benefiċjarju wieħed jew għal għadd partikolarment limitat ta’ benefiċjarji;</w:t>
      </w:r>
    </w:p>
    <w:p w14:paraId="08E8F80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C7FA178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Hija mmirata lejn suq (jew swieq) fejn l-operaturi stabbiliti kisbu saħħa fis-suq qabel il-liberalizzazzjoni tas-suq.</w:t>
      </w:r>
    </w:p>
    <w:p w14:paraId="776267A2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52EB98D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il-miżura ta’ għajnuna tiffoka fuq għażla/perkors teknoloġiku speċifiku, jekk jogħġbok iġġustifika r-raġuni għall-għażla teknoloġika u li mhux se tiskoraġġixxi l-użu ta’ teknoloġiji aktar nodfa. </w:t>
      </w:r>
    </w:p>
    <w:p w14:paraId="3C9107E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2E8ECCE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il-miżura/i notifikata/i se tibbenefika/jibbenefikaw biss minn benefiċjarju wieħed jew minn għadd partikolarment limitat ta’ benefiċjarji, sabiex tiġi vverifikata l-konformità mal-punt 68 tas-CEEAG, jekk jogħġbok:</w:t>
      </w:r>
    </w:p>
    <w:p w14:paraId="5CD1640A" w14:textId="77777777" w:rsidR="000E0A1E" w:rsidRPr="00571002" w:rsidRDefault="000E0A1E" w:rsidP="000E0A1E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 xml:space="preserve">Spjega jekk il-miżura/i notifikata/i ssaħħaħx/jsaħħux jew iżżommx/iżommux is-saħħa fis-suq tal-benefiċjarju/i jew tiskoraġġixxix/jiskoraġġixxux l-espansjoni tal-kompetituri eżistenti jew twassalx/iwasslux għall-ħruġ tagħhom </w:t>
      </w:r>
      <w:r w:rsidRPr="00571002">
        <w:rPr>
          <w:noProof/>
        </w:rPr>
        <w:lastRenderedPageBreak/>
        <w:t>jew tiskoraġġixxi/jiskoraġġixxux id-dħul ta’ kompetituri ġodda. F’dan ir-rigward spjega wkoll jekk il-miżura ta’ għajnuna twassalx għal żieda fil-kapaċità tal-produzzjoni tal-benefiċjarju.</w:t>
      </w:r>
    </w:p>
    <w:p w14:paraId="67F7BF3A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6700DFB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Iddeskrivi l-miżura/i stabbilita/i biex tillimita d-distorsjoni potenzjali tal-kompetizzjoni kkawżata mill-għoti tal-għajnuna lill-benefiċjarju/i. </w:t>
      </w:r>
    </w:p>
    <w:p w14:paraId="33D51DF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1EB6706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69 tas-CEEAG, jekk jogħġbok spjega:</w:t>
      </w:r>
    </w:p>
    <w:p w14:paraId="0EDBFFF0" w14:textId="77777777" w:rsidR="000E0A1E" w:rsidRPr="00571002" w:rsidRDefault="000E0A1E" w:rsidP="000E0A1E">
      <w:pPr>
        <w:pStyle w:val="Point1letter"/>
        <w:numPr>
          <w:ilvl w:val="3"/>
          <w:numId w:val="34"/>
        </w:numPr>
        <w:rPr>
          <w:noProof/>
        </w:rPr>
      </w:pPr>
      <w:r w:rsidRPr="00571002">
        <w:rPr>
          <w:noProof/>
        </w:rPr>
        <w:t xml:space="preserve">Jekk l-għajnuna mogħtija skont il-miżura/i notifikata/i għandha l-għan li tippreserva l-attività ekonomika f’reġjun wieħed jew tiġbed lejha lil hinn minn reġjuni oħra fis-suq intern. </w:t>
      </w:r>
    </w:p>
    <w:p w14:paraId="28F65ADA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E082DAC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Jekk iva, speċifika liema huwa l-effett ambjentali nett tal-miżura/i notifikata/i u kif il-miżura/i notifikata/i ttejjeb il-livell eżistenti ta’ protezzjoni ambjentali fl-Istati Membri.</w:t>
      </w:r>
    </w:p>
    <w:p w14:paraId="6ACCD61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F3EB39B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Kif l-għajnuna mogħtija taħt il-miżura/i notifikata/i ma tirriżultax f’effetti manifestament negattivi fuq il-kompetizzjoni u l-kummerċ. </w:t>
      </w:r>
    </w:p>
    <w:p w14:paraId="337D2D6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444B2EB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 70 tas-CEEAG:</w:t>
      </w:r>
    </w:p>
    <w:p w14:paraId="3A90D908" w14:textId="77777777" w:rsidR="000E0A1E" w:rsidRPr="00571002" w:rsidRDefault="000E0A1E" w:rsidP="000E0A1E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 xml:space="preserve">Jekk jogħġbok ikkonferma li l-għajnuna tista’ tingħata taħt l-iskema notifikata għal perjodu massimu ta’ 10 snin </w:t>
      </w:r>
      <w:r w:rsidRPr="00571002">
        <w:rPr>
          <w:noProof/>
          <w:color w:val="000000"/>
          <w:shd w:val="clear" w:color="auto" w:fill="FFFFFF"/>
        </w:rPr>
        <w:t>mid-data tan-notifika tad-deċiżjoni tal-Kummissjoni li tiddikjara l-għajnuna bħala kompatibbli</w:t>
      </w:r>
      <w:r w:rsidRPr="00571002">
        <w:rPr>
          <w:noProof/>
        </w:rPr>
        <w:t xml:space="preserve">.  </w:t>
      </w:r>
    </w:p>
    <w:p w14:paraId="61E2E4D1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87108C1" w14:textId="77777777" w:rsidR="000E0A1E" w:rsidRPr="00571002" w:rsidRDefault="000E0A1E" w:rsidP="000E0A1E">
      <w:pPr>
        <w:pStyle w:val="Point1letter"/>
        <w:numPr>
          <w:ilvl w:val="3"/>
          <w:numId w:val="34"/>
        </w:numPr>
        <w:rPr>
          <w:noProof/>
        </w:rPr>
      </w:pPr>
      <w:r w:rsidRPr="00571002">
        <w:rPr>
          <w:noProof/>
        </w:rPr>
        <w:t xml:space="preserve">Jekk jogħġbok ikkonferma li, jekk l-awtoritajiet tiegħek jixtiequ jestendu t-tul ta’ żmien tal-iskema lil hinn minn dak il-perjodu massimu, huma se jirrinotifikaw il-miżura. </w:t>
      </w:r>
    </w:p>
    <w:p w14:paraId="0369C45C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bookmarkStart w:id="11" w:name="_Hlk172647350"/>
      <w:r w:rsidRPr="00571002">
        <w:rPr>
          <w:noProof/>
        </w:rPr>
        <w:tab/>
      </w:r>
    </w:p>
    <w:bookmarkEnd w:id="11"/>
    <w:p w14:paraId="0B9EB4A6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Iddeskrivi kif huwa żgurat li tingħata l-għajnuna, f’konformità mal-punt 322 tas-CEEAG, bl-istess mod għall-impriżi eliġibbli kollha li joperaw fl-istess settur ta’ attività ekonomika li jinsabu fl-istess sitwazzjoni fattwali jew f’sitwazzjoni fattwali simili fir-rigward tal-għanijiet jew l-objettivi tal-miżura ta’ għajnuna.</w:t>
      </w:r>
    </w:p>
    <w:p w14:paraId="6284F2C2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161EDFF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Għal skemi li ilhom għaddejjin għal aktar minn 3 snin, iddeskrivi f’konformità mal-punt 323 tas-CEEAG il-monitoraġġ li se jsir biex jiġi żgurat li l-għajnuna tibqa’ meħtieġa u kkonferma li l-iskema se tkun soġġetta għal eżerċizzju ta’ verifika mill-inqas kull 3 snin.</w:t>
      </w:r>
    </w:p>
    <w:p w14:paraId="44F40A3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bookmarkStart w:id="12" w:name="_Hlk172647548"/>
      <w:r w:rsidRPr="00571002">
        <w:rPr>
          <w:noProof/>
        </w:rPr>
        <w:tab/>
      </w:r>
    </w:p>
    <w:bookmarkEnd w:id="12"/>
    <w:p w14:paraId="613954EB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Skont il-punt 324 tas-CEEAG, u skont it-Taqsima tas-CEEAG li taħtha jaqgħu l-attivitajiet appoġġati, imla l-mistoqsija/iet li ġejja/ġejjin tal-iskeda ta’ informazzjoni supplimentari rilevanti. Għall-proġetti li jaqgħu taħt it-Taqsima:</w:t>
      </w:r>
    </w:p>
    <w:p w14:paraId="6F7BB341" w14:textId="77777777" w:rsidR="000E0A1E" w:rsidRPr="00571002" w:rsidRDefault="000E0A1E" w:rsidP="000E0A1E">
      <w:pPr>
        <w:pStyle w:val="Tiret0"/>
        <w:numPr>
          <w:ilvl w:val="0"/>
          <w:numId w:val="35"/>
        </w:numPr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1156493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4.2 (il-mistoqsija 52 tal-iskeda ta’ informazzjoni supplimentari rilevanti).</w:t>
      </w:r>
    </w:p>
    <w:p w14:paraId="7798B66D" w14:textId="77777777" w:rsidR="000E0A1E" w:rsidRPr="00571002" w:rsidRDefault="000E0A1E" w:rsidP="000E0A1E">
      <w:pPr>
        <w:pStyle w:val="Tiret0"/>
        <w:numPr>
          <w:ilvl w:val="0"/>
          <w:numId w:val="35"/>
        </w:numPr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-1934119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4.3.1 (il-mistoqsijiet 49-52 tal-iskeda ta’ informazzjoni supplimentari rilevanti).</w:t>
      </w:r>
    </w:p>
    <w:p w14:paraId="389B7081" w14:textId="77777777" w:rsidR="000E0A1E" w:rsidRPr="00571002" w:rsidRDefault="000E0A1E" w:rsidP="000E0A1E">
      <w:pPr>
        <w:pStyle w:val="Tiret0"/>
        <w:numPr>
          <w:ilvl w:val="0"/>
          <w:numId w:val="35"/>
        </w:numPr>
        <w:rPr>
          <w:noProof/>
        </w:rPr>
      </w:pPr>
      <w:sdt>
        <w:sdtPr>
          <w:rPr>
            <w:rFonts w:ascii="MS Gothic" w:eastAsia="MS Gothic" w:hAnsi="MS Gothic" w:cs="Wingdings"/>
            <w:noProof/>
          </w:rPr>
          <w:id w:val="280384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71002">
            <w:rPr>
              <w:rFonts w:ascii="MS Gothic" w:eastAsia="MS Gothic" w:hAnsi="MS Gothic" w:cs="Wingdings" w:hint="eastAsia"/>
              <w:noProof/>
            </w:rPr>
            <w:t>☐</w:t>
          </w:r>
        </w:sdtContent>
      </w:sdt>
      <w:r w:rsidRPr="00571002">
        <w:rPr>
          <w:noProof/>
        </w:rPr>
        <w:t xml:space="preserve"> 4.3.2 (il-mistoqsijiet 46-55 tal-iskeda ta’ informazzjoni supplimentari rilevanti).</w:t>
      </w:r>
    </w:p>
    <w:p w14:paraId="3E37D6E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F3C7E82" w14:textId="77777777" w:rsidR="000E0A1E" w:rsidRPr="00571002" w:rsidRDefault="000E0A1E" w:rsidP="000E0A1E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t>L-ibbilanċjar tal-effetti pożittivi tal-għajnuna mal-effetti negattivi fuq il-kompetizzjoni u l-kummerċ</w:t>
      </w:r>
    </w:p>
    <w:p w14:paraId="4ECE4793" w14:textId="77777777" w:rsidR="000E0A1E" w:rsidRPr="00571002" w:rsidRDefault="000E0A1E" w:rsidP="000E0A1E">
      <w:pPr>
        <w:spacing w:before="360"/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3.3 (il-punti 71-76) tas-CEEAG. </w:t>
      </w:r>
    </w:p>
    <w:p w14:paraId="5A9CA01A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72 tas-CEEAG, jekk jogħġbok spjega jekk l-attivitajiet appoġġati taħt il-miżura notifikata jissodisfawx il-kriterji għal attivitajiet ekonomiċi ambjentalment sostenibbli </w:t>
      </w:r>
      <w:r w:rsidRPr="00571002">
        <w:rPr>
          <w:noProof/>
          <w:shd w:val="clear" w:color="auto" w:fill="FFFFFF"/>
        </w:rPr>
        <w:t xml:space="preserve">previsti </w:t>
      </w:r>
      <w:r w:rsidRPr="00571002">
        <w:rPr>
          <w:noProof/>
        </w:rPr>
        <w:t>fl-Artikolu 3 tar-Regolament (UE) 2020/852 tal-Parlament Ewropew u tal-Kunsill</w:t>
      </w:r>
      <w:r w:rsidRPr="00571002">
        <w:rPr>
          <w:rStyle w:val="FootnoteReference"/>
          <w:noProof/>
          <w:lang w:eastAsia="en-GB"/>
        </w:rPr>
        <w:footnoteReference w:id="9"/>
      </w:r>
      <w:r w:rsidRPr="00571002">
        <w:rPr>
          <w:noProof/>
        </w:rPr>
        <w:t>,</w:t>
      </w:r>
      <w:r w:rsidRPr="00571002">
        <w:rPr>
          <w:noProof/>
          <w:shd w:val="clear" w:color="auto" w:fill="FFFFFF"/>
        </w:rPr>
        <w:t xml:space="preserve"> inkluż il-prinċipju “la tagħmilx ħsara sinifikanti”, jew metodoloġiji paragunabbli oħra.</w:t>
      </w:r>
    </w:p>
    <w:p w14:paraId="45B6ED25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5B48D45" w14:textId="77777777" w:rsidR="000E0A1E" w:rsidRPr="00571002" w:rsidRDefault="000E0A1E" w:rsidP="000E0A1E">
      <w:pPr>
        <w:pStyle w:val="ManualHeading2"/>
        <w:rPr>
          <w:noProof/>
        </w:rPr>
      </w:pPr>
      <w:r w:rsidRPr="00571002">
        <w:rPr>
          <w:noProof/>
        </w:rPr>
        <w:t>Taqsima C: Evalwazzjoni</w:t>
      </w:r>
    </w:p>
    <w:p w14:paraId="4A9C47F6" w14:textId="77777777" w:rsidR="000E0A1E" w:rsidRPr="00571002" w:rsidRDefault="000E0A1E" w:rsidP="000E0A1E">
      <w:pPr>
        <w:tabs>
          <w:tab w:val="left" w:leader="dot" w:pos="9072"/>
        </w:tabs>
        <w:rPr>
          <w:noProof/>
        </w:rPr>
      </w:pPr>
      <w:r w:rsidRPr="00571002">
        <w:rPr>
          <w:i/>
          <w:noProof/>
        </w:rPr>
        <w:t>Biex tipprovdi l-informazzjoni f’din it-Taqsima, jekk jogħġbok irreferi għat-Taqsima 5 (il-punti 455-463) tas-CEEAG.</w:t>
      </w:r>
    </w:p>
    <w:p w14:paraId="68819589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il-miżura/i notifikata/i taqbeż/jaqbżu l-limiti tal-baġit/tan-nefqa fil-punt 456 tas-CEEAG, jekk jogħġbok spjega għaliex fil-fehma tiegħek għandha tapplika l-eċċezzjoni fil-punt 457 tas-CEEAG, jew ehmeż Anness ma’ din l-iskeda ta’ informazzjoni supplimentari li jinkludi abbozz ta’ pjan ta’ evalwazzjoni li jkopri l-kamp ta’ applikazzjoni msemmi fil-punt 458 tas-CEEAG</w:t>
      </w:r>
      <w:r w:rsidRPr="00571002">
        <w:rPr>
          <w:rStyle w:val="FootnoteReference"/>
          <w:noProof/>
          <w:lang w:eastAsia="en-GB"/>
        </w:rPr>
        <w:footnoteReference w:id="10"/>
      </w:r>
      <w:r w:rsidRPr="00571002">
        <w:rPr>
          <w:noProof/>
        </w:rPr>
        <w:t>.</w:t>
      </w:r>
    </w:p>
    <w:p w14:paraId="24380D8E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226A147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jiġi pprovdut abbozz ta’ pjan ta’ evalwazzjoni, jekk jogħġbok:</w:t>
      </w:r>
    </w:p>
    <w:p w14:paraId="2F0602F3" w14:textId="77777777" w:rsidR="000E0A1E" w:rsidRPr="00571002" w:rsidRDefault="000E0A1E" w:rsidP="000E0A1E">
      <w:pPr>
        <w:pStyle w:val="Point1letter"/>
        <w:numPr>
          <w:ilvl w:val="3"/>
          <w:numId w:val="36"/>
        </w:numPr>
        <w:rPr>
          <w:noProof/>
        </w:rPr>
      </w:pPr>
      <w:r w:rsidRPr="00571002">
        <w:rPr>
          <w:noProof/>
        </w:rPr>
        <w:t>hawn taħt ipprovdi sommarju ta’ dak l-abbozz tal-pjan ta’ evalwazzjoni inkluż fl-Anness.</w:t>
      </w:r>
    </w:p>
    <w:p w14:paraId="1B764B6B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4F5D9EF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ikkonferma li l-punt 460 tas-CEEAG se jiġi rrispettat.</w:t>
      </w:r>
    </w:p>
    <w:p w14:paraId="40D3E148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10A7CEB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agħti d-data u l-link tal-internet fejn il-pjan ta’ evalwazzjoni se jkun disponibbli għall-pubbliku.</w:t>
      </w:r>
    </w:p>
    <w:p w14:paraId="0FE4350D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B357336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Sabiex tiġi vverifikata l-konformità mal-punt 459(b)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 u t-tul ta’ żmien tagħha jaqbeż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5C91B528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CDFB7DD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459(c)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, jekk jogħġbok hawn taħt ipprovdi impenn li l-Istat Membru se jinnotifika abbozz ta’ pjan ta’ evalwazzjoni </w:t>
      </w:r>
      <w:r w:rsidRPr="00571002">
        <w:rPr>
          <w:noProof/>
          <w:shd w:val="clear" w:color="auto" w:fill="FFFFFF"/>
        </w:rPr>
        <w:t>fi żmien 30 jum tax-xogħol wara r-reġistrazzjoni fil-kontijiet uffiċjali ta’ nfiq ta’ aktar minn EUR 150 miljun fis-sena preċedenti</w:t>
      </w:r>
      <w:r w:rsidRPr="00571002">
        <w:rPr>
          <w:noProof/>
        </w:rPr>
        <w:t xml:space="preserve">. </w:t>
      </w:r>
    </w:p>
    <w:p w14:paraId="0D9D8E8D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07274F6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461 tas-CEEAG:</w:t>
      </w:r>
    </w:p>
    <w:p w14:paraId="71FDF4FB" w14:textId="77777777" w:rsidR="000E0A1E" w:rsidRPr="00571002" w:rsidRDefault="000E0A1E" w:rsidP="000E0A1E">
      <w:pPr>
        <w:pStyle w:val="Point1letter"/>
        <w:numPr>
          <w:ilvl w:val="3"/>
          <w:numId w:val="37"/>
        </w:numPr>
        <w:rPr>
          <w:noProof/>
        </w:rPr>
      </w:pPr>
      <w:r w:rsidRPr="00571002">
        <w:rPr>
          <w:noProof/>
        </w:rPr>
        <w:t>Jekk jogħġbok iċċara jekk l-espert indipendenti diġà ntgħażilx jew jekk hux se jintgħażel fil-futur.</w:t>
      </w:r>
    </w:p>
    <w:p w14:paraId="36AC2583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527F4D3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Jekk jogħġbok ipprovdi informazzjoni dwar il-proċedura tal-għażla tal-espert.</w:t>
      </w:r>
    </w:p>
    <w:p w14:paraId="68E7FB25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69AB8FF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Jekk jogħġbok iġġustifika kif l-espert huwa indipendenti mill-awtorità tal-għotjiet. </w:t>
      </w:r>
    </w:p>
    <w:p w14:paraId="18B7E076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12ACFD4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461 tas-CEEAG: </w:t>
      </w:r>
    </w:p>
    <w:p w14:paraId="4273E45D" w14:textId="77777777" w:rsidR="000E0A1E" w:rsidRPr="00571002" w:rsidRDefault="000E0A1E" w:rsidP="000E0A1E">
      <w:pPr>
        <w:pStyle w:val="Point1letter"/>
        <w:numPr>
          <w:ilvl w:val="3"/>
          <w:numId w:val="38"/>
        </w:numPr>
        <w:rPr>
          <w:noProof/>
        </w:rPr>
      </w:pPr>
      <w:r w:rsidRPr="00571002">
        <w:rPr>
          <w:noProof/>
        </w:rPr>
        <w:t>Jekk jogħġbok ipprovdi l-iskadenzi proposti tiegħek għas-sottomissjoni tar-rapport ta’ evalwazzjoni interim u finali. Jekk jogħġbok 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 Jekk jogħġbok kun af li din l-iskadenza tista’ titnaqqas għal skemi li għalihom jiskatta r-rekwiżit ta’ evalwazzjoni fl-aħħar sentejn ta’ implimentazzjoni tagħhom.</w:t>
      </w:r>
    </w:p>
    <w:p w14:paraId="730C9049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4082BD1" w14:textId="77777777" w:rsidR="000E0A1E" w:rsidRPr="00571002" w:rsidRDefault="000E0A1E" w:rsidP="000E0A1E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p w14:paraId="0885CEF7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0618BA3" w14:textId="77777777" w:rsidR="000E0A1E" w:rsidRPr="00571002" w:rsidRDefault="000E0A1E" w:rsidP="000E0A1E">
      <w:pPr>
        <w:pStyle w:val="ManualHeading2"/>
        <w:rPr>
          <w:noProof/>
        </w:rPr>
      </w:pPr>
      <w:r w:rsidRPr="00571002">
        <w:rPr>
          <w:noProof/>
        </w:rPr>
        <w:t>Taqsima D — Rappurtar u monitoraġġ</w:t>
      </w:r>
    </w:p>
    <w:p w14:paraId="09369EA5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i/>
          <w:noProof/>
        </w:rPr>
        <w:t>Biex tipprovdi l-informazzjoni f’din it-Taqsima, jekk jogħġbok irreferi għat-Taqsima 6 (il-punti 464 u 465) tas-CEEAG.</w:t>
      </w:r>
    </w:p>
    <w:p w14:paraId="0F70DCC9" w14:textId="77777777" w:rsidR="000E0A1E" w:rsidRPr="00571002" w:rsidRDefault="000E0A1E" w:rsidP="000E0A1E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ikkonferma li l-Istat Membru se jikkonforma mar-rekwiżiti għar-rappurtar u l-monitoraġġ stipulati fit-Taqsima 6, il-punti 464 u 465 tas-CEEAG.</w:t>
      </w:r>
    </w:p>
    <w:p w14:paraId="77D2D160" w14:textId="77777777" w:rsidR="000E0A1E" w:rsidRPr="00571002" w:rsidRDefault="000E0A1E" w:rsidP="000E0A1E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78C1084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02AB3" w14:textId="77777777" w:rsidR="000E0A1E" w:rsidRDefault="000E0A1E" w:rsidP="000E0A1E">
      <w:pPr>
        <w:spacing w:before="0" w:after="0"/>
      </w:pPr>
      <w:r>
        <w:separator/>
      </w:r>
    </w:p>
  </w:endnote>
  <w:endnote w:type="continuationSeparator" w:id="0">
    <w:p w14:paraId="7391B03B" w14:textId="77777777" w:rsidR="000E0A1E" w:rsidRDefault="000E0A1E" w:rsidP="000E0A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E167" w14:textId="77777777" w:rsidR="000E0A1E" w:rsidRDefault="000E0A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7D30" w14:textId="488ECA14" w:rsidR="000E0A1E" w:rsidRDefault="000E0A1E" w:rsidP="000E0A1E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41CC" w14:textId="77777777" w:rsidR="000E0A1E" w:rsidRDefault="000E0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56F8" w14:textId="77777777" w:rsidR="000E0A1E" w:rsidRDefault="000E0A1E" w:rsidP="000E0A1E">
      <w:pPr>
        <w:spacing w:before="0" w:after="0"/>
      </w:pPr>
      <w:r>
        <w:separator/>
      </w:r>
    </w:p>
  </w:footnote>
  <w:footnote w:type="continuationSeparator" w:id="0">
    <w:p w14:paraId="1D4A7446" w14:textId="77777777" w:rsidR="000E0A1E" w:rsidRDefault="000E0A1E" w:rsidP="000E0A1E">
      <w:pPr>
        <w:spacing w:before="0" w:after="0"/>
      </w:pPr>
      <w:r>
        <w:continuationSeparator/>
      </w:r>
    </w:p>
  </w:footnote>
  <w:footnote w:id="1">
    <w:p w14:paraId="6DB73F37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 xml:space="preserve">Jekk jogħġbok kun af li għal skema ta’ għajnuna, it-tul ta’ żmien huwa l-perjodu li matulu tista’ ssir applikazzjoni għall-għajnuna u tittieħed deċiżjoni dwarha (inkluż għalhekk iż-żmien meħtieġ biex l-awtoritajiet nazzjonali japprovaw l-applikazzjonijiet għall-għajnuna). It-tul ta’ żmien li hemm referenza għalih f’din id-domanda ma jirrigwardax it-tul tal-kuntratti konklużi taħt l-iskema ta’ għajnuna, li jistgħu jitkomplew wara t-tul ta’ żmien tal-miżura. </w:t>
      </w:r>
    </w:p>
  </w:footnote>
  <w:footnote w:id="2">
    <w:p w14:paraId="2A011E30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>Jekk jogħġbok kun af li bidla fil-baġit effettiv jew stmat tista’ tkun bidla fl-għajnuna, li teħtieġ notifika ġdida.</w:t>
      </w:r>
    </w:p>
  </w:footnote>
  <w:footnote w:id="3">
    <w:p w14:paraId="07EFDEFF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>Jekk jogħġbok kun af li l-punti 38 u 52, kif ukoll in-noti 39 u 45 f’qiegħ il-paġna tas-CEEAG jipprovdu gwida ulterjuri dwar kif għandu jiġi żviluppat ix-xenarju kontrofattwali probabbli.</w:t>
      </w:r>
    </w:p>
  </w:footnote>
  <w:footnote w:id="4">
    <w:p w14:paraId="184AA206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 xml:space="preserve">“Proġett ta’ referenza” huwa definit fil-punt 19(63) tas-CEEAG. </w:t>
      </w:r>
    </w:p>
  </w:footnote>
  <w:footnote w:id="5">
    <w:p w14:paraId="02367B4D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</w:r>
      <w:bookmarkStart w:id="7" w:name="_Hlk170923537"/>
      <w:r>
        <w:t xml:space="preserve">Pereżempju, jekk il-miżura tikkonsisti fi tnaqqis tat-taxxa tar-reġistrazzjoni tal-karozzi fuq il-karozzi elettriċi, l-Istat Membru l-ewwel ikollu jqabbel il-profittabbiltà tal-proġett ta’ referenza (l-akkwist ta’ flotta ta’ karozzi elettriċi) u l-proġett kontrofattwali (eż. l-akkwist ta’ flotta ta’ karozzi tal-petrol) li japplika fiż-żewġ xenarji t-taxxa normali tar-reġistrazzjoni tal-karozzi. Sussegwentement, l-Istat Membru mbagħad irid juri li t-tnaqqis fit-taxxa tar-reġistrazzjoni tal-karozzi għall-karozzi elettriċi jinċentiva lill-benefiċjarju biex jakkwista l-flotta tal-karozzi elettriċi billi jipparaguna l-profittabbiltà tal-proġett ta’ referenza </w:t>
      </w:r>
      <w:r>
        <w:rPr>
          <w:u w:val="single"/>
        </w:rPr>
        <w:t>mat</w:t>
      </w:r>
      <w:r>
        <w:t>-tnaqqis fit-taxxa (jiġifieri l-akkwist ta’ flotta ta’ karozzi elettriċi bit-taxxa tar-reġistrazzjoni tal-karozzi mnaqqsa) u l-profittabbiltà tal-proġett kontrofattwali (jiġifieri</w:t>
      </w:r>
      <w:r>
        <w:rPr>
          <w:sz w:val="24"/>
        </w:rPr>
        <w:t xml:space="preserve"> </w:t>
      </w:r>
      <w:r>
        <w:t>l-akkwist ta’ flotta ta’ karozzi li jaħdmu bil-petrol bir-rata normali tat-taxxa tar-reġistrazzjoni tal-karozzi). Eżempju ieħor jista’ jkun miżura li tikkonsisti fi tnaqqis ta’ 40 % fil-kostijiet addizzjonali mill-bażi tal-introjtu taxxabbli minbarra d-deprezzament standard għall-finijiet tat-taxxa għal investimenti f’makkinarju li ma jagħmilx ħsara lill-ambjent. F’dak il-każ, l-Istat Membru jkollu jqabbel il-profittabbiltà tal-proġett ta’ referenza (l-akkwist ta’ makkinarju li ma jagħmilx ħsara lill-ambjent) u l-proġett kontrofattwali (eż. l-akkwist ta’ makkinarju standard) billi japplika fiż-żewġ xenarji r-regoli standard ta’ deprezzament għal finijiet ta’ taxxa u l-istess perjodu ta’ deprezzament. Sussegwentement, l-Istat Membru jrid juri li t-tnaqqis addizzjonali ta’ 40 % tal-kost tal-investiment tal-makkinarju</w:t>
      </w:r>
      <w:r>
        <w:rPr>
          <w:sz w:val="24"/>
        </w:rPr>
        <w:t xml:space="preserve"> </w:t>
      </w:r>
      <w:r>
        <w:t xml:space="preserve">li ma jagħmilx ħsara lill-ambjent mill-bażi taxxabbli (għalhekk f’deprezzament totali ta’ 140 % tal-kostijiet tul il-ħajja tal-makkinarju) jinċentiva lill-benefiċjarju jakkwista din il-verżjoni aktar għalja. Dan jista’ jitwettaq billi jsir paragun bejn il-profittabbiltà tal-proġett ta’ referenza </w:t>
      </w:r>
      <w:r>
        <w:rPr>
          <w:u w:val="single"/>
        </w:rPr>
        <w:t>mat-</w:t>
      </w:r>
      <w:r>
        <w:t>tnaqqis fit-taxxa (jiġifieri l-ammont finali ta’ taxxa dovuta wara l-applikazzjoni tat-tnaqqis addizzjonali għall-bażi tat-taxxa) u l-profittabbiltà tal-proġett kontrofattwali (jiġifieri l-ammont finali ta’ taxxa dovuta wara l-applikazzjoni tar-regoli standard ta’ deprezzament għall-bażi taxxabbli).</w:t>
      </w:r>
      <w:bookmarkEnd w:id="7"/>
    </w:p>
  </w:footnote>
  <w:footnote w:id="6">
    <w:p w14:paraId="7F24F882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>Ara l-eżempji pprovduti fin-nota 6 f’qiegħ il-paġna.</w:t>
      </w:r>
    </w:p>
  </w:footnote>
  <w:footnote w:id="7">
    <w:p w14:paraId="485E94A1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>Skont il-punt 19(89) tas-CEEAG, “standard tal-Unjoni” tfisser:</w:t>
      </w:r>
    </w:p>
    <w:p w14:paraId="6F78C990" w14:textId="77777777" w:rsidR="000E0A1E" w:rsidRPr="00B429BF" w:rsidRDefault="000E0A1E" w:rsidP="000E0A1E">
      <w:pPr>
        <w:pStyle w:val="FootnoteText"/>
        <w:numPr>
          <w:ilvl w:val="0"/>
          <w:numId w:val="41"/>
        </w:numPr>
        <w:spacing w:before="0"/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standards jew miri stabbiliti fil-livell tal-Unjoni li huma vinkolanti għall-Istati Membri iżda mhux għall-impriżi individwali;</w:t>
      </w:r>
    </w:p>
    <w:p w14:paraId="07D99ACB" w14:textId="77777777" w:rsidR="000E0A1E" w:rsidRPr="00B429BF" w:rsidRDefault="000E0A1E" w:rsidP="000E0A1E">
      <w:pPr>
        <w:pStyle w:val="FootnoteText"/>
        <w:numPr>
          <w:ilvl w:val="0"/>
          <w:numId w:val="41"/>
        </w:numPr>
        <w:spacing w:before="0"/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oħra applikabbli, dawk il-livelli jkunu applikabbli għall-fini ta’ dawn il-linji gwida; meta dawn il-livelli jkunu espressi bħala firxa, ikun applikabbli l-limitu li jintlaħaq bl-aqwa tekniki disponibbli tal-impriża kkonċernata.</w:t>
      </w:r>
    </w:p>
  </w:footnote>
  <w:footnote w:id="8">
    <w:p w14:paraId="42140C6D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>Il-perjodu ta’ ħlas lura huwa l-ammont ta’ żmien biex jiġi rkuprat il-kost ta’ investiment (mingħajr għajnuna).</w:t>
      </w:r>
    </w:p>
  </w:footnote>
  <w:footnote w:id="9">
    <w:p w14:paraId="162D91A9" w14:textId="77777777" w:rsidR="000E0A1E" w:rsidRPr="00B429BF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0">
    <w:p w14:paraId="6D39AE9F" w14:textId="77777777" w:rsidR="000E0A1E" w:rsidRDefault="000E0A1E" w:rsidP="000E0A1E">
      <w:pPr>
        <w:pStyle w:val="FootnoteText"/>
      </w:pPr>
      <w:r>
        <w:rPr>
          <w:rStyle w:val="FootnoteReference"/>
        </w:rPr>
        <w:footnoteRef/>
      </w:r>
      <w:r>
        <w:tab/>
        <w:t xml:space="preserve">Il-mudell għall-iskeda ta’ informazzjoni supplimentari għan-notifika tal-pjan ta’ evalwazzjoni (il-Parti III.8) huwa aċċessibbli hawnhekk: </w:t>
      </w:r>
      <w:hyperlink r:id="rId1" w:anchor="pjan ta’ evalwazzjoni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A98B" w14:textId="77777777" w:rsidR="000E0A1E" w:rsidRDefault="000E0A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BA07" w14:textId="77777777" w:rsidR="000E0A1E" w:rsidRDefault="000E0A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19113" w14:textId="77777777" w:rsidR="000E0A1E" w:rsidRDefault="000E0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35221AB1"/>
    <w:multiLevelType w:val="hybridMultilevel"/>
    <w:tmpl w:val="A33EFBB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7"/>
  </w:num>
  <w:num w:numId="2" w16cid:durableId="70546065">
    <w:abstractNumId w:val="13"/>
  </w:num>
  <w:num w:numId="3" w16cid:durableId="1999067676">
    <w:abstractNumId w:val="16"/>
  </w:num>
  <w:num w:numId="4" w16cid:durableId="269362632">
    <w:abstractNumId w:val="19"/>
  </w:num>
  <w:num w:numId="5" w16cid:durableId="943927640">
    <w:abstractNumId w:val="20"/>
  </w:num>
  <w:num w:numId="6" w16cid:durableId="547230529">
    <w:abstractNumId w:val="12"/>
  </w:num>
  <w:num w:numId="7" w16cid:durableId="2009407815">
    <w:abstractNumId w:val="18"/>
  </w:num>
  <w:num w:numId="8" w16cid:durableId="1698462345">
    <w:abstractNumId w:val="23"/>
  </w:num>
  <w:num w:numId="9" w16cid:durableId="892229723">
    <w:abstractNumId w:val="22"/>
  </w:num>
  <w:num w:numId="10" w16cid:durableId="599681503">
    <w:abstractNumId w:val="22"/>
  </w:num>
  <w:num w:numId="11" w16cid:durableId="631178489">
    <w:abstractNumId w:val="7"/>
  </w:num>
  <w:num w:numId="12" w16cid:durableId="503668344">
    <w:abstractNumId w:val="5"/>
  </w:num>
  <w:num w:numId="13" w16cid:durableId="811755485">
    <w:abstractNumId w:val="4"/>
  </w:num>
  <w:num w:numId="14" w16cid:durableId="2072803304">
    <w:abstractNumId w:val="3"/>
  </w:num>
  <w:num w:numId="15" w16cid:durableId="1397050786">
    <w:abstractNumId w:val="6"/>
  </w:num>
  <w:num w:numId="16" w16cid:durableId="1511329551">
    <w:abstractNumId w:val="2"/>
  </w:num>
  <w:num w:numId="17" w16cid:durableId="845631935">
    <w:abstractNumId w:val="1"/>
  </w:num>
  <w:num w:numId="18" w16cid:durableId="124978832">
    <w:abstractNumId w:val="0"/>
  </w:num>
  <w:num w:numId="19" w16cid:durableId="1160271050">
    <w:abstractNumId w:val="11"/>
  </w:num>
  <w:num w:numId="20" w16cid:durableId="458106537">
    <w:abstractNumId w:val="11"/>
  </w:num>
  <w:num w:numId="21" w16cid:durableId="960915140">
    <w:abstractNumId w:val="8"/>
  </w:num>
  <w:num w:numId="22" w16cid:durableId="1221357290">
    <w:abstractNumId w:val="9"/>
  </w:num>
  <w:num w:numId="23" w16cid:durableId="1762600965">
    <w:abstractNumId w:val="15"/>
  </w:num>
  <w:num w:numId="24" w16cid:durableId="6475126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88284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0802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83051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275542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323752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90477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648830">
    <w:abstractNumId w:val="21"/>
    <w:lvlOverride w:ilvl="0">
      <w:startOverride w:val="1"/>
    </w:lvlOverride>
  </w:num>
  <w:num w:numId="32" w16cid:durableId="12103415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857023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18430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9141023">
    <w:abstractNumId w:val="21"/>
    <w:lvlOverride w:ilvl="0">
      <w:startOverride w:val="1"/>
    </w:lvlOverride>
  </w:num>
  <w:num w:numId="36" w16cid:durableId="18911129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796725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069922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19799546">
    <w:abstractNumId w:val="21"/>
    <w:lvlOverride w:ilvl="0">
      <w:startOverride w:val="1"/>
    </w:lvlOverride>
  </w:num>
  <w:num w:numId="40" w16cid:durableId="13003044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28860025">
    <w:abstractNumId w:val="14"/>
  </w:num>
  <w:num w:numId="42" w16cid:durableId="1889225456">
    <w:abstractNumId w:val="21"/>
  </w:num>
  <w:num w:numId="43" w16cid:durableId="1072048838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E0A1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E0A1E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334F6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D43D"/>
  <w15:chartTrackingRefBased/>
  <w15:docId w15:val="{E4EE4887-3358-4496-8487-E7E71F1C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A1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10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3504A9"/>
    <w:pPr>
      <w:keepNext/>
      <w:numPr>
        <w:ilvl w:val="1"/>
        <w:numId w:val="10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10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1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A1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A1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504A9"/>
    <w:rPr>
      <w:rFonts w:ascii="Times New Roman" w:hAnsi="Times New Roman" w:cs="Times New Roman"/>
      <w:b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8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,L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,L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20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20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20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20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20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21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2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3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A1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A1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E0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0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A1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0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0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0A1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0E0A1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0A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0A1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E0A1E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0E0A1E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normaltextrun">
    <w:name w:val="normaltextrun"/>
    <w:basedOn w:val="DefaultParagraphFont"/>
    <w:rsid w:val="000E0A1E"/>
  </w:style>
  <w:style w:type="paragraph" w:customStyle="1" w:styleId="Text1">
    <w:name w:val="Text 1"/>
    <w:basedOn w:val="Normal"/>
    <w:rsid w:val="000E0A1E"/>
    <w:pPr>
      <w:ind w:left="850"/>
    </w:pPr>
  </w:style>
  <w:style w:type="paragraph" w:customStyle="1" w:styleId="Text2">
    <w:name w:val="Text 2"/>
    <w:basedOn w:val="Normal"/>
    <w:rsid w:val="000E0A1E"/>
    <w:pPr>
      <w:ind w:left="1417"/>
    </w:pPr>
  </w:style>
  <w:style w:type="paragraph" w:customStyle="1" w:styleId="Tiret0">
    <w:name w:val="Tiret 0"/>
    <w:basedOn w:val="Normal"/>
    <w:rsid w:val="000E0A1E"/>
    <w:pPr>
      <w:numPr>
        <w:numId w:val="31"/>
      </w:numPr>
    </w:pPr>
  </w:style>
  <w:style w:type="paragraph" w:customStyle="1" w:styleId="Point0number">
    <w:name w:val="Point 0 (number)"/>
    <w:basedOn w:val="Normal"/>
    <w:rsid w:val="000E0A1E"/>
    <w:pPr>
      <w:numPr>
        <w:numId w:val="25"/>
      </w:numPr>
    </w:pPr>
  </w:style>
  <w:style w:type="paragraph" w:customStyle="1" w:styleId="Point1number">
    <w:name w:val="Point 1 (number)"/>
    <w:basedOn w:val="Normal"/>
    <w:rsid w:val="000E0A1E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0E0A1E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0E0A1E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0E0A1E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0E0A1E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0E0A1E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0E0A1E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0E0A1E"/>
    <w:pPr>
      <w:numPr>
        <w:ilvl w:val="8"/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petition-policy.ec.europa.eu/state-aid/legislation/forms-notifications-and-reporting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3424</Words>
  <Characters>24484</Characters>
  <DocSecurity>0</DocSecurity>
  <Lines>480</Lines>
  <Paragraphs>154</Paragraphs>
  <ScaleCrop>false</ScaleCrop>
  <LinksUpToDate>false</LinksUpToDate>
  <CharactersWithSpaces>27754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2025-06-08T12:32:00Z</dcterms:created>
  <dcterms:modified xsi:type="dcterms:W3CDTF">2025-06-08T12:35:00Z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2025-06-08T12:35:22Z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2b6d5987-5337-4344-b5a0-9d176ce717d7</vt:lpwstr>
  </property>
  <property fmtid="{D5CDD505-2E9C-101B-9397-08002B2CF9AE}" pid="8" name="MSIP_Label_6bd9ddd1-4d20-43f6-abfa-fc3c07406f94_ContentBits">
    <vt:lpwstr>0</vt:lpwstr>
  </property>
</Properties>
</file>