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F91509" w:rsidRPr="006567C0" w:rsidTr="008741F8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91509" w:rsidRPr="006567C0" w:rsidRDefault="00F91509" w:rsidP="008741F8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67"/>
            <w:bookmarkStart w:id="1" w:name="_Toc416949019"/>
            <w:r>
              <w:rPr>
                <w:color w:val="auto"/>
              </w:rPr>
              <w:t xml:space="preserve">Parti III.13.B - Formola ta' Informazzjoni Supplimentari dwar għajnuna għall-ġestjoni għall-ajruporti</w:t>
            </w:r>
            <w:bookmarkEnd w:id="0"/>
            <w:bookmarkEnd w:id="1"/>
          </w:p>
        </w:tc>
      </w:tr>
    </w:tbl>
    <w:p w:rsidR="00F91509" w:rsidRPr="00A8285F" w:rsidRDefault="00F91509" w:rsidP="00F91509">
      <w:pPr>
        <w:tabs>
          <w:tab w:val="left" w:pos="720"/>
          <w:tab w:val="left" w:pos="1077"/>
          <w:tab w:val="left" w:pos="1440"/>
          <w:tab w:val="left" w:pos="1797"/>
        </w:tabs>
        <w:spacing w:before="120" w:after="120"/>
        <w:jc w:val="both"/>
        <w:rPr>
          <w:i/>
          <w:iCs/>
        </w:rPr>
      </w:pPr>
      <w:r>
        <w:rPr>
          <w:i/>
        </w:rPr>
        <w:t xml:space="preserve">Huwa rakkomandat li din il-formola ta' informazzjoni supplimentari timtela, flimkien mal-formola ta' “Informazzjoni ġenerali”, għan-notifika ta' kull għajnuna għall-ġestjoni individwali koperta mil-Linji Gwida dwar l-għajnuna mill-Istat għall-ajruporti u l-linji tal-ajru</w:t>
      </w:r>
      <w:r w:rsidRPr="00A8285F">
        <w:rPr>
          <w:i/>
          <w:iCs/>
          <w:vertAlign w:val="superscript"/>
        </w:rPr>
        <w:footnoteReference w:id="1"/>
      </w:r>
      <w:r>
        <w:rPr>
          <w:i/>
        </w:rPr>
        <w:t xml:space="preserve"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F91509" w:rsidRPr="006567C0" w:rsidTr="008741F8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91509" w:rsidRPr="006567C0" w:rsidRDefault="00F91509" w:rsidP="00F91509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 xml:space="preserve">Informazzjoni addizzjonali dwar il-benefiċjarju u l-attivitajiet tiegħu</w:t>
            </w:r>
          </w:p>
        </w:tc>
      </w:tr>
    </w:tbl>
    <w:p w:rsidR="00F91509" w:rsidRPr="00F15324" w:rsidRDefault="00F91509" w:rsidP="00F91509">
      <w:pPr>
        <w:pStyle w:val="ListNumberLevel2"/>
        <w:keepNext/>
        <w:numPr>
          <w:ilvl w:val="1"/>
          <w:numId w:val="2"/>
        </w:numPr>
        <w:spacing w:before="240" w:after="120"/>
        <w:ind w:left="788" w:hanging="431"/>
      </w:pPr>
      <w:r>
        <w:t xml:space="preserve">Benefiċjarju</w:t>
      </w:r>
    </w:p>
    <w:p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L-għajnuna tingħata direttament lill-operatur tal-ajruport?</w:t>
      </w:r>
    </w:p>
    <w:p w:rsidR="00F91509" w:rsidRPr="00F15324" w:rsidRDefault="00F91509" w:rsidP="00F91509">
      <w:pPr>
        <w:spacing w:before="100" w:beforeAutospacing="1" w:after="100" w:afterAutospacing="1"/>
        <w:ind w:left="1985"/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Jekk it-tweġiba għall-punt 1.1.1 hija “le” iddeskrivi, jekk applikabbli, (i) l-entità(jiet) legali li tirċievi/jirċievu l-għajnuna, u (ii) responsabbli għat-trasferiment tal-għajnuna bħala intermedjarju/intermedjarji lill-ajruport li jipprovdi s-servizzi eliġibbli għall-għajnuna.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Jekk it-tweġiba għall-punt 1.1.1 hija “le”, spjega kif l-awtoritajiet jiżguraw li ma jingħata l-ebda vantaġġ fil-livelli intermedjarji.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Il-benefiċjarju tal-għajnuna huwa sid l-ajruport ukoll?</w:t>
      </w:r>
    </w:p>
    <w:p w:rsidR="00F91509" w:rsidRPr="00F15324" w:rsidRDefault="00F91509" w:rsidP="00F91509">
      <w:pPr>
        <w:spacing w:before="100" w:beforeAutospacing="1" w:after="100" w:afterAutospacing="1"/>
        <w:ind w:left="1985"/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Jekk it-tweġiba għall-punt 1.1.4 hija "le":</w:t>
      </w:r>
      <w:r>
        <w:t xml:space="preserve"> </w:t>
      </w:r>
      <w:r>
        <w:t xml:space="preserve">speċifika min hu sid l-ajruport u ddeskrivi l-istruttura tas-sjieda.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Fil-każ ta' għajnuna individwali, iddeskrivi r-relazzjonijiet legali, organizzazzjonali u finanzjarji bejn il-benefiċjarju tal-għajnuna u (i) l-impriżi li magħhom jifforma parti minn grupp ta' impriżi;</w:t>
      </w:r>
      <w:r>
        <w:t xml:space="preserve"> </w:t>
      </w:r>
      <w:r>
        <w:t xml:space="preserve">(ii) is-sussidjarji tagħha;</w:t>
      </w:r>
      <w:r>
        <w:t xml:space="preserve"> </w:t>
      </w:r>
      <w:r>
        <w:t xml:space="preserve">(iii) kull intrapriża assoċjata oħra, inklużi impriżi konġunti.</w:t>
      </w:r>
    </w:p>
    <w:p w:rsidR="00F91509" w:rsidRDefault="00F91509" w:rsidP="00F91509">
      <w:pPr>
        <w:pStyle w:val="ListNumberLevel2"/>
        <w:keepNext/>
        <w:numPr>
          <w:ilvl w:val="0"/>
          <w:numId w:val="0"/>
        </w:numPr>
        <w:ind w:left="1225"/>
      </w:pPr>
      <w:r>
        <w:t xml:space="preserve">Fil-każ ta' skemi ta' għajnuna, iddeskrivi l-metodu li bih l-awtorità li tagħti l-għajnuna se tivvaluta r-relazzjonijiet legali, organizzazzjonali u finanzjarji msemmijin fil-punti 1.1.1 sa 1.1.5.</w:t>
      </w:r>
    </w:p>
    <w:p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1"/>
          <w:numId w:val="2"/>
        </w:numPr>
      </w:pPr>
      <w:r>
        <w:t xml:space="preserve">Informazzjoni ġenerali dwar l-operatur tal-ajruport</w:t>
      </w:r>
    </w:p>
    <w:p w:rsidR="00F91509" w:rsidRPr="00D2367C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Fejn l-ajruport jew l-ajruporti jintużaw mill-forzi armati nazzjonali, il-korp tal-pulizija, servizzi ta' salvataġġ tal-ajru mhux ekonomiċi, jew kull servizz ieħor tal-ajru ta' għamla mhux ekonomika, speċifika (a) l-għamla tas-servizz(i);</w:t>
      </w:r>
      <w:r>
        <w:t xml:space="preserve"> </w:t>
      </w:r>
      <w:r>
        <w:t xml:space="preserve">u (b) ir-rata ta' użu tal-kapaċità tal-ajruport (eż. użu tar-runway u faċilitajiet oħrajn tal-ajruport, mogħti bħala perċentwal taċ-ċaqliq annwali tal-inġenji tal-ajru).</w:t>
      </w:r>
    </w:p>
    <w:p w:rsidR="00F91509" w:rsidRPr="00D2367C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D2367C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D2367C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Ipprovdi d-</w:t>
      </w:r>
      <w:r>
        <w:rPr>
          <w:i/>
          <w:iCs/>
        </w:rPr>
        <w:t xml:space="preserve">data</w:t>
      </w:r>
      <w:r>
        <w:t xml:space="preserve"> li ġejja dwar it-traffiku tal-passiġġieri tal-ajruport(i) li jirċievi/u l-għajnuna:</w:t>
      </w:r>
    </w:p>
    <w:p w:rsidR="00F91509" w:rsidRPr="00D2367C" w:rsidRDefault="00F91509" w:rsidP="00F91509">
      <w:pPr>
        <w:pStyle w:val="ListNumberLevel2"/>
        <w:numPr>
          <w:ilvl w:val="0"/>
          <w:numId w:val="5"/>
        </w:numPr>
      </w:pPr>
      <w:r>
        <w:t xml:space="preserve">Ajruporti b'esperjenza ta' iktar minn sentejn finanzjarji ta' traffiku tal-passiġġieri kummerċjali:</w:t>
      </w:r>
      <w:r>
        <w:t xml:space="preserve"> </w:t>
      </w:r>
      <w:r>
        <w:t xml:space="preserve">traffiku annwali medju tal-passiġġieri matul is-sentejn finanzjarji ta' qabel is-sena li fiha hija notifikata l-għajnuna jew li fiha ngħatat.</w:t>
      </w:r>
    </w:p>
    <w:p w:rsidR="00F91509" w:rsidRPr="00D2367C" w:rsidRDefault="00F91509" w:rsidP="00F91509">
      <w:pPr>
        <w:pStyle w:val="ListNumberLevel2"/>
        <w:numPr>
          <w:ilvl w:val="0"/>
          <w:numId w:val="5"/>
        </w:numPr>
      </w:pPr>
      <w:r>
        <w:t xml:space="preserve">Ajruporti b'esperjenza ta' inqas minn sentejn finanzjarji ta' traffiku tal-passiġġieri kummerċjali:</w:t>
      </w:r>
      <w:r>
        <w:t xml:space="preserve"> </w:t>
      </w:r>
      <w:r>
        <w:t xml:space="preserve">traffiku annwali medju tal-passiġġieri previst matul is-sentejn finanzjarji wara l-bidu tal-operat tal-flussi tat-traffiku tal-ajru tal-passiġġieri kummerċjali.</w:t>
      </w:r>
    </w:p>
    <w:p w:rsidR="00F91509" w:rsidRPr="00D2367C" w:rsidRDefault="00F91509" w:rsidP="00F91509">
      <w:pPr>
        <w:pStyle w:val="ListNumberLevel2"/>
        <w:numPr>
          <w:ilvl w:val="0"/>
          <w:numId w:val="0"/>
        </w:numPr>
        <w:ind w:left="1944"/>
      </w:pPr>
      <w:r>
        <w:t xml:space="preserve">Ipprovdi d-</w:t>
      </w:r>
      <w:r>
        <w:rPr>
          <w:i/>
          <w:iCs/>
        </w:rPr>
        <w:t xml:space="preserve">data</w:t>
      </w:r>
      <w:r>
        <w:t xml:space="preserve"> fil-forma ta' tabella, kif ġej:</w:t>
      </w:r>
      <w:r>
        <w:t xml:space="preserve"> </w:t>
      </w:r>
      <w:r>
        <w:t xml:space="preserve">[ikkupjat mill-paġna 188, il-punt 2.2.3]</w:t>
      </w:r>
    </w:p>
    <w:tbl>
      <w:tblPr>
        <w:tblW w:w="0" w:type="auto"/>
        <w:tblInd w:w="13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2"/>
        <w:gridCol w:w="3544"/>
      </w:tblGrid>
      <w:tr w:rsidR="00F91509" w:rsidRPr="00F15324" w:rsidTr="008741F8">
        <w:tc>
          <w:tcPr>
            <w:tcW w:w="4252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Sena</w:t>
            </w:r>
          </w:p>
        </w:tc>
        <w:tc>
          <w:tcPr>
            <w:tcW w:w="3544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Numru totali ta' passiġġieri</w:t>
            </w:r>
          </w:p>
        </w:tc>
      </w:tr>
      <w:tr w:rsidR="00F91509" w:rsidRPr="00F15324" w:rsidTr="008741F8">
        <w:tc>
          <w:tcPr>
            <w:tcW w:w="4252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4252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</w:tbl>
    <w:p w:rsidR="00F91509" w:rsidRDefault="00F91509" w:rsidP="00F91509">
      <w:pPr>
        <w:spacing w:before="120" w:after="120"/>
        <w:ind w:left="1225"/>
        <w:jc w:val="both"/>
        <w:rPr>
          <w:color w:val="000000"/>
          <w:rFonts w:cs="Arial Unicode MS"/>
        </w:rPr>
      </w:pPr>
      <w:r>
        <w:rPr>
          <w:color w:val="000000"/>
        </w:rPr>
        <w:t xml:space="preserve">In-numri ta' passiġġieri jridu jingħaddu "f'direzzjoni waħda" u għal kull rotta individwali.</w:t>
      </w:r>
      <w:r>
        <w:rPr>
          <w:color w:val="000000"/>
        </w:rPr>
        <w:t xml:space="preserve"> </w:t>
      </w:r>
      <w:r>
        <w:rPr>
          <w:color w:val="000000"/>
        </w:rPr>
        <w:t xml:space="preserve">Pereżempju:</w:t>
      </w:r>
      <w:r>
        <w:rPr>
          <w:color w:val="000000"/>
        </w:rPr>
        <w:t xml:space="preserve"> </w:t>
      </w:r>
      <w:r>
        <w:rPr>
          <w:color w:val="000000"/>
        </w:rPr>
        <w:t xml:space="preserve">passiġġier li jtir lejn l-ajruport u lura jgħodd darbtejn.</w:t>
      </w:r>
      <w:r>
        <w:rPr>
          <w:color w:val="000000"/>
        </w:rPr>
        <w:t xml:space="preserve"> </w:t>
      </w:r>
      <w:r>
        <w:rPr>
          <w:color w:val="000000"/>
        </w:rPr>
        <w:t xml:space="preserve">Jekk l-ajruport huwa parti minn grupp ta' ajruporti, id-</w:t>
      </w:r>
      <w:r>
        <w:rPr>
          <w:color w:val="000000"/>
          <w:i/>
          <w:iCs/>
        </w:rPr>
        <w:t xml:space="preserve">data</w:t>
      </w:r>
      <w:r>
        <w:rPr>
          <w:color w:val="000000"/>
        </w:rPr>
        <w:t xml:space="preserve"> dwar it-traffiku tal-passiġġieri trid tkun stabbilita fuq il-bażi ta' kull ajruport individwali.</w:t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Fil-każ ta' għajnuna għall-ġestjoni individwali:</w:t>
      </w:r>
      <w:r>
        <w:t xml:space="preserve"> </w:t>
      </w:r>
      <w:r>
        <w:t xml:space="preserve">jekk jogħġbok ipprovdi l-pjan ta’ negozju li l-benefiċjarju implimenta fil-perjodu 2009–2013, u li beħsiebu jimplimenta sal-4 ta’ April 2027.</w:t>
      </w:r>
      <w:r>
        <w:t xml:space="preserve"> </w:t>
      </w:r>
      <w:r>
        <w:t xml:space="preserve">Jekk jogħġbok iddeskrivi s-suppożizzjonijiet sottostanti għal dawk il-pjanijiet ta’ tan-negozju.</w:t>
      </w:r>
    </w:p>
    <w:p w:rsidR="00F91509" w:rsidRDefault="00F91509" w:rsidP="00F91509">
      <w:pPr>
        <w:spacing w:before="120" w:after="120"/>
        <w:ind w:left="1225"/>
        <w:jc w:val="both"/>
      </w:pPr>
      <w:r>
        <w:t xml:space="preserve">Il-pjan ta’ negozju għanju jkollu informazzjoni dwar it-traffiku u l-previżjonijiet tat-traffiku</w:t>
      </w:r>
      <w:r>
        <w:t xml:space="preserve"> </w:t>
      </w:r>
      <w:r>
        <w:t xml:space="preserve">l-ispejjeż u l-previżjonijiet tal-ispejjeż;</w:t>
      </w:r>
      <w:r>
        <w:t xml:space="preserve"> </w:t>
      </w:r>
      <w:r>
        <w:rPr>
          <w:i/>
          <w:iCs/>
        </w:rPr>
        <w:t xml:space="preserve">data</w:t>
      </w:r>
      <w:r>
        <w:t xml:space="preserve"> finanzjarja u previżjonijiet finanzjarji fir-rigward tal-livell ta’ profittabbiltà u l-flussi tal-flus (b’referenza għall-metodoloġiji li huma użati b’mod ċar mill-ajruport, eż. bl-użu ta’ metodi għall-evalwazzjoni tal-valur preżenti nett ta’ investiment (VPN), ir-rata interna ta’ redditu (IRR), u r-redditu medju fuq il-kapital użat (ROCE).</w:t>
      </w:r>
      <w:r>
        <w:t xml:space="preserve"> </w:t>
      </w:r>
      <w:r>
        <w:t xml:space="preserve">Il-pjan ta’ negozju jrid ikun ipprovdut f’format excel inklużi spjegazzjonijiet tal-formuli sottostanti kollha.</w:t>
      </w:r>
    </w:p>
    <w:p w:rsidR="00F91509" w:rsidRDefault="00F91509" w:rsidP="00F91509">
      <w:pPr>
        <w:spacing w:before="120" w:after="120"/>
        <w:ind w:left="1225"/>
        <w:jc w:val="both"/>
      </w:pPr>
      <w:r>
        <w:t xml:space="preserve">Fil-każ ta’ skemi ta’ għajnuna, speċifika fid-dettall (a) il-kriterji formali u materjali li magħhom iridu jikkonformaw il-pjanijiet ta’ negozju tal-ajruporti eliġibbli;</w:t>
      </w:r>
      <w:r>
        <w:t xml:space="preserve"> </w:t>
      </w:r>
      <w:r>
        <w:t xml:space="preserve">(b) il-metodu li l-awtoritajiet nazzjonali se jużaw biex jivvalutaw il-pjanijiet ta' negozju.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Fil-każ ta' għajnuna għall-ġestjoni individwali, ipprovdi ħarsa ġenerali fil-qosor lejn it-telf mill-ġestjoni</w:t>
      </w:r>
      <w:r w:rsidRPr="00F15324">
        <w:rPr>
          <w:rStyle w:val="FootnoteReference"/>
          <w:rFonts w:cs="Arial Unicode MS"/>
          <w:color w:val="000000"/>
          <w:lang w:bidi="si-LK"/>
        </w:rPr>
        <w:footnoteReference w:id="2"/>
      </w:r>
      <w:r>
        <w:t xml:space="preserve"> li ġarrab il-benefiċjarju fil-perjodu 2009–2013, kif ukoll lejn it-telf mill-ġestjoni previst fil-perjodu li baqa’ sal-4 ta' April 2027.</w:t>
      </w:r>
      <w:r>
        <w:t xml:space="preserve"> </w:t>
      </w:r>
      <w:r>
        <w:t xml:space="preserve">Ipprovdi d-</w:t>
      </w:r>
      <w:r>
        <w:rPr>
          <w:i/>
          <w:iCs/>
        </w:rPr>
        <w:t xml:space="preserve">data</w:t>
      </w:r>
      <w:r>
        <w:t xml:space="preserve"> fil-forma ta' tabella, imqassma kif ġej:</w:t>
      </w:r>
    </w:p>
    <w:tbl>
      <w:tblPr>
        <w:tblW w:w="4197" w:type="pct"/>
        <w:tblInd w:w="1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853"/>
        <w:gridCol w:w="996"/>
        <w:gridCol w:w="996"/>
        <w:gridCol w:w="992"/>
      </w:tblGrid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Dħul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423BF1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Spejjeż ta’ ġestjoni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Oħrajn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shd w:val="clear" w:color="auto" w:fill="auto"/>
          </w:tcPr>
          <w:p w:rsidR="00F91509" w:rsidRPr="00F15324" w:rsidRDefault="00423BF1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…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:rsidTr="008741F8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 xml:space="preserve">Riżultati tal-operat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</w:tbl>
    <w:p w:rsidR="00F91509" w:rsidRPr="00F15324" w:rsidRDefault="00F91509" w:rsidP="00F91509">
      <w:pPr>
        <w:spacing w:before="120" w:after="120"/>
        <w:ind w:left="1225"/>
        <w:jc w:val="both"/>
      </w:pPr>
      <w:r>
        <w:t xml:space="preserve">Fil-każ ta' skemi ta' għajnuna, speċifika l-metodu li se jużaw l-awtoritajiet biex jistabbilixxu t-telf mill-ġestjoni ta' ajruporti eliġibbli.</w:t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Fil-każ ta' għajnuna għall-ġestjoni individwali, jekk jogħġbok ipprovdi kopji tar-rapproti finanzjarji tal-ajruporti eliġibbli</w:t>
      </w:r>
      <w:r w:rsidRPr="00F15324">
        <w:rPr>
          <w:rStyle w:val="FootnoteReference"/>
          <w:rFonts w:cs="Arial Unicode MS"/>
          <w:color w:val="000000"/>
          <w:lang w:bidi="si-LK"/>
        </w:rPr>
        <w:footnoteReference w:id="3"/>
      </w:r>
      <w:r>
        <w:t xml:space="preserve"> għall-ħames snin ta' qabel is-sena li fiha ssir l-applikazzjoni għall-għajnuna għall-ġestjoni.</w:t>
      </w:r>
    </w:p>
    <w:p w:rsidR="00F91509" w:rsidRDefault="00F91509" w:rsidP="00F91509">
      <w:pPr>
        <w:spacing w:before="120" w:after="120"/>
        <w:ind w:left="1225"/>
        <w:jc w:val="both"/>
      </w:pPr>
      <w:r>
        <w:t xml:space="preserve">Fil-każ ta' skemi ta' għajnuna, ħu impenn li tinkludi r-rapporti finanzjarji deskritti hawn fuq fil-valutazzjoni tal-għajnuna individwali.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Fil-każ ta' skemi ta' għajnuna, ħu impenn li tinkludi r-rapporti finanzjarji deskritti hawn fuq fil-valutazzjoni tal-għajnuna individwali.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C66E0C" w:rsidRDefault="00F91509" w:rsidP="00F91509">
      <w:pPr>
        <w:pStyle w:val="ListNumberLevel2"/>
        <w:keepNext/>
        <w:numPr>
          <w:ilvl w:val="1"/>
          <w:numId w:val="2"/>
        </w:numPr>
        <w:ind w:left="788" w:hanging="431"/>
      </w:pPr>
      <w:r>
        <w:t xml:space="preserve">Attivitajiet tas-servizzi tal-ajruport</w:t>
      </w:r>
    </w:p>
    <w:p w:rsidR="00F91509" w:rsidRDefault="00F91509" w:rsidP="00F91509">
      <w:pPr>
        <w:pStyle w:val="ListNumberLevel2"/>
        <w:keepNext/>
        <w:numPr>
          <w:ilvl w:val="2"/>
          <w:numId w:val="2"/>
        </w:numPr>
        <w:spacing w:before="120" w:after="120"/>
        <w:ind w:left="1225" w:hanging="505"/>
      </w:pPr>
      <w:r>
        <w:t xml:space="preserve">Speċifika s-servizzi tal-ajruport eliġibbli</w:t>
      </w:r>
      <w:r w:rsidRPr="00F15324">
        <w:rPr>
          <w:rStyle w:val="FootnoteReference"/>
        </w:rPr>
        <w:footnoteReference w:id="4"/>
      </w:r>
      <w:r>
        <w:t xml:space="preserve"> u l-kategoriji ta' spejjeż ta’ ġestjoni eliġibbli</w:t>
      </w:r>
      <w:r w:rsidRPr="00F15324">
        <w:rPr>
          <w:rStyle w:val="FootnoteReference"/>
        </w:rPr>
        <w:footnoteReference w:id="5"/>
      </w:r>
      <w:r>
        <w:t xml:space="preserve"> fir-rigward tal-forniment ta' dawk is-servizzi.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C66E0C" w:rsidRDefault="00F91509" w:rsidP="00F91509">
      <w:pPr>
        <w:pStyle w:val="ListNumberLevel2"/>
        <w:numPr>
          <w:ilvl w:val="1"/>
          <w:numId w:val="2"/>
        </w:numPr>
      </w:pPr>
      <w:r>
        <w:t xml:space="preserve">Attivitajiet li jaqgħu fl-ambitu tal-mandat tal-politika pubblika</w:t>
      </w:r>
    </w:p>
    <w:p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L-għajnuna għall-ġestjoni tkopri attivitajiet li jaqgħu taħt ir-responsabbiltà tal-Istat fl-eżerċizzju tas-setgħat uffiċjali tiegħu bħala awtorità pubblika (pereżempju kontroll tat-traffiku tal-ajru, pulizija, dwana, tifi tan-nar, attivitajiet meħtieġa għas-salvagwardja tal-avjazzjoni ċivili kontra atti ta' xkiel illegali)?</w:t>
      </w:r>
      <w:r>
        <w:t xml:space="preserve"> </w:t>
      </w:r>
      <w:r>
        <w:t xml:space="preserve">Spejjeż ta’ ġestjoni marbutin mal-infrastruttura u t-tagħmir meħtieġa sabiex jitwettqu dawk l-attivitajiet ġeneralment jitqiesu li huma ta' għamla mhux ekonomika u b'hekk ma jaqgħux taħt il-kamp ta' applikazzjoni tar-regoli dwar l-għajnuna mill-Istat.</w:t>
      </w:r>
    </w:p>
    <w:p w:rsidR="00F91509" w:rsidRPr="00F15324" w:rsidRDefault="00F91509" w:rsidP="00F91509">
      <w:pPr>
        <w:spacing w:before="100" w:beforeAutospacing="1" w:after="100" w:afterAutospacing="1"/>
        <w:ind w:left="1985"/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Ipprovdi l-istrument nazzjonali, reġjonali jew kwalunkwe strument ieħor rilevanti dwar il-kunċett ta' attivitajiet fil-mandat tal-politika pubblika u l-finanzjament tagħhom.</w:t>
      </w:r>
      <w:r>
        <w:t xml:space="preserve"> </w:t>
      </w:r>
      <w:r>
        <w:t xml:space="preserve">Fin-nuqqas ta' kwalunkwe strument legali bħal dan, iċċara kif dawk l-attivitajiet normalment jiġu ffinanzajti mill-awtoritajiet rilevanti.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3A59CA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Ipprovdi evidenza li turi li l-finanzjament pubbliku tal-attivitajiet mhux ekonomiċi ma jwassalx għal diskriminazzjoni żejda bejn l-ajruporti.</w:t>
      </w:r>
      <w:r>
        <w:t xml:space="preserve"> </w:t>
      </w:r>
      <w:r>
        <w:t xml:space="preserve">Tirriżulta diskriminazzjoni f'sitwazzjonijiet li fihom, skont l-ordinament ġuridiku rilevanti, l-ajruporti ċivili normalment ikollhom iġarrbu ċerti spejjeż inerenti għall-attivitajiet mhux ekonomiċi tagħhom, filwaqt li ċerti ajruporit ċivili ma jkollhomx iġarrbu dawk l-ispejjeż.</w:t>
      </w:r>
      <w:r>
        <w:t xml:space="preserve"> </w:t>
      </w:r>
      <w:r>
        <w:t xml:space="preserve">Speċifika l-materjal u l-applikabbiltà territorjali tar-regoli nazzjonali applikabbli għall-finanzjament ta' attivitajiet mhux ekonomiċi tal-ajruporti u, jekk applikabli, il-livell ta' kompetenzi reġjonali f'dik il-kwistjoni.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Filwaqt li ssostni l-argument bl-evidenza rilevanti, ikkonferma li l-kumpens tal-ispejjeż imġarrbin b'rabta mal-attivitajiet mhux ekonomiċi se jkun strettament limitat għal dawk l-ispejjeż, u li kull sussidjar reċiproku tal-attivitajiet ekonomiċi permezz ta' dak il-kumpens huwa eskluż b'mod effettiv.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Ikkonferma li l-ajruport se jkollu sistema ta' kontabilità separata għall-ispejjeż marbuta mal-attivitajiet ekonomiċi u dawk mhux ekonomiċi.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240"/>
        <w:ind w:left="1276"/>
        <w:contextualSpacing w:val="0"/>
        <w:jc w:val="both"/>
      </w:pPr>
      <w:r>
        <w:tab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F91509" w:rsidRPr="00E25A15" w:rsidTr="008741F8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91509" w:rsidRPr="00E25A15" w:rsidRDefault="00F91509" w:rsidP="00F91509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 xml:space="preserve"> </w:t>
            </w:r>
            <w:r>
              <w:rPr>
                <w:i w:val="0"/>
                <w:color w:val="auto"/>
              </w:rPr>
              <w:t xml:space="preserve">Valutazzjoni tal-kompatibbiltà tal-miżura</w:t>
            </w:r>
          </w:p>
        </w:tc>
      </w:tr>
    </w:tbl>
    <w:p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240" w:after="120"/>
        <w:ind w:left="788" w:hanging="431"/>
      </w:pPr>
      <w:r>
        <w:t xml:space="preserve">L-għajnuna ngħatat qabel l-4 ta’ April 2014?</w:t>
      </w:r>
    </w:p>
    <w:p w:rsidR="00F91509" w:rsidRPr="00F15324" w:rsidRDefault="00F91509" w:rsidP="00F91509">
      <w:pPr>
        <w:keepNext/>
        <w:spacing w:before="100" w:beforeAutospacing="1" w:after="100" w:afterAutospacing="1"/>
        <w:ind w:left="1985"/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  <w:rPr>
          <w:rFonts w:cs="Arial Unicode MS"/>
        </w:rPr>
      </w:pPr>
      <w:r>
        <w:t xml:space="preserve">Il-kontribut lejn mira ta’ interess komuni definit sew</w:t>
      </w:r>
    </w:p>
    <w:p w:rsidR="00F91509" w:rsidRPr="00F15324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 xml:space="preserve">L-għajnuna għall-ġestjoni:</w:t>
      </w:r>
    </w:p>
    <w:p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 w:rsidRPr="008E554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5546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E5546">
        <w:rPr>
          <w:b/>
        </w:rPr>
        <w:fldChar w:fldCharType="end"/>
      </w:r>
      <w:r>
        <w:rPr>
          <w:b/>
        </w:rPr>
        <w:tab/>
      </w:r>
      <w:r>
        <w:t xml:space="preserve">Iżżid il-mobbiltà taċ-ċittadini tal-Unjoni u l-konnettività tar-reġjuni billi tistabbilixxi punti ta' aċċess għal titjiriet fl-Unjoni?</w:t>
      </w:r>
    </w:p>
    <w:p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 w:rsidRPr="002379B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79B8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2379B8">
        <w:rPr>
          <w:b/>
        </w:rPr>
        <w:fldChar w:fldCharType="end"/>
      </w:r>
      <w:r>
        <w:rPr>
          <w:b/>
        </w:rPr>
        <w:tab/>
      </w:r>
      <w:r>
        <w:t xml:space="preserve">Ittaffi l-konġestjoni tat-traffiku tal-ajru f'ajruporti ċentrali ewlenin tal-Unjoni?</w:t>
      </w:r>
    </w:p>
    <w:p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 w:rsidRPr="002379B8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79B8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2379B8">
        <w:rPr>
          <w:b/>
        </w:rPr>
        <w:fldChar w:fldCharType="end"/>
      </w:r>
      <w:r>
        <w:rPr>
          <w:b/>
        </w:rPr>
        <w:tab/>
      </w:r>
      <w:r>
        <w:t xml:space="preserve">Tħaffef l-iżvilupp reġjonali?</w:t>
      </w:r>
    </w:p>
    <w:p w:rsidR="00F91509" w:rsidRDefault="00F91509" w:rsidP="00F91509">
      <w:pPr>
        <w:spacing w:before="240" w:after="120"/>
        <w:ind w:left="1418" w:firstLine="22"/>
        <w:jc w:val="both"/>
        <w:rPr>
          <w:color w:val="000000"/>
          <w:rFonts w:cs="Arial Unicode MS"/>
        </w:rPr>
      </w:pPr>
      <w:r>
        <w:rPr>
          <w:color w:val="000000"/>
        </w:rPr>
        <w:t xml:space="preserve">Speċifika kif l-għajnuna għall-ġestjoni: tikkontribwixxi għall-mira/i magħżul(in).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Il-miżura notifikata tikkonċerna l-operatur ta' ajruport ġdid?</w:t>
      </w:r>
    </w:p>
    <w:p w:rsidR="00F91509" w:rsidRPr="00F15324" w:rsidRDefault="00F91509" w:rsidP="00F91509">
      <w:pPr>
        <w:spacing w:before="100" w:beforeAutospacing="1" w:after="100" w:afterAutospacing="1"/>
        <w:ind w:left="1985"/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għajnuna għall-ġestjoni individwali:</w:t>
      </w:r>
      <w:r>
        <w:t xml:space="preserve"> </w:t>
      </w:r>
      <w:r>
        <w:t xml:space="preserve">L-ajruport benefiċjarju jinsab fl-istess żona ta' lħuq</w:t>
      </w:r>
      <w:r w:rsidRPr="00F15324">
        <w:rPr>
          <w:rStyle w:val="FootnoteReference"/>
          <w:rFonts w:cs="Arial Unicode MS"/>
          <w:color w:val="000000"/>
          <w:lang w:bidi="si-LK"/>
        </w:rPr>
        <w:footnoteReference w:id="6"/>
      </w:r>
      <w:r>
        <w:t xml:space="preserve"> ta' ajruport ieħor bl-istess kapaċità?</w:t>
      </w:r>
    </w:p>
    <w:p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għajnuna għall-ġestjoni individwali:</w:t>
      </w:r>
      <w:r>
        <w:t xml:space="preserve"> </w:t>
      </w:r>
      <w:r>
        <w:t xml:space="preserve">Jekk it-tweġiba għall-punt 2.2.3 hija iva, speċifika d-daqs u l-forma taż-żona ta’ lħuq.</w:t>
      </w:r>
      <w:r>
        <w:t xml:space="preserve"> </w:t>
      </w:r>
      <w:r>
        <w:t xml:space="preserve">Ipprovdi informazzjoni, li tidentifika l-effett probabbli fuq it-traffiku tal-ajruport l-ieħor li jinsab fiż-żona ta' lħuq.</w:t>
      </w:r>
      <w:r>
        <w:t xml:space="preserve"> </w:t>
      </w:r>
      <w:r>
        <w:t xml:space="preserve">Din l-informazzjoni għandha tkun parti mill-pjan ta' negozju tal-ajruport benefiċjarju u għandha tkun ibbażata fuq previżjonijiet solidi ta' traffiku tal-passiġġieri u tal-merkanzija.</w:t>
      </w:r>
    </w:p>
    <w:p w:rsidR="00F91509" w:rsidRDefault="00F91509" w:rsidP="00F91509">
      <w:pPr>
        <w:pStyle w:val="ListNumberLevel2"/>
        <w:keepNext/>
        <w:numPr>
          <w:ilvl w:val="0"/>
          <w:numId w:val="0"/>
        </w:numPr>
        <w:spacing w:before="120" w:after="120"/>
        <w:ind w:left="1225"/>
      </w:pPr>
      <w:r>
        <w:t xml:space="preserve">Fil-każ ta' skemi tal-għajnuna:</w:t>
      </w:r>
      <w:r>
        <w:t xml:space="preserve"> </w:t>
      </w:r>
      <w:r>
        <w:t xml:space="preserve">Jekk jogħġbok (a) ikkonferma li l-awtoritajiet huma impenjati sabiex jivvalutaw l-effett probabbli fuq it-traffiku ta' kull ajruport ieħor li jinsab fiż-żona ta' lħuq bħala ajruport eliġibbli fuq il-bażi tal-informazzjoni li hija parti mill-pjan ta’ negozju tal-ajruport benefiċjarju u li hija bbażata fuq previżjonijiet attendibbli dwar it-traffiku tal-passiġġieri u l-merkanzija;</w:t>
      </w:r>
      <w:r>
        <w:t xml:space="preserve"> </w:t>
      </w:r>
      <w:r>
        <w:t xml:space="preserve">(b) spjega l-metodu u l-kriterji li l-awtoritajiet nazzjonali se jużaw biex jivvalutaw l-effett probabbli fuq it-traffiku ta' dak l-ajruport l-ieħor jew dawk l-ajruporti l-oħra.</w:t>
      </w:r>
    </w:p>
    <w:p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C948EC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 xml:space="preserve">Il-ħtieġa ta’ intervent mill-Istat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bookmarkStart w:id="2" w:name="_Ref379998348"/>
      <w:r>
        <w:t xml:space="preserve">Ikkonferma li t-traffiku annwali tal-ajruport(i) eliġibbli mhux iktar minn 3 miljun passiġġier</w:t>
      </w:r>
      <w:bookmarkEnd w:id="2"/>
      <w:r>
        <w:t xml:space="preserve"> (ara wkoll il-mistoqsija 1.2.2 iktar 'il fuq).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 xml:space="preserve">Adegwatezza tal-miżura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Uri li l-għajnuna inkwistjoni hija xierqa sabiex tinkiseb il-mira maħsuba jew jiġu solvuti l-problemi li huma maħsuba li jiġu indirizzati.</w:t>
      </w:r>
      <w:r>
        <w:t xml:space="preserve"> </w:t>
      </w:r>
      <w:r>
        <w:t xml:space="preserve">B'mod partikolari, spjega kif l-awtoritajiet stabbilixxew li ma tistax tinkiseb l-istess mira, jew li l-istess problema ma tistax tissolva, permezz ta' politika jew strumenti ta' għajnuna inqas distorsivi.</w:t>
      </w:r>
      <w:r>
        <w:t xml:space="preserve"> </w:t>
      </w:r>
      <w:r>
        <w:t xml:space="preserve">Pereżempju, jekk l-għajnuna tingħata f'forom li jipprovdu vantaġġ pekunarju dirett</w:t>
      </w:r>
      <w:r>
        <w:rPr>
          <w:rStyle w:val="FootnoteReference"/>
          <w:rFonts w:cs="Arial Unicode MS"/>
          <w:color w:val="000000"/>
          <w:lang w:bidi="si-LK"/>
        </w:rPr>
        <w:footnoteReference w:id="7"/>
      </w:r>
      <w:r>
        <w:t xml:space="preserve">, uri għaliex forom potenzjalment inqas distorsivi ta' għajnuna bħal self bil-quddiem li jitħallas lura jew forom ta' għajnuna bbażati fuq strumenti ta' dejn jew ta' ekwità</w:t>
      </w:r>
      <w:r>
        <w:rPr>
          <w:rStyle w:val="FootnoteReference"/>
          <w:rFonts w:cs="Arial Unicode MS"/>
          <w:color w:val="000000"/>
          <w:lang w:bidi="si-LK"/>
        </w:rPr>
        <w:footnoteReference w:id="8"/>
      </w:r>
      <w:r>
        <w:t xml:space="preserve"> mhumiex adegwati:</w:t>
      </w:r>
    </w:p>
    <w:p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għajnuna għall-ġestjoni individwali:</w:t>
      </w:r>
      <w:r>
        <w:t xml:space="preserve"> </w:t>
      </w:r>
      <w:r>
        <w:t xml:space="preserve">L-ammont tal-għajnuna ġie stabbilit </w:t>
      </w:r>
      <w:r>
        <w:rPr>
          <w:i/>
        </w:rPr>
        <w:t xml:space="preserve">ex</w:t>
      </w:r>
      <w:r>
        <w:rPr>
          <w:i/>
        </w:rPr>
        <w:noBreakHyphen/>
      </w:r>
      <w:r>
        <w:rPr>
          <w:i/>
        </w:rPr>
        <w:t xml:space="preserve">ante</w:t>
      </w:r>
      <w:r>
        <w:t xml:space="preserve"> bħala somma fissa li tkopri d-diskrepanza tal-likwidità ta’ ġestjoni mistennija ddeterminata abbażi tal-pjan ta’ negozju tal-benefiċjarju?</w:t>
      </w:r>
      <w:r>
        <w:tab/>
      </w:r>
    </w:p>
    <w:p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Pr="00F15324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  <w:rPr>
          <w:color w:val="000000"/>
          <w:rFonts w:cs="Arial Unicode MS"/>
        </w:rPr>
      </w:pPr>
      <w:r>
        <w:rPr>
          <w:color w:val="000000"/>
        </w:rPr>
        <w:t xml:space="preserve">Jekk iva, ipprovdi l-informazzjoni rilevanti fil-pjan ta' negozju.</w:t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skemi tal-għajnuna:</w:t>
      </w:r>
      <w:r>
        <w:t xml:space="preserve"> </w:t>
      </w:r>
      <w:r>
        <w:t xml:space="preserve">l-ammont tal-għajnuna f’kull każ individwali se jiġi stabbilit </w:t>
      </w:r>
      <w:r>
        <w:rPr>
          <w:i/>
        </w:rPr>
        <w:t xml:space="preserve">ex ante</w:t>
      </w:r>
      <w:r>
        <w:t xml:space="preserve"> bħala somma fissa li tkopri d-diskrepanza tal-likwidità ta’ ġestjoni mistennija ddeterminata abbażi tal-pjan ta’ direzzjoni tan-negozju tal-benefiċjarju?</w:t>
      </w:r>
    </w:p>
    <w:p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Pr="00F15324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  <w:rPr>
          <w:color w:val="000000"/>
          <w:rFonts w:cs="Arial Unicode MS"/>
        </w:rPr>
      </w:pPr>
      <w:r>
        <w:rPr>
          <w:color w:val="000000"/>
        </w:rPr>
        <w:t xml:space="preserve">Jekk iva, il-benefiċjajru jenħtieġlu jipprovdi l-informazzjoni rilevanti fil-pjan ta’ negozju.</w:t>
      </w:r>
    </w:p>
    <w:p w:rsidR="00F91509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 xml:space="preserve">Jekk it-tweġiba għall-punti Nru 2.4.2 u 2.4.3 hija "le", speċifika:</w:t>
      </w:r>
      <w:r>
        <w:t xml:space="preserve"> </w:t>
      </w:r>
      <w:r>
        <w:t xml:space="preserve">(a) il-grad ta' inċertezza tal-previżjonijiet tal-kostijiet u d-dħul, (b) kwalunkwe nuqqas ta' qbil fl-informazzjoni li mhux iħalli lill-awtoriatjiet nazzjonali jikkalkolaw l-ammont tal-għajnuna </w:t>
      </w:r>
      <w:r>
        <w:rPr>
          <w:i/>
          <w:iCs/>
        </w:rPr>
        <w:t xml:space="preserve">ex ante</w:t>
      </w:r>
      <w:r>
        <w:t xml:space="preserve"> fuq il-bażi ta' pjan ta' negozju.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Jekk it-tweġiba għall-punti 2.4.2 u 2.4.3 hija “le”, ikkonferma li l-ammont massimu ta' għajnuna għall-ġestjoni kompatibbli kienet/se tkun stabbilita skont il-mudell ibbazat fuq il-medja tad-diskrepanzi tal-likwidità ta’ ġestjoni</w:t>
      </w:r>
      <w:r w:rsidRPr="00F15324">
        <w:rPr>
          <w:vertAlign w:val="superscript"/>
          <w:lang w:val="fr-FR" w:bidi="si-LK"/>
        </w:rPr>
        <w:footnoteReference w:id="9"/>
      </w:r>
      <w:r>
        <w:t xml:space="preserve"> matul il-ħames snin mill-2009 sal-2013.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Ikkonferma li l-ammont tal-għajnuna għall-ġestjoni mhux se jiżdied </w:t>
      </w:r>
      <w:r>
        <w:rPr>
          <w:i/>
        </w:rPr>
        <w:t xml:space="preserve">ex post</w:t>
      </w:r>
      <w:r>
        <w:t xml:space="preserve">.</w:t>
      </w:r>
    </w:p>
    <w:p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Jekk it-tweġiba għall-mistoqsija ta' hawn fuq hija “le”, spjega għaliex fil-fehma tiegħek il-possibbiltà ta' żieda </w:t>
      </w:r>
      <w:r>
        <w:rPr>
          <w:i/>
        </w:rPr>
        <w:t xml:space="preserve">ex post</w:t>
      </w:r>
      <w:r>
        <w:t xml:space="preserve"> ma tnaqqasx l-inċentivi għall-ġestjoni effiċjenti tal-ajruport.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 xml:space="preserve">Effett ta’ inċentiv u l-proporzjonalità tal-għajnuna</w:t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għajnuna għall-ġestjoni individwali, iddeskrivi għaliex teżisti l-probabbiltà li fin-nuqqas tal-għajnuna, il-livell ta' attività ekonomika tal-ajruport ikkonċernat jonqos b'mod sinifikanti.</w:t>
      </w:r>
      <w:r>
        <w:t xml:space="preserve"> </w:t>
      </w:r>
      <w:r>
        <w:t xml:space="preserve">Ipprovdi l-informazzjoni meħtieġa fuq il-bażi tal-pjan ta' negozju (ara wkoll il-punt 1.2.3), billi tqabbel il-livelli tal-attività maħsuba bl-għajnuna u mingħajr l-għajnuna (ix-xenarju kontrafattwali), filwaqt li titqies il-possibbiltà li jkun hemm għajnuna għall-investiment u l-livell ta' traffiku.</w:t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Fil-każ ta' skemi ta' għajnuna, iddeskrivi l-metodu applikat mill-awtorità li tagħti l-għajnuna sabiex tivvaluta l-pjanijiet ta’ negozju kif ukoll il-probabbiltà li fin-nuqqas tal-għajnuna, il-livell ta' attività ekonomika tal-ajruport ikkonċernat jonqos b'mod sinifikanti, filwaqt li titqies il-possibbiltà li jkun hemm għajnuna għall-investiment u l-livell ta' traffiku.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Fil-każ ta' għajnuna għall-ġestjoni individwali, uri li l-pjan ta’ negozju tal-ajruport se jwassal biex l-ispejjeż ta’ ġestjoni jiġu koperti kollha sal-4 ta' April 2027.</w:t>
      </w:r>
      <w:r>
        <w:t xml:space="preserve"> </w:t>
      </w:r>
      <w:r>
        <w:t xml:space="preserve">Speċifika l-parametri ewlenin rilevanti tal-pjan ta’ negozju.</w:t>
      </w:r>
    </w:p>
    <w:p w:rsidR="00F91509" w:rsidRDefault="00F91509" w:rsidP="00F91509">
      <w:pPr>
        <w:pStyle w:val="ListNumberLevel2"/>
        <w:keepNext/>
        <w:numPr>
          <w:ilvl w:val="0"/>
          <w:numId w:val="0"/>
        </w:numPr>
        <w:spacing w:before="120" w:after="120"/>
        <w:ind w:left="1225"/>
      </w:pPr>
      <w:r>
        <w:t xml:space="preserve">Fil-każ ta' skemi ta' għajnuna, ikkonferma li l-awtorità li tagħti l-għajnuna se tagħti l-għajnuna għall-ġestjoni individwali biss jekk tkun ikkonkludiet li l-pjan ta’ negozju tal-ajruport benefiċjarju se jwassal biex l-ispejjeż ta’ ġestjoni jiġu koperti kollha sal-4 ta' April 2027.</w:t>
      </w:r>
      <w:r>
        <w:t xml:space="preserve"> </w:t>
      </w:r>
      <w:r>
        <w:t xml:space="preserve">Speċifika liema parametri ewlenin tal-pjan ta’ negozju se jiġu vvalutati mill-awtoritajiet li jagħtu l-għajnuna sabiex jaslu għal dik il-konklużjoni f'kull każ.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 xml:space="preserve">Jekk jogħġbok indika:</w:t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rPr>
          <w:color w:val="000000"/>
        </w:rPr>
        <w:t xml:space="preserve">Fil-każ ta' għajnuna għall-ġestjoni individwali:</w:t>
      </w:r>
      <w:r>
        <w:t xml:space="preserve"> </w:t>
      </w:r>
      <w:r>
        <w:t xml:space="preserve">Id-diskrepanza tal-likwidità inizjali tal-ajruport benefiċjarju tul 13-il sena, filwaqt li </w:t>
      </w:r>
      <w:r>
        <w:rPr>
          <w:color w:val="000000"/>
        </w:rPr>
        <w:t xml:space="preserve">tibda</w:t>
      </w:r>
      <w:r>
        <w:t xml:space="preserve"> bil-kopertura tal-ispejjeż ta’ ġestjoni fl-4 ta' April 2014 fil-bidu tal-perjodu tranżitorju u tilħaq l-ilħuq tal-kopertura sħiħa tal-ispejjeż ta’ ġestjoni sal-4 ta' April 2027, fi tmiem il-perjodu tranżitorju.</w:t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Fil-każ ta' skemi tal-għajnuna:</w:t>
      </w:r>
      <w:r>
        <w:t xml:space="preserve"> </w:t>
      </w:r>
      <w:r>
        <w:t xml:space="preserve">ħu impenn li (a) id-diskrepanza tal-likwidità tal-ajruporti eliġibbli se tiġi stabbilita permezz tal-metodu msemmi fil-punt 2.5.2;</w:t>
      </w:r>
      <w:r>
        <w:t xml:space="preserve"> </w:t>
      </w:r>
      <w:r>
        <w:t xml:space="preserve">(b) l-ajruporti eliġibbli jridu juru li se jilħqu l-kopertura sħiħa tal-kostijiet ta’ ġestjoni sal-4 ta' April 2027.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L-ammont massimu permissibbli tal-għajnuna: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Il-perċentwal tad-diskrepanza tal-finanzjament se jkun kopert mill-għajnuna ta’ ġestjoni: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Il-perjodu li matulu se tingħata l-għajnuna għall-ġestjoni: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4B677A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 xml:space="preserve">L-evitar ta’ effetti negattivi fuq il-kompetizzjoni u l-kummerċ</w:t>
      </w:r>
    </w:p>
    <w:p w:rsidR="00F91509" w:rsidRPr="00C94A11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  <w:rPr>
          <w:color w:val="000000"/>
        </w:rPr>
      </w:pPr>
      <w:r>
        <w:rPr>
          <w:color w:val="000000"/>
        </w:rPr>
        <w:t xml:space="preserve">Jekk jogħġbok</w:t>
      </w:r>
      <w:r>
        <w:t xml:space="preserve"> uri</w:t>
      </w:r>
      <w:r>
        <w:rPr>
          <w:color w:val="000000"/>
        </w:rPr>
        <w:t xml:space="preserve"> </w:t>
      </w:r>
      <w:r>
        <w:t xml:space="preserve"> li l-ajruporti kollha li jinsabu fl-istess żona ta' lħuq bħall-ajruport jew ajruporti eliġibbli se jkunu jistgħu jkopru kompletament l-ispejjeż ta’ ġestjoni sal-4 ta' April 2027.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Ikkonferma li l-ajruport, inklużi l-infrastruttura u t-tagħmir kollha kemm huma li għalihom tingħata l-għajnuna għall-investiment, se jkun miftuħ għall-utenti potenzjali kollha u mhux iddedikat għal utent speċifiku wieħed.</w:t>
      </w:r>
    </w:p>
    <w:p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iva</w:t>
      </w:r>
      <w:r>
        <w:t xml:space="preserve"> </w:t>
      </w:r>
      <w:r>
        <w:tab/>
      </w:r>
      <w:r>
        <w:tab/>
      </w:r>
      <w:r>
        <w:t xml:space="preserve"> </w:t>
      </w:r>
      <w:r w:rsidRPr="00F1532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15324">
        <w:instrText xml:space="preserve"> FORMCHECKBOX </w:instrText>
      </w:r>
      <w:r/>
      <w:r>
        <w:fldChar w:fldCharType="separate"/>
      </w:r>
      <w:r w:rsidRPr="00F15324">
        <w:fldChar w:fldCharType="end"/>
      </w:r>
      <w:r>
        <w:t xml:space="preserve"> le</w:t>
      </w:r>
    </w:p>
    <w:p w:rsidR="00F91509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 xml:space="preserve">Ikkonferma liema huma d-dispożizzjonijiet li permezz tagħhom ikun żgurat li l-kapaċita tal-ajruport se titqassam bejn l-utenti fuq il-bażi ta' kriterji rilevanti, oġġettivi, trasparenti u mhux diskriminatorji.</w:t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:rsidR="008741F8" w:rsidRDefault="008741F8" w:rsidP="00F91509"/>
    <w:sectPr w:rsidR="0087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0E67" w:rsidRDefault="00F90E67" w:rsidP="00F91509">
      <w:r>
        <w:separator/>
      </w:r>
    </w:p>
  </w:endnote>
  <w:endnote w:type="continuationSeparator" w:id="0">
    <w:p w:rsidR="00F90E67" w:rsidRDefault="00F90E67" w:rsidP="00F9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0E67" w:rsidRDefault="00F90E67" w:rsidP="00F91509">
      <w:r>
        <w:separator/>
      </w:r>
    </w:p>
  </w:footnote>
  <w:footnote w:type="continuationSeparator" w:id="0">
    <w:p w:rsidR="00F90E67" w:rsidRDefault="00F90E67" w:rsidP="00F91509">
      <w:r>
        <w:continuationSeparator/>
      </w:r>
    </w:p>
  </w:footnote>
  <w:footnote w:id="1">
    <w:p w:rsidR="00F91509" w:rsidRPr="005C5DFC" w:rsidRDefault="00F91509" w:rsidP="00EC0297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Il-Linji Gwida dwar l-għajnuna mill-Istat għall-ajruporti u l-linji tal-ajru (ĠU C 99, 4.4.2014, p. 3).</w:t>
      </w:r>
    </w:p>
  </w:footnote>
  <w:footnote w:id="2">
    <w:p w:rsidR="00F91509" w:rsidRPr="00A05163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“Diskrepanza tal-likwidità ta’ ġestjoni” tfisser it-telf mill-ġestjoni ta' ajruport matul il-perjodu relevanti, skontat għall-valur kurrenti tagħhom bl-użu tal-ispiża kapitali, jiġifieri n-nuqqas (f'termini tal-valur preżenti nett) bejn id-dħul tal-ajruport u l-spejjeż ta' ġestjoni tal-ajruport.</w:t>
      </w:r>
    </w:p>
  </w:footnote>
  <w:footnote w:id="3">
    <w:p w:rsidR="00F91509" w:rsidRPr="00BD57CB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Il-karta bilanċjali, ir-rapport tal-introjtu, id-dikjarazzjoni tal-kontabilist ikkwalifikat jew id-ditta tal-awditjar.</w:t>
      </w:r>
    </w:p>
  </w:footnote>
  <w:footnote w:id="4">
    <w:p w:rsidR="00F91509" w:rsidRPr="00D05FDB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Is-servizzi pprovduti minn ajruport jew xi waħda mis-sussidjarji tiegħu, sabiex tiġi żgurata l-ġestjoni tal-inġenji tal-ajru, mill-inżul sat-tlugħ, u tal-passiġġieri u l-merkanzija, sabiex il-linji tal-ajru jkunu jistgħu jipprovdu servizzi ta' trasport bl-ajru, inkluż il-forniment ta' servizzi ta’ ground handling u l-forniment ta' infrastruttura ċentralizzata tal-ground handling.</w:t>
      </w:r>
    </w:p>
  </w:footnote>
  <w:footnote w:id="5">
    <w:p w:rsidR="00F91509" w:rsidRPr="00D05FDB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L-ispejjeż sottostanti ta' ajruport fir-rigward tal-forniment ta' servizzi tal-ajruport, inklużi l-kategoriji ta' spejjeż bħall-ispiża tal-persunal, is-servizzi kuntrattati, il-komunikazzjonijiet, l-iskart, l-enerġija, il-manutenzjoni, il-kirja u l-amministrazzjoni, iżda esklużi l-ispejjeż kapitali, l-appoġġ tal-kummerċjalizzazzjoni jew kull inċentiv ieħor mogħti lil-linji tal-ajru mill-ajruport, u spejjeż li jaqgħu fl-ambitu ta' mandat tal-politika pubblika.</w:t>
      </w:r>
    </w:p>
  </w:footnote>
  <w:footnote w:id="6">
    <w:p w:rsidR="00F91509" w:rsidRPr="00D203F4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"Żona ta' lħuq ta' ajruport"  b’mod tfisser il-konfini ta’ suq ġeografiku, li normalment huwa stabbilit għal madwar 100 kilometru jew madwar 60 minuta ta’ vvjaġġar bil-karozza, bix-xarabank, tren jew ferrovija ta' velocità għolja;</w:t>
      </w:r>
      <w:r>
        <w:t xml:space="preserve"> </w:t>
      </w:r>
      <w:r>
        <w:t xml:space="preserve">madankollu, iż-żona ta' lħuq ta' ajruport partikolari tista’ tkun differenti u jeħtieġ li tqis l-ispeċifiċitajiet ta’ kull ajruport partikolari.</w:t>
      </w:r>
      <w:r>
        <w:t xml:space="preserve"> </w:t>
      </w:r>
      <w:r>
        <w:t xml:space="preserve"> Id-daqs u l-forma taż-żona ta’ lħuq tvarja minn ajruport għal ieħor, u tiddependi fuq diversi karatteristiċi tal-ajruport, inklużi l-mudell tan-negozju tiegħu, il-post u d-destinazzjonijiet li jaqdi.</w:t>
      </w:r>
    </w:p>
  </w:footnote>
  <w:footnote w:id="7">
    <w:p w:rsidR="00F91509" w:rsidRPr="00151FFE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Pereżempju, għotjiet diretti, eżenzjonijiet jew tnaqqis tat-taxxi, sigurtà soċjali jew imposti obbligatorji oħrajn, jew il-provvista ta’ art, prodotti jew servizzi bi prezzijiet favorevoli, eċċ.</w:t>
      </w:r>
    </w:p>
  </w:footnote>
  <w:footnote w:id="8">
    <w:p w:rsidR="00F91509" w:rsidRPr="00151FFE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Pereżempju, selfiet b'rati baxxi tal-imgħax jew tnaqqisiet tal-imgħax, garanziji tal-istat, ix-xiri ta' parteċipazzjoni azzjonarja jew il-forniment b'modi oħra ta' kapital b'termini vantaġġużi.</w:t>
      </w:r>
      <w:r>
        <w:t xml:space="preserve"> </w:t>
      </w:r>
    </w:p>
  </w:footnote>
  <w:footnote w:id="9">
    <w:p w:rsidR="00F91509" w:rsidRPr="00F800EA" w:rsidRDefault="00F91509" w:rsidP="00F91509">
      <w:pPr>
        <w:pStyle w:val="FootnoteText"/>
      </w:pPr>
      <w:r>
        <w:rPr>
          <w:rStyle w:val="FootnoteReference"/>
        </w:rPr>
        <w:footnoteRef/>
      </w:r>
      <w:r>
        <w:t xml:space="preserve"> “Diskrepanza tal-likwidità ta' ġestjoni” tfisser it-telf mill-ġestjoni ta' ajruport matul il-perjodu relevanti, skontat għall-valur kurrenti tagħhom bl-użu tal-ispiża kapitali, jiġifieri n-nuqqas (f'termini tal-valur preżenti nett) bejn id-dħul tal-ajruport u l-spejjeż ta' ġestjoni tal-ajruport.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ED7"/>
    <w:multiLevelType w:val="hybridMultilevel"/>
    <w:tmpl w:val="3654A558"/>
    <w:lvl w:ilvl="0" w:tplc="C9CE86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C9CE86B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08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254195E"/>
    <w:multiLevelType w:val="multilevel"/>
    <w:tmpl w:val="CE124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E86CDF"/>
    <w:multiLevelType w:val="multilevel"/>
    <w:tmpl w:val="0C428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C5F5522"/>
    <w:multiLevelType w:val="hybridMultilevel"/>
    <w:tmpl w:val="98486BDE"/>
    <w:lvl w:ilvl="0" w:tplc="C9CE86B8">
      <w:start w:val="1"/>
      <w:numFmt w:val="lowerLetter"/>
      <w:lvlText w:val="(%1)"/>
      <w:lvlJc w:val="left"/>
      <w:pPr>
        <w:ind w:left="19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64" w:hanging="360"/>
      </w:pPr>
    </w:lvl>
    <w:lvl w:ilvl="2" w:tplc="0809001B" w:tentative="1">
      <w:start w:val="1"/>
      <w:numFmt w:val="lowerRoman"/>
      <w:lvlText w:val="%3."/>
      <w:lvlJc w:val="right"/>
      <w:pPr>
        <w:ind w:left="3384" w:hanging="180"/>
      </w:pPr>
    </w:lvl>
    <w:lvl w:ilvl="3" w:tplc="0809000F" w:tentative="1">
      <w:start w:val="1"/>
      <w:numFmt w:val="decimal"/>
      <w:lvlText w:val="%4."/>
      <w:lvlJc w:val="left"/>
      <w:pPr>
        <w:ind w:left="4104" w:hanging="360"/>
      </w:pPr>
    </w:lvl>
    <w:lvl w:ilvl="4" w:tplc="08090019" w:tentative="1">
      <w:start w:val="1"/>
      <w:numFmt w:val="lowerLetter"/>
      <w:lvlText w:val="%5."/>
      <w:lvlJc w:val="left"/>
      <w:pPr>
        <w:ind w:left="4824" w:hanging="360"/>
      </w:pPr>
    </w:lvl>
    <w:lvl w:ilvl="5" w:tplc="0809001B" w:tentative="1">
      <w:start w:val="1"/>
      <w:numFmt w:val="lowerRoman"/>
      <w:lvlText w:val="%6."/>
      <w:lvlJc w:val="right"/>
      <w:pPr>
        <w:ind w:left="5544" w:hanging="180"/>
      </w:pPr>
    </w:lvl>
    <w:lvl w:ilvl="6" w:tplc="0809000F" w:tentative="1">
      <w:start w:val="1"/>
      <w:numFmt w:val="decimal"/>
      <w:lvlText w:val="%7."/>
      <w:lvlJc w:val="left"/>
      <w:pPr>
        <w:ind w:left="6264" w:hanging="360"/>
      </w:pPr>
    </w:lvl>
    <w:lvl w:ilvl="7" w:tplc="08090019" w:tentative="1">
      <w:start w:val="1"/>
      <w:numFmt w:val="lowerLetter"/>
      <w:lvlText w:val="%8."/>
      <w:lvlJc w:val="left"/>
      <w:pPr>
        <w:ind w:left="6984" w:hanging="360"/>
      </w:pPr>
    </w:lvl>
    <w:lvl w:ilvl="8" w:tplc="0809001B" w:tentative="1">
      <w:start w:val="1"/>
      <w:numFmt w:val="lowerRoman"/>
      <w:lvlText w:val="%9."/>
      <w:lvlJc w:val="right"/>
      <w:pPr>
        <w:ind w:left="7704" w:hanging="180"/>
      </w:pPr>
    </w:lvl>
  </w:abstractNum>
  <w:num w:numId="1" w16cid:durableId="1028289543">
    <w:abstractNumId w:val="1"/>
  </w:num>
  <w:num w:numId="2" w16cid:durableId="248009172">
    <w:abstractNumId w:val="4"/>
  </w:num>
  <w:num w:numId="3" w16cid:durableId="151526216">
    <w:abstractNumId w:val="3"/>
  </w:num>
  <w:num w:numId="4" w16cid:durableId="1589656240">
    <w:abstractNumId w:val="0"/>
  </w:num>
  <w:num w:numId="5" w16cid:durableId="757411895">
    <w:abstractNumId w:val="5"/>
  </w:num>
  <w:num w:numId="6" w16cid:durableId="1966737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91509"/>
    <w:rsid w:val="00137FD9"/>
    <w:rsid w:val="001B6DD1"/>
    <w:rsid w:val="001C7129"/>
    <w:rsid w:val="00213EE5"/>
    <w:rsid w:val="002E4731"/>
    <w:rsid w:val="00372914"/>
    <w:rsid w:val="003F15A5"/>
    <w:rsid w:val="00423BF1"/>
    <w:rsid w:val="00432738"/>
    <w:rsid w:val="00476B53"/>
    <w:rsid w:val="00574327"/>
    <w:rsid w:val="00594F39"/>
    <w:rsid w:val="005D0D12"/>
    <w:rsid w:val="005E545C"/>
    <w:rsid w:val="0074262B"/>
    <w:rsid w:val="00807298"/>
    <w:rsid w:val="008741F8"/>
    <w:rsid w:val="00A73746"/>
    <w:rsid w:val="00AA251D"/>
    <w:rsid w:val="00B050DF"/>
    <w:rsid w:val="00D55ACA"/>
    <w:rsid w:val="00D7332A"/>
    <w:rsid w:val="00D773CD"/>
    <w:rsid w:val="00D97B3D"/>
    <w:rsid w:val="00DC1266"/>
    <w:rsid w:val="00EA0392"/>
    <w:rsid w:val="00EC0297"/>
    <w:rsid w:val="00EC08B5"/>
    <w:rsid w:val="00F90E67"/>
    <w:rsid w:val="00F9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3F15A76-D246-4497-9233-13522251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509"/>
    <w:rPr>
      <w:sz w:val="24"/>
      <w:lang w:val="mt-MT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509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91509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F91509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F91509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915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91509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91509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F91509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F91509"/>
    <w:pPr>
      <w:spacing w:after="160" w:line="240" w:lineRule="exact"/>
    </w:pPr>
    <w:rPr>
      <w:sz w:val="20"/>
      <w:vertAlign w:val="superscript"/>
      <w:lang w:eastAsia="en-GB"/>
    </w:rPr>
  </w:style>
  <w:style w:type="paragraph" w:styleId="ListNumber">
    <w:name w:val="List Number"/>
    <w:basedOn w:val="Normal"/>
    <w:rsid w:val="00F91509"/>
    <w:pPr>
      <w:numPr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F91509"/>
    <w:pPr>
      <w:numPr>
        <w:ilvl w:val="1"/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F91509"/>
    <w:pPr>
      <w:numPr>
        <w:ilvl w:val="2"/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F91509"/>
    <w:pPr>
      <w:numPr>
        <w:ilvl w:val="3"/>
        <w:numId w:val="6"/>
      </w:numPr>
      <w:spacing w:after="240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3F15A5"/>
    <w:rPr>
      <w:sz w:val="24"/>
      <w:lang w:val="mt-MT" w:eastAsia="en-US"/>
    </w:rPr>
  </w:style>
  <w:style w:type="character" w:styleId="CommentReference">
    <w:name w:val="annotation reference"/>
    <w:uiPriority w:val="99"/>
    <w:semiHidden/>
    <w:unhideWhenUsed/>
    <w:rsid w:val="00DC1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266"/>
    <w:rPr>
      <w:sz w:val="20"/>
    </w:rPr>
  </w:style>
  <w:style w:type="character" w:customStyle="1" w:styleId="CommentTextChar">
    <w:name w:val="Comment Text Char"/>
    <w:link w:val="CommentText"/>
    <w:uiPriority w:val="99"/>
    <w:rsid w:val="00DC1266"/>
    <w:rPr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2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1266"/>
    <w:rPr>
      <w:b/>
      <w:bCs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2278</Words>
  <Characters>11938</Characters>
  <DocSecurity>4</DocSecurity>
  <Lines>331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2024-06-12T15:22:00Z</dcterms:created>
  <dcterms:modified xsi:type="dcterms:W3CDTF">2024-06-12T15:22:00Z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2024-05-30T15:57:44Z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dfa2bf93-560d-4050-8a2f-4fc4cae5394b</vt:lpwstr>
  </property>
  <property fmtid="{D5CDD505-2E9C-101B-9397-08002B2CF9AE}" pid="8" name="MSIP_Label_6bd9ddd1-4d20-43f6-abfa-fc3c07406f94_ContentBits">
    <vt:lpwstr>0</vt:lpwstr>
  </property>
</Properties>
</file>