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5A60" w14:textId="78A24046" w:rsidR="00C737F1" w:rsidRPr="00571002" w:rsidRDefault="00C737F1" w:rsidP="00C737F1">
      <w:pPr>
        <w:pStyle w:val="ManualHeading1"/>
        <w:rPr>
          <w:rFonts w:eastAsia="Times New Roman"/>
          <w:noProof/>
          <w:szCs w:val="24"/>
        </w:rPr>
      </w:pPr>
      <w:r w:rsidRPr="00571002">
        <w:rPr>
          <w:noProof/>
        </w:rPr>
        <w:t>P</w:t>
      </w:r>
      <w:r w:rsidRPr="00571002">
        <w:rPr>
          <w:noProof/>
        </w:rPr>
        <w:t>ARTI</w:t>
      </w:r>
      <w:r w:rsidRPr="00571002">
        <w:rPr>
          <w:noProof/>
        </w:rPr>
        <w:t xml:space="preserve"> III.6.E</w:t>
      </w:r>
      <w:r>
        <w:rPr>
          <w:noProof/>
        </w:rPr>
        <w:t xml:space="preserve"> - </w:t>
      </w:r>
      <w:r w:rsidRPr="00571002">
        <w:rPr>
          <w:noProof/>
        </w:rPr>
        <w:t>Skeda ta’ informazzjoni supplimentari għall-għajnuna mill-Istat mogħtija taħt il-Linji Gwida dwar l-għajnuna mill-Istat għall-klima, għall-ħarsien tal-ambjent u għall-enerġija 2022 (minn hawn ’il quddiem “CEEAG”) – Taqsima 4.4 – Għajnuna għall-effiċjenza fir-riżorsi u għall-appoġġ tat-tranżizzjoni lejn ekonomija ċirkolari</w:t>
      </w:r>
    </w:p>
    <w:p w14:paraId="4F60D47D" w14:textId="77777777" w:rsidR="00C737F1" w:rsidRPr="00571002" w:rsidRDefault="00C737F1" w:rsidP="00C737F1">
      <w:pPr>
        <w:ind w:right="-142"/>
        <w:rPr>
          <w:rFonts w:eastAsia="Times New Roman"/>
          <w:i/>
          <w:iCs/>
          <w:noProof/>
          <w:szCs w:val="24"/>
        </w:rPr>
      </w:pPr>
      <w:r w:rsidRPr="00571002">
        <w:rPr>
          <w:i/>
          <w:noProof/>
        </w:rPr>
        <w:t xml:space="preserve">Din l-iskeda ta’ informazzjoni supplimentari tikkonċerna l-miżuri koperti fit-Taqsima 4.4 tas-CEEAG. Jekk in-notifika tinkludi miżuri li huma koperti minn aktar minn taqsima waħda tas-CEEAG, jekk jogħġbok, ladarba tkun disponibbli, qis li timla wkoll l-iskeda ta’ informazzjoni supplimentari rispettiva li tikkonċerna t-taqsima rispettiva tas-CEEAG. </w:t>
      </w:r>
    </w:p>
    <w:p w14:paraId="50C4A16A" w14:textId="77777777" w:rsidR="00C737F1" w:rsidRPr="00571002" w:rsidRDefault="00C737F1" w:rsidP="00C737F1">
      <w:pPr>
        <w:ind w:right="-142"/>
        <w:rPr>
          <w:rFonts w:eastAsia="Times New Roman"/>
          <w:i/>
          <w:iCs/>
          <w:noProof/>
          <w:szCs w:val="24"/>
        </w:rPr>
      </w:pPr>
      <w:r w:rsidRPr="00571002">
        <w:rPr>
          <w:i/>
          <w:noProof/>
        </w:rPr>
        <w:t>Id-dokumenti kollha pprovduti mill-Istati Membri bħala annessi ma’ din l-iskeda ta’ informazzjoni supplimentari jridu jiġu nnumerati u n-numri tad-dokumenti jridu jiġu indikati fit-taqsimiet rilevanti ta’ din l-iskeda ta’ informazzjoni supplimentari.</w:t>
      </w:r>
    </w:p>
    <w:p w14:paraId="22714FD4" w14:textId="77777777" w:rsidR="00C737F1" w:rsidRPr="00571002" w:rsidRDefault="00C737F1" w:rsidP="00C737F1">
      <w:pPr>
        <w:pStyle w:val="ManualHeading2"/>
        <w:rPr>
          <w:noProof/>
        </w:rPr>
      </w:pPr>
      <w:r w:rsidRPr="00571002">
        <w:rPr>
          <w:noProof/>
        </w:rPr>
        <w:t>Taqsima A: Sommarju tal-karatteristiċi ewlenin tal-miżura/i notifikata/i</w:t>
      </w:r>
    </w:p>
    <w:p w14:paraId="7010363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L-isfond u l-objettiv(i) tal-miżura/i notifikata/i.</w:t>
      </w:r>
    </w:p>
    <w:p w14:paraId="38FC5FF4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diskuss fit-Taqsima 5.2 tal-Formola ta’ Informazzjoni Ġenerali (il-Parti I), jekk jogħġbok ipprovdi l-isfond u l-objettiv prinċipali, inkluża kwalunkwe mira tal-Unjoni għat-tranżizzjoni lejn ekonomija ċirkolari li l-miżura hija maħsuba li tappoġġa.</w:t>
      </w:r>
    </w:p>
    <w:p w14:paraId="44F9DF3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0F631ED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jogħġbok indika kwalunkwe objettiv ieħor tal-miżura. Għal kwalunkwe objettiv li mhuwiex purament ambjentali, jekk jogħġbok spjega jekk dan jistax jirriżulta f’xi distorsjoni tal-kompetizzjoni fis-suq intern. </w:t>
      </w:r>
    </w:p>
    <w:p w14:paraId="3FE63A3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E547079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b/>
          <w:noProof/>
        </w:rPr>
        <w:t>Dħul fis-seħħ u tul ta’ żmien</w:t>
      </w:r>
      <w:r w:rsidRPr="00571002">
        <w:rPr>
          <w:noProof/>
        </w:rPr>
        <w:t>:</w:t>
      </w:r>
    </w:p>
    <w:p w14:paraId="086BD503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ma tkunx diġà pprovduta fit-Taqsima </w:t>
      </w:r>
      <w:r>
        <w:rPr>
          <w:noProof/>
        </w:rPr>
        <w:t>5.4</w:t>
      </w:r>
      <w:r w:rsidRPr="00571002">
        <w:rPr>
          <w:noProof/>
        </w:rPr>
        <w:t xml:space="preserve"> tal-Formola ta’ Informazzjoni Ġenerali (il-Parti I), jekk jogħġbok indika d-data minn meta l-iskema ta’ għajnuna hija ppjanata li tidħol fis-seħħ;</w:t>
      </w:r>
    </w:p>
    <w:p w14:paraId="2BD77BB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4B26BC9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indika t-tul ta’ żmien tal-iskema</w:t>
      </w:r>
      <w:r w:rsidRPr="00571002">
        <w:rPr>
          <w:rStyle w:val="FootnoteReference"/>
          <w:rFonts w:cs="Arial Unicode MS"/>
          <w:bCs/>
          <w:noProof/>
          <w:lang w:bidi="si-LK"/>
        </w:rPr>
        <w:footnoteReference w:id="1"/>
      </w:r>
      <w:r w:rsidRPr="00571002">
        <w:rPr>
          <w:noProof/>
        </w:rPr>
        <w:t>.</w:t>
      </w:r>
    </w:p>
    <w:p w14:paraId="4BDDAFF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2B5A966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rFonts w:cs="Arial Unicode MS"/>
          <w:b/>
          <w:bCs/>
          <w:noProof/>
        </w:rPr>
      </w:pPr>
      <w:r w:rsidRPr="00571002">
        <w:rPr>
          <w:b/>
          <w:noProof/>
        </w:rPr>
        <w:t>Benefiċjarju/i</w:t>
      </w:r>
      <w:r w:rsidRPr="00571002">
        <w:rPr>
          <w:b/>
          <w:noProof/>
        </w:rPr>
        <w:tab/>
      </w:r>
    </w:p>
    <w:p w14:paraId="5E3066C6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>Jekk mhux diġà pprovdut(i) fit-Taqsima 3 tal-Formola ta’ Informazzjoni Ġenerali (il-Parti I), jekk jogħġbok iddeskrivi l-benefiċjarju/i (potenzjali) tal-miżura/i;</w:t>
      </w:r>
    </w:p>
    <w:p w14:paraId="01E3A708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58B7D01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lastRenderedPageBreak/>
        <w:t>Jekk jogħġbok indika l-post tal-benefiċjarju/i (jiġifieri jekk l-entitajiet ekonomiċi li jinsabu biss fl-Istat Membru rispettiv jew ukoll dawk fi Stati Membri oħra jkunu eliġibbli li jipparteċipaw fil-miżura).</w:t>
      </w:r>
    </w:p>
    <w:p w14:paraId="23475174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20CA191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 xml:space="preserve">Sabiex tiġi vvalutata l-konformità mal-punt 15 tas-CEEAG, jekk jogħġbok speċifika jekk l-għajnuna hix tingħata skont il-miżura/i favur l-impriża (individwali jew parti minn skema) li hija soġġetta għal ordni ta’ rkupru pendenti wara deċiżjoni preċedenti tal-Kummissjoni li tiddikjara li l-għajnuna hija illegali u inkompatibbli mas-suq intern. </w:t>
      </w:r>
    </w:p>
    <w:p w14:paraId="399EE3A9" w14:textId="77777777" w:rsidR="00C737F1" w:rsidRPr="00571002" w:rsidRDefault="00C737F1" w:rsidP="00C737F1">
      <w:pPr>
        <w:pStyle w:val="Text1"/>
        <w:rPr>
          <w:noProof/>
        </w:rPr>
      </w:pPr>
      <w:r w:rsidRPr="00571002">
        <w:rPr>
          <w:noProof/>
        </w:rPr>
        <w:t xml:space="preserve">Jekk iva, jekk jogħġbok ipprovdi informazzjoni dwar l-ammont ta’ għajnuna li għad irid jiġi rkuprat sabiex il-Kummissjoni tqisha fil-valutazzjoni tal-miżura/i ta’ għajnuna. </w:t>
      </w:r>
    </w:p>
    <w:p w14:paraId="1F9095C7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CEB36F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ikkonferma li l-miżura/i ma tinvolvix/jinvolvux għajnuna għal attivitajiet li jaqgħu barra mill-kamp ta’ applikazzjoni tas-CEEAG (ara l-punt 13 tas-CEEAG). Inkella, jekk jogħġbok ipprovdi d-dettalji.</w:t>
      </w:r>
    </w:p>
    <w:p w14:paraId="7CC66F61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3ABD612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rFonts w:cs="Arial Unicode MS"/>
          <w:bCs/>
          <w:noProof/>
        </w:rPr>
      </w:pPr>
      <w:r w:rsidRPr="00571002">
        <w:rPr>
          <w:b/>
          <w:noProof/>
        </w:rPr>
        <w:t>Il-baġit u l-finanzjament tal-miżura/i</w:t>
      </w:r>
      <w:r w:rsidRPr="00571002">
        <w:rPr>
          <w:noProof/>
        </w:rPr>
        <w:t>.</w:t>
      </w:r>
    </w:p>
    <w:p w14:paraId="524057DD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>Jekk mhux diġà semmejtu fit-tabella fit-Taqsima 7.1 tal-Formola ta’ Informazzjoni Ġenerali (il-Parti I), jekk jogħġbok ipprovdi l-baġit annwali u/jew totali għat-tul ta’ żmien kollu tal-miżura/i; jekk il-baġit totali mhuwiex magħruf (pereżempju minħabba li jiddependi fuq ir-riżultati tal-offerti), jekk jogħġbok indika stima tal-baġit, inklużi s-suppożizzjonijiet użati għall-kalkolu tal-baġit stmat rispettiv</w:t>
      </w:r>
      <w:r w:rsidRPr="00571002">
        <w:rPr>
          <w:rStyle w:val="FootnoteReference"/>
          <w:noProof/>
        </w:rPr>
        <w:footnoteReference w:id="2"/>
      </w:r>
      <w:r w:rsidRPr="00571002">
        <w:rPr>
          <w:noProof/>
        </w:rPr>
        <w:t>.</w:t>
      </w:r>
    </w:p>
    <w:p w14:paraId="0977A5A3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E1A045A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 xml:space="preserve">jekk il-miżura hija ffinanzjata permezz ta’ imposta, jekk jogħġbok iċċara jekk: </w:t>
      </w:r>
    </w:p>
    <w:p w14:paraId="5725DBFE" w14:textId="77777777" w:rsidR="00C737F1" w:rsidRPr="00571002" w:rsidRDefault="00C737F1" w:rsidP="00C737F1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hijiex stabbilita bil-liġi jew bi kwalunkwe att leġiżlattiv ieħor; jekk iva, jekk jogħġbok ipprovdi l-att legali, in-numru u d-data meta ġie adottat u daħal fis-seħħ, il-link tal-internet għall-att legali;</w:t>
      </w:r>
    </w:p>
    <w:p w14:paraId="62757D4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05517F7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rFonts w:cs="Arial Unicode MS"/>
          <w:bCs/>
          <w:noProof/>
        </w:rPr>
      </w:pPr>
      <w:r w:rsidRPr="00571002">
        <w:rPr>
          <w:noProof/>
        </w:rPr>
        <w:t>l-imposta hijiex imposta b’mod ugwali fuq il-prodotti domestiċi u importati;</w:t>
      </w:r>
    </w:p>
    <w:p w14:paraId="6B853785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0AFCC85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rFonts w:cs="Arial Unicode MS"/>
          <w:bCs/>
          <w:noProof/>
        </w:rPr>
      </w:pPr>
      <w:r w:rsidRPr="00571002">
        <w:rPr>
          <w:noProof/>
        </w:rPr>
        <w:t>il-miżura notifikata hijiex se tkun ta’ benefiċċju b’mod indaqs għall-prodotti domestiċi u dawk importati;</w:t>
      </w:r>
    </w:p>
    <w:p w14:paraId="2345F70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E2303B0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rFonts w:cs="Arial Unicode MS"/>
          <w:bCs/>
          <w:noProof/>
        </w:rPr>
      </w:pPr>
      <w:r w:rsidRPr="00571002">
        <w:rPr>
          <w:noProof/>
        </w:rPr>
        <w:t>l-imposta tiffinanzjax kompletament il-miżura jew parzjalment biss. Jekk l-imposta tiffinanzja biss parzjalment il-miżura, indika s-sorsi l-oħra ta’ finanzjament tal-miżura u l-proporzjon rispettiv tagħhom;</w:t>
      </w:r>
    </w:p>
    <w:p w14:paraId="3051549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B274D5F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rFonts w:cs="Arial Unicode MS"/>
          <w:bCs/>
          <w:noProof/>
        </w:rPr>
      </w:pPr>
      <w:r w:rsidRPr="00571002">
        <w:rPr>
          <w:noProof/>
        </w:rPr>
        <w:lastRenderedPageBreak/>
        <w:t>l-imposta li tiffinanzja l-miżura notifikata tiffinanzjax ukoll miżuri oħra ta’ għajnuna. Jekk iva, indika l-miżuri l-oħra ta’ għajnuna ffinanzjati mill-imposta kkonċernata.</w:t>
      </w:r>
    </w:p>
    <w:p w14:paraId="6DCFFC8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1841D4" w14:textId="77777777" w:rsidR="00C737F1" w:rsidRPr="00571002" w:rsidRDefault="00C737F1" w:rsidP="00C737F1">
      <w:pPr>
        <w:pStyle w:val="ManualHeading2"/>
        <w:rPr>
          <w:noProof/>
        </w:rPr>
      </w:pPr>
      <w:r w:rsidRPr="00571002">
        <w:rPr>
          <w:noProof/>
        </w:rPr>
        <w:t>Taqsima B: Valutazzjoni tal-kompatibbiltà tal-għajnuna</w:t>
      </w:r>
    </w:p>
    <w:p w14:paraId="40A23A0F" w14:textId="77777777" w:rsidR="00C737F1" w:rsidRPr="00571002" w:rsidRDefault="00C737F1" w:rsidP="00C737F1">
      <w:pPr>
        <w:pStyle w:val="Heading1"/>
        <w:numPr>
          <w:ilvl w:val="0"/>
          <w:numId w:val="26"/>
        </w:numPr>
        <w:tabs>
          <w:tab w:val="clear" w:pos="850"/>
          <w:tab w:val="num" w:pos="360"/>
        </w:tabs>
        <w:rPr>
          <w:noProof/>
        </w:rPr>
      </w:pPr>
      <w:r w:rsidRPr="00571002">
        <w:rPr>
          <w:noProof/>
        </w:rPr>
        <w:t>Kundizzjoni pożittiva: l-għajnuna trid tiffaċilita l-iżvilupp ta’ attività ekonomika</w:t>
      </w:r>
    </w:p>
    <w:p w14:paraId="2A9A1556" w14:textId="77777777" w:rsidR="00C737F1" w:rsidRPr="00571002" w:rsidRDefault="00C737F1" w:rsidP="00C737F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Il-kontribut għall-iżvilupp ta’ attività ekonomika</w:t>
      </w:r>
    </w:p>
    <w:p w14:paraId="74314D72" w14:textId="77777777" w:rsidR="00C737F1" w:rsidRPr="00571002" w:rsidRDefault="00C737F1" w:rsidP="00C737F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3.1.1 (il-punti 23-25) u </w:t>
      </w:r>
      <w:r w:rsidRPr="00571002">
        <w:rPr>
          <w:i/>
          <w:noProof/>
          <w:color w:val="000000"/>
        </w:rPr>
        <w:t>t-Taqsimiet 4.4.1. (il-punti 217-219) u 4.4.2. (il-punti 220-224) t</w:t>
      </w:r>
      <w:r w:rsidRPr="00571002">
        <w:rPr>
          <w:i/>
          <w:noProof/>
        </w:rPr>
        <w:t xml:space="preserve">as-CEEAG. </w:t>
      </w:r>
    </w:p>
    <w:p w14:paraId="2274FA03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L-Artikolu 107(3), il-punt (c) tat-Trattat dwar il-Funzjonament tal-Unjoni Ewropea (“it-Trattat”) jipprevedi li l-Kummissjoni tista’ tiddikjara kompatibbli “</w:t>
      </w:r>
      <w:r w:rsidRPr="00571002">
        <w:rPr>
          <w:i/>
          <w:noProof/>
        </w:rPr>
        <w:t>għajnuna maħsuba sabiex tiffaċilita l-iżvilupp ta’ ċerti attivitajiet jew ta’ ċerti reġjuni ekonomiċi, basta dik l-għajnuna ma tfixkilx il-kondizzjonijiet tal-kummerċ sa grad li jkun kuntrarju għall-interess komuni”</w:t>
      </w:r>
      <w:r w:rsidRPr="00571002">
        <w:rPr>
          <w:noProof/>
        </w:rPr>
        <w:t xml:space="preserve">. Għaldaqstant, l-għajnuna kompatibbli skont din id-dispożizzjoni tat-Trattat trid tikkontribwixxi għall-iżvilupp ta’ ċertu attività ekonomika. </w:t>
      </w:r>
    </w:p>
    <w:p w14:paraId="7CA818A2" w14:textId="77777777" w:rsidR="00C737F1" w:rsidRPr="00571002" w:rsidRDefault="00C737F1" w:rsidP="00C737F1">
      <w:pPr>
        <w:pStyle w:val="Text1"/>
        <w:rPr>
          <w:noProof/>
        </w:rPr>
      </w:pPr>
      <w:r w:rsidRPr="00571002">
        <w:rPr>
          <w:noProof/>
        </w:rPr>
        <w:t xml:space="preserve">Sabiex tiġi vvalutata l-konformità mal-punt 23 tas-CEEAG, jekk jogħġbok identifika l-attivitajiet ekonomiċi li se jiġu ffaċilitati b’riżultat tal-għajnuna u kif l-iżvilupp ta’ dawk l-attivitajiet huwa appoġġat. </w:t>
      </w:r>
    </w:p>
    <w:p w14:paraId="57C5ECF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21CD13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vvalutata l-konformità mal-punt 25 tas-CEEAG, jekk jogħġbok “</w:t>
      </w:r>
      <w:r w:rsidRPr="00571002">
        <w:rPr>
          <w:i/>
          <w:noProof/>
        </w:rPr>
        <w:t xml:space="preserve">[i]ddeskriv[i] [wkoll] jekk l-għajnuna hix se </w:t>
      </w:r>
      <w:r w:rsidRPr="00571002">
        <w:rPr>
          <w:noProof/>
        </w:rPr>
        <w:t>tikkontribwixxi</w:t>
      </w:r>
      <w:r w:rsidRPr="00571002">
        <w:rPr>
          <w:i/>
          <w:noProof/>
        </w:rPr>
        <w:t xml:space="preserve">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</w:t>
      </w:r>
      <w:r w:rsidRPr="00571002">
        <w:rPr>
          <w:noProof/>
        </w:rPr>
        <w:t xml:space="preserve">”. </w:t>
      </w:r>
    </w:p>
    <w:p w14:paraId="2EC534F5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E8D79C9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Barra minn hekk, enfasizza sa liema punt l-għajnuna hija relatata mal-politiki deskritti fil-punti 217 sa 219 tas-CEEAG.</w:t>
      </w:r>
    </w:p>
    <w:p w14:paraId="74860B9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5780F4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  <w:szCs w:val="24"/>
        </w:rPr>
      </w:pPr>
      <w:r w:rsidRPr="00571002">
        <w:rPr>
          <w:noProof/>
        </w:rPr>
        <w:t>Jekk jogħġbok iddeskrivi r-rekwiżiti ta’ eliġibbiltà applikabbli għall-benefiċjarju/i (pereżempju billi tinkludi kwalunkwe rekwiżit tekniku, ambjentali (jiġifieri permessi), finanzjarji (jiġifieri kollaterali) jew rekwiżiti oħra li l-benefiċjarju/i jeħtieġ li jikkonforma/jikkonformaw magħhom).</w:t>
      </w:r>
    </w:p>
    <w:p w14:paraId="79EDF146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84E014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Għal skemi ta’ għajnuna individwali u ta’ għajnuna li jibbenefikaw minn għadd partikolarment limitat ta’ benefiċjarji jew benefiċjarju eżistenti, agħti kwantifikazzjoni tal-benefiċċji ambjentali mistennija mill-miżura (riżorsi ffrankati/evitati l-konsum tar-riżorsi) u spjega l-metodu segwit biex dawn jiġu kkwantifikati. </w:t>
      </w:r>
    </w:p>
    <w:p w14:paraId="23936AD7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69768B7A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agħti informazzjoni dwar l-ambitu u l-attivitajiet appoġġati tal-miżura/i ta’ għajnuna u indika għal liema mill-attivitajiet elenkati fil-punti 220 u 221 tas-CEEAG jikkorrispondu. </w:t>
      </w:r>
    </w:p>
    <w:p w14:paraId="03D1AB34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DA1A23D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innota li l-miżuri ta’ għajnuna għall-investiment li ġejjin mhumiex ivvalutati fit-Taqsima 4.4:</w:t>
      </w:r>
    </w:p>
    <w:p w14:paraId="5CD9C86A" w14:textId="77777777" w:rsidR="00C737F1" w:rsidRPr="00571002" w:rsidRDefault="00C737F1" w:rsidP="00C737F1">
      <w:pPr>
        <w:pStyle w:val="Point2letter"/>
        <w:numPr>
          <w:ilvl w:val="5"/>
          <w:numId w:val="49"/>
        </w:numPr>
        <w:rPr>
          <w:noProof/>
        </w:rPr>
      </w:pPr>
      <w:r w:rsidRPr="00571002">
        <w:rPr>
          <w:noProof/>
        </w:rPr>
        <w:t>L-irkupru tas-sħana residwa mill-proċessi tal-produzzjoni</w:t>
      </w:r>
    </w:p>
    <w:p w14:paraId="29EA6493" w14:textId="77777777" w:rsidR="00C737F1" w:rsidRPr="00571002" w:rsidRDefault="00C737F1" w:rsidP="00C737F1">
      <w:pPr>
        <w:pStyle w:val="Point2letter"/>
        <w:numPr>
          <w:ilvl w:val="5"/>
          <w:numId w:val="49"/>
        </w:numPr>
        <w:rPr>
          <w:noProof/>
        </w:rPr>
      </w:pPr>
      <w:r w:rsidRPr="00571002">
        <w:rPr>
          <w:noProof/>
        </w:rPr>
        <w:t>CCUs</w:t>
      </w:r>
    </w:p>
    <w:p w14:paraId="20211B9E" w14:textId="77777777" w:rsidR="00C737F1" w:rsidRPr="00571002" w:rsidRDefault="00C737F1" w:rsidP="00C737F1">
      <w:pPr>
        <w:pStyle w:val="Point2letter"/>
        <w:numPr>
          <w:ilvl w:val="5"/>
          <w:numId w:val="49"/>
        </w:numPr>
        <w:rPr>
          <w:noProof/>
        </w:rPr>
      </w:pPr>
      <w:r w:rsidRPr="00571002">
        <w:rPr>
          <w:noProof/>
        </w:rPr>
        <w:t xml:space="preserve">Il-produzzjoni ta’ bijokarburanti, bijolikwidi, bijogass jew fjuwil tal-bijomassa mill-iskart </w:t>
      </w:r>
    </w:p>
    <w:p w14:paraId="312D496D" w14:textId="77777777" w:rsidR="00C737F1" w:rsidRPr="00571002" w:rsidRDefault="00C737F1" w:rsidP="00C737F1">
      <w:pPr>
        <w:pStyle w:val="Point2letter"/>
        <w:numPr>
          <w:ilvl w:val="5"/>
          <w:numId w:val="49"/>
        </w:numPr>
        <w:rPr>
          <w:noProof/>
        </w:rPr>
      </w:pPr>
      <w:r w:rsidRPr="00571002">
        <w:rPr>
          <w:noProof/>
        </w:rPr>
        <w:t>Il-ġenerazzjoni tal-enerġija mill-iskart</w:t>
      </w:r>
    </w:p>
    <w:p w14:paraId="3166A9F3" w14:textId="77777777" w:rsidR="00C737F1" w:rsidRPr="00571002" w:rsidRDefault="00C737F1" w:rsidP="00C737F1">
      <w:pPr>
        <w:pStyle w:val="Point2letter"/>
        <w:numPr>
          <w:ilvl w:val="5"/>
          <w:numId w:val="49"/>
        </w:numPr>
        <w:rPr>
          <w:noProof/>
        </w:rPr>
      </w:pPr>
      <w:r w:rsidRPr="00571002">
        <w:rPr>
          <w:noProof/>
        </w:rPr>
        <w:t xml:space="preserve">Il-produzzjoni tal-enerġija jew tas-sħana mill-iskart relatata ma’ investimenti f’sistemi ta’ tisħin u tkessiħ distrettwali jew għat-tħaddim tagħhom.  </w:t>
      </w:r>
    </w:p>
    <w:p w14:paraId="4A929077" w14:textId="77777777" w:rsidR="00C737F1" w:rsidRPr="00571002" w:rsidRDefault="00C737F1" w:rsidP="00C737F1">
      <w:pPr>
        <w:pStyle w:val="Text1"/>
        <w:rPr>
          <w:noProof/>
        </w:rPr>
      </w:pPr>
      <w:r w:rsidRPr="00571002">
        <w:rPr>
          <w:noProof/>
        </w:rPr>
        <w:t>Jekk jogħġbok irreferi għall-formola ta’ notifika għat-Taqsima 4.1 għall-investimenti elenkati fil-punti a sa d peress li tali miżuri se jiġu vvalutati kif stabbilit fit-Taqsima 4.1 tas-CEEAG u għall-formola ta’ notifika għat-Taqsima 4.10 għall-investiment deskritt fil-punt e peress li dan se jiġi vvalutat kif stabbilit fit-Taqsima 4.10 tas-CEEAG</w:t>
      </w:r>
    </w:p>
    <w:p w14:paraId="73BD001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4BA6567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indika jekk il-miżura ta’ għajnuna tkoprix ukoll l-kostijiet operatorji għall-ġbir separat u s-separazzjoni tal-iskart u jekk iva, għal liema flussi ta’ skart jew tipi ta’ skart. </w:t>
      </w:r>
    </w:p>
    <w:p w14:paraId="6DD0E67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226A9CB" w14:textId="77777777" w:rsidR="00C737F1" w:rsidRPr="00571002" w:rsidRDefault="00C737F1" w:rsidP="00C737F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Effett ta’ inċentiv</w:t>
      </w:r>
    </w:p>
    <w:p w14:paraId="204C91B6" w14:textId="77777777" w:rsidR="00C737F1" w:rsidRPr="00571002" w:rsidRDefault="00C737F1" w:rsidP="00C737F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3.1.2 (il-punti 26-32) u t-Taqsima 4.4.3. (il-punti 225-233) tas-CEEAG. </w:t>
      </w:r>
    </w:p>
    <w:p w14:paraId="347EB91B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L-għajnuna tista’ titqies li tiffaċilita attività ekonomika jekk ikollha effett ta’ inċentiv biss. Sabiex tiġi vvalutata l-konformità mal-punt 26 tas-CEEAG, jekk jogħġbok spjega kif il-miżura/i </w:t>
      </w:r>
      <w:r w:rsidRPr="00571002">
        <w:rPr>
          <w:i/>
          <w:noProof/>
        </w:rPr>
        <w:t>“ġġiegħel lill-benefiċjarju jibdel l-imġiba tiegħu, jinvolvi ruħu f’attività ekonomika addizzjonali jew f’attività ekonomika aktar ekoloġika, li kieku ma kienx iwettaqha mingħajr l-għajnuna jew kien iwettaqha b’mod ristrett jew differenti”</w:t>
      </w:r>
      <w:r w:rsidRPr="00571002">
        <w:rPr>
          <w:noProof/>
        </w:rPr>
        <w:t>.</w:t>
      </w:r>
      <w:r w:rsidRPr="00571002">
        <w:rPr>
          <w:i/>
          <w:noProof/>
        </w:rPr>
        <w:t xml:space="preserve"> </w:t>
      </w:r>
    </w:p>
    <w:p w14:paraId="7C8FFDF2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B0E3582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bookmarkStart w:id="0" w:name="_Ref164268038"/>
      <w:bookmarkStart w:id="1" w:name="_Ref144120711"/>
      <w:r w:rsidRPr="00571002">
        <w:rPr>
          <w:noProof/>
        </w:rPr>
        <w:t>Skont il-punt 28 tas-CEEAG:</w:t>
      </w:r>
      <w:bookmarkEnd w:id="0"/>
    </w:p>
    <w:p w14:paraId="2B279B2A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jogħġbok ipprovdi deskrizzjoni komprensiva tax-xenarju fattwali li mistenni jirriżulta mill-miżura ta’ għajnuna u x-xenarju/i kontrofattwali probabbli fin-nuqqas </w:t>
      </w:r>
      <w:r w:rsidRPr="00571002">
        <w:rPr>
          <w:noProof/>
        </w:rPr>
        <w:lastRenderedPageBreak/>
        <w:t>tal-miżura ta’ għajnuna.</w:t>
      </w:r>
      <w:r w:rsidRPr="00571002">
        <w:rPr>
          <w:rStyle w:val="FootnoteReference"/>
          <w:noProof/>
        </w:rPr>
        <w:footnoteReference w:id="3"/>
      </w:r>
      <w:r w:rsidRPr="00571002">
        <w:rPr>
          <w:noProof/>
        </w:rPr>
        <w:t xml:space="preserve"> Fejn taħseb li kategoriji differenti ta’ benefiċjarji jistgħu jiġu appoġġati, jekk jogħġbok żgura li l-kontrofattwali jkun kredibbli għal kull waħda minn dawn il-kategoriji. </w:t>
      </w:r>
      <w:bookmarkStart w:id="2" w:name="_Hlk144314319"/>
      <w:bookmarkEnd w:id="1"/>
      <w:r w:rsidRPr="00571002">
        <w:rPr>
          <w:noProof/>
        </w:rPr>
        <w:t>Jekk jogħġbok ikkunsidra r-rekwiżiti dwar ix-xenarju kontrofattwali inklużi fil-punti 226-230 u l-punt 239 tas-CEEAG, b’mod partikolari:</w:t>
      </w:r>
    </w:p>
    <w:p w14:paraId="2978530E" w14:textId="77777777" w:rsidR="00C737F1" w:rsidRPr="00571002" w:rsidRDefault="00C737F1" w:rsidP="00C737F1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>Ġeneralment, il-kontrofattwali jikkorrispondi għal investiment bl-istess kapaċità, tul ta’ ħajja u, fejn xieraq, karatteristiċi tekniċi rilevanti oħra, bħall-investiment li ma jagħmilx ħsara lill-ambjent, li madankollu jwassal għal livell aktar baxx ta’ protezzjoni ambjentali, pereżempju installazzjoni li tittratta l-iskart abbażi ta’ operazzjoni li tinsab aktar baxxa fl-ordni ta’ prijorità tal-ġerarkija tal-iskart jew b’mod inqas effiċjenti ta’ riżorsi; meta l-prodott użat mill-ġdid jew riċiklat (sekondarju) ikun teknikament u ekonomikament sostitwibbli bil-materja prima jew il-prodott primarju, ix-xenarju kontrofattwali jista’ jikkonsisti fl-installazzjoni konvenzjonali relatata mal-produzzjoni ta’ materja prima jew prodott primarju.</w:t>
      </w:r>
    </w:p>
    <w:p w14:paraId="08170DCA" w14:textId="77777777" w:rsidR="00C737F1" w:rsidRPr="00571002" w:rsidRDefault="00C737F1" w:rsidP="00C737F1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 xml:space="preserve">Alternattivament, ix-xenarju kontrofattwali jista’ jikkorrispondi wkoll għal wieħed mix-xenarji li ġejjin: </w:t>
      </w:r>
    </w:p>
    <w:p w14:paraId="7778BFB8" w14:textId="77777777" w:rsidR="00C737F1" w:rsidRPr="00571002" w:rsidRDefault="00C737F1" w:rsidP="00C737F1">
      <w:pPr>
        <w:pStyle w:val="Stylei"/>
        <w:numPr>
          <w:ilvl w:val="0"/>
          <w:numId w:val="28"/>
        </w:numPr>
        <w:rPr>
          <w:noProof/>
        </w:rPr>
      </w:pPr>
      <w:r w:rsidRPr="00571002">
        <w:rPr>
          <w:noProof/>
        </w:rPr>
        <w:t>iż-żamma tal-installazzjonijiet jew tat-tagħmir eżistenti li jkunu qegħdin jitħaddmu għal perjodu li jikkorrispondi għat-tul tal-ħajja tal-investiment li ma jagħmilx ħsara lill-ambjent; f’dak il-każ, il-kostijiet skontati ta’ manutenzjoni, tiswija u modernizzazzjoni matul dak il-perjodu għandhom jiġu kkunsidrati (il-punt 227 tas-CEEAG);</w:t>
      </w:r>
    </w:p>
    <w:p w14:paraId="6E5FDEAA" w14:textId="77777777" w:rsidR="00C737F1" w:rsidRPr="00571002" w:rsidRDefault="00C737F1" w:rsidP="00C737F1">
      <w:pPr>
        <w:pStyle w:val="Stylei"/>
        <w:numPr>
          <w:ilvl w:val="0"/>
          <w:numId w:val="28"/>
        </w:numPr>
        <w:rPr>
          <w:noProof/>
        </w:rPr>
      </w:pPr>
      <w:r w:rsidRPr="00571002">
        <w:rPr>
          <w:noProof/>
        </w:rPr>
        <w:t xml:space="preserve">sostituzzjoni aktar tard tal-installazzjonijiet jew tat-tagħmir; f’dak il-każ il-valur skontat tal-installazzjonijiet u t-tagħmir jenħtieġ li jitqies u d-differenza fit-tul tal-ħajja ekonomika rispettiva tal-installazzjonijiet jew tat-tagħmir jenħtieġ li titqassam indaqs bejniethom f’konformità mal-punt 228 tas-CEEAG; </w:t>
      </w:r>
    </w:p>
    <w:p w14:paraId="6EEE2474" w14:textId="77777777" w:rsidR="00C737F1" w:rsidRPr="00571002" w:rsidRDefault="00C737F1" w:rsidP="00C737F1">
      <w:pPr>
        <w:pStyle w:val="Stylei"/>
        <w:numPr>
          <w:ilvl w:val="0"/>
          <w:numId w:val="28"/>
        </w:numPr>
        <w:rPr>
          <w:noProof/>
        </w:rPr>
      </w:pPr>
      <w:r w:rsidRPr="00571002">
        <w:rPr>
          <w:noProof/>
        </w:rPr>
        <w:t>il-kiri ta’ tagħmir inqas ekoloġiku li kieku jintuża fin-nuqqas tal-għajnuna; f’dak il-każ, il-valur skontat tal-kiri tat-tagħmir inqas ekoloġiku għandu jitqies f’konformità mal-punt 229 tas-CEEAG;</w:t>
      </w:r>
    </w:p>
    <w:p w14:paraId="40F96A5B" w14:textId="77777777" w:rsidR="00C737F1" w:rsidRPr="00571002" w:rsidRDefault="00C737F1" w:rsidP="00C737F1">
      <w:pPr>
        <w:pStyle w:val="Stylei"/>
        <w:numPr>
          <w:ilvl w:val="0"/>
          <w:numId w:val="28"/>
        </w:numPr>
        <w:rPr>
          <w:noProof/>
        </w:rPr>
      </w:pPr>
      <w:r w:rsidRPr="00571002">
        <w:rPr>
          <w:noProof/>
        </w:rPr>
        <w:t xml:space="preserve">ix-xenarju kontrofattwali jista’ jikkonsisti wkoll fin-nuqqas ta’ proġett ta’ investiment alternattiv, b’mod partikolari meta l-investiment megħjun jikkonsisti fiż-żieda ta’ installazzjonijiet jew tagħmir ma’ faċilitajiet, installazzjonijiet jew tagħmir eżistenti u li għalihom ma teżisti l-ebda alternattiva konvenzjonali ekwivalenti.  </w:t>
      </w:r>
    </w:p>
    <w:bookmarkEnd w:id="2"/>
    <w:p w14:paraId="3B71F469" w14:textId="77777777" w:rsidR="00C737F1" w:rsidRPr="00571002" w:rsidRDefault="00C737F1" w:rsidP="00C737F1">
      <w:pPr>
        <w:pStyle w:val="Text2"/>
        <w:rPr>
          <w:noProof/>
        </w:rPr>
      </w:pPr>
      <w:r w:rsidRPr="00571002">
        <w:rPr>
          <w:noProof/>
        </w:rPr>
        <w:t xml:space="preserve">Meta tiddeskrivi x-xenarju fattwali u x-xenarju/i kontrofattwali probabbli, jekk jogħġbok speċifika l-kapaċità, it-tul tal-ħajja u karatteristiċi tekniċi oħra tal-investiment kemm għax-xenarju/i fattwali kif ukoll għal dak kontrofattwali. </w:t>
      </w:r>
    </w:p>
    <w:p w14:paraId="1DBA2156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9D94C5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spjega fil-qosor ir-raġuni għall-għażla tax-xenarju/i kontrofattwali probabbli, fid-dawl tal-kategoriji differenti ta’ benefiċjarji proposti, jekk applikabbli</w:t>
      </w:r>
    </w:p>
    <w:p w14:paraId="206109B5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5BE2AD0" w14:textId="77777777" w:rsidR="00C737F1" w:rsidRPr="00571002" w:rsidRDefault="00C737F1" w:rsidP="00C737F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Jekk jogħġbok ikkwantifika l-kostijiet u d-dħul tax-xenarji fattwali u kontrofattwali </w:t>
      </w:r>
      <w:bookmarkStart w:id="3" w:name="_Ref165986605"/>
      <w:r w:rsidRPr="00571002">
        <w:rPr>
          <w:noProof/>
        </w:rPr>
        <w:t>u ġġustifika l-bidla fl-imġiba, fejn rilevanti għal kull kategorija ta’ benefiċjarju, abbażi ta’</w:t>
      </w:r>
      <w:bookmarkEnd w:id="3"/>
      <w:r w:rsidRPr="00571002">
        <w:rPr>
          <w:noProof/>
        </w:rPr>
        <w:t xml:space="preserve">:  </w:t>
      </w:r>
    </w:p>
    <w:p w14:paraId="2B7D4109" w14:textId="77777777" w:rsidR="00C737F1" w:rsidRPr="00571002" w:rsidRDefault="00C737F1" w:rsidP="00C737F1">
      <w:pPr>
        <w:pStyle w:val="Point1letter"/>
        <w:numPr>
          <w:ilvl w:val="3"/>
          <w:numId w:val="38"/>
        </w:numPr>
        <w:rPr>
          <w:noProof/>
        </w:rPr>
      </w:pPr>
      <w:r w:rsidRPr="00571002">
        <w:rPr>
          <w:noProof/>
        </w:rPr>
        <w:t>il-proġett ta’ referenza rispettiv</w:t>
      </w:r>
      <w:r w:rsidRPr="00571002">
        <w:rPr>
          <w:rStyle w:val="FootnoteReference"/>
          <w:noProof/>
        </w:rPr>
        <w:footnoteReference w:id="4"/>
      </w:r>
      <w:r w:rsidRPr="00571002">
        <w:rPr>
          <w:noProof/>
        </w:rPr>
        <w:t xml:space="preserve">, il-kontrofattwali korrispondenti u d-diskrepanza fil-finanzjament li tirriżulta </w:t>
      </w:r>
    </w:p>
    <w:p w14:paraId="7F34B714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4607F0A" w14:textId="77777777" w:rsidR="00C737F1" w:rsidRPr="00571002" w:rsidRDefault="00C737F1" w:rsidP="00C737F1">
      <w:pPr>
        <w:pStyle w:val="Text2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24F67761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evidenza kwantitattiva rilevanti bbażata fuq studji tas-suq, pjanijiet tal-investituri, rapporti finanzjarji, jew evidenza kwantitattiva oħra inklużi offerti magħmula għal proġetti simili fi proċessi ta’ offerti kompetittivi paragunabbli reċenti.</w:t>
      </w:r>
      <w:r w:rsidRPr="00571002">
        <w:rPr>
          <w:rStyle w:val="FootnoteReference"/>
          <w:noProof/>
        </w:rPr>
        <w:footnoteReference w:id="5"/>
      </w:r>
      <w:r w:rsidRPr="00571002">
        <w:rPr>
          <w:noProof/>
        </w:rPr>
        <w:t xml:space="preserve"> </w:t>
      </w:r>
    </w:p>
    <w:p w14:paraId="1E4E886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5D47C5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vvalutata l-konformità mal-punt 27 tas-CEEAG, jekk jogħġbok ipprovdi informazzjoni biex tikkonferma li </w:t>
      </w:r>
      <w:r w:rsidRPr="00571002">
        <w:rPr>
          <w:noProof/>
          <w:color w:val="000000"/>
          <w:shd w:val="clear" w:color="auto" w:fill="FFFFFF"/>
        </w:rPr>
        <w:t>l-għajnuna ma tappoġġax il-kostijiet ta’ attività li l-benefiċjarju tal-għajnuna xorta waħda kien iwettaq u ma tikkumpensax għar-riskju kummerċjali normali ta’ attività ekonomika</w:t>
      </w:r>
      <w:r w:rsidRPr="00571002">
        <w:rPr>
          <w:i/>
          <w:noProof/>
        </w:rPr>
        <w:t xml:space="preserve">. </w:t>
      </w:r>
    </w:p>
    <w:p w14:paraId="03B1E42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A8B676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bookmarkStart w:id="4" w:name="_Ref144118919"/>
      <w:r w:rsidRPr="00571002">
        <w:rPr>
          <w:noProof/>
        </w:rPr>
        <w:t>Sabiex turi l-konformità mal-punti 29 u 31 tas-CEEAG:</w:t>
      </w:r>
      <w:bookmarkEnd w:id="4"/>
    </w:p>
    <w:p w14:paraId="310A4763" w14:textId="77777777" w:rsidR="00C737F1" w:rsidRPr="00571002" w:rsidRDefault="00C737F1" w:rsidP="00C737F1">
      <w:pPr>
        <w:pStyle w:val="Point1letter"/>
        <w:numPr>
          <w:ilvl w:val="3"/>
          <w:numId w:val="29"/>
        </w:numPr>
        <w:rPr>
          <w:noProof/>
        </w:rPr>
      </w:pPr>
      <w:r w:rsidRPr="00571002">
        <w:rPr>
          <w:noProof/>
        </w:rPr>
        <w:t>Jekk jogħġbok ikkonferma li l-bidu tax-xogħlijiet fuq il-proġett jew l-attività ma seħħx qabel applikazzjoni bil-miktub għall-għajnuna mill-benefiċjarju lill-awtoritajiet nazzjonali;</w:t>
      </w:r>
    </w:p>
    <w:p w14:paraId="7261758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FE7CB90" w14:textId="77777777" w:rsidR="00C737F1" w:rsidRPr="00571002" w:rsidRDefault="00C737F1" w:rsidP="00C737F1">
      <w:pPr>
        <w:pStyle w:val="Text2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1A791A46" w14:textId="77777777" w:rsidR="00C737F1" w:rsidRPr="00571002" w:rsidRDefault="00C737F1" w:rsidP="00C737F1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 xml:space="preserve">Għall-proġetti li bdew qabel l-applikazzjoni għall-għajnuna, jekk jogħġbok uri li l-proġett jaqa’ f’wieħed mill-każijiet eċċezzjonali pprovduti fil-punt 31 tas-CEEAG ((a), (b) jew (c)). </w:t>
      </w:r>
    </w:p>
    <w:p w14:paraId="32F1A36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B178F0B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mal-punt 30 tas-CEEAG, jekk jogħġbok ikkonferma li l-applikazzjoni għall-għajnuna tinkludi mill-inqas l-isem tal-applikant, deskrizzjoni tal-proġett jew l-attività, inkluż il-post, u l-ammont tal-għajnuna meħtieġa biex jitwettqu.</w:t>
      </w:r>
    </w:p>
    <w:p w14:paraId="51D7A244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878DB8D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mal-punti 32, 232 u 233 tas-CEEAG:</w:t>
      </w:r>
    </w:p>
    <w:p w14:paraId="2F8B89B0" w14:textId="77777777" w:rsidR="00C737F1" w:rsidRPr="00571002" w:rsidRDefault="00C737F1" w:rsidP="00C737F1">
      <w:pPr>
        <w:pStyle w:val="Point1letter"/>
        <w:numPr>
          <w:ilvl w:val="3"/>
          <w:numId w:val="30"/>
        </w:numPr>
        <w:rPr>
          <w:noProof/>
        </w:rPr>
      </w:pPr>
      <w:r w:rsidRPr="00571002">
        <w:rPr>
          <w:noProof/>
        </w:rPr>
        <w:lastRenderedPageBreak/>
        <w:t>Jekk jogħġbok indika jekk hemmx standards tal-Unjoni</w:t>
      </w:r>
      <w:r w:rsidRPr="00571002">
        <w:rPr>
          <w:rStyle w:val="FootnoteReference"/>
          <w:noProof/>
          <w:lang w:eastAsia="en-GB"/>
        </w:rPr>
        <w:footnoteReference w:id="6"/>
      </w:r>
      <w:r w:rsidRPr="00571002">
        <w:rPr>
          <w:noProof/>
        </w:rPr>
        <w:t xml:space="preserve"> li japplikaw għall-miżura/i notifikata/i, standards nazzjonali obbligatorji li huma aktar stretti jew ambizzjużi mill-istandards korrispondenti tal-Unjoni, jew standards nazzjonali obbligatorji adottati fin-nuqqas ta’ standards tal-Unjoni; </w:t>
      </w:r>
    </w:p>
    <w:p w14:paraId="172DFA22" w14:textId="77777777" w:rsidR="00C737F1" w:rsidRPr="00571002" w:rsidRDefault="00C737F1" w:rsidP="00C737F1">
      <w:pPr>
        <w:pStyle w:val="Text2"/>
        <w:rPr>
          <w:noProof/>
        </w:rPr>
      </w:pPr>
      <w:r w:rsidRPr="00571002">
        <w:rPr>
          <w:noProof/>
        </w:rPr>
        <w:t xml:space="preserve">F’dak il-kuntest, jekk jogħġbok ipprovdi informazzjoni biex turi l-effett ta’ inċentiv. </w:t>
      </w:r>
    </w:p>
    <w:p w14:paraId="59E1B1F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275DCE6" w14:textId="77777777" w:rsidR="00C737F1" w:rsidRPr="00571002" w:rsidRDefault="00C737F1" w:rsidP="00C737F1">
      <w:pPr>
        <w:pStyle w:val="Point1letter"/>
        <w:numPr>
          <w:ilvl w:val="3"/>
          <w:numId w:val="30"/>
        </w:numPr>
        <w:rPr>
          <w:noProof/>
        </w:rPr>
      </w:pPr>
      <w:r w:rsidRPr="00571002">
        <w:rPr>
          <w:noProof/>
        </w:rPr>
        <w:t xml:space="preserve">F’każijiet fejn l-istandard rilevanti tal-Unjoni jkun diġà ġie adottat iżda jkun għadu mhux fis-seħħ, jekk jogħġbok uri li l-għajnuna għandha l-effett ta’ inċentiv għaliex tinċentiva l-investiment li għandu jiġi implimentat u ffinalizzat mill-inqas 18-il xahar qabel ma l-istandard jidħol fis-seħħ f’konformità mal-punt 233 tas-CEEAG. </w:t>
      </w:r>
    </w:p>
    <w:p w14:paraId="3EA840E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CF3749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mat-Taqsima 4.4.3 tas-CEEAG, jekk jogħġbok indika jekk il-proġetti b’perjodu ta’ ħlas lura ta’ inqas minn 5 snin humiex eliġibbli għall-għajnuna taħt il-miżura ta’ għajnuna. Jekk dan huwa l-każ, spjega għaliex dik l-għajnuna hija meħtieġa biex tiskatta bidla fl-imġiba f’konformità mal-punt 231 tas-CEEAG.</w:t>
      </w:r>
    </w:p>
    <w:p w14:paraId="4388C30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0AF101A" w14:textId="77777777" w:rsidR="00C737F1" w:rsidRPr="00571002" w:rsidRDefault="00C737F1" w:rsidP="00C737F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Ebda ksur ta’ ebda dispożizzjoni rilevanti tad-dritt tal-Unjoni</w:t>
      </w:r>
    </w:p>
    <w:p w14:paraId="07099B80" w14:textId="77777777" w:rsidR="00C737F1" w:rsidRPr="00571002" w:rsidRDefault="00C737F1" w:rsidP="00C737F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3.1.3 (il-punt 33) tas-CEEAG. </w:t>
      </w:r>
    </w:p>
    <w:p w14:paraId="169F404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ipprovdi informazzjoni biex tikkonferma l-konformità mad-dispożizzjonijiet rilevanti tad-dritt tal-UE, f’konformità mal-punt 33 tas-CEEAG.</w:t>
      </w:r>
    </w:p>
    <w:p w14:paraId="76711E1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C9CF4DB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  <w:color w:val="000000"/>
        </w:rPr>
      </w:pPr>
      <w:r w:rsidRPr="00571002">
        <w:rPr>
          <w:noProof/>
        </w:rPr>
        <w:t>Jekk tintuża imposta biex tiffinanzja l-miżura/i, jekk jogħġbok iċċara jekk hemmx bżonn li titwettaq il-valutazzjoni tal-konformità mal-Artikoli 30 u 110 tat-Trattat. Jekk iva, jekk jogħġbok uri kif il-miżura tikkonforma mad-dispożizzjonijiet tal-Artikoli 30 u 110 tat-Trattat.</w:t>
      </w:r>
      <w:r w:rsidRPr="00571002">
        <w:rPr>
          <w:i/>
          <w:noProof/>
        </w:rPr>
        <w:t xml:space="preserve"> </w:t>
      </w:r>
      <w:r w:rsidRPr="00571002">
        <w:rPr>
          <w:noProof/>
        </w:rPr>
        <w:t>F’dan il-kuntest, tista’ ssir referenza għall-informazzjoni ppreżentata taħt il-mistoqsija 5.2 ta’ hawn fuq, fejn il-miżura/i notifikata/i hija/huma ffinanzjata/i permezz ta’ imposta.</w:t>
      </w:r>
    </w:p>
    <w:p w14:paraId="5C6A69EC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796E6004" w14:textId="77777777" w:rsidR="00C737F1" w:rsidRPr="00571002" w:rsidRDefault="00C737F1" w:rsidP="00C737F1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lastRenderedPageBreak/>
        <w:t>Kundizzjoni negattiva: l-għajnuna ma tistax taffettwa b’mod mhux xieraq il-kundizzjonijiet tal-kummerċ sa punt li jmur kontra l-interess komuni</w:t>
      </w:r>
    </w:p>
    <w:p w14:paraId="1A667F21" w14:textId="77777777" w:rsidR="00C737F1" w:rsidRPr="00571002" w:rsidRDefault="00C737F1" w:rsidP="00C737F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Minimizzazzjoni tad-distorsjonijiet tal-kompetizzjoni u tal-kummerċ</w:t>
      </w:r>
    </w:p>
    <w:p w14:paraId="6927CA43" w14:textId="77777777" w:rsidR="00C737F1" w:rsidRPr="00571002" w:rsidRDefault="00C737F1" w:rsidP="00C737F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Neċessità tal-għajnuna</w:t>
      </w:r>
    </w:p>
    <w:p w14:paraId="36874BCD" w14:textId="77777777" w:rsidR="00C737F1" w:rsidRPr="00571002" w:rsidRDefault="00C737F1" w:rsidP="00C737F1">
      <w:pPr>
        <w:spacing w:before="360"/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3.2.1.1 (il-punti 34-38) u t-Taqsima 4.4.4.1 (il-punti 234-236) tas-CEEAG. </w:t>
      </w:r>
    </w:p>
    <w:p w14:paraId="7F73BAAE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i/>
          <w:noProof/>
        </w:rPr>
      </w:pPr>
      <w:r w:rsidRPr="00571002">
        <w:rPr>
          <w:noProof/>
          <w:shd w:val="clear" w:color="auto" w:fill="FFFFFF"/>
        </w:rPr>
        <w:t>Jekk jogħġbok</w:t>
      </w:r>
      <w:r w:rsidRPr="00571002">
        <w:rPr>
          <w:noProof/>
        </w:rPr>
        <w:t xml:space="preserve"> spjega </w:t>
      </w:r>
      <w:r w:rsidRPr="00571002">
        <w:rPr>
          <w:noProof/>
          <w:shd w:val="clear" w:color="auto" w:fill="FFFFFF"/>
        </w:rPr>
        <w:t>liema falliment</w:t>
      </w:r>
      <w:r w:rsidRPr="00571002">
        <w:rPr>
          <w:noProof/>
          <w:u w:val="single"/>
          <w:shd w:val="clear" w:color="auto" w:fill="FFFFFF"/>
        </w:rPr>
        <w:t>(</w:t>
      </w:r>
      <w:r w:rsidRPr="00571002">
        <w:rPr>
          <w:noProof/>
          <w:shd w:val="clear" w:color="auto" w:fill="FFFFFF"/>
        </w:rPr>
        <w:t>i</w:t>
      </w:r>
      <w:r w:rsidRPr="00571002">
        <w:rPr>
          <w:noProof/>
          <w:u w:val="single"/>
          <w:shd w:val="clear" w:color="auto" w:fill="FFFFFF"/>
        </w:rPr>
        <w:t>)</w:t>
      </w:r>
      <w:r w:rsidRPr="00571002">
        <w:rPr>
          <w:noProof/>
          <w:shd w:val="clear" w:color="auto" w:fill="FFFFFF"/>
        </w:rPr>
        <w:t>tas-suq identifikaw</w:t>
      </w:r>
      <w:r w:rsidRPr="00571002">
        <w:rPr>
          <w:noProof/>
          <w:u w:val="single"/>
          <w:shd w:val="clear" w:color="auto" w:fill="FFFFFF"/>
        </w:rPr>
        <w:t xml:space="preserve"> </w:t>
      </w:r>
      <w:r w:rsidRPr="00571002">
        <w:rPr>
          <w:noProof/>
          <w:shd w:val="clear" w:color="auto" w:fill="FFFFFF"/>
        </w:rPr>
        <w:t>l-awtoritajiet tiegħek li jipprevjeni/u l-ilħuq ta’ livell suffiċjenti ta’ ħarsien tal-ambjent. Jekk jogħġbok speċifika f’liema kategorija  jaqgħu l-fallimenti tas-suq identifikati, billi tagħmel referenza għall-ittri (a), (b), (c) jew (d) tal-punt 34 tas-CEEAG. </w:t>
      </w:r>
    </w:p>
    <w:p w14:paraId="15CDA2C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CEB09B6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F’</w:t>
      </w:r>
      <w:r w:rsidRPr="00571002">
        <w:rPr>
          <w:noProof/>
          <w:color w:val="000000"/>
          <w:shd w:val="clear" w:color="auto" w:fill="FFFFFF"/>
        </w:rPr>
        <w:t>konformità</w:t>
      </w:r>
      <w:r w:rsidRPr="00571002">
        <w:rPr>
          <w:noProof/>
        </w:rPr>
        <w:t xml:space="preserve"> mal-punt 35 tas-CEEAG, jekk jogħġbok ipprovdi informazzjoni dwar </w:t>
      </w:r>
      <w:r w:rsidRPr="00571002">
        <w:rPr>
          <w:noProof/>
          <w:shd w:val="clear" w:color="auto" w:fill="FFFFFF"/>
        </w:rPr>
        <w:t xml:space="preserve">kwalunkwe politika u </w:t>
      </w:r>
      <w:r w:rsidRPr="00571002">
        <w:rPr>
          <w:noProof/>
        </w:rPr>
        <w:t xml:space="preserve">miżura eżistenti </w:t>
      </w:r>
      <w:r w:rsidRPr="00571002">
        <w:rPr>
          <w:noProof/>
          <w:shd w:val="clear" w:color="auto" w:fill="FFFFFF"/>
        </w:rPr>
        <w:t>li l-awtoritajiet tiegħek identifikaw, li diġà għandhom fil-mira l-fallimenti regolatorji jew tas-suq identifikati.</w:t>
      </w:r>
      <w:r w:rsidRPr="00571002">
        <w:rPr>
          <w:noProof/>
        </w:rPr>
        <w:t> </w:t>
      </w:r>
    </w:p>
    <w:p w14:paraId="2FE034E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75B4F93" w14:textId="77777777" w:rsidR="00C737F1" w:rsidRPr="00571002" w:rsidRDefault="00C737F1" w:rsidP="00C737F1">
      <w:pPr>
        <w:pStyle w:val="NumPar1"/>
        <w:numPr>
          <w:ilvl w:val="0"/>
          <w:numId w:val="19"/>
        </w:numPr>
        <w:rPr>
          <w:rFonts w:ascii="Segoe UI" w:hAnsi="Segoe UI" w:cs="Segoe UI"/>
          <w:noProof/>
          <w:sz w:val="18"/>
          <w:szCs w:val="18"/>
        </w:rPr>
      </w:pPr>
      <w:r w:rsidRPr="00571002">
        <w:rPr>
          <w:noProof/>
          <w:shd w:val="clear" w:color="auto" w:fill="FFFFFF"/>
        </w:rPr>
        <w:t>Sabiex</w:t>
      </w:r>
      <w:r w:rsidRPr="00571002">
        <w:rPr>
          <w:noProof/>
        </w:rPr>
        <w:t xml:space="preserve"> </w:t>
      </w:r>
      <w:r w:rsidRPr="00571002">
        <w:rPr>
          <w:noProof/>
          <w:color w:val="000000"/>
          <w:shd w:val="clear" w:color="auto" w:fill="FFFFFF"/>
        </w:rPr>
        <w:t>turi</w:t>
      </w:r>
      <w:r w:rsidRPr="00571002">
        <w:rPr>
          <w:noProof/>
        </w:rPr>
        <w:t xml:space="preserve"> l-konformità mal-punt 36 tas-CEEAG, jekk jogħġbok ipprovdi </w:t>
      </w:r>
      <w:r w:rsidRPr="00571002">
        <w:rPr>
          <w:noProof/>
          <w:shd w:val="clear" w:color="auto" w:fill="FFFFFF"/>
        </w:rPr>
        <w:t xml:space="preserve">informazzjoni </w:t>
      </w:r>
      <w:r w:rsidRPr="00571002">
        <w:rPr>
          <w:noProof/>
        </w:rPr>
        <w:t xml:space="preserve">li </w:t>
      </w:r>
      <w:r w:rsidRPr="00571002">
        <w:rPr>
          <w:noProof/>
          <w:color w:val="000000"/>
          <w:shd w:val="clear" w:color="auto" w:fill="FFFFFF"/>
        </w:rPr>
        <w:t xml:space="preserve">turi </w:t>
      </w:r>
      <w:r w:rsidRPr="00571002">
        <w:rPr>
          <w:noProof/>
        </w:rPr>
        <w:t xml:space="preserve">li l-għajnuna għandha fil-mira b’mod effettiv il-fallimenti residwi tas-suq, filwaqt li tqis ukoll </w:t>
      </w:r>
      <w:r w:rsidRPr="00571002">
        <w:rPr>
          <w:noProof/>
          <w:shd w:val="clear" w:color="auto" w:fill="FFFFFF"/>
        </w:rPr>
        <w:t>kwalunkwe</w:t>
      </w:r>
      <w:r w:rsidRPr="00571002">
        <w:rPr>
          <w:noProof/>
        </w:rPr>
        <w:t xml:space="preserve"> politika u miżura oħra diġà fis-seħħ biex tindirizza wħud mill-fallimenti tas-suq identifikati.  </w:t>
      </w:r>
    </w:p>
    <w:p w14:paraId="15088E53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448CA6A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turi l-konformità mal-punt 37 tas-CEEAG, jekk jogħġbok spjega jekk, sa fejn jafu l-awtoritajiet tiegħek, </w:t>
      </w:r>
      <w:r w:rsidRPr="00571002">
        <w:rPr>
          <w:noProof/>
          <w:color w:val="000000"/>
          <w:shd w:val="clear" w:color="auto" w:fill="FFFFFF"/>
        </w:rPr>
        <w:t xml:space="preserve">proġetti jew attivitajiet </w:t>
      </w:r>
      <w:r w:rsidRPr="00571002">
        <w:rPr>
          <w:noProof/>
        </w:rPr>
        <w:t xml:space="preserve">simili għal dawk </w:t>
      </w:r>
      <w:r w:rsidRPr="00571002">
        <w:rPr>
          <w:noProof/>
          <w:color w:val="000000"/>
          <w:shd w:val="clear" w:color="auto" w:fill="FFFFFF"/>
        </w:rPr>
        <w:t>koperti mill-</w:t>
      </w:r>
      <w:r w:rsidRPr="00571002">
        <w:rPr>
          <w:noProof/>
        </w:rPr>
        <w:t xml:space="preserve">miżura/i notifikata/i </w:t>
      </w:r>
      <w:r w:rsidRPr="00571002">
        <w:rPr>
          <w:noProof/>
          <w:shd w:val="clear" w:color="auto" w:fill="FFFFFF"/>
        </w:rPr>
        <w:t>fir-rigward tal-</w:t>
      </w:r>
      <w:r w:rsidRPr="00571002">
        <w:rPr>
          <w:noProof/>
          <w:color w:val="000000"/>
          <w:shd w:val="clear" w:color="auto" w:fill="FFFFFF"/>
        </w:rPr>
        <w:t>kontenut teknoloġiku, il-livell ta’ riskju u d-daqs tagħhom, humiex diġà mwassla fl-Unjoni bil-kundizzjonijiet tas-suq</w:t>
      </w:r>
      <w:r w:rsidRPr="00571002">
        <w:rPr>
          <w:noProof/>
        </w:rPr>
        <w:t>. Jekk iva, jekk jogħġbok ipprovdi evidenza ulterjuri biex turi l-ħtieġa għal għajnuna mill-Istat. </w:t>
      </w:r>
    </w:p>
    <w:p w14:paraId="778A0A3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B5D0CC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turi l-konformità mal-punt 38 tas-CEEAG, jekk jogħġbok irreferi għall-evidenza kwantitattiva </w:t>
      </w:r>
      <w:r w:rsidRPr="00571002">
        <w:rPr>
          <w:noProof/>
          <w:color w:val="000000"/>
          <w:shd w:val="clear" w:color="auto" w:fill="FFFFFF"/>
        </w:rPr>
        <w:t>diġà</w:t>
      </w:r>
      <w:r w:rsidRPr="00571002">
        <w:rPr>
          <w:noProof/>
        </w:rPr>
        <w:t xml:space="preserve"> pprovduta fil-mistoqsija 15 ta’ hawn fuq. </w:t>
      </w:r>
    </w:p>
    <w:p w14:paraId="2B17D13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BC2F4AA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Barra minn hekk, jekk jogħġbok iddeskrivi, f’konformità mal-punt 235 tas-CEEAG, x’inhuma l-</w:t>
      </w:r>
      <w:r w:rsidRPr="00571002">
        <w:rPr>
          <w:noProof/>
          <w:color w:val="000000"/>
          <w:shd w:val="clear" w:color="auto" w:fill="FFFFFF"/>
        </w:rPr>
        <w:t>prattiki</w:t>
      </w:r>
      <w:r w:rsidRPr="00571002">
        <w:rPr>
          <w:noProof/>
        </w:rPr>
        <w:t xml:space="preserve"> kummerċjali stabbiliti fis-settur ikkonċernat u uri li l-proġett imur lil hinn minn dawn il-prattiki kummerċjali stabbiliti ġeneralment applikati fl-Unjoni u fost it-teknoloġiji.</w:t>
      </w:r>
    </w:p>
    <w:p w14:paraId="1130FFF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FD96BC6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mal-punt 236 tas-CEEAG:</w:t>
      </w:r>
    </w:p>
    <w:p w14:paraId="73083CC1" w14:textId="77777777" w:rsidR="00C737F1" w:rsidRPr="00571002" w:rsidRDefault="00C737F1" w:rsidP="00C737F1">
      <w:pPr>
        <w:pStyle w:val="Point1letter"/>
        <w:numPr>
          <w:ilvl w:val="3"/>
          <w:numId w:val="48"/>
        </w:numPr>
        <w:rPr>
          <w:noProof/>
        </w:rPr>
      </w:pPr>
      <w:r w:rsidRPr="00571002">
        <w:rPr>
          <w:noProof/>
        </w:rPr>
        <w:lastRenderedPageBreak/>
        <w:t>Fil-każ ta’ għajnuna għall-ġbir separat u s-separazzjoni tal-iskart jew ta’ prodotti, materjali jew sustanzi oħra, jekk jogħġbok uri li tali ġbir separat u separazzjoni huma sottożviluppati fl-Istat Membru tiegħek</w:t>
      </w:r>
      <w:r w:rsidRPr="00571002">
        <w:rPr>
          <w:rStyle w:val="FootnoteReference"/>
          <w:noProof/>
        </w:rPr>
        <w:footnoteReference w:id="7"/>
      </w:r>
      <w:r w:rsidRPr="00571002">
        <w:rPr>
          <w:noProof/>
        </w:rPr>
        <w:t xml:space="preserve">. </w:t>
      </w:r>
    </w:p>
    <w:p w14:paraId="1E0FB04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AEB3AEF" w14:textId="77777777" w:rsidR="00C737F1" w:rsidRPr="00571002" w:rsidRDefault="00C737F1" w:rsidP="00C737F1">
      <w:pPr>
        <w:pStyle w:val="Point1letter"/>
        <w:numPr>
          <w:ilvl w:val="3"/>
          <w:numId w:val="48"/>
        </w:numPr>
        <w:rPr>
          <w:noProof/>
        </w:rPr>
      </w:pPr>
      <w:r w:rsidRPr="00571002">
        <w:rPr>
          <w:noProof/>
        </w:rPr>
        <w:t xml:space="preserve">Fil-każ li tingħata għajnuna biex jiġu koperti l-kostijiet, jekk jogħġbok uri li din l-għajnuna hija meħtieġa matul perjodu tranżitorju biex jiġi ffaċilitat l-iżvilupp ta’ attivitajiet relatati mal-ġbir separat u s-separazzjoni tal-iskart. Jekk jogħġbok ikkunsidra kwalunkwe obbligu ta’ impriżi taħt skemi ta’ responsabbiltà estiża tal-produttur, li jista’ jkun li implimentajt skont l-Artikolu 8 tad-Direttiva 2008/98/KE. </w:t>
      </w:r>
    </w:p>
    <w:p w14:paraId="0D40CF2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A58977D" w14:textId="77777777" w:rsidR="00C737F1" w:rsidRPr="00571002" w:rsidRDefault="00C737F1" w:rsidP="00C737F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Adegwatezza</w:t>
      </w:r>
    </w:p>
    <w:p w14:paraId="03B85B59" w14:textId="77777777" w:rsidR="00C737F1" w:rsidRPr="00571002" w:rsidRDefault="00C737F1" w:rsidP="00C737F1">
      <w:pPr>
        <w:spacing w:before="360"/>
        <w:rPr>
          <w:i/>
          <w:noProof/>
          <w:color w:val="000000"/>
        </w:rPr>
      </w:pPr>
      <w:r w:rsidRPr="00571002">
        <w:rPr>
          <w:i/>
          <w:noProof/>
        </w:rPr>
        <w:t>Biex tipprovdi l-informazzjoni f’din it-Taqsima, jekk jogħġbok irreferi għat-Taqsima 3.2.1.2 (il-punti 39-46) u t-Taqsima 4.4.4.2 (il-punt 238) tas-CEEAG.</w:t>
      </w:r>
      <w:r w:rsidRPr="00571002">
        <w:rPr>
          <w:i/>
          <w:noProof/>
          <w:color w:val="000000"/>
        </w:rPr>
        <w:t xml:space="preserve"> </w:t>
      </w:r>
    </w:p>
    <w:p w14:paraId="52951D01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40 tas-CEEAG, jekk jogħġbok uri li ma hemmx strumenti inqas distorsivi disponibbli li huma aktar xierqa. </w:t>
      </w:r>
    </w:p>
    <w:p w14:paraId="3D8687A1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41 tas-CEEAG, jekk jogħġbok uri li l-miżura ta’ għajnuna hija mfassla b’tali mod li ma ddgħajjifx l-effiċjenza ta’ miżuri oħra li jirrimedjaw l-istess falliment tas-suq, bħal mekkaniżmi bbażati fuq is-suq (pereżempju, l-EU ETS). </w:t>
      </w:r>
    </w:p>
    <w:p w14:paraId="6D0E0447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DC6FAFF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42 tas-CEEAG, jekk jogħġbok ikkonferma li l-ebda wieħed mill-benefiċjarji </w:t>
      </w:r>
      <w:r w:rsidRPr="00571002">
        <w:rPr>
          <w:noProof/>
          <w:shd w:val="clear" w:color="auto" w:fill="FFFFFF"/>
        </w:rPr>
        <w:t>tal-miżura/i ta’ għajnuna ma seta’ jinżamm responsabbli għat-tniġġis taħt id-dritt eżistenti tal-Unjoni jew nazzjonali (</w:t>
      </w:r>
      <w:r w:rsidRPr="00571002">
        <w:rPr>
          <w:i/>
          <w:noProof/>
          <w:shd w:val="clear" w:color="auto" w:fill="FFFFFF"/>
        </w:rPr>
        <w:t>il-prinċipju ta’</w:t>
      </w:r>
      <w:r w:rsidRPr="00571002">
        <w:rPr>
          <w:noProof/>
          <w:shd w:val="clear" w:color="auto" w:fill="FFFFFF"/>
        </w:rPr>
        <w:t xml:space="preserve"> </w:t>
      </w:r>
      <w:r w:rsidRPr="00571002">
        <w:rPr>
          <w:i/>
          <w:noProof/>
          <w:shd w:val="clear" w:color="auto" w:fill="FFFFFF"/>
        </w:rPr>
        <w:t>“min iniġġes iħallas”</w:t>
      </w:r>
      <w:r w:rsidRPr="00571002">
        <w:rPr>
          <w:noProof/>
          <w:shd w:val="clear" w:color="auto" w:fill="FFFFFF"/>
        </w:rPr>
        <w:t xml:space="preserve">). </w:t>
      </w:r>
    </w:p>
    <w:p w14:paraId="6597F55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1AC9368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 238 tas-CEEAG, jekk jogħġbok uri li l-għajnuna ma teħlisx lill-impriżi li jiġġeneraw l-iskart minn kwalunkwe kost jew obbligu relatat mat-trattament tal-iskart li huma responsabbli għalih skont il-liġi tal-Unjoni jew nazzjonali, inkluż taħt skemi ta’ responsabbiltà estiża tal-produttur; u dik l-għajnuna ma teħlisx lill-impriżi minn kostijiet li għandhom jitqiesu bħala kostijiet normali għal impriża.</w:t>
      </w:r>
    </w:p>
    <w:p w14:paraId="249FAD1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CC0EB15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mal-punti minn 43 sa 46 tas-CEEAG, biex turi l-adegwatezza tal-għajnuna fost strumenti ta’ għajnuna differenti, jekk jogħġbok ipprovdi l-informazzjoni li ġejja:  </w:t>
      </w:r>
    </w:p>
    <w:p w14:paraId="30074B4A" w14:textId="77777777" w:rsidR="00C737F1" w:rsidRPr="00571002" w:rsidRDefault="00C737F1" w:rsidP="00C737F1">
      <w:pPr>
        <w:pStyle w:val="Point1letter"/>
        <w:numPr>
          <w:ilvl w:val="3"/>
          <w:numId w:val="31"/>
        </w:numPr>
        <w:rPr>
          <w:noProof/>
        </w:rPr>
      </w:pPr>
      <w:r w:rsidRPr="00571002">
        <w:rPr>
          <w:noProof/>
        </w:rPr>
        <w:t>Jekk jogħġbok spjega għaliex forom oħra ta’ għajnuna potenzjalment inqas distorsivi huma inqas xierqa, kif meħtieġ fil-punt 44 tas-CEEAG. Forom ta’ għajnuna li jiġġeneraw inqas distorsjoni jistgħu jkunu</w:t>
      </w:r>
      <w:r w:rsidRPr="00571002">
        <w:rPr>
          <w:strike/>
          <w:noProof/>
        </w:rPr>
        <w:t xml:space="preserve"> </w:t>
      </w:r>
      <w:r w:rsidRPr="00571002">
        <w:rPr>
          <w:noProof/>
        </w:rPr>
        <w:t>avvanzi ripagabbli meta mqabbla ma’ għotjiet diretti; krediti ta’ taxxa meta mqabbel ma’ tnaqqis fit-</w:t>
      </w:r>
      <w:r w:rsidRPr="00571002">
        <w:rPr>
          <w:noProof/>
        </w:rPr>
        <w:lastRenderedPageBreak/>
        <w:t>taxxa; jew forom oħra ta’ għajnuna li huma bbażati fuq strumenti finanzjarji, bħal dejn, meta mqabbel ma’ strumenti ta’ ekwità, inkluż, pereżempju, self b’imgħax baxx jew tnaqqis tal-imgħax, garanziji tal-gvern, jew forniment ta’ finanzjament alternattiv b’termini favorevoli. </w:t>
      </w:r>
    </w:p>
    <w:p w14:paraId="22E0146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97A6D16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Jekk jogħġbok uri li l-għażla tal-istrument ta’ għajnuna hija xierqa għall-falliment tas-suq li l-miżura/i ta’ għajnuna għandha l-għan li tindirizza, kif meħtieġ fil-punt 45 tas-CEEAG. </w:t>
      </w:r>
    </w:p>
    <w:p w14:paraId="38B7A00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7835833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Jekk jogħġbok spjega kif</w:t>
      </w:r>
      <w:r w:rsidRPr="00571002">
        <w:rPr>
          <w:noProof/>
          <w:shd w:val="clear" w:color="auto" w:fill="FFFFFF"/>
        </w:rPr>
        <w:t xml:space="preserve"> </w:t>
      </w:r>
      <w:r w:rsidRPr="00571002">
        <w:rPr>
          <w:noProof/>
        </w:rPr>
        <w:t>il-</w:t>
      </w:r>
      <w:r w:rsidRPr="00571002">
        <w:rPr>
          <w:noProof/>
          <w:shd w:val="clear" w:color="auto" w:fill="FFFFFF"/>
        </w:rPr>
        <w:t>miżura ta’ għajnuna u t-tfassil tagħha huma xierqa biex jintlaħaq l-objettiv tal-miżura li għaliha hija mmirata l-għajnuna, kif meħtieġ fil-punt 46 tas-CEEAG.</w:t>
      </w:r>
      <w:r w:rsidRPr="00571002">
        <w:rPr>
          <w:noProof/>
        </w:rPr>
        <w:t>.  </w:t>
      </w:r>
    </w:p>
    <w:p w14:paraId="04DBA20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8E49A92" w14:textId="77777777" w:rsidR="00C737F1" w:rsidRPr="00571002" w:rsidRDefault="00C737F1" w:rsidP="00C737F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Proporzjonalità</w:t>
      </w:r>
    </w:p>
    <w:p w14:paraId="750AC8AC" w14:textId="77777777" w:rsidR="00C737F1" w:rsidRPr="00571002" w:rsidRDefault="00C737F1" w:rsidP="00C737F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għall-punti 239-244 tas-CEEAG. Jekk jogħġbok innota li </w:t>
      </w:r>
      <w:r w:rsidRPr="00571002">
        <w:rPr>
          <w:i/>
          <w:noProof/>
          <w:u w:val="single"/>
        </w:rPr>
        <w:t>t-tliet taqsimiet 2.1.3.1., 2.1.3.2. u 2.1.3.3. li ġejjin huma alternattivi.</w:t>
      </w:r>
      <w:r w:rsidRPr="00571002">
        <w:rPr>
          <w:i/>
          <w:noProof/>
        </w:rPr>
        <w:t xml:space="preserve"> Jekk jogħġbok ipprovdi biss it-tweġibiet għat-Taqsima applikabbli, skont it-tfassil tal-miżura proposta [għall-għajnuna operatorja għall-ġbir, ara t-Taqsima 2.1.3.3].</w:t>
      </w:r>
    </w:p>
    <w:p w14:paraId="39C17595" w14:textId="77777777" w:rsidR="00C737F1" w:rsidRPr="00571002" w:rsidRDefault="00C737F1" w:rsidP="00C737F1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Għajnuna abbażi tal-intensitajiet tal-għajnuna stabbiliti fil-punti 240-244 tas-CEEAG</w:t>
      </w:r>
    </w:p>
    <w:p w14:paraId="4DC89BC9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tiddeskrivi l-kostijiet eliġibbli skont il-punt 239 tas-CEEAG, jekk jogħġbok identifika l-kostijiet addizzjonali ta’ investiment marbuta direttament mal-kisba ta’ livell ogħla ta’ ħarsien tal-ambjent. </w:t>
      </w:r>
    </w:p>
    <w:p w14:paraId="240D52E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E312196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spjega kif se jiġu ddeterminati u vverifikati l-kostijiet tal-investiment tax-xenarji ekoloġiċi fattwali u kontrofattwali. </w:t>
      </w:r>
    </w:p>
    <w:p w14:paraId="2DE2328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9B990B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Għall-prodotti, is-sustanzi jew il-materjal li jikkostitwixxu skart sakemm ma jerġgħux jintużaw u ma jkun hemm l-ebda rekwiżit legali biex dawk il-prodotti, sustanzi jew materjali jintremew jew jiġu ttrattati mod ieħor, jekk jogħġbok ikkonferma li l-kostijiet eliġibbli jistgħu jikkorrispondu għall-investiment meħtieġ għall-irkupru tal-prodotti, is-sustanzi jew il-materjali kkonċernati. </w:t>
      </w:r>
    </w:p>
    <w:p w14:paraId="3EF1288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4AD76EC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bookmarkStart w:id="5" w:name="_Ref176356799"/>
      <w:r w:rsidRPr="00571002">
        <w:rPr>
          <w:noProof/>
        </w:rPr>
        <w:t>Jekk jogħġbok indika l-intensitajiet massimi tal-għajnuna li japplikaw skont il-miżura u indika jekk japplikawx xi bonusijiet (il-punti 241-244 tas-CEEAG).</w:t>
      </w:r>
      <w:bookmarkEnd w:id="5"/>
    </w:p>
    <w:p w14:paraId="4DB8236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bookmarkStart w:id="6" w:name="_Hlk144128720"/>
      <w:r w:rsidRPr="00571002">
        <w:rPr>
          <w:noProof/>
        </w:rPr>
        <w:tab/>
      </w:r>
    </w:p>
    <w:p w14:paraId="2C344227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Għall-attivitajiet ta’ ekoinnovazzjoni, jekk jogħġbok uri li l-kundizzjonijiet kumulattivi li ġejjin huma ssodisfati (il-punt 244 tas-CEEAG): </w:t>
      </w:r>
    </w:p>
    <w:p w14:paraId="6BDA8A10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lastRenderedPageBreak/>
        <w:t>L-attività tal-ekoinnovazzjoni tkun ġdida jew imtejba sostanzjalment meta mqabbla mal-ogħla livell ta’ żvilupp tekniku fl-industrija tagħha fl-Unjoni</w:t>
      </w:r>
      <w:r w:rsidRPr="00571002">
        <w:rPr>
          <w:rStyle w:val="FootnoteReference"/>
          <w:noProof/>
        </w:rPr>
        <w:footnoteReference w:id="8"/>
      </w:r>
      <w:r w:rsidRPr="00571002">
        <w:rPr>
          <w:noProof/>
        </w:rPr>
        <w:t>;</w:t>
      </w:r>
    </w:p>
    <w:p w14:paraId="39EF74FC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Il-benefiċċju ambjentali mistenni jrid ikun ferm ogħla mit-titjib li jirriżulta mill-evoluzzjoni ġenerali tax-xogħol kurrenti l-aktar avvanzat f’attivitajiet komparabbli</w:t>
      </w:r>
      <w:r w:rsidRPr="00571002">
        <w:rPr>
          <w:rStyle w:val="FootnoteReference"/>
          <w:noProof/>
        </w:rPr>
        <w:footnoteReference w:id="9"/>
      </w:r>
      <w:r w:rsidRPr="00571002">
        <w:rPr>
          <w:noProof/>
        </w:rPr>
        <w:t xml:space="preserve">; </w:t>
      </w:r>
    </w:p>
    <w:p w14:paraId="3267B40D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Il-karattru innovattiv tal-assi jew proġetti jinvolvi grad ċar ta’ riskju f’termini teknoloġiċi, tas-suq jew finanzjarji, li huwa ogħla mir-riskju ġeneralment assoċjat mal-assi jew il-proġetti innovattivi paragunabbli li mhumiex innovattivi</w:t>
      </w:r>
      <w:r w:rsidRPr="00571002">
        <w:rPr>
          <w:rStyle w:val="FootnoteReference"/>
          <w:noProof/>
        </w:rPr>
        <w:footnoteReference w:id="10"/>
      </w:r>
      <w:r w:rsidRPr="00571002">
        <w:rPr>
          <w:noProof/>
        </w:rPr>
        <w:t xml:space="preserve">. </w:t>
      </w:r>
    </w:p>
    <w:p w14:paraId="4F731BA8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DF8DA12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bookmarkStart w:id="7" w:name="_Ref164271075"/>
      <w:r w:rsidRPr="00571002">
        <w:rPr>
          <w:noProof/>
        </w:rPr>
        <w:t>Jekk b’deroga mill-punti 241-244 tas-CEEAG, jiġi kkunsidrat li tenħtieġ għajnuna lil hinn mill-intensitajiet massimi tal-għajnuna, jekk jogħġbok indika l-livell ta’ għajnuna kkunsidrata meħtieġa u ġġustifikaha fuq il-bażi ta’ analiżi tad-diskrepanza fil-finanzjament għall-proġetti ta’ referenza fix-xenarji fattwali u kontrofattwali kif identifikati bi tweġiba għall-mistoqsija 15 ta’ hawn fuq, f’konformità mal-punti 51-52 tas-CEEAG.</w:t>
      </w:r>
      <w:bookmarkEnd w:id="7"/>
      <w:r w:rsidRPr="00571002">
        <w:rPr>
          <w:noProof/>
        </w:rPr>
        <w:t xml:space="preserve"> </w:t>
      </w:r>
    </w:p>
    <w:p w14:paraId="1ED29672" w14:textId="77777777" w:rsidR="00C737F1" w:rsidRPr="00571002" w:rsidRDefault="00C737F1" w:rsidP="00C737F1">
      <w:pPr>
        <w:pStyle w:val="Text1"/>
        <w:rPr>
          <w:noProof/>
        </w:rPr>
      </w:pPr>
      <w:r w:rsidRPr="00571002">
        <w:rPr>
          <w:noProof/>
        </w:rPr>
        <w:t>Għal din l-analiżi tad-diskrepanza fil-finanzjament, jekk jogħġbok ippreżenta kwantifikazzjoni, għax-xenarju/i fattwali u xenarju/i kontrofattwali realistiċi</w:t>
      </w:r>
      <w:r w:rsidRPr="00571002">
        <w:rPr>
          <w:rStyle w:val="FootnoteReference"/>
          <w:noProof/>
        </w:rPr>
        <w:footnoteReference w:id="11"/>
      </w:r>
      <w:r w:rsidRPr="00571002">
        <w:rPr>
          <w:noProof/>
        </w:rPr>
        <w:t xml:space="preserve"> identifikati bi tweġiba għall-mistoqsija 15 ta’ hawn fuq, tal-kostijiet u d-dħul ewlenin kollha, tal-kost medju ponderat tal-kapital (WACC) stmat tal-benefiċjarji (jew proġetti ta’ referenza) biex jiġu skontati l-flussi futuri tal-flus, kif ukoll tal-valur preżenti nett (VPN) għax-xenarji fattwali u kontrofattwali, tul il-ħajja tal-proġett/tal-proġett ta’ referenza. </w:t>
      </w:r>
    </w:p>
    <w:p w14:paraId="0FE245D8" w14:textId="77777777" w:rsidR="00C737F1" w:rsidRPr="00571002" w:rsidRDefault="00C737F1" w:rsidP="00C737F1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 xml:space="preserve">Jekk jogħġbok ipprovdi dan f’Anness għal din il-formola ta’ notifika (billi tuża fajl Excel </w:t>
      </w:r>
      <w:r w:rsidRPr="00571002">
        <w:rPr>
          <w:noProof/>
          <w:shd w:val="clear" w:color="auto" w:fill="FFFFFF"/>
        </w:rPr>
        <w:t>fejn il-formuli kollha huma viżibbli</w:t>
      </w:r>
      <w:r w:rsidRPr="00571002">
        <w:rPr>
          <w:noProof/>
        </w:rPr>
        <w:t xml:space="preserve">). </w:t>
      </w:r>
    </w:p>
    <w:p w14:paraId="769E2C4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D16BF6C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 xml:space="preserve">Jekk jogħġbok inkludi informazzjoni dettaljata dwar is-suppożizzjonijiet, il-metodoloġiji, ir-raġunament u s-sorsi sottostanti tagħhom, użati għal kull aspett tal-kwantifikazzjoni tal-kostijiet u d-dħul fix-xenarju fattwali u x-xenarju kontrofattwali probabbli (pereżempju inkludi s-suppożizzjonijiet użati biex jiġu </w:t>
      </w:r>
      <w:r w:rsidRPr="00571002">
        <w:rPr>
          <w:noProof/>
        </w:rPr>
        <w:lastRenderedPageBreak/>
        <w:t>żviluppati dawk ix-xenarji u s-sors/ir-raġunament għal dawn is-suppożizzjonijiet).</w:t>
      </w:r>
    </w:p>
    <w:p w14:paraId="5CBA5B4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44D038A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>Għal każijiet ta’ għajnuna u skemi individwali li jkunu ta’ benefiċċju għal għadd partikolarment limitat ta’ benefiċjarji, jeħtieġ li l-Istat Membru jippreżenta l-evidenza ta’ sostenn fil-livell tal-pjan dettaljat tan-negozju tal-proġett.</w:t>
      </w:r>
    </w:p>
    <w:p w14:paraId="498DC748" w14:textId="77777777" w:rsidR="00C737F1" w:rsidRPr="00571002" w:rsidRDefault="00C737F1" w:rsidP="00C737F1">
      <w:pPr>
        <w:pStyle w:val="Text2"/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 xml:space="preserve">Għal każijiet ta’ skemi ta’ għajnuna, l-Istat Membru jeħtieġ li jippreżenta </w:t>
      </w:r>
      <w:r w:rsidRPr="00571002">
        <w:rPr>
          <w:noProof/>
        </w:rPr>
        <w:t>l-evidenza</w:t>
      </w:r>
      <w:r w:rsidRPr="00571002">
        <w:rPr>
          <w:noProof/>
          <w:shd w:val="clear" w:color="auto" w:fill="FFFFFF"/>
        </w:rPr>
        <w:t xml:space="preserve"> ta’ sostenn fuq il-bażi ta’ proġett ta’ referenza wieħed jew aktar.</w:t>
      </w:r>
    </w:p>
    <w:p w14:paraId="5F2302A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D289C6C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 xml:space="preserve">Ma’ din il-formola ta’ notifika tista’ tehmeż ukoll id-dokumenti msemmija fin-nota 39 f’qiegħ il-paġna tas-CEEAG. Id-dokumenti tal-Bord jistgħu jkunu partikolarment utli għal miżuri jew skemi ta’ għajnuna individwali li jkunu ta’ benefiċċju għal għadd partikolarment limitat ta’ benefiċjarji. Jekk tali dokumenti jkunu mehmuża mal-formola ta’ notifika, jekk jogħġbok ipprovdi hawn taħt lista ta’ dawk id-dokumenti, </w:t>
      </w:r>
      <w:r w:rsidRPr="00571002">
        <w:rPr>
          <w:noProof/>
          <w:shd w:val="clear" w:color="auto" w:fill="FFFFFF"/>
        </w:rPr>
        <w:t>filwaqt li tispeċifika</w:t>
      </w:r>
      <w:r w:rsidRPr="00571002">
        <w:rPr>
          <w:noProof/>
        </w:rPr>
        <w:t xml:space="preserve"> l-awtur, id-data meta ġew abbozzati u l-kuntest meta ntużaw.</w:t>
      </w:r>
    </w:p>
    <w:p w14:paraId="7A05D57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4CDA33B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uri wkoll li l-applikazzjoni ta’ għajnuna ogħla ddeterminata kif indikat fil-mistoqsija 40 ma tirriżultax f’għajnuna li taqbeż id-diskrepanza fil-finanzjament.  </w:t>
      </w:r>
    </w:p>
    <w:p w14:paraId="69FE70B5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136B44E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F’każ li l-punt 52 tas-CEEAG ikun applikabbli, jiġifieri </w:t>
      </w:r>
      <w:r w:rsidRPr="00571002">
        <w:rPr>
          <w:noProof/>
          <w:shd w:val="clear" w:color="auto" w:fill="FFFFFF"/>
        </w:rPr>
        <w:t xml:space="preserve">x-xenarju kontrofattwali l-aktar probabbli jikkonsisti </w:t>
      </w:r>
      <w:r w:rsidRPr="00571002">
        <w:rPr>
          <w:noProof/>
        </w:rPr>
        <w:t>fil-fatt li</w:t>
      </w:r>
      <w:r w:rsidRPr="00571002">
        <w:rPr>
          <w:noProof/>
          <w:shd w:val="clear" w:color="auto" w:fill="FFFFFF"/>
        </w:rPr>
        <w:t xml:space="preserve"> l-benefiċjarju ma jwettaqx attività jew investiment, jew </w:t>
      </w:r>
      <w:r w:rsidRPr="00571002">
        <w:rPr>
          <w:noProof/>
        </w:rPr>
        <w:t>ikompli</w:t>
      </w:r>
      <w:r w:rsidRPr="00571002">
        <w:rPr>
          <w:noProof/>
          <w:shd w:val="clear" w:color="auto" w:fill="FFFFFF"/>
        </w:rPr>
        <w:t xml:space="preserve"> n-negozju tiegħu mingħajr bidliet, </w:t>
      </w:r>
      <w:r w:rsidRPr="00571002">
        <w:rPr>
          <w:noProof/>
        </w:rPr>
        <w:t xml:space="preserve">jekk jogħġbok ipprovdi evidenza biex issostni din is-suppożizzjoni. </w:t>
      </w:r>
    </w:p>
    <w:p w14:paraId="0AB00B67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EB21396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F’konformità mal-punt 245 tas-CEEAG, jekk jogħġbok ikkonferma li jekk tkun rikjesta intensità tal-għajnuna ogħla </w:t>
      </w:r>
      <w:r w:rsidRPr="00571002">
        <w:rPr>
          <w:noProof/>
          <w:shd w:val="clear" w:color="auto" w:fill="FFFFFF"/>
        </w:rPr>
        <w:t xml:space="preserve">abbażi </w:t>
      </w:r>
      <w:r w:rsidRPr="00571002">
        <w:rPr>
          <w:noProof/>
        </w:rPr>
        <w:t xml:space="preserve">tal-mistoqsija 40, l-awtoritajiet tiegħek se jwettqu monitoraġġ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 biex jivverifikaw is-suppożizzjonijiet li saru dwar il-livell ta’ għajnuna meħtieġ u biex jistabbilixxu mekkaniżmu ta’ rkupru u jiddeskrivu l-mekkaniżmi ta’ monitoraġġ u ta’ rkupru li l-Istat Membru jkun biħsiebu jintroduċi. </w:t>
      </w:r>
    </w:p>
    <w:p w14:paraId="30A61891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bookmarkStart w:id="8" w:name="_Hlk161220755"/>
      <w:r w:rsidRPr="00571002">
        <w:rPr>
          <w:noProof/>
        </w:rPr>
        <w:tab/>
      </w:r>
      <w:bookmarkEnd w:id="8"/>
    </w:p>
    <w:bookmarkEnd w:id="6"/>
    <w:p w14:paraId="6F09398E" w14:textId="77777777" w:rsidR="00C737F1" w:rsidRPr="00571002" w:rsidRDefault="00C737F1" w:rsidP="00C737F1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Il-proporzjonalità tal-għajnuna mogħtija permezz ta’ proċess kompetittiv ta’ offerti</w:t>
      </w:r>
    </w:p>
    <w:p w14:paraId="4FF1F658" w14:textId="77777777" w:rsidR="00C737F1" w:rsidRPr="00571002" w:rsidRDefault="00C737F1" w:rsidP="00C737F1">
      <w:pPr>
        <w:pStyle w:val="ListParagraph"/>
        <w:ind w:left="0"/>
        <w:contextualSpacing w:val="0"/>
        <w:rPr>
          <w:noProof/>
        </w:rPr>
      </w:pPr>
      <w:r w:rsidRPr="00571002">
        <w:rPr>
          <w:i/>
          <w:noProof/>
        </w:rPr>
        <w:t>Biex tipprovdi l-informazzjoni f’din it-Taqsima, jekk jogħġbok irreferi għall-punti 49, 50 u 246 tas-CEEAG</w:t>
      </w:r>
      <w:r w:rsidRPr="00571002">
        <w:rPr>
          <w:noProof/>
        </w:rPr>
        <w:t>.</w:t>
      </w:r>
    </w:p>
    <w:p w14:paraId="10846E41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bookmarkStart w:id="9" w:name="_Ref166065980"/>
      <w:r w:rsidRPr="00571002">
        <w:rPr>
          <w:noProof/>
        </w:rPr>
        <w:t>Sabiex tiġi vverifikata l-konformità mal-punti 49, 50 u 246 tas-CEEAG, jekk jogħġbok ipprovdi dan li ġej:</w:t>
      </w:r>
      <w:bookmarkEnd w:id="9"/>
    </w:p>
    <w:p w14:paraId="438676C0" w14:textId="77777777" w:rsidR="00C737F1" w:rsidRPr="00571002" w:rsidRDefault="00C737F1" w:rsidP="00C737F1">
      <w:pPr>
        <w:pStyle w:val="Point1letter"/>
        <w:numPr>
          <w:ilvl w:val="3"/>
          <w:numId w:val="34"/>
        </w:numPr>
        <w:rPr>
          <w:noProof/>
        </w:rPr>
      </w:pPr>
      <w:r w:rsidRPr="00571002">
        <w:rPr>
          <w:noProof/>
        </w:rPr>
        <w:t xml:space="preserve">Jekk jogħġbok spjega kif l-awtoritajiet jiżguraw li l-proċess tal-offerti jkun miftuħ, ċar, trasparenti u mhux diskriminatorju, ibbażat fuq kriterji oġġettivi, definiti </w:t>
      </w:r>
      <w:r w:rsidRPr="00571002">
        <w:rPr>
          <w:i/>
          <w:noProof/>
        </w:rPr>
        <w:t>ex ante</w:t>
      </w:r>
      <w:r w:rsidRPr="00571002">
        <w:rPr>
          <w:noProof/>
        </w:rPr>
        <w:t xml:space="preserve"> f’konformità mal-objettiv tal-miżura u jimminimizza r-riskju ta’ offerti strateġiċi (il-punt 49(a) tas-CEEAG).</w:t>
      </w:r>
    </w:p>
    <w:p w14:paraId="1886740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91CEC14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lastRenderedPageBreak/>
        <w:t xml:space="preserve">Il-kriterji tal-għażla użati għall-klassifikazzjoni tal-offerti, u fl-aħħar mill-aħħar għall-identifikazzjoni tal-livell ta’ għajnuna fil-proċess kompetittiv ta’ offerti. B’mod aktar speċifiku: </w:t>
      </w:r>
    </w:p>
    <w:p w14:paraId="6599B16D" w14:textId="77777777" w:rsidR="00C737F1" w:rsidRPr="00571002" w:rsidRDefault="00C737F1" w:rsidP="00C737F1">
      <w:pPr>
        <w:pStyle w:val="Stylei"/>
        <w:numPr>
          <w:ilvl w:val="0"/>
          <w:numId w:val="35"/>
        </w:numPr>
        <w:rPr>
          <w:noProof/>
        </w:rPr>
      </w:pPr>
      <w:r w:rsidRPr="00571002">
        <w:rPr>
          <w:noProof/>
        </w:rPr>
        <w:t>Jekk jogħġbok ipprovdi l-lista tal-kriterji tal-għażla u speċifika liema minnhom huma/ma humiex direttament jew indirettament relatati mal-objettivi ewlenin tal-miżura/i. Jekk jogħġbok inkludi l-ponderazzjoni tagħhom.</w:t>
      </w:r>
    </w:p>
    <w:p w14:paraId="54388DAB" w14:textId="77777777" w:rsidR="00C737F1" w:rsidRPr="00571002" w:rsidRDefault="00C737F1" w:rsidP="00C737F1">
      <w:pPr>
        <w:tabs>
          <w:tab w:val="left" w:leader="dot" w:pos="9072"/>
        </w:tabs>
        <w:ind w:left="567" w:firstLine="1276"/>
        <w:rPr>
          <w:noProof/>
        </w:rPr>
      </w:pPr>
      <w:r w:rsidRPr="00571002">
        <w:rPr>
          <w:noProof/>
        </w:rPr>
        <w:tab/>
      </w:r>
    </w:p>
    <w:p w14:paraId="189FC89E" w14:textId="77777777" w:rsidR="00C737F1" w:rsidRPr="00571002" w:rsidRDefault="00C737F1" w:rsidP="00C737F1">
      <w:pPr>
        <w:pStyle w:val="Stylei"/>
        <w:rPr>
          <w:noProof/>
        </w:rPr>
      </w:pPr>
      <w:r w:rsidRPr="00571002">
        <w:rPr>
          <w:noProof/>
        </w:rPr>
        <w:t>Jekk jogħġbok spjega kif il-kriterji tal-għażla jpoġġu l-kontribuzzjoni għall-objettivi ewlenin tal-miżura/i f’relazzjoni diretta jew indiretta mal-ammont tal-għajnuna mitlub mill-applikant. Dan jista’ jiġi espress, pereżempju, f’termini ta’ għajnuna għal kull unità ta’ ħarsien tal-ambjent jew għajnuna għal kull unità ta’ enerġija (il-punt 50 u n-nota 44 f’qiegħ il-paġna tas-CEEAG).</w:t>
      </w:r>
    </w:p>
    <w:p w14:paraId="44E013AA" w14:textId="77777777" w:rsidR="00C737F1" w:rsidRPr="00571002" w:rsidRDefault="00C737F1" w:rsidP="00C737F1">
      <w:pPr>
        <w:tabs>
          <w:tab w:val="left" w:leader="dot" w:pos="9072"/>
        </w:tabs>
        <w:ind w:left="567" w:firstLine="1276"/>
        <w:rPr>
          <w:noProof/>
        </w:rPr>
      </w:pPr>
      <w:r w:rsidRPr="00571002">
        <w:rPr>
          <w:noProof/>
        </w:rPr>
        <w:tab/>
      </w:r>
    </w:p>
    <w:p w14:paraId="635F386C" w14:textId="77777777" w:rsidR="00C737F1" w:rsidRPr="00571002" w:rsidRDefault="00C737F1" w:rsidP="00C737F1">
      <w:pPr>
        <w:pStyle w:val="Stylei"/>
        <w:rPr>
          <w:noProof/>
        </w:rPr>
      </w:pPr>
      <w:r w:rsidRPr="00571002">
        <w:rPr>
          <w:noProof/>
        </w:rPr>
        <w:t>F’każ li jkun hemm kriterji oħra tal-għażla li mhumiex relatati direttament jew indirettament mal-objettivi ewlenin tal-miżura/i, ipprovdi r-raġunijiet għall-approċċ propost u spjega l-għaliex huwa xieraq għall-objettivi li l-miżura/i għandha/hom l-għan li jilħqu. Jekk jogħġbok ikkonferma wkoll li dawk il-kriterji ma jirrappreżentawx aktar minn 30 % tal-ponderazzjoni tal-kriterji kollha tal-għażla (il-punt 50 tas-CEEAG).</w:t>
      </w:r>
    </w:p>
    <w:p w14:paraId="57047501" w14:textId="77777777" w:rsidR="00C737F1" w:rsidRPr="00571002" w:rsidRDefault="00C737F1" w:rsidP="00C737F1">
      <w:pPr>
        <w:tabs>
          <w:tab w:val="left" w:leader="dot" w:pos="9072"/>
        </w:tabs>
        <w:ind w:left="567" w:firstLine="1276"/>
        <w:rPr>
          <w:noProof/>
        </w:rPr>
      </w:pPr>
      <w:r w:rsidRPr="00571002">
        <w:rPr>
          <w:noProof/>
        </w:rPr>
        <w:tab/>
      </w:r>
    </w:p>
    <w:p w14:paraId="6109852C" w14:textId="77777777" w:rsidR="00C737F1" w:rsidRPr="00571002" w:rsidRDefault="00C737F1" w:rsidP="00C737F1">
      <w:pPr>
        <w:pStyle w:val="Stylei"/>
        <w:rPr>
          <w:noProof/>
        </w:rPr>
      </w:pPr>
      <w:r w:rsidRPr="00571002">
        <w:rPr>
          <w:noProof/>
          <w:color w:val="000000"/>
        </w:rPr>
        <w:t>Jekk jogħġbok spjega kemm qabel l-iskadenza għas-sottomissjoni tal-applikazzjonijiet ta’ kull</w:t>
      </w:r>
      <w:r w:rsidRPr="00571002">
        <w:rPr>
          <w:noProof/>
        </w:rPr>
        <w:t xml:space="preserve"> proċess kompetittiv ta’ offerti</w:t>
      </w:r>
      <w:r w:rsidRPr="00571002">
        <w:rPr>
          <w:noProof/>
          <w:color w:val="000000"/>
        </w:rPr>
        <w:t xml:space="preserve"> se jiġu ppubblikati l-kriterji tal-għażla </w:t>
      </w:r>
      <w:r w:rsidRPr="00571002">
        <w:rPr>
          <w:noProof/>
        </w:rPr>
        <w:t>(il-punt 49(b) u n-nota 43 f’qiegħ il-paġna tas-CEEAG)</w:t>
      </w:r>
      <w:r w:rsidRPr="00571002">
        <w:rPr>
          <w:noProof/>
          <w:shd w:val="clear" w:color="auto" w:fill="FFFFFF"/>
        </w:rPr>
        <w:t>.</w:t>
      </w:r>
    </w:p>
    <w:p w14:paraId="4546D2B5" w14:textId="77777777" w:rsidR="00C737F1" w:rsidRPr="00571002" w:rsidRDefault="00C737F1" w:rsidP="00C737F1">
      <w:pPr>
        <w:tabs>
          <w:tab w:val="left" w:leader="dot" w:pos="9072"/>
        </w:tabs>
        <w:ind w:left="567" w:firstLine="1276"/>
        <w:rPr>
          <w:noProof/>
        </w:rPr>
      </w:pPr>
      <w:r w:rsidRPr="00571002">
        <w:rPr>
          <w:noProof/>
        </w:rPr>
        <w:tab/>
      </w:r>
    </w:p>
    <w:p w14:paraId="490E4EE8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>Jekk jogħġbok</w:t>
      </w:r>
      <w:r w:rsidRPr="00571002">
        <w:rPr>
          <w:noProof/>
          <w:shd w:val="clear" w:color="auto" w:fill="FFFFFF"/>
        </w:rPr>
        <w:t xml:space="preserve"> spjega l-elementi li fuqhom ibbażajt is-suppożizzjoni li l-proċess tal-offerti se jkun miftuħ u sottoskritt kif xieraq, jiġifieri li huwa prevedibbli li mhux l-offerenti kollha se</w:t>
      </w:r>
      <w:r w:rsidRPr="00571002">
        <w:rPr>
          <w:noProof/>
        </w:rPr>
        <w:t xml:space="preserve"> jirċievu</w:t>
      </w:r>
      <w:r w:rsidRPr="00571002">
        <w:rPr>
          <w:noProof/>
          <w:shd w:val="clear" w:color="auto" w:fill="FFFFFF"/>
        </w:rPr>
        <w:t xml:space="preserve"> għajnuna u li l-għadd ta’ offerenti mistennija huwa biżżejjed biex jiżgura l-kompetizzjoni effettiva għat-tul ta’ żmien tal-iskema (il-punt 49(c) tas-CEEAG). Fl-ispjegazzjoni tiegħek, jekk jogħġbok ikkunsidra l-baġit jew il-volum tal-iskema. Meta rilevanti, jekk jogħġbok irreferi għall-evidenza pprovduta fit-tweġibiet għall-mistoqsija 15.</w:t>
      </w:r>
    </w:p>
    <w:p w14:paraId="44F5FC5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BDF4CB6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  <w:shd w:val="clear" w:color="auto" w:fill="FFFFFF"/>
        </w:rPr>
        <w:t xml:space="preserve">Jekk jogħġbok </w:t>
      </w:r>
      <w:r w:rsidRPr="00571002">
        <w:rPr>
          <w:noProof/>
        </w:rPr>
        <w:t>ipprovdi</w:t>
      </w:r>
      <w:r w:rsidRPr="00571002">
        <w:rPr>
          <w:noProof/>
          <w:shd w:val="clear" w:color="auto" w:fill="FFFFFF"/>
        </w:rPr>
        <w:t xml:space="preserve"> informazzjoni </w:t>
      </w:r>
      <w:r w:rsidRPr="00571002">
        <w:rPr>
          <w:noProof/>
        </w:rPr>
        <w:t>dwar</w:t>
      </w:r>
      <w:r w:rsidRPr="00571002">
        <w:rPr>
          <w:noProof/>
          <w:shd w:val="clear" w:color="auto" w:fill="FFFFFF"/>
        </w:rPr>
        <w:t xml:space="preserve"> l-għadd ta’ sessjonijiet ta’ offerti previsti u l-għadd mistenni</w:t>
      </w:r>
      <w:r w:rsidRPr="00571002">
        <w:rPr>
          <w:noProof/>
        </w:rPr>
        <w:t xml:space="preserve"> </w:t>
      </w:r>
      <w:r w:rsidRPr="00571002">
        <w:rPr>
          <w:noProof/>
          <w:shd w:val="clear" w:color="auto" w:fill="FFFFFF"/>
        </w:rPr>
        <w:t>ta’ offerenti fl-ewwel ċiklu u matul iż-żmien.</w:t>
      </w:r>
    </w:p>
    <w:p w14:paraId="308E9C3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A0AAE82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  <w:shd w:val="clear" w:color="auto" w:fill="FFFFFF"/>
        </w:rPr>
        <w:t>Fil-każ ta’ proċess wieħed jew aktar ta’ offerti mingħajr biżżejjed sottoskrizzjonijiet, jekk jogħġbok spjega</w:t>
      </w:r>
      <w:r w:rsidRPr="00571002">
        <w:rPr>
          <w:noProof/>
        </w:rPr>
        <w:t xml:space="preserve"> kif it-tfassil tal-proċessi </w:t>
      </w:r>
      <w:r w:rsidRPr="00571002">
        <w:rPr>
          <w:noProof/>
          <w:shd w:val="clear" w:color="auto" w:fill="FFFFFF"/>
        </w:rPr>
        <w:t>tal-offerti</w:t>
      </w:r>
      <w:r w:rsidRPr="00571002">
        <w:rPr>
          <w:noProof/>
        </w:rPr>
        <w:t xml:space="preserve"> se jiġi kkoreġut matul l-implimentazzjoni tal-iskema sabiex</w:t>
      </w:r>
      <w:r w:rsidRPr="00571002">
        <w:rPr>
          <w:noProof/>
          <w:shd w:val="clear" w:color="auto" w:fill="FFFFFF"/>
        </w:rPr>
        <w:t xml:space="preserve"> terġa’ tiġi stabbilita l-kompetizzjoni effettiva, u meta</w:t>
      </w:r>
      <w:r w:rsidRPr="00571002">
        <w:rPr>
          <w:noProof/>
        </w:rPr>
        <w:t xml:space="preserve"> (il-punt 49(c) tas-CEEAG)</w:t>
      </w:r>
      <w:r w:rsidRPr="00571002">
        <w:rPr>
          <w:noProof/>
          <w:shd w:val="clear" w:color="auto" w:fill="FFFFFF"/>
        </w:rPr>
        <w:t xml:space="preserve">. </w:t>
      </w:r>
    </w:p>
    <w:p w14:paraId="36D59F9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3C58796A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rStyle w:val="oj-italic"/>
          <w:noProof/>
          <w:color w:val="000000"/>
          <w:shd w:val="clear" w:color="auto" w:fill="FFFFFF"/>
        </w:rPr>
        <w:t xml:space="preserve">Jekk jogħġbok </w:t>
      </w:r>
      <w:r w:rsidRPr="00571002">
        <w:rPr>
          <w:noProof/>
          <w:shd w:val="clear" w:color="auto" w:fill="FFFFFF"/>
        </w:rPr>
        <w:t>ikkonferma</w:t>
      </w:r>
      <w:r w:rsidRPr="00571002">
        <w:rPr>
          <w:rStyle w:val="oj-italic"/>
          <w:noProof/>
          <w:color w:val="000000"/>
          <w:shd w:val="clear" w:color="auto" w:fill="FFFFFF"/>
        </w:rPr>
        <w:t xml:space="preserve"> li aġġustamenti </w:t>
      </w:r>
      <w:r w:rsidRPr="00571002">
        <w:rPr>
          <w:rStyle w:val="oj-italic"/>
          <w:i/>
          <w:noProof/>
          <w:color w:val="000000"/>
          <w:shd w:val="clear" w:color="auto" w:fill="FFFFFF"/>
        </w:rPr>
        <w:t>ex post</w:t>
      </w:r>
      <w:r w:rsidRPr="00571002">
        <w:rPr>
          <w:noProof/>
          <w:color w:val="000000"/>
          <w:shd w:val="clear" w:color="auto" w:fill="FFFFFF"/>
        </w:rPr>
        <w:t xml:space="preserve"> għall-eżitu tal-proċess ta’ offerti (bħal </w:t>
      </w:r>
      <w:r w:rsidRPr="00571002">
        <w:rPr>
          <w:noProof/>
          <w:shd w:val="clear" w:color="auto" w:fill="FFFFFF"/>
        </w:rPr>
        <w:t xml:space="preserve">negozjati sussegwenti dwar ir-riżultati tal-offerti jew ir-razzjonar) huma evitati </w:t>
      </w:r>
      <w:r w:rsidRPr="00571002">
        <w:rPr>
          <w:noProof/>
        </w:rPr>
        <w:t>(il-punt 49(d) tas-CEEAG)</w:t>
      </w:r>
      <w:r w:rsidRPr="00571002">
        <w:rPr>
          <w:noProof/>
          <w:shd w:val="clear" w:color="auto" w:fill="FFFFFF"/>
        </w:rPr>
        <w:t>.</w:t>
      </w:r>
    </w:p>
    <w:p w14:paraId="2936A044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FAF127E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>F’każ li jkun hemm possibbiltà ta’ “</w:t>
      </w:r>
      <w:r w:rsidRPr="00571002">
        <w:rPr>
          <w:i/>
          <w:noProof/>
        </w:rPr>
        <w:t>offerti mingħajr sussidju</w:t>
      </w:r>
      <w:r w:rsidRPr="00571002">
        <w:rPr>
          <w:noProof/>
        </w:rPr>
        <w:t xml:space="preserve">”, jekk jogħġbok spjega kif se tiġi żgurata </w:t>
      </w:r>
      <w:r w:rsidRPr="00571002">
        <w:rPr>
          <w:noProof/>
          <w:shd w:val="clear" w:color="auto" w:fill="FFFFFF"/>
        </w:rPr>
        <w:t>l-proporzjonalità</w:t>
      </w:r>
      <w:r w:rsidRPr="00571002">
        <w:rPr>
          <w:noProof/>
        </w:rPr>
        <w:t xml:space="preserve"> (jekk jogħġbok ara l-punt 49, in-nota 42 f’qiegħ il-paġna, tas-CEEAG). </w:t>
      </w:r>
    </w:p>
    <w:p w14:paraId="6A6531A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72FCC1C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 xml:space="preserve">Jekk jogħġbok iċċara jekk l-awtoritajiet jipprevedux l-użu ta’ prezzijiet minimi jew massimi fil-proċess </w:t>
      </w:r>
      <w:r w:rsidRPr="00571002">
        <w:rPr>
          <w:noProof/>
          <w:shd w:val="clear" w:color="auto" w:fill="FFFFFF"/>
        </w:rPr>
        <w:t>kompetittiv</w:t>
      </w:r>
      <w:r w:rsidRPr="00571002">
        <w:rPr>
          <w:noProof/>
        </w:rPr>
        <w:t xml:space="preserve"> ta’ offerti. Jekk iva, jekk jogħġbok iġġustifika l-użu tagħhom u spjega kif dawn ma jillimitawx il-proċess kompetittiv ta’ offerti (il-punt 49 u n-nota 42 f’qiegħ il-paġna tas-CEEAG).</w:t>
      </w:r>
    </w:p>
    <w:p w14:paraId="0FB6173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A5E9BB" w14:textId="77777777" w:rsidR="00C737F1" w:rsidRPr="00571002" w:rsidRDefault="00C737F1" w:rsidP="00C737F1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Il-proporzjonalità tal-għajnuna li tkopri l-kostijiet operatorji tal-ġbir separat u tas-separazzjoni tal-iskart</w:t>
      </w:r>
    </w:p>
    <w:p w14:paraId="130486B9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Skont il-punt 247 tas-CEEAG l-għajnuna tista’ tkopri wkoll il-kostijiet operatorji meta tkun relatata mal-ġbir separat u s-separazzjoni tal-iskart jew ta’ prodotti, materjali jew sustanzi oħra b’rabta ma’ flussi speċifiċi ta’ skart jew tipi speċifiċi ta’ skart bil-ħsieb tal-preparazzjoni għall-użu mill-ġdid jew għar-riċiklaġġ. Għal fejn qed tippjana din l-għajnuna:</w:t>
      </w:r>
    </w:p>
    <w:p w14:paraId="2FB12E3E" w14:textId="77777777" w:rsidR="00C737F1" w:rsidRPr="00571002" w:rsidRDefault="00C737F1" w:rsidP="00C737F1">
      <w:pPr>
        <w:pStyle w:val="Point1letter"/>
        <w:numPr>
          <w:ilvl w:val="3"/>
          <w:numId w:val="36"/>
        </w:numPr>
        <w:rPr>
          <w:noProof/>
        </w:rPr>
      </w:pPr>
      <w:r w:rsidRPr="00571002">
        <w:rPr>
          <w:noProof/>
        </w:rPr>
        <w:t xml:space="preserve">Ipprovdi evidenza li l-għajnuna trid tingħata wara proċedura kompetittiva ta’ offerti mwettqa skont il-kriterji fil-punti 49 u 50 tas-CEEAG li trid tkun organizzata fuq bażi miftuħa u mhux diskriminatorja għall-operaturi kollha li jipprovdu servizzi ta’ ġbir separat u ta’ separazzjoni. Għal dan l-għan, jeħtieġ li jiġu pprovduti l-informazzjoni u l-evidenza elenkati fil-punt 42 ta’ hawn fuq. </w:t>
      </w:r>
    </w:p>
    <w:p w14:paraId="3B47BB7E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 xml:space="preserve">Indika jekk il-proċess tal-offerti jinkludix regoli li jillimitaw l-għajnuna f’ċerti ċirkostanzi identifikati sew u stabbiliti </w:t>
      </w:r>
      <w:r w:rsidRPr="00571002">
        <w:rPr>
          <w:i/>
          <w:noProof/>
        </w:rPr>
        <w:t>ex ante</w:t>
      </w:r>
      <w:r w:rsidRPr="00571002">
        <w:rPr>
          <w:noProof/>
        </w:rPr>
        <w:t>. Jekk dan huwa l-każ, jekk jogħġbok:</w:t>
      </w:r>
    </w:p>
    <w:p w14:paraId="49F0A8BD" w14:textId="77777777" w:rsidR="00C737F1" w:rsidRPr="00571002" w:rsidRDefault="00C737F1" w:rsidP="00C737F1">
      <w:pPr>
        <w:pStyle w:val="Stylei"/>
        <w:numPr>
          <w:ilvl w:val="0"/>
          <w:numId w:val="37"/>
        </w:numPr>
        <w:rPr>
          <w:noProof/>
        </w:rPr>
      </w:pPr>
      <w:r w:rsidRPr="00571002">
        <w:rPr>
          <w:noProof/>
        </w:rPr>
        <w:t>Uri li dawn il-limitazzjonijiet huma ġġustifikati minn livell għoli ta’ inċertezza dwar l-evoluzzjoni futura tal-kostijiet operatorji għat-tul ta’ żmien tal-miżura.</w:t>
      </w:r>
    </w:p>
    <w:p w14:paraId="30863DF1" w14:textId="77777777" w:rsidR="00C737F1" w:rsidRPr="00571002" w:rsidRDefault="00C737F1" w:rsidP="00C737F1">
      <w:pPr>
        <w:tabs>
          <w:tab w:val="left" w:leader="dot" w:pos="9072"/>
        </w:tabs>
        <w:ind w:left="1417"/>
        <w:rPr>
          <w:noProof/>
        </w:rPr>
      </w:pPr>
      <w:r w:rsidRPr="00571002">
        <w:rPr>
          <w:noProof/>
        </w:rPr>
        <w:tab/>
      </w:r>
    </w:p>
    <w:p w14:paraId="290313E1" w14:textId="77777777" w:rsidR="00C737F1" w:rsidRPr="00571002" w:rsidRDefault="00C737F1" w:rsidP="00C737F1">
      <w:pPr>
        <w:pStyle w:val="Stylei"/>
        <w:rPr>
          <w:noProof/>
        </w:rPr>
      </w:pPr>
      <w:r w:rsidRPr="00571002">
        <w:rPr>
          <w:noProof/>
        </w:rPr>
        <w:t>Iddeskrivi dawn ir-regoli u ċ-ċirkostanzi stabbiliti sew relatati.</w:t>
      </w:r>
    </w:p>
    <w:p w14:paraId="761E6398" w14:textId="77777777" w:rsidR="00C737F1" w:rsidRPr="00571002" w:rsidRDefault="00C737F1" w:rsidP="00C737F1">
      <w:pPr>
        <w:tabs>
          <w:tab w:val="left" w:leader="dot" w:pos="9072"/>
        </w:tabs>
        <w:ind w:left="1417"/>
        <w:rPr>
          <w:noProof/>
        </w:rPr>
      </w:pPr>
      <w:r w:rsidRPr="00571002">
        <w:rPr>
          <w:noProof/>
        </w:rPr>
        <w:tab/>
      </w:r>
    </w:p>
    <w:p w14:paraId="06DFBBA7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>Agħti informazzjoni dwar kwalunkwe għajnuna għall-investiment mogħtija għal installazzjoni użata għall-ġbir separat u s-separazzjoni tal-iskart li tibbenefika wkoll mill-għajnuna operatorja. Meta ż-żewġ forom ta’ għajnuna jkopru l-istess kostijiet eliġibbli, uri li l-għajnuna għall-investiment se titnaqqas mill-għajnuna operatorja mogħtija lill-istess installazzjoni u kif din se tiġi żgurata.</w:t>
      </w:r>
    </w:p>
    <w:p w14:paraId="502EABD7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9833D76" w14:textId="77777777" w:rsidR="00C737F1" w:rsidRPr="00571002" w:rsidRDefault="00C737F1" w:rsidP="00C737F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>Ikkonferma li t-tul ta’ żmien tal-għoti tal-għajnuna ma jaqbiżx il-5 snin.</w:t>
      </w:r>
    </w:p>
    <w:p w14:paraId="2AD98FF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7775B89F" w14:textId="77777777" w:rsidR="00C737F1" w:rsidRPr="00571002" w:rsidRDefault="00C737F1" w:rsidP="00C737F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Akkumulazzjoni</w:t>
      </w:r>
    </w:p>
    <w:p w14:paraId="7A38922F" w14:textId="77777777" w:rsidR="00C737F1" w:rsidRPr="00571002" w:rsidRDefault="00C737F1" w:rsidP="00C737F1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għall-punti 56-57 tas-CEEAG.</w:t>
      </w:r>
    </w:p>
    <w:p w14:paraId="674D20F7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Sakemm ma tkunx diġà tinsab fil-Parti I tal-formola ta’ notifika ġenerali u sabiex tiġi vverifikata l-konformità mal-punt 56 tas-CEEAG, jekk jogħġbok iċċara jekk l-għajnuna taħt il-miżura/i notifikata/i tistax tingħata fl-istess ħin taħt diversi skemi ta’ għajnuna jew akkumulata ma’ 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fir-rigward tal-istess kostijiet eliġibbli. Jekk dan huwa l-każ, ipprovdi dettalji dwar dawk l-iskemi ta’ għajnuna, l-għajnuna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l-għajnuna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u kif l-għajnuna se tiġi akkumulata. </w:t>
      </w:r>
      <w:r w:rsidRPr="00571002">
        <w:rPr>
          <w:noProof/>
        </w:rPr>
        <w:tab/>
      </w:r>
    </w:p>
    <w:p w14:paraId="14F6825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FF4136F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japplika l-punt 56 tas-CEEAG, jekk jogħġbok iġġustifika kif l-ammont totali ta’ għajnuna mogħtija skont il-miżura/i notifikata/i għal proġett jew attività mhux se jwassal għal kumpens żejjed jew jaqbeż l-ammont massimu ta’ għajnuna permess skont il-punti 241-245 tas-CEEAG. Għal kull miżura li l-għajnuna mogħtija skont il-miżura/i ta’ għajnuna notifikata tista’ tiġi akkumulata magħha, jekk jogħġbok speċifika l-metodu użat biex tiġi żgurata l-konformità mal-kundizzjonijiet stabbiliti fil-punt 56 tas-CEEAG.</w:t>
      </w:r>
    </w:p>
    <w:p w14:paraId="619A6782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B81CC6D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F’każ li japplika l-punt 57 tas-CEEAG, jiġifieri l-għajnuna mogħtija taħt il-miżura/i notifikata/i tkun ikkombinata ma’ finanzjament tal-Unjoni</w:t>
      </w:r>
      <w:r w:rsidRPr="00571002">
        <w:rPr>
          <w:rStyle w:val="FootnoteReference"/>
          <w:noProof/>
          <w:lang w:eastAsia="en-GB"/>
        </w:rPr>
        <w:footnoteReference w:id="12"/>
      </w:r>
      <w:r w:rsidRPr="00571002">
        <w:rPr>
          <w:noProof/>
        </w:rPr>
        <w:t xml:space="preserve"> mmaniġġjat ċentralment (li ma jikkostitwixxix għajnuna mill-Istat), jekk jogħġbok iġġustifika kif </w:t>
      </w:r>
      <w:r w:rsidRPr="00571002">
        <w:rPr>
          <w:noProof/>
          <w:shd w:val="clear" w:color="auto" w:fill="FFFFFF"/>
        </w:rPr>
        <w:t>l-ammont totali ta’ finanzjament pubbliku mogħti fir-rigward tal-istess kostijiet eliġibbli ma jwassalx għal kumpens żejjed</w:t>
      </w:r>
      <w:r w:rsidRPr="00571002">
        <w:rPr>
          <w:noProof/>
        </w:rPr>
        <w:t xml:space="preserve">. </w:t>
      </w:r>
    </w:p>
    <w:p w14:paraId="3D8C6882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E922741" w14:textId="77777777" w:rsidR="00C737F1" w:rsidRPr="00571002" w:rsidRDefault="00C737F1" w:rsidP="00C737F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Trasparenza</w:t>
      </w:r>
    </w:p>
    <w:p w14:paraId="57F8D542" w14:textId="77777777" w:rsidR="00C737F1" w:rsidRPr="00571002" w:rsidRDefault="00C737F1" w:rsidP="00C737F1">
      <w:pPr>
        <w:spacing w:before="360"/>
        <w:rPr>
          <w:i/>
          <w:noProof/>
        </w:rPr>
      </w:pPr>
      <w:r w:rsidRPr="00571002">
        <w:rPr>
          <w:i/>
          <w:noProof/>
          <w:color w:val="000000"/>
        </w:rPr>
        <w:t>Biex</w:t>
      </w:r>
      <w:r w:rsidRPr="00571002">
        <w:rPr>
          <w:i/>
          <w:noProof/>
        </w:rPr>
        <w:t xml:space="preserve"> tipprovdi l-informazzjoni </w:t>
      </w:r>
      <w:r w:rsidRPr="00571002">
        <w:rPr>
          <w:i/>
          <w:noProof/>
          <w:color w:val="000000"/>
        </w:rPr>
        <w:t>f’din it-Taqsima, jekk jogħġbok</w:t>
      </w:r>
      <w:r w:rsidRPr="00571002">
        <w:rPr>
          <w:i/>
          <w:noProof/>
        </w:rPr>
        <w:t xml:space="preserve"> irreferi għat-Taqsima 3.2.1.4 (il-punti 58-61) tas-CEEAG. </w:t>
      </w:r>
    </w:p>
    <w:p w14:paraId="001A2D5B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ikkonferma li l-Istat Membru se jikkonforma mar-rekwiżiti dwar it-trasparenza previsti fil-punti 58-61 tas-CEEAG. </w:t>
      </w:r>
    </w:p>
    <w:p w14:paraId="074AB083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624AC3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rFonts w:ascii="inherit" w:hAnsi="inherit"/>
          <w:noProof/>
        </w:rPr>
        <w:t xml:space="preserve">Jekk jogħġbok ipprovdi l-link tal-internet fejn se jiġu ppubblikati t-test sħiħ tal-iskema ta’ għajnuna approvata jew </w:t>
      </w:r>
      <w:r w:rsidRPr="00571002">
        <w:rPr>
          <w:rFonts w:ascii="inherit" w:hAnsi="inherit"/>
          <w:noProof/>
          <w:color w:val="000000"/>
        </w:rPr>
        <w:t>tad-deċiżjoni dwar l-għoti tal-għajnuna individwali u d-dispożizzjonijiet ta’ implimentazzjoni tagħha, u l-informazzjoni dwar kull għotja ta’</w:t>
      </w:r>
      <w:r w:rsidRPr="00571002">
        <w:rPr>
          <w:noProof/>
        </w:rPr>
        <w:t>għajnuna</w:t>
      </w:r>
      <w:r w:rsidRPr="00571002">
        <w:rPr>
          <w:rFonts w:ascii="inherit" w:hAnsi="inherit"/>
          <w:noProof/>
          <w:color w:val="000000"/>
        </w:rPr>
        <w:t xml:space="preserve"> individwali mogħtija </w:t>
      </w:r>
      <w:r w:rsidRPr="00571002">
        <w:rPr>
          <w:rFonts w:ascii="inherit" w:hAnsi="inherit"/>
          <w:i/>
          <w:noProof/>
          <w:color w:val="000000"/>
        </w:rPr>
        <w:t>ad hoc</w:t>
      </w:r>
      <w:r w:rsidRPr="00571002">
        <w:rPr>
          <w:rFonts w:ascii="inherit" w:hAnsi="inherit"/>
          <w:noProof/>
          <w:color w:val="000000"/>
        </w:rPr>
        <w:t xml:space="preserve"> jew taħt skema ta’ għajnuna approvata fuq il-bażi tas-CEEAG</w:t>
      </w:r>
      <w:r w:rsidRPr="00571002">
        <w:rPr>
          <w:rFonts w:ascii="inherit" w:hAnsi="inherit"/>
          <w:noProof/>
        </w:rPr>
        <w:t xml:space="preserve"> u li taqbeż l-EUR 100 000.</w:t>
      </w:r>
    </w:p>
    <w:p w14:paraId="70DAF365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AB84F12" w14:textId="77777777" w:rsidR="00C737F1" w:rsidRPr="00571002" w:rsidRDefault="00C737F1" w:rsidP="00C737F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lastRenderedPageBreak/>
        <w:t>L-evitar ta’ effetti negattivi bla bżonn tal-għajnuna fuq il-kompetizzjoni u l-kummerċ</w:t>
      </w:r>
    </w:p>
    <w:p w14:paraId="2BBE363D" w14:textId="77777777" w:rsidR="00C737F1" w:rsidRPr="00571002" w:rsidRDefault="00C737F1" w:rsidP="00C737F1">
      <w:pPr>
        <w:spacing w:before="360"/>
        <w:rPr>
          <w:i/>
          <w:noProof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f’din it-Taqsima, jekk jogħġbok irreferi għat-Taqsima 3.2.2 (il-punti 63-70) u t-Taqsima 4.4.5. (il-punti 248-252) tas-CEEAG. </w:t>
      </w:r>
    </w:p>
    <w:p w14:paraId="3B338DB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</w:t>
      </w:r>
      <w:r w:rsidRPr="00571002">
        <w:rPr>
          <w:rFonts w:ascii="inherit" w:hAnsi="inherit"/>
          <w:noProof/>
        </w:rPr>
        <w:t>konformità</w:t>
      </w:r>
      <w:r w:rsidRPr="00571002">
        <w:rPr>
          <w:noProof/>
        </w:rPr>
        <w:t xml:space="preserve"> mal-punt 67 tas-CEEAG, jekk jogħġbok ipprovdi informazzjoni dwar l-effetti negattivi possibbli fuq terminu qasir u twil tal-miżura/i notifikata/i fuq il-kompetizzjoni u l-kummerċ. </w:t>
      </w:r>
    </w:p>
    <w:p w14:paraId="43CF766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FD07C3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spjega jekk il-miżura taqax taħt xi waħda mis-sitwazzjonijiet li ġejjin:  </w:t>
      </w:r>
    </w:p>
    <w:p w14:paraId="6E1F70DF" w14:textId="77777777" w:rsidR="00C737F1" w:rsidRPr="00571002" w:rsidRDefault="00C737F1" w:rsidP="00C737F1">
      <w:pPr>
        <w:pStyle w:val="Point1letter"/>
        <w:numPr>
          <w:ilvl w:val="3"/>
          <w:numId w:val="39"/>
        </w:numPr>
        <w:rPr>
          <w:noProof/>
        </w:rPr>
      </w:pPr>
      <w:r w:rsidRPr="00571002">
        <w:rPr>
          <w:noProof/>
        </w:rPr>
        <w:t>Tikkonċerna suq (jew swieq) fejn l-operaturi stabbiliti kisbu saħħa fis-suq qabel il-liberalizzazzjoni tas-suq; </w:t>
      </w:r>
    </w:p>
    <w:p w14:paraId="4739FB38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bookmarkStart w:id="10" w:name="_Hlk166067170"/>
      <w:r w:rsidRPr="00571002">
        <w:rPr>
          <w:noProof/>
        </w:rPr>
        <w:tab/>
      </w:r>
      <w:bookmarkEnd w:id="10"/>
    </w:p>
    <w:p w14:paraId="166775E1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Tinvolvi proċessi kompetittivi ta’ offerti f’suq (swieq) emerġenti, meta jkun hemm attur b’pożizzjoni b’saħħitha fis-suq; </w:t>
      </w:r>
    </w:p>
    <w:p w14:paraId="1A21E6B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19DF518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Dan se jkun ta’ benefiċċju biss għal benefiċjarju wieħed jew għal għadd partikolarment limitat ta’ benefiċjarji.</w:t>
      </w:r>
    </w:p>
    <w:p w14:paraId="43D06D0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DF3F1E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il-miżura ta’ għajnuna tiffoka fuq għażla/perkors teknoloġika/u speċifika/u, iġġustifika r-raġuni għall-għażla teknoloġika u li mhux se tiskoraġġixxi l-użu ta’ teknoloġiji aktar nodfa.</w:t>
      </w:r>
    </w:p>
    <w:p w14:paraId="0292DEAB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74F3C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il-miżura/i notifikata/i se tibbenefika/jibbenefikaw biss minn benefiċjarju wieħed jew minn għadd partikolarment limitat ta’ benefiċjarji, sabiex tiġi vverifikata l-konformità mal-punt 68 tas-CEEAG, jekk jogħġbok:</w:t>
      </w:r>
    </w:p>
    <w:p w14:paraId="3CB7FE58" w14:textId="77777777" w:rsidR="00C737F1" w:rsidRPr="00571002" w:rsidRDefault="00C737F1" w:rsidP="00C737F1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Spjega jekk il-miżura/i notifikata/i ssaħħaħx/jsaħħux jew iżżommx/iżommux is-saħħa fis-suq tal-benefiċjarju/i jew tiskoraġġixxix/jiskoraġġixxux l-espansjoni tal-kompetituri eżistenti jew twassalx/iwasslux għall-ħruġ tagħhom jew tiskoraġġixxi/jiskoraġġixxux id-dħul ta’ kompetituri ġodda. F’dan ir-rigward spjega wkoll jekk il-miżura ta’ għajnuna twassalx għal żieda fil-kapaċità tal-produzzjoni tal-benefiċjarju.</w:t>
      </w:r>
    </w:p>
    <w:p w14:paraId="79A54E88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5C2AC12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 xml:space="preserve">Iddeskrivi l-miżura/i stabbilita/i biex tillimita d-distorsjoni potenzjali tal-kompetizzjoni kkawżata mill-għoti tal-għajnuna lill-benefiċjarju/i. </w:t>
      </w:r>
    </w:p>
    <w:p w14:paraId="28500156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0500F12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 69 tas-CEEAG, jekk jogħġbok spjega: </w:t>
      </w:r>
    </w:p>
    <w:p w14:paraId="3A5EDC50" w14:textId="77777777" w:rsidR="00C737F1" w:rsidRPr="00571002" w:rsidRDefault="00C737F1" w:rsidP="00C737F1">
      <w:pPr>
        <w:pStyle w:val="Point1letter"/>
        <w:numPr>
          <w:ilvl w:val="3"/>
          <w:numId w:val="41"/>
        </w:numPr>
        <w:rPr>
          <w:noProof/>
        </w:rPr>
      </w:pPr>
      <w:r w:rsidRPr="00571002">
        <w:rPr>
          <w:noProof/>
        </w:rPr>
        <w:t>Jekk l-għajnuna mogħtija skont il-miżura/i notifikata/i għandha l-għan li tippreserva l-attività ekonomika f’reġjun wieħed jew tiġbed lejha lil hinn minn reġjuni oħra fis-suq intern. </w:t>
      </w:r>
    </w:p>
    <w:p w14:paraId="6436BA6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29B1835" w14:textId="77777777" w:rsidR="00C737F1" w:rsidRPr="00571002" w:rsidRDefault="00C737F1" w:rsidP="00C737F1">
      <w:pPr>
        <w:pStyle w:val="Point1letter"/>
        <w:numPr>
          <w:ilvl w:val="3"/>
          <w:numId w:val="41"/>
        </w:numPr>
        <w:rPr>
          <w:rFonts w:eastAsia="SimSun"/>
          <w:noProof/>
        </w:rPr>
      </w:pPr>
      <w:r w:rsidRPr="00571002">
        <w:rPr>
          <w:noProof/>
        </w:rPr>
        <w:lastRenderedPageBreak/>
        <w:t xml:space="preserve">Jekk iva, jekk jogħġbok speċifika liema huwa l-effett ambjentali nett tal-miżura/i notifikata/i u kif il-miżura/i notifikata/i ttejjeb/itejbu l-livell eżistenti ta’ ħarsien ambjentali fl-Istati Membri </w:t>
      </w:r>
    </w:p>
    <w:p w14:paraId="32FC619A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7391B34" w14:textId="77777777" w:rsidR="00C737F1" w:rsidRPr="00571002" w:rsidRDefault="00C737F1" w:rsidP="00C737F1">
      <w:pPr>
        <w:pStyle w:val="Point1letter"/>
        <w:numPr>
          <w:ilvl w:val="3"/>
          <w:numId w:val="41"/>
        </w:numPr>
        <w:rPr>
          <w:noProof/>
        </w:rPr>
      </w:pPr>
      <w:r w:rsidRPr="00571002">
        <w:rPr>
          <w:noProof/>
        </w:rPr>
        <w:t>Kif l-għajnuna mogħtija taħt il-miżura/i notifikata/i ma tirriżultax f’effetti manifestament negattivi fuq il-kompetizzjoni u l-kummerċ.  </w:t>
      </w:r>
    </w:p>
    <w:p w14:paraId="04D54D98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60E8070" w14:textId="77777777" w:rsidR="00C737F1" w:rsidRPr="00571002" w:rsidRDefault="00C737F1" w:rsidP="00C737F1">
      <w:pPr>
        <w:pStyle w:val="Point1letter"/>
        <w:numPr>
          <w:ilvl w:val="3"/>
          <w:numId w:val="41"/>
        </w:numPr>
        <w:rPr>
          <w:rFonts w:eastAsia="SimSun"/>
          <w:noProof/>
        </w:rPr>
      </w:pPr>
      <w:r w:rsidRPr="00571002">
        <w:rPr>
          <w:noProof/>
        </w:rPr>
        <w:t>F’każ ta’ għajnuna individwali, il-fatturi ewlenin tal-għażla tal-post għall-investimenti mill-benefiċjarju.  </w:t>
      </w:r>
    </w:p>
    <w:p w14:paraId="7561EF5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9281F0B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 70 tas-CEEAG:</w:t>
      </w:r>
    </w:p>
    <w:p w14:paraId="233BD0A0" w14:textId="77777777" w:rsidR="00C737F1" w:rsidRPr="00571002" w:rsidRDefault="00C737F1" w:rsidP="00C737F1">
      <w:pPr>
        <w:pStyle w:val="Point1letter"/>
        <w:numPr>
          <w:ilvl w:val="3"/>
          <w:numId w:val="42"/>
        </w:numPr>
        <w:rPr>
          <w:noProof/>
        </w:rPr>
      </w:pPr>
      <w:r w:rsidRPr="00571002">
        <w:rPr>
          <w:noProof/>
        </w:rPr>
        <w:t xml:space="preserve">Jekk jogħġbok ikkonferma li l-għajnuna tista’ tingħata taħt l-iskema notifikata għal perjodu massimu ta’ 10 snin </w:t>
      </w:r>
      <w:r w:rsidRPr="00571002">
        <w:rPr>
          <w:noProof/>
          <w:color w:val="000000"/>
          <w:shd w:val="clear" w:color="auto" w:fill="FFFFFF"/>
        </w:rPr>
        <w:t>mid-data tan-notifika tad-deċiżjoni tal-Kummissjoni li tiddikjara l-għajnuna bħala kompatibbli</w:t>
      </w:r>
      <w:r w:rsidRPr="00571002">
        <w:rPr>
          <w:noProof/>
        </w:rPr>
        <w:t xml:space="preserve">.  </w:t>
      </w:r>
    </w:p>
    <w:p w14:paraId="48BF459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CDEA0C7" w14:textId="77777777" w:rsidR="00C737F1" w:rsidRPr="00571002" w:rsidRDefault="00C737F1" w:rsidP="00C737F1">
      <w:pPr>
        <w:pStyle w:val="Point1letter"/>
        <w:numPr>
          <w:ilvl w:val="3"/>
          <w:numId w:val="42"/>
        </w:numPr>
        <w:rPr>
          <w:noProof/>
        </w:rPr>
      </w:pPr>
      <w:r w:rsidRPr="00571002">
        <w:rPr>
          <w:noProof/>
        </w:rPr>
        <w:t xml:space="preserve">Jekk jogħġbok ikkonferma li, jekk l-awtoritajiet tiegħek jixtiequ jestendu t-tul ta’ żmien tal-miżura lil hinn minn dak il-perjodu massimu, huma se jirrinotifikaw il-miżura. </w:t>
      </w:r>
    </w:p>
    <w:p w14:paraId="33CADF17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DD454F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 249 tas-CEEAG, jekk jogħġbok agħti ġustifikazzjoni li l-għajnuna mhux se tinċentiva l-ġenerazzjoni tal-iskart jew iżżid l-użu tar-riżorsi.</w:t>
      </w:r>
    </w:p>
    <w:p w14:paraId="2BB893E9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30F0B9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250 tas-CEEAG, jekk jogħġbok uri li meta l-għajnuna żżid id-domanda għall-iskart jew għal materjali u riżorsi oħra maħsuba biex jerġgħu jintużaw, jiġu riċiklati jew jiġu rkuprati, il-kapaċità tal-ġbir ta’ tali skart, materjali u riżorsi oħra se tiżdied kif xieraq biex tissodisfa ż-żieda fid-domanda. </w:t>
      </w:r>
    </w:p>
    <w:p w14:paraId="533B7CD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C3007D0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 251 tas-CEEAG, jekk jogħġbok indika jekk l-għajnuna hux se jkollha xi effetti potenzjali fuq il-funzjonament tas-swieq għall-materjali primarji u sekondarji relatati mal-prodotti kkonċernati, u x’jista’ jirriżulta minn dawn l-effetti potenzjali.</w:t>
      </w:r>
    </w:p>
    <w:p w14:paraId="49A87EA5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00F4FBD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 252 tas-CEEAG, fejn l-għajnuna tkopri l-kostijiet operatorji relatati mal-ġbir separat u s-separazzjoni tal-iskart jew ta’ prodotti, materjali jew sustanzi oħra fir-rigward ta’ flussi ta’ skart jew tipi ta’ skart speċifiċi bil-ħsieb tat-tħejjija għall-użu mill-ġdid jew għar-riċiklaġġ, jekk jogħġbok indika jekk l-għajnuna tistax potenzjalment tinteraġixxi ma’ xi skema ta’ responsabbiltà estiża tal-produttur fl-Istat Membru tiegħek, jekk jogħġbok iddeskrivi kwalunkwe skemi bħal dawn u speċifika kif tista’ tinteraġixxi.</w:t>
      </w:r>
    </w:p>
    <w:p w14:paraId="4672F0A8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287458E" w14:textId="77777777" w:rsidR="00C737F1" w:rsidRPr="00571002" w:rsidRDefault="00C737F1" w:rsidP="00C737F1">
      <w:pPr>
        <w:pStyle w:val="Heading1"/>
        <w:numPr>
          <w:ilvl w:val="0"/>
          <w:numId w:val="9"/>
        </w:numPr>
        <w:rPr>
          <w:rFonts w:eastAsia="SimSun"/>
          <w:noProof/>
        </w:rPr>
      </w:pPr>
      <w:r w:rsidRPr="00571002">
        <w:rPr>
          <w:noProof/>
        </w:rPr>
        <w:lastRenderedPageBreak/>
        <w:t>L-ibbilanċjar tal-effetti pożittivi tal-għajnuna mal-effetti negattivi fuq il-kompetizzjoni u l-kummerċ</w:t>
      </w:r>
    </w:p>
    <w:p w14:paraId="5A844156" w14:textId="77777777" w:rsidR="00C737F1" w:rsidRPr="00571002" w:rsidRDefault="00C737F1" w:rsidP="00C737F1">
      <w:pPr>
        <w:pStyle w:val="paragraph"/>
        <w:spacing w:before="0" w:beforeAutospacing="0" w:after="0" w:afterAutospacing="0"/>
        <w:jc w:val="both"/>
        <w:textAlignment w:val="baseline"/>
        <w:rPr>
          <w:noProof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 f’din it-Taqsima, jekk jogħġbok irreferi għat-Taqsima 3.3 (il-punti 71-76) tas-CEEAG. </w:t>
      </w:r>
      <w:r w:rsidRPr="00571002">
        <w:rPr>
          <w:noProof/>
          <w:color w:val="000000"/>
        </w:rPr>
        <w:t> </w:t>
      </w:r>
    </w:p>
    <w:p w14:paraId="1ECB5789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72 tas-CEEAG, jekk jogħġbok spjega jekk l-attivitajiet appoġġati taħt il-miżura notifikata jissodisfawx il-kriterji għal attivitajiet ekonomiċi ambjentalment sostenibbli </w:t>
      </w:r>
      <w:r w:rsidRPr="00571002">
        <w:rPr>
          <w:noProof/>
          <w:shd w:val="clear" w:color="auto" w:fill="FFFFFF"/>
        </w:rPr>
        <w:t xml:space="preserve">previsti </w:t>
      </w:r>
      <w:r w:rsidRPr="00571002">
        <w:rPr>
          <w:noProof/>
        </w:rPr>
        <w:t>fl-Artikolu 3 tar-Regolament (UE) 2020/852 tal-Parlament Ewropew u tal-Kunsill</w:t>
      </w:r>
      <w:r w:rsidRPr="00571002">
        <w:rPr>
          <w:rStyle w:val="FootnoteReference"/>
          <w:noProof/>
          <w:lang w:eastAsia="en-GB"/>
        </w:rPr>
        <w:footnoteReference w:id="13"/>
      </w:r>
      <w:r w:rsidRPr="00571002">
        <w:rPr>
          <w:noProof/>
        </w:rPr>
        <w:t>,</w:t>
      </w:r>
      <w:r w:rsidRPr="00571002">
        <w:rPr>
          <w:noProof/>
          <w:shd w:val="clear" w:color="auto" w:fill="FFFFFF"/>
        </w:rPr>
        <w:t xml:space="preserve"> inkluż il-prinċipju “la tagħmilx ħsara sinifikanti”, jew metodoloġiji paragunabbli oħra.</w:t>
      </w:r>
    </w:p>
    <w:p w14:paraId="79E9EDB2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E50B815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(Fil-każ ta’ proċess kompetittiv ta’ offerti) Jekk jogħġbok spjega jekk il-miżura/i notifikata/i tinkludix/jinkludux karatteristiċi li jiffaċilitaw il-parteċipazzjoni tal-SMEs fi proċessi kompetittivi ta’ offerti. Jekk iva, jekk jogħġbok ipprovdi informazzjoni dwar dawk il-karatteristiki u ġġustifika kif l-effetti pożittivi tal-iżgurar tal-parteċipazzjoni tal-SMEs fil-miżura/i notifikata/i jegħlbu l-effetti distorsivi possibbli.</w:t>
      </w:r>
    </w:p>
    <w:p w14:paraId="19B2BF32" w14:textId="77777777" w:rsidR="00C737F1" w:rsidRPr="00571002" w:rsidRDefault="00C737F1" w:rsidP="00C737F1">
      <w:pPr>
        <w:pStyle w:val="ManualHeading2"/>
        <w:rPr>
          <w:noProof/>
        </w:rPr>
      </w:pPr>
      <w:r w:rsidRPr="00571002">
        <w:rPr>
          <w:noProof/>
        </w:rPr>
        <w:t>Taqsima C: Evalwazzjoni</w:t>
      </w:r>
    </w:p>
    <w:p w14:paraId="795D922A" w14:textId="77777777" w:rsidR="00C737F1" w:rsidRPr="00571002" w:rsidRDefault="00C737F1" w:rsidP="00C737F1">
      <w:pPr>
        <w:spacing w:before="360"/>
        <w:rPr>
          <w:noProof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5 (il-punti 455-463) tas-CEEAG. </w:t>
      </w:r>
    </w:p>
    <w:p w14:paraId="15BD4D85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il-miżura/i notifikata/i taqbeż/jaqbżu l-limiti tal-baġit/tan-nefqa fil-punt 456 tas-CEEAG, jekk jogħġbok spjega għaliex fil-fehma tiegħek għandha tapplika l-eċċezzjoni fil-punt 457 tas-CEEAG, jew inkella ehmeż Anness ma’ din il-formola ta’ notifika li jinkludi abbozz tal-pjan ta’ evalwazzjoni li jkopri l-kamp ta’ applikazzjoni msemmi fil-punt 458 tas-CEEAG</w:t>
      </w:r>
      <w:r w:rsidRPr="00571002">
        <w:rPr>
          <w:rStyle w:val="FootnoteReference"/>
          <w:noProof/>
        </w:rPr>
        <w:t xml:space="preserve"> </w:t>
      </w:r>
      <w:r w:rsidRPr="00571002">
        <w:rPr>
          <w:rStyle w:val="FootnoteReference"/>
          <w:noProof/>
          <w:lang w:eastAsia="en-GB"/>
        </w:rPr>
        <w:footnoteReference w:id="14"/>
      </w:r>
      <w:r w:rsidRPr="00571002">
        <w:rPr>
          <w:noProof/>
        </w:rPr>
        <w:t xml:space="preserve">. </w:t>
      </w:r>
    </w:p>
    <w:p w14:paraId="1A53AF53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779CBFC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tagħti abbozz tal-pjan ta’ evalwazzjoni, jekk jogħġbok: </w:t>
      </w:r>
    </w:p>
    <w:p w14:paraId="36934B4E" w14:textId="77777777" w:rsidR="00C737F1" w:rsidRPr="00571002" w:rsidRDefault="00C737F1" w:rsidP="00C737F1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hawn taħt ipprovdi sommarju ta’ dak l-abbozz tal-pjan ta’ evalwazzjoni inkluż fl-Anness. </w:t>
      </w:r>
    </w:p>
    <w:p w14:paraId="4BBCB11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0E3DE89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ikkonferma li d-dispożizzjonijiet tal-punt 460 tas-CEEAG se jiġu rispettati.</w:t>
      </w:r>
    </w:p>
    <w:p w14:paraId="60DCF34D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76EC065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 xml:space="preserve">agħti d-data u l-link tal-internet fejn il-pjan ta’ evalwazzjoni se jkun disponibbli għall-pubbliku. </w:t>
      </w:r>
    </w:p>
    <w:p w14:paraId="0ED799F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03B5AB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 459(b)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 u t-tul ta’ </w:t>
      </w:r>
      <w:r w:rsidRPr="00571002">
        <w:rPr>
          <w:noProof/>
        </w:rPr>
        <w:lastRenderedPageBreak/>
        <w:t xml:space="preserve">żmien tagħha jaqbeż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00134C1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F59BCC7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 459(c)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, jekk jogħġbok hawn taħt ipprovdi impenn li l-Istat Membru se jinnotifika abbozz ta’ pjan ta’ evalwazzjoni </w:t>
      </w:r>
      <w:r w:rsidRPr="00571002">
        <w:rPr>
          <w:noProof/>
          <w:shd w:val="clear" w:color="auto" w:fill="FFFFFF"/>
        </w:rPr>
        <w:t>fi żmien 30 jum tax-xogħol wara r-reġistrazzjoni fil-kontijiet uffiċjali ta’ nfiq ta’ aktar minn EUR 150 miljun fis-sena preċedenti</w:t>
      </w:r>
      <w:r w:rsidRPr="00571002">
        <w:rPr>
          <w:noProof/>
        </w:rPr>
        <w:t xml:space="preserve">. </w:t>
      </w:r>
    </w:p>
    <w:p w14:paraId="30AC2AF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FA50D4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461 tas-CEEAG, </w:t>
      </w:r>
    </w:p>
    <w:p w14:paraId="38FBA6D7" w14:textId="77777777" w:rsidR="00C737F1" w:rsidRPr="00571002" w:rsidRDefault="00C737F1" w:rsidP="00C737F1">
      <w:pPr>
        <w:pStyle w:val="Point1letter"/>
        <w:numPr>
          <w:ilvl w:val="3"/>
          <w:numId w:val="44"/>
        </w:numPr>
        <w:rPr>
          <w:noProof/>
        </w:rPr>
      </w:pPr>
      <w:r w:rsidRPr="00571002">
        <w:rPr>
          <w:noProof/>
        </w:rPr>
        <w:t>Jekk jogħġbok iċċara jekk l-espert indipendenti diġà ntgħażilx jew hux se jintgħażel fil-futur.</w:t>
      </w:r>
    </w:p>
    <w:p w14:paraId="293C4712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7F4387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>Jekk jogħġbok ipprovdi informazzjoni dwar il-proċedura tal-għażla tal-espert.</w:t>
      </w:r>
    </w:p>
    <w:p w14:paraId="154E382F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4CE2801" w14:textId="77777777" w:rsidR="00C737F1" w:rsidRPr="00571002" w:rsidRDefault="00C737F1" w:rsidP="00C737F1">
      <w:pPr>
        <w:pStyle w:val="Point1letter"/>
        <w:numPr>
          <w:ilvl w:val="3"/>
          <w:numId w:val="49"/>
        </w:numPr>
        <w:rPr>
          <w:noProof/>
        </w:rPr>
      </w:pPr>
      <w:r w:rsidRPr="00571002">
        <w:rPr>
          <w:noProof/>
        </w:rPr>
        <w:t xml:space="preserve">Jekk jogħġbok iġġustifika kif l-espert huwa indipendenti mill-awtorità tal-għotjiet. </w:t>
      </w:r>
    </w:p>
    <w:p w14:paraId="23E1B2C3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493BB2F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461 tas-CEEAG: </w:t>
      </w:r>
    </w:p>
    <w:p w14:paraId="5280B378" w14:textId="77777777" w:rsidR="00C737F1" w:rsidRPr="00571002" w:rsidRDefault="00C737F1" w:rsidP="00C737F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Jekk jogħġbok ipprovdi l-iskadenzi proposti tiegħek għas-sottomissjoni tar-rapport ta’ evalwazzjoni interim u finali. Jekk jogħġbok 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 Jekk jogħġbok kun af li din l-iskadenza tista’ titnaqqas għal skemi li għalihom jiskatta r-rekwiżit ta’ evalwazzjoni fl-aħħar sentejn ta’ implimentazzjoni tagħhom.</w:t>
      </w:r>
    </w:p>
    <w:p w14:paraId="2E71E1AE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 xml:space="preserve"> </w:t>
      </w:r>
      <w:r w:rsidRPr="00571002">
        <w:rPr>
          <w:noProof/>
        </w:rPr>
        <w:tab/>
      </w:r>
    </w:p>
    <w:p w14:paraId="61EB96F1" w14:textId="77777777" w:rsidR="00C737F1" w:rsidRPr="00571002" w:rsidRDefault="00C737F1" w:rsidP="00C737F1">
      <w:pPr>
        <w:pStyle w:val="Point1letter"/>
        <w:numPr>
          <w:ilvl w:val="3"/>
          <w:numId w:val="44"/>
        </w:numPr>
        <w:rPr>
          <w:noProof/>
        </w:rPr>
      </w:pPr>
      <w:r w:rsidRPr="00571002">
        <w:rPr>
          <w:noProof/>
        </w:rP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p w14:paraId="260A8760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CF82FF5" w14:textId="77777777" w:rsidR="00C737F1" w:rsidRPr="00571002" w:rsidRDefault="00C737F1" w:rsidP="00C737F1">
      <w:pPr>
        <w:pStyle w:val="ManualHeading2"/>
        <w:rPr>
          <w:noProof/>
        </w:rPr>
      </w:pPr>
      <w:r w:rsidRPr="00571002">
        <w:rPr>
          <w:noProof/>
        </w:rPr>
        <w:t>Taqsima D: Ir-rapportar u l-monitoraġġ</w:t>
      </w:r>
    </w:p>
    <w:p w14:paraId="5854D226" w14:textId="77777777" w:rsidR="00C737F1" w:rsidRPr="00571002" w:rsidRDefault="00C737F1" w:rsidP="00C737F1">
      <w:pPr>
        <w:pStyle w:val="ListParagraph"/>
        <w:ind w:left="0"/>
        <w:contextualSpacing w:val="0"/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għat-Taqsima 6 (il-punti 464 u 465) tas-CEEAG.</w:t>
      </w:r>
    </w:p>
    <w:p w14:paraId="490ED74B" w14:textId="77777777" w:rsidR="00C737F1" w:rsidRPr="00571002" w:rsidRDefault="00C737F1" w:rsidP="00C737F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ikkonferma li l-Istat Membru se jikkonforma mar-rekwiżiti għar-rappurtar u l-monitoraġġ stipulati fit-Taqsima 6, il-punti 464 u 465 tas-CEEAG. </w:t>
      </w:r>
    </w:p>
    <w:p w14:paraId="596629C4" w14:textId="77777777" w:rsidR="00C737F1" w:rsidRPr="00571002" w:rsidRDefault="00C737F1" w:rsidP="00C737F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0F4BCA1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9E8E9" w14:textId="77777777" w:rsidR="00C737F1" w:rsidRDefault="00C737F1" w:rsidP="00C737F1">
      <w:pPr>
        <w:spacing w:before="0" w:after="0"/>
      </w:pPr>
      <w:r>
        <w:separator/>
      </w:r>
    </w:p>
  </w:endnote>
  <w:endnote w:type="continuationSeparator" w:id="0">
    <w:p w14:paraId="0E466071" w14:textId="77777777" w:rsidR="00C737F1" w:rsidRDefault="00C737F1" w:rsidP="00C737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1FAD0" w14:textId="77777777" w:rsidR="00C737F1" w:rsidRDefault="00C7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E4F1" w14:textId="13EB241A" w:rsidR="00C737F1" w:rsidRDefault="00C737F1" w:rsidP="00C737F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1BD1" w14:textId="77777777" w:rsidR="00C737F1" w:rsidRDefault="00C73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AE003" w14:textId="77777777" w:rsidR="00C737F1" w:rsidRDefault="00C737F1" w:rsidP="00C737F1">
      <w:pPr>
        <w:spacing w:before="0" w:after="0"/>
      </w:pPr>
      <w:r>
        <w:separator/>
      </w:r>
    </w:p>
  </w:footnote>
  <w:footnote w:type="continuationSeparator" w:id="0">
    <w:p w14:paraId="50C9E8AC" w14:textId="77777777" w:rsidR="00C737F1" w:rsidRDefault="00C737F1" w:rsidP="00C737F1">
      <w:pPr>
        <w:spacing w:before="0" w:after="0"/>
      </w:pPr>
      <w:r>
        <w:continuationSeparator/>
      </w:r>
    </w:p>
  </w:footnote>
  <w:footnote w:id="1">
    <w:p w14:paraId="3F5D3605" w14:textId="77777777" w:rsidR="00C737F1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 xml:space="preserve">Jekk jogħġbok kun af li għal skema ta’ għajnuna, it-tul ta’ żmien huwa l-perjodu li matulu tista’ ssir applikazzjoni għall-għajnuna u tittieħed deċiżjoni dwarha (inkluż għalhekk iż-żmien meħtieġ biex l-awtoritajiet nazzjonali japprovaw l-applikazzjonijiet għall-għajnuna). It-tul ta’ żmien li hemm referenza għalih f’din id-domanda ma jirrigwardax it-tul tal-kuntratti konklużi taħt l-iskema ta’ għajnuna, li jistgħu jitkomplew wara t-tul ta’ żmien tal-miżura. </w:t>
      </w:r>
    </w:p>
  </w:footnote>
  <w:footnote w:id="2">
    <w:p w14:paraId="75EE3448" w14:textId="77777777" w:rsidR="00C737F1" w:rsidRPr="0067348B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Jekk jogħġbok kun af li bidla fil-baġit effettiv jew stmat tista’ tkun bidla fl-għajnuna, li teħtieġ notifika ġdida.</w:t>
      </w:r>
    </w:p>
  </w:footnote>
  <w:footnote w:id="3">
    <w:p w14:paraId="4E589F86" w14:textId="77777777" w:rsidR="00C737F1" w:rsidRPr="00CF158B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Jekk jogħġbok kun af li l-punti 38, 52, 165, 166 u 167 kif ukoll in-noti 39 u 45 f’qiegħ il-paġna tas-CEEAG jipprovdu gwida ulterjuri dwar kif għandu jiġi żviluppat ix-xenarju kontrofattwali probabbli.</w:t>
      </w:r>
    </w:p>
  </w:footnote>
  <w:footnote w:id="4">
    <w:p w14:paraId="38ECAAC7" w14:textId="77777777" w:rsidR="00C737F1" w:rsidRPr="00114695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“Proġett ta’ referenza” huwa definit fil-punt 19(63) tas-CEEAG.</w:t>
      </w:r>
    </w:p>
  </w:footnote>
  <w:footnote w:id="5">
    <w:p w14:paraId="6A6058A0" w14:textId="77777777" w:rsidR="00C737F1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Jekk inti tiddependi fuq proċess kompetittiv reċenti, jekk jogħġbok spjega kif dan il-proċess tal-offerti jista’ jitqies bħala kompetittiv, inkluż kif il-profitti mhux mistennija ġew evitati għal teknoloġiji differenti inklużi fil-proċess kompetittiv ta’ offerti, fejn applikabbli, u kif huwa paragunabbli, pereżempju:</w:t>
      </w:r>
    </w:p>
    <w:p w14:paraId="0D34E525" w14:textId="77777777" w:rsidR="00C737F1" w:rsidRDefault="00C737F1" w:rsidP="00C737F1">
      <w:pPr>
        <w:pStyle w:val="FootnoteText"/>
        <w:numPr>
          <w:ilvl w:val="0"/>
          <w:numId w:val="47"/>
        </w:numPr>
        <w:spacing w:before="0"/>
      </w:pPr>
      <w:r>
        <w:t>Il-kundizzjonijiet (eż. it-termini kuntrattwali u t-tul ta’ żmien, l-iskadenzi tal-investiment, jekk il-pagamenti ta’ appoġġ kinux indiċjati mal-inflazzjoni jew le) kienu simili għal dawk proposti fil-miżura notifikata?</w:t>
      </w:r>
    </w:p>
    <w:p w14:paraId="414768F3" w14:textId="77777777" w:rsidR="00C737F1" w:rsidRDefault="00C737F1" w:rsidP="00C737F1">
      <w:pPr>
        <w:pStyle w:val="FootnoteText"/>
        <w:numPr>
          <w:ilvl w:val="0"/>
          <w:numId w:val="47"/>
        </w:numPr>
        <w:spacing w:before="0"/>
      </w:pPr>
      <w:r>
        <w:t>Il-proċess kompetittiv twettaq taħt kundizzjonijiet makroekonomiċi simili?</w:t>
      </w:r>
    </w:p>
    <w:p w14:paraId="6B920811" w14:textId="77777777" w:rsidR="00C737F1" w:rsidRDefault="00C737F1" w:rsidP="00C737F1">
      <w:pPr>
        <w:pStyle w:val="FootnoteText"/>
        <w:numPr>
          <w:ilvl w:val="0"/>
          <w:numId w:val="47"/>
        </w:numPr>
        <w:spacing w:before="0"/>
      </w:pPr>
      <w:r>
        <w:t>It-teknoloġiji/it-tipi ta’ proġetti kienu simili?</w:t>
      </w:r>
    </w:p>
  </w:footnote>
  <w:footnote w:id="6">
    <w:p w14:paraId="5C4C738D" w14:textId="77777777" w:rsidR="00C737F1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Skont il-punt 19(89) tas-CEEAG, “standard tal-Unjoni” tfisser:</w:t>
      </w:r>
    </w:p>
    <w:p w14:paraId="7BF9E054" w14:textId="77777777" w:rsidR="00C737F1" w:rsidRPr="004B74BC" w:rsidRDefault="00C737F1" w:rsidP="00C737F1">
      <w:pPr>
        <w:pStyle w:val="FootnoteText"/>
        <w:numPr>
          <w:ilvl w:val="0"/>
          <w:numId w:val="46"/>
        </w:numPr>
        <w:spacing w:before="0"/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3C1FFD3D" w14:textId="77777777" w:rsidR="00C737F1" w:rsidRDefault="00C737F1" w:rsidP="00C737F1">
      <w:pPr>
        <w:pStyle w:val="FootnoteText"/>
        <w:numPr>
          <w:ilvl w:val="0"/>
          <w:numId w:val="46"/>
        </w:numPr>
        <w:spacing w:before="0"/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oħra applikabbli, dawk il-livelli jkunu applikabbli għall-fini ta’ dawn il-linji gwida; meta dawn il-livelli jkunu espressi bħala firxa, ikun applikabbli l-limitu li jintlaħaq bl-aqwa tekniki disponibbli tal-impriża kkonċernata.</w:t>
      </w:r>
    </w:p>
  </w:footnote>
  <w:footnote w:id="7">
    <w:p w14:paraId="3242D76A" w14:textId="77777777" w:rsidR="00C737F1" w:rsidRPr="001A577D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 xml:space="preserve">Fejn tintwera adegwatament, tista’ tiġi kkunsidrata wkoll is-sitwazzjoni speċifika fil-livell tar-reġjun jew reġjuni kkonċernati. </w:t>
      </w:r>
    </w:p>
  </w:footnote>
  <w:footnote w:id="8">
    <w:p w14:paraId="494ED792" w14:textId="77777777" w:rsidR="00C737F1" w:rsidRPr="0012122C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In-novità, pereżempju, tista’ tintwera mill-Istati Membri fuq il-bażi ta’ deskrizzjoni preċiża tal-innovazzjoni u tal-kundizzjonijiet tas-suq għall-introduzzjoni jew id-diffużjoni tagħha, li tqabbilha mal-aktar proċessi avvanzati jew l-aktar tekniki ta’ organizzazzjoni avvanzati ġeneralment użati minn impriżi oħra fl-istess industrija.</w:t>
      </w:r>
    </w:p>
  </w:footnote>
  <w:footnote w:id="9">
    <w:p w14:paraId="70B0E29D" w14:textId="77777777" w:rsidR="00C737F1" w:rsidRPr="003E2299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Jekk il-parametri kwantitattivi jistgħu jintużaw sabiex jiġu pparagunati attivitajiet ekoinnovattivi ma’ attivitajiet standard li mhumiex innovattivi, “ferm ogħla” tfisser li t-titjib marġinali mistenni minn attivitajiet ekoinnovattivi, f’termini ta’ riskju ambjentali jew tniġġis imnaqqas, jew effiċjenza mtejba fl-enerġija jew fir-riżorsi, jenħtieġ li jkun mill-inqas darbtejn ogħla mit-titjib marġinali mistenni mill-iżvilupp ġenerali ta’ attivitajiet paragunabbli li mhumiex innovattivi. Meta l-approċċ propost ma jkunx xieraq għal każ partikolari, jew jekk ma jkunx possibbli li jsir paragun kwantitattiv, jenħtieġ li l-fajl tal-applikazzjoni għall-għajnuna mill-Istat jinkludi deskrizzjoni ddettaljata tal-metodu użat għall-valutazzjoni ta’ dan il-kriterju, waqt li jiġi assigurat standard komparabbli għal dak tal-metodu propost.</w:t>
      </w:r>
    </w:p>
  </w:footnote>
  <w:footnote w:id="10">
    <w:p w14:paraId="4CF2946D" w14:textId="77777777" w:rsidR="00C737F1" w:rsidRPr="003E2299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Ir-riskju jista’ jintwera mill-Istat Membru pereżempju f’termini ta’ kostijiet marbuta mal-fatturat tal-impriża, iż-żmien meħtieġ għall-iżvilupp, il-benefiċċji mistennija mill-attività ta’ ekoinnovazzjoni fejn għandhom x’jaqsmu l-kostijiet, u probabbiltà ta’ falliment.</w:t>
      </w:r>
    </w:p>
  </w:footnote>
  <w:footnote w:id="11">
    <w:p w14:paraId="1134E8F3" w14:textId="77777777" w:rsidR="00C737F1" w:rsidRPr="0095488F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Jekk jogħġbok irreferi wkoll għall-informazzjoni ulterjuri fil-punti 51-53 kif ukoll in-noti 45 u 46 f’qiegħ il-paġna tas-CEEAG.</w:t>
      </w:r>
    </w:p>
  </w:footnote>
  <w:footnote w:id="12">
    <w:p w14:paraId="35D97377" w14:textId="77777777" w:rsidR="00C737F1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Il-finanzjament tal-Unjoni ġestit ċentralment huwa l-finanzjament tal-Unjoni ġestit ċentralment mill-istituzzjonijiet, l-aġenziji, l-impriżi konġunti jew korpi oħrajn tal-Unjoni Ewropea u li mhuwiex direttament jew indirettament taħt il-kontroll tal-Istat Membru.</w:t>
      </w:r>
    </w:p>
  </w:footnote>
  <w:footnote w:id="13">
    <w:p w14:paraId="722F771E" w14:textId="77777777" w:rsidR="00C737F1" w:rsidRPr="008772CC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4">
    <w:p w14:paraId="21F9A067" w14:textId="77777777" w:rsidR="00C737F1" w:rsidRDefault="00C737F1" w:rsidP="00C737F1">
      <w:pPr>
        <w:pStyle w:val="FootnoteText"/>
      </w:pPr>
      <w:r>
        <w:rPr>
          <w:rStyle w:val="FootnoteReference"/>
        </w:rPr>
        <w:footnoteRef/>
      </w:r>
      <w:r>
        <w:tab/>
        <w:t xml:space="preserve">Il-mudell għall-iskeda ta’ informazzjoni supplimentari għan-notifika tal-pjan ta’ evalwazzjoni (il-Parti 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27A46" w14:textId="77777777" w:rsidR="00C737F1" w:rsidRDefault="00C7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C6B2" w14:textId="77777777" w:rsidR="00C737F1" w:rsidRDefault="00C7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DCC7" w14:textId="77777777" w:rsidR="00C737F1" w:rsidRDefault="00C7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669AC17E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  <w:i w:val="0"/>
        <w:iCs/>
        <w:sz w:val="24"/>
        <w:szCs w:val="24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38A26349"/>
    <w:multiLevelType w:val="hybridMultilevel"/>
    <w:tmpl w:val="A33EFBB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C854A42"/>
    <w:multiLevelType w:val="hybridMultilevel"/>
    <w:tmpl w:val="15FE087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7"/>
  </w:num>
  <w:num w:numId="2" w16cid:durableId="70546065">
    <w:abstractNumId w:val="13"/>
  </w:num>
  <w:num w:numId="3" w16cid:durableId="1999067676">
    <w:abstractNumId w:val="16"/>
  </w:num>
  <w:num w:numId="4" w16cid:durableId="269362632">
    <w:abstractNumId w:val="20"/>
  </w:num>
  <w:num w:numId="5" w16cid:durableId="943927640">
    <w:abstractNumId w:val="21"/>
  </w:num>
  <w:num w:numId="6" w16cid:durableId="547230529">
    <w:abstractNumId w:val="12"/>
  </w:num>
  <w:num w:numId="7" w16cid:durableId="2009407815">
    <w:abstractNumId w:val="19"/>
  </w:num>
  <w:num w:numId="8" w16cid:durableId="1698462345">
    <w:abstractNumId w:val="23"/>
  </w:num>
  <w:num w:numId="9" w16cid:durableId="892229723">
    <w:abstractNumId w:val="22"/>
  </w:num>
  <w:num w:numId="10" w16cid:durableId="599681503">
    <w:abstractNumId w:val="22"/>
  </w:num>
  <w:num w:numId="11" w16cid:durableId="631178489">
    <w:abstractNumId w:val="7"/>
  </w:num>
  <w:num w:numId="12" w16cid:durableId="503668344">
    <w:abstractNumId w:val="5"/>
  </w:num>
  <w:num w:numId="13" w16cid:durableId="811755485">
    <w:abstractNumId w:val="4"/>
  </w:num>
  <w:num w:numId="14" w16cid:durableId="2072803304">
    <w:abstractNumId w:val="3"/>
  </w:num>
  <w:num w:numId="15" w16cid:durableId="1397050786">
    <w:abstractNumId w:val="6"/>
  </w:num>
  <w:num w:numId="16" w16cid:durableId="1511329551">
    <w:abstractNumId w:val="2"/>
  </w:num>
  <w:num w:numId="17" w16cid:durableId="845631935">
    <w:abstractNumId w:val="1"/>
  </w:num>
  <w:num w:numId="18" w16cid:durableId="124978832">
    <w:abstractNumId w:val="0"/>
  </w:num>
  <w:num w:numId="19" w16cid:durableId="1160271050">
    <w:abstractNumId w:val="11"/>
  </w:num>
  <w:num w:numId="20" w16cid:durableId="458106537">
    <w:abstractNumId w:val="11"/>
  </w:num>
  <w:num w:numId="21" w16cid:durableId="960915140">
    <w:abstractNumId w:val="8"/>
  </w:num>
  <w:num w:numId="22" w16cid:durableId="1221357290">
    <w:abstractNumId w:val="9"/>
  </w:num>
  <w:num w:numId="23" w16cid:durableId="1762600965">
    <w:abstractNumId w:val="15"/>
  </w:num>
  <w:num w:numId="24" w16cid:durableId="11689029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355677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64795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10054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6896092">
    <w:abstractNumId w:val="8"/>
    <w:lvlOverride w:ilvl="0">
      <w:startOverride w:val="1"/>
    </w:lvlOverride>
  </w:num>
  <w:num w:numId="29" w16cid:durableId="1326281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4274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5063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57941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966335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81969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4607321">
    <w:abstractNumId w:val="8"/>
    <w:lvlOverride w:ilvl="0">
      <w:startOverride w:val="1"/>
    </w:lvlOverride>
  </w:num>
  <w:num w:numId="36" w16cid:durableId="1475827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3573940">
    <w:abstractNumId w:val="8"/>
    <w:lvlOverride w:ilvl="0">
      <w:startOverride w:val="1"/>
    </w:lvlOverride>
  </w:num>
  <w:num w:numId="38" w16cid:durableId="1109160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47163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504098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33569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1243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83247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11909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2558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3445154">
    <w:abstractNumId w:val="14"/>
  </w:num>
  <w:num w:numId="47" w16cid:durableId="950478072">
    <w:abstractNumId w:val="18"/>
  </w:num>
  <w:num w:numId="48" w16cid:durableId="16692909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72048838">
    <w:abstractNumId w:val="1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737F1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334F6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37F1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C752"/>
  <w15:chartTrackingRefBased/>
  <w15:docId w15:val="{CE527BE7-BF1A-4956-9FA1-A6EB8EB7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7F1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10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10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10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1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F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F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8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,L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20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20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20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20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20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21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2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3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F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F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737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F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F1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737F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F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737F1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C737F1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oj-italic">
    <w:name w:val="oj-italic"/>
    <w:rsid w:val="00C737F1"/>
  </w:style>
  <w:style w:type="paragraph" w:customStyle="1" w:styleId="paragraph">
    <w:name w:val="paragraph"/>
    <w:basedOn w:val="Normal"/>
    <w:rsid w:val="00C737F1"/>
    <w:pPr>
      <w:spacing w:before="100" w:beforeAutospacing="1" w:after="100" w:afterAutospacing="1"/>
      <w:jc w:val="left"/>
    </w:pPr>
    <w:rPr>
      <w:rFonts w:eastAsia="Times New Roman"/>
      <w:szCs w:val="24"/>
      <w:lang w:eastAsia="en-IE"/>
    </w:rPr>
  </w:style>
  <w:style w:type="paragraph" w:customStyle="1" w:styleId="Text1">
    <w:name w:val="Text 1"/>
    <w:basedOn w:val="Normal"/>
    <w:rsid w:val="00C737F1"/>
    <w:pPr>
      <w:ind w:left="850"/>
    </w:pPr>
  </w:style>
  <w:style w:type="paragraph" w:customStyle="1" w:styleId="Text2">
    <w:name w:val="Text 2"/>
    <w:basedOn w:val="Normal"/>
    <w:rsid w:val="00C737F1"/>
    <w:pPr>
      <w:ind w:left="1417"/>
    </w:pPr>
  </w:style>
  <w:style w:type="paragraph" w:customStyle="1" w:styleId="Point0number">
    <w:name w:val="Point 0 (number)"/>
    <w:basedOn w:val="Normal"/>
    <w:rsid w:val="00C737F1"/>
    <w:pPr>
      <w:numPr>
        <w:numId w:val="25"/>
      </w:numPr>
    </w:pPr>
  </w:style>
  <w:style w:type="paragraph" w:customStyle="1" w:styleId="Point1number">
    <w:name w:val="Point 1 (number)"/>
    <w:basedOn w:val="Normal"/>
    <w:rsid w:val="00C737F1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C737F1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C737F1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C737F1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C737F1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C737F1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C737F1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C737F1"/>
    <w:pPr>
      <w:numPr>
        <w:ilvl w:val="8"/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5158</Words>
  <Characters>36884</Characters>
  <DocSecurity>0</DocSecurity>
  <Lines>723</Lines>
  <Paragraphs>232</Paragraphs>
  <ScaleCrop>false</ScaleCrop>
  <LinksUpToDate>false</LinksUpToDate>
  <CharactersWithSpaces>41810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2025-06-08T12:15:00Z</dcterms:created>
  <dcterms:modified xsi:type="dcterms:W3CDTF">2025-06-08T12:18:00Z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2025-06-08T12:18:49Z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6dee9744-5c42-4bc2-a5cd-b5bd87bf6b1c</vt:lpwstr>
  </property>
  <property fmtid="{D5CDD505-2E9C-101B-9397-08002B2CF9AE}" pid="8" name="MSIP_Label_6bd9ddd1-4d20-43f6-abfa-fc3c07406f94_ContentBits">
    <vt:lpwstr>0</vt:lpwstr>
  </property>
</Properties>
</file>