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30EF2" w14:textId="49A89299" w:rsidR="00655C0A" w:rsidRPr="00A51F47" w:rsidRDefault="00655C0A" w:rsidP="00655C0A">
      <w:pPr>
        <w:pStyle w:val="ManualHeading1"/>
        <w:rPr>
          <w:rFonts w:eastAsia="Times New Roman"/>
          <w:noProof/>
          <w:szCs w:val="24"/>
        </w:rPr>
      </w:pPr>
      <w:r w:rsidRPr="00A51F47">
        <w:rPr>
          <w:noProof/>
        </w:rPr>
        <w:t>D</w:t>
      </w:r>
      <w:r w:rsidR="0001224A" w:rsidRPr="00A51F47">
        <w:rPr>
          <w:noProof/>
        </w:rPr>
        <w:t>IO</w:t>
      </w:r>
      <w:r w:rsidRPr="00A51F47">
        <w:rPr>
          <w:noProof/>
        </w:rPr>
        <w:t> III.6.E</w:t>
      </w:r>
      <w:r>
        <w:rPr>
          <w:noProof/>
        </w:rPr>
        <w:t xml:space="preserve"> - </w:t>
      </w:r>
      <w:r w:rsidRPr="00A51F47">
        <w:rPr>
          <w:noProof/>
        </w:rPr>
        <w:t>Obrazac o dodatnim podacima za državnu potporu dodijeljenu u okviru smjernica o državnim potporama za klimu, zaštitu okoliša i energiju za 2022. (dalje u tekstu „CEEAG”) – Odjeljak 4.4. – Potpore za učinkovitu uporabu resursa i podupiranje prelaska na kružno gospodarstvo</w:t>
      </w:r>
    </w:p>
    <w:p w14:paraId="7D713998" w14:textId="77777777" w:rsidR="00655C0A" w:rsidRPr="00A51F47" w:rsidRDefault="00655C0A" w:rsidP="00655C0A">
      <w:pPr>
        <w:ind w:right="-142"/>
        <w:rPr>
          <w:rFonts w:eastAsia="Times New Roman"/>
          <w:i/>
          <w:iCs/>
          <w:noProof/>
          <w:szCs w:val="24"/>
        </w:rPr>
      </w:pPr>
      <w:r w:rsidRPr="00A51F47">
        <w:rPr>
          <w:i/>
          <w:noProof/>
        </w:rPr>
        <w:t xml:space="preserve">Ovaj obrazac o dodatnim podacima odnosi se na mjere obuhvaćene odjeljkom 4.4. CEEAG-a. Ako prijava uključuje mjere na koje se odnosi više odjeljaka CEEAG-a, nakon što postane dostupan ispunite i odgovarajući obrazac o dodatnim podacima koji se odnosi na odgovarajuće odjeljke CEEAG-a. </w:t>
      </w:r>
    </w:p>
    <w:p w14:paraId="7BBB7AB2" w14:textId="77777777" w:rsidR="00655C0A" w:rsidRPr="00A51F47" w:rsidRDefault="00655C0A" w:rsidP="00655C0A">
      <w:pPr>
        <w:ind w:right="-142"/>
        <w:rPr>
          <w:rFonts w:eastAsia="Times New Roman"/>
          <w:i/>
          <w:iCs/>
          <w:noProof/>
          <w:szCs w:val="24"/>
        </w:rPr>
      </w:pPr>
      <w:r w:rsidRPr="00A51F47">
        <w:rPr>
          <w:i/>
          <w:noProof/>
        </w:rPr>
        <w:t>Svi dokumenti koje države članice prilažu obrascu o dodatnim podacima moraju biti označeni brojevima, a brojevi dokumenata navode se u odgovarajućim odjeljcima ovog obrasca o dodatnim podacima.</w:t>
      </w:r>
    </w:p>
    <w:p w14:paraId="625EEFE1" w14:textId="77777777" w:rsidR="00655C0A" w:rsidRPr="00A51F47" w:rsidRDefault="00655C0A" w:rsidP="00655C0A">
      <w:pPr>
        <w:pStyle w:val="ManualHeading2"/>
        <w:rPr>
          <w:noProof/>
        </w:rPr>
      </w:pPr>
      <w:r w:rsidRPr="00A51F47">
        <w:rPr>
          <w:noProof/>
        </w:rPr>
        <w:t>Odjeljak A: Sažetak glavnih obilježja prijavljenih mjera</w:t>
      </w:r>
    </w:p>
    <w:p w14:paraId="6F257642" w14:textId="77777777" w:rsidR="00655C0A" w:rsidRPr="00655C0A" w:rsidRDefault="00655C0A" w:rsidP="00655C0A">
      <w:pPr>
        <w:pStyle w:val="NumPar1"/>
        <w:numPr>
          <w:ilvl w:val="0"/>
          <w:numId w:val="24"/>
        </w:numPr>
        <w:rPr>
          <w:noProof/>
        </w:rPr>
      </w:pPr>
      <w:r w:rsidRPr="00655C0A">
        <w:rPr>
          <w:noProof/>
        </w:rPr>
        <w:t>Kontekst i ciljevi prijavljenih mjera</w:t>
      </w:r>
    </w:p>
    <w:p w14:paraId="0B36B4EC" w14:textId="77777777" w:rsidR="00655C0A" w:rsidRPr="00A51F47" w:rsidRDefault="00655C0A" w:rsidP="00655C0A">
      <w:pPr>
        <w:pStyle w:val="NumPar2"/>
        <w:numPr>
          <w:ilvl w:val="1"/>
          <w:numId w:val="19"/>
        </w:numPr>
        <w:rPr>
          <w:noProof/>
        </w:rPr>
      </w:pPr>
      <w:r w:rsidRPr="00A51F47">
        <w:rPr>
          <w:noProof/>
        </w:rPr>
        <w:t>Ako se o tome već nije raspravljalo u odjeljku 5.2. obrasca o općim podacima (dio I.), navedite kontekst i glavni cilj, uključujući ciljeve Unije za prelazak na kružno gospodarstvo koje se mjerom namjerava poduprijeti.</w:t>
      </w:r>
    </w:p>
    <w:p w14:paraId="4CC7676C" w14:textId="77777777" w:rsidR="00655C0A" w:rsidRPr="00A51F47" w:rsidRDefault="00655C0A" w:rsidP="00655C0A">
      <w:pPr>
        <w:tabs>
          <w:tab w:val="left" w:leader="dot" w:pos="9072"/>
        </w:tabs>
        <w:ind w:left="567"/>
        <w:rPr>
          <w:noProof/>
        </w:rPr>
      </w:pPr>
      <w:r w:rsidRPr="00A51F47">
        <w:rPr>
          <w:noProof/>
        </w:rPr>
        <w:tab/>
      </w:r>
    </w:p>
    <w:p w14:paraId="18D78216" w14:textId="77777777" w:rsidR="00655C0A" w:rsidRPr="00A51F47" w:rsidRDefault="00655C0A" w:rsidP="00655C0A">
      <w:pPr>
        <w:pStyle w:val="NumPar2"/>
        <w:numPr>
          <w:ilvl w:val="1"/>
          <w:numId w:val="19"/>
        </w:numPr>
        <w:rPr>
          <w:noProof/>
        </w:rPr>
      </w:pPr>
      <w:r w:rsidRPr="00A51F47">
        <w:rPr>
          <w:noProof/>
        </w:rPr>
        <w:t xml:space="preserve">Navedite sve druge ciljeve koji se nastoje postići mjerom. Ako je riječ o ciljevima koji nisu isključivo okolišni, objasnite mogu li dovesti do narušavanja tržišnog natjecanja na unutarnjem tržištu. </w:t>
      </w:r>
    </w:p>
    <w:p w14:paraId="1EA65665" w14:textId="77777777" w:rsidR="00655C0A" w:rsidRPr="00A51F47" w:rsidRDefault="00655C0A" w:rsidP="00655C0A">
      <w:pPr>
        <w:tabs>
          <w:tab w:val="left" w:leader="dot" w:pos="9072"/>
        </w:tabs>
        <w:ind w:left="567"/>
        <w:rPr>
          <w:noProof/>
        </w:rPr>
      </w:pPr>
      <w:r w:rsidRPr="00A51F47">
        <w:rPr>
          <w:noProof/>
        </w:rPr>
        <w:tab/>
      </w:r>
    </w:p>
    <w:p w14:paraId="6E4D1058" w14:textId="77777777" w:rsidR="00655C0A" w:rsidRPr="00655C0A" w:rsidRDefault="00655C0A" w:rsidP="00655C0A">
      <w:pPr>
        <w:pStyle w:val="NumPar1"/>
        <w:numPr>
          <w:ilvl w:val="0"/>
          <w:numId w:val="24"/>
        </w:numPr>
        <w:rPr>
          <w:noProof/>
        </w:rPr>
      </w:pPr>
      <w:r w:rsidRPr="00655C0A">
        <w:rPr>
          <w:noProof/>
        </w:rPr>
        <w:t>Stupanje na snagu i trajanje</w:t>
      </w:r>
    </w:p>
    <w:p w14:paraId="1D78EDE4" w14:textId="77777777" w:rsidR="00655C0A" w:rsidRPr="00A51F47" w:rsidRDefault="00655C0A" w:rsidP="00655C0A">
      <w:pPr>
        <w:pStyle w:val="NumPar2"/>
        <w:numPr>
          <w:ilvl w:val="1"/>
          <w:numId w:val="19"/>
        </w:numPr>
        <w:rPr>
          <w:noProof/>
        </w:rPr>
      </w:pPr>
      <w:r w:rsidRPr="00A51F47">
        <w:rPr>
          <w:noProof/>
        </w:rPr>
        <w:t>Ako već nije naveden u odjeljku </w:t>
      </w:r>
      <w:r>
        <w:rPr>
          <w:noProof/>
        </w:rPr>
        <w:t>5.4</w:t>
      </w:r>
      <w:r w:rsidRPr="00A51F47">
        <w:rPr>
          <w:noProof/>
        </w:rPr>
        <w:t>. obrasca o općim podacima (dio I.), navedite datum na koji bi program potpore trebao stupiti na snagu.</w:t>
      </w:r>
    </w:p>
    <w:p w14:paraId="434B0949" w14:textId="77777777" w:rsidR="00655C0A" w:rsidRPr="00A51F47" w:rsidRDefault="00655C0A" w:rsidP="00655C0A">
      <w:pPr>
        <w:tabs>
          <w:tab w:val="left" w:leader="dot" w:pos="9072"/>
        </w:tabs>
        <w:ind w:left="567"/>
        <w:rPr>
          <w:noProof/>
        </w:rPr>
      </w:pPr>
      <w:r w:rsidRPr="00A51F47">
        <w:rPr>
          <w:noProof/>
        </w:rPr>
        <w:tab/>
      </w:r>
    </w:p>
    <w:p w14:paraId="30B01DF9" w14:textId="77777777" w:rsidR="00655C0A" w:rsidRPr="00A51F47" w:rsidRDefault="00655C0A" w:rsidP="00655C0A">
      <w:pPr>
        <w:pStyle w:val="NumPar2"/>
        <w:numPr>
          <w:ilvl w:val="1"/>
          <w:numId w:val="19"/>
        </w:numPr>
        <w:rPr>
          <w:noProof/>
        </w:rPr>
      </w:pPr>
      <w:r w:rsidRPr="00A51F47">
        <w:rPr>
          <w:noProof/>
        </w:rPr>
        <w:t>Navedite trajanje programa</w:t>
      </w:r>
      <w:r w:rsidRPr="00A51F47">
        <w:rPr>
          <w:rStyle w:val="FootnoteReference"/>
          <w:rFonts w:cs="Arial Unicode MS"/>
          <w:bCs/>
          <w:noProof/>
          <w:lang w:bidi="si-LK"/>
        </w:rPr>
        <w:footnoteReference w:id="1"/>
      </w:r>
      <w:r w:rsidRPr="00A51F47">
        <w:rPr>
          <w:noProof/>
        </w:rPr>
        <w:t>.</w:t>
      </w:r>
    </w:p>
    <w:p w14:paraId="6F7A94DF" w14:textId="77777777" w:rsidR="00655C0A" w:rsidRPr="00A51F47" w:rsidRDefault="00655C0A" w:rsidP="00655C0A">
      <w:pPr>
        <w:tabs>
          <w:tab w:val="left" w:leader="dot" w:pos="9072"/>
        </w:tabs>
        <w:ind w:left="567"/>
        <w:rPr>
          <w:noProof/>
        </w:rPr>
      </w:pPr>
      <w:r w:rsidRPr="00A51F47">
        <w:rPr>
          <w:noProof/>
        </w:rPr>
        <w:tab/>
      </w:r>
    </w:p>
    <w:p w14:paraId="4CAE30C9" w14:textId="77777777" w:rsidR="00655C0A" w:rsidRPr="00655C0A" w:rsidRDefault="00655C0A" w:rsidP="00655C0A">
      <w:pPr>
        <w:pStyle w:val="NumPar1"/>
        <w:numPr>
          <w:ilvl w:val="0"/>
          <w:numId w:val="24"/>
        </w:numPr>
        <w:rPr>
          <w:rFonts w:cs="Arial Unicode MS"/>
          <w:noProof/>
        </w:rPr>
      </w:pPr>
      <w:r w:rsidRPr="00655C0A">
        <w:rPr>
          <w:noProof/>
        </w:rPr>
        <w:t>Korisnici</w:t>
      </w:r>
      <w:r w:rsidRPr="00655C0A">
        <w:rPr>
          <w:noProof/>
        </w:rPr>
        <w:tab/>
      </w:r>
    </w:p>
    <w:p w14:paraId="51927FF0" w14:textId="77777777" w:rsidR="00655C0A" w:rsidRPr="00A51F47" w:rsidRDefault="00655C0A" w:rsidP="00655C0A">
      <w:pPr>
        <w:pStyle w:val="NumPar2"/>
        <w:numPr>
          <w:ilvl w:val="1"/>
          <w:numId w:val="19"/>
        </w:numPr>
        <w:rPr>
          <w:noProof/>
          <w:szCs w:val="24"/>
        </w:rPr>
      </w:pPr>
      <w:r w:rsidRPr="00A51F47">
        <w:rPr>
          <w:noProof/>
        </w:rPr>
        <w:t>Ako već nisu opisani u odjeljku 3. obrasca o općim podacima (dio I.), opišite (potencijalne) korisnike mjera.</w:t>
      </w:r>
    </w:p>
    <w:p w14:paraId="7C42E9C2" w14:textId="77777777" w:rsidR="00655C0A" w:rsidRPr="00A51F47" w:rsidRDefault="00655C0A" w:rsidP="00655C0A">
      <w:pPr>
        <w:tabs>
          <w:tab w:val="left" w:leader="dot" w:pos="9072"/>
        </w:tabs>
        <w:ind w:left="567"/>
        <w:rPr>
          <w:noProof/>
        </w:rPr>
      </w:pPr>
      <w:r w:rsidRPr="00A51F47">
        <w:rPr>
          <w:noProof/>
        </w:rPr>
        <w:tab/>
      </w:r>
    </w:p>
    <w:p w14:paraId="2E0EB3EF" w14:textId="77777777" w:rsidR="00655C0A" w:rsidRPr="00A51F47" w:rsidRDefault="00655C0A" w:rsidP="00655C0A">
      <w:pPr>
        <w:pStyle w:val="NumPar2"/>
        <w:numPr>
          <w:ilvl w:val="1"/>
          <w:numId w:val="19"/>
        </w:numPr>
        <w:rPr>
          <w:noProof/>
          <w:szCs w:val="24"/>
        </w:rPr>
      </w:pPr>
      <w:r w:rsidRPr="00A51F47">
        <w:rPr>
          <w:noProof/>
        </w:rPr>
        <w:t>Navedite lokaciju korisnika (tj. jesu li za sudjelovanje u mjeri prihvatljivi samo gospodarski subjekti koji se nalaze u predmetnoj državi članici ili i oni iz drugih država članica).</w:t>
      </w:r>
    </w:p>
    <w:p w14:paraId="0519A66E" w14:textId="77777777" w:rsidR="00655C0A" w:rsidRPr="00A51F47" w:rsidRDefault="00655C0A" w:rsidP="00655C0A">
      <w:pPr>
        <w:tabs>
          <w:tab w:val="left" w:leader="dot" w:pos="9072"/>
        </w:tabs>
        <w:ind w:left="567"/>
        <w:rPr>
          <w:noProof/>
        </w:rPr>
      </w:pPr>
      <w:r w:rsidRPr="00A51F47">
        <w:rPr>
          <w:noProof/>
        </w:rPr>
        <w:tab/>
      </w:r>
    </w:p>
    <w:p w14:paraId="44126BD4" w14:textId="77777777" w:rsidR="00655C0A" w:rsidRPr="00A51F47" w:rsidRDefault="00655C0A" w:rsidP="00655C0A">
      <w:pPr>
        <w:pStyle w:val="NumPar2"/>
        <w:numPr>
          <w:ilvl w:val="1"/>
          <w:numId w:val="19"/>
        </w:numPr>
        <w:rPr>
          <w:noProof/>
          <w:szCs w:val="24"/>
        </w:rPr>
      </w:pPr>
      <w:r w:rsidRPr="00A51F47">
        <w:rPr>
          <w:noProof/>
        </w:rPr>
        <w:lastRenderedPageBreak/>
        <w:t xml:space="preserve">Kako bi se ocijenila usklađenost s točkom 15. CEEAG-a, navedite dodjeljuje li se potpora u okviru mjera u korist poduzetnika (pojedinačno ili u okviru programa) koji nije izvršio nalog za povrat sredstava na temelju prethodne odluke Komisije kojom je potpora ocijenjena protuzakonitom i nespojivom s unutarnjim tržištem. </w:t>
      </w:r>
    </w:p>
    <w:p w14:paraId="11BF81C1" w14:textId="77777777" w:rsidR="00655C0A" w:rsidRPr="00A51F47" w:rsidRDefault="00655C0A" w:rsidP="00655C0A">
      <w:pPr>
        <w:pStyle w:val="Text1"/>
        <w:rPr>
          <w:noProof/>
        </w:rPr>
      </w:pPr>
      <w:r w:rsidRPr="00A51F47">
        <w:rPr>
          <w:noProof/>
        </w:rPr>
        <w:t xml:space="preserve">Ako se dodjeljuje, navedite podatke o iznosu potpore koji još nije vraćen kako bi ga Komisija uzela u obzir pri ocjeni mjere potpore. </w:t>
      </w:r>
    </w:p>
    <w:p w14:paraId="7AE18581" w14:textId="77777777" w:rsidR="00655C0A" w:rsidRPr="00A51F47" w:rsidRDefault="00655C0A" w:rsidP="00655C0A">
      <w:pPr>
        <w:tabs>
          <w:tab w:val="left" w:leader="dot" w:pos="9072"/>
        </w:tabs>
        <w:ind w:left="567"/>
        <w:rPr>
          <w:noProof/>
        </w:rPr>
      </w:pPr>
      <w:r w:rsidRPr="00A51F47">
        <w:rPr>
          <w:noProof/>
        </w:rPr>
        <w:tab/>
      </w:r>
    </w:p>
    <w:p w14:paraId="38CB8F23" w14:textId="77777777" w:rsidR="00655C0A" w:rsidRPr="00655C0A" w:rsidRDefault="00655C0A" w:rsidP="00655C0A">
      <w:pPr>
        <w:pStyle w:val="NumPar1"/>
        <w:numPr>
          <w:ilvl w:val="0"/>
          <w:numId w:val="24"/>
        </w:numPr>
        <w:rPr>
          <w:noProof/>
        </w:rPr>
      </w:pPr>
      <w:r w:rsidRPr="00655C0A">
        <w:rPr>
          <w:noProof/>
        </w:rPr>
        <w:t>Potvrdite da mjera ne uključuje potporu za djelatnosti koje nisu obuhvaćene područjem primjene CEEAG-a (vidjeti točku 13. CEEAG-a). U protivnom navedite pojedinosti.</w:t>
      </w:r>
    </w:p>
    <w:p w14:paraId="743F137E" w14:textId="77777777" w:rsidR="00655C0A" w:rsidRPr="00A51F47" w:rsidRDefault="00655C0A" w:rsidP="00655C0A">
      <w:pPr>
        <w:tabs>
          <w:tab w:val="left" w:leader="dot" w:pos="9072"/>
        </w:tabs>
        <w:ind w:left="567"/>
        <w:rPr>
          <w:noProof/>
        </w:rPr>
      </w:pPr>
      <w:r w:rsidRPr="00A51F47">
        <w:rPr>
          <w:noProof/>
        </w:rPr>
        <w:tab/>
      </w:r>
    </w:p>
    <w:p w14:paraId="32DBCA8D" w14:textId="77777777" w:rsidR="00655C0A" w:rsidRPr="00655C0A" w:rsidRDefault="00655C0A" w:rsidP="00655C0A">
      <w:pPr>
        <w:pStyle w:val="NumPar1"/>
        <w:numPr>
          <w:ilvl w:val="0"/>
          <w:numId w:val="24"/>
        </w:numPr>
        <w:rPr>
          <w:rFonts w:cs="Arial Unicode MS"/>
          <w:noProof/>
        </w:rPr>
      </w:pPr>
      <w:r w:rsidRPr="00655C0A">
        <w:rPr>
          <w:noProof/>
        </w:rPr>
        <w:t>Proračun i financiranje mjera</w:t>
      </w:r>
    </w:p>
    <w:p w14:paraId="34F64DC7" w14:textId="77777777" w:rsidR="00655C0A" w:rsidRPr="00A51F47" w:rsidRDefault="00655C0A" w:rsidP="00655C0A">
      <w:pPr>
        <w:pStyle w:val="NumPar2"/>
        <w:numPr>
          <w:ilvl w:val="1"/>
          <w:numId w:val="19"/>
        </w:numPr>
        <w:rPr>
          <w:rFonts w:cs="Arial Unicode MS"/>
          <w:bCs/>
          <w:noProof/>
        </w:rPr>
      </w:pPr>
      <w:r w:rsidRPr="00A51F47">
        <w:rPr>
          <w:noProof/>
        </w:rPr>
        <w:t>Ako već nije naveden u tablici u odjeljku 7.1. obrasca o općim podacima (dio I.), navedite godišnji i/ili ukupni proračun za cijelo trajanje mjera, a ako ukupni proračun nije poznat (npr. jer ovisi o rezultatima natječajâ), navedite procijenjeni proračun, uključujući pretpostavke na temelju kojih je izračunan</w:t>
      </w:r>
      <w:r w:rsidRPr="00A51F47">
        <w:rPr>
          <w:rStyle w:val="FootnoteReference"/>
          <w:noProof/>
        </w:rPr>
        <w:footnoteReference w:id="2"/>
      </w:r>
      <w:r w:rsidRPr="00A51F47">
        <w:rPr>
          <w:noProof/>
        </w:rPr>
        <w:t>.</w:t>
      </w:r>
    </w:p>
    <w:p w14:paraId="68129ADD" w14:textId="77777777" w:rsidR="00655C0A" w:rsidRPr="00A51F47" w:rsidRDefault="00655C0A" w:rsidP="00655C0A">
      <w:pPr>
        <w:tabs>
          <w:tab w:val="left" w:leader="dot" w:pos="9072"/>
        </w:tabs>
        <w:ind w:left="567"/>
        <w:rPr>
          <w:noProof/>
        </w:rPr>
      </w:pPr>
      <w:r w:rsidRPr="00A51F47">
        <w:rPr>
          <w:noProof/>
        </w:rPr>
        <w:tab/>
      </w:r>
    </w:p>
    <w:p w14:paraId="2CCC0CBE" w14:textId="77777777" w:rsidR="00655C0A" w:rsidRPr="00A51F47" w:rsidRDefault="00655C0A" w:rsidP="00655C0A">
      <w:pPr>
        <w:pStyle w:val="NumPar2"/>
        <w:numPr>
          <w:ilvl w:val="1"/>
          <w:numId w:val="19"/>
        </w:numPr>
        <w:rPr>
          <w:rFonts w:cs="Arial Unicode MS"/>
          <w:bCs/>
          <w:noProof/>
        </w:rPr>
      </w:pPr>
      <w:r w:rsidRPr="00A51F47">
        <w:rPr>
          <w:noProof/>
        </w:rPr>
        <w:t xml:space="preserve">Ako se mjera financira iz davanja, pojasnite: </w:t>
      </w:r>
    </w:p>
    <w:p w14:paraId="2B11A38D" w14:textId="77777777" w:rsidR="00655C0A" w:rsidRPr="00A51F47" w:rsidRDefault="00655C0A" w:rsidP="00655C0A">
      <w:pPr>
        <w:pStyle w:val="Point1letter"/>
        <w:rPr>
          <w:rFonts w:cs="Arial Unicode MS"/>
          <w:bCs/>
          <w:noProof/>
        </w:rPr>
      </w:pPr>
      <w:r w:rsidRPr="00A51F47">
        <w:rPr>
          <w:noProof/>
        </w:rPr>
        <w:t>je li davanje utvrđeno zakonom ili drugim zakonodavnim aktom. Ako jest, navedite relevantni pravni akt, broj i datum donošenja i stupanja na snagu i internetsku poveznicu;</w:t>
      </w:r>
    </w:p>
    <w:p w14:paraId="5EBC197C" w14:textId="77777777" w:rsidR="00655C0A" w:rsidRPr="00A51F47" w:rsidRDefault="00655C0A" w:rsidP="00655C0A">
      <w:pPr>
        <w:tabs>
          <w:tab w:val="left" w:leader="dot" w:pos="9072"/>
        </w:tabs>
        <w:ind w:left="567"/>
        <w:rPr>
          <w:noProof/>
        </w:rPr>
      </w:pPr>
      <w:r w:rsidRPr="00A51F47">
        <w:rPr>
          <w:noProof/>
        </w:rPr>
        <w:tab/>
      </w:r>
    </w:p>
    <w:p w14:paraId="712A8BE7" w14:textId="77777777" w:rsidR="00655C0A" w:rsidRPr="00A51F47" w:rsidRDefault="00655C0A" w:rsidP="00655C0A">
      <w:pPr>
        <w:pStyle w:val="Point1letter"/>
        <w:numPr>
          <w:ilvl w:val="3"/>
          <w:numId w:val="49"/>
        </w:numPr>
        <w:rPr>
          <w:rFonts w:cs="Arial Unicode MS"/>
          <w:bCs/>
          <w:noProof/>
        </w:rPr>
      </w:pPr>
      <w:r w:rsidRPr="00A51F47">
        <w:rPr>
          <w:noProof/>
        </w:rPr>
        <w:t>naplaćuje li se davanje jednako za domaće i uvezene proizvode;</w:t>
      </w:r>
    </w:p>
    <w:p w14:paraId="0845FF4D" w14:textId="77777777" w:rsidR="00655C0A" w:rsidRPr="00A51F47" w:rsidRDefault="00655C0A" w:rsidP="00655C0A">
      <w:pPr>
        <w:tabs>
          <w:tab w:val="left" w:leader="dot" w:pos="9072"/>
        </w:tabs>
        <w:ind w:left="567"/>
        <w:rPr>
          <w:noProof/>
        </w:rPr>
      </w:pPr>
      <w:r w:rsidRPr="00A51F47">
        <w:rPr>
          <w:noProof/>
        </w:rPr>
        <w:tab/>
      </w:r>
    </w:p>
    <w:p w14:paraId="005FF37C" w14:textId="77777777" w:rsidR="00655C0A" w:rsidRPr="00A51F47" w:rsidRDefault="00655C0A" w:rsidP="00655C0A">
      <w:pPr>
        <w:pStyle w:val="Point1letter"/>
        <w:numPr>
          <w:ilvl w:val="3"/>
          <w:numId w:val="49"/>
        </w:numPr>
        <w:rPr>
          <w:rFonts w:cs="Arial Unicode MS"/>
          <w:bCs/>
          <w:noProof/>
        </w:rPr>
      </w:pPr>
      <w:r w:rsidRPr="00A51F47">
        <w:rPr>
          <w:noProof/>
        </w:rPr>
        <w:t>hoće li prijavljena mjera koristiti jednako domaćim i uvoznim proizvođačima;</w:t>
      </w:r>
    </w:p>
    <w:p w14:paraId="7C0C8C99" w14:textId="77777777" w:rsidR="00655C0A" w:rsidRPr="00A51F47" w:rsidRDefault="00655C0A" w:rsidP="00655C0A">
      <w:pPr>
        <w:tabs>
          <w:tab w:val="left" w:leader="dot" w:pos="9072"/>
        </w:tabs>
        <w:ind w:left="567"/>
        <w:rPr>
          <w:noProof/>
        </w:rPr>
      </w:pPr>
      <w:r w:rsidRPr="00A51F47">
        <w:rPr>
          <w:noProof/>
        </w:rPr>
        <w:tab/>
      </w:r>
    </w:p>
    <w:p w14:paraId="087ABE67" w14:textId="77777777" w:rsidR="00655C0A" w:rsidRPr="00A51F47" w:rsidRDefault="00655C0A" w:rsidP="00655C0A">
      <w:pPr>
        <w:pStyle w:val="Point1letter"/>
        <w:numPr>
          <w:ilvl w:val="3"/>
          <w:numId w:val="49"/>
        </w:numPr>
        <w:rPr>
          <w:rFonts w:cs="Arial Unicode MS"/>
          <w:bCs/>
          <w:noProof/>
        </w:rPr>
      </w:pPr>
      <w:r w:rsidRPr="00A51F47">
        <w:rPr>
          <w:noProof/>
        </w:rPr>
        <w:t>financira li se davanjem mjera u cijelosti ili samo djelomično. Ako se financira samo djelomično, navedite druge izvore financiranja mjere i njihov odgovarajući udio;</w:t>
      </w:r>
    </w:p>
    <w:p w14:paraId="67E717CF" w14:textId="77777777" w:rsidR="00655C0A" w:rsidRPr="00A51F47" w:rsidRDefault="00655C0A" w:rsidP="00655C0A">
      <w:pPr>
        <w:tabs>
          <w:tab w:val="left" w:leader="dot" w:pos="9072"/>
        </w:tabs>
        <w:ind w:left="567"/>
        <w:rPr>
          <w:noProof/>
        </w:rPr>
      </w:pPr>
      <w:r w:rsidRPr="00A51F47">
        <w:rPr>
          <w:noProof/>
        </w:rPr>
        <w:tab/>
      </w:r>
    </w:p>
    <w:p w14:paraId="2789485A" w14:textId="77777777" w:rsidR="00655C0A" w:rsidRPr="00A51F47" w:rsidRDefault="00655C0A" w:rsidP="00655C0A">
      <w:pPr>
        <w:pStyle w:val="Point1letter"/>
        <w:numPr>
          <w:ilvl w:val="3"/>
          <w:numId w:val="49"/>
        </w:numPr>
        <w:rPr>
          <w:rFonts w:cs="Arial Unicode MS"/>
          <w:bCs/>
          <w:noProof/>
        </w:rPr>
      </w:pPr>
      <w:r w:rsidRPr="00A51F47">
        <w:rPr>
          <w:noProof/>
        </w:rPr>
        <w:t>financira li se naknadom iz koje se financira prijavljena mjera potpore i neke druge mjere potpore. Ako se financiraju, navedite ostale mjere potpore koje se financiraju iz te naknade.</w:t>
      </w:r>
    </w:p>
    <w:p w14:paraId="58A96A9A" w14:textId="77777777" w:rsidR="00655C0A" w:rsidRPr="00A51F47" w:rsidRDefault="00655C0A" w:rsidP="00655C0A">
      <w:pPr>
        <w:tabs>
          <w:tab w:val="left" w:leader="dot" w:pos="9072"/>
        </w:tabs>
        <w:ind w:left="567"/>
        <w:rPr>
          <w:noProof/>
        </w:rPr>
      </w:pPr>
      <w:r w:rsidRPr="00A51F47">
        <w:rPr>
          <w:noProof/>
        </w:rPr>
        <w:tab/>
      </w:r>
    </w:p>
    <w:p w14:paraId="766B81D7" w14:textId="77777777" w:rsidR="00655C0A" w:rsidRPr="00A51F47" w:rsidRDefault="00655C0A" w:rsidP="00655C0A">
      <w:pPr>
        <w:pStyle w:val="ManualHeading2"/>
        <w:rPr>
          <w:noProof/>
        </w:rPr>
      </w:pPr>
      <w:r w:rsidRPr="00A51F47">
        <w:rPr>
          <w:noProof/>
        </w:rPr>
        <w:lastRenderedPageBreak/>
        <w:t>Odjeljak B: Ocjena spojivosti potpore</w:t>
      </w:r>
    </w:p>
    <w:p w14:paraId="15610487" w14:textId="77777777" w:rsidR="00655C0A" w:rsidRPr="00A51F47" w:rsidRDefault="00655C0A" w:rsidP="00655C0A">
      <w:pPr>
        <w:pStyle w:val="Heading1"/>
        <w:numPr>
          <w:ilvl w:val="0"/>
          <w:numId w:val="26"/>
        </w:numPr>
        <w:tabs>
          <w:tab w:val="clear" w:pos="850"/>
          <w:tab w:val="num" w:pos="360"/>
        </w:tabs>
        <w:rPr>
          <w:noProof/>
        </w:rPr>
      </w:pPr>
      <w:r w:rsidRPr="00A51F47">
        <w:rPr>
          <w:noProof/>
        </w:rPr>
        <w:t>Pozitivni uvjet: potpora mora olakšavati razvoj gospodarske djelatnosti</w:t>
      </w:r>
    </w:p>
    <w:p w14:paraId="45F7666A" w14:textId="77777777" w:rsidR="00655C0A" w:rsidRPr="00A51F47" w:rsidRDefault="00655C0A" w:rsidP="00655C0A">
      <w:pPr>
        <w:pStyle w:val="Heading2"/>
        <w:numPr>
          <w:ilvl w:val="1"/>
          <w:numId w:val="9"/>
        </w:numPr>
        <w:rPr>
          <w:noProof/>
        </w:rPr>
      </w:pPr>
      <w:r w:rsidRPr="00A51F47">
        <w:rPr>
          <w:noProof/>
        </w:rPr>
        <w:t>Doprinos razvoju gospodarske djelatnosti</w:t>
      </w:r>
    </w:p>
    <w:p w14:paraId="3F20D344" w14:textId="77777777" w:rsidR="00655C0A" w:rsidRPr="00A51F47" w:rsidRDefault="00655C0A" w:rsidP="00655C0A">
      <w:pPr>
        <w:spacing w:before="360"/>
        <w:rPr>
          <w:i/>
          <w:noProof/>
        </w:rPr>
      </w:pPr>
      <w:r w:rsidRPr="00A51F47">
        <w:rPr>
          <w:i/>
          <w:noProof/>
        </w:rPr>
        <w:t xml:space="preserve">Za unos podataka u ovom odjeljku vidjeti odjeljke 3.1.1. (točke od 23. do 25.), 4.4.1. (točke od 217. do 219.) i 4.4.2. (točke od 220. do 224.) CEEAG-a. </w:t>
      </w:r>
    </w:p>
    <w:p w14:paraId="69559A9D" w14:textId="77777777" w:rsidR="00655C0A" w:rsidRPr="00655C0A" w:rsidRDefault="00655C0A" w:rsidP="00655C0A">
      <w:pPr>
        <w:pStyle w:val="NumPar1"/>
        <w:numPr>
          <w:ilvl w:val="0"/>
          <w:numId w:val="24"/>
        </w:numPr>
        <w:rPr>
          <w:noProof/>
        </w:rPr>
      </w:pPr>
      <w:r w:rsidRPr="00655C0A">
        <w:rPr>
          <w:noProof/>
        </w:rPr>
        <w:t xml:space="preserve">U članku 107. stavku 3. točki (c) Ugovora o funkcioniranju Europske unije („Ugovor”) predviđena je mogućnost da Komisija spojivima može proglasiti „potpore za olakšavanje razvoja određenih gospodarskih djelatnosti ili određenih gospodarskih područja ako takve potpore ne utječu negativno na trgovinske uvjete u mjeri u kojoj bi to bilo suprotno zajedničkom interesu”. Stoga potpora koja je spojiva na temelju te odredbe Ugovora mora pridonositi razvoju određene gospodarske djelatnosti. </w:t>
      </w:r>
    </w:p>
    <w:p w14:paraId="14195ABF" w14:textId="77777777" w:rsidR="00655C0A" w:rsidRPr="00A51F47" w:rsidRDefault="00655C0A" w:rsidP="00655C0A">
      <w:pPr>
        <w:pStyle w:val="Text1"/>
        <w:rPr>
          <w:noProof/>
        </w:rPr>
      </w:pPr>
      <w:r w:rsidRPr="00A51F47">
        <w:rPr>
          <w:noProof/>
        </w:rPr>
        <w:t xml:space="preserve">Kako bi se ocijenila usklađenost s točkom 23. CEEAG-a, utvrdite gospodarske djelatnosti koje će potpora olakšati i način na koji se podupire razvoj tih djelatnosti. </w:t>
      </w:r>
    </w:p>
    <w:p w14:paraId="2BBAFF78" w14:textId="77777777" w:rsidR="00655C0A" w:rsidRPr="00A51F47" w:rsidRDefault="00655C0A" w:rsidP="00655C0A">
      <w:pPr>
        <w:tabs>
          <w:tab w:val="left" w:leader="dot" w:pos="9072"/>
        </w:tabs>
        <w:ind w:left="567"/>
        <w:rPr>
          <w:noProof/>
        </w:rPr>
      </w:pPr>
      <w:r w:rsidRPr="00A51F47">
        <w:rPr>
          <w:noProof/>
        </w:rPr>
        <w:tab/>
      </w:r>
    </w:p>
    <w:p w14:paraId="3FE76D45" w14:textId="77777777" w:rsidR="00655C0A" w:rsidRPr="00655C0A" w:rsidRDefault="00655C0A" w:rsidP="00655C0A">
      <w:pPr>
        <w:pStyle w:val="NumPar1"/>
        <w:numPr>
          <w:ilvl w:val="0"/>
          <w:numId w:val="24"/>
        </w:numPr>
        <w:rPr>
          <w:noProof/>
        </w:rPr>
      </w:pPr>
      <w:r w:rsidRPr="00655C0A">
        <w:rPr>
          <w:noProof/>
        </w:rPr>
        <w:t xml:space="preserve">Kako bi se ocijenila usklađenost s točkom 25. CEEAG-a, opišite i „hoće li i kako potpora pridonijeti postizanju ciljeva klimatske politike, politike zaštite okoliša i energetske politike Unije te, konkretnije, očekivane koristi potpore u smislu njezina bitnog doprinosa zaštiti okoliša, uključujući ublažavanje klimatskih promjena, ili učinkovitom funkcioniranju unutarnjeg energetskog tržišta”. </w:t>
      </w:r>
    </w:p>
    <w:p w14:paraId="2C57BF44" w14:textId="77777777" w:rsidR="00655C0A" w:rsidRPr="00A51F47" w:rsidRDefault="00655C0A" w:rsidP="00655C0A">
      <w:pPr>
        <w:tabs>
          <w:tab w:val="left" w:leader="dot" w:pos="9072"/>
        </w:tabs>
        <w:ind w:left="567"/>
        <w:rPr>
          <w:noProof/>
        </w:rPr>
      </w:pPr>
      <w:r w:rsidRPr="00A51F47">
        <w:rPr>
          <w:noProof/>
        </w:rPr>
        <w:tab/>
      </w:r>
    </w:p>
    <w:p w14:paraId="3D516D51" w14:textId="77777777" w:rsidR="00655C0A" w:rsidRPr="00655C0A" w:rsidRDefault="00655C0A" w:rsidP="00655C0A">
      <w:pPr>
        <w:pStyle w:val="NumPar1"/>
        <w:numPr>
          <w:ilvl w:val="0"/>
          <w:numId w:val="24"/>
        </w:numPr>
        <w:rPr>
          <w:noProof/>
        </w:rPr>
      </w:pPr>
      <w:r w:rsidRPr="00655C0A">
        <w:rPr>
          <w:noProof/>
        </w:rPr>
        <w:t>Osim toga, istaknite u kojoj se mjeri potpora odnosi na politike opisane u točkama od 217. do 219. CEEAG-a.</w:t>
      </w:r>
    </w:p>
    <w:p w14:paraId="77DB9F8E" w14:textId="77777777" w:rsidR="00655C0A" w:rsidRPr="00A51F47" w:rsidRDefault="00655C0A" w:rsidP="00655C0A">
      <w:pPr>
        <w:tabs>
          <w:tab w:val="left" w:leader="dot" w:pos="9072"/>
        </w:tabs>
        <w:ind w:left="567"/>
        <w:rPr>
          <w:noProof/>
        </w:rPr>
      </w:pPr>
      <w:r w:rsidRPr="00A51F47">
        <w:rPr>
          <w:noProof/>
        </w:rPr>
        <w:tab/>
      </w:r>
    </w:p>
    <w:p w14:paraId="3F84F057" w14:textId="77777777" w:rsidR="00655C0A" w:rsidRPr="00655C0A" w:rsidRDefault="00655C0A" w:rsidP="00655C0A">
      <w:pPr>
        <w:pStyle w:val="NumPar1"/>
        <w:numPr>
          <w:ilvl w:val="0"/>
          <w:numId w:val="24"/>
        </w:numPr>
        <w:rPr>
          <w:noProof/>
          <w:szCs w:val="24"/>
        </w:rPr>
      </w:pPr>
      <w:r w:rsidRPr="00655C0A">
        <w:rPr>
          <w:noProof/>
        </w:rPr>
        <w:t>Opišite uvjete prihvatljivosti koji se primjenjuju na korisnike (na primjer navedite sve uvjete povezane s tehničkim značajkama, okolišem (tj. dozvole), financijama (tj. dodatna jamstva) ili druge uvjete koje korisnici moraju ispuniti).</w:t>
      </w:r>
    </w:p>
    <w:p w14:paraId="6A0506DB" w14:textId="77777777" w:rsidR="00655C0A" w:rsidRPr="00A51F47" w:rsidRDefault="00655C0A" w:rsidP="00655C0A">
      <w:pPr>
        <w:tabs>
          <w:tab w:val="left" w:leader="dot" w:pos="9072"/>
        </w:tabs>
        <w:ind w:left="567"/>
        <w:rPr>
          <w:noProof/>
        </w:rPr>
      </w:pPr>
      <w:r w:rsidRPr="00A51F47">
        <w:rPr>
          <w:noProof/>
        </w:rPr>
        <w:tab/>
      </w:r>
    </w:p>
    <w:p w14:paraId="5DE4E3D0" w14:textId="77777777" w:rsidR="00655C0A" w:rsidRPr="00655C0A" w:rsidRDefault="00655C0A" w:rsidP="00655C0A">
      <w:pPr>
        <w:pStyle w:val="NumPar1"/>
        <w:numPr>
          <w:ilvl w:val="0"/>
          <w:numId w:val="24"/>
        </w:numPr>
        <w:rPr>
          <w:noProof/>
        </w:rPr>
      </w:pPr>
      <w:r w:rsidRPr="00655C0A">
        <w:rPr>
          <w:noProof/>
        </w:rPr>
        <w:t xml:space="preserve">Za pojedinačne mjere potpore ili programe potpore namijenjene posebno ograničenom broju korisnika ili već pozicioniranom korisniku navedite kvantifikaciju ukupne koristi za okoliš koje se očekuju od mjere (ušteđeni resursi/izbjegnuta potrošnja resursa) i objasnite metodu primijenjenu za njihovo kvantificiranje. </w:t>
      </w:r>
    </w:p>
    <w:p w14:paraId="31047DC0" w14:textId="77777777" w:rsidR="00655C0A" w:rsidRPr="00A51F47" w:rsidRDefault="00655C0A" w:rsidP="00655C0A">
      <w:pPr>
        <w:tabs>
          <w:tab w:val="left" w:leader="dot" w:pos="9072"/>
        </w:tabs>
        <w:ind w:left="567"/>
        <w:rPr>
          <w:noProof/>
        </w:rPr>
      </w:pPr>
      <w:r w:rsidRPr="00A51F47">
        <w:rPr>
          <w:noProof/>
        </w:rPr>
        <w:tab/>
      </w:r>
    </w:p>
    <w:p w14:paraId="14590AC4" w14:textId="77777777" w:rsidR="00655C0A" w:rsidRPr="00655C0A" w:rsidRDefault="00655C0A" w:rsidP="00655C0A">
      <w:pPr>
        <w:pStyle w:val="NumPar1"/>
        <w:numPr>
          <w:ilvl w:val="0"/>
          <w:numId w:val="24"/>
        </w:numPr>
        <w:rPr>
          <w:noProof/>
        </w:rPr>
      </w:pPr>
      <w:r w:rsidRPr="00655C0A">
        <w:rPr>
          <w:noProof/>
        </w:rPr>
        <w:t xml:space="preserve">Navedite podatke o području primjene i djelatnostima koje se podupiru iz mjera potpore i navedite kojoj od djelatnosti iz točaka 220. i 221. CEEAG-a odgovaraju. </w:t>
      </w:r>
    </w:p>
    <w:p w14:paraId="36FEB6C7" w14:textId="77777777" w:rsidR="00655C0A" w:rsidRPr="00A51F47" w:rsidRDefault="00655C0A" w:rsidP="00655C0A">
      <w:pPr>
        <w:tabs>
          <w:tab w:val="left" w:leader="dot" w:pos="9072"/>
        </w:tabs>
        <w:ind w:left="567"/>
        <w:rPr>
          <w:noProof/>
        </w:rPr>
      </w:pPr>
      <w:r w:rsidRPr="00A51F47">
        <w:rPr>
          <w:noProof/>
        </w:rPr>
        <w:tab/>
      </w:r>
    </w:p>
    <w:p w14:paraId="64B6C542" w14:textId="77777777" w:rsidR="00655C0A" w:rsidRPr="00655C0A" w:rsidRDefault="00655C0A" w:rsidP="00655C0A">
      <w:pPr>
        <w:pStyle w:val="NumPar1"/>
        <w:numPr>
          <w:ilvl w:val="0"/>
          <w:numId w:val="24"/>
        </w:numPr>
        <w:rPr>
          <w:noProof/>
        </w:rPr>
      </w:pPr>
      <w:r w:rsidRPr="00655C0A">
        <w:rPr>
          <w:noProof/>
        </w:rPr>
        <w:t>Napominjemo da se sljedeće mjere potpore za ulaganje ne ocjenjuju u skladu s odjeljkom 4.4.:</w:t>
      </w:r>
    </w:p>
    <w:p w14:paraId="52BA746E" w14:textId="77777777" w:rsidR="00655C0A" w:rsidRPr="00A51F47" w:rsidRDefault="00655C0A" w:rsidP="00655C0A">
      <w:pPr>
        <w:pStyle w:val="Point2letter"/>
        <w:numPr>
          <w:ilvl w:val="5"/>
          <w:numId w:val="49"/>
        </w:numPr>
        <w:rPr>
          <w:noProof/>
        </w:rPr>
      </w:pPr>
      <w:r w:rsidRPr="00A51F47">
        <w:rPr>
          <w:noProof/>
        </w:rPr>
        <w:t>oporaba rezidualne topline iz proizvodnih procesa;</w:t>
      </w:r>
    </w:p>
    <w:p w14:paraId="561178AD" w14:textId="77777777" w:rsidR="00655C0A" w:rsidRPr="00A51F47" w:rsidRDefault="00655C0A" w:rsidP="00655C0A">
      <w:pPr>
        <w:pStyle w:val="Point2letter"/>
        <w:numPr>
          <w:ilvl w:val="5"/>
          <w:numId w:val="49"/>
        </w:numPr>
        <w:rPr>
          <w:noProof/>
        </w:rPr>
      </w:pPr>
      <w:r w:rsidRPr="00A51F47">
        <w:rPr>
          <w:noProof/>
        </w:rPr>
        <w:t>hvatanje i uporaba ugljika;</w:t>
      </w:r>
    </w:p>
    <w:p w14:paraId="774F6115" w14:textId="77777777" w:rsidR="00655C0A" w:rsidRPr="00A51F47" w:rsidRDefault="00655C0A" w:rsidP="00655C0A">
      <w:pPr>
        <w:pStyle w:val="Point2letter"/>
        <w:numPr>
          <w:ilvl w:val="5"/>
          <w:numId w:val="49"/>
        </w:numPr>
        <w:rPr>
          <w:noProof/>
        </w:rPr>
      </w:pPr>
      <w:r w:rsidRPr="00A51F47">
        <w:rPr>
          <w:noProof/>
        </w:rPr>
        <w:lastRenderedPageBreak/>
        <w:t xml:space="preserve">proizvodnja biogoriva, tekućih biogoriva, bioplina ili goriva iz biomase iz otpada; </w:t>
      </w:r>
    </w:p>
    <w:p w14:paraId="3B4C5379" w14:textId="77777777" w:rsidR="00655C0A" w:rsidRPr="00A51F47" w:rsidRDefault="00655C0A" w:rsidP="00655C0A">
      <w:pPr>
        <w:pStyle w:val="Point2letter"/>
        <w:numPr>
          <w:ilvl w:val="5"/>
          <w:numId w:val="49"/>
        </w:numPr>
        <w:rPr>
          <w:noProof/>
        </w:rPr>
      </w:pPr>
      <w:r w:rsidRPr="00A51F47">
        <w:rPr>
          <w:noProof/>
        </w:rPr>
        <w:t>proizvodnja energije iz otpada;</w:t>
      </w:r>
    </w:p>
    <w:p w14:paraId="7A2B11B6" w14:textId="77777777" w:rsidR="00655C0A" w:rsidRPr="00A51F47" w:rsidRDefault="00655C0A" w:rsidP="00655C0A">
      <w:pPr>
        <w:pStyle w:val="Point2letter"/>
        <w:numPr>
          <w:ilvl w:val="5"/>
          <w:numId w:val="49"/>
        </w:numPr>
        <w:rPr>
          <w:noProof/>
        </w:rPr>
      </w:pPr>
      <w:r w:rsidRPr="00A51F47">
        <w:rPr>
          <w:noProof/>
        </w:rPr>
        <w:t xml:space="preserve">proizvodnja energije ili topline iz otpada povezana s ulaganjima u sustave centraliziranog grijanja i hlađenja ili za njihov rad.  </w:t>
      </w:r>
    </w:p>
    <w:p w14:paraId="61535B44" w14:textId="77777777" w:rsidR="00655C0A" w:rsidRPr="00A51F47" w:rsidRDefault="00655C0A" w:rsidP="00655C0A">
      <w:pPr>
        <w:pStyle w:val="Text1"/>
        <w:rPr>
          <w:noProof/>
        </w:rPr>
      </w:pPr>
      <w:r w:rsidRPr="00A51F47">
        <w:rPr>
          <w:noProof/>
        </w:rPr>
        <w:t>Vidjeti obrazac prijave za odjeljak 4.1. za ulaganja navedena u točkama od (a) do (d) jer će se takve mjere ocjenjivati kako je utvrđeno u odjeljku 4.1. CEEAG-a i obrazac prijave za odjeljak 4.10. za ulaganja opisana u točki (e) jer će se ona ocjenjivati kako je utvrđeno u odjeljku 4.10. CEEAG-a.</w:t>
      </w:r>
    </w:p>
    <w:p w14:paraId="55E12C20" w14:textId="77777777" w:rsidR="00655C0A" w:rsidRPr="00A51F47" w:rsidRDefault="00655C0A" w:rsidP="00655C0A">
      <w:pPr>
        <w:tabs>
          <w:tab w:val="left" w:leader="dot" w:pos="9072"/>
        </w:tabs>
        <w:ind w:left="567"/>
        <w:rPr>
          <w:noProof/>
        </w:rPr>
      </w:pPr>
      <w:r w:rsidRPr="00A51F47">
        <w:rPr>
          <w:noProof/>
        </w:rPr>
        <w:tab/>
      </w:r>
    </w:p>
    <w:p w14:paraId="3A669B19" w14:textId="77777777" w:rsidR="00655C0A" w:rsidRPr="00655C0A" w:rsidRDefault="00655C0A" w:rsidP="00655C0A">
      <w:pPr>
        <w:pStyle w:val="NumPar1"/>
        <w:numPr>
          <w:ilvl w:val="0"/>
          <w:numId w:val="24"/>
        </w:numPr>
        <w:rPr>
          <w:noProof/>
        </w:rPr>
      </w:pPr>
      <w:r w:rsidRPr="00655C0A">
        <w:rPr>
          <w:noProof/>
        </w:rPr>
        <w:t xml:space="preserve">Navedite jesu li mjerom potpore obuhvaćeni i operativni troškovi odvojenog skupljanja i razvrstavanja otpada i, ako jesu, za koje tokove otpada ili vrste otpada. </w:t>
      </w:r>
    </w:p>
    <w:p w14:paraId="0D58CEE6" w14:textId="77777777" w:rsidR="00655C0A" w:rsidRPr="00A51F47" w:rsidRDefault="00655C0A" w:rsidP="00655C0A">
      <w:pPr>
        <w:tabs>
          <w:tab w:val="left" w:leader="dot" w:pos="9072"/>
        </w:tabs>
        <w:ind w:left="567"/>
        <w:rPr>
          <w:noProof/>
        </w:rPr>
      </w:pPr>
      <w:r w:rsidRPr="00A51F47">
        <w:rPr>
          <w:noProof/>
        </w:rPr>
        <w:tab/>
      </w:r>
    </w:p>
    <w:p w14:paraId="2306059A" w14:textId="77777777" w:rsidR="00655C0A" w:rsidRPr="00A51F47" w:rsidRDefault="00655C0A" w:rsidP="00655C0A">
      <w:pPr>
        <w:pStyle w:val="Heading2"/>
        <w:numPr>
          <w:ilvl w:val="1"/>
          <w:numId w:val="9"/>
        </w:numPr>
        <w:rPr>
          <w:noProof/>
        </w:rPr>
      </w:pPr>
      <w:r w:rsidRPr="00A51F47">
        <w:rPr>
          <w:noProof/>
        </w:rPr>
        <w:t>Učinak poticaja</w:t>
      </w:r>
    </w:p>
    <w:p w14:paraId="3911B9B1" w14:textId="77777777" w:rsidR="00655C0A" w:rsidRPr="00A51F47" w:rsidRDefault="00655C0A" w:rsidP="00655C0A">
      <w:pPr>
        <w:spacing w:before="360"/>
        <w:rPr>
          <w:i/>
          <w:noProof/>
        </w:rPr>
      </w:pPr>
      <w:r w:rsidRPr="00A51F47">
        <w:rPr>
          <w:i/>
          <w:noProof/>
        </w:rPr>
        <w:t xml:space="preserve">Za unos podataka u ovom odjeljku vidjeti odjeljke 3.1.2. (točke od 26. do 32.) i 4.4.3. (točke od 225. do 233.) CEEAG-a. </w:t>
      </w:r>
    </w:p>
    <w:p w14:paraId="780D7F7C" w14:textId="77777777" w:rsidR="00655C0A" w:rsidRPr="00655C0A" w:rsidRDefault="00655C0A" w:rsidP="00655C0A">
      <w:pPr>
        <w:pStyle w:val="NumPar1"/>
        <w:numPr>
          <w:ilvl w:val="0"/>
          <w:numId w:val="24"/>
        </w:numPr>
        <w:rPr>
          <w:noProof/>
        </w:rPr>
      </w:pPr>
      <w:r w:rsidRPr="00655C0A">
        <w:rPr>
          <w:noProof/>
        </w:rPr>
        <w:t>Može se smatrati da potpora olakšava gospodarsku djelatnost samo ako ima učinak poticaja. Kako bi se ocijenila usklađenost s točkom 26. CEEAG-a, objasnite kako se mjerom „[potiče] korisnika da promijeni svoje ponašanje odnosno da se uključi u dodatnu gospodarsku djelatnost ili gospodarsku djelatnost koja je prihvatljivija za okoliš, a koju bez potpore ne bi obavljao ili bi je obavljao na ograničen ili drukčiji način”.</w:t>
      </w:r>
      <w:r w:rsidRPr="00655C0A">
        <w:rPr>
          <w:i/>
          <w:noProof/>
        </w:rPr>
        <w:t xml:space="preserve"> </w:t>
      </w:r>
    </w:p>
    <w:p w14:paraId="38E09D20" w14:textId="77777777" w:rsidR="00655C0A" w:rsidRPr="00A51F47" w:rsidRDefault="00655C0A" w:rsidP="00655C0A">
      <w:pPr>
        <w:tabs>
          <w:tab w:val="left" w:leader="dot" w:pos="9072"/>
        </w:tabs>
        <w:ind w:left="567"/>
        <w:rPr>
          <w:noProof/>
        </w:rPr>
      </w:pPr>
      <w:r w:rsidRPr="00A51F47">
        <w:rPr>
          <w:noProof/>
        </w:rPr>
        <w:tab/>
      </w:r>
    </w:p>
    <w:p w14:paraId="1BF8AFD1" w14:textId="77777777" w:rsidR="00655C0A" w:rsidRPr="00655C0A" w:rsidRDefault="00655C0A" w:rsidP="00655C0A">
      <w:pPr>
        <w:pStyle w:val="NumPar1"/>
        <w:numPr>
          <w:ilvl w:val="0"/>
          <w:numId w:val="24"/>
        </w:numPr>
        <w:rPr>
          <w:noProof/>
        </w:rPr>
      </w:pPr>
      <w:bookmarkStart w:id="0" w:name="_Ref164268038"/>
      <w:bookmarkStart w:id="1" w:name="_Ref144120711"/>
      <w:r w:rsidRPr="00655C0A">
        <w:rPr>
          <w:noProof/>
        </w:rPr>
        <w:t>U skladu s točkom 28. CEEAG-a:</w:t>
      </w:r>
      <w:bookmarkEnd w:id="0"/>
    </w:p>
    <w:p w14:paraId="2E7D9A93" w14:textId="77777777" w:rsidR="00655C0A" w:rsidRPr="00A51F47" w:rsidRDefault="00655C0A" w:rsidP="00655C0A">
      <w:pPr>
        <w:pStyle w:val="NumPar2"/>
        <w:numPr>
          <w:ilvl w:val="1"/>
          <w:numId w:val="19"/>
        </w:numPr>
        <w:rPr>
          <w:noProof/>
        </w:rPr>
      </w:pPr>
      <w:r w:rsidRPr="00A51F47">
        <w:rPr>
          <w:noProof/>
        </w:rPr>
        <w:t>Opsežno opišite činjenični scenarij za koji se očekuje da će proizaći iz mjere potpore i vjerojatne protučinjenične scenarije koji će se dogoditi bez mjere potpore.</w:t>
      </w:r>
      <w:r w:rsidRPr="00A51F47">
        <w:rPr>
          <w:rStyle w:val="FootnoteReference"/>
          <w:noProof/>
        </w:rPr>
        <w:footnoteReference w:id="3"/>
      </w:r>
      <w:r w:rsidRPr="00A51F47">
        <w:rPr>
          <w:noProof/>
        </w:rPr>
        <w:t xml:space="preserve"> Ako očekujete da će potporu dobiti različite kategorije korisnika, pobrinite se da je protučinjenični scenarij vjerodostojan za svaku od tih kategorija; </w:t>
      </w:r>
      <w:bookmarkStart w:id="2" w:name="_Hlk144314319"/>
      <w:bookmarkEnd w:id="1"/>
      <w:r w:rsidRPr="00A51F47">
        <w:rPr>
          <w:noProof/>
        </w:rPr>
        <w:t>Uzmite u obzir zahtjeve povezane s protučinjeničnim scenarijem iz točaka od 226. do 230. i točke 239. CEEAG-a, a posebno:</w:t>
      </w:r>
    </w:p>
    <w:p w14:paraId="239FD557" w14:textId="77777777" w:rsidR="00655C0A" w:rsidRPr="00A51F47" w:rsidRDefault="00655C0A" w:rsidP="00655C0A">
      <w:pPr>
        <w:pStyle w:val="Point1letter"/>
        <w:numPr>
          <w:ilvl w:val="3"/>
          <w:numId w:val="27"/>
        </w:numPr>
        <w:rPr>
          <w:noProof/>
        </w:rPr>
      </w:pPr>
      <w:r w:rsidRPr="00A51F47">
        <w:rPr>
          <w:noProof/>
        </w:rPr>
        <w:t>općenito, protučinjenični scenarij odgovara ulaganju istog kapaciteta, trajanja i, prema potrebi, drugih relevantnih tehničkih obilježja kao u slučaju ulaganja koje je prihvatljivo za okoliš, ali dovodi do niže razine zaštite okoliša, na primjer postrojenja za obradu otpada u postupku koji se nalazi niže u redoslijedu prioriteta hijerarhije otpada ili na manje resursno učinkovit način. Ako je ponovno upotrijebljeni ili reciklirani (sekundarni) proizvod tehnički i ekonomski zamjenjiv primarnom sirovinom ili proizvodom, protučinjenični scenarij može se sastojati od konvencionalnog postrojenja povezanog s proizvodnjom primarne sirovine ili proizvoda;</w:t>
      </w:r>
    </w:p>
    <w:p w14:paraId="45C83F93" w14:textId="77777777" w:rsidR="00655C0A" w:rsidRPr="00A51F47" w:rsidRDefault="00655C0A" w:rsidP="00655C0A">
      <w:pPr>
        <w:pStyle w:val="Point1letter"/>
        <w:numPr>
          <w:ilvl w:val="3"/>
          <w:numId w:val="27"/>
        </w:numPr>
        <w:rPr>
          <w:noProof/>
        </w:rPr>
      </w:pPr>
      <w:r w:rsidRPr="00A51F47">
        <w:rPr>
          <w:noProof/>
        </w:rPr>
        <w:t xml:space="preserve">protučinjenični scenarij može biti i jedan od sljedećih scenarija: </w:t>
      </w:r>
    </w:p>
    <w:p w14:paraId="2E3BC37E" w14:textId="77777777" w:rsidR="00655C0A" w:rsidRPr="00A51F47" w:rsidRDefault="00655C0A" w:rsidP="00655C0A">
      <w:pPr>
        <w:pStyle w:val="Stylei"/>
        <w:numPr>
          <w:ilvl w:val="0"/>
          <w:numId w:val="28"/>
        </w:numPr>
        <w:rPr>
          <w:noProof/>
        </w:rPr>
      </w:pPr>
      <w:r w:rsidRPr="00A51F47">
        <w:rPr>
          <w:noProof/>
        </w:rPr>
        <w:lastRenderedPageBreak/>
        <w:t>održavanje postojećih postrojenja ili opreme u funkciji tijekom razdoblja koje odgovara trajanju ulaganja prihvatljivog za okoliš. U tom bi se slučaju trebali uzeti u obzir diskontirani troškovi održavanja, popravka i modernizacije u tom razdoblju (točka 227. CEEAG-a);</w:t>
      </w:r>
    </w:p>
    <w:p w14:paraId="45C7917D" w14:textId="77777777" w:rsidR="00655C0A" w:rsidRPr="00A51F47" w:rsidRDefault="00655C0A" w:rsidP="00655C0A">
      <w:pPr>
        <w:pStyle w:val="Stylei"/>
        <w:numPr>
          <w:ilvl w:val="0"/>
          <w:numId w:val="28"/>
        </w:numPr>
        <w:rPr>
          <w:noProof/>
        </w:rPr>
      </w:pPr>
      <w:r w:rsidRPr="00A51F47">
        <w:rPr>
          <w:noProof/>
        </w:rPr>
        <w:t xml:space="preserve">kasnija zamjena instalacija ili opreme. U tom slučaju treba uzeti u obzir diskontiranu vrijednost postrojenja i opreme, a razliku u ekonomskom vijeku trajanja postrojenja ili opreme treba izjednačiti u skladu s točkom 228. CEEAG-a; </w:t>
      </w:r>
    </w:p>
    <w:p w14:paraId="142544A6" w14:textId="77777777" w:rsidR="00655C0A" w:rsidRPr="00A51F47" w:rsidRDefault="00655C0A" w:rsidP="00655C0A">
      <w:pPr>
        <w:pStyle w:val="Stylei"/>
        <w:numPr>
          <w:ilvl w:val="0"/>
          <w:numId w:val="28"/>
        </w:numPr>
        <w:rPr>
          <w:noProof/>
        </w:rPr>
      </w:pPr>
      <w:r w:rsidRPr="00A51F47">
        <w:rPr>
          <w:i/>
          <w:noProof/>
        </w:rPr>
        <w:t>leasing</w:t>
      </w:r>
      <w:r w:rsidRPr="00A51F47">
        <w:rPr>
          <w:noProof/>
        </w:rPr>
        <w:t xml:space="preserve"> opreme koja je manje prihvatljiva za okoliš i koja bi se upotrebljavala da nema potpore. U tom bi slučaju trebalo uzeti u obzir diskontiranu vrijednost leasinga opreme koja je manje prihvatljiva za okoliš u skladu s točkom 229. CEEAG-a;</w:t>
      </w:r>
    </w:p>
    <w:p w14:paraId="74C75EC8" w14:textId="77777777" w:rsidR="00655C0A" w:rsidRPr="00A51F47" w:rsidRDefault="00655C0A" w:rsidP="00655C0A">
      <w:pPr>
        <w:pStyle w:val="Stylei"/>
        <w:numPr>
          <w:ilvl w:val="0"/>
          <w:numId w:val="28"/>
        </w:numPr>
        <w:rPr>
          <w:noProof/>
        </w:rPr>
      </w:pPr>
      <w:r w:rsidRPr="00A51F47">
        <w:rPr>
          <w:noProof/>
        </w:rPr>
        <w:t xml:space="preserve">protučinjenični scenarij može se sastojati i od nepostojanja alternativnog projekta ulaganja, posebno ako se ulaganje kojem je dodijeljena potpora sastoji od dodavanja postrojenja ili opreme postojećim postrojenjima ili opremi i za koje ne postoji jednakovrijedna konvencionalna alternativa.  </w:t>
      </w:r>
    </w:p>
    <w:bookmarkEnd w:id="2"/>
    <w:p w14:paraId="1F8C0DA1" w14:textId="77777777" w:rsidR="00655C0A" w:rsidRPr="00A51F47" w:rsidRDefault="00655C0A" w:rsidP="00655C0A">
      <w:pPr>
        <w:pStyle w:val="Text2"/>
        <w:rPr>
          <w:noProof/>
        </w:rPr>
      </w:pPr>
      <w:r w:rsidRPr="00A51F47">
        <w:rPr>
          <w:noProof/>
        </w:rPr>
        <w:t xml:space="preserve">Pri opisivanju činjeničnog scenarija i vjerojatnih protučinjeničnih scenarija navedite kapacitet, vijek trajanja i druga tehnička obilježja ulaganja za činjenični scenarij i protučinjenične scenarije. </w:t>
      </w:r>
    </w:p>
    <w:p w14:paraId="5AF38D6A" w14:textId="77777777" w:rsidR="00655C0A" w:rsidRPr="00A51F47" w:rsidRDefault="00655C0A" w:rsidP="00655C0A">
      <w:pPr>
        <w:tabs>
          <w:tab w:val="left" w:leader="dot" w:pos="9072"/>
        </w:tabs>
        <w:rPr>
          <w:noProof/>
        </w:rPr>
      </w:pPr>
      <w:r w:rsidRPr="00A51F47">
        <w:rPr>
          <w:noProof/>
        </w:rPr>
        <w:tab/>
      </w:r>
    </w:p>
    <w:p w14:paraId="4C84F0A0" w14:textId="77777777" w:rsidR="00655C0A" w:rsidRPr="00A51F47" w:rsidRDefault="00655C0A" w:rsidP="00655C0A">
      <w:pPr>
        <w:pStyle w:val="NumPar2"/>
        <w:numPr>
          <w:ilvl w:val="1"/>
          <w:numId w:val="19"/>
        </w:numPr>
        <w:rPr>
          <w:noProof/>
        </w:rPr>
      </w:pPr>
      <w:r w:rsidRPr="00A51F47">
        <w:rPr>
          <w:noProof/>
        </w:rPr>
        <w:t>Prema potrebi ukratko objasnite razloge za odabir vjerojatnih protučinjeničnih scenarija s obzirom na predložene različite kategorije korisnika.</w:t>
      </w:r>
    </w:p>
    <w:p w14:paraId="23101127" w14:textId="77777777" w:rsidR="00655C0A" w:rsidRPr="00A51F47" w:rsidRDefault="00655C0A" w:rsidP="00655C0A">
      <w:pPr>
        <w:tabs>
          <w:tab w:val="left" w:leader="dot" w:pos="9072"/>
        </w:tabs>
        <w:ind w:left="567"/>
        <w:rPr>
          <w:noProof/>
        </w:rPr>
      </w:pPr>
      <w:r w:rsidRPr="00A51F47">
        <w:rPr>
          <w:noProof/>
        </w:rPr>
        <w:tab/>
      </w:r>
    </w:p>
    <w:p w14:paraId="3A6ED5A4" w14:textId="77777777" w:rsidR="00655C0A" w:rsidRPr="00A51F47" w:rsidRDefault="00655C0A" w:rsidP="00655C0A">
      <w:pPr>
        <w:pStyle w:val="NumPar2"/>
        <w:numPr>
          <w:ilvl w:val="1"/>
          <w:numId w:val="19"/>
        </w:numPr>
        <w:rPr>
          <w:noProof/>
        </w:rPr>
      </w:pPr>
      <w:r w:rsidRPr="00A51F47">
        <w:rPr>
          <w:noProof/>
        </w:rPr>
        <w:t>kvantificirajte troškove i prihode činjeničnog i protučinjeničnog scenarija i prema potrebi</w:t>
      </w:r>
      <w:bookmarkStart w:id="3" w:name="_Ref165986605"/>
      <w:r w:rsidRPr="00A51F47">
        <w:rPr>
          <w:noProof/>
        </w:rPr>
        <w:t xml:space="preserve"> obrazložite promjenu ponašanja za svaku kategoriju korisnika, na temelju sljedećeg:</w:t>
      </w:r>
      <w:bookmarkEnd w:id="3"/>
      <w:r w:rsidRPr="00A51F47">
        <w:rPr>
          <w:noProof/>
        </w:rPr>
        <w:t xml:space="preserve">  </w:t>
      </w:r>
    </w:p>
    <w:p w14:paraId="4906D190" w14:textId="77777777" w:rsidR="00655C0A" w:rsidRPr="00A51F47" w:rsidRDefault="00655C0A" w:rsidP="00655C0A">
      <w:pPr>
        <w:pStyle w:val="Point1letter"/>
        <w:numPr>
          <w:ilvl w:val="3"/>
          <w:numId w:val="38"/>
        </w:numPr>
        <w:rPr>
          <w:noProof/>
        </w:rPr>
      </w:pPr>
      <w:r w:rsidRPr="00A51F47">
        <w:rPr>
          <w:noProof/>
        </w:rPr>
        <w:t>odgovarajući referentni projekt</w:t>
      </w:r>
      <w:r w:rsidRPr="00A51F47">
        <w:rPr>
          <w:rStyle w:val="FootnoteReference"/>
          <w:noProof/>
        </w:rPr>
        <w:footnoteReference w:id="4"/>
      </w:r>
      <w:r w:rsidRPr="00A51F47">
        <w:rPr>
          <w:noProof/>
        </w:rPr>
        <w:t xml:space="preserve">, odgovarajući protučinjenični scenariji i nastali manjak financijskih sredstava; </w:t>
      </w:r>
    </w:p>
    <w:p w14:paraId="25A26B1D" w14:textId="77777777" w:rsidR="00655C0A" w:rsidRPr="00A51F47" w:rsidRDefault="00655C0A" w:rsidP="00655C0A">
      <w:pPr>
        <w:tabs>
          <w:tab w:val="left" w:leader="dot" w:pos="9072"/>
        </w:tabs>
        <w:ind w:left="567"/>
        <w:rPr>
          <w:noProof/>
        </w:rPr>
      </w:pPr>
      <w:r w:rsidRPr="00A51F47">
        <w:rPr>
          <w:noProof/>
        </w:rPr>
        <w:tab/>
      </w:r>
    </w:p>
    <w:p w14:paraId="62F3FD4B" w14:textId="77777777" w:rsidR="00655C0A" w:rsidRPr="00A51F47" w:rsidRDefault="00655C0A" w:rsidP="00655C0A">
      <w:pPr>
        <w:pStyle w:val="Text2"/>
        <w:rPr>
          <w:i/>
          <w:iCs/>
          <w:noProof/>
        </w:rPr>
      </w:pPr>
      <w:r w:rsidRPr="00A51F47">
        <w:rPr>
          <w:i/>
          <w:noProof/>
        </w:rPr>
        <w:t>ILI</w:t>
      </w:r>
    </w:p>
    <w:p w14:paraId="45490435" w14:textId="77777777" w:rsidR="00655C0A" w:rsidRPr="00A51F47" w:rsidRDefault="00655C0A" w:rsidP="00655C0A">
      <w:pPr>
        <w:pStyle w:val="Point1letter"/>
        <w:numPr>
          <w:ilvl w:val="3"/>
          <w:numId w:val="49"/>
        </w:numPr>
        <w:rPr>
          <w:noProof/>
        </w:rPr>
      </w:pPr>
      <w:r w:rsidRPr="00A51F47">
        <w:rPr>
          <w:noProof/>
        </w:rPr>
        <w:t>relevantni kvantitativni dokazi koji se temelje na studijama tržišta, planovima ulagača, financijskim izvješća ili drugim kvantitativnim dokazima, uključujući ponude za slične projekte u nedavnim usporedivim natječajnim postupcima</w:t>
      </w:r>
      <w:r w:rsidRPr="00A51F47">
        <w:rPr>
          <w:rStyle w:val="FootnoteReference"/>
          <w:noProof/>
        </w:rPr>
        <w:footnoteReference w:id="5"/>
      </w:r>
      <w:r w:rsidRPr="00A51F47">
        <w:rPr>
          <w:noProof/>
        </w:rPr>
        <w:t xml:space="preserve">. </w:t>
      </w:r>
    </w:p>
    <w:p w14:paraId="1D33368E" w14:textId="77777777" w:rsidR="00655C0A" w:rsidRPr="00A51F47" w:rsidRDefault="00655C0A" w:rsidP="00655C0A">
      <w:pPr>
        <w:tabs>
          <w:tab w:val="left" w:leader="dot" w:pos="9072"/>
        </w:tabs>
        <w:ind w:left="567"/>
        <w:rPr>
          <w:noProof/>
        </w:rPr>
      </w:pPr>
      <w:r w:rsidRPr="00A51F47">
        <w:rPr>
          <w:noProof/>
        </w:rPr>
        <w:tab/>
      </w:r>
    </w:p>
    <w:p w14:paraId="50C09C22" w14:textId="77777777" w:rsidR="00655C0A" w:rsidRPr="00655C0A" w:rsidRDefault="00655C0A" w:rsidP="00655C0A">
      <w:pPr>
        <w:pStyle w:val="NumPar1"/>
        <w:numPr>
          <w:ilvl w:val="0"/>
          <w:numId w:val="24"/>
        </w:numPr>
        <w:rPr>
          <w:noProof/>
        </w:rPr>
      </w:pPr>
      <w:r w:rsidRPr="00655C0A">
        <w:rPr>
          <w:noProof/>
        </w:rPr>
        <w:lastRenderedPageBreak/>
        <w:t>Kako bi se ocijenila usklađenost s točkom 27. CEEAG-a, navedite informacije koje potvrđuju da se potporom ne financiraju troškovi djelatnosti koju bi korisnik potpore ionako obavljao i da se njome ne nadoknađuju uobičajeni poslovni rizici gospodarske djelatnosti.</w:t>
      </w:r>
      <w:r w:rsidRPr="00655C0A">
        <w:rPr>
          <w:i/>
          <w:noProof/>
        </w:rPr>
        <w:t xml:space="preserve"> </w:t>
      </w:r>
    </w:p>
    <w:p w14:paraId="0832A730" w14:textId="77777777" w:rsidR="00655C0A" w:rsidRPr="00A51F47" w:rsidRDefault="00655C0A" w:rsidP="00655C0A">
      <w:pPr>
        <w:tabs>
          <w:tab w:val="left" w:leader="dot" w:pos="9072"/>
        </w:tabs>
        <w:ind w:left="567"/>
        <w:rPr>
          <w:noProof/>
        </w:rPr>
      </w:pPr>
      <w:r w:rsidRPr="00A51F47">
        <w:rPr>
          <w:noProof/>
        </w:rPr>
        <w:tab/>
      </w:r>
    </w:p>
    <w:p w14:paraId="1A447FF5" w14:textId="77777777" w:rsidR="00655C0A" w:rsidRPr="00655C0A" w:rsidRDefault="00655C0A" w:rsidP="00655C0A">
      <w:pPr>
        <w:pStyle w:val="NumPar1"/>
        <w:numPr>
          <w:ilvl w:val="0"/>
          <w:numId w:val="24"/>
        </w:numPr>
        <w:rPr>
          <w:noProof/>
        </w:rPr>
      </w:pPr>
      <w:bookmarkStart w:id="4" w:name="_Ref144118919"/>
      <w:r w:rsidRPr="00655C0A">
        <w:rPr>
          <w:noProof/>
        </w:rPr>
        <w:t>Kako bi se dokazala usklađenost s točkama od 29. i 31. CEEAG-a:</w:t>
      </w:r>
      <w:bookmarkEnd w:id="4"/>
    </w:p>
    <w:p w14:paraId="50ED913A" w14:textId="77777777" w:rsidR="00655C0A" w:rsidRPr="00A51F47" w:rsidRDefault="00655C0A" w:rsidP="00655C0A">
      <w:pPr>
        <w:pStyle w:val="Point1letter"/>
        <w:numPr>
          <w:ilvl w:val="3"/>
          <w:numId w:val="29"/>
        </w:numPr>
        <w:rPr>
          <w:noProof/>
        </w:rPr>
      </w:pPr>
      <w:r w:rsidRPr="00A51F47">
        <w:rPr>
          <w:noProof/>
        </w:rPr>
        <w:t>potvrdite da radovi na projektu ili djelatnosti nisu započeli prije nego što je korisnik nacionalnim tijelima podnio pisani zahtjev za potporu;</w:t>
      </w:r>
    </w:p>
    <w:p w14:paraId="44E932E4" w14:textId="77777777" w:rsidR="00655C0A" w:rsidRPr="00A51F47" w:rsidRDefault="00655C0A" w:rsidP="00655C0A">
      <w:pPr>
        <w:tabs>
          <w:tab w:val="left" w:leader="dot" w:pos="9072"/>
        </w:tabs>
        <w:ind w:left="567"/>
        <w:rPr>
          <w:noProof/>
        </w:rPr>
      </w:pPr>
      <w:r w:rsidRPr="00A51F47">
        <w:rPr>
          <w:noProof/>
        </w:rPr>
        <w:tab/>
      </w:r>
    </w:p>
    <w:p w14:paraId="41521FFB" w14:textId="77777777" w:rsidR="00655C0A" w:rsidRPr="00A51F47" w:rsidRDefault="00655C0A" w:rsidP="00655C0A">
      <w:pPr>
        <w:pStyle w:val="Text2"/>
        <w:rPr>
          <w:i/>
          <w:iCs/>
          <w:noProof/>
        </w:rPr>
      </w:pPr>
      <w:r w:rsidRPr="00A51F47">
        <w:rPr>
          <w:i/>
          <w:noProof/>
        </w:rPr>
        <w:t>ILI</w:t>
      </w:r>
    </w:p>
    <w:p w14:paraId="06A1C125" w14:textId="77777777" w:rsidR="00655C0A" w:rsidRPr="00A51F47" w:rsidRDefault="00655C0A" w:rsidP="00655C0A">
      <w:pPr>
        <w:pStyle w:val="Point1letter"/>
        <w:numPr>
          <w:ilvl w:val="3"/>
          <w:numId w:val="27"/>
        </w:numPr>
        <w:rPr>
          <w:noProof/>
        </w:rPr>
      </w:pPr>
      <w:r w:rsidRPr="00A51F47">
        <w:rPr>
          <w:noProof/>
        </w:rPr>
        <w:t xml:space="preserve">za projekte koji su započeli prije podnošenja zahtjeva za potporu, dokažite da je projekt obuhvaćen jednim od iznimnih slučajeva iz točke 31. CEEAG-a (podtočke (a), (b) ili (c)). </w:t>
      </w:r>
    </w:p>
    <w:p w14:paraId="067B5D92" w14:textId="77777777" w:rsidR="00655C0A" w:rsidRPr="00A51F47" w:rsidRDefault="00655C0A" w:rsidP="00655C0A">
      <w:pPr>
        <w:tabs>
          <w:tab w:val="left" w:leader="dot" w:pos="9072"/>
        </w:tabs>
        <w:ind w:left="567"/>
        <w:rPr>
          <w:noProof/>
        </w:rPr>
      </w:pPr>
      <w:r w:rsidRPr="00A51F47">
        <w:rPr>
          <w:noProof/>
        </w:rPr>
        <w:tab/>
      </w:r>
    </w:p>
    <w:p w14:paraId="45C15533" w14:textId="77777777" w:rsidR="00655C0A" w:rsidRPr="00655C0A" w:rsidRDefault="00655C0A" w:rsidP="00655C0A">
      <w:pPr>
        <w:pStyle w:val="NumPar1"/>
        <w:numPr>
          <w:ilvl w:val="0"/>
          <w:numId w:val="24"/>
        </w:numPr>
        <w:rPr>
          <w:noProof/>
        </w:rPr>
      </w:pPr>
      <w:r w:rsidRPr="00655C0A">
        <w:rPr>
          <w:noProof/>
        </w:rPr>
        <w:t>Kako biste dokazali usklađenost s točkom 30. CEEAG-a, potvrdite da zahtjev za potporu sadržava barem ime podnositelja zahtjeva, opis projekta ili djelatnosti, uključujući njihovu lokaciju, i iznos potpore potrebne za njihovu provedbu.</w:t>
      </w:r>
    </w:p>
    <w:p w14:paraId="24EE50FB" w14:textId="77777777" w:rsidR="00655C0A" w:rsidRPr="00A51F47" w:rsidRDefault="00655C0A" w:rsidP="00655C0A">
      <w:pPr>
        <w:tabs>
          <w:tab w:val="left" w:leader="dot" w:pos="9072"/>
        </w:tabs>
        <w:ind w:left="567"/>
        <w:rPr>
          <w:noProof/>
        </w:rPr>
      </w:pPr>
      <w:r w:rsidRPr="00A51F47">
        <w:rPr>
          <w:noProof/>
        </w:rPr>
        <w:tab/>
      </w:r>
    </w:p>
    <w:p w14:paraId="65A583A6" w14:textId="77777777" w:rsidR="00655C0A" w:rsidRPr="00655C0A" w:rsidRDefault="00655C0A" w:rsidP="00655C0A">
      <w:pPr>
        <w:pStyle w:val="NumPar1"/>
        <w:numPr>
          <w:ilvl w:val="0"/>
          <w:numId w:val="24"/>
        </w:numPr>
        <w:rPr>
          <w:noProof/>
        </w:rPr>
      </w:pPr>
      <w:r w:rsidRPr="00655C0A">
        <w:rPr>
          <w:noProof/>
        </w:rPr>
        <w:t>Kako bi se dokazala usklađenost s točkama 32., 232. i 233. CEEAG-a:</w:t>
      </w:r>
    </w:p>
    <w:p w14:paraId="19B868AD" w14:textId="77777777" w:rsidR="00655C0A" w:rsidRPr="00A51F47" w:rsidRDefault="00655C0A" w:rsidP="00655C0A">
      <w:pPr>
        <w:pStyle w:val="Point1letter"/>
        <w:numPr>
          <w:ilvl w:val="3"/>
          <w:numId w:val="30"/>
        </w:numPr>
        <w:rPr>
          <w:noProof/>
        </w:rPr>
      </w:pPr>
      <w:r w:rsidRPr="00A51F47">
        <w:rPr>
          <w:noProof/>
        </w:rPr>
        <w:t>navedite postoje li norme</w:t>
      </w:r>
      <w:r w:rsidRPr="00A51F47">
        <w:rPr>
          <w:rStyle w:val="FootnoteReference"/>
          <w:noProof/>
          <w:lang w:eastAsia="en-GB"/>
        </w:rPr>
        <w:footnoteReference w:id="6"/>
      </w:r>
      <w:r w:rsidRPr="00A51F47">
        <w:rPr>
          <w:noProof/>
        </w:rPr>
        <w:t xml:space="preserve"> Unije primjenjive na prijavljene mjere, obvezne nacionalne norme koje su strože ili ambicioznije od odgovarajućih normi Unije ili obvezne nacionalne norme donesene u nedostatku normi Unije. </w:t>
      </w:r>
    </w:p>
    <w:p w14:paraId="52946181" w14:textId="77777777" w:rsidR="00655C0A" w:rsidRPr="00A51F47" w:rsidRDefault="00655C0A" w:rsidP="00655C0A">
      <w:pPr>
        <w:pStyle w:val="Text2"/>
        <w:rPr>
          <w:noProof/>
        </w:rPr>
      </w:pPr>
      <w:r w:rsidRPr="00A51F47">
        <w:rPr>
          <w:noProof/>
        </w:rPr>
        <w:t xml:space="preserve">U tom kontekstu navedite informacije za dokazivanje učinka poticaja; </w:t>
      </w:r>
    </w:p>
    <w:p w14:paraId="216D7598" w14:textId="77777777" w:rsidR="00655C0A" w:rsidRPr="00A51F47" w:rsidRDefault="00655C0A" w:rsidP="00655C0A">
      <w:pPr>
        <w:tabs>
          <w:tab w:val="left" w:leader="dot" w:pos="9072"/>
        </w:tabs>
        <w:ind w:left="567"/>
        <w:rPr>
          <w:noProof/>
        </w:rPr>
      </w:pPr>
      <w:r w:rsidRPr="00A51F47">
        <w:rPr>
          <w:noProof/>
        </w:rPr>
        <w:tab/>
      </w:r>
    </w:p>
    <w:p w14:paraId="7F4518FD" w14:textId="77777777" w:rsidR="00655C0A" w:rsidRPr="00A51F47" w:rsidRDefault="00655C0A" w:rsidP="00655C0A">
      <w:pPr>
        <w:pStyle w:val="Point1letter"/>
        <w:numPr>
          <w:ilvl w:val="3"/>
          <w:numId w:val="30"/>
        </w:numPr>
        <w:rPr>
          <w:noProof/>
        </w:rPr>
      </w:pPr>
      <w:r w:rsidRPr="00A51F47">
        <w:rPr>
          <w:noProof/>
        </w:rPr>
        <w:t xml:space="preserve">u slučajevima u kojima je relevantna norma Unije već donesena, ali još nije na snazi, dokažite da potpora ima učinak poticaja jer potiče ulaganje koje treba provesti i dovršiti najmanje 18 mjeseci prije nego što norma stupi na snagu u skladu s točkom 233. CEEAG-a. </w:t>
      </w:r>
    </w:p>
    <w:p w14:paraId="18DC9AC6" w14:textId="77777777" w:rsidR="00655C0A" w:rsidRPr="00A51F47" w:rsidRDefault="00655C0A" w:rsidP="00655C0A">
      <w:pPr>
        <w:tabs>
          <w:tab w:val="left" w:leader="dot" w:pos="9072"/>
        </w:tabs>
        <w:ind w:left="567"/>
        <w:rPr>
          <w:noProof/>
        </w:rPr>
      </w:pPr>
      <w:r w:rsidRPr="00A51F47">
        <w:rPr>
          <w:noProof/>
        </w:rPr>
        <w:tab/>
      </w:r>
    </w:p>
    <w:p w14:paraId="622A50F4" w14:textId="77777777" w:rsidR="00655C0A" w:rsidRPr="00655C0A" w:rsidRDefault="00655C0A" w:rsidP="00655C0A">
      <w:pPr>
        <w:pStyle w:val="NumPar1"/>
        <w:numPr>
          <w:ilvl w:val="0"/>
          <w:numId w:val="24"/>
        </w:numPr>
        <w:rPr>
          <w:noProof/>
        </w:rPr>
      </w:pPr>
      <w:r w:rsidRPr="00655C0A">
        <w:rPr>
          <w:noProof/>
        </w:rPr>
        <w:t>Kako bi se dokazala usklađenost s odjeljkom 4.4.3. CEEAG-a, navedite jesu li projekti s razdobljem povrata kraćim od pet godina prihvatljivi za potporu u okviru mjere potpore. Ako jesu, objasnite zašto je ta potpora potrebna za poticanje promjene ponašanja u skladu s točkom 231. CEEAG-a.</w:t>
      </w:r>
    </w:p>
    <w:p w14:paraId="0C70953C" w14:textId="77777777" w:rsidR="00655C0A" w:rsidRPr="00A51F47" w:rsidRDefault="00655C0A" w:rsidP="00655C0A">
      <w:pPr>
        <w:tabs>
          <w:tab w:val="left" w:leader="dot" w:pos="9072"/>
        </w:tabs>
        <w:ind w:left="567"/>
        <w:rPr>
          <w:noProof/>
        </w:rPr>
      </w:pPr>
      <w:r w:rsidRPr="00A51F47">
        <w:rPr>
          <w:noProof/>
        </w:rPr>
        <w:lastRenderedPageBreak/>
        <w:tab/>
      </w:r>
    </w:p>
    <w:p w14:paraId="5619C42F" w14:textId="77777777" w:rsidR="00655C0A" w:rsidRPr="00A51F47" w:rsidRDefault="00655C0A" w:rsidP="00655C0A">
      <w:pPr>
        <w:pStyle w:val="Heading2"/>
        <w:numPr>
          <w:ilvl w:val="1"/>
          <w:numId w:val="9"/>
        </w:numPr>
        <w:rPr>
          <w:noProof/>
        </w:rPr>
      </w:pPr>
      <w:r w:rsidRPr="00A51F47">
        <w:rPr>
          <w:noProof/>
        </w:rPr>
        <w:t>Nepostojanje povrede bilo koje relevantne odredbe prava Unije</w:t>
      </w:r>
    </w:p>
    <w:p w14:paraId="3588316A" w14:textId="77777777" w:rsidR="00655C0A" w:rsidRPr="00A51F47" w:rsidRDefault="00655C0A" w:rsidP="00655C0A">
      <w:pPr>
        <w:spacing w:before="360"/>
        <w:rPr>
          <w:i/>
          <w:noProof/>
        </w:rPr>
      </w:pPr>
      <w:r w:rsidRPr="00A51F47">
        <w:rPr>
          <w:i/>
          <w:noProof/>
        </w:rPr>
        <w:t xml:space="preserve">Za unos podataka u ovom odjeljku vidjeti odjeljak 3.1.3. (točka 33.) CEEAG-a. </w:t>
      </w:r>
    </w:p>
    <w:p w14:paraId="44DC9064" w14:textId="77777777" w:rsidR="00655C0A" w:rsidRPr="00655C0A" w:rsidRDefault="00655C0A" w:rsidP="00655C0A">
      <w:pPr>
        <w:pStyle w:val="NumPar1"/>
        <w:numPr>
          <w:ilvl w:val="0"/>
          <w:numId w:val="24"/>
        </w:numPr>
        <w:rPr>
          <w:noProof/>
        </w:rPr>
      </w:pPr>
      <w:r w:rsidRPr="00655C0A">
        <w:rPr>
          <w:noProof/>
        </w:rPr>
        <w:t>Unesite podatke koji potvrđuju usklađenost s relevantnim odredbama prava EU-a u skladu s točkom 33. CEEAG-a.</w:t>
      </w:r>
    </w:p>
    <w:p w14:paraId="5C9C20D9" w14:textId="77777777" w:rsidR="00655C0A" w:rsidRPr="00A51F47" w:rsidRDefault="00655C0A" w:rsidP="00655C0A">
      <w:pPr>
        <w:tabs>
          <w:tab w:val="left" w:leader="dot" w:pos="9072"/>
        </w:tabs>
        <w:ind w:left="567"/>
        <w:rPr>
          <w:noProof/>
        </w:rPr>
      </w:pPr>
      <w:r w:rsidRPr="00A51F47">
        <w:rPr>
          <w:noProof/>
        </w:rPr>
        <w:tab/>
      </w:r>
    </w:p>
    <w:p w14:paraId="6CA4FA79" w14:textId="77777777" w:rsidR="00655C0A" w:rsidRPr="00655C0A" w:rsidRDefault="00655C0A" w:rsidP="00655C0A">
      <w:pPr>
        <w:pStyle w:val="NumPar1"/>
        <w:numPr>
          <w:ilvl w:val="0"/>
          <w:numId w:val="24"/>
        </w:numPr>
        <w:rPr>
          <w:noProof/>
          <w:color w:val="000000"/>
        </w:rPr>
      </w:pPr>
      <w:r w:rsidRPr="00655C0A">
        <w:rPr>
          <w:noProof/>
        </w:rPr>
        <w:t>Ako se za financiranje mjera upotrebljava davanje, pojasnite je li potrebno provesti procjenu usklađenosti s člancima 30. i 110. Ugovora. Ako jest, dokažite na koji je način mjera u skladu s odredbama članaka 30. i 110. Ugovora.</w:t>
      </w:r>
      <w:r w:rsidRPr="00655C0A">
        <w:rPr>
          <w:i/>
          <w:noProof/>
        </w:rPr>
        <w:t xml:space="preserve"> </w:t>
      </w:r>
      <w:r w:rsidRPr="00655C0A">
        <w:rPr>
          <w:noProof/>
        </w:rPr>
        <w:t>U tom kontekstu, ako se prijavljene mjere financiraju iz davanja, može se pozvati na informacije dostavljene u okviru pitanja 5,2. točke .</w:t>
      </w:r>
    </w:p>
    <w:p w14:paraId="1029E567" w14:textId="77777777" w:rsidR="00655C0A" w:rsidRPr="00A51F47" w:rsidRDefault="00655C0A" w:rsidP="00655C0A">
      <w:pPr>
        <w:tabs>
          <w:tab w:val="left" w:leader="dot" w:pos="9072"/>
        </w:tabs>
        <w:ind w:left="567"/>
        <w:rPr>
          <w:noProof/>
          <w:color w:val="000000"/>
        </w:rPr>
      </w:pPr>
      <w:r w:rsidRPr="00A51F47">
        <w:rPr>
          <w:noProof/>
          <w:color w:val="000000"/>
        </w:rPr>
        <w:tab/>
      </w:r>
    </w:p>
    <w:p w14:paraId="32525432" w14:textId="77777777" w:rsidR="00655C0A" w:rsidRPr="00A51F47" w:rsidRDefault="00655C0A" w:rsidP="00655C0A">
      <w:pPr>
        <w:pStyle w:val="Heading1"/>
        <w:numPr>
          <w:ilvl w:val="0"/>
          <w:numId w:val="9"/>
        </w:numPr>
        <w:rPr>
          <w:noProof/>
        </w:rPr>
      </w:pPr>
      <w:r w:rsidRPr="00A51F47">
        <w:rPr>
          <w:noProof/>
        </w:rPr>
        <w:t>Negativni uvjet: potpora ne smije neopravdano utjecati na trgovinske uvjete u mjeri u kojoj bi to bilo suprotno zajedničkom interesu</w:t>
      </w:r>
    </w:p>
    <w:p w14:paraId="1B74C959" w14:textId="77777777" w:rsidR="00655C0A" w:rsidRPr="00A51F47" w:rsidRDefault="00655C0A" w:rsidP="00655C0A">
      <w:pPr>
        <w:pStyle w:val="Heading2"/>
        <w:numPr>
          <w:ilvl w:val="1"/>
          <w:numId w:val="9"/>
        </w:numPr>
        <w:rPr>
          <w:noProof/>
        </w:rPr>
      </w:pPr>
      <w:r w:rsidRPr="00A51F47">
        <w:rPr>
          <w:noProof/>
        </w:rPr>
        <w:t>Svođenje narušavanja tržišnog natjecanja i trgovine na najmanju moguću mjeru</w:t>
      </w:r>
    </w:p>
    <w:p w14:paraId="6A5D243C" w14:textId="77777777" w:rsidR="00655C0A" w:rsidRPr="00A51F47" w:rsidRDefault="00655C0A" w:rsidP="00655C0A">
      <w:pPr>
        <w:pStyle w:val="Heading3"/>
        <w:numPr>
          <w:ilvl w:val="2"/>
          <w:numId w:val="9"/>
        </w:numPr>
        <w:rPr>
          <w:noProof/>
        </w:rPr>
      </w:pPr>
      <w:r w:rsidRPr="00A51F47">
        <w:rPr>
          <w:noProof/>
        </w:rPr>
        <w:t>Nužnost potpore</w:t>
      </w:r>
    </w:p>
    <w:p w14:paraId="124407E3" w14:textId="77777777" w:rsidR="00655C0A" w:rsidRPr="00A51F47" w:rsidRDefault="00655C0A" w:rsidP="00655C0A">
      <w:pPr>
        <w:spacing w:before="360"/>
        <w:rPr>
          <w:i/>
          <w:noProof/>
          <w:color w:val="000000"/>
        </w:rPr>
      </w:pPr>
      <w:r w:rsidRPr="00A51F47">
        <w:rPr>
          <w:i/>
          <w:noProof/>
        </w:rPr>
        <w:t>Za unos podataka u ovom odjeljku vidjeti odjeljke 3.2.1.1. (točke od 34. do 38.) i 4.4.4.1. (točke od 234. do 236.) CEEAG-a.</w:t>
      </w:r>
      <w:r w:rsidRPr="00A51F47">
        <w:rPr>
          <w:i/>
          <w:noProof/>
          <w:color w:val="000000"/>
        </w:rPr>
        <w:t xml:space="preserve"> </w:t>
      </w:r>
    </w:p>
    <w:p w14:paraId="56EF4D21" w14:textId="77777777" w:rsidR="00655C0A" w:rsidRPr="00655C0A" w:rsidRDefault="00655C0A" w:rsidP="00655C0A">
      <w:pPr>
        <w:pStyle w:val="NumPar1"/>
        <w:numPr>
          <w:ilvl w:val="0"/>
          <w:numId w:val="24"/>
        </w:numPr>
        <w:rPr>
          <w:i/>
          <w:noProof/>
        </w:rPr>
      </w:pPr>
      <w:r w:rsidRPr="00655C0A">
        <w:rPr>
          <w:noProof/>
          <w:shd w:val="clear" w:color="auto" w:fill="FFFFFF"/>
        </w:rPr>
        <w:t xml:space="preserve">Objasnite koje su tržišne nedostatke vaša tijela utvrdila zbog kojih nije moguće postići dostatnu razinu zaštite okoliša. </w:t>
      </w:r>
      <w:r w:rsidRPr="00655C0A">
        <w:rPr>
          <w:noProof/>
        </w:rPr>
        <w:t>Navedite kojoj kategoriji pripadaju ti nedostaci tako što ćete uputiti na točku 34. podtočku (a), (b), (c) ili (d) CEEAG-a.</w:t>
      </w:r>
      <w:r w:rsidRPr="00655C0A">
        <w:rPr>
          <w:noProof/>
          <w:shd w:val="clear" w:color="auto" w:fill="FFFFFF"/>
        </w:rPr>
        <w:t> </w:t>
      </w:r>
    </w:p>
    <w:p w14:paraId="356ED7A3" w14:textId="77777777" w:rsidR="00655C0A" w:rsidRPr="00A51F47" w:rsidRDefault="00655C0A" w:rsidP="00655C0A">
      <w:pPr>
        <w:tabs>
          <w:tab w:val="left" w:leader="dot" w:pos="9072"/>
        </w:tabs>
        <w:ind w:left="567"/>
        <w:rPr>
          <w:noProof/>
        </w:rPr>
      </w:pPr>
      <w:r w:rsidRPr="00A51F47">
        <w:rPr>
          <w:noProof/>
        </w:rPr>
        <w:tab/>
      </w:r>
    </w:p>
    <w:p w14:paraId="78534A39" w14:textId="77777777" w:rsidR="00655C0A" w:rsidRPr="00655C0A" w:rsidRDefault="00655C0A" w:rsidP="00655C0A">
      <w:pPr>
        <w:pStyle w:val="NumPar1"/>
        <w:numPr>
          <w:ilvl w:val="0"/>
          <w:numId w:val="24"/>
        </w:numPr>
        <w:rPr>
          <w:noProof/>
        </w:rPr>
      </w:pPr>
      <w:r w:rsidRPr="00655C0A">
        <w:rPr>
          <w:noProof/>
          <w:color w:val="000000"/>
          <w:shd w:val="clear" w:color="auto" w:fill="FFFFFF"/>
        </w:rPr>
        <w:t xml:space="preserve">U skladu </w:t>
      </w:r>
      <w:r w:rsidRPr="00655C0A">
        <w:rPr>
          <w:noProof/>
        </w:rPr>
        <w:t>s točkom 35. CEEAG-a navedite podatke o e</w:t>
      </w:r>
      <w:r w:rsidRPr="00655C0A">
        <w:rPr>
          <w:noProof/>
          <w:shd w:val="clear" w:color="auto" w:fill="FFFFFF"/>
        </w:rPr>
        <w:t>ventualnim postojećim politikama</w:t>
      </w:r>
      <w:r w:rsidRPr="00655C0A">
        <w:rPr>
          <w:noProof/>
        </w:rPr>
        <w:t xml:space="preserve"> i mjerama </w:t>
      </w:r>
      <w:r w:rsidRPr="00655C0A">
        <w:rPr>
          <w:noProof/>
          <w:shd w:val="clear" w:color="auto" w:fill="FFFFFF"/>
        </w:rPr>
        <w:t>koje su vaša tijela utvrdila, a koje se već primjenjuju na ispravljanje utvrđenih regulatornih ili tržišnih nedostataka.</w:t>
      </w:r>
      <w:r w:rsidRPr="00655C0A">
        <w:rPr>
          <w:noProof/>
        </w:rPr>
        <w:t> </w:t>
      </w:r>
    </w:p>
    <w:p w14:paraId="2E536DE3" w14:textId="77777777" w:rsidR="00655C0A" w:rsidRPr="00A51F47" w:rsidRDefault="00655C0A" w:rsidP="00655C0A">
      <w:pPr>
        <w:tabs>
          <w:tab w:val="left" w:leader="dot" w:pos="9072"/>
        </w:tabs>
        <w:ind w:left="567"/>
        <w:rPr>
          <w:noProof/>
        </w:rPr>
      </w:pPr>
      <w:r w:rsidRPr="00A51F47">
        <w:rPr>
          <w:noProof/>
        </w:rPr>
        <w:tab/>
      </w:r>
    </w:p>
    <w:p w14:paraId="51AB56A2" w14:textId="77777777" w:rsidR="00655C0A" w:rsidRPr="00655C0A" w:rsidRDefault="00655C0A" w:rsidP="00655C0A">
      <w:pPr>
        <w:pStyle w:val="NumPar1"/>
        <w:numPr>
          <w:ilvl w:val="0"/>
          <w:numId w:val="19"/>
        </w:numPr>
        <w:rPr>
          <w:rFonts w:ascii="Segoe UI" w:hAnsi="Segoe UI" w:cs="Segoe UI"/>
          <w:noProof/>
          <w:sz w:val="18"/>
          <w:szCs w:val="18"/>
        </w:rPr>
      </w:pPr>
      <w:r w:rsidRPr="00655C0A">
        <w:rPr>
          <w:noProof/>
        </w:rPr>
        <w:t>Kako bi se dokazala usklađenost s točkom 36. CEEAG-a, navedite podatke koji dokazuju da se potpora učinkovito primjenjuje na ispravljanje preostalih tržišnih nedostataka, uzimajući u obzir i sve druge politike i mjere koje su već na snazi radi ispravljanja nekih utvrđenih tržišnih nedostataka.  </w:t>
      </w:r>
    </w:p>
    <w:p w14:paraId="35277565" w14:textId="77777777" w:rsidR="00655C0A" w:rsidRPr="00A51F47" w:rsidRDefault="00655C0A" w:rsidP="00655C0A">
      <w:pPr>
        <w:tabs>
          <w:tab w:val="left" w:leader="dot" w:pos="9072"/>
        </w:tabs>
        <w:ind w:left="567"/>
        <w:rPr>
          <w:noProof/>
        </w:rPr>
      </w:pPr>
      <w:r w:rsidRPr="00A51F47">
        <w:rPr>
          <w:noProof/>
        </w:rPr>
        <w:tab/>
      </w:r>
    </w:p>
    <w:p w14:paraId="45CF76C9" w14:textId="77777777" w:rsidR="00655C0A" w:rsidRPr="00655C0A" w:rsidRDefault="00655C0A" w:rsidP="00655C0A">
      <w:pPr>
        <w:pStyle w:val="NumPar1"/>
        <w:numPr>
          <w:ilvl w:val="0"/>
          <w:numId w:val="24"/>
        </w:numPr>
        <w:rPr>
          <w:noProof/>
        </w:rPr>
      </w:pPr>
      <w:r w:rsidRPr="00655C0A">
        <w:rPr>
          <w:noProof/>
        </w:rPr>
        <w:t>Kako bi se dokazala usklađenost s točkom 37. CEEAG-a, objasnite jesu li, prema saznanjima vaših nadležnih tijela, projekti ili djelatnosti slični onima obuhvaćenima prijavljenim mjerama s obzirom na tehnološki sadržaj, razinu rizika i veličinu već provedeni u Uniji po tržišnim cijenama. Ako je odgovor potvrdan, dostavite dodatne dokaze o potrebi za državnom potporom. </w:t>
      </w:r>
    </w:p>
    <w:p w14:paraId="430CE7B8" w14:textId="77777777" w:rsidR="00655C0A" w:rsidRPr="00A51F47" w:rsidRDefault="00655C0A" w:rsidP="00655C0A">
      <w:pPr>
        <w:tabs>
          <w:tab w:val="left" w:leader="dot" w:pos="9072"/>
        </w:tabs>
        <w:ind w:left="567"/>
        <w:rPr>
          <w:noProof/>
        </w:rPr>
      </w:pPr>
      <w:r w:rsidRPr="00A51F47">
        <w:rPr>
          <w:noProof/>
        </w:rPr>
        <w:tab/>
      </w:r>
    </w:p>
    <w:p w14:paraId="61224A7E" w14:textId="77777777" w:rsidR="00655C0A" w:rsidRPr="00655C0A" w:rsidRDefault="00655C0A" w:rsidP="00655C0A">
      <w:pPr>
        <w:pStyle w:val="NumPar1"/>
        <w:numPr>
          <w:ilvl w:val="0"/>
          <w:numId w:val="24"/>
        </w:numPr>
        <w:rPr>
          <w:noProof/>
        </w:rPr>
      </w:pPr>
      <w:r w:rsidRPr="00655C0A">
        <w:rPr>
          <w:noProof/>
        </w:rPr>
        <w:t xml:space="preserve">Kako bi se dokazala usklađenost s točkom 38. CEEAG-a, osvrnite se na kvantitativne dokaze navedene u pitanju 15. </w:t>
      </w:r>
    </w:p>
    <w:p w14:paraId="7B90BD01" w14:textId="77777777" w:rsidR="00655C0A" w:rsidRPr="00A51F47" w:rsidRDefault="00655C0A" w:rsidP="00655C0A">
      <w:pPr>
        <w:tabs>
          <w:tab w:val="left" w:leader="dot" w:pos="9072"/>
        </w:tabs>
        <w:ind w:left="567"/>
        <w:rPr>
          <w:noProof/>
        </w:rPr>
      </w:pPr>
      <w:r w:rsidRPr="00A51F47">
        <w:rPr>
          <w:noProof/>
        </w:rPr>
        <w:lastRenderedPageBreak/>
        <w:tab/>
      </w:r>
    </w:p>
    <w:p w14:paraId="7AAFCB84" w14:textId="77777777" w:rsidR="00655C0A" w:rsidRPr="00655C0A" w:rsidRDefault="00655C0A" w:rsidP="00655C0A">
      <w:pPr>
        <w:pStyle w:val="NumPar1"/>
        <w:numPr>
          <w:ilvl w:val="0"/>
          <w:numId w:val="24"/>
        </w:numPr>
        <w:rPr>
          <w:noProof/>
        </w:rPr>
      </w:pPr>
      <w:r w:rsidRPr="00655C0A">
        <w:rPr>
          <w:noProof/>
        </w:rPr>
        <w:t>Osim toga, opišite, u skladu s točkom 235. CEEAG-a, koja je uvriježena poslovna praksa u predmetnom sektoru i pokažite da projekt premašuje tu uvriježenu poslovnu praksu koja se općenito primjenjuje u cijeloj Uniji i za različite tehnologije.</w:t>
      </w:r>
    </w:p>
    <w:p w14:paraId="451F8668" w14:textId="77777777" w:rsidR="00655C0A" w:rsidRPr="00A51F47" w:rsidRDefault="00655C0A" w:rsidP="00655C0A">
      <w:pPr>
        <w:tabs>
          <w:tab w:val="left" w:leader="dot" w:pos="9072"/>
        </w:tabs>
        <w:ind w:left="567"/>
        <w:rPr>
          <w:noProof/>
        </w:rPr>
      </w:pPr>
      <w:r w:rsidRPr="00A51F47">
        <w:rPr>
          <w:noProof/>
        </w:rPr>
        <w:tab/>
      </w:r>
    </w:p>
    <w:p w14:paraId="65741C92" w14:textId="77777777" w:rsidR="00655C0A" w:rsidRPr="00655C0A" w:rsidRDefault="00655C0A" w:rsidP="00655C0A">
      <w:pPr>
        <w:pStyle w:val="NumPar1"/>
        <w:numPr>
          <w:ilvl w:val="0"/>
          <w:numId w:val="24"/>
        </w:numPr>
        <w:rPr>
          <w:noProof/>
        </w:rPr>
      </w:pPr>
      <w:r w:rsidRPr="00655C0A">
        <w:rPr>
          <w:noProof/>
        </w:rPr>
        <w:t>Kako bi se dokazala usklađenost s točkom 236. CEEAG-a:</w:t>
      </w:r>
    </w:p>
    <w:p w14:paraId="3278F03F" w14:textId="77777777" w:rsidR="00655C0A" w:rsidRPr="00A51F47" w:rsidRDefault="00655C0A" w:rsidP="00655C0A">
      <w:pPr>
        <w:pStyle w:val="Point1letter"/>
        <w:numPr>
          <w:ilvl w:val="3"/>
          <w:numId w:val="48"/>
        </w:numPr>
        <w:rPr>
          <w:noProof/>
        </w:rPr>
      </w:pPr>
      <w:r w:rsidRPr="00A51F47">
        <w:rPr>
          <w:noProof/>
        </w:rPr>
        <w:t>u slučaju potpore za odvojeno skupljanje i razvrstavanje otpada ili drugih proizvoda, materijala ili tvari dokažite da je takvo odvojeno skupljanje i razvrstavanje nedovoljno razvijeno u vašoj državi članici</w:t>
      </w:r>
      <w:r w:rsidRPr="00A51F47">
        <w:rPr>
          <w:rStyle w:val="FootnoteReference"/>
          <w:noProof/>
        </w:rPr>
        <w:footnoteReference w:id="7"/>
      </w:r>
      <w:r w:rsidRPr="00A51F47">
        <w:rPr>
          <w:noProof/>
        </w:rPr>
        <w:t xml:space="preserve">; </w:t>
      </w:r>
    </w:p>
    <w:p w14:paraId="64A5673E" w14:textId="77777777" w:rsidR="00655C0A" w:rsidRPr="00A51F47" w:rsidRDefault="00655C0A" w:rsidP="00655C0A">
      <w:pPr>
        <w:tabs>
          <w:tab w:val="left" w:leader="dot" w:pos="9072"/>
        </w:tabs>
        <w:ind w:left="567"/>
        <w:rPr>
          <w:noProof/>
        </w:rPr>
      </w:pPr>
      <w:r w:rsidRPr="00A51F47">
        <w:rPr>
          <w:noProof/>
        </w:rPr>
        <w:tab/>
      </w:r>
    </w:p>
    <w:p w14:paraId="3876A4DE" w14:textId="77777777" w:rsidR="00655C0A" w:rsidRPr="00A51F47" w:rsidRDefault="00655C0A" w:rsidP="00655C0A">
      <w:pPr>
        <w:pStyle w:val="Point1letter"/>
        <w:numPr>
          <w:ilvl w:val="3"/>
          <w:numId w:val="48"/>
        </w:numPr>
        <w:rPr>
          <w:noProof/>
        </w:rPr>
      </w:pPr>
      <w:r w:rsidRPr="00A51F47">
        <w:rPr>
          <w:noProof/>
        </w:rPr>
        <w:t xml:space="preserve">u slučaju potpore koja se dodjeljuje za pokrivanje operativnih troškova, dokažite da je takva potpora potrebna u prijelaznom razdoblju kako bi se olakšao razvoj djelatnosti povezanih s odvojenim skupljanjem i razvrstavanjem otpada. Uzmite u obzir i opišite sve obveze poduzetnika u okviru programâ proširene odgovornosti proizvođača, koje ste možda proveli u skladu s člankom 8. Direktive 2008/98/EZ. </w:t>
      </w:r>
    </w:p>
    <w:p w14:paraId="3A9FAF57" w14:textId="77777777" w:rsidR="00655C0A" w:rsidRPr="00A51F47" w:rsidRDefault="00655C0A" w:rsidP="00655C0A">
      <w:pPr>
        <w:tabs>
          <w:tab w:val="left" w:leader="dot" w:pos="9072"/>
        </w:tabs>
        <w:ind w:left="567"/>
        <w:rPr>
          <w:noProof/>
        </w:rPr>
      </w:pPr>
      <w:r w:rsidRPr="00A51F47">
        <w:rPr>
          <w:noProof/>
        </w:rPr>
        <w:tab/>
      </w:r>
    </w:p>
    <w:p w14:paraId="1B167C84" w14:textId="77777777" w:rsidR="00655C0A" w:rsidRPr="00A51F47" w:rsidRDefault="00655C0A" w:rsidP="00655C0A">
      <w:pPr>
        <w:pStyle w:val="Heading3"/>
        <w:numPr>
          <w:ilvl w:val="2"/>
          <w:numId w:val="9"/>
        </w:numPr>
        <w:rPr>
          <w:noProof/>
        </w:rPr>
      </w:pPr>
      <w:r w:rsidRPr="00A51F47">
        <w:rPr>
          <w:noProof/>
        </w:rPr>
        <w:t>Primjerenost</w:t>
      </w:r>
    </w:p>
    <w:p w14:paraId="48B39A9C" w14:textId="77777777" w:rsidR="00655C0A" w:rsidRPr="00A51F47" w:rsidRDefault="00655C0A" w:rsidP="00655C0A">
      <w:pPr>
        <w:spacing w:before="360"/>
        <w:rPr>
          <w:i/>
          <w:noProof/>
          <w:color w:val="000000"/>
        </w:rPr>
      </w:pPr>
      <w:r w:rsidRPr="00A51F47">
        <w:rPr>
          <w:i/>
          <w:noProof/>
        </w:rPr>
        <w:t>Za unos podataka u ovom odjeljku vidjeti odjeljke 3.2.1.2. (točke od 39. do 46.) i 4.4.4.2. (točka 238.) CEEAG-a.</w:t>
      </w:r>
      <w:r w:rsidRPr="00A51F47">
        <w:rPr>
          <w:i/>
          <w:noProof/>
          <w:color w:val="000000"/>
        </w:rPr>
        <w:t xml:space="preserve"> </w:t>
      </w:r>
    </w:p>
    <w:p w14:paraId="2D3F3787" w14:textId="77777777" w:rsidR="00655C0A" w:rsidRPr="00655C0A" w:rsidRDefault="00655C0A" w:rsidP="00655C0A">
      <w:pPr>
        <w:pStyle w:val="NumPar1"/>
        <w:numPr>
          <w:ilvl w:val="0"/>
          <w:numId w:val="24"/>
        </w:numPr>
        <w:rPr>
          <w:noProof/>
        </w:rPr>
      </w:pPr>
      <w:r w:rsidRPr="00655C0A">
        <w:rPr>
          <w:noProof/>
        </w:rPr>
        <w:t xml:space="preserve">Kako biste provjerili usklađenost s točkom 40. CEEAG-a, dokažite da ne postoje primjereniji instrumenti kojima se manje narušava tržišno natjecanje. </w:t>
      </w:r>
    </w:p>
    <w:p w14:paraId="6D41FC40" w14:textId="77777777" w:rsidR="00655C0A" w:rsidRPr="00655C0A" w:rsidRDefault="00655C0A" w:rsidP="00655C0A">
      <w:pPr>
        <w:pStyle w:val="NumPar1"/>
        <w:numPr>
          <w:ilvl w:val="0"/>
          <w:numId w:val="24"/>
        </w:numPr>
        <w:rPr>
          <w:noProof/>
        </w:rPr>
      </w:pPr>
      <w:r w:rsidRPr="00655C0A">
        <w:rPr>
          <w:noProof/>
        </w:rPr>
        <w:t xml:space="preserve">Kako bi se provjerila usklađenost s točkom 41. CEEAG-a, dokažite da je mjera potpore osmišljena tako da ne ugrožava učinkovitost drugih mjera kojima se ispravlja isti tržišni nedostatak, kao što su mehanizmi koji se temelje na tržištu (npr. ETS EU-a). </w:t>
      </w:r>
    </w:p>
    <w:p w14:paraId="177704A9" w14:textId="77777777" w:rsidR="00655C0A" w:rsidRPr="00A51F47" w:rsidRDefault="00655C0A" w:rsidP="00655C0A">
      <w:pPr>
        <w:tabs>
          <w:tab w:val="left" w:leader="dot" w:pos="9072"/>
        </w:tabs>
        <w:ind w:left="567"/>
        <w:rPr>
          <w:noProof/>
        </w:rPr>
      </w:pPr>
      <w:r w:rsidRPr="00A51F47">
        <w:rPr>
          <w:noProof/>
        </w:rPr>
        <w:tab/>
      </w:r>
    </w:p>
    <w:p w14:paraId="4BFA7FF7" w14:textId="77777777" w:rsidR="00655C0A" w:rsidRPr="00655C0A" w:rsidRDefault="00655C0A" w:rsidP="00655C0A">
      <w:pPr>
        <w:pStyle w:val="NumPar1"/>
        <w:numPr>
          <w:ilvl w:val="0"/>
          <w:numId w:val="24"/>
        </w:numPr>
        <w:rPr>
          <w:noProof/>
        </w:rPr>
      </w:pPr>
      <w:r w:rsidRPr="00655C0A">
        <w:rPr>
          <w:noProof/>
        </w:rPr>
        <w:t xml:space="preserve">Kako bi se provjerila usklađenost s točkom 42. CEEAG-a, potvrdite da se nijedan korisnik mjera potpore ne može smatrati odgovornim za onečišćenje u skladu s postojećim pravom Unije ili nacionalnim pravom </w:t>
      </w:r>
      <w:r w:rsidRPr="00655C0A">
        <w:rPr>
          <w:i/>
          <w:noProof/>
        </w:rPr>
        <w:t>(načelo „onečišćivač plaća”</w:t>
      </w:r>
      <w:r w:rsidRPr="00655C0A">
        <w:rPr>
          <w:noProof/>
        </w:rPr>
        <w:t>).</w:t>
      </w:r>
      <w:r w:rsidRPr="00655C0A">
        <w:rPr>
          <w:noProof/>
          <w:shd w:val="clear" w:color="auto" w:fill="FFFFFF"/>
        </w:rPr>
        <w:t xml:space="preserve"> </w:t>
      </w:r>
    </w:p>
    <w:p w14:paraId="640C05E3" w14:textId="77777777" w:rsidR="00655C0A" w:rsidRPr="00A51F47" w:rsidRDefault="00655C0A" w:rsidP="00655C0A">
      <w:pPr>
        <w:tabs>
          <w:tab w:val="left" w:leader="dot" w:pos="9072"/>
        </w:tabs>
        <w:ind w:left="567"/>
        <w:rPr>
          <w:noProof/>
        </w:rPr>
      </w:pPr>
      <w:r w:rsidRPr="00A51F47">
        <w:rPr>
          <w:noProof/>
        </w:rPr>
        <w:tab/>
      </w:r>
    </w:p>
    <w:p w14:paraId="3C4AC988" w14:textId="77777777" w:rsidR="00655C0A" w:rsidRPr="00655C0A" w:rsidRDefault="00655C0A" w:rsidP="00655C0A">
      <w:pPr>
        <w:pStyle w:val="NumPar1"/>
        <w:numPr>
          <w:ilvl w:val="0"/>
          <w:numId w:val="24"/>
        </w:numPr>
        <w:rPr>
          <w:noProof/>
        </w:rPr>
      </w:pPr>
      <w:r w:rsidRPr="00655C0A">
        <w:rPr>
          <w:noProof/>
        </w:rPr>
        <w:t>Kako bi se provjerila usklađenost s točkom 238. CEEAG-a, dokažite da potpore ne služe tomu da se poduzetnike koji proizvode otpad oslobodi bilo kojih troškova ili obveza povezanih s obradom otpada koje snose u skladu s pravom Unije ili nacionalnim pravom, među ostalim u okviru programa proširene odgovornosti proizvođača i da ne služe tomu da se poduzetnike oslobodi troškova koji bi se trebali smatrati uobičajenim troškovima poduzetnika.</w:t>
      </w:r>
    </w:p>
    <w:p w14:paraId="1C2227BF" w14:textId="77777777" w:rsidR="00655C0A" w:rsidRPr="00A51F47" w:rsidRDefault="00655C0A" w:rsidP="00655C0A">
      <w:pPr>
        <w:tabs>
          <w:tab w:val="left" w:leader="dot" w:pos="9072"/>
        </w:tabs>
        <w:ind w:left="567"/>
        <w:rPr>
          <w:noProof/>
        </w:rPr>
      </w:pPr>
      <w:r w:rsidRPr="00A51F47">
        <w:rPr>
          <w:noProof/>
        </w:rPr>
        <w:tab/>
      </w:r>
    </w:p>
    <w:p w14:paraId="655B8CD9" w14:textId="77777777" w:rsidR="00655C0A" w:rsidRPr="00655C0A" w:rsidRDefault="00655C0A" w:rsidP="00655C0A">
      <w:pPr>
        <w:pStyle w:val="NumPar1"/>
        <w:numPr>
          <w:ilvl w:val="0"/>
          <w:numId w:val="24"/>
        </w:numPr>
        <w:rPr>
          <w:noProof/>
        </w:rPr>
      </w:pPr>
      <w:r w:rsidRPr="00655C0A">
        <w:rPr>
          <w:noProof/>
        </w:rPr>
        <w:lastRenderedPageBreak/>
        <w:t>Kako biste provjerili usklađenost s točkama 43. do 46. CEEAG-a i dokazali primjerenost potpore među različitim instrumentima potpore, navedite sljedeće podatke:  </w:t>
      </w:r>
    </w:p>
    <w:p w14:paraId="04373F19" w14:textId="77777777" w:rsidR="00655C0A" w:rsidRPr="00A51F47" w:rsidRDefault="00655C0A" w:rsidP="00655C0A">
      <w:pPr>
        <w:pStyle w:val="Point1letter"/>
        <w:numPr>
          <w:ilvl w:val="3"/>
          <w:numId w:val="31"/>
        </w:numPr>
        <w:rPr>
          <w:noProof/>
        </w:rPr>
      </w:pPr>
      <w:r w:rsidRPr="00A51F47">
        <w:rPr>
          <w:noProof/>
        </w:rPr>
        <w:t>objasnite zašto su drugi oblici potpore koji potencijalno manje narušavaju tržišno natjecanje manje primjereni, kako je propisano točkom 44. CEEAG-a. Oblici potpore koji potencijalno manje narušavaju tržišno natjecanja mogu biti povratni predujmovi u usporedbi s izravnim bespovratnim sredstvima, porezne olakšice u usporedbi sa smanjenjem poreza; ili oblici potpore koji se temelje na financijskim instrumentima kao što su dužnički instrumenti u usporedbi s vlasničkim instrumentima, uključujući, na primjer, zajmove s niskim kamatama ili popuste na kamate, državna jamstva ili alternativno financiranje po povoljnim uvjetima; </w:t>
      </w:r>
    </w:p>
    <w:p w14:paraId="567C4286" w14:textId="77777777" w:rsidR="00655C0A" w:rsidRPr="00A51F47" w:rsidRDefault="00655C0A" w:rsidP="00655C0A">
      <w:pPr>
        <w:tabs>
          <w:tab w:val="left" w:leader="dot" w:pos="9072"/>
        </w:tabs>
        <w:ind w:left="567"/>
        <w:rPr>
          <w:noProof/>
        </w:rPr>
      </w:pPr>
      <w:r w:rsidRPr="00A51F47">
        <w:rPr>
          <w:noProof/>
        </w:rPr>
        <w:tab/>
      </w:r>
    </w:p>
    <w:p w14:paraId="78110177" w14:textId="77777777" w:rsidR="00655C0A" w:rsidRPr="00A51F47" w:rsidRDefault="00655C0A" w:rsidP="00655C0A">
      <w:pPr>
        <w:pStyle w:val="Point1letter"/>
        <w:numPr>
          <w:ilvl w:val="3"/>
          <w:numId w:val="49"/>
        </w:numPr>
        <w:rPr>
          <w:noProof/>
        </w:rPr>
      </w:pPr>
      <w:r w:rsidRPr="00A51F47">
        <w:rPr>
          <w:noProof/>
        </w:rPr>
        <w:t>dokažite da je odabrani instrument potpore primjeren tržišnom nedostatku koji se namjerava ispraviti mjerom potpore, kako se zahtijeva u točki 45. CEEAG-a; </w:t>
      </w:r>
    </w:p>
    <w:p w14:paraId="3F723CEC" w14:textId="77777777" w:rsidR="00655C0A" w:rsidRPr="00A51F47" w:rsidRDefault="00655C0A" w:rsidP="00655C0A">
      <w:pPr>
        <w:tabs>
          <w:tab w:val="left" w:leader="dot" w:pos="9072"/>
        </w:tabs>
        <w:ind w:left="567"/>
        <w:rPr>
          <w:noProof/>
        </w:rPr>
      </w:pPr>
      <w:r w:rsidRPr="00A51F47">
        <w:rPr>
          <w:noProof/>
        </w:rPr>
        <w:tab/>
      </w:r>
    </w:p>
    <w:p w14:paraId="1C980BF8" w14:textId="77777777" w:rsidR="00655C0A" w:rsidRPr="00A51F47" w:rsidRDefault="00655C0A" w:rsidP="00655C0A">
      <w:pPr>
        <w:pStyle w:val="Point1letter"/>
        <w:numPr>
          <w:ilvl w:val="3"/>
          <w:numId w:val="49"/>
        </w:numPr>
        <w:rPr>
          <w:noProof/>
        </w:rPr>
      </w:pPr>
      <w:r w:rsidRPr="00A51F47">
        <w:rPr>
          <w:noProof/>
        </w:rPr>
        <w:t>objasnite na koji su način mjera potpore i njezin oblik primjereni za postizanje cilja mjere na koju se potpora odnosi, kako je propisano točkom 46. CEEAG-a.  </w:t>
      </w:r>
    </w:p>
    <w:p w14:paraId="100FE198" w14:textId="77777777" w:rsidR="00655C0A" w:rsidRPr="00A51F47" w:rsidRDefault="00655C0A" w:rsidP="00655C0A">
      <w:pPr>
        <w:tabs>
          <w:tab w:val="left" w:leader="dot" w:pos="9072"/>
        </w:tabs>
        <w:ind w:left="567"/>
        <w:rPr>
          <w:noProof/>
        </w:rPr>
      </w:pPr>
      <w:r w:rsidRPr="00A51F47">
        <w:rPr>
          <w:noProof/>
        </w:rPr>
        <w:tab/>
      </w:r>
    </w:p>
    <w:p w14:paraId="4C4E360C" w14:textId="77777777" w:rsidR="00655C0A" w:rsidRPr="00A51F47" w:rsidRDefault="00655C0A" w:rsidP="00655C0A">
      <w:pPr>
        <w:pStyle w:val="Heading3"/>
        <w:numPr>
          <w:ilvl w:val="2"/>
          <w:numId w:val="9"/>
        </w:numPr>
        <w:rPr>
          <w:noProof/>
        </w:rPr>
      </w:pPr>
      <w:r w:rsidRPr="00A51F47">
        <w:rPr>
          <w:noProof/>
        </w:rPr>
        <w:t>Proporcionalnost</w:t>
      </w:r>
    </w:p>
    <w:p w14:paraId="6F7C3C2E" w14:textId="77777777" w:rsidR="00655C0A" w:rsidRPr="00A51F47" w:rsidRDefault="00655C0A" w:rsidP="00655C0A">
      <w:pPr>
        <w:spacing w:before="360"/>
        <w:rPr>
          <w:i/>
          <w:noProof/>
        </w:rPr>
      </w:pPr>
      <w:r w:rsidRPr="00A51F47">
        <w:rPr>
          <w:i/>
          <w:noProof/>
        </w:rPr>
        <w:t xml:space="preserve">Za unos podataka u ovom odjeljku vidjeti točke od 239. do 244. CEEAG-a. Napominjemo da se </w:t>
      </w:r>
      <w:r w:rsidRPr="00A51F47">
        <w:rPr>
          <w:i/>
          <w:noProof/>
          <w:u w:val="single"/>
        </w:rPr>
        <w:t>odjeljci 2.1.3.1., 2.1.3.2. i 2.1.3.3. međusobno isključuju</w:t>
      </w:r>
      <w:r w:rsidRPr="00A51F47">
        <w:rPr>
          <w:i/>
          <w:noProof/>
        </w:rPr>
        <w:t>. Odgovorite samo na pitanja u relevantnom odjeljku, ovisno o obliku predložene mjere [za operativne potpore za prikupljanje vidjeti odjeljak 2.1.3.3.].</w:t>
      </w:r>
    </w:p>
    <w:p w14:paraId="0C1D980A" w14:textId="77777777" w:rsidR="00655C0A" w:rsidRPr="00A51F47" w:rsidRDefault="00655C0A" w:rsidP="00655C0A">
      <w:pPr>
        <w:pStyle w:val="Heading4"/>
        <w:numPr>
          <w:ilvl w:val="3"/>
          <w:numId w:val="9"/>
        </w:numPr>
        <w:rPr>
          <w:noProof/>
        </w:rPr>
      </w:pPr>
      <w:r w:rsidRPr="00A51F47">
        <w:rPr>
          <w:noProof/>
        </w:rPr>
        <w:t>Potpora na temelju intenziteta potpore iz točaka od 240. do 244. CEEAG-a</w:t>
      </w:r>
    </w:p>
    <w:p w14:paraId="665E7DB0" w14:textId="77777777" w:rsidR="00655C0A" w:rsidRPr="00655C0A" w:rsidRDefault="00655C0A" w:rsidP="00655C0A">
      <w:pPr>
        <w:pStyle w:val="NumPar1"/>
        <w:numPr>
          <w:ilvl w:val="0"/>
          <w:numId w:val="24"/>
        </w:numPr>
        <w:rPr>
          <w:noProof/>
        </w:rPr>
      </w:pPr>
      <w:r w:rsidRPr="00655C0A">
        <w:rPr>
          <w:noProof/>
        </w:rPr>
        <w:t xml:space="preserve">Za opis prihvatljivih troškova u skladu s točkom 239. CEEAG-a navedite dodatne troškove ulaganja koji su izravno povezani s postizanjem više razine zaštite okoliša. </w:t>
      </w:r>
    </w:p>
    <w:p w14:paraId="5208C2C5" w14:textId="77777777" w:rsidR="00655C0A" w:rsidRPr="00A51F47" w:rsidRDefault="00655C0A" w:rsidP="00655C0A">
      <w:pPr>
        <w:tabs>
          <w:tab w:val="left" w:leader="dot" w:pos="9072"/>
        </w:tabs>
        <w:ind w:left="567"/>
        <w:rPr>
          <w:noProof/>
        </w:rPr>
      </w:pPr>
      <w:r w:rsidRPr="00A51F47">
        <w:rPr>
          <w:noProof/>
        </w:rPr>
        <w:tab/>
      </w:r>
    </w:p>
    <w:p w14:paraId="3524E6BE" w14:textId="77777777" w:rsidR="00655C0A" w:rsidRPr="00655C0A" w:rsidRDefault="00655C0A" w:rsidP="00655C0A">
      <w:pPr>
        <w:pStyle w:val="NumPar1"/>
        <w:numPr>
          <w:ilvl w:val="0"/>
          <w:numId w:val="24"/>
        </w:numPr>
        <w:rPr>
          <w:noProof/>
        </w:rPr>
      </w:pPr>
      <w:r w:rsidRPr="00655C0A">
        <w:rPr>
          <w:noProof/>
        </w:rPr>
        <w:t xml:space="preserve">Objasnite kako će se utvrditi i provjeriti troškovi ulaganja iz činjeničnog scenarija i scenarija koji je manje prihvatljiv za okoliš. </w:t>
      </w:r>
    </w:p>
    <w:p w14:paraId="63B4E56E" w14:textId="77777777" w:rsidR="00655C0A" w:rsidRPr="00A51F47" w:rsidRDefault="00655C0A" w:rsidP="00655C0A">
      <w:pPr>
        <w:tabs>
          <w:tab w:val="left" w:leader="dot" w:pos="9072"/>
        </w:tabs>
        <w:ind w:left="567"/>
        <w:rPr>
          <w:noProof/>
        </w:rPr>
      </w:pPr>
      <w:r w:rsidRPr="00A51F47">
        <w:rPr>
          <w:noProof/>
        </w:rPr>
        <w:tab/>
      </w:r>
    </w:p>
    <w:p w14:paraId="2DD2A812" w14:textId="77777777" w:rsidR="00655C0A" w:rsidRPr="00655C0A" w:rsidRDefault="00655C0A" w:rsidP="00655C0A">
      <w:pPr>
        <w:pStyle w:val="NumPar1"/>
        <w:numPr>
          <w:ilvl w:val="0"/>
          <w:numId w:val="24"/>
        </w:numPr>
        <w:rPr>
          <w:noProof/>
        </w:rPr>
      </w:pPr>
      <w:r w:rsidRPr="00655C0A">
        <w:rPr>
          <w:noProof/>
        </w:rPr>
        <w:t xml:space="preserve">Za proizvode, tvari ili materijale koji bi se smatrali otpadom ako se ponovno ne upotrijebe i ako ne postoji zakonska obveza da se ti proizvodi, tvari ili materijali zbrinu ili obrade na drugi način, potvrdite da će opravdani troškovi odgovarati ulaganju potrebnom za oporabu predmetnih proizvoda, tvari ili materijala. </w:t>
      </w:r>
    </w:p>
    <w:p w14:paraId="05867EBA" w14:textId="77777777" w:rsidR="00655C0A" w:rsidRPr="00A51F47" w:rsidRDefault="00655C0A" w:rsidP="00655C0A">
      <w:pPr>
        <w:tabs>
          <w:tab w:val="left" w:leader="dot" w:pos="9072"/>
        </w:tabs>
        <w:ind w:left="567"/>
        <w:rPr>
          <w:noProof/>
        </w:rPr>
      </w:pPr>
      <w:r w:rsidRPr="00A51F47">
        <w:rPr>
          <w:noProof/>
        </w:rPr>
        <w:tab/>
      </w:r>
    </w:p>
    <w:p w14:paraId="13B8644A" w14:textId="77777777" w:rsidR="00655C0A" w:rsidRPr="00655C0A" w:rsidRDefault="00655C0A" w:rsidP="00655C0A">
      <w:pPr>
        <w:pStyle w:val="NumPar1"/>
        <w:numPr>
          <w:ilvl w:val="0"/>
          <w:numId w:val="24"/>
        </w:numPr>
        <w:rPr>
          <w:noProof/>
        </w:rPr>
      </w:pPr>
      <w:bookmarkStart w:id="5" w:name="_Ref176356799"/>
      <w:r w:rsidRPr="00655C0A">
        <w:rPr>
          <w:noProof/>
        </w:rPr>
        <w:t>Navedite maksimalne intenzitete potpore primjenjive u okviru mjere i navedite primjenjuju li se povećanja (točke od 241. do 244. CEEAG-a).</w:t>
      </w:r>
      <w:bookmarkEnd w:id="5"/>
    </w:p>
    <w:p w14:paraId="23EC1FA2" w14:textId="77777777" w:rsidR="00655C0A" w:rsidRPr="00A51F47" w:rsidRDefault="00655C0A" w:rsidP="00655C0A">
      <w:pPr>
        <w:tabs>
          <w:tab w:val="left" w:leader="dot" w:pos="9072"/>
        </w:tabs>
        <w:ind w:left="567"/>
        <w:rPr>
          <w:noProof/>
        </w:rPr>
      </w:pPr>
      <w:bookmarkStart w:id="6" w:name="_Hlk144128720"/>
      <w:r w:rsidRPr="00A51F47">
        <w:rPr>
          <w:noProof/>
        </w:rPr>
        <w:tab/>
      </w:r>
    </w:p>
    <w:p w14:paraId="34865EE5" w14:textId="77777777" w:rsidR="00655C0A" w:rsidRPr="00655C0A" w:rsidRDefault="00655C0A" w:rsidP="00655C0A">
      <w:pPr>
        <w:pStyle w:val="NumPar1"/>
        <w:numPr>
          <w:ilvl w:val="0"/>
          <w:numId w:val="24"/>
        </w:numPr>
        <w:rPr>
          <w:noProof/>
        </w:rPr>
      </w:pPr>
      <w:r w:rsidRPr="00655C0A">
        <w:rPr>
          <w:noProof/>
        </w:rPr>
        <w:lastRenderedPageBreak/>
        <w:t xml:space="preserve">Za aktivnosti povezane s ekološkim inovacijama dokažite da su ispunjeni kumulativni uvjeti navedeni u nastavku (točka 244. CEEAG-a): </w:t>
      </w:r>
    </w:p>
    <w:p w14:paraId="21F35740" w14:textId="77777777" w:rsidR="00655C0A" w:rsidRPr="00A51F47" w:rsidRDefault="00655C0A" w:rsidP="00655C0A">
      <w:pPr>
        <w:pStyle w:val="Point1letter"/>
        <w:numPr>
          <w:ilvl w:val="3"/>
          <w:numId w:val="32"/>
        </w:numPr>
        <w:rPr>
          <w:noProof/>
        </w:rPr>
      </w:pPr>
      <w:r w:rsidRPr="00A51F47">
        <w:rPr>
          <w:noProof/>
        </w:rPr>
        <w:t>djelatnost ekoloških inovacija mora biti nova ili znatno poboljšana u usporedbi s vrhunskom tehnologijom u toj industriji u Uniji</w:t>
      </w:r>
      <w:r w:rsidRPr="00A51F47">
        <w:rPr>
          <w:rStyle w:val="FootnoteReference"/>
          <w:noProof/>
        </w:rPr>
        <w:footnoteReference w:id="8"/>
      </w:r>
      <w:r w:rsidRPr="00A51F47">
        <w:rPr>
          <w:noProof/>
        </w:rPr>
        <w:t>;</w:t>
      </w:r>
    </w:p>
    <w:p w14:paraId="0F6706D9" w14:textId="77777777" w:rsidR="00655C0A" w:rsidRPr="00A51F47" w:rsidRDefault="00655C0A" w:rsidP="00655C0A">
      <w:pPr>
        <w:pStyle w:val="Point1letter"/>
        <w:numPr>
          <w:ilvl w:val="3"/>
          <w:numId w:val="49"/>
        </w:numPr>
        <w:rPr>
          <w:noProof/>
        </w:rPr>
      </w:pPr>
      <w:r w:rsidRPr="00A51F47">
        <w:rPr>
          <w:noProof/>
        </w:rPr>
        <w:t>očekivana korist za okoliš znatno je veća od poboljšanja koje proizlazi iz općeg razvoja vrhunske tehnologije u usporedivim djelatnostima</w:t>
      </w:r>
      <w:r w:rsidRPr="00A51F47">
        <w:rPr>
          <w:rStyle w:val="FootnoteReference"/>
          <w:noProof/>
        </w:rPr>
        <w:footnoteReference w:id="9"/>
      </w:r>
      <w:r w:rsidRPr="00A51F47">
        <w:rPr>
          <w:noProof/>
        </w:rPr>
        <w:t xml:space="preserve">; </w:t>
      </w:r>
    </w:p>
    <w:p w14:paraId="7E7E6914" w14:textId="77777777" w:rsidR="00655C0A" w:rsidRPr="00A51F47" w:rsidRDefault="00655C0A" w:rsidP="00655C0A">
      <w:pPr>
        <w:pStyle w:val="Point1letter"/>
        <w:numPr>
          <w:ilvl w:val="3"/>
          <w:numId w:val="49"/>
        </w:numPr>
        <w:rPr>
          <w:noProof/>
        </w:rPr>
      </w:pPr>
      <w:r w:rsidRPr="00A51F47">
        <w:rPr>
          <w:noProof/>
        </w:rPr>
        <w:t>inovativna priroda djelatnosti uključuje jasan stupanj rizika u tehnološkom, tržišnom ili financijskom smislu, koji je viši od rizika koji se općenito pripisuje usporedivim neinovativnim djelatnostima</w:t>
      </w:r>
      <w:r w:rsidRPr="00A51F47">
        <w:rPr>
          <w:rStyle w:val="FootnoteReference"/>
          <w:noProof/>
        </w:rPr>
        <w:footnoteReference w:id="10"/>
      </w:r>
      <w:r w:rsidRPr="00A51F47">
        <w:rPr>
          <w:noProof/>
        </w:rPr>
        <w:t xml:space="preserve">. </w:t>
      </w:r>
    </w:p>
    <w:p w14:paraId="52921196" w14:textId="77777777" w:rsidR="00655C0A" w:rsidRPr="00A51F47" w:rsidRDefault="00655C0A" w:rsidP="00655C0A">
      <w:pPr>
        <w:tabs>
          <w:tab w:val="left" w:leader="dot" w:pos="9072"/>
        </w:tabs>
        <w:ind w:left="567"/>
        <w:rPr>
          <w:noProof/>
        </w:rPr>
      </w:pPr>
      <w:r w:rsidRPr="00A51F47">
        <w:rPr>
          <w:noProof/>
        </w:rPr>
        <w:tab/>
      </w:r>
    </w:p>
    <w:p w14:paraId="48B981EE" w14:textId="77777777" w:rsidR="00655C0A" w:rsidRPr="00655C0A" w:rsidRDefault="00655C0A" w:rsidP="00655C0A">
      <w:pPr>
        <w:pStyle w:val="NumPar1"/>
        <w:numPr>
          <w:ilvl w:val="0"/>
          <w:numId w:val="24"/>
        </w:numPr>
        <w:rPr>
          <w:noProof/>
        </w:rPr>
      </w:pPr>
      <w:bookmarkStart w:id="7" w:name="_Ref164271075"/>
      <w:r w:rsidRPr="00655C0A">
        <w:rPr>
          <w:noProof/>
        </w:rPr>
        <w:t>Ako se odstupajući od točaka od 241. do 244. CEEAG-a smatra da je potrebna potpora koja premašuje maksimalne intenzitete potpore, navedite razinu potpore koja se smatra potrebnom i obrazložite je na temelju analize manjka financijskih sredstava za referentne projekte u činjeničnom i protučinjeničnom scenariju kako je utvrđeno u odgovoru na pitanje 15., u skladu s točkama 51. i 52. CEEAG-a.</w:t>
      </w:r>
      <w:bookmarkEnd w:id="7"/>
      <w:r w:rsidRPr="00655C0A">
        <w:rPr>
          <w:noProof/>
        </w:rPr>
        <w:t xml:space="preserve"> </w:t>
      </w:r>
    </w:p>
    <w:p w14:paraId="0FBA6A85" w14:textId="77777777" w:rsidR="00655C0A" w:rsidRPr="00A51F47" w:rsidRDefault="00655C0A" w:rsidP="00655C0A">
      <w:pPr>
        <w:pStyle w:val="Text1"/>
        <w:rPr>
          <w:noProof/>
        </w:rPr>
      </w:pPr>
      <w:r w:rsidRPr="00A51F47">
        <w:rPr>
          <w:noProof/>
        </w:rPr>
        <w:t>Za potrebe te analize manjka financijskih sredstava dostavite za činjenične scenarije i realne protučinjenične scenarije</w:t>
      </w:r>
      <w:r w:rsidRPr="00A51F47">
        <w:rPr>
          <w:rStyle w:val="FootnoteReference"/>
          <w:noProof/>
        </w:rPr>
        <w:footnoteReference w:id="11"/>
      </w:r>
      <w:r w:rsidRPr="00A51F47">
        <w:rPr>
          <w:noProof/>
        </w:rPr>
        <w:t xml:space="preserve"> utvrđene u odgovoru na pitanje 15., mjerenje svih glavnih troškova i prihoda, procijenjeni ponderirani prosječni trošak kapitala korisnika (ili referentnih projekata) za diskontiranje budućih novčanih tokova te neto sadašnju vrijednost za činjenični i protučinjenični scenarij tijekom provedbe projekta/referentnog projekta. </w:t>
      </w:r>
    </w:p>
    <w:p w14:paraId="7D9528BC" w14:textId="77777777" w:rsidR="00655C0A" w:rsidRPr="00A51F47" w:rsidRDefault="00655C0A" w:rsidP="00655C0A">
      <w:pPr>
        <w:pStyle w:val="Point1letter"/>
        <w:numPr>
          <w:ilvl w:val="3"/>
          <w:numId w:val="33"/>
        </w:numPr>
        <w:rPr>
          <w:noProof/>
        </w:rPr>
      </w:pPr>
      <w:r w:rsidRPr="00A51F47">
        <w:rPr>
          <w:noProof/>
        </w:rPr>
        <w:t xml:space="preserve">Te podatke dostavite u prilogu ovom obrascu prijave (u datoteci formata Excel </w:t>
      </w:r>
      <w:r w:rsidRPr="00A51F47">
        <w:rPr>
          <w:noProof/>
          <w:shd w:val="clear" w:color="auto" w:fill="FFFFFF"/>
        </w:rPr>
        <w:t>u kojoj su vidljive sve formule</w:t>
      </w:r>
      <w:r w:rsidRPr="00A51F47">
        <w:rPr>
          <w:noProof/>
        </w:rPr>
        <w:t xml:space="preserve">). </w:t>
      </w:r>
    </w:p>
    <w:p w14:paraId="5E48ABE2" w14:textId="77777777" w:rsidR="00655C0A" w:rsidRPr="00A51F47" w:rsidRDefault="00655C0A" w:rsidP="00655C0A">
      <w:pPr>
        <w:tabs>
          <w:tab w:val="left" w:leader="dot" w:pos="9072"/>
        </w:tabs>
        <w:ind w:left="567"/>
        <w:rPr>
          <w:noProof/>
        </w:rPr>
      </w:pPr>
      <w:r w:rsidRPr="00A51F47">
        <w:rPr>
          <w:noProof/>
        </w:rPr>
        <w:tab/>
      </w:r>
    </w:p>
    <w:p w14:paraId="24F6D30C" w14:textId="77777777" w:rsidR="00655C0A" w:rsidRPr="00A51F47" w:rsidRDefault="00655C0A" w:rsidP="00655C0A">
      <w:pPr>
        <w:pStyle w:val="Point1letter"/>
        <w:numPr>
          <w:ilvl w:val="3"/>
          <w:numId w:val="32"/>
        </w:numPr>
        <w:rPr>
          <w:noProof/>
        </w:rPr>
      </w:pPr>
      <w:r w:rsidRPr="00A51F47">
        <w:rPr>
          <w:noProof/>
        </w:rPr>
        <w:t>Navedite detaljne podatke o pretpostavkama, metodologijama, razlozima i temeljnim izvorima koji se upotrebljavaju za svaki aspekt mjerenja troškova i prihoda u činjeničnom scenariju i vjerojatnom protučinjeničnom scenariju (npr. navedite pretpostavke upotrijebljene za utvrđivanje tih scenarija i izvor/razlog za te pretpostavke).</w:t>
      </w:r>
    </w:p>
    <w:p w14:paraId="2C0B33F3" w14:textId="77777777" w:rsidR="00655C0A" w:rsidRPr="00A51F47" w:rsidRDefault="00655C0A" w:rsidP="00655C0A">
      <w:pPr>
        <w:tabs>
          <w:tab w:val="left" w:leader="dot" w:pos="9072"/>
        </w:tabs>
        <w:ind w:left="567"/>
        <w:rPr>
          <w:noProof/>
        </w:rPr>
      </w:pPr>
      <w:r w:rsidRPr="00A51F47">
        <w:rPr>
          <w:noProof/>
        </w:rPr>
        <w:tab/>
      </w:r>
    </w:p>
    <w:p w14:paraId="44D4BAC8" w14:textId="77777777" w:rsidR="00655C0A" w:rsidRPr="00A51F47" w:rsidRDefault="00655C0A" w:rsidP="00655C0A">
      <w:pPr>
        <w:pStyle w:val="Point1letter"/>
        <w:numPr>
          <w:ilvl w:val="3"/>
          <w:numId w:val="32"/>
        </w:numPr>
        <w:rPr>
          <w:noProof/>
          <w:shd w:val="clear" w:color="auto" w:fill="FFFFFF"/>
        </w:rPr>
      </w:pPr>
      <w:r w:rsidRPr="00A51F47">
        <w:rPr>
          <w:noProof/>
          <w:shd w:val="clear" w:color="auto" w:fill="FFFFFF"/>
        </w:rPr>
        <w:lastRenderedPageBreak/>
        <w:t>U slučajevima pojedinačnih potpora i programa koji su namijenjeni vrlo ograničenom broju korisnika ili postojećih korisnika država članica mora dostaviti popratne dokaze na razini detaljnog poslovnog plana projekta.</w:t>
      </w:r>
    </w:p>
    <w:p w14:paraId="300E6BC4" w14:textId="77777777" w:rsidR="00655C0A" w:rsidRPr="00A51F47" w:rsidRDefault="00655C0A" w:rsidP="00655C0A">
      <w:pPr>
        <w:pStyle w:val="Text2"/>
        <w:rPr>
          <w:noProof/>
          <w:shd w:val="clear" w:color="auto" w:fill="FFFFFF"/>
        </w:rPr>
      </w:pPr>
      <w:r w:rsidRPr="00A51F47">
        <w:rPr>
          <w:noProof/>
        </w:rPr>
        <w:t>U slučajevima programa potpore država članica mora dostaviti popratne dokaze na temelju jednog ili više referentnih projekata.</w:t>
      </w:r>
    </w:p>
    <w:p w14:paraId="34490144" w14:textId="77777777" w:rsidR="00655C0A" w:rsidRPr="00A51F47" w:rsidRDefault="00655C0A" w:rsidP="00655C0A">
      <w:pPr>
        <w:tabs>
          <w:tab w:val="left" w:leader="dot" w:pos="9072"/>
        </w:tabs>
        <w:ind w:left="567"/>
        <w:rPr>
          <w:noProof/>
        </w:rPr>
      </w:pPr>
      <w:r w:rsidRPr="00A51F47">
        <w:rPr>
          <w:noProof/>
        </w:rPr>
        <w:tab/>
      </w:r>
    </w:p>
    <w:p w14:paraId="6FC256FB" w14:textId="77777777" w:rsidR="00655C0A" w:rsidRPr="00A51F47" w:rsidRDefault="00655C0A" w:rsidP="00655C0A">
      <w:pPr>
        <w:pStyle w:val="Point1letter"/>
        <w:numPr>
          <w:ilvl w:val="3"/>
          <w:numId w:val="32"/>
        </w:numPr>
        <w:rPr>
          <w:noProof/>
        </w:rPr>
      </w:pPr>
      <w:r w:rsidRPr="00A51F47">
        <w:rPr>
          <w:noProof/>
        </w:rPr>
        <w:t xml:space="preserve">Obrascu prijave možete priložiti i dokumente navedene u bilješci 39. CEEAG-a. Dokumenti odbora mogu biti posebno korisni za pojedinačne mjere ili programe potpore namijenjene vrlo ograničenom broju korisnika. Ako obrascu prijave prilažete takve dokumente, u nastavku navedite popis tih dokumenata te </w:t>
      </w:r>
      <w:r w:rsidRPr="00A51F47">
        <w:rPr>
          <w:noProof/>
          <w:shd w:val="clear" w:color="auto" w:fill="FFFFFF"/>
        </w:rPr>
        <w:t>navedite</w:t>
      </w:r>
      <w:r w:rsidRPr="00A51F47">
        <w:rPr>
          <w:noProof/>
        </w:rPr>
        <w:t xml:space="preserve"> autora, datum sastavljanja i kontekst u kojem su upotrijebljeni.</w:t>
      </w:r>
    </w:p>
    <w:p w14:paraId="0D8FCDC1" w14:textId="77777777" w:rsidR="00655C0A" w:rsidRPr="00A51F47" w:rsidRDefault="00655C0A" w:rsidP="00655C0A">
      <w:pPr>
        <w:tabs>
          <w:tab w:val="left" w:leader="dot" w:pos="9072"/>
        </w:tabs>
        <w:ind w:left="567"/>
        <w:rPr>
          <w:noProof/>
          <w:color w:val="000000"/>
        </w:rPr>
      </w:pPr>
      <w:r w:rsidRPr="00A51F47">
        <w:rPr>
          <w:noProof/>
          <w:color w:val="000000"/>
        </w:rPr>
        <w:tab/>
      </w:r>
    </w:p>
    <w:p w14:paraId="60D50E3F" w14:textId="77777777" w:rsidR="00655C0A" w:rsidRPr="00655C0A" w:rsidRDefault="00655C0A" w:rsidP="00655C0A">
      <w:pPr>
        <w:pStyle w:val="NumPar1"/>
        <w:numPr>
          <w:ilvl w:val="0"/>
          <w:numId w:val="24"/>
        </w:numPr>
        <w:rPr>
          <w:noProof/>
        </w:rPr>
      </w:pPr>
      <w:r w:rsidRPr="00655C0A">
        <w:rPr>
          <w:noProof/>
        </w:rPr>
        <w:t xml:space="preserve">Dokažite i da primjena većeg intenziteta potpore utvrđenog kako je navedeno u pitanju 40. ne bi dovela do toga da potpora premaši manjak financijskih sredstava.  </w:t>
      </w:r>
    </w:p>
    <w:p w14:paraId="68907C5F" w14:textId="77777777" w:rsidR="00655C0A" w:rsidRPr="00A51F47" w:rsidRDefault="00655C0A" w:rsidP="00655C0A">
      <w:pPr>
        <w:tabs>
          <w:tab w:val="left" w:leader="dot" w:pos="9072"/>
        </w:tabs>
        <w:ind w:left="567"/>
        <w:rPr>
          <w:noProof/>
        </w:rPr>
      </w:pPr>
      <w:r w:rsidRPr="00A51F47">
        <w:rPr>
          <w:noProof/>
        </w:rPr>
        <w:tab/>
      </w:r>
    </w:p>
    <w:p w14:paraId="0A004186" w14:textId="77777777" w:rsidR="00655C0A" w:rsidRPr="00655C0A" w:rsidRDefault="00655C0A" w:rsidP="00655C0A">
      <w:pPr>
        <w:pStyle w:val="NumPar1"/>
        <w:numPr>
          <w:ilvl w:val="0"/>
          <w:numId w:val="24"/>
        </w:numPr>
        <w:rPr>
          <w:noProof/>
        </w:rPr>
      </w:pPr>
      <w:r w:rsidRPr="00655C0A">
        <w:rPr>
          <w:noProof/>
        </w:rPr>
        <w:t>Ako se primjenjuje točka 52. CEEAG-a, tj. u</w:t>
      </w:r>
      <w:r w:rsidRPr="00655C0A">
        <w:rPr>
          <w:noProof/>
          <w:shd w:val="clear" w:color="auto" w:fill="FFFFFF"/>
        </w:rPr>
        <w:t xml:space="preserve"> najvjerojatnijem protučinjeničnom scenariju</w:t>
      </w:r>
      <w:r w:rsidRPr="00655C0A">
        <w:rPr>
          <w:noProof/>
        </w:rPr>
        <w:t xml:space="preserve"> </w:t>
      </w:r>
      <w:r w:rsidRPr="00655C0A">
        <w:rPr>
          <w:noProof/>
          <w:shd w:val="clear" w:color="auto" w:fill="FFFFFF"/>
        </w:rPr>
        <w:t>korisnik ne obavlja djelatnost ili ne ulaže</w:t>
      </w:r>
      <w:r w:rsidRPr="00655C0A">
        <w:rPr>
          <w:noProof/>
        </w:rPr>
        <w:t xml:space="preserve"> ili nastavlja</w:t>
      </w:r>
      <w:r w:rsidRPr="00655C0A">
        <w:rPr>
          <w:noProof/>
          <w:shd w:val="clear" w:color="auto" w:fill="FFFFFF"/>
        </w:rPr>
        <w:t xml:space="preserve"> poslovanje bez promjena</w:t>
      </w:r>
      <w:r w:rsidRPr="00655C0A">
        <w:rPr>
          <w:noProof/>
        </w:rPr>
        <w:t xml:space="preserve">, dostavite dokaze u prilog toj pretpostavci. </w:t>
      </w:r>
    </w:p>
    <w:p w14:paraId="46DE7291" w14:textId="77777777" w:rsidR="00655C0A" w:rsidRPr="00A51F47" w:rsidRDefault="00655C0A" w:rsidP="00655C0A">
      <w:pPr>
        <w:tabs>
          <w:tab w:val="left" w:leader="dot" w:pos="9072"/>
        </w:tabs>
        <w:ind w:left="567"/>
        <w:rPr>
          <w:noProof/>
        </w:rPr>
      </w:pPr>
      <w:r w:rsidRPr="00A51F47">
        <w:rPr>
          <w:noProof/>
        </w:rPr>
        <w:tab/>
      </w:r>
    </w:p>
    <w:p w14:paraId="5EDE0A0D" w14:textId="77777777" w:rsidR="00655C0A" w:rsidRPr="00655C0A" w:rsidRDefault="00655C0A" w:rsidP="00655C0A">
      <w:pPr>
        <w:pStyle w:val="NumPar1"/>
        <w:numPr>
          <w:ilvl w:val="0"/>
          <w:numId w:val="24"/>
        </w:numPr>
        <w:rPr>
          <w:noProof/>
        </w:rPr>
      </w:pPr>
      <w:r w:rsidRPr="00655C0A">
        <w:rPr>
          <w:noProof/>
        </w:rPr>
        <w:t xml:space="preserve">U skladu s točkom 245. CEEAG-a potvrdite da će, ako je </w:t>
      </w:r>
      <w:r w:rsidRPr="00655C0A">
        <w:rPr>
          <w:noProof/>
          <w:shd w:val="clear" w:color="auto" w:fill="FFFFFF"/>
        </w:rPr>
        <w:t>na temelju</w:t>
      </w:r>
      <w:r w:rsidRPr="00655C0A">
        <w:rPr>
          <w:noProof/>
        </w:rPr>
        <w:t xml:space="preserve"> pitanja 40. potreban viši intenzitet potpore, vaša tijela provesti </w:t>
      </w:r>
      <w:r w:rsidRPr="00655C0A">
        <w:rPr>
          <w:i/>
          <w:noProof/>
        </w:rPr>
        <w:t>ex post</w:t>
      </w:r>
      <w:r w:rsidRPr="00655C0A">
        <w:rPr>
          <w:noProof/>
        </w:rPr>
        <w:t xml:space="preserve"> praćenje kako bi provjerila iznesene pretpostavke o razini potrebne potpore i uspostavila mehanizam za povrat prekomjernih sredstava te opišite mehanizme za praćenje i povrat prekomjernih sredstava koje država članica namjerava uvesti. </w:t>
      </w:r>
    </w:p>
    <w:p w14:paraId="07348BB6" w14:textId="77777777" w:rsidR="00655C0A" w:rsidRPr="00A51F47" w:rsidRDefault="00655C0A" w:rsidP="00655C0A">
      <w:pPr>
        <w:tabs>
          <w:tab w:val="left" w:leader="dot" w:pos="9072"/>
        </w:tabs>
        <w:ind w:left="567"/>
        <w:rPr>
          <w:noProof/>
        </w:rPr>
      </w:pPr>
      <w:bookmarkStart w:id="8" w:name="_Hlk161220755"/>
      <w:r w:rsidRPr="00A51F47">
        <w:rPr>
          <w:noProof/>
        </w:rPr>
        <w:tab/>
      </w:r>
      <w:bookmarkEnd w:id="8"/>
    </w:p>
    <w:bookmarkEnd w:id="6"/>
    <w:p w14:paraId="05E089AE" w14:textId="77777777" w:rsidR="00655C0A" w:rsidRPr="00A51F47" w:rsidRDefault="00655C0A" w:rsidP="00655C0A">
      <w:pPr>
        <w:pStyle w:val="Heading4"/>
        <w:numPr>
          <w:ilvl w:val="3"/>
          <w:numId w:val="9"/>
        </w:numPr>
        <w:rPr>
          <w:noProof/>
        </w:rPr>
      </w:pPr>
      <w:r w:rsidRPr="00A51F47">
        <w:rPr>
          <w:noProof/>
        </w:rPr>
        <w:t>Proporcionalnost potpora dodijeljenih u okviru konkurentnog natječajnog postupka</w:t>
      </w:r>
    </w:p>
    <w:p w14:paraId="120E9368" w14:textId="77777777" w:rsidR="00655C0A" w:rsidRPr="00A51F47" w:rsidRDefault="00655C0A" w:rsidP="00655C0A">
      <w:pPr>
        <w:pStyle w:val="ListParagraph"/>
        <w:ind w:left="0"/>
        <w:contextualSpacing w:val="0"/>
        <w:rPr>
          <w:noProof/>
        </w:rPr>
      </w:pPr>
      <w:r w:rsidRPr="00A51F47">
        <w:rPr>
          <w:i/>
          <w:noProof/>
        </w:rPr>
        <w:t>Za unos podataka u ovom odjeljku vidjeti točke 49., 50. i 246. CEEAG-a.</w:t>
      </w:r>
    </w:p>
    <w:p w14:paraId="5439C34A" w14:textId="77777777" w:rsidR="00655C0A" w:rsidRPr="00655C0A" w:rsidRDefault="00655C0A" w:rsidP="00655C0A">
      <w:pPr>
        <w:pStyle w:val="NumPar1"/>
        <w:numPr>
          <w:ilvl w:val="0"/>
          <w:numId w:val="24"/>
        </w:numPr>
        <w:rPr>
          <w:noProof/>
        </w:rPr>
      </w:pPr>
      <w:bookmarkStart w:id="9" w:name="_Ref166065980"/>
      <w:r w:rsidRPr="00655C0A">
        <w:rPr>
          <w:noProof/>
        </w:rPr>
        <w:t>Kako bi se potvrdila usklađenost s točkama 49., 50. i 246. CEEAG-a:</w:t>
      </w:r>
      <w:bookmarkEnd w:id="9"/>
    </w:p>
    <w:p w14:paraId="4705C4CD" w14:textId="77777777" w:rsidR="00655C0A" w:rsidRPr="00A51F47" w:rsidRDefault="00655C0A" w:rsidP="00655C0A">
      <w:pPr>
        <w:pStyle w:val="Point1letter"/>
        <w:numPr>
          <w:ilvl w:val="3"/>
          <w:numId w:val="34"/>
        </w:numPr>
        <w:rPr>
          <w:noProof/>
        </w:rPr>
      </w:pPr>
      <w:r w:rsidRPr="00A51F47">
        <w:rPr>
          <w:noProof/>
        </w:rPr>
        <w:t xml:space="preserve">objasnite kako tijela jamče da je natječajni postupak otvoren, jasan, transparentan i nediskriminirajući te da se temelji na objektivnim kriterijima definiranima </w:t>
      </w:r>
      <w:r w:rsidRPr="00A51F47">
        <w:rPr>
          <w:i/>
          <w:noProof/>
        </w:rPr>
        <w:t xml:space="preserve">ex ante </w:t>
      </w:r>
      <w:r w:rsidRPr="00A51F47">
        <w:rPr>
          <w:noProof/>
        </w:rPr>
        <w:t>u skladu s ciljem mjere i svođenjem rizika strateškog dostavljanja ponuda na najnižu moguću mjeru (točka 49. podtočka (a) CEEAG-a);</w:t>
      </w:r>
    </w:p>
    <w:p w14:paraId="435BBAEC" w14:textId="77777777" w:rsidR="00655C0A" w:rsidRPr="00A51F47" w:rsidRDefault="00655C0A" w:rsidP="00655C0A">
      <w:pPr>
        <w:tabs>
          <w:tab w:val="left" w:leader="dot" w:pos="9072"/>
        </w:tabs>
        <w:ind w:left="567"/>
        <w:rPr>
          <w:noProof/>
        </w:rPr>
      </w:pPr>
      <w:r w:rsidRPr="00A51F47">
        <w:rPr>
          <w:noProof/>
        </w:rPr>
        <w:tab/>
      </w:r>
    </w:p>
    <w:p w14:paraId="311ED065" w14:textId="77777777" w:rsidR="00655C0A" w:rsidRPr="00A51F47" w:rsidRDefault="00655C0A" w:rsidP="00655C0A">
      <w:pPr>
        <w:pStyle w:val="Point1letter"/>
        <w:numPr>
          <w:ilvl w:val="3"/>
          <w:numId w:val="32"/>
        </w:numPr>
        <w:rPr>
          <w:noProof/>
        </w:rPr>
      </w:pPr>
      <w:r w:rsidRPr="00A51F47">
        <w:rPr>
          <w:noProof/>
        </w:rPr>
        <w:t xml:space="preserve">navedite kriterije odabira koji se upotrebljavaju za rangiranje ponuda i, u konačnici, utvrđivanje razine potpore u konkurentnom natječajnom postupku. Konkretnije: </w:t>
      </w:r>
    </w:p>
    <w:p w14:paraId="062D724F" w14:textId="77777777" w:rsidR="00655C0A" w:rsidRPr="00A51F47" w:rsidRDefault="00655C0A" w:rsidP="00655C0A">
      <w:pPr>
        <w:pStyle w:val="Stylei"/>
        <w:numPr>
          <w:ilvl w:val="0"/>
          <w:numId w:val="35"/>
        </w:numPr>
        <w:rPr>
          <w:noProof/>
        </w:rPr>
      </w:pPr>
      <w:r w:rsidRPr="00A51F47">
        <w:rPr>
          <w:noProof/>
        </w:rPr>
        <w:t>navedite popis kriterija odabira i koji od njih jesu/nisu izravno ili neizravno povezani s glavnim ciljevima mjera. Navedite njihove pondere;</w:t>
      </w:r>
    </w:p>
    <w:p w14:paraId="1886FC58" w14:textId="77777777" w:rsidR="00655C0A" w:rsidRPr="00A51F47" w:rsidRDefault="00655C0A" w:rsidP="00655C0A">
      <w:pPr>
        <w:tabs>
          <w:tab w:val="left" w:leader="dot" w:pos="9072"/>
        </w:tabs>
        <w:ind w:left="567" w:firstLine="1276"/>
        <w:rPr>
          <w:noProof/>
        </w:rPr>
      </w:pPr>
      <w:r w:rsidRPr="00A51F47">
        <w:rPr>
          <w:noProof/>
        </w:rPr>
        <w:tab/>
      </w:r>
    </w:p>
    <w:p w14:paraId="0D8B85ED" w14:textId="77777777" w:rsidR="00655C0A" w:rsidRPr="00A51F47" w:rsidRDefault="00655C0A" w:rsidP="00655C0A">
      <w:pPr>
        <w:pStyle w:val="Stylei"/>
        <w:rPr>
          <w:noProof/>
        </w:rPr>
      </w:pPr>
      <w:r w:rsidRPr="00A51F47">
        <w:rPr>
          <w:noProof/>
        </w:rPr>
        <w:lastRenderedPageBreak/>
        <w:t>objasnite kako je prema kriterijima odabira doprinos glavnim ciljevima mjera izravno ili neizravno povezan s iznosom potpore koji je zatražio podnositelj zahtjeva. To se može izraziti, na primjer, u obliku potpore po jedinici zaštite okoliša ili potpore po jedinici energije (točka 50. i bilješka 44. CEEAG-a);</w:t>
      </w:r>
    </w:p>
    <w:p w14:paraId="3C9D934A" w14:textId="77777777" w:rsidR="00655C0A" w:rsidRPr="00A51F47" w:rsidRDefault="00655C0A" w:rsidP="00655C0A">
      <w:pPr>
        <w:tabs>
          <w:tab w:val="left" w:leader="dot" w:pos="9072"/>
        </w:tabs>
        <w:ind w:left="567" w:firstLine="1276"/>
        <w:rPr>
          <w:noProof/>
        </w:rPr>
      </w:pPr>
      <w:r w:rsidRPr="00A51F47">
        <w:rPr>
          <w:noProof/>
        </w:rPr>
        <w:tab/>
      </w:r>
    </w:p>
    <w:p w14:paraId="04284E96" w14:textId="77777777" w:rsidR="00655C0A" w:rsidRPr="00A51F47" w:rsidRDefault="00655C0A" w:rsidP="00655C0A">
      <w:pPr>
        <w:pStyle w:val="Stylei"/>
        <w:rPr>
          <w:noProof/>
        </w:rPr>
      </w:pPr>
      <w:r w:rsidRPr="00A51F47">
        <w:rPr>
          <w:noProof/>
        </w:rPr>
        <w:t>ako postoje drugi kriteriji odabira koji nisu izravno ili neizravno povezani s glavnim ciljevima mjera, navedite razloge za predloženi pristup i objasnite što ga čini primjerenim tim ciljevima. Potvrdite i da ti kriteriji ne čine više od 30 % pondera svih kriterija odabira (točka 50. CEEAG-a);</w:t>
      </w:r>
    </w:p>
    <w:p w14:paraId="195B75A9" w14:textId="77777777" w:rsidR="00655C0A" w:rsidRPr="00A51F47" w:rsidRDefault="00655C0A" w:rsidP="00655C0A">
      <w:pPr>
        <w:tabs>
          <w:tab w:val="left" w:leader="dot" w:pos="9072"/>
        </w:tabs>
        <w:ind w:left="567" w:firstLine="1276"/>
        <w:rPr>
          <w:noProof/>
        </w:rPr>
      </w:pPr>
      <w:r w:rsidRPr="00A51F47">
        <w:rPr>
          <w:noProof/>
        </w:rPr>
        <w:tab/>
      </w:r>
    </w:p>
    <w:p w14:paraId="64BD8B77" w14:textId="77777777" w:rsidR="00655C0A" w:rsidRPr="00A51F47" w:rsidRDefault="00655C0A" w:rsidP="00655C0A">
      <w:pPr>
        <w:pStyle w:val="Stylei"/>
        <w:rPr>
          <w:noProof/>
        </w:rPr>
      </w:pPr>
      <w:r w:rsidRPr="00A51F47">
        <w:rPr>
          <w:noProof/>
        </w:rPr>
        <w:t xml:space="preserve">objasnite koliko će se prije roka za podnošenje zahtjeva u svakom konkurentnom natječajnom postupku </w:t>
      </w:r>
      <w:r w:rsidRPr="00A51F47">
        <w:rPr>
          <w:noProof/>
          <w:color w:val="000000"/>
        </w:rPr>
        <w:t xml:space="preserve">objaviti kriteriji odabira </w:t>
      </w:r>
      <w:r w:rsidRPr="00A51F47">
        <w:rPr>
          <w:noProof/>
        </w:rPr>
        <w:t>(točka 49. podtočka (b) i bilješka 43. CEEAG-a)</w:t>
      </w:r>
      <w:r w:rsidRPr="00A51F47">
        <w:rPr>
          <w:noProof/>
          <w:shd w:val="clear" w:color="auto" w:fill="FFFFFF"/>
        </w:rPr>
        <w:t>;</w:t>
      </w:r>
    </w:p>
    <w:p w14:paraId="569C417A" w14:textId="77777777" w:rsidR="00655C0A" w:rsidRPr="00A51F47" w:rsidRDefault="00655C0A" w:rsidP="00655C0A">
      <w:pPr>
        <w:tabs>
          <w:tab w:val="left" w:leader="dot" w:pos="9072"/>
        </w:tabs>
        <w:ind w:left="567" w:firstLine="1276"/>
        <w:rPr>
          <w:noProof/>
        </w:rPr>
      </w:pPr>
      <w:r w:rsidRPr="00A51F47">
        <w:rPr>
          <w:noProof/>
        </w:rPr>
        <w:tab/>
      </w:r>
    </w:p>
    <w:p w14:paraId="4388B8B7" w14:textId="77777777" w:rsidR="00655C0A" w:rsidRPr="00A51F47" w:rsidRDefault="00655C0A" w:rsidP="00655C0A">
      <w:pPr>
        <w:pStyle w:val="Point1letter"/>
        <w:numPr>
          <w:ilvl w:val="3"/>
          <w:numId w:val="32"/>
        </w:numPr>
        <w:rPr>
          <w:noProof/>
        </w:rPr>
      </w:pPr>
      <w:r w:rsidRPr="00A51F47">
        <w:rPr>
          <w:noProof/>
        </w:rPr>
        <w:t>objasnite elemente na kojima ste temeljili pretpostavku da će natječajni postupak biti otvoren i da će biti podneseno dovoljno ponuda, tj. da se može očekivati da neće svi ponuditelji primiti potporu i da je očekivani broj ponuditelja dovoljan za osiguravanje učinkovitog tržišnog natjecanja tijekom provedbe programa (točka 49. podtočka (c) CEEAG-a).</w:t>
      </w:r>
      <w:r w:rsidRPr="00A51F47">
        <w:rPr>
          <w:noProof/>
          <w:shd w:val="clear" w:color="auto" w:fill="FFFFFF"/>
        </w:rPr>
        <w:t xml:space="preserve"> U objašnjenju uzmite u obzir proračun ili opseg programa. Prema potrebi navedite dokaze dostavljene kao odgovore na pitanje 15.;</w:t>
      </w:r>
    </w:p>
    <w:p w14:paraId="6F2324B0" w14:textId="77777777" w:rsidR="00655C0A" w:rsidRPr="00A51F47" w:rsidRDefault="00655C0A" w:rsidP="00655C0A">
      <w:pPr>
        <w:tabs>
          <w:tab w:val="left" w:leader="dot" w:pos="9072"/>
        </w:tabs>
        <w:ind w:left="567"/>
        <w:rPr>
          <w:noProof/>
        </w:rPr>
      </w:pPr>
      <w:r w:rsidRPr="00A51F47">
        <w:rPr>
          <w:noProof/>
        </w:rPr>
        <w:tab/>
      </w:r>
    </w:p>
    <w:p w14:paraId="32435678" w14:textId="77777777" w:rsidR="00655C0A" w:rsidRPr="00A51F47" w:rsidRDefault="00655C0A" w:rsidP="00655C0A">
      <w:pPr>
        <w:pStyle w:val="Point1letter"/>
        <w:numPr>
          <w:ilvl w:val="3"/>
          <w:numId w:val="32"/>
        </w:numPr>
        <w:rPr>
          <w:noProof/>
        </w:rPr>
      </w:pPr>
      <w:r w:rsidRPr="00A51F47">
        <w:rPr>
          <w:noProof/>
        </w:rPr>
        <w:t>navedite podatke o predviđenom broju krugova natječajnog postupka i očekivanom broju ponuditelja u prvom krugu i ukupno;</w:t>
      </w:r>
    </w:p>
    <w:p w14:paraId="5C590E09" w14:textId="77777777" w:rsidR="00655C0A" w:rsidRPr="00A51F47" w:rsidRDefault="00655C0A" w:rsidP="00655C0A">
      <w:pPr>
        <w:tabs>
          <w:tab w:val="left" w:leader="dot" w:pos="9072"/>
        </w:tabs>
        <w:ind w:left="567"/>
        <w:rPr>
          <w:noProof/>
        </w:rPr>
      </w:pPr>
      <w:r w:rsidRPr="00A51F47">
        <w:rPr>
          <w:noProof/>
        </w:rPr>
        <w:tab/>
      </w:r>
    </w:p>
    <w:p w14:paraId="5F7C644E" w14:textId="77777777" w:rsidR="00655C0A" w:rsidRPr="00A51F47" w:rsidRDefault="00655C0A" w:rsidP="00655C0A">
      <w:pPr>
        <w:pStyle w:val="Point1letter"/>
        <w:numPr>
          <w:ilvl w:val="3"/>
          <w:numId w:val="32"/>
        </w:numPr>
        <w:rPr>
          <w:noProof/>
        </w:rPr>
      </w:pPr>
      <w:r w:rsidRPr="00A51F47">
        <w:rPr>
          <w:noProof/>
        </w:rPr>
        <w:t>objasnite kako ćete tijekom provedbe programa ispraviti oblik natječajnih postupaka, ako na jednom ili više natječajnih postupaka bude podnesen premali broj ponuda, kako bi se ponovno uspostavilo učinkovito tržišno natjecanje i rok za to (točka 49. podtočka (c) CEEAG-a);</w:t>
      </w:r>
      <w:r w:rsidRPr="00A51F47">
        <w:rPr>
          <w:noProof/>
          <w:shd w:val="clear" w:color="auto" w:fill="FFFFFF"/>
        </w:rPr>
        <w:t xml:space="preserve"> </w:t>
      </w:r>
    </w:p>
    <w:p w14:paraId="4220F9E6" w14:textId="77777777" w:rsidR="00655C0A" w:rsidRPr="00A51F47" w:rsidRDefault="00655C0A" w:rsidP="00655C0A">
      <w:pPr>
        <w:tabs>
          <w:tab w:val="left" w:leader="dot" w:pos="9072"/>
        </w:tabs>
        <w:ind w:left="567"/>
        <w:rPr>
          <w:noProof/>
        </w:rPr>
      </w:pPr>
      <w:r w:rsidRPr="00A51F47">
        <w:rPr>
          <w:noProof/>
        </w:rPr>
        <w:tab/>
      </w:r>
    </w:p>
    <w:p w14:paraId="061FC62C" w14:textId="77777777" w:rsidR="00655C0A" w:rsidRPr="00A51F47" w:rsidRDefault="00655C0A" w:rsidP="00655C0A">
      <w:pPr>
        <w:pStyle w:val="Point1letter"/>
        <w:numPr>
          <w:ilvl w:val="3"/>
          <w:numId w:val="32"/>
        </w:numPr>
        <w:rPr>
          <w:noProof/>
        </w:rPr>
      </w:pPr>
      <w:r w:rsidRPr="00A51F47">
        <w:rPr>
          <w:noProof/>
        </w:rPr>
        <w:t xml:space="preserve">potvrdite da se izbjegavaju </w:t>
      </w:r>
      <w:r w:rsidRPr="00A51F47">
        <w:rPr>
          <w:i/>
          <w:noProof/>
        </w:rPr>
        <w:t>ex post</w:t>
      </w:r>
      <w:r w:rsidRPr="00A51F47">
        <w:rPr>
          <w:noProof/>
        </w:rPr>
        <w:t xml:space="preserve"> prilagodbe ishoda natječajnog postupka (kao što su naknadni pregovori o rezultatima ponuda ili racioniranje) (točka 49. podtočka (d) CEEAG-a);</w:t>
      </w:r>
    </w:p>
    <w:p w14:paraId="0C0242C1" w14:textId="77777777" w:rsidR="00655C0A" w:rsidRPr="00A51F47" w:rsidRDefault="00655C0A" w:rsidP="00655C0A">
      <w:pPr>
        <w:tabs>
          <w:tab w:val="left" w:leader="dot" w:pos="9072"/>
        </w:tabs>
        <w:ind w:left="567"/>
        <w:rPr>
          <w:noProof/>
        </w:rPr>
      </w:pPr>
      <w:r w:rsidRPr="00A51F47">
        <w:rPr>
          <w:noProof/>
        </w:rPr>
        <w:tab/>
      </w:r>
    </w:p>
    <w:p w14:paraId="4DC7A581" w14:textId="77777777" w:rsidR="00655C0A" w:rsidRPr="00A51F47" w:rsidRDefault="00655C0A" w:rsidP="00655C0A">
      <w:pPr>
        <w:pStyle w:val="Point1letter"/>
        <w:numPr>
          <w:ilvl w:val="3"/>
          <w:numId w:val="32"/>
        </w:numPr>
        <w:rPr>
          <w:noProof/>
        </w:rPr>
      </w:pPr>
      <w:r w:rsidRPr="00A51F47">
        <w:rPr>
          <w:noProof/>
        </w:rPr>
        <w:t xml:space="preserve">ako postoji mogućnost „ponuda s nultim subvencijama”, objasnite kako će se osigurati proporcionalnost (vidjeti točku 49. bilješku 42. CEEAG-a); </w:t>
      </w:r>
    </w:p>
    <w:p w14:paraId="7F2512F6" w14:textId="77777777" w:rsidR="00655C0A" w:rsidRPr="00A51F47" w:rsidRDefault="00655C0A" w:rsidP="00655C0A">
      <w:pPr>
        <w:tabs>
          <w:tab w:val="left" w:leader="dot" w:pos="9072"/>
        </w:tabs>
        <w:ind w:left="567"/>
        <w:rPr>
          <w:noProof/>
        </w:rPr>
      </w:pPr>
      <w:r w:rsidRPr="00A51F47">
        <w:rPr>
          <w:noProof/>
        </w:rPr>
        <w:tab/>
      </w:r>
    </w:p>
    <w:p w14:paraId="4C55640C" w14:textId="77777777" w:rsidR="00655C0A" w:rsidRPr="00A51F47" w:rsidRDefault="00655C0A" w:rsidP="00655C0A">
      <w:pPr>
        <w:pStyle w:val="Point1letter"/>
        <w:numPr>
          <w:ilvl w:val="3"/>
          <w:numId w:val="32"/>
        </w:numPr>
        <w:rPr>
          <w:noProof/>
        </w:rPr>
      </w:pPr>
      <w:r w:rsidRPr="00A51F47">
        <w:rPr>
          <w:noProof/>
        </w:rPr>
        <w:t xml:space="preserve">pojasnite predviđaju li nadležna tijela primjenu najnižih cijena ili gornjih granica u </w:t>
      </w:r>
      <w:r w:rsidRPr="00A51F47">
        <w:rPr>
          <w:noProof/>
          <w:shd w:val="clear" w:color="auto" w:fill="FFFFFF"/>
        </w:rPr>
        <w:t>konkurentnom</w:t>
      </w:r>
      <w:r w:rsidRPr="00A51F47">
        <w:rPr>
          <w:noProof/>
        </w:rPr>
        <w:t xml:space="preserve"> natječajnom postupku. Ako predviđaju, obrazložite njihovu primjenu i objasnite kako se njima ne ograničava konkurentni natječajni postupak (točka 49. i bilješka 42. CEEAG-a).</w:t>
      </w:r>
    </w:p>
    <w:p w14:paraId="02EC03CB" w14:textId="77777777" w:rsidR="00655C0A" w:rsidRPr="00A51F47" w:rsidRDefault="00655C0A" w:rsidP="00655C0A">
      <w:pPr>
        <w:tabs>
          <w:tab w:val="left" w:leader="dot" w:pos="9072"/>
        </w:tabs>
        <w:ind w:left="567"/>
        <w:rPr>
          <w:noProof/>
        </w:rPr>
      </w:pPr>
      <w:r w:rsidRPr="00A51F47">
        <w:rPr>
          <w:noProof/>
        </w:rPr>
        <w:lastRenderedPageBreak/>
        <w:tab/>
      </w:r>
    </w:p>
    <w:p w14:paraId="335A37A6" w14:textId="77777777" w:rsidR="00655C0A" w:rsidRPr="00A51F47" w:rsidRDefault="00655C0A" w:rsidP="00655C0A">
      <w:pPr>
        <w:pStyle w:val="Heading4"/>
        <w:numPr>
          <w:ilvl w:val="3"/>
          <w:numId w:val="9"/>
        </w:numPr>
        <w:rPr>
          <w:noProof/>
        </w:rPr>
      </w:pPr>
      <w:r w:rsidRPr="00A51F47">
        <w:rPr>
          <w:noProof/>
        </w:rPr>
        <w:t>Razmjernost potpore za operativne troškove odvojenog prikupljanja i razvrstavanja otpada</w:t>
      </w:r>
    </w:p>
    <w:p w14:paraId="271597ED" w14:textId="77777777" w:rsidR="00655C0A" w:rsidRPr="00655C0A" w:rsidRDefault="00655C0A" w:rsidP="00655C0A">
      <w:pPr>
        <w:pStyle w:val="NumPar1"/>
        <w:numPr>
          <w:ilvl w:val="0"/>
          <w:numId w:val="24"/>
        </w:numPr>
        <w:rPr>
          <w:noProof/>
        </w:rPr>
      </w:pPr>
      <w:r w:rsidRPr="00655C0A">
        <w:rPr>
          <w:noProof/>
        </w:rPr>
        <w:t>U skladu s točkom 247. CEEAG-a potporama se mogu pokriti operativni troškovi ako se odnose na odvojeno skupljanje i razvrstavanje otpada ili drugih proizvoda, materijala ili tvari u pogledu posebnih tokova otpada ili vrsta otpada radi pripreme za ponovnu uporabu ili recikliranje. Ako planirate takvu potporu:</w:t>
      </w:r>
    </w:p>
    <w:p w14:paraId="0272278F" w14:textId="77777777" w:rsidR="00655C0A" w:rsidRPr="00A51F47" w:rsidRDefault="00655C0A" w:rsidP="00655C0A">
      <w:pPr>
        <w:pStyle w:val="Point1letter"/>
        <w:numPr>
          <w:ilvl w:val="3"/>
          <w:numId w:val="36"/>
        </w:numPr>
        <w:rPr>
          <w:noProof/>
        </w:rPr>
      </w:pPr>
      <w:r w:rsidRPr="00A51F47">
        <w:rPr>
          <w:noProof/>
        </w:rPr>
        <w:t xml:space="preserve">dostavite dokaze da će se potpora dodijeliti na temelju konkurentnog natječajnog postupka provedenog u skladu s kriterijima iz točaka 49. i 50. CEEAG-a koji se mora organizirati na otvorenoj i nediskriminirajućoj osnovi za sve subjekte koji pružaju usluge odvojenog skupljanja i razvrstavanja. U tu je svrhu potrebno dostaviti informacije i dokaze navedene u točki 42.; </w:t>
      </w:r>
    </w:p>
    <w:p w14:paraId="70643EDC" w14:textId="77777777" w:rsidR="00655C0A" w:rsidRPr="00A51F47" w:rsidRDefault="00655C0A" w:rsidP="00655C0A">
      <w:pPr>
        <w:pStyle w:val="Point1letter"/>
        <w:numPr>
          <w:ilvl w:val="3"/>
          <w:numId w:val="32"/>
        </w:numPr>
        <w:rPr>
          <w:noProof/>
        </w:rPr>
      </w:pPr>
      <w:r w:rsidRPr="00A51F47">
        <w:rPr>
          <w:noProof/>
        </w:rPr>
        <w:t xml:space="preserve">navedite uključuje li natječajni postupak pravila kojima se ograničava potpora u određenim dobro utvrđenim okolnostima utvrđenima </w:t>
      </w:r>
      <w:r w:rsidRPr="00A51F47">
        <w:rPr>
          <w:i/>
          <w:noProof/>
        </w:rPr>
        <w:t>ex ante.</w:t>
      </w:r>
      <w:r w:rsidRPr="00A51F47">
        <w:rPr>
          <w:noProof/>
        </w:rPr>
        <w:t xml:space="preserve"> Ako je odgovor potvrdan:</w:t>
      </w:r>
    </w:p>
    <w:p w14:paraId="50CC7AAE" w14:textId="77777777" w:rsidR="00655C0A" w:rsidRPr="00A51F47" w:rsidRDefault="00655C0A" w:rsidP="00655C0A">
      <w:pPr>
        <w:pStyle w:val="Stylei"/>
        <w:numPr>
          <w:ilvl w:val="0"/>
          <w:numId w:val="37"/>
        </w:numPr>
        <w:rPr>
          <w:noProof/>
        </w:rPr>
      </w:pPr>
      <w:r w:rsidRPr="00A51F47">
        <w:rPr>
          <w:noProof/>
        </w:rPr>
        <w:t>dokažite da su ta ograničenja opravdana visokim stupnjem nesigurnosti u pogledu budućeg razvoja operativnih troškova tijekom trajanja mjere;</w:t>
      </w:r>
    </w:p>
    <w:p w14:paraId="4F8B4040" w14:textId="77777777" w:rsidR="00655C0A" w:rsidRPr="00A51F47" w:rsidRDefault="00655C0A" w:rsidP="00655C0A">
      <w:pPr>
        <w:tabs>
          <w:tab w:val="left" w:leader="dot" w:pos="9072"/>
        </w:tabs>
        <w:ind w:left="567"/>
        <w:rPr>
          <w:noProof/>
        </w:rPr>
      </w:pPr>
      <w:r w:rsidRPr="00A51F47">
        <w:rPr>
          <w:noProof/>
        </w:rPr>
        <w:tab/>
      </w:r>
    </w:p>
    <w:p w14:paraId="2C2CA554" w14:textId="77777777" w:rsidR="00655C0A" w:rsidRPr="00A51F47" w:rsidRDefault="00655C0A" w:rsidP="00655C0A">
      <w:pPr>
        <w:pStyle w:val="Stylei"/>
        <w:rPr>
          <w:noProof/>
        </w:rPr>
      </w:pPr>
      <w:r w:rsidRPr="00A51F47">
        <w:rPr>
          <w:noProof/>
        </w:rPr>
        <w:t>opišite ta pravila i povezane dobro utvrđene okolnosti;</w:t>
      </w:r>
    </w:p>
    <w:p w14:paraId="47CF4555" w14:textId="77777777" w:rsidR="00655C0A" w:rsidRPr="00A51F47" w:rsidRDefault="00655C0A" w:rsidP="00655C0A">
      <w:pPr>
        <w:tabs>
          <w:tab w:val="left" w:leader="dot" w:pos="9072"/>
        </w:tabs>
        <w:ind w:left="567"/>
        <w:rPr>
          <w:noProof/>
        </w:rPr>
      </w:pPr>
      <w:r w:rsidRPr="00A51F47">
        <w:rPr>
          <w:noProof/>
        </w:rPr>
        <w:tab/>
      </w:r>
    </w:p>
    <w:p w14:paraId="75A3A218" w14:textId="77777777" w:rsidR="00655C0A" w:rsidRPr="00A51F47" w:rsidRDefault="00655C0A" w:rsidP="00655C0A">
      <w:pPr>
        <w:pStyle w:val="Point1letter"/>
        <w:numPr>
          <w:ilvl w:val="3"/>
          <w:numId w:val="32"/>
        </w:numPr>
        <w:rPr>
          <w:noProof/>
        </w:rPr>
      </w:pPr>
      <w:r w:rsidRPr="00A51F47">
        <w:rPr>
          <w:noProof/>
        </w:rPr>
        <w:t>navedite informacije o svim potporama za ulaganje koje se dodjeljuju postrojenju koje se upotrebljava za odvojeno skupljanje i razvrstavanje otpada koje također ostvaruje korist od operativne potpore. Ako oba oblika potpora pokrivaju iste prihvatljive troškove, dokažite da će se potpora za ulaganje oduzeti od operativne potpore dodijeljene istom postrojenju i navedite kako će se to osigurati;</w:t>
      </w:r>
    </w:p>
    <w:p w14:paraId="218E7938" w14:textId="77777777" w:rsidR="00655C0A" w:rsidRPr="00A51F47" w:rsidRDefault="00655C0A" w:rsidP="00655C0A">
      <w:pPr>
        <w:tabs>
          <w:tab w:val="left" w:leader="dot" w:pos="9072"/>
        </w:tabs>
        <w:ind w:left="567"/>
        <w:rPr>
          <w:noProof/>
        </w:rPr>
      </w:pPr>
      <w:r w:rsidRPr="00A51F47">
        <w:rPr>
          <w:noProof/>
        </w:rPr>
        <w:tab/>
      </w:r>
    </w:p>
    <w:p w14:paraId="71CD0E9D" w14:textId="77777777" w:rsidR="00655C0A" w:rsidRPr="00A51F47" w:rsidRDefault="00655C0A" w:rsidP="00655C0A">
      <w:pPr>
        <w:pStyle w:val="Point1letter"/>
        <w:numPr>
          <w:ilvl w:val="3"/>
          <w:numId w:val="32"/>
        </w:numPr>
        <w:rPr>
          <w:noProof/>
        </w:rPr>
      </w:pPr>
      <w:r w:rsidRPr="00A51F47">
        <w:rPr>
          <w:noProof/>
        </w:rPr>
        <w:t>potvrdite da se potpora neće dodjeljivati dulje od pet godina.</w:t>
      </w:r>
    </w:p>
    <w:p w14:paraId="62B6A2DB" w14:textId="77777777" w:rsidR="00655C0A" w:rsidRPr="00A51F47" w:rsidRDefault="00655C0A" w:rsidP="00655C0A">
      <w:pPr>
        <w:tabs>
          <w:tab w:val="left" w:leader="dot" w:pos="9072"/>
        </w:tabs>
        <w:ind w:left="567"/>
        <w:rPr>
          <w:noProof/>
        </w:rPr>
      </w:pPr>
      <w:r w:rsidRPr="00A51F47">
        <w:rPr>
          <w:noProof/>
        </w:rPr>
        <w:tab/>
      </w:r>
    </w:p>
    <w:p w14:paraId="13929549" w14:textId="77777777" w:rsidR="00655C0A" w:rsidRPr="00A51F47" w:rsidRDefault="00655C0A" w:rsidP="00655C0A">
      <w:pPr>
        <w:pStyle w:val="Heading3"/>
        <w:numPr>
          <w:ilvl w:val="2"/>
          <w:numId w:val="9"/>
        </w:numPr>
        <w:rPr>
          <w:noProof/>
        </w:rPr>
      </w:pPr>
      <w:r w:rsidRPr="00A51F47">
        <w:rPr>
          <w:noProof/>
        </w:rPr>
        <w:t>Zbrajanje</w:t>
      </w:r>
    </w:p>
    <w:p w14:paraId="7975D04E" w14:textId="77777777" w:rsidR="00655C0A" w:rsidRPr="00A51F47" w:rsidRDefault="00655C0A" w:rsidP="00655C0A">
      <w:pPr>
        <w:rPr>
          <w:i/>
          <w:iCs/>
          <w:noProof/>
        </w:rPr>
      </w:pPr>
      <w:r w:rsidRPr="00A51F47">
        <w:rPr>
          <w:i/>
          <w:noProof/>
        </w:rPr>
        <w:t>Za unos podataka u ovom odjeljku vidjeti točke 56. i 57. CEEAG-a.</w:t>
      </w:r>
    </w:p>
    <w:p w14:paraId="37C548C8" w14:textId="77777777" w:rsidR="00655C0A" w:rsidRPr="00655C0A" w:rsidRDefault="00655C0A" w:rsidP="00655C0A">
      <w:pPr>
        <w:pStyle w:val="NumPar1"/>
        <w:numPr>
          <w:ilvl w:val="0"/>
          <w:numId w:val="24"/>
        </w:numPr>
        <w:rPr>
          <w:noProof/>
        </w:rPr>
      </w:pPr>
      <w:r w:rsidRPr="00655C0A">
        <w:rPr>
          <w:noProof/>
        </w:rPr>
        <w:t xml:space="preserve">Ako to već nije navedeno u dijelu I. općeg obrasca prijave i kako bi se provjerila usklađenost s točkom 56. CEEAG-a, objasnite može li se potpora u okviru prijavljenih mjera dodijeliti istodobno u okviru nekoliko programa potpore ili zbrajati s jednokratnim ili </w:t>
      </w:r>
      <w:r w:rsidRPr="00655C0A">
        <w:rPr>
          <w:i/>
          <w:noProof/>
        </w:rPr>
        <w:t>de minimis</w:t>
      </w:r>
      <w:r w:rsidRPr="00655C0A">
        <w:rPr>
          <w:noProof/>
        </w:rPr>
        <w:t xml:space="preserve"> potporama za iste prihvatljive troškove. Ako može, navedite pojedinosti o tim programima potpore, jednokratnim potporama ili </w:t>
      </w:r>
      <w:r w:rsidRPr="00655C0A">
        <w:rPr>
          <w:i/>
          <w:noProof/>
        </w:rPr>
        <w:t>de minimis</w:t>
      </w:r>
      <w:r w:rsidRPr="00655C0A">
        <w:rPr>
          <w:noProof/>
        </w:rPr>
        <w:t xml:space="preserve"> potporama i način na koji će se potpore zbrajati. </w:t>
      </w:r>
      <w:r w:rsidRPr="00655C0A">
        <w:rPr>
          <w:noProof/>
        </w:rPr>
        <w:tab/>
      </w:r>
    </w:p>
    <w:p w14:paraId="2685F1A8" w14:textId="77777777" w:rsidR="00655C0A" w:rsidRPr="00A51F47" w:rsidRDefault="00655C0A" w:rsidP="00655C0A">
      <w:pPr>
        <w:tabs>
          <w:tab w:val="left" w:leader="dot" w:pos="9072"/>
        </w:tabs>
        <w:ind w:left="567"/>
        <w:rPr>
          <w:noProof/>
        </w:rPr>
      </w:pPr>
      <w:r w:rsidRPr="00A51F47">
        <w:rPr>
          <w:noProof/>
        </w:rPr>
        <w:tab/>
      </w:r>
    </w:p>
    <w:p w14:paraId="7B947B11" w14:textId="77777777" w:rsidR="00655C0A" w:rsidRPr="00655C0A" w:rsidRDefault="00655C0A" w:rsidP="00655C0A">
      <w:pPr>
        <w:pStyle w:val="NumPar1"/>
        <w:numPr>
          <w:ilvl w:val="0"/>
          <w:numId w:val="24"/>
        </w:numPr>
        <w:rPr>
          <w:noProof/>
        </w:rPr>
      </w:pPr>
      <w:r w:rsidRPr="00655C0A">
        <w:rPr>
          <w:noProof/>
        </w:rPr>
        <w:t xml:space="preserve">Ako se primjenjuje točka 56. CEEAG-a, obrazložite kako ukupni iznos potpore dodijeljene na temelju prijavljenih mjera za projekt ili djelatnost ne dovodi do prekomjerne naknade ili ne premašuje maksimalni iznos potpore dopušten u skladu s točkama od 241. do 245. CEEAG-a. Za svaku mjeru s kojom se potpora dodijeljena u </w:t>
      </w:r>
      <w:r w:rsidRPr="00655C0A">
        <w:rPr>
          <w:noProof/>
        </w:rPr>
        <w:lastRenderedPageBreak/>
        <w:t>okviru prijavljenih mjera potpore može zbrajati navedite metodu kojom se osigurala usklađenost s uvjetima utvrđenima u točki 56. CEEAG-a.</w:t>
      </w:r>
    </w:p>
    <w:p w14:paraId="0A422E7E" w14:textId="77777777" w:rsidR="00655C0A" w:rsidRPr="00A51F47" w:rsidRDefault="00655C0A" w:rsidP="00655C0A">
      <w:pPr>
        <w:tabs>
          <w:tab w:val="left" w:leader="dot" w:pos="9072"/>
        </w:tabs>
        <w:ind w:left="567"/>
        <w:rPr>
          <w:noProof/>
        </w:rPr>
      </w:pPr>
      <w:r w:rsidRPr="00A51F47">
        <w:rPr>
          <w:noProof/>
        </w:rPr>
        <w:tab/>
      </w:r>
    </w:p>
    <w:p w14:paraId="27FE603B" w14:textId="77777777" w:rsidR="00655C0A" w:rsidRPr="00655C0A" w:rsidRDefault="00655C0A" w:rsidP="00655C0A">
      <w:pPr>
        <w:pStyle w:val="NumPar1"/>
        <w:numPr>
          <w:ilvl w:val="0"/>
          <w:numId w:val="24"/>
        </w:numPr>
        <w:rPr>
          <w:noProof/>
        </w:rPr>
      </w:pPr>
      <w:r w:rsidRPr="00655C0A">
        <w:rPr>
          <w:noProof/>
        </w:rPr>
        <w:t>Ako se primjenjuje točka 57. CEEAG-a, tj. potpora dodijeljena u okviru prijavljenih mjera kombinira se s financijskim sredstvima Unije kojima se centralizirano upravlja</w:t>
      </w:r>
      <w:r w:rsidRPr="00655C0A">
        <w:rPr>
          <w:rStyle w:val="FootnoteReference"/>
          <w:noProof/>
          <w:lang w:eastAsia="en-GB"/>
        </w:rPr>
        <w:footnoteReference w:id="12"/>
      </w:r>
      <w:r w:rsidRPr="00655C0A">
        <w:rPr>
          <w:noProof/>
        </w:rPr>
        <w:t xml:space="preserve"> (koja nisu državna potpora), obrazložite kako ukupni iznos javnog financiranja dodijeljenog za iste prihvatljive troškove ne dovodi do prekomjerne naknade. </w:t>
      </w:r>
    </w:p>
    <w:p w14:paraId="64BE83B5" w14:textId="77777777" w:rsidR="00655C0A" w:rsidRPr="00A51F47" w:rsidRDefault="00655C0A" w:rsidP="00655C0A">
      <w:pPr>
        <w:tabs>
          <w:tab w:val="left" w:leader="dot" w:pos="9072"/>
        </w:tabs>
        <w:ind w:left="567"/>
        <w:rPr>
          <w:noProof/>
        </w:rPr>
      </w:pPr>
      <w:r w:rsidRPr="00A51F47">
        <w:rPr>
          <w:noProof/>
        </w:rPr>
        <w:tab/>
      </w:r>
    </w:p>
    <w:p w14:paraId="7BCFB382" w14:textId="77777777" w:rsidR="00655C0A" w:rsidRPr="00A51F47" w:rsidRDefault="00655C0A" w:rsidP="00655C0A">
      <w:pPr>
        <w:pStyle w:val="Heading3"/>
        <w:numPr>
          <w:ilvl w:val="2"/>
          <w:numId w:val="9"/>
        </w:numPr>
        <w:rPr>
          <w:noProof/>
        </w:rPr>
      </w:pPr>
      <w:r w:rsidRPr="00A51F47">
        <w:rPr>
          <w:noProof/>
        </w:rPr>
        <w:t>Transparentnost</w:t>
      </w:r>
    </w:p>
    <w:p w14:paraId="6A266C9F" w14:textId="77777777" w:rsidR="00655C0A" w:rsidRPr="00A51F47" w:rsidRDefault="00655C0A" w:rsidP="00655C0A">
      <w:pPr>
        <w:spacing w:before="360"/>
        <w:rPr>
          <w:i/>
          <w:noProof/>
        </w:rPr>
      </w:pPr>
      <w:r w:rsidRPr="00A51F47">
        <w:rPr>
          <w:i/>
          <w:noProof/>
        </w:rPr>
        <w:t xml:space="preserve">Za unos podataka u ovom odjeljku vidjeti odjeljak 3.2.1.4. (točke od 58 do 61.) CEEAG-a. </w:t>
      </w:r>
    </w:p>
    <w:p w14:paraId="5F220D44" w14:textId="77777777" w:rsidR="00655C0A" w:rsidRPr="00655C0A" w:rsidRDefault="00655C0A" w:rsidP="00655C0A">
      <w:pPr>
        <w:pStyle w:val="NumPar1"/>
        <w:numPr>
          <w:ilvl w:val="0"/>
          <w:numId w:val="24"/>
        </w:numPr>
        <w:rPr>
          <w:noProof/>
        </w:rPr>
      </w:pPr>
      <w:r w:rsidRPr="00655C0A">
        <w:rPr>
          <w:noProof/>
        </w:rPr>
        <w:t xml:space="preserve">Potvrdite da će država članica ispuniti zahtjeve transparentnosti iz točaka od 58. do 61. CEEAG-a. </w:t>
      </w:r>
    </w:p>
    <w:p w14:paraId="3863CD0F" w14:textId="77777777" w:rsidR="00655C0A" w:rsidRPr="00A51F47" w:rsidRDefault="00655C0A" w:rsidP="00655C0A">
      <w:pPr>
        <w:tabs>
          <w:tab w:val="left" w:leader="dot" w:pos="9072"/>
        </w:tabs>
        <w:ind w:left="567"/>
        <w:rPr>
          <w:noProof/>
        </w:rPr>
      </w:pPr>
      <w:r w:rsidRPr="00A51F47">
        <w:rPr>
          <w:noProof/>
        </w:rPr>
        <w:tab/>
      </w:r>
    </w:p>
    <w:p w14:paraId="67BE8CBE" w14:textId="77777777" w:rsidR="00655C0A" w:rsidRPr="00655C0A" w:rsidRDefault="00655C0A" w:rsidP="00655C0A">
      <w:pPr>
        <w:pStyle w:val="NumPar1"/>
        <w:numPr>
          <w:ilvl w:val="0"/>
          <w:numId w:val="24"/>
        </w:numPr>
        <w:rPr>
          <w:noProof/>
        </w:rPr>
      </w:pPr>
      <w:r w:rsidRPr="00655C0A">
        <w:rPr>
          <w:noProof/>
        </w:rPr>
        <w:t>Navedite poveznicu na internetske stranice na kojima će biti objavljen cjeloviti tekst odobrenog programa potpore ili odluke o dodjeli pojedinačne potpore i njezinih provedbenih odredbi ili informacije o svakoj pojedinačnoj potpori dodijeljenoj jednokratno ili u okviru programa potpora odobrenog na temelju CEEAG-a i koja premašuje 100 000 EUR.</w:t>
      </w:r>
    </w:p>
    <w:p w14:paraId="142A3C21" w14:textId="77777777" w:rsidR="00655C0A" w:rsidRPr="00A51F47" w:rsidRDefault="00655C0A" w:rsidP="00655C0A">
      <w:pPr>
        <w:tabs>
          <w:tab w:val="left" w:leader="dot" w:pos="9072"/>
        </w:tabs>
        <w:ind w:left="567"/>
        <w:rPr>
          <w:noProof/>
        </w:rPr>
      </w:pPr>
      <w:r w:rsidRPr="00A51F47">
        <w:rPr>
          <w:noProof/>
        </w:rPr>
        <w:tab/>
      </w:r>
    </w:p>
    <w:p w14:paraId="33516F11" w14:textId="77777777" w:rsidR="00655C0A" w:rsidRPr="00A51F47" w:rsidRDefault="00655C0A" w:rsidP="00655C0A">
      <w:pPr>
        <w:pStyle w:val="Heading2"/>
        <w:numPr>
          <w:ilvl w:val="1"/>
          <w:numId w:val="9"/>
        </w:numPr>
        <w:rPr>
          <w:noProof/>
        </w:rPr>
      </w:pPr>
      <w:r w:rsidRPr="00A51F47">
        <w:rPr>
          <w:noProof/>
        </w:rPr>
        <w:t>Izbjegavanje nepovoljnih negativnih učinaka potpore na tržišno natjecanje i trgovinu</w:t>
      </w:r>
    </w:p>
    <w:p w14:paraId="561EB80A" w14:textId="77777777" w:rsidR="00655C0A" w:rsidRPr="00A51F47" w:rsidRDefault="00655C0A" w:rsidP="00655C0A">
      <w:pPr>
        <w:spacing w:before="360"/>
        <w:rPr>
          <w:i/>
          <w:noProof/>
        </w:rPr>
      </w:pPr>
      <w:r w:rsidRPr="00A51F47">
        <w:rPr>
          <w:i/>
          <w:noProof/>
        </w:rPr>
        <w:t xml:space="preserve">Za unos podataka u ovom odjeljku, vidjeti odjeljke 3.2.2. (točke od 63. do 70.) i 4.4.5. (točke od 248. do 252.) CEEAG-a. </w:t>
      </w:r>
    </w:p>
    <w:p w14:paraId="738741CE" w14:textId="77777777" w:rsidR="00655C0A" w:rsidRPr="00655C0A" w:rsidRDefault="00655C0A" w:rsidP="00655C0A">
      <w:pPr>
        <w:pStyle w:val="NumPar1"/>
        <w:numPr>
          <w:ilvl w:val="0"/>
          <w:numId w:val="24"/>
        </w:numPr>
        <w:rPr>
          <w:noProof/>
        </w:rPr>
      </w:pPr>
      <w:r w:rsidRPr="00655C0A">
        <w:rPr>
          <w:noProof/>
        </w:rPr>
        <w:t xml:space="preserve">Kako bi se potvrdila usklađenost s točkom 67. CEEAG-a, dostavite podatke o mogućim kratkoročnim i dugoročnim negativnim učincima prijavljenih mjera na tržišno natjecanje i trgovinu. </w:t>
      </w:r>
    </w:p>
    <w:p w14:paraId="26F46470" w14:textId="77777777" w:rsidR="00655C0A" w:rsidRPr="00A51F47" w:rsidRDefault="00655C0A" w:rsidP="00655C0A">
      <w:pPr>
        <w:tabs>
          <w:tab w:val="left" w:leader="dot" w:pos="9072"/>
        </w:tabs>
        <w:ind w:left="567"/>
        <w:rPr>
          <w:noProof/>
        </w:rPr>
      </w:pPr>
      <w:r w:rsidRPr="00A51F47">
        <w:rPr>
          <w:noProof/>
        </w:rPr>
        <w:tab/>
      </w:r>
    </w:p>
    <w:p w14:paraId="08BDE60C" w14:textId="77777777" w:rsidR="00655C0A" w:rsidRPr="00655C0A" w:rsidRDefault="00655C0A" w:rsidP="00655C0A">
      <w:pPr>
        <w:pStyle w:val="NumPar1"/>
        <w:numPr>
          <w:ilvl w:val="0"/>
          <w:numId w:val="24"/>
        </w:numPr>
        <w:rPr>
          <w:noProof/>
        </w:rPr>
      </w:pPr>
      <w:r w:rsidRPr="00655C0A">
        <w:rPr>
          <w:noProof/>
        </w:rPr>
        <w:t>Objasnite je li mjera obuhvaćena nekom od sljedećih situacija:  </w:t>
      </w:r>
    </w:p>
    <w:p w14:paraId="782F072A" w14:textId="77777777" w:rsidR="00655C0A" w:rsidRPr="00A51F47" w:rsidRDefault="00655C0A" w:rsidP="00655C0A">
      <w:pPr>
        <w:pStyle w:val="Point1letter"/>
        <w:numPr>
          <w:ilvl w:val="3"/>
          <w:numId w:val="39"/>
        </w:numPr>
        <w:rPr>
          <w:noProof/>
        </w:rPr>
      </w:pPr>
      <w:r w:rsidRPr="00A51F47">
        <w:rPr>
          <w:noProof/>
        </w:rPr>
        <w:t>odnosi se na tržište (ili tržišta) na kojem su pozicionirani subjekti stekli tržišnu snagu prije liberalizacije tržišta; </w:t>
      </w:r>
    </w:p>
    <w:p w14:paraId="3F32C7ED" w14:textId="77777777" w:rsidR="00655C0A" w:rsidRPr="00A51F47" w:rsidRDefault="00655C0A" w:rsidP="00655C0A">
      <w:pPr>
        <w:tabs>
          <w:tab w:val="left" w:leader="dot" w:pos="9072"/>
        </w:tabs>
        <w:ind w:left="567"/>
        <w:rPr>
          <w:noProof/>
        </w:rPr>
      </w:pPr>
      <w:bookmarkStart w:id="10" w:name="_Hlk166067170"/>
      <w:r w:rsidRPr="00A51F47">
        <w:rPr>
          <w:noProof/>
        </w:rPr>
        <w:tab/>
      </w:r>
      <w:bookmarkEnd w:id="10"/>
    </w:p>
    <w:p w14:paraId="1A2C97B5" w14:textId="77777777" w:rsidR="00655C0A" w:rsidRPr="00A51F47" w:rsidRDefault="00655C0A" w:rsidP="00655C0A">
      <w:pPr>
        <w:pStyle w:val="Point1letter"/>
        <w:numPr>
          <w:ilvl w:val="3"/>
          <w:numId w:val="49"/>
        </w:numPr>
        <w:rPr>
          <w:noProof/>
        </w:rPr>
      </w:pPr>
      <w:r w:rsidRPr="00A51F47">
        <w:rPr>
          <w:noProof/>
        </w:rPr>
        <w:t>obuhvaća konkurentne natječajne postupke na tržištima u nastajanju ako postoji sudionik s čvrstim položajem na tržištu; </w:t>
      </w:r>
    </w:p>
    <w:p w14:paraId="3BC4AE9B" w14:textId="77777777" w:rsidR="00655C0A" w:rsidRPr="00A51F47" w:rsidRDefault="00655C0A" w:rsidP="00655C0A">
      <w:pPr>
        <w:tabs>
          <w:tab w:val="left" w:leader="dot" w:pos="9072"/>
        </w:tabs>
        <w:ind w:left="567"/>
        <w:rPr>
          <w:noProof/>
        </w:rPr>
      </w:pPr>
      <w:r w:rsidRPr="00A51F47">
        <w:rPr>
          <w:noProof/>
        </w:rPr>
        <w:tab/>
      </w:r>
    </w:p>
    <w:p w14:paraId="036B3E76" w14:textId="77777777" w:rsidR="00655C0A" w:rsidRPr="00A51F47" w:rsidRDefault="00655C0A" w:rsidP="00655C0A">
      <w:pPr>
        <w:pStyle w:val="Point1letter"/>
        <w:numPr>
          <w:ilvl w:val="3"/>
          <w:numId w:val="49"/>
        </w:numPr>
        <w:rPr>
          <w:noProof/>
        </w:rPr>
      </w:pPr>
      <w:r w:rsidRPr="00A51F47">
        <w:rPr>
          <w:noProof/>
        </w:rPr>
        <w:t>namijenjena je samo jednom korisniku ili vrlo ograničenom broju korisnika.</w:t>
      </w:r>
    </w:p>
    <w:p w14:paraId="4447F9A7" w14:textId="77777777" w:rsidR="00655C0A" w:rsidRPr="00A51F47" w:rsidRDefault="00655C0A" w:rsidP="00655C0A">
      <w:pPr>
        <w:tabs>
          <w:tab w:val="left" w:leader="dot" w:pos="9072"/>
        </w:tabs>
        <w:ind w:left="567"/>
        <w:rPr>
          <w:noProof/>
        </w:rPr>
      </w:pPr>
      <w:r w:rsidRPr="00A51F47">
        <w:rPr>
          <w:noProof/>
        </w:rPr>
        <w:lastRenderedPageBreak/>
        <w:tab/>
      </w:r>
    </w:p>
    <w:p w14:paraId="18414BC5" w14:textId="77777777" w:rsidR="00655C0A" w:rsidRPr="00655C0A" w:rsidRDefault="00655C0A" w:rsidP="00655C0A">
      <w:pPr>
        <w:pStyle w:val="NumPar1"/>
        <w:numPr>
          <w:ilvl w:val="0"/>
          <w:numId w:val="24"/>
        </w:numPr>
        <w:rPr>
          <w:noProof/>
        </w:rPr>
      </w:pPr>
      <w:r w:rsidRPr="00655C0A">
        <w:rPr>
          <w:noProof/>
        </w:rPr>
        <w:t>Ako je mjera potpore usmjerena na određeni tehnološki izbor/put, obrazložite zašto je ta tehnologija odabrana i kako taj odabir neće obeshrabriti uvođenje čišćih tehnologija.</w:t>
      </w:r>
    </w:p>
    <w:p w14:paraId="1C047EB7" w14:textId="77777777" w:rsidR="00655C0A" w:rsidRPr="00A51F47" w:rsidRDefault="00655C0A" w:rsidP="00655C0A">
      <w:pPr>
        <w:tabs>
          <w:tab w:val="left" w:leader="dot" w:pos="9072"/>
        </w:tabs>
        <w:ind w:left="567"/>
        <w:rPr>
          <w:noProof/>
        </w:rPr>
      </w:pPr>
      <w:r w:rsidRPr="00A51F47">
        <w:rPr>
          <w:noProof/>
        </w:rPr>
        <w:tab/>
      </w:r>
    </w:p>
    <w:p w14:paraId="737DE428" w14:textId="77777777" w:rsidR="00655C0A" w:rsidRPr="00655C0A" w:rsidRDefault="00655C0A" w:rsidP="00655C0A">
      <w:pPr>
        <w:pStyle w:val="NumPar1"/>
        <w:numPr>
          <w:ilvl w:val="0"/>
          <w:numId w:val="24"/>
        </w:numPr>
        <w:rPr>
          <w:noProof/>
        </w:rPr>
      </w:pPr>
      <w:r w:rsidRPr="00655C0A">
        <w:rPr>
          <w:noProof/>
        </w:rPr>
        <w:t>Ako su prijavljene mjere namijenjene samo jednom korisniku ili vrlo ograničenom broju korisnika, kako bi se provjerila usklađenost s točkom 68. CEEAG-a:</w:t>
      </w:r>
    </w:p>
    <w:p w14:paraId="3FA6BCC8" w14:textId="77777777" w:rsidR="00655C0A" w:rsidRPr="00A51F47" w:rsidRDefault="00655C0A" w:rsidP="00655C0A">
      <w:pPr>
        <w:pStyle w:val="Point1letter"/>
        <w:numPr>
          <w:ilvl w:val="3"/>
          <w:numId w:val="40"/>
        </w:numPr>
        <w:rPr>
          <w:noProof/>
        </w:rPr>
      </w:pPr>
      <w:r w:rsidRPr="00A51F47">
        <w:rPr>
          <w:noProof/>
        </w:rPr>
        <w:t>objasnite jačaju li ili održavaju li prijavljene mjere tržišnu snagu korisnika ili odvraćaju od širenja postojećih konkurenata ili potiču njihov izlazak s tržišta ili odvraćaju nove konkurente od ulaska na tržište. U tom pogledu objasnite i hoće li mjera potpore dovesti do povećanja proizvodnog kapaciteta korisnika;</w:t>
      </w:r>
    </w:p>
    <w:p w14:paraId="7AA50E02" w14:textId="77777777" w:rsidR="00655C0A" w:rsidRPr="00A51F47" w:rsidRDefault="00655C0A" w:rsidP="00655C0A">
      <w:pPr>
        <w:tabs>
          <w:tab w:val="left" w:leader="dot" w:pos="9072"/>
        </w:tabs>
        <w:ind w:left="567"/>
        <w:rPr>
          <w:noProof/>
        </w:rPr>
      </w:pPr>
      <w:r w:rsidRPr="00A51F47">
        <w:rPr>
          <w:noProof/>
        </w:rPr>
        <w:tab/>
      </w:r>
    </w:p>
    <w:p w14:paraId="29175C43" w14:textId="77777777" w:rsidR="00655C0A" w:rsidRPr="00A51F47" w:rsidRDefault="00655C0A" w:rsidP="00655C0A">
      <w:pPr>
        <w:pStyle w:val="Point1letter"/>
        <w:numPr>
          <w:ilvl w:val="3"/>
          <w:numId w:val="49"/>
        </w:numPr>
        <w:rPr>
          <w:noProof/>
        </w:rPr>
      </w:pPr>
      <w:r w:rsidRPr="00A51F47">
        <w:rPr>
          <w:noProof/>
        </w:rPr>
        <w:t xml:space="preserve">opišite mjere uvedene kako bi se ograničilo moguće narušavanje tržišnog natjecanja uzrokovano dodjelom potpore korisnicima. </w:t>
      </w:r>
    </w:p>
    <w:p w14:paraId="003B41CC" w14:textId="77777777" w:rsidR="00655C0A" w:rsidRPr="00A51F47" w:rsidRDefault="00655C0A" w:rsidP="00655C0A">
      <w:pPr>
        <w:tabs>
          <w:tab w:val="left" w:leader="dot" w:pos="9072"/>
        </w:tabs>
        <w:ind w:left="567"/>
        <w:rPr>
          <w:noProof/>
        </w:rPr>
      </w:pPr>
      <w:r w:rsidRPr="00A51F47">
        <w:rPr>
          <w:noProof/>
        </w:rPr>
        <w:tab/>
      </w:r>
    </w:p>
    <w:p w14:paraId="7C57DF36" w14:textId="77777777" w:rsidR="00655C0A" w:rsidRPr="00655C0A" w:rsidRDefault="00655C0A" w:rsidP="00655C0A">
      <w:pPr>
        <w:pStyle w:val="NumPar1"/>
        <w:numPr>
          <w:ilvl w:val="0"/>
          <w:numId w:val="24"/>
        </w:numPr>
        <w:rPr>
          <w:noProof/>
        </w:rPr>
      </w:pPr>
      <w:r w:rsidRPr="00655C0A">
        <w:rPr>
          <w:noProof/>
        </w:rPr>
        <w:t>Kako bi se provjerila usklađenost s točkom 69. CEEAG-a, objasnite: </w:t>
      </w:r>
    </w:p>
    <w:p w14:paraId="521B0BFC" w14:textId="77777777" w:rsidR="00655C0A" w:rsidRPr="00A51F47" w:rsidRDefault="00655C0A" w:rsidP="00655C0A">
      <w:pPr>
        <w:pStyle w:val="Point1letter"/>
        <w:numPr>
          <w:ilvl w:val="3"/>
          <w:numId w:val="41"/>
        </w:numPr>
        <w:rPr>
          <w:noProof/>
        </w:rPr>
      </w:pPr>
      <w:r w:rsidRPr="00A51F47">
        <w:rPr>
          <w:noProof/>
        </w:rPr>
        <w:t>je li cilj potpore dodijeljene u okviru prijavljenih mjera očuvanje gospodarske djelatnosti u jednoj regiji ili njezino odvlačenje iz drugih regija na unutarnjem tržištu; </w:t>
      </w:r>
    </w:p>
    <w:p w14:paraId="72A7A407" w14:textId="77777777" w:rsidR="00655C0A" w:rsidRPr="00A51F47" w:rsidRDefault="00655C0A" w:rsidP="00655C0A">
      <w:pPr>
        <w:tabs>
          <w:tab w:val="left" w:leader="dot" w:pos="9072"/>
        </w:tabs>
        <w:ind w:left="567"/>
        <w:rPr>
          <w:noProof/>
        </w:rPr>
      </w:pPr>
      <w:r w:rsidRPr="00A51F47">
        <w:rPr>
          <w:noProof/>
        </w:rPr>
        <w:tab/>
      </w:r>
    </w:p>
    <w:p w14:paraId="244C8673" w14:textId="77777777" w:rsidR="00655C0A" w:rsidRPr="00A51F47" w:rsidRDefault="00655C0A" w:rsidP="00655C0A">
      <w:pPr>
        <w:pStyle w:val="Point1letter"/>
        <w:numPr>
          <w:ilvl w:val="3"/>
          <w:numId w:val="41"/>
        </w:numPr>
        <w:rPr>
          <w:rFonts w:eastAsia="SimSun"/>
          <w:noProof/>
        </w:rPr>
      </w:pPr>
      <w:r w:rsidRPr="00A51F47">
        <w:rPr>
          <w:noProof/>
        </w:rPr>
        <w:t xml:space="preserve">ako je odgovor potvrdan, navedite koji je neto učinak na okoliš prijavljenih mjera i kako se prijavljenim mjerama poboljšava postojeća razina zaštite okoliša u državama članicama; </w:t>
      </w:r>
    </w:p>
    <w:p w14:paraId="26CE9E74" w14:textId="77777777" w:rsidR="00655C0A" w:rsidRPr="00A51F47" w:rsidRDefault="00655C0A" w:rsidP="00655C0A">
      <w:pPr>
        <w:tabs>
          <w:tab w:val="left" w:leader="dot" w:pos="9072"/>
        </w:tabs>
        <w:ind w:left="567"/>
        <w:rPr>
          <w:noProof/>
        </w:rPr>
      </w:pPr>
      <w:r w:rsidRPr="00A51F47">
        <w:rPr>
          <w:noProof/>
        </w:rPr>
        <w:tab/>
      </w:r>
    </w:p>
    <w:p w14:paraId="5FA19637" w14:textId="77777777" w:rsidR="00655C0A" w:rsidRPr="00A51F47" w:rsidRDefault="00655C0A" w:rsidP="00655C0A">
      <w:pPr>
        <w:pStyle w:val="Point1letter"/>
        <w:numPr>
          <w:ilvl w:val="3"/>
          <w:numId w:val="41"/>
        </w:numPr>
        <w:rPr>
          <w:noProof/>
        </w:rPr>
      </w:pPr>
      <w:r w:rsidRPr="00A51F47">
        <w:rPr>
          <w:noProof/>
        </w:rPr>
        <w:t>kako potpora dodijeljena u okviru prijavljenih mjera nema očite negativne učinke na tržišno natjecanje i trgovinu;  </w:t>
      </w:r>
    </w:p>
    <w:p w14:paraId="550CA029" w14:textId="77777777" w:rsidR="00655C0A" w:rsidRPr="00A51F47" w:rsidRDefault="00655C0A" w:rsidP="00655C0A">
      <w:pPr>
        <w:tabs>
          <w:tab w:val="left" w:leader="dot" w:pos="9072"/>
        </w:tabs>
        <w:ind w:left="567"/>
        <w:rPr>
          <w:noProof/>
        </w:rPr>
      </w:pPr>
      <w:r w:rsidRPr="00A51F47">
        <w:rPr>
          <w:noProof/>
        </w:rPr>
        <w:tab/>
      </w:r>
    </w:p>
    <w:p w14:paraId="6069191D" w14:textId="77777777" w:rsidR="00655C0A" w:rsidRPr="00A51F47" w:rsidRDefault="00655C0A" w:rsidP="00655C0A">
      <w:pPr>
        <w:pStyle w:val="Point1letter"/>
        <w:numPr>
          <w:ilvl w:val="3"/>
          <w:numId w:val="41"/>
        </w:numPr>
        <w:rPr>
          <w:rFonts w:eastAsia="SimSun"/>
          <w:noProof/>
        </w:rPr>
      </w:pPr>
      <w:r w:rsidRPr="00A51F47">
        <w:rPr>
          <w:noProof/>
        </w:rPr>
        <w:t>kad je riječ o pojedinačnoj potpori, glavne razloge zbog kojih je korisnik odabrao određenu lokaciju za ulaganja.  </w:t>
      </w:r>
    </w:p>
    <w:p w14:paraId="3AF54DAB" w14:textId="77777777" w:rsidR="00655C0A" w:rsidRPr="00A51F47" w:rsidRDefault="00655C0A" w:rsidP="00655C0A">
      <w:pPr>
        <w:tabs>
          <w:tab w:val="left" w:leader="dot" w:pos="9072"/>
        </w:tabs>
        <w:ind w:left="567"/>
        <w:rPr>
          <w:noProof/>
        </w:rPr>
      </w:pPr>
      <w:r w:rsidRPr="00A51F47">
        <w:rPr>
          <w:noProof/>
        </w:rPr>
        <w:tab/>
      </w:r>
    </w:p>
    <w:p w14:paraId="6FB174AE" w14:textId="77777777" w:rsidR="00655C0A" w:rsidRPr="00655C0A" w:rsidRDefault="00655C0A" w:rsidP="00655C0A">
      <w:pPr>
        <w:pStyle w:val="NumPar1"/>
        <w:numPr>
          <w:ilvl w:val="0"/>
          <w:numId w:val="24"/>
        </w:numPr>
        <w:rPr>
          <w:noProof/>
        </w:rPr>
      </w:pPr>
      <w:r w:rsidRPr="00655C0A">
        <w:rPr>
          <w:noProof/>
        </w:rPr>
        <w:t>Kako bi se provjerila usklađenost s točkom 70. CEEAG-a:</w:t>
      </w:r>
    </w:p>
    <w:p w14:paraId="05D63612" w14:textId="77777777" w:rsidR="00655C0A" w:rsidRPr="00A51F47" w:rsidRDefault="00655C0A" w:rsidP="00655C0A">
      <w:pPr>
        <w:pStyle w:val="Point1letter"/>
        <w:numPr>
          <w:ilvl w:val="3"/>
          <w:numId w:val="42"/>
        </w:numPr>
        <w:rPr>
          <w:noProof/>
        </w:rPr>
      </w:pPr>
      <w:r w:rsidRPr="00A51F47">
        <w:rPr>
          <w:noProof/>
        </w:rPr>
        <w:t xml:space="preserve">potvrdite da se potpora može dodijeliti u okviru prijavljenog programa na razdoblje od najviše 10 godina od datuma objave odluke Komisije kojom se državna potpora proglašava spojivom;  </w:t>
      </w:r>
    </w:p>
    <w:p w14:paraId="05E4F196" w14:textId="77777777" w:rsidR="00655C0A" w:rsidRPr="00A51F47" w:rsidRDefault="00655C0A" w:rsidP="00655C0A">
      <w:pPr>
        <w:tabs>
          <w:tab w:val="left" w:leader="dot" w:pos="9072"/>
        </w:tabs>
        <w:ind w:left="567"/>
        <w:rPr>
          <w:noProof/>
        </w:rPr>
      </w:pPr>
      <w:r w:rsidRPr="00A51F47">
        <w:rPr>
          <w:noProof/>
        </w:rPr>
        <w:tab/>
      </w:r>
    </w:p>
    <w:p w14:paraId="3B14BEF1" w14:textId="77777777" w:rsidR="00655C0A" w:rsidRPr="00A51F47" w:rsidRDefault="00655C0A" w:rsidP="00655C0A">
      <w:pPr>
        <w:pStyle w:val="Point1letter"/>
        <w:numPr>
          <w:ilvl w:val="3"/>
          <w:numId w:val="42"/>
        </w:numPr>
        <w:rPr>
          <w:noProof/>
        </w:rPr>
      </w:pPr>
      <w:r w:rsidRPr="00A51F47">
        <w:rPr>
          <w:noProof/>
        </w:rPr>
        <w:t xml:space="preserve">potvrdite da će vaša tijela, ako žele produljiti trajanje mjere nakon isteka tog maksimalnog razdoblja, ponovno prijaviti mjeru. </w:t>
      </w:r>
    </w:p>
    <w:p w14:paraId="25EDE6EA" w14:textId="77777777" w:rsidR="00655C0A" w:rsidRPr="00A51F47" w:rsidRDefault="00655C0A" w:rsidP="00655C0A">
      <w:pPr>
        <w:tabs>
          <w:tab w:val="left" w:leader="dot" w:pos="9072"/>
        </w:tabs>
        <w:ind w:left="567"/>
        <w:rPr>
          <w:noProof/>
        </w:rPr>
      </w:pPr>
      <w:r w:rsidRPr="00A51F47">
        <w:rPr>
          <w:noProof/>
        </w:rPr>
        <w:tab/>
      </w:r>
    </w:p>
    <w:p w14:paraId="32C05DCD" w14:textId="77777777" w:rsidR="00655C0A" w:rsidRPr="00655C0A" w:rsidRDefault="00655C0A" w:rsidP="00655C0A">
      <w:pPr>
        <w:pStyle w:val="NumPar1"/>
        <w:numPr>
          <w:ilvl w:val="0"/>
          <w:numId w:val="24"/>
        </w:numPr>
        <w:rPr>
          <w:noProof/>
        </w:rPr>
      </w:pPr>
      <w:r w:rsidRPr="00655C0A">
        <w:rPr>
          <w:noProof/>
        </w:rPr>
        <w:t>Kako bi se provjerila usklađenost s točkom 249. CEEAG-a, objasnite kako se potporom neće poticati stvaranje otpada ili povećana uporaba resursa.</w:t>
      </w:r>
    </w:p>
    <w:p w14:paraId="18DB3D31" w14:textId="77777777" w:rsidR="00655C0A" w:rsidRPr="00A51F47" w:rsidRDefault="00655C0A" w:rsidP="00655C0A">
      <w:pPr>
        <w:tabs>
          <w:tab w:val="left" w:leader="dot" w:pos="9072"/>
        </w:tabs>
        <w:ind w:left="567"/>
        <w:rPr>
          <w:noProof/>
        </w:rPr>
      </w:pPr>
      <w:r w:rsidRPr="00A51F47">
        <w:rPr>
          <w:noProof/>
        </w:rPr>
        <w:lastRenderedPageBreak/>
        <w:tab/>
      </w:r>
    </w:p>
    <w:p w14:paraId="2DC751BA" w14:textId="77777777" w:rsidR="00655C0A" w:rsidRPr="00655C0A" w:rsidRDefault="00655C0A" w:rsidP="00655C0A">
      <w:pPr>
        <w:pStyle w:val="NumPar1"/>
        <w:numPr>
          <w:ilvl w:val="0"/>
          <w:numId w:val="24"/>
        </w:numPr>
        <w:rPr>
          <w:noProof/>
        </w:rPr>
      </w:pPr>
      <w:r w:rsidRPr="00655C0A">
        <w:rPr>
          <w:noProof/>
        </w:rPr>
        <w:t xml:space="preserve">Kako bi se provjerila usklađenost s točkom 250. CEEAG-a, dokažite da će se, ako se potporom poveća potražnja za otpadom ili drugim materijalima i resursima namijenjenima ponovnoj uporabi, recikliranju ili oporabi, kapacitet prikupljanja takvog otpada, drugih materijala i resursa povećati u skladu s time kako bi se zadovoljila povećana potražnja. </w:t>
      </w:r>
    </w:p>
    <w:p w14:paraId="529706A4" w14:textId="77777777" w:rsidR="00655C0A" w:rsidRPr="00A51F47" w:rsidRDefault="00655C0A" w:rsidP="00655C0A">
      <w:pPr>
        <w:tabs>
          <w:tab w:val="left" w:leader="dot" w:pos="9072"/>
        </w:tabs>
        <w:ind w:left="567"/>
        <w:rPr>
          <w:noProof/>
        </w:rPr>
      </w:pPr>
      <w:r w:rsidRPr="00A51F47">
        <w:rPr>
          <w:noProof/>
        </w:rPr>
        <w:tab/>
      </w:r>
    </w:p>
    <w:p w14:paraId="06E692A8" w14:textId="77777777" w:rsidR="00655C0A" w:rsidRPr="00655C0A" w:rsidRDefault="00655C0A" w:rsidP="00655C0A">
      <w:pPr>
        <w:pStyle w:val="NumPar1"/>
        <w:numPr>
          <w:ilvl w:val="0"/>
          <w:numId w:val="24"/>
        </w:numPr>
        <w:rPr>
          <w:noProof/>
        </w:rPr>
      </w:pPr>
      <w:r w:rsidRPr="00655C0A">
        <w:rPr>
          <w:noProof/>
        </w:rPr>
        <w:t>Kako bi se provjerila usklađenost s točkom 251. CEEAG-a, navedite hoće li potpora imati moguće učinke na funkcioniranje tržišta primarnih i sekundarnih materijala koji se odnose na predmetne proizvode i koji bi ti mogući učinci mogli biti.</w:t>
      </w:r>
    </w:p>
    <w:p w14:paraId="5694D8AC" w14:textId="77777777" w:rsidR="00655C0A" w:rsidRPr="00A51F47" w:rsidRDefault="00655C0A" w:rsidP="00655C0A">
      <w:pPr>
        <w:tabs>
          <w:tab w:val="left" w:leader="dot" w:pos="9072"/>
        </w:tabs>
        <w:ind w:left="567"/>
        <w:rPr>
          <w:noProof/>
        </w:rPr>
      </w:pPr>
      <w:r w:rsidRPr="00A51F47">
        <w:rPr>
          <w:noProof/>
        </w:rPr>
        <w:tab/>
      </w:r>
    </w:p>
    <w:p w14:paraId="27492DAE" w14:textId="77777777" w:rsidR="00655C0A" w:rsidRPr="00655C0A" w:rsidRDefault="00655C0A" w:rsidP="00655C0A">
      <w:pPr>
        <w:pStyle w:val="NumPar1"/>
        <w:numPr>
          <w:ilvl w:val="0"/>
          <w:numId w:val="24"/>
        </w:numPr>
        <w:rPr>
          <w:noProof/>
        </w:rPr>
      </w:pPr>
      <w:r w:rsidRPr="00655C0A">
        <w:rPr>
          <w:noProof/>
        </w:rPr>
        <w:t>Kako bi se provjerila usklađenost s točkom 252. CEEAG-a, ako su potporom obuhvaćeni operativni troškovi povezani s odvojenim skupljanjem i razvrstavanjem otpada ili drugih proizvoda, materijala ili tvari u pogledu posebnih tokova otpada ili vrsta otpada radi pripreme za ponovnu uporabu ili recikliranje, navedite može li potencijalno doći do interakcije međudjelovanja potpore s bilo kojim programom proširene odgovornosti proizvođača u vašoj državi članici, opišite sve takve programe i navedite kakvo može biti međudjelovanje.</w:t>
      </w:r>
    </w:p>
    <w:p w14:paraId="3D6A34F7" w14:textId="77777777" w:rsidR="00655C0A" w:rsidRPr="00A51F47" w:rsidRDefault="00655C0A" w:rsidP="00655C0A">
      <w:pPr>
        <w:tabs>
          <w:tab w:val="left" w:leader="dot" w:pos="9072"/>
        </w:tabs>
        <w:ind w:left="567"/>
        <w:rPr>
          <w:noProof/>
        </w:rPr>
      </w:pPr>
      <w:r w:rsidRPr="00A51F47">
        <w:rPr>
          <w:noProof/>
        </w:rPr>
        <w:tab/>
      </w:r>
    </w:p>
    <w:p w14:paraId="2E7ECFE2" w14:textId="77777777" w:rsidR="00655C0A" w:rsidRPr="00A51F47" w:rsidRDefault="00655C0A" w:rsidP="00655C0A">
      <w:pPr>
        <w:pStyle w:val="Heading1"/>
        <w:numPr>
          <w:ilvl w:val="0"/>
          <w:numId w:val="9"/>
        </w:numPr>
        <w:rPr>
          <w:rFonts w:eastAsia="SimSun"/>
          <w:noProof/>
        </w:rPr>
      </w:pPr>
      <w:r w:rsidRPr="00A51F47">
        <w:rPr>
          <w:noProof/>
        </w:rPr>
        <w:t>Razmatranje pozitivnih učinaka potpore u odnosu na negativne učinke na tržišno natjecanje i trgovinu</w:t>
      </w:r>
    </w:p>
    <w:p w14:paraId="51F9D702" w14:textId="77777777" w:rsidR="00655C0A" w:rsidRPr="00A51F47" w:rsidRDefault="00655C0A" w:rsidP="00655C0A">
      <w:pPr>
        <w:pStyle w:val="paragraph"/>
        <w:spacing w:before="0" w:beforeAutospacing="0" w:after="0" w:afterAutospacing="0"/>
        <w:jc w:val="both"/>
        <w:textAlignment w:val="baseline"/>
        <w:rPr>
          <w:noProof/>
        </w:rPr>
      </w:pPr>
      <w:r w:rsidRPr="00A51F47">
        <w:rPr>
          <w:i/>
          <w:noProof/>
        </w:rPr>
        <w:t>Za unos podataka u ovom odjeljku vidjeti odjeljak 3.3. (točke od 71. do 76.) CEEAG-a.</w:t>
      </w:r>
      <w:r w:rsidRPr="00A51F47">
        <w:rPr>
          <w:i/>
          <w:noProof/>
          <w:color w:val="000000"/>
        </w:rPr>
        <w:t> </w:t>
      </w:r>
      <w:r w:rsidRPr="00A51F47">
        <w:rPr>
          <w:noProof/>
          <w:color w:val="000000"/>
        </w:rPr>
        <w:t> </w:t>
      </w:r>
    </w:p>
    <w:p w14:paraId="78BA539F" w14:textId="77777777" w:rsidR="00655C0A" w:rsidRPr="00655C0A" w:rsidRDefault="00655C0A" w:rsidP="00655C0A">
      <w:pPr>
        <w:pStyle w:val="NumPar1"/>
        <w:numPr>
          <w:ilvl w:val="0"/>
          <w:numId w:val="24"/>
        </w:numPr>
        <w:rPr>
          <w:noProof/>
        </w:rPr>
      </w:pPr>
      <w:r w:rsidRPr="00655C0A">
        <w:rPr>
          <w:noProof/>
        </w:rPr>
        <w:t>Kako bi se provjerila usklađenost s točkom 72. CEEAG-a, objasnite ispunjavaju li djelatnosti koje se podupiru u okviru prijavljene mjere kriterije za okolišno održive gospodarske djelatnosti iz članka 3. Uredbe (EU) 2020/852 Europskog parlamenta i Vijeća</w:t>
      </w:r>
      <w:r w:rsidRPr="00655C0A">
        <w:rPr>
          <w:rStyle w:val="FootnoteReference"/>
          <w:noProof/>
          <w:lang w:eastAsia="en-GB"/>
        </w:rPr>
        <w:footnoteReference w:id="13"/>
      </w:r>
      <w:r w:rsidRPr="00655C0A">
        <w:rPr>
          <w:noProof/>
        </w:rPr>
        <w:t>, uključujući načelo „ne nanosi bitnu štetu”, ili druge usporedive metodologije.</w:t>
      </w:r>
    </w:p>
    <w:p w14:paraId="1F26EA2F" w14:textId="77777777" w:rsidR="00655C0A" w:rsidRPr="00A51F47" w:rsidRDefault="00655C0A" w:rsidP="00655C0A">
      <w:pPr>
        <w:tabs>
          <w:tab w:val="left" w:leader="dot" w:pos="9072"/>
        </w:tabs>
        <w:ind w:left="567"/>
        <w:rPr>
          <w:noProof/>
        </w:rPr>
      </w:pPr>
      <w:r w:rsidRPr="00A51F47">
        <w:rPr>
          <w:noProof/>
        </w:rPr>
        <w:tab/>
      </w:r>
    </w:p>
    <w:p w14:paraId="32F2C473" w14:textId="77777777" w:rsidR="00655C0A" w:rsidRPr="00655C0A" w:rsidRDefault="00655C0A" w:rsidP="00655C0A">
      <w:pPr>
        <w:pStyle w:val="NumPar1"/>
        <w:numPr>
          <w:ilvl w:val="0"/>
          <w:numId w:val="24"/>
        </w:numPr>
        <w:rPr>
          <w:noProof/>
        </w:rPr>
      </w:pPr>
      <w:r w:rsidRPr="00655C0A">
        <w:rPr>
          <w:noProof/>
        </w:rPr>
        <w:t>(Za konkurentne natječajne postupke) objasnite jesu li uvjeti prijavljenih mjera takvi da olakšavaju sudjelovanje MSP-ova u konkurentnim natječajnim postupcima. Ako je odgovor potvrdan, navedite podatke o tim značajkama i obrazložite kako pozitivni učinci kojima se osigurava sudjelovanje MSP-ova u prijavljenim mjerama nadmašuju moguće narušavajuće učinke.</w:t>
      </w:r>
    </w:p>
    <w:p w14:paraId="26672C2C" w14:textId="77777777" w:rsidR="00655C0A" w:rsidRPr="00A51F47" w:rsidRDefault="00655C0A" w:rsidP="00655C0A">
      <w:pPr>
        <w:pStyle w:val="ManualHeading2"/>
        <w:rPr>
          <w:noProof/>
        </w:rPr>
      </w:pPr>
      <w:r w:rsidRPr="00A51F47">
        <w:rPr>
          <w:noProof/>
        </w:rPr>
        <w:t>Odjeljak C: Evaluacija</w:t>
      </w:r>
    </w:p>
    <w:p w14:paraId="5F1656E5" w14:textId="77777777" w:rsidR="00655C0A" w:rsidRPr="00A51F47" w:rsidRDefault="00655C0A" w:rsidP="00655C0A">
      <w:pPr>
        <w:spacing w:before="360"/>
        <w:rPr>
          <w:noProof/>
        </w:rPr>
      </w:pPr>
      <w:r w:rsidRPr="00A51F47">
        <w:rPr>
          <w:i/>
          <w:noProof/>
        </w:rPr>
        <w:t>Za unos podataka u ovom odjeljku vidjeti odjeljak 5. (točke od 455. do 463.) CEEAG-a.</w:t>
      </w:r>
      <w:r w:rsidRPr="00A51F47">
        <w:rPr>
          <w:i/>
          <w:noProof/>
          <w:color w:val="000000"/>
        </w:rPr>
        <w:t xml:space="preserve"> </w:t>
      </w:r>
    </w:p>
    <w:p w14:paraId="771070E5" w14:textId="77777777" w:rsidR="00655C0A" w:rsidRPr="00655C0A" w:rsidRDefault="00655C0A" w:rsidP="00655C0A">
      <w:pPr>
        <w:pStyle w:val="NumPar1"/>
        <w:numPr>
          <w:ilvl w:val="0"/>
          <w:numId w:val="24"/>
        </w:numPr>
        <w:rPr>
          <w:noProof/>
        </w:rPr>
      </w:pPr>
      <w:r w:rsidRPr="00655C0A">
        <w:rPr>
          <w:noProof/>
        </w:rPr>
        <w:t xml:space="preserve">Ako prijavljene mjere premašuju pragove proračuna/rashoda iz točke 456. CEEAG-a, objasnite zašto smatrate da bi se trebalo primjenjivati odstupanje iz točke 457. </w:t>
      </w:r>
      <w:r w:rsidRPr="00655C0A">
        <w:rPr>
          <w:noProof/>
        </w:rPr>
        <w:lastRenderedPageBreak/>
        <w:t>CEEAG-a ili priložite ovom obrascu prijave prilog koji sadržava nacrt plana evaluacije koji obuhvaća područje primjene navedeno u točki 458. CEEAG-a.</w:t>
      </w:r>
      <w:r w:rsidRPr="00655C0A">
        <w:rPr>
          <w:rStyle w:val="FootnoteReference"/>
          <w:noProof/>
          <w:lang w:eastAsia="en-GB"/>
        </w:rPr>
        <w:footnoteReference w:id="14"/>
      </w:r>
      <w:r w:rsidRPr="00655C0A">
        <w:rPr>
          <w:noProof/>
        </w:rPr>
        <w:t xml:space="preserve"> </w:t>
      </w:r>
    </w:p>
    <w:p w14:paraId="4CC7FC00" w14:textId="77777777" w:rsidR="00655C0A" w:rsidRPr="00A51F47" w:rsidRDefault="00655C0A" w:rsidP="00655C0A">
      <w:pPr>
        <w:tabs>
          <w:tab w:val="left" w:leader="dot" w:pos="9072"/>
        </w:tabs>
        <w:ind w:left="567"/>
        <w:rPr>
          <w:noProof/>
        </w:rPr>
      </w:pPr>
      <w:r w:rsidRPr="00A51F47">
        <w:rPr>
          <w:noProof/>
        </w:rPr>
        <w:tab/>
      </w:r>
    </w:p>
    <w:p w14:paraId="2F1B5AC0" w14:textId="77777777" w:rsidR="00655C0A" w:rsidRPr="00655C0A" w:rsidRDefault="00655C0A" w:rsidP="00655C0A">
      <w:pPr>
        <w:pStyle w:val="NumPar1"/>
        <w:numPr>
          <w:ilvl w:val="0"/>
          <w:numId w:val="24"/>
        </w:numPr>
        <w:rPr>
          <w:noProof/>
        </w:rPr>
      </w:pPr>
      <w:r w:rsidRPr="00655C0A">
        <w:rPr>
          <w:noProof/>
        </w:rPr>
        <w:t xml:space="preserve">Ako je dostavljen nacrt plana evaluacije: </w:t>
      </w:r>
    </w:p>
    <w:p w14:paraId="47754DEB" w14:textId="77777777" w:rsidR="00655C0A" w:rsidRPr="00A51F47" w:rsidRDefault="00655C0A" w:rsidP="00655C0A">
      <w:pPr>
        <w:pStyle w:val="Point1letter"/>
        <w:numPr>
          <w:ilvl w:val="3"/>
          <w:numId w:val="43"/>
        </w:numPr>
        <w:rPr>
          <w:noProof/>
        </w:rPr>
      </w:pPr>
      <w:r w:rsidRPr="00A51F47">
        <w:rPr>
          <w:noProof/>
        </w:rPr>
        <w:t xml:space="preserve">sažeto opišite nacrt plana evaluacije iz Priloga; </w:t>
      </w:r>
    </w:p>
    <w:p w14:paraId="7A3B05DC" w14:textId="77777777" w:rsidR="00655C0A" w:rsidRPr="00A51F47" w:rsidRDefault="00655C0A" w:rsidP="00655C0A">
      <w:pPr>
        <w:tabs>
          <w:tab w:val="left" w:leader="dot" w:pos="9072"/>
        </w:tabs>
        <w:ind w:left="567"/>
        <w:rPr>
          <w:noProof/>
        </w:rPr>
      </w:pPr>
      <w:r w:rsidRPr="00A51F47">
        <w:rPr>
          <w:noProof/>
        </w:rPr>
        <w:tab/>
      </w:r>
    </w:p>
    <w:p w14:paraId="455CD2CA" w14:textId="77777777" w:rsidR="00655C0A" w:rsidRPr="00A51F47" w:rsidRDefault="00655C0A" w:rsidP="00655C0A">
      <w:pPr>
        <w:pStyle w:val="Point1letter"/>
        <w:numPr>
          <w:ilvl w:val="3"/>
          <w:numId w:val="49"/>
        </w:numPr>
        <w:rPr>
          <w:noProof/>
        </w:rPr>
      </w:pPr>
      <w:r w:rsidRPr="00A51F47">
        <w:rPr>
          <w:noProof/>
        </w:rPr>
        <w:t>potvrdite da će se poštovati odredbe iz točke 460. CEEAG-a;</w:t>
      </w:r>
    </w:p>
    <w:p w14:paraId="150F719E" w14:textId="77777777" w:rsidR="00655C0A" w:rsidRPr="00A51F47" w:rsidRDefault="00655C0A" w:rsidP="00655C0A">
      <w:pPr>
        <w:tabs>
          <w:tab w:val="left" w:leader="dot" w:pos="9072"/>
        </w:tabs>
        <w:ind w:left="567"/>
        <w:rPr>
          <w:noProof/>
        </w:rPr>
      </w:pPr>
      <w:r w:rsidRPr="00A51F47">
        <w:rPr>
          <w:noProof/>
        </w:rPr>
        <w:tab/>
      </w:r>
    </w:p>
    <w:p w14:paraId="0C8672E6" w14:textId="77777777" w:rsidR="00655C0A" w:rsidRPr="00A51F47" w:rsidRDefault="00655C0A" w:rsidP="00655C0A">
      <w:pPr>
        <w:pStyle w:val="Point1letter"/>
        <w:numPr>
          <w:ilvl w:val="3"/>
          <w:numId w:val="49"/>
        </w:numPr>
        <w:rPr>
          <w:noProof/>
        </w:rPr>
      </w:pPr>
      <w:r w:rsidRPr="00A51F47">
        <w:rPr>
          <w:noProof/>
        </w:rPr>
        <w:t xml:space="preserve">navedite datum i poveznicu na internetske stranice na kojima će plan evaluacije biti javno dostupan. </w:t>
      </w:r>
    </w:p>
    <w:p w14:paraId="1CF29362" w14:textId="77777777" w:rsidR="00655C0A" w:rsidRPr="00A51F47" w:rsidRDefault="00655C0A" w:rsidP="00655C0A">
      <w:pPr>
        <w:tabs>
          <w:tab w:val="left" w:leader="dot" w:pos="9072"/>
        </w:tabs>
        <w:ind w:left="567"/>
        <w:rPr>
          <w:noProof/>
        </w:rPr>
      </w:pPr>
      <w:r w:rsidRPr="00A51F47">
        <w:rPr>
          <w:noProof/>
        </w:rPr>
        <w:tab/>
      </w:r>
    </w:p>
    <w:p w14:paraId="210CE86D" w14:textId="77777777" w:rsidR="00655C0A" w:rsidRPr="00655C0A" w:rsidRDefault="00655C0A" w:rsidP="00655C0A">
      <w:pPr>
        <w:pStyle w:val="NumPar1"/>
        <w:numPr>
          <w:ilvl w:val="0"/>
          <w:numId w:val="24"/>
        </w:numPr>
        <w:rPr>
          <w:noProof/>
        </w:rPr>
      </w:pPr>
      <w:r w:rsidRPr="00655C0A">
        <w:rPr>
          <w:noProof/>
        </w:rPr>
        <w:t xml:space="preserve">Kako bi se provjerila usklađenost s točkom 459. podtočkom (b) CEEAG-a, ako za program potpore nije potrebna </w:t>
      </w:r>
      <w:r w:rsidRPr="00655C0A">
        <w:rPr>
          <w:i/>
          <w:noProof/>
        </w:rPr>
        <w:t>ex post</w:t>
      </w:r>
      <w:r w:rsidRPr="00655C0A">
        <w:rPr>
          <w:noProof/>
        </w:rPr>
        <w:t xml:space="preserve"> evaluacija, a njegovo trajanje premašuje tri godine, potvrdite da ćete dostaviti nacrt plana evaluacije u roku od 30 radnih dana nakon znatne izmjene kojom se proračun programa povećava na više od 150 milijuna EUR u bilo kojoj godini ili 750 milijuna EUR tijekom ukupnog trajanja programa. </w:t>
      </w:r>
    </w:p>
    <w:p w14:paraId="073D5E90" w14:textId="77777777" w:rsidR="00655C0A" w:rsidRPr="00A51F47" w:rsidRDefault="00655C0A" w:rsidP="00655C0A">
      <w:pPr>
        <w:tabs>
          <w:tab w:val="left" w:leader="dot" w:pos="9072"/>
        </w:tabs>
        <w:ind w:left="567"/>
        <w:rPr>
          <w:noProof/>
        </w:rPr>
      </w:pPr>
      <w:r w:rsidRPr="00A51F47">
        <w:rPr>
          <w:noProof/>
        </w:rPr>
        <w:tab/>
      </w:r>
    </w:p>
    <w:p w14:paraId="5861804B" w14:textId="77777777" w:rsidR="00655C0A" w:rsidRPr="00655C0A" w:rsidRDefault="00655C0A" w:rsidP="00655C0A">
      <w:pPr>
        <w:pStyle w:val="NumPar1"/>
        <w:numPr>
          <w:ilvl w:val="0"/>
          <w:numId w:val="24"/>
        </w:numPr>
        <w:rPr>
          <w:noProof/>
        </w:rPr>
      </w:pPr>
      <w:r w:rsidRPr="00655C0A">
        <w:rPr>
          <w:noProof/>
        </w:rPr>
        <w:t xml:space="preserve">Kako bi se provjerila usklađenost s točkom 459. podtočkom (c) CEEAG-a, ako za program potpore trenutačno nije potrebna </w:t>
      </w:r>
      <w:r w:rsidRPr="00655C0A">
        <w:rPr>
          <w:i/>
          <w:noProof/>
        </w:rPr>
        <w:t>ex post</w:t>
      </w:r>
      <w:r w:rsidRPr="00655C0A">
        <w:rPr>
          <w:noProof/>
        </w:rPr>
        <w:t xml:space="preserve"> evaluacija, u nastavku potvrdite da se država članica obvezuje dostaviti nacrt plana evaluacije </w:t>
      </w:r>
      <w:r w:rsidRPr="00655C0A">
        <w:rPr>
          <w:noProof/>
          <w:shd w:val="clear" w:color="auto" w:fill="FFFFFF"/>
        </w:rPr>
        <w:t>u roku od 30 radnih dana nakon što su u službenoj računovodstvenoj dokumentaciji uknjiženi rashodi koji premašuju 150 milijuna EUR u prethodnoj godini.</w:t>
      </w:r>
      <w:r w:rsidRPr="00655C0A">
        <w:rPr>
          <w:noProof/>
        </w:rPr>
        <w:t xml:space="preserve"> </w:t>
      </w:r>
    </w:p>
    <w:p w14:paraId="2F83B01D" w14:textId="77777777" w:rsidR="00655C0A" w:rsidRPr="00A51F47" w:rsidRDefault="00655C0A" w:rsidP="00655C0A">
      <w:pPr>
        <w:tabs>
          <w:tab w:val="left" w:leader="dot" w:pos="9072"/>
        </w:tabs>
        <w:ind w:left="567"/>
        <w:rPr>
          <w:noProof/>
        </w:rPr>
      </w:pPr>
      <w:r w:rsidRPr="00A51F47">
        <w:rPr>
          <w:noProof/>
        </w:rPr>
        <w:tab/>
      </w:r>
    </w:p>
    <w:p w14:paraId="6A080D78" w14:textId="77777777" w:rsidR="00655C0A" w:rsidRPr="00655C0A" w:rsidRDefault="00655C0A" w:rsidP="00655C0A">
      <w:pPr>
        <w:pStyle w:val="NumPar1"/>
        <w:numPr>
          <w:ilvl w:val="0"/>
          <w:numId w:val="24"/>
        </w:numPr>
        <w:rPr>
          <w:noProof/>
        </w:rPr>
      </w:pPr>
      <w:r w:rsidRPr="00655C0A">
        <w:rPr>
          <w:noProof/>
        </w:rPr>
        <w:t xml:space="preserve">Kako bi se potvrdila usklađenost s točkom 461. CEEAG-a: </w:t>
      </w:r>
    </w:p>
    <w:p w14:paraId="51F992A1" w14:textId="77777777" w:rsidR="00655C0A" w:rsidRPr="00A51F47" w:rsidRDefault="00655C0A" w:rsidP="00655C0A">
      <w:pPr>
        <w:pStyle w:val="Point1letter"/>
        <w:numPr>
          <w:ilvl w:val="3"/>
          <w:numId w:val="44"/>
        </w:numPr>
        <w:rPr>
          <w:noProof/>
        </w:rPr>
      </w:pPr>
      <w:r w:rsidRPr="00A51F47">
        <w:rPr>
          <w:noProof/>
        </w:rPr>
        <w:t>navedite je li neovisni stručnjak već odabran ili će biti odabran u budućnosti;</w:t>
      </w:r>
    </w:p>
    <w:p w14:paraId="6E7B02C0" w14:textId="77777777" w:rsidR="00655C0A" w:rsidRPr="00A51F47" w:rsidRDefault="00655C0A" w:rsidP="00655C0A">
      <w:pPr>
        <w:tabs>
          <w:tab w:val="left" w:leader="dot" w:pos="9072"/>
        </w:tabs>
        <w:ind w:left="567"/>
        <w:rPr>
          <w:noProof/>
        </w:rPr>
      </w:pPr>
      <w:r w:rsidRPr="00A51F47">
        <w:rPr>
          <w:noProof/>
        </w:rPr>
        <w:tab/>
      </w:r>
    </w:p>
    <w:p w14:paraId="00257EE8" w14:textId="77777777" w:rsidR="00655C0A" w:rsidRPr="00A51F47" w:rsidRDefault="00655C0A" w:rsidP="00655C0A">
      <w:pPr>
        <w:pStyle w:val="Point1letter"/>
        <w:numPr>
          <w:ilvl w:val="3"/>
          <w:numId w:val="49"/>
        </w:numPr>
        <w:rPr>
          <w:noProof/>
        </w:rPr>
      </w:pPr>
      <w:r w:rsidRPr="00A51F47">
        <w:rPr>
          <w:noProof/>
        </w:rPr>
        <w:t>unesite podatke o postupku odabira stručnjaka;</w:t>
      </w:r>
    </w:p>
    <w:p w14:paraId="39824733" w14:textId="77777777" w:rsidR="00655C0A" w:rsidRPr="00A51F47" w:rsidRDefault="00655C0A" w:rsidP="00655C0A">
      <w:pPr>
        <w:tabs>
          <w:tab w:val="left" w:leader="dot" w:pos="9072"/>
        </w:tabs>
        <w:ind w:left="567"/>
        <w:rPr>
          <w:noProof/>
        </w:rPr>
      </w:pPr>
      <w:r w:rsidRPr="00A51F47">
        <w:rPr>
          <w:noProof/>
        </w:rPr>
        <w:tab/>
      </w:r>
    </w:p>
    <w:p w14:paraId="55F23CDB" w14:textId="77777777" w:rsidR="00655C0A" w:rsidRPr="00A51F47" w:rsidRDefault="00655C0A" w:rsidP="00655C0A">
      <w:pPr>
        <w:pStyle w:val="Point1letter"/>
        <w:numPr>
          <w:ilvl w:val="3"/>
          <w:numId w:val="49"/>
        </w:numPr>
        <w:rPr>
          <w:noProof/>
        </w:rPr>
      </w:pPr>
      <w:r w:rsidRPr="00A51F47">
        <w:rPr>
          <w:noProof/>
        </w:rPr>
        <w:t xml:space="preserve">obrazložite na koji je način stručnjak neovisan o davatelju potpore. </w:t>
      </w:r>
    </w:p>
    <w:p w14:paraId="491570CE" w14:textId="77777777" w:rsidR="00655C0A" w:rsidRPr="00A51F47" w:rsidRDefault="00655C0A" w:rsidP="00655C0A">
      <w:pPr>
        <w:tabs>
          <w:tab w:val="left" w:leader="dot" w:pos="9072"/>
        </w:tabs>
        <w:ind w:left="567"/>
        <w:rPr>
          <w:noProof/>
        </w:rPr>
      </w:pPr>
      <w:r w:rsidRPr="00A51F47">
        <w:rPr>
          <w:noProof/>
        </w:rPr>
        <w:tab/>
      </w:r>
    </w:p>
    <w:p w14:paraId="5695611B" w14:textId="77777777" w:rsidR="00655C0A" w:rsidRPr="00655C0A" w:rsidRDefault="00655C0A" w:rsidP="00655C0A">
      <w:pPr>
        <w:pStyle w:val="NumPar1"/>
        <w:numPr>
          <w:ilvl w:val="0"/>
          <w:numId w:val="24"/>
        </w:numPr>
        <w:rPr>
          <w:noProof/>
        </w:rPr>
      </w:pPr>
      <w:r w:rsidRPr="00655C0A">
        <w:rPr>
          <w:noProof/>
        </w:rPr>
        <w:t xml:space="preserve">Kako bi se potvrdila usklađenost s točkom 461. CEEAG-a: </w:t>
      </w:r>
    </w:p>
    <w:p w14:paraId="3BBB3395" w14:textId="77777777" w:rsidR="00655C0A" w:rsidRPr="00A51F47" w:rsidRDefault="00655C0A" w:rsidP="00655C0A">
      <w:pPr>
        <w:pStyle w:val="Point1letter"/>
        <w:numPr>
          <w:ilvl w:val="3"/>
          <w:numId w:val="45"/>
        </w:numPr>
        <w:rPr>
          <w:noProof/>
        </w:rPr>
      </w:pPr>
      <w:r w:rsidRPr="00A51F47">
        <w:rPr>
          <w:noProof/>
        </w:rPr>
        <w:t xml:space="preserve">navedite predložene rokove za podnošenje privremenog i završnog izvješća o evaluaciji. Napominjemo da se završno izvješće o evaluaciji mora pravodobno dostaviti Komisiji kako bi se omogućila ocjena mogućeg produljenja programa potpore, i to najkasnije devet mjeseci prije njegova isteka, u skladu s točkom 463. CEEAG-a. Napominjemo i da bi se taj rok mogao skratiti za </w:t>
      </w:r>
      <w:r w:rsidRPr="00A51F47">
        <w:rPr>
          <w:noProof/>
        </w:rPr>
        <w:lastRenderedPageBreak/>
        <w:t>programe za koje se zahtjev za evaluaciju aktivira u posljednje dvije godine provedbe;</w:t>
      </w:r>
    </w:p>
    <w:p w14:paraId="17B6AEC0" w14:textId="77777777" w:rsidR="00655C0A" w:rsidRPr="00A51F47" w:rsidRDefault="00655C0A" w:rsidP="00655C0A">
      <w:pPr>
        <w:tabs>
          <w:tab w:val="left" w:leader="dot" w:pos="9072"/>
        </w:tabs>
        <w:ind w:left="567"/>
        <w:rPr>
          <w:noProof/>
        </w:rPr>
      </w:pPr>
      <w:r w:rsidRPr="00A51F47">
        <w:rPr>
          <w:noProof/>
        </w:rPr>
        <w:t xml:space="preserve"> </w:t>
      </w:r>
      <w:r w:rsidRPr="00A51F47">
        <w:rPr>
          <w:noProof/>
        </w:rPr>
        <w:tab/>
      </w:r>
    </w:p>
    <w:p w14:paraId="565ACA80" w14:textId="77777777" w:rsidR="00655C0A" w:rsidRPr="00A51F47" w:rsidRDefault="00655C0A" w:rsidP="00655C0A">
      <w:pPr>
        <w:pStyle w:val="Point1letter"/>
        <w:numPr>
          <w:ilvl w:val="3"/>
          <w:numId w:val="44"/>
        </w:numPr>
        <w:rPr>
          <w:noProof/>
        </w:rPr>
      </w:pPr>
      <w:r w:rsidRPr="00A51F47">
        <w:rPr>
          <w:noProof/>
        </w:rPr>
        <w:t xml:space="preserve">potvrdite da će privremeno i završno izvješće o evaluaciji biti objavljeno. Navedite datum i internetsku poveznicu na kojoj će ta izvješća biti dostupna javnosti. </w:t>
      </w:r>
    </w:p>
    <w:p w14:paraId="741766AA" w14:textId="77777777" w:rsidR="00655C0A" w:rsidRPr="00A51F47" w:rsidRDefault="00655C0A" w:rsidP="00655C0A">
      <w:pPr>
        <w:tabs>
          <w:tab w:val="left" w:leader="dot" w:pos="9072"/>
        </w:tabs>
        <w:ind w:left="567"/>
        <w:rPr>
          <w:noProof/>
        </w:rPr>
      </w:pPr>
      <w:r w:rsidRPr="00A51F47">
        <w:rPr>
          <w:noProof/>
        </w:rPr>
        <w:tab/>
      </w:r>
    </w:p>
    <w:p w14:paraId="40CA839D" w14:textId="77777777" w:rsidR="00655C0A" w:rsidRPr="00A51F47" w:rsidRDefault="00655C0A" w:rsidP="00655C0A">
      <w:pPr>
        <w:pStyle w:val="ManualHeading2"/>
        <w:rPr>
          <w:noProof/>
        </w:rPr>
      </w:pPr>
      <w:r w:rsidRPr="00A51F47">
        <w:rPr>
          <w:noProof/>
        </w:rPr>
        <w:t>Odjeljak D: Izvješćivanje i praćenje</w:t>
      </w:r>
    </w:p>
    <w:p w14:paraId="3428019E" w14:textId="77777777" w:rsidR="00655C0A" w:rsidRPr="00A51F47" w:rsidRDefault="00655C0A" w:rsidP="00655C0A">
      <w:pPr>
        <w:pStyle w:val="ListParagraph"/>
        <w:ind w:left="0"/>
        <w:contextualSpacing w:val="0"/>
        <w:rPr>
          <w:i/>
          <w:iCs/>
          <w:noProof/>
        </w:rPr>
      </w:pPr>
      <w:r w:rsidRPr="00A51F47">
        <w:rPr>
          <w:i/>
          <w:noProof/>
        </w:rPr>
        <w:t>Za unos podataka u ovom odjeljku vidjeti odjeljak 6. (točke 464. i 465.) CEEAG-a.</w:t>
      </w:r>
    </w:p>
    <w:p w14:paraId="7DD2CD3B" w14:textId="77777777" w:rsidR="00655C0A" w:rsidRPr="00655C0A" w:rsidRDefault="00655C0A" w:rsidP="00655C0A">
      <w:pPr>
        <w:pStyle w:val="NumPar1"/>
        <w:numPr>
          <w:ilvl w:val="0"/>
          <w:numId w:val="24"/>
        </w:numPr>
        <w:rPr>
          <w:noProof/>
        </w:rPr>
      </w:pPr>
      <w:r w:rsidRPr="00655C0A">
        <w:rPr>
          <w:noProof/>
        </w:rPr>
        <w:t xml:space="preserve">Potvrdite da će država članica ispuniti zahtjeve za izvješćivanje i praćenje iz odjeljka 6. točaka 464. i 465. CEEAG-a. </w:t>
      </w:r>
    </w:p>
    <w:p w14:paraId="1B18518A" w14:textId="77777777" w:rsidR="00655C0A" w:rsidRPr="00A51F47" w:rsidRDefault="00655C0A" w:rsidP="00655C0A">
      <w:pPr>
        <w:tabs>
          <w:tab w:val="left" w:leader="dot" w:pos="9072"/>
        </w:tabs>
        <w:ind w:left="567"/>
        <w:rPr>
          <w:noProof/>
        </w:rPr>
      </w:pPr>
      <w:r w:rsidRPr="00A51F47">
        <w:rPr>
          <w:noProof/>
        </w:rPr>
        <w:tab/>
      </w:r>
    </w:p>
    <w:p w14:paraId="6C34B90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62BFF" w14:textId="77777777" w:rsidR="00655C0A" w:rsidRDefault="00655C0A" w:rsidP="00655C0A">
      <w:pPr>
        <w:spacing w:before="0" w:after="0"/>
      </w:pPr>
      <w:r>
        <w:separator/>
      </w:r>
    </w:p>
  </w:endnote>
  <w:endnote w:type="continuationSeparator" w:id="0">
    <w:p w14:paraId="4C23D31F" w14:textId="77777777" w:rsidR="00655C0A" w:rsidRDefault="00655C0A" w:rsidP="00655C0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A7F91" w14:textId="77777777" w:rsidR="00655C0A" w:rsidRDefault="00655C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CC1BF" w14:textId="47376722" w:rsidR="00655C0A" w:rsidRDefault="00655C0A" w:rsidP="00655C0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0F28D" w14:textId="77777777" w:rsidR="00655C0A" w:rsidRDefault="00655C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EF6D0" w14:textId="77777777" w:rsidR="00655C0A" w:rsidRDefault="00655C0A" w:rsidP="00655C0A">
      <w:pPr>
        <w:spacing w:before="0" w:after="0"/>
      </w:pPr>
      <w:r>
        <w:separator/>
      </w:r>
    </w:p>
  </w:footnote>
  <w:footnote w:type="continuationSeparator" w:id="0">
    <w:p w14:paraId="3BFBE2DC" w14:textId="77777777" w:rsidR="00655C0A" w:rsidRDefault="00655C0A" w:rsidP="00655C0A">
      <w:pPr>
        <w:spacing w:before="0" w:after="0"/>
      </w:pPr>
      <w:r>
        <w:continuationSeparator/>
      </w:r>
    </w:p>
  </w:footnote>
  <w:footnote w:id="1">
    <w:p w14:paraId="0EFCCD6A" w14:textId="77777777" w:rsidR="00655C0A" w:rsidRDefault="00655C0A" w:rsidP="00655C0A">
      <w:pPr>
        <w:pStyle w:val="FootnoteText"/>
      </w:pPr>
      <w:r>
        <w:rPr>
          <w:rStyle w:val="FootnoteReference"/>
        </w:rPr>
        <w:footnoteRef/>
      </w:r>
      <w:r>
        <w:tab/>
        <w:t xml:space="preserve">Napominjemo da se za program potpora trajanje odnosi na razdoblje tijekom kojeg se može podnijeti zahtjev za potporu i u kojem se o njemu odlučuje (uključujući vrijeme koje je nacionalnim tijelima potrebno za odobravanje zahtjeva za potporu). Trajanje navedeno u ovom pitanju ne odnosi se na trajanje ugovora sklopljenih u okviru programa potpore, koje se može nastaviti i nakon isteka mjere. </w:t>
      </w:r>
    </w:p>
  </w:footnote>
  <w:footnote w:id="2">
    <w:p w14:paraId="13610A6A" w14:textId="77777777" w:rsidR="00655C0A" w:rsidRPr="0067348B" w:rsidRDefault="00655C0A" w:rsidP="00655C0A">
      <w:pPr>
        <w:pStyle w:val="FootnoteText"/>
      </w:pPr>
      <w:r>
        <w:rPr>
          <w:rStyle w:val="FootnoteReference"/>
        </w:rPr>
        <w:footnoteRef/>
      </w:r>
      <w:r>
        <w:tab/>
        <w:t>Napominjemo da promjena stvarnog ili procijenjenog proračuna može činiti izmjenu potpore za koju je potrebno podnijeti novu prijavu.</w:t>
      </w:r>
    </w:p>
  </w:footnote>
  <w:footnote w:id="3">
    <w:p w14:paraId="0CD9531C" w14:textId="77777777" w:rsidR="00655C0A" w:rsidRPr="00CF158B" w:rsidRDefault="00655C0A" w:rsidP="00655C0A">
      <w:pPr>
        <w:pStyle w:val="FootnoteText"/>
      </w:pPr>
      <w:r w:rsidRPr="003C3A19">
        <w:rPr>
          <w:rStyle w:val="FootnoteReference"/>
        </w:rPr>
        <w:footnoteRef/>
      </w:r>
      <w:r>
        <w:tab/>
        <w:t>Napominjemo da točke 38., 52., 165., 166. i 167. te bilješke 39. i 45. CEEAG-a sadržavaju dodatne smjernice za utvrđivanje vjerojatnog protučinjeničnog scenarija.</w:t>
      </w:r>
    </w:p>
  </w:footnote>
  <w:footnote w:id="4">
    <w:p w14:paraId="08562168" w14:textId="77777777" w:rsidR="00655C0A" w:rsidRPr="00114695" w:rsidRDefault="00655C0A" w:rsidP="00655C0A">
      <w:pPr>
        <w:pStyle w:val="FootnoteText"/>
      </w:pPr>
      <w:r w:rsidRPr="003C3A19">
        <w:rPr>
          <w:rStyle w:val="FootnoteReference"/>
        </w:rPr>
        <w:footnoteRef/>
      </w:r>
      <w:r>
        <w:tab/>
        <w:t>„Referentni projekt” definiran je u točki 19. podtočki 63. CEEAG-a.</w:t>
      </w:r>
    </w:p>
  </w:footnote>
  <w:footnote w:id="5">
    <w:p w14:paraId="6B4C4A27" w14:textId="77777777" w:rsidR="00655C0A" w:rsidRDefault="00655C0A" w:rsidP="00655C0A">
      <w:pPr>
        <w:pStyle w:val="FootnoteText"/>
      </w:pPr>
      <w:r w:rsidRPr="003C3A19">
        <w:rPr>
          <w:rStyle w:val="FootnoteReference"/>
        </w:rPr>
        <w:footnoteRef/>
      </w:r>
      <w:r>
        <w:tab/>
        <w:t>Ako se oslanjate na nedavni natječajni postupak, objasnite kako se on može smatrati konkurentnim, uključujući način na koji je izbjegnuta nepredviđena dobit za različite tehnologije uključene u njega, ako je primjenjivo, i na temelju čega je usporediv, na primjer:</w:t>
      </w:r>
    </w:p>
    <w:p w14:paraId="68C59CEC" w14:textId="77777777" w:rsidR="00655C0A" w:rsidRDefault="00655C0A" w:rsidP="00655C0A">
      <w:pPr>
        <w:pStyle w:val="FootnoteText"/>
        <w:numPr>
          <w:ilvl w:val="0"/>
          <w:numId w:val="47"/>
        </w:numPr>
        <w:spacing w:before="0"/>
      </w:pPr>
      <w:r>
        <w:t>Jesu li uvjeti (npr. uvjeti i trajanje ugovora, rokovi ulaganja, jesu li plaćanja potpore indeksirana prema inflaciji) slični onima predloženima u prijavljenoj mjeri?</w:t>
      </w:r>
    </w:p>
    <w:p w14:paraId="0021F32A" w14:textId="77777777" w:rsidR="00655C0A" w:rsidRDefault="00655C0A" w:rsidP="00655C0A">
      <w:pPr>
        <w:pStyle w:val="FootnoteText"/>
        <w:numPr>
          <w:ilvl w:val="0"/>
          <w:numId w:val="47"/>
        </w:numPr>
        <w:spacing w:before="0"/>
      </w:pPr>
      <w:r>
        <w:t>Je li natječajni postupak proveden u sličnim makroekonomskim uvjetima?</w:t>
      </w:r>
    </w:p>
    <w:p w14:paraId="317A352D" w14:textId="77777777" w:rsidR="00655C0A" w:rsidRDefault="00655C0A" w:rsidP="00655C0A">
      <w:pPr>
        <w:pStyle w:val="FootnoteText"/>
        <w:numPr>
          <w:ilvl w:val="0"/>
          <w:numId w:val="47"/>
        </w:numPr>
        <w:spacing w:before="0"/>
      </w:pPr>
      <w:r>
        <w:t>Jesu li tehnologije / vrste projekata slične?</w:t>
      </w:r>
    </w:p>
  </w:footnote>
  <w:footnote w:id="6">
    <w:p w14:paraId="3856CB8D" w14:textId="77777777" w:rsidR="00655C0A" w:rsidRDefault="00655C0A" w:rsidP="00655C0A">
      <w:pPr>
        <w:pStyle w:val="FootnoteText"/>
      </w:pPr>
      <w:r w:rsidRPr="003C3A19">
        <w:rPr>
          <w:rStyle w:val="FootnoteReference"/>
        </w:rPr>
        <w:footnoteRef/>
      </w:r>
      <w:r>
        <w:tab/>
        <w:t>U skladu s točkom 19. podtočkom 89. CEEAG-a „norma Unije” znači:</w:t>
      </w:r>
    </w:p>
    <w:p w14:paraId="74CBBE08" w14:textId="77777777" w:rsidR="00655C0A" w:rsidRPr="004B74BC" w:rsidRDefault="00655C0A" w:rsidP="00655C0A">
      <w:pPr>
        <w:pStyle w:val="FootnoteText"/>
        <w:numPr>
          <w:ilvl w:val="0"/>
          <w:numId w:val="46"/>
        </w:numPr>
        <w:spacing w:before="0"/>
        <w:rPr>
          <w:i/>
        </w:rPr>
      </w:pPr>
      <w:r>
        <w:rPr>
          <w:i/>
        </w:rPr>
        <w:t>„obvezna norma Unije kojom se utvrđuju razine koje pojedini poduzetnici trebaju postići u smislu zaštite okoliša, isključujući norme ili ciljeve utvrđene na razini Unije koji su obvezujući za države članice, ali ne i za pojedinačne poduzetnike;</w:t>
      </w:r>
    </w:p>
    <w:p w14:paraId="474622A1" w14:textId="77777777" w:rsidR="00655C0A" w:rsidRDefault="00655C0A" w:rsidP="00655C0A">
      <w:pPr>
        <w:pStyle w:val="FootnoteText"/>
        <w:numPr>
          <w:ilvl w:val="0"/>
          <w:numId w:val="46"/>
        </w:numPr>
        <w:spacing w:before="0"/>
      </w:pPr>
      <w:r>
        <w:rPr>
          <w:i/>
        </w:rPr>
        <w:t>obveza uporabe najboljih raspoloživih tehnika (NRT), kako su definirane u Direktivi 2010/75/EU, i osiguravanja da razine emisija onečišćujućih tvari nisu više nego što bi bile uz primjenu NRT-a; ako su razine emisija povezane s NRT-om utvrđene u provedbenim aktima donesenima na temelju Direktive 2010/75/EU ili drugih primjenjivih direktiva, te će razine biti primjenjive za potrebe ovih Smjernica; ako su te razine izražene kao raspon, primjenjivat će se granica postizanja NRT-a za predmetnog poduzetnika”.</w:t>
      </w:r>
    </w:p>
  </w:footnote>
  <w:footnote w:id="7">
    <w:p w14:paraId="68AB5FB7" w14:textId="77777777" w:rsidR="00655C0A" w:rsidRPr="001A577D" w:rsidRDefault="00655C0A" w:rsidP="00655C0A">
      <w:pPr>
        <w:pStyle w:val="FootnoteText"/>
      </w:pPr>
      <w:r w:rsidRPr="003C3A19">
        <w:rPr>
          <w:rStyle w:val="FootnoteReference"/>
        </w:rPr>
        <w:footnoteRef/>
      </w:r>
      <w:r>
        <w:tab/>
        <w:t xml:space="preserve">Ako se dostave odgovarajući dokazi, može se uzeti u obzir i posebna situacija na razini regija o kojima je riječ. </w:t>
      </w:r>
    </w:p>
  </w:footnote>
  <w:footnote w:id="8">
    <w:p w14:paraId="1183D888" w14:textId="77777777" w:rsidR="00655C0A" w:rsidRPr="0012122C" w:rsidRDefault="00655C0A" w:rsidP="00655C0A">
      <w:pPr>
        <w:pStyle w:val="FootnoteText"/>
      </w:pPr>
      <w:r w:rsidRPr="003C3A19">
        <w:rPr>
          <w:rStyle w:val="FootnoteReference"/>
        </w:rPr>
        <w:footnoteRef/>
      </w:r>
      <w:r>
        <w:tab/>
        <w:t>Te bi se osobine mogle na primjer dokazati na osnovi detaljnog opisa inovacije i tržišnih uvjeta za njezino uvođenje ili širenje, uspoređujući je s postupcima ili organizacijskim tehnikama koji se smatraju vrhunskom tehnologijom i koje općenito upotrebljavaju drugi poduzetnici u istoj industriji.</w:t>
      </w:r>
    </w:p>
  </w:footnote>
  <w:footnote w:id="9">
    <w:p w14:paraId="0A16A636" w14:textId="77777777" w:rsidR="00655C0A" w:rsidRPr="003E2299" w:rsidRDefault="00655C0A" w:rsidP="00655C0A">
      <w:pPr>
        <w:pStyle w:val="FootnoteText"/>
      </w:pPr>
      <w:r w:rsidRPr="003C3A19">
        <w:rPr>
          <w:rStyle w:val="FootnoteReference"/>
        </w:rPr>
        <w:footnoteRef/>
      </w:r>
      <w:r>
        <w:tab/>
        <w:t>Ako se za usporedbu ekološki inovativnih djelatnosti sa standardnim, neinovativnim djelatnostima mogu upotrebljavati količinski parametri, „znatno viši” znači da bi granično poboljšanje koje se očekuje od ekološki inovativnih djelatnosti u pogledu smanjenog ekološkog rizika ili onečišćenja ili poboljšane učinkovitosti u potrošnji energije ili resursa trebalo biti najmanje dvostruko više od graničnog poboljšanja koje se očekuje od općeg razvoja usporedivih neinovativnih djelatnosti. Ako predloženi pristup nije primjeren za određeni slučaj ili ako nije moguća količinska usporedba, zahtjev za državnu potporu trebao bi sadržavati detaljan opis metode koja se upotrebljava za procjenu tog kriterija i kojom se osigurava standard usporediv sa standardom predložene metode.</w:t>
      </w:r>
    </w:p>
  </w:footnote>
  <w:footnote w:id="10">
    <w:p w14:paraId="21F32010" w14:textId="77777777" w:rsidR="00655C0A" w:rsidRPr="003E2299" w:rsidRDefault="00655C0A" w:rsidP="00655C0A">
      <w:pPr>
        <w:pStyle w:val="FootnoteText"/>
      </w:pPr>
      <w:r w:rsidRPr="003C3A19">
        <w:rPr>
          <w:rStyle w:val="FootnoteReference"/>
        </w:rPr>
        <w:footnoteRef/>
      </w:r>
      <w:r>
        <w:tab/>
        <w:t>Taj rizik država članica može, na primjer, dokazati u obliku troškova u odnosu na promet poduzetnika, vremena potrebnog za razvoj, očekivane dobiti od djelatnosti ekoloških inovacija u usporedbi s troškovima i vjerojatnosti neuspjeha.</w:t>
      </w:r>
    </w:p>
  </w:footnote>
  <w:footnote w:id="11">
    <w:p w14:paraId="0721D35E" w14:textId="77777777" w:rsidR="00655C0A" w:rsidRPr="0095488F" w:rsidRDefault="00655C0A" w:rsidP="00655C0A">
      <w:pPr>
        <w:pStyle w:val="FootnoteText"/>
      </w:pPr>
      <w:r w:rsidRPr="003C3A19">
        <w:rPr>
          <w:rStyle w:val="FootnoteReference"/>
        </w:rPr>
        <w:footnoteRef/>
      </w:r>
      <w:r>
        <w:tab/>
        <w:t>Vidjeti i dodatne informacije u točkama od 51. do 53. te bilješkama 45. i 46. CEEAG-a.</w:t>
      </w:r>
    </w:p>
  </w:footnote>
  <w:footnote w:id="12">
    <w:p w14:paraId="37B6708D" w14:textId="77777777" w:rsidR="00655C0A" w:rsidRDefault="00655C0A" w:rsidP="00655C0A">
      <w:pPr>
        <w:pStyle w:val="FootnoteText"/>
      </w:pPr>
      <w:r w:rsidRPr="003C3A19">
        <w:rPr>
          <w:rStyle w:val="FootnoteReference"/>
        </w:rPr>
        <w:footnoteRef/>
      </w:r>
      <w:r>
        <w:tab/>
        <w:t>Financijska sredstva Unije kojima se centralizirano upravlja su financijska sredstva Unije kojima centralno upravljaju institucije, agencije, zajednička poduzeća ili druga tijela Europske unije i koja nisu izravno ili neizravno pod nadzorom države članice.</w:t>
      </w:r>
    </w:p>
  </w:footnote>
  <w:footnote w:id="13">
    <w:p w14:paraId="6D089BEC" w14:textId="77777777" w:rsidR="00655C0A" w:rsidRPr="008772CC" w:rsidRDefault="00655C0A" w:rsidP="00655C0A">
      <w:pPr>
        <w:pStyle w:val="FootnoteText"/>
      </w:pPr>
      <w:r w:rsidRPr="003C3A19">
        <w:rPr>
          <w:rStyle w:val="FootnoteReference"/>
        </w:rPr>
        <w:footnoteRef/>
      </w:r>
      <w:r>
        <w:tab/>
        <w:t>Uredba (EU) 2020/852 Europskog parlamenta i Vijeća od 18. lipnja 2020. o uspostavi okvira za olakšavanje održivih ulaganja i izmjeni Uredbe (EU) 2019/2088 (SL L 198, 22.6.2020., str. 13.).</w:t>
      </w:r>
    </w:p>
  </w:footnote>
  <w:footnote w:id="14">
    <w:p w14:paraId="7E52B09B" w14:textId="77777777" w:rsidR="00655C0A" w:rsidRDefault="00655C0A" w:rsidP="00655C0A">
      <w:pPr>
        <w:pStyle w:val="FootnoteText"/>
      </w:pPr>
      <w:r w:rsidRPr="003C3A19">
        <w:rPr>
          <w:rStyle w:val="FootnoteReference"/>
        </w:rPr>
        <w:footnoteRef/>
      </w:r>
      <w:r>
        <w:tab/>
        <w:t xml:space="preserve">Predložak obrasca o dodatnim podacima za obavijest o planu evaluacije (dio III.8.) dostupan je ovdje: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73D7C" w14:textId="77777777" w:rsidR="00655C0A" w:rsidRDefault="00655C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235AE" w14:textId="77777777" w:rsidR="00655C0A" w:rsidRDefault="00655C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DAEC9" w14:textId="77777777" w:rsidR="00655C0A" w:rsidRDefault="00655C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754A14A6"/>
    <w:lvl w:ilvl="0">
      <w:start w:val="1"/>
      <w:numFmt w:val="decimal"/>
      <w:lvlRestart w:val="0"/>
      <w:pStyle w:val="NumPar1"/>
      <w:lvlText w:val="%1."/>
      <w:lvlJc w:val="left"/>
      <w:pPr>
        <w:tabs>
          <w:tab w:val="num" w:pos="850"/>
        </w:tabs>
        <w:ind w:left="850" w:hanging="850"/>
      </w:pPr>
      <w:rPr>
        <w:rFonts w:ascii="Times New Roman" w:hAnsi="Times New Roman" w:cs="Times New Roman" w:hint="default"/>
        <w:i w:val="0"/>
        <w:iCs/>
        <w:sz w:val="24"/>
        <w:szCs w:val="24"/>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5"/>
  </w:num>
  <w:num w:numId="24" w16cid:durableId="15565097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044863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260924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53862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63609934">
    <w:abstractNumId w:val="8"/>
    <w:lvlOverride w:ilvl="0">
      <w:startOverride w:val="1"/>
    </w:lvlOverride>
  </w:num>
  <w:num w:numId="29" w16cid:durableId="922835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229925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18170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383137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272218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070476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2620784">
    <w:abstractNumId w:val="8"/>
    <w:lvlOverride w:ilvl="0">
      <w:startOverride w:val="1"/>
    </w:lvlOverride>
  </w:num>
  <w:num w:numId="36" w16cid:durableId="3012723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4596637">
    <w:abstractNumId w:val="8"/>
    <w:lvlOverride w:ilvl="0">
      <w:startOverride w:val="1"/>
    </w:lvlOverride>
  </w:num>
  <w:num w:numId="38" w16cid:durableId="7995416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04944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950156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329319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742310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133213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947939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222567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0809098">
    <w:abstractNumId w:val="14"/>
  </w:num>
  <w:num w:numId="47" w16cid:durableId="158077941">
    <w:abstractNumId w:val="18"/>
  </w:num>
  <w:num w:numId="48" w16cid:durableId="5555520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80397155">
    <w:abstractNumId w:val="1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55C0A"/>
    <w:rsid w:val="0001224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62FBC"/>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55C0A"/>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9037E"/>
  <w15:chartTrackingRefBased/>
  <w15:docId w15:val="{094BC374-5C86-4478-8593-E13D9C1BF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C0A"/>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655C0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55C0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hr-H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hr-H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hr-H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hr-H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hr-H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hr-H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hr-H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55C0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55C0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55C0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5C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5C0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5C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5C0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55C0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55C0A"/>
    <w:rPr>
      <w:i/>
      <w:iCs/>
      <w:color w:val="365F91" w:themeColor="accent1" w:themeShade="BF"/>
    </w:rPr>
  </w:style>
  <w:style w:type="paragraph" w:styleId="IntenseQuote">
    <w:name w:val="Intense Quote"/>
    <w:basedOn w:val="Normal"/>
    <w:next w:val="Normal"/>
    <w:link w:val="IntenseQuoteChar"/>
    <w:uiPriority w:val="30"/>
    <w:qFormat/>
    <w:rsid w:val="00655C0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55C0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55C0A"/>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655C0A"/>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paragraph">
    <w:name w:val="paragraph"/>
    <w:basedOn w:val="Normal"/>
    <w:rsid w:val="00655C0A"/>
    <w:pPr>
      <w:spacing w:before="100" w:beforeAutospacing="1" w:after="100" w:afterAutospacing="1"/>
      <w:jc w:val="left"/>
    </w:pPr>
    <w:rPr>
      <w:rFonts w:eastAsia="Times New Roman"/>
      <w:szCs w:val="24"/>
      <w:lang w:eastAsia="en-IE"/>
    </w:rPr>
  </w:style>
  <w:style w:type="paragraph" w:customStyle="1" w:styleId="Text1">
    <w:name w:val="Text 1"/>
    <w:basedOn w:val="Normal"/>
    <w:rsid w:val="00655C0A"/>
    <w:pPr>
      <w:ind w:left="850"/>
    </w:pPr>
  </w:style>
  <w:style w:type="paragraph" w:customStyle="1" w:styleId="Text2">
    <w:name w:val="Text 2"/>
    <w:basedOn w:val="Normal"/>
    <w:rsid w:val="00655C0A"/>
    <w:pPr>
      <w:ind w:left="1417"/>
    </w:pPr>
  </w:style>
  <w:style w:type="paragraph" w:customStyle="1" w:styleId="Point0number">
    <w:name w:val="Point 0 (number)"/>
    <w:basedOn w:val="Normal"/>
    <w:rsid w:val="00655C0A"/>
    <w:pPr>
      <w:numPr>
        <w:numId w:val="25"/>
      </w:numPr>
    </w:pPr>
  </w:style>
  <w:style w:type="paragraph" w:customStyle="1" w:styleId="Point1number">
    <w:name w:val="Point 1 (number)"/>
    <w:basedOn w:val="Normal"/>
    <w:rsid w:val="00655C0A"/>
    <w:pPr>
      <w:numPr>
        <w:ilvl w:val="2"/>
        <w:numId w:val="25"/>
      </w:numPr>
    </w:pPr>
  </w:style>
  <w:style w:type="paragraph" w:customStyle="1" w:styleId="Point2number">
    <w:name w:val="Point 2 (number)"/>
    <w:basedOn w:val="Normal"/>
    <w:rsid w:val="00655C0A"/>
    <w:pPr>
      <w:numPr>
        <w:ilvl w:val="4"/>
        <w:numId w:val="25"/>
      </w:numPr>
    </w:pPr>
  </w:style>
  <w:style w:type="paragraph" w:customStyle="1" w:styleId="Point3number">
    <w:name w:val="Point 3 (number)"/>
    <w:basedOn w:val="Normal"/>
    <w:rsid w:val="00655C0A"/>
    <w:pPr>
      <w:numPr>
        <w:ilvl w:val="6"/>
        <w:numId w:val="25"/>
      </w:numPr>
    </w:pPr>
  </w:style>
  <w:style w:type="paragraph" w:customStyle="1" w:styleId="Point0letter">
    <w:name w:val="Point 0 (letter)"/>
    <w:basedOn w:val="Normal"/>
    <w:rsid w:val="00655C0A"/>
    <w:pPr>
      <w:numPr>
        <w:ilvl w:val="1"/>
        <w:numId w:val="25"/>
      </w:numPr>
    </w:pPr>
  </w:style>
  <w:style w:type="paragraph" w:customStyle="1" w:styleId="Point1letter">
    <w:name w:val="Point 1 (letter)"/>
    <w:basedOn w:val="Normal"/>
    <w:rsid w:val="00655C0A"/>
    <w:pPr>
      <w:numPr>
        <w:ilvl w:val="3"/>
        <w:numId w:val="25"/>
      </w:numPr>
    </w:pPr>
  </w:style>
  <w:style w:type="paragraph" w:customStyle="1" w:styleId="Point2letter">
    <w:name w:val="Point 2 (letter)"/>
    <w:basedOn w:val="Normal"/>
    <w:rsid w:val="00655C0A"/>
    <w:pPr>
      <w:numPr>
        <w:ilvl w:val="5"/>
        <w:numId w:val="25"/>
      </w:numPr>
    </w:pPr>
  </w:style>
  <w:style w:type="paragraph" w:customStyle="1" w:styleId="Point3letter">
    <w:name w:val="Point 3 (letter)"/>
    <w:basedOn w:val="Normal"/>
    <w:rsid w:val="00655C0A"/>
    <w:pPr>
      <w:numPr>
        <w:ilvl w:val="7"/>
        <w:numId w:val="25"/>
      </w:numPr>
    </w:pPr>
  </w:style>
  <w:style w:type="paragraph" w:customStyle="1" w:styleId="Point4letter">
    <w:name w:val="Point 4 (letter)"/>
    <w:basedOn w:val="Normal"/>
    <w:rsid w:val="00655C0A"/>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5261</Words>
  <Characters>30831</Characters>
  <DocSecurity>0</DocSecurity>
  <Lines>655</Lines>
  <Paragraphs>239</Paragraphs>
  <ScaleCrop>false</ScaleCrop>
  <LinksUpToDate>false</LinksUpToDate>
  <CharactersWithSpaces>35853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2025-06-07T10:53:00Z</dcterms:created>
  <dcterms:modified xsi:type="dcterms:W3CDTF">2025-06-07T10:58:00Z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2025-06-07T10:58:26Z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35cc1857-6aa6-4481-a12a-1d76bbfcf2df</vt:lpwstr>
  </property>
  <property fmtid="{D5CDD505-2E9C-101B-9397-08002B2CF9AE}" pid="8" name="MSIP_Label_6bd9ddd1-4d20-43f6-abfa-fc3c07406f94_ContentBits">
    <vt:lpwstr>0</vt:lpwstr>
  </property>
</Properties>
</file>