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III OSA. TÄIENDAVA TEABE LEHED</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Osa III.1.A</w:t>
            </w:r>
          </w:p>
          <w:p w14:paraId="0B352C8D" w14:textId="77777777" w:rsidR="000432CC" w:rsidRDefault="00EA65BD" w:rsidP="00C830F1">
            <w:pPr>
              <w:pStyle w:val="ChapterTitle"/>
              <w:spacing w:after="240"/>
              <w:rPr>
                <w:bCs w:val="0"/>
                <w:color w:val="000000"/>
                <w:sz w:val="28"/>
                <w:szCs w:val="28"/>
              </w:rPr>
            </w:pPr>
            <w:r>
              <w:rPr>
                <w:color w:val="000000"/>
                <w:sz w:val="28"/>
              </w:rPr>
              <w:t>Regionaalabi raames investeeringuteks ettenähtud üksikabi kohta esitatava täiendava teabe ajakohastatud* leht</w:t>
            </w:r>
          </w:p>
          <w:p w14:paraId="11FAC6A9" w14:textId="77777777" w:rsidR="00291206" w:rsidRPr="00291206" w:rsidRDefault="00EA65BD" w:rsidP="00C830F1">
            <w:pPr>
              <w:jc w:val="left"/>
            </w:pPr>
            <w:r>
              <w:t>* ametlikult vastu võtmata</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See täiendava teabe leht ei ole kohustuslik, aga on siiski soovitav see lisaks üldteabe vormile ära täita, et teatada igast investeeringuteks ettenähtud üksikabist, mis on hõlmatud 1. jaanuarist 2022 kehtivate regionaalabi suunistega (RAG)</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Kohaldamisala</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Meetmest teatamise põhjused:</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B94E16">
        <w:rPr>
          <w:b/>
        </w:rPr>
      </w:r>
      <w:r w:rsidR="00B94E16">
        <w:rPr>
          <w:b/>
        </w:rPr>
        <w:fldChar w:fldCharType="separate"/>
      </w:r>
      <w:r>
        <w:rPr>
          <w:b/>
        </w:rPr>
        <w:fldChar w:fldCharType="end"/>
      </w:r>
      <w:r>
        <w:tab/>
        <w:t>Teatis on seotud abikava raames antava üksikabiga ja kõigist allikatest saadava abiga, mis ületab teatamise künnist. Palun esitage viited riigiabile, mida antakse heakskiidetud abikava või üldise grupierandi määruse kohase abikava alusel:</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B94E16">
        <w:rPr>
          <w:b/>
        </w:rPr>
      </w:r>
      <w:r w:rsidR="00B94E16">
        <w:rPr>
          <w:b/>
        </w:rPr>
        <w:fldChar w:fldCharType="separate"/>
      </w:r>
      <w:r>
        <w:rPr>
          <w:b/>
        </w:rPr>
        <w:fldChar w:fldCharType="end"/>
      </w:r>
      <w:r>
        <w:tab/>
        <w:t>Teatis on seotud väljaspool abikava antava üksikabiga (sihtotstarbeline üksikabi).</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B94E16">
        <w:rPr>
          <w:b/>
        </w:rPr>
      </w:r>
      <w:r w:rsidR="00B94E16">
        <w:rPr>
          <w:b/>
        </w:rPr>
        <w:fldChar w:fldCharType="separate"/>
      </w:r>
      <w:r>
        <w:rPr>
          <w:b/>
        </w:rPr>
        <w:fldChar w:fldCharType="end"/>
      </w:r>
      <w:r>
        <w:tab/>
        <w:t>Teatis on seotud abiga, mida antakse abisaajale, kes on lõpetanud EMPs tegutsemise samal või sarnasel tegevusalal</w:t>
      </w:r>
      <w:r>
        <w:rPr>
          <w:rStyle w:val="FootnoteReference"/>
          <w:color w:val="000000"/>
        </w:rPr>
        <w:footnoteReference w:id="2"/>
      </w:r>
      <w:r>
        <w:t xml:space="preserve"> kaks aastat enne abi taotlemise kuupäeva või kellel on abi taotlemise hetkel kavatsus selline tegevus kahe aasta jooksul pärast abi saanud investeeringu lõpuleviimist lõpetada.</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ab/>
        <w:t>Muu (palun täpsustage)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Teatatud abimeetme kohaldamisala</w:t>
      </w:r>
    </w:p>
    <w:p w14:paraId="42026524" w14:textId="77777777" w:rsidR="00840F2A" w:rsidRDefault="000432CC" w:rsidP="00C359A9">
      <w:pPr>
        <w:pStyle w:val="NormalKop111"/>
        <w:numPr>
          <w:ilvl w:val="2"/>
          <w:numId w:val="2"/>
        </w:numPr>
        <w:spacing w:before="0"/>
        <w:ind w:left="720" w:firstLine="0"/>
        <w:rPr>
          <w:color w:val="000000"/>
        </w:rPr>
      </w:pPr>
      <w:r>
        <w:rPr>
          <w:color w:val="000000"/>
        </w:rPr>
        <w:t>Palun kinnitage, et abisaaja ei ole raskustes olev äriühing</w:t>
      </w:r>
      <w:r>
        <w:rPr>
          <w:color w:val="000000"/>
          <w:vertAlign w:val="superscript"/>
        </w:rPr>
        <w:footnoteReference w:id="3"/>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w:t>
            </w:r>
          </w:p>
        </w:tc>
      </w:tr>
    </w:tbl>
    <w:p w14:paraId="0BCA385A" w14:textId="77777777" w:rsidR="000432CC" w:rsidRDefault="000432CC" w:rsidP="00840F2A"/>
    <w:p w14:paraId="67E07A02" w14:textId="6CDDBC74"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lastRenderedPageBreak/>
        <w:t>Palun esitage taotlusvormi koopia ja abi andm</w:t>
      </w:r>
      <w:r w:rsidR="00B94E16">
        <w:t>ise leping (või selle projekt).</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Täiendav teave abisaaja, investeerimisprojekti ja abi kohta</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Abisaaja</w:t>
      </w:r>
    </w:p>
    <w:p w14:paraId="32A2F06C" w14:textId="6912DD9C" w:rsidR="007E5B4A" w:rsidRPr="007E5B4A" w:rsidRDefault="00B94E16" w:rsidP="00D2200E">
      <w:pPr>
        <w:pStyle w:val="NormalKop111"/>
        <w:numPr>
          <w:ilvl w:val="2"/>
          <w:numId w:val="2"/>
        </w:numPr>
        <w:ind w:left="720" w:firstLine="0"/>
        <w:rPr>
          <w:rFonts w:cs="Times New Roman"/>
          <w:color w:val="000000"/>
        </w:rPr>
      </w:pPr>
      <w:r>
        <w:rPr>
          <w:color w:val="000000"/>
        </w:rPr>
        <w:t>Palun täpsustage abisaaja(d):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28EF1DFA"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Kui abisaaja on projekti rahastava(te)st ettevõtja(te)st või tegelikult abi saava(te)st ettevõtja(te)st erinev juriidiline isik, kirjeldage palun asjaomaseid erinevusi ja täpsustage</w:t>
      </w:r>
      <w:r w:rsidR="00B94E16">
        <w:rPr>
          <w:color w:val="000000"/>
        </w:rPr>
        <w:t xml:space="preserve"> need muud hõlmatud ettevõtjad.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4234E86C"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Kirjeldage üksikasjalikult, kuidas on abisaaja seotud kontserniga, kuhu ta kuulub, ja muude sidusette</w:t>
      </w:r>
      <w:r w:rsidR="00B94E16">
        <w:rPr>
          <w:color w:val="000000"/>
        </w:rPr>
        <w:t>võtjatega, sh ühisettevõtetega: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Investeerimisprojekt</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Palun esitage teatatud investeerimisprojekti kohta järgmine teave: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Abitaotluse esitamise kuupäev:</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Investeerimisprojekti raames tehtavate tööde alguskuupäev:</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Tootmise alguskuupäev:</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Täisvõimsuse saavutamise kuupäev:</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Investeerimisprojekti lõpuleviimise kavandatav kuupäev:</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Kui teatis hõlmab punkti a aladel tehtud investeeringut või ühe või mitme VKE</w:t>
      </w:r>
      <w:r>
        <w:rPr>
          <w:rStyle w:val="FootnoteReference"/>
        </w:rPr>
        <w:footnoteReference w:id="4"/>
      </w:r>
      <w:r>
        <w:t xml:space="preserve"> tehtud investeeringuid punkti c aladel (RAG punkt 45), siis täpsustage palun teatamisel märgitud alginvesteeringu kategooria(d) (RAG punkti 19 alapunkt 13):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uue ettevõtte loomine</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olemasoleva ettevõtte tootmisvõimsuse suurendamine</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ettevõtte toodangu mitmekesistamine, kui laienetakse tooteturgudele, kus ettevõte enne ei tegutsenud</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ettevõttesse tehtava investeeringuga seotud toote või toodete üldise tootmisprotsessi põhjalik muutmine </w:t>
      </w:r>
    </w:p>
    <w:p w14:paraId="3DE90299" w14:textId="2A26F947" w:rsidR="007D70E6" w:rsidRDefault="007D70E6" w:rsidP="007D70E6">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sellise vara omandamine, mis kuulub ettevõttele, mis on tegevuse lõpetanud või oleks tegevuse lõpetanud, kui seda ei oleks ostetud</w:t>
      </w:r>
      <w:r>
        <w:rPr>
          <w:rStyle w:val="FootnoteReference"/>
        </w:rPr>
        <w:footnoteReference w:id="5"/>
      </w:r>
      <w:r>
        <w:t>.</w:t>
      </w:r>
    </w:p>
    <w:p w14:paraId="2F15749C" w14:textId="77777777" w:rsidR="007D70E6" w:rsidRPr="005C5DFC" w:rsidRDefault="007D70E6" w:rsidP="00033078">
      <w:pPr>
        <w:pStyle w:val="NumPar3"/>
        <w:numPr>
          <w:ilvl w:val="2"/>
          <w:numId w:val="2"/>
        </w:numPr>
        <w:spacing w:before="240" w:after="240"/>
        <w:ind w:left="1440" w:hanging="720"/>
      </w:pPr>
      <w:r>
        <w:t>Juhul kui teatis hõlmab suurettevõtjate tehtud investeeringut punkti c aladel, täpsustage palun teatamisel märgitud alginvesteeringu kategooria(d) (RAG punkti 19 alapunkt 14 ja punkt 14):</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uue ettevõtte asutamine</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ettevõtte tegevuse mitmekesistamine tingimusel, et uus tegevusala ei ole sama mis ettevõtte varasem tegevusala ega sellega sarnane tegevusala</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ettevõtte toodangu mitmekesistamine, et hakata tootma tooteid, mida varem ei toodetud vastavalt RAG punkti 14 kolmele kumulatiivsele tingimusele</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ettevõttesse tehtava investeeringuga seotud toote või toodete üldise tootmisprotsessi põhjalik muutmine vastavalt RAG punkti 14 kolmele kumulatiivsele tingimusele</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sellise vara omandamine, mis kuulub ettevõttele, mis on tegevuse lõpetanud või oleks tegevuse lõpetanud, kui seda ei oleks ostetud, tingimusel et uus tegevusala, millel omandatud vara abil tegutsetakse, ei ole sama mis ettevõtte tegevusala enne omandamist ega sellega sarnane tegevusala</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Palun kirjeldage lühidalt investeerimisprojekti ja selgitage, kuidas on asjaomane projekt seotud eespool märgitud alginvesteeringu ühe või mitme kategooriaga: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Investeerimiskulude alusel arvutatud abikõlblikud kulud</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Palun esitage investeerimisprojekti abikõlblike kogukulude jaotumine nominaal- ja diskonteeritud väärtuses:</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Abikõlblikud kogukulud (nominaalväärtus)</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Abikõlblikud kogukulud (diskonteeritud väärtus)</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Investeeringuga seotud ettevalmistavate uuringute ja nõustamise kulud (ainult VKEde puhul)</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Maa</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Ehitised</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Tehased/masinad/seadmed</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Immateriaalne vara</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Abikõlblikud kogukulud</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Omavääringus (vt ka punkt 2.5)</w:t>
      </w:r>
    </w:p>
    <w:p w14:paraId="3D68B83F" w14:textId="77777777" w:rsidR="00BC08A3" w:rsidRPr="0025149B" w:rsidRDefault="004255FA" w:rsidP="00093A59">
      <w:pPr>
        <w:pStyle w:val="NormalKop111"/>
        <w:numPr>
          <w:ilvl w:val="2"/>
          <w:numId w:val="2"/>
        </w:numPr>
        <w:ind w:left="1225" w:hanging="505"/>
        <w:rPr>
          <w:rFonts w:cs="Times New Roman"/>
          <w:color w:val="000000"/>
        </w:rPr>
      </w:pPr>
      <w:r>
        <w:rPr>
          <w:color w:val="000000"/>
        </w:rPr>
        <w:t>Palun kinnitage, et omandatav vara on uus (RAG punkt 27)</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Palun tõendage, et VKEde puhul ei ole abikõlblikeks kuludeks arvestatud rohkem kui 50 % investeeringuga seotud ettevalmistavate uuringute ja nõustamise kuludest (RAG punkt 28).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Palun tõendage, et tootmisprotsessi põhjalikuks muutmiseks antud abi korral ületavad abikõlblikud kulud ajakohastatava tegevusega seotud vara kulumit eelneva kolme majandusaasta jooksul (RAG punkt 29).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Palun esitage viide õiguslikule alusele või selgitage, kuidas on tagatud see, et olemasoleva ettevõtte tegevuse mitmekesistamiseks antud abi korral ületavad abikõlblikud kulud vähemalt 200 % uuesti kasutatava vara arvestuslikku väärtust, mis on registreeritud tööde algusele eelneval majandusaastal (RAG punkt 30). Vajaduse korral esitage dokumendid, milles need arvandmed on esitatud.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Materiaalse vara rentimise korral esitage palun viide õigusliku aluse vastavatele sätetele, millega on ette nähtud, et arvesse tuleb võtta järgmisi tingimusi (RAG punkt 31), või selgitage, kuidas seda muul moel kindlaks teha: </w:t>
      </w:r>
    </w:p>
    <w:p w14:paraId="7E7B447C" w14:textId="77777777" w:rsidR="000432CC" w:rsidRPr="000D782C" w:rsidRDefault="000432CC" w:rsidP="00633A52">
      <w:pPr>
        <w:pStyle w:val="Normal127Bullet63"/>
        <w:spacing w:before="120" w:after="120"/>
      </w:pPr>
      <w:r>
        <w:t>maa ja hoonete rentimise puhul peab rendileping kestma suurettevõtjate puhul vähemalt viis aastat ning VKEde puhul vähemalt kolm aastat pärast investeeringu lõpuleviimise eeldatavat kuupäeva;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t xml:space="preserve">seadmete või masinate rentimise korral peab rentimine toimuma kapitalirendi vormis ning rendileping peab sisaldama abisaaja kohustust osta vara lepingu lõppedes välja.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lastRenderedPageBreak/>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Regionaalabi suuniste punktis 32 on ette nähtud, et ettevõtte omandamise korral „tuleks põhimõtteliselt võtta arvesse ainult ostjaga mitteseotud kolmandatelt isikutelt vara ostmisest tulenevaid kulusid.</w:t>
      </w:r>
      <w:r>
        <w:rPr>
          <w:i/>
          <w:color w:val="000000"/>
        </w:rPr>
        <w:t xml:space="preserve"> </w:t>
      </w:r>
      <w:r>
        <w:rPr>
          <w:color w:val="000000"/>
        </w:rPr>
        <w:t>Kui väikeettevõtja äritegevuse võtab üle algse omaniku perekonnaliige või ettevõtja töötaja, siis ei kohaldata tingimust, et vara tuleb osta kolmandalt isikult, kes ei ole ostjaga seotud.</w:t>
      </w:r>
      <w:r>
        <w:rPr>
          <w:i/>
          <w:color w:val="000000"/>
        </w:rPr>
        <w:t xml:space="preserve"> </w:t>
      </w:r>
      <w:r>
        <w:rPr>
          <w:color w:val="000000"/>
        </w:rPr>
        <w:t>Tehing peab toimuma turutingimustel.</w:t>
      </w:r>
      <w:r>
        <w:rPr>
          <w:i/>
          <w:color w:val="000000"/>
        </w:rPr>
        <w:t xml:space="preserve"> </w:t>
      </w:r>
      <w:r>
        <w:rPr>
          <w:color w:val="000000"/>
        </w:rPr>
        <w:t xml:space="preserve">Kui ettevõtja vara omandamisega kaasneb täiendav regionaalabikõlblik investeering, tuleb sellise täiendava investeeringuga seotud abikõlblikud kulud liita ettevõtja vara omandamise kuludele.“ </w:t>
      </w:r>
    </w:p>
    <w:p w14:paraId="68432129" w14:textId="66459D43" w:rsidR="000432CC" w:rsidRDefault="00A96151" w:rsidP="00A80D24">
      <w:pPr>
        <w:pStyle w:val="Normal127"/>
      </w:pPr>
      <w:r>
        <w:t>Kui see on teatatud juhtumi puhul asjakohane, siis selgitage palun, kuidas neid tingimusi arvesse võetakse, ja esitag</w:t>
      </w:r>
      <w:r w:rsidR="00B94E16">
        <w:t>e selle kinnituseks dokumendid.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Kui investeerimisprojekti abikõlblikud kulud sisaldavad immateriaalset vara, siis selgitage palun, kuidas on tagatud, et regionaalabi suuniste punktides 33–34</w:t>
      </w:r>
      <w:r>
        <w:rPr>
          <w:color w:val="000000"/>
          <w:vertAlign w:val="superscript"/>
        </w:rPr>
        <w:footnoteReference w:id="9"/>
      </w:r>
      <w:r>
        <w:rPr>
          <w:color w:val="000000"/>
        </w:rPr>
        <w:t xml:space="preserve"> sätestatud tingimusi arvesse võetakse. Sellistel juhtudel esitage palun täpne viide õigusliku aluse vastavale sättele.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Palgakulude alusel arvutatud abikõlblikud kulud</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Palun selgitage,</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kuidas määrati palgakulude alusel kindlaks abikõlblikud kulud (RAG punkt 35);</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kuidas arvutati loodud töökohtade arv (viitega RAG punkti 19 alapunktile 16);</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kuidas määrati tööle võetud isikute palgakulud (viitega RAG punkti 19 alapunktile 33) ning</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lastRenderedPageBreak/>
        <w:t xml:space="preserve">esitage vastavad arvutused ja dokumendid, mis neid arve kinnitavad.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Abikõlblike kulude diskonteeritud väärtuse ja abisumma arvutamine</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Palun märkige allolevas tabelis kogu investeerimisprojekti kestel kantavate abikõlblike kulude üksikasjad abikõlblike kulude liigi kaupa:</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Nominaalväärtus / diskonteeritud väärtus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Kokku</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Ettevalmistavad </w:t>
            </w:r>
          </w:p>
          <w:p w14:paraId="39D34ADD" w14:textId="77777777" w:rsidR="00DC5A80" w:rsidRPr="00772CF3" w:rsidRDefault="00DC5A80" w:rsidP="00033078">
            <w:pPr>
              <w:jc w:val="left"/>
              <w:rPr>
                <w:color w:val="000000"/>
                <w:sz w:val="20"/>
                <w:szCs w:val="20"/>
              </w:rPr>
            </w:pPr>
            <w:r>
              <w:rPr>
                <w:color w:val="000000"/>
                <w:sz w:val="20"/>
              </w:rPr>
              <w:t>uuringud (üksnes VKEde puhul)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Maa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Ehitised</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Tehased/masinad/</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Seadmed</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Maa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Palgakulud</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Muu (palun täpsustage)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Kokku</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Omavääringus </w:t>
      </w:r>
    </w:p>
    <w:p w14:paraId="4C6AC8BA" w14:textId="77777777" w:rsidR="00D577FA" w:rsidRPr="00577841" w:rsidRDefault="0039571D" w:rsidP="00577841">
      <w:pPr>
        <w:pStyle w:val="NormalKop111"/>
        <w:rPr>
          <w:rFonts w:cs="EUAlbertina"/>
          <w:color w:val="000000"/>
        </w:rPr>
      </w:pPr>
      <w:r>
        <w:rPr>
          <w:color w:val="000000"/>
        </w:rPr>
        <w:t>Palun märkige kuupäev, mille suhtes summad diskonteeriti, ja ka see, millist diskontomäära kasutati</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Palun märkige allolevas tabelis investeerimisprojektile antud (antava) abi üksikasjad kohaldatavate abiliikide kaupa:</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Nominaalväärtus / diskonteerit</w:t>
            </w:r>
            <w:r>
              <w:rPr>
                <w:sz w:val="20"/>
              </w:rPr>
              <w:lastRenderedPageBreak/>
              <w:t xml:space="preserve">ud väärtus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lastRenderedPageBreak/>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Kokku</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Toetus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Laen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Garantii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Maksusoodustus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Kokku</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Nominaalne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Diskonteeritud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Omavääringus</w:t>
      </w:r>
    </w:p>
    <w:p w14:paraId="6B87FE2E" w14:textId="77777777" w:rsidR="00012D1C" w:rsidRPr="00957D0D" w:rsidRDefault="00012D1C" w:rsidP="00012D1C">
      <w:pPr>
        <w:pStyle w:val="NormalKop111"/>
        <w:rPr>
          <w:rFonts w:cs="EUAlbertina"/>
          <w:color w:val="000000"/>
        </w:rPr>
      </w:pPr>
      <w:r>
        <w:rPr>
          <w:color w:val="000000"/>
        </w:rPr>
        <w:t>Palun märkige kuupäev, mille suhtes summad diskonteeriti, ja ka see, millist diskontomäära kasutati:</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Palun märkige iga eespool esitatud tabelis nimetatud abiliigi puhul, kuidas arvutati toetuse ekvivalent: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Sooduslaen</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Garantii</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Maksuvähendus</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Muu:</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Kui mõni projektile antavast abimeetmest ei ole veel kindlaks määratud, siis palun märkige see ära ja selgitage, kuidas abi andev asutus tagab, et abi ülemmäärast kinni peetakse (RAG punktid 93 ja 94):</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Kas projekti kaasrahastatakse jagatud eelarve täitmise korras mõnest ELi fondist („Fondid“)? Kui see on nii, siis palun märkige, millise programmi raames selliseid vahendeid saadakse. Palun märkige ka fondide vahenditest saadav summa.</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Kui abisaaja (kontserni tasandil) on saanud abi sama või sarnase tegevusega seotud ühe (või mitme) alginvesteeringu raames, mida ta alustas samas NUTS 3 piirkonnas teatatud investeerimisprojekti tööde alustamise kuupäevale eelneva kolme aasta jooksul (RAG punkti 19 alapunkt 27), siis esitage palun andmed abimeetme kohta iga eelnevalt abi saanud alginvesteeringu kaupa (sealhulgas investeerimisprojekti lühikirjeldus, abitaotluse esitamise kuupäev, </w:t>
      </w:r>
      <w:r>
        <w:rPr>
          <w:color w:val="000000"/>
        </w:rPr>
        <w:lastRenderedPageBreak/>
        <w:t>abi andmise kuupäev, tööde alustamise kuupäev, abisummad ja abikõlblikud kulud</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Abikõlblikud investeerimiskulud°</w:t>
            </w:r>
          </w:p>
        </w:tc>
        <w:tc>
          <w:tcPr>
            <w:tcW w:w="794" w:type="dxa"/>
          </w:tcPr>
          <w:p w14:paraId="5E53F953" w14:textId="77777777" w:rsidR="00FE7795" w:rsidRPr="00633A52" w:rsidRDefault="00FE7795" w:rsidP="009C5F4C">
            <w:pPr>
              <w:jc w:val="left"/>
              <w:rPr>
                <w:sz w:val="20"/>
                <w:szCs w:val="20"/>
              </w:rPr>
            </w:pPr>
            <w:r>
              <w:rPr>
                <w:sz w:val="20"/>
              </w:rPr>
              <w:t>Antud abi summa°</w:t>
            </w:r>
          </w:p>
        </w:tc>
        <w:tc>
          <w:tcPr>
            <w:tcW w:w="794" w:type="dxa"/>
          </w:tcPr>
          <w:p w14:paraId="5690C210" w14:textId="77777777" w:rsidR="00FE7795" w:rsidRPr="00633A52" w:rsidRDefault="00FE7795" w:rsidP="009C5F4C">
            <w:pPr>
              <w:jc w:val="left"/>
              <w:rPr>
                <w:sz w:val="20"/>
                <w:szCs w:val="20"/>
              </w:rPr>
            </w:pPr>
            <w:r>
              <w:rPr>
                <w:sz w:val="20"/>
              </w:rPr>
              <w:t>Taotluse esitamise kuupäev</w:t>
            </w:r>
          </w:p>
        </w:tc>
        <w:tc>
          <w:tcPr>
            <w:tcW w:w="794" w:type="dxa"/>
          </w:tcPr>
          <w:p w14:paraId="0A71C2A6" w14:textId="77777777" w:rsidR="00FE7795" w:rsidRPr="00633A52" w:rsidRDefault="00FE7795" w:rsidP="009C5F4C">
            <w:pPr>
              <w:jc w:val="left"/>
              <w:rPr>
                <w:sz w:val="20"/>
                <w:szCs w:val="20"/>
              </w:rPr>
            </w:pPr>
            <w:r>
              <w:rPr>
                <w:sz w:val="20"/>
              </w:rPr>
              <w:t>Abi andmise kuupäev</w:t>
            </w:r>
          </w:p>
        </w:tc>
        <w:tc>
          <w:tcPr>
            <w:tcW w:w="794" w:type="dxa"/>
          </w:tcPr>
          <w:p w14:paraId="4944FDD2" w14:textId="77777777" w:rsidR="00FE7795" w:rsidRPr="00633A52" w:rsidRDefault="00FE7795" w:rsidP="009C5F4C">
            <w:pPr>
              <w:jc w:val="left"/>
              <w:rPr>
                <w:sz w:val="20"/>
                <w:szCs w:val="20"/>
              </w:rPr>
            </w:pPr>
            <w:r>
              <w:rPr>
                <w:sz w:val="20"/>
              </w:rPr>
              <w:t>Töödega alustamise kuupäev</w:t>
            </w:r>
          </w:p>
        </w:tc>
        <w:tc>
          <w:tcPr>
            <w:tcW w:w="2267" w:type="dxa"/>
          </w:tcPr>
          <w:p w14:paraId="76CA3EDF" w14:textId="77777777" w:rsidR="00FE7795" w:rsidRPr="00633A52" w:rsidRDefault="00FE7795" w:rsidP="00FE7795">
            <w:pPr>
              <w:jc w:val="left"/>
              <w:rPr>
                <w:sz w:val="20"/>
                <w:szCs w:val="20"/>
              </w:rPr>
            </w:pPr>
            <w:r>
              <w:rPr>
                <w:sz w:val="20"/>
              </w:rPr>
              <w:t>Lühikirjeldus</w:t>
            </w:r>
          </w:p>
        </w:tc>
        <w:tc>
          <w:tcPr>
            <w:tcW w:w="1275" w:type="dxa"/>
          </w:tcPr>
          <w:p w14:paraId="47DAEC32" w14:textId="77777777" w:rsidR="00FE7795" w:rsidRDefault="00FE7795" w:rsidP="00FE7795">
            <w:pPr>
              <w:jc w:val="left"/>
              <w:rPr>
                <w:sz w:val="20"/>
                <w:szCs w:val="20"/>
              </w:rPr>
            </w:pPr>
            <w:r>
              <w:rPr>
                <w:sz w:val="20"/>
              </w:rPr>
              <w:t>Abi viide/viited</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Alginvesteeringu projekt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Alginvesteeringu projekt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Alginvesteeringu projekt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Omavääringus </w:t>
      </w:r>
    </w:p>
    <w:p w14:paraId="35530C90" w14:textId="30E9F70E"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Palun kinnitage, et algsele investeerimisprojektile antava abi kogusumma ei ületa summat, mis tuleneb abi ülemmäärast (nagu see on määratletud RAG punkti 19 alapunktis 19), võttes arvesse abi ülemmäära suurendamist VKEde puhul (vastavalt RAG punktile 186) ja vajaduse korral kohandatud abisummat (nagu see on määratletud RAG punkti 19 alapunktis 3). Palun esitage selle kinnituse toetuseks asjak</w:t>
      </w:r>
      <w:r w:rsidR="00B94E16">
        <w:rPr>
          <w:color w:val="000000"/>
        </w:rPr>
        <w:t>ohased dokumendid ja arvutused.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0597426"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rPr>
          <w:color w:val="000000"/>
        </w:rPr>
        <w:t>Palun kinnitage, et ei</w:t>
      </w:r>
      <w:r>
        <w:t xml:space="preserve"> heakskiidetud maksimaalse abisumma diskonteeritud väärtust ega heakskiidetud abi osakaalu ei ületata, kui abikõlblike kulude</w:t>
      </w:r>
      <w:r w:rsidR="00B94E16">
        <w:t xml:space="preserve"> summa erineb teatatud summast.</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ab/>
        <w:t>Jah</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Juhul kui investeerimisprojektile antakse abi mitme regionaalabi kava alusel või kui abi kumuleeritakse sihtotstarbelise üksikabiga, siis palun kinnitage, et esimene abi andev asutus on võimaliku abi ülemmäära projekti kohta eelnevalt välja arvutanud, ja märkige abi ülemmäär. Selgitage, kuidas abi andev asutus tagab, et abi ülemmäära arvesse võetakse (RAG punkt 99).</w:t>
      </w:r>
    </w:p>
    <w:p w14:paraId="07072796" w14:textId="18D53EA2"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Kui alginvesteering on seotud Euroopa territoriaalse koostöö projektiga, siis palun selgitage, viidates regionaalabi suuniste punkti 100 sätetele, kuidas määratakse kindlaks projekti puhul kohaldatava</w:t>
      </w:r>
      <w:r w:rsidR="00B94E16">
        <w:rPr>
          <w:color w:val="000000"/>
        </w:rPr>
        <w:t xml:space="preserve"> abi ülemmäär ja eri abisaajad.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lastRenderedPageBreak/>
              <w:t>Meetme siseturuga kokkusobivuse hindamine</w:t>
            </w:r>
          </w:p>
        </w:tc>
      </w:tr>
    </w:tbl>
    <w:p w14:paraId="108099AD" w14:textId="25C67D75" w:rsidR="00141E9F" w:rsidRPr="008221B1" w:rsidRDefault="00141E9F" w:rsidP="00093A59">
      <w:pPr>
        <w:pStyle w:val="NormalKop11"/>
        <w:numPr>
          <w:ilvl w:val="1"/>
          <w:numId w:val="2"/>
        </w:numPr>
        <w:ind w:left="720" w:hanging="720"/>
        <w:rPr>
          <w:b/>
          <w:color w:val="000000"/>
        </w:rPr>
      </w:pPr>
      <w:r>
        <w:rPr>
          <w:b/>
          <w:color w:val="000000"/>
        </w:rPr>
        <w:t xml:space="preserve">Panus piirkondlikusse arengusse, positiivne </w:t>
      </w:r>
      <w:r w:rsidR="00B94E16">
        <w:rPr>
          <w:b/>
          <w:color w:val="000000"/>
        </w:rPr>
        <w:t>mõju ja riigi sekkumise vajadus</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Palun</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märkige abi saava projekti täpne asukoht (st koha nimi ja see, kas koht kuulub NUTS 2. või 3. tasandi piirkonda);</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esitage andmed projekti regionaalabi staatuse kohta kehtival regionaalabi kaardil (st kas projekti rakendatakse piirkonnas, kus regionaalabi andmine on lubatud ELi toimimise lepingu artikli 107 lõike 3 punkti a või c alusel) ning</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esitage abi ülemmäär, mida kohaldatakse suurettevõtjate suhtes.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Palun selgitage, kuidas aitab abi kaasa piirkonna arengule, ja kui see on asjakohane, siis milline muu positiivne mõju sellel on</w:t>
      </w:r>
      <w:r>
        <w:rPr>
          <w:vertAlign w:val="superscript"/>
        </w:rPr>
        <w:footnoteReference w:id="12"/>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Kui teatises käsitletakse üksikabi taotlust abikava raames, siis palun selgitage, kuidas projekt toetab kava eesmärkide saavutamist, ning esitage seda tõendavad dokumendid (RAG punkt 46).</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Kui teatises käsitletakse sihtotstarbelist üksikabi, siis palun selgitage, kuidas projekt toetab asjaomase piirkonna arengustrateegia elluviimist, ning esitage seda tõendavad dokumendid (RAG punkt 53).</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Palun selgitage, kuidas rakendatakse sätet, milles on nõutud, et investeeringut tuleb asjaomases piirkonnas säilitada vähemalt viis või VKEde puhul kolm aastat pärast investeeringu lõpuleviimist (RAG punkt 47). Palun esitage viide õigusliku aluse (nt abi andmise leping) vastavale sättele.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 xml:space="preserve">Kui teatatud kava raames antavat abi arvutatakse palgakulude alusel, selgitage palun, kuidas rakendatakse sätet, milles on nõutud, et kolme aasta jooksul pärast tööde lõpetamist tuleb luua uusi ametikohti ja et igat selle investeeringuga loodud töökohta tuleb asjaomasel alal säilitada viis aastat (VKEde puhul kolm aastat) pärast ametikoha esmakordset täitmist (RAG </w:t>
      </w:r>
      <w:r>
        <w:rPr>
          <w:color w:val="000000"/>
        </w:rPr>
        <w:lastRenderedPageBreak/>
        <w:t>punkt 36). Palun esitage viide õigusliku aluse (nt abi andmise leping) vastavale sättele.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Palun esitage viide õiguslikule alusele või tõendage, et abisaajad peavad omavahenditest või välisrahastuse abil rahastama vähemalt 25 % abikõlblikest kuludest ning tegema seda vormis, mille puhul on välistatud igasugune avalik finantstoetus</w:t>
      </w:r>
      <w:r>
        <w:rPr>
          <w:vertAlign w:val="superscript"/>
        </w:rPr>
        <w:footnoteReference w:id="13"/>
      </w:r>
      <w:r>
        <w:rPr>
          <w:color w:val="000000"/>
        </w:rPr>
        <w:t xml:space="preserve"> (RAG punkt 48).</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Kas olete hinnanud või kohustute hindama investeeringu keskkonnamõju (RAG punkt 49)?</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ab/>
        <w:t>Jah</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ab/>
        <w:t xml:space="preserve">Ei </w:t>
      </w:r>
    </w:p>
    <w:p w14:paraId="1BDCCEBD" w14:textId="77777777" w:rsidR="00B80DE0" w:rsidRPr="009830AE" w:rsidRDefault="00370A84" w:rsidP="00A80D24">
      <w:pPr>
        <w:pStyle w:val="Normal127"/>
      </w:pPr>
      <w:r>
        <w:t>Kui ei ole, siis selgitage, miks ei ole selle projekti puhul keskkonnamõju hindamine vajalik?</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Meetme ergutav mõju</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Palun kinnitage, et teatatud konkreetse investeerimisprojekti raames alustati töid alles pärast abitaotluse esitamist (RAG punkt 62). Palun esitage abisaaja poolt abi andvale asutusele saadetud abitaotluse koopia ja tööde alustamise kuupäeva kinnitav tõend.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Palun kirjeldage abi ergutava mõju selgitamiseks vastupidist stsenaariumi, viidates ühele regionaalabi suuniste punktis 59 sätestatud kahest stsenaariumist.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Kui regionaalabi antakse ühtekuuluvuspoliitika fondide või EAFRD vahendusel punkti a aladel investeeringuteks, mida on vaja ELi õigusaktides kehtestatud normatiivide saavutamiseks, selgitage palun järgmist (ja esitage tõendavad dokumendid):</w:t>
      </w:r>
    </w:p>
    <w:p w14:paraId="4DC89A4E" w14:textId="77777777" w:rsidR="00B719F2" w:rsidRDefault="00B719F2" w:rsidP="00B719F2">
      <w:pPr>
        <w:pStyle w:val="Normal127Bullet63"/>
      </w:pPr>
      <w:r>
        <w:t>Millist normatiivi silmas peetakse?</w:t>
      </w:r>
    </w:p>
    <w:p w14:paraId="23D487CA" w14:textId="77777777" w:rsidR="00B719F2" w:rsidRDefault="00B719F2" w:rsidP="00B719F2">
      <w:pPr>
        <w:pStyle w:val="Normal127Bullet63"/>
      </w:pPr>
      <w:r>
        <w:t xml:space="preserve">Miks on investeering normatiivi saavutamiseks vajalik? </w:t>
      </w:r>
    </w:p>
    <w:p w14:paraId="2B6A27FA" w14:textId="77777777" w:rsidR="00B719F2" w:rsidRDefault="00B719F2" w:rsidP="00B719F2">
      <w:pPr>
        <w:pStyle w:val="Normal127Bullet63"/>
        <w:spacing w:after="120"/>
      </w:pPr>
      <w:r>
        <w:t>Miks ei oleks abisaajal abi puudumise korral võimalik teha asjaomases piirkonnas piisavalt tulusat investeeringut (RAG punkt 61)?</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Meetme asjakohasus</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Kui teatises käsitletakse sihtotstarbelise üksikabi andmist, siis tõendage palun, kuidas selline abi aitab asjaomase piirkonna arengule paremini kaasa kui kava alusel antav abi või muud liiki meetmed (RAG punkt 83):</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687B5E11"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Juhul kui abi antakse vormis, mis annab otsese varalise kasu,</w:t>
      </w:r>
      <w:r>
        <w:rPr>
          <w:color w:val="000000"/>
          <w:vertAlign w:val="superscript"/>
        </w:rPr>
        <w:footnoteReference w:id="14"/>
      </w:r>
      <w:r>
        <w:rPr>
          <w:color w:val="000000"/>
        </w:rPr>
        <w:t xml:space="preserve"> tõendage palun, miks ei peeta asjakohaseks muid, potentsiaalselt vähem moonutavaid abivorme, nagu tagasimakstavad ettemaksed, või abivorme, mis põhinevad võla- või omakapitaliinstrumentidel</w:t>
      </w:r>
      <w:r>
        <w:rPr>
          <w:rStyle w:val="FootnoteReference"/>
          <w:color w:val="000000"/>
        </w:rPr>
        <w:footnoteReference w:id="15"/>
      </w:r>
      <w:r w:rsidR="00B94E16">
        <w:rPr>
          <w:color w:val="000000"/>
        </w:rPr>
        <w:t xml:space="preserve"> (RAG punkt 85):</w:t>
      </w:r>
      <w:bookmarkStart w:id="0" w:name="_GoBack"/>
      <w:bookmarkEnd w:id="0"/>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Meetme proportsionaalsus</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1. stsenaariumi puhul esitage palun järgmine teave (või viidake esitatud vastupidise stsenaariumi asjakohastele osadele) (RAG punkt 96):</w:t>
      </w:r>
    </w:p>
    <w:p w14:paraId="6CC248A9" w14:textId="77777777" w:rsidR="007D318F" w:rsidRPr="009830AE" w:rsidRDefault="000432CC" w:rsidP="007D318F">
      <w:pPr>
        <w:pStyle w:val="Normal127Bullet63"/>
        <w:spacing w:after="120"/>
      </w:pPr>
      <w:r>
        <w:t>investeeringu sisemise tulumäära arvutused abi saamise ja abist ilmajäämise korral</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äriühingu asjakohased näitajad (nt tavapärane kasumlikkus, mida abisaaja sarnaste projektide puhul eeldab, ettevõtja kapitalikulud kokku, sektori võrdlusnäitajad):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selgitage eelneva põhjal, miks on abi puhul tegemist vajaliku miinimumiga projekti piisava kasumlikkuse saavutamiseks: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2. stsenaariumi puhul esitage palun järgmine teave (või viidake esitatud vastupidise stsenaariumi asjakohastele osadele) (RAG punkt 97):</w:t>
      </w:r>
    </w:p>
    <w:p w14:paraId="552DA4A4" w14:textId="77777777" w:rsidR="00F52BA4" w:rsidRDefault="00AC3C96" w:rsidP="007D318F">
      <w:pPr>
        <w:pStyle w:val="Normal127Bullet63"/>
        <w:spacing w:before="120" w:after="120"/>
      </w:pPr>
      <w:r>
        <w:t>sihtpiirkonnas tehtava investeeringu ja muus asukohas tehtava investeeringu nüüdispuhasväärtuste erinevuse arvutused</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lastRenderedPageBreak/>
              <w:t>…</w:t>
            </w:r>
          </w:p>
        </w:tc>
      </w:tr>
    </w:tbl>
    <w:p w14:paraId="0F4E039D" w14:textId="77777777" w:rsidR="001A3C89" w:rsidRDefault="001A3C89" w:rsidP="001A3C89">
      <w:pPr>
        <w:pStyle w:val="Normal127Bullet63"/>
        <w:spacing w:before="120" w:after="120"/>
      </w:pPr>
      <w:r>
        <w:t>kõik eespool esitatud arvutustes kasutatud parameetrid (sh asjaomane ajavahemik, kasutatud diskontomäär jne):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selgitus, miks eespool esitatud teabe põhjal ei ületa abisumma sihtpiirkonnas tehtud investeeringu nüüdispuhasväärtuse ja muus asukohas tehtud investeeringu nüüdispuhasväärtuse vahet: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Konkurentsi ja kaubanduse põhjendamatu kahjustamise vältimine</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Asjaomase turu määratlus</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Palun esitage järgmine teave, mille põhjal saab teha kindlaks asjaomased tooteturud (st tooted, mida abisaaja käitumise muutumine mõjutab) ning mõjutatud konkurendid ja kliendid/tarbijad (RAG punktid 124 ja 125):</w:t>
      </w:r>
    </w:p>
    <w:p w14:paraId="1B28B2AD" w14:textId="28C92B94" w:rsidR="000432CC" w:rsidRPr="009830AE" w:rsidRDefault="005D2380" w:rsidP="0015397B">
      <w:pPr>
        <w:pStyle w:val="Normal127Bullet63"/>
        <w:spacing w:before="120" w:after="120"/>
      </w:pPr>
      <w:r>
        <w:t>Palun märkige kõik tooted, mida abi saavas ettevõttes pärast investeeringu lõpuleviimist tootma hakatakse, ning lisage vastav NACE või PRODCOMi kood või teenindussektori projektide puhul CPA kood.</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Palun märkige, kas projektiga kavandatav toode asendab mõnda muud abisaaja toodetavat toodet (kontserni tasandil). Millist toodet või tooteid uus toode asendab? Kui asendatavat toodet / asendatavaid tooteid ei valmistata samas tootmisrajatises, märkige nende praegune tootmiskoht. Palun kirjeldage seost asendatava toote ja käesoleva investeeringu vahel ning esitage asendamise ajakava.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Palun märkige, millist muud toodet / milliseid muid tooteid saab valmistada samas uues tootmisrajatises (lähtuvalt abisaaja tootmisseadmete paindlikkusest) väheste lisakuludega või lisakuludeta.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Palun selgitage, kas projekt hõlmab vahetoodet ning kas suur osa toodangust müüakse muul viisil kui turutingimuste alusel. Lähtuvalt eespool esitatud selgitusest ning selleks, et arvutada turuosa ja võimsuse suurenemist selles sektoris, märkige palun, kas asjaomane toode on projektis kavandatud toode või on tegemist tootmisahela järgmise etapi tootega.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 xml:space="preserve">Palun märkige asjaomane tooteturg (asjaomased tooteturud). Asjaomane tooteturg hõlmab turgu, kus müüakse kõnealust toodet ja nõudluspoolseid asendustooteid, st tooteid, mida tarbijad käsitavad asendustootena (toote omaduste, hinna ja kasutusotstarbe põhjal), või pakkumispoolseid asendustooteid, st tooteid, mida tootjad peavad asendustoodeteks (lähtuvalt abisaaja ja tema konkurentide tootmisseadmete paindlikkusest). Palun </w:t>
      </w:r>
      <w:r>
        <w:lastRenderedPageBreak/>
        <w:t>märkige, mida te peate sellisel juhul vastavateks nõudlus- ja pakkumispoolseteks asendustoodeteks. Palun esitage võimaluse korral sõltumatu kolmanda isiku tõendeid, mis kinnitavad teie järeldusi selles küsimuses.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Palun esitage teave ja seda kinnitavad tõendid abisaaja asjakohase geograafilise turu kohta: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1. stsenaariumi puhul</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Turujõud (RAG punktid 108 ja 127):</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Palun esitage alljärgnev teave abisaaja turupositsiooni kohta (enne abi saamist ja investeeringu lõppedes eeldatavasti saavutatav turupositsioon) (</w:t>
      </w:r>
      <w:r>
        <w:rPr>
          <w:color w:val="000000"/>
          <w:u w:val="single"/>
        </w:rPr>
        <w:t>RAG punkt 133)</w:t>
      </w:r>
      <w:r>
        <w:rPr>
          <w:color w:val="000000"/>
        </w:rPr>
        <w:t>:</w:t>
      </w:r>
    </w:p>
    <w:p w14:paraId="529235B7" w14:textId="77777777" w:rsidR="000432CC" w:rsidRPr="009830AE" w:rsidRDefault="000432CC" w:rsidP="0015397B">
      <w:pPr>
        <w:pStyle w:val="Normal127Bullet63"/>
        <w:spacing w:after="120"/>
      </w:pPr>
      <w:r>
        <w:t>abisaaja hinnanguline kogumüük (kontserni tasandil) asjaomasel turul (rahaline väärtus ja mahud).</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kõigi tootjate hinnanguline kogumüük asjaomasel turul (rahaline väärtus ja mahud). Võimaluse korral lisage avalikest ja/või sõltumatutest allikatest pärit statistilised andmed.</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Esitage asjaomase turu struktuuri kohta hinnang, milles käsitletakse näiteks turu kontsentratsiooni taset, võimalikke takistusi turule sisenemisel, tarbijate ostujõudu ning takistusi laienemisel või turult lahkumisel. </w:t>
      </w:r>
      <w:r>
        <w:t>Palun esitage võimaluse korral sõltumatu kolmanda isiku tõendeid, mis kinnitavad teie järeldusi selles küsimuses.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Tootmisvõimsus (RAG punkti 127 alapunkt 1):</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Märkige investeeringuga loodav hinnanguline täiendav tootmisvõimsus (rahaline väärtus ja maht):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lastRenderedPageBreak/>
        <w:t>Kõigil juhtudel</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Selge negatiivne mõju:</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1. stsenaariumi puhul esitage palun asjaomase tooteturu kohta järgmine teave ja seda kinnitavad tõendid</w:t>
      </w:r>
      <w:r>
        <w:rPr>
          <w:vertAlign w:val="superscript"/>
        </w:rPr>
        <w:footnoteReference w:id="19"/>
      </w:r>
      <w:r>
        <w:rPr>
          <w:color w:val="000000"/>
        </w:rPr>
        <w:t>:</w:t>
      </w:r>
    </w:p>
    <w:p w14:paraId="10046A66" w14:textId="77777777" w:rsidR="00BA3F74" w:rsidRDefault="00BA3F74" w:rsidP="00BA3F74">
      <w:pPr>
        <w:pStyle w:val="Normal127Bullet63"/>
      </w:pPr>
      <w:r>
        <w:t>Kas asjaomane turg on pikaajalises perspektiivis absoluutses struktuurses languses (st sel on negatiivne kasvumäär) (RAG punkt 130)?</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Kas asjaomane turg on suhtelises languses (st selle kasvumäär on positiivne, kuid ei ületa võrdlusaluseks olevat kasvumäära) (RAG punkt 130)?</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2. stsenaariumi puhul märkige palun, kas ilma abita oleks investeering paigutatud mõnda teise piirkonda, kus regionaalabi osakaal on suurem kui sihtpiirkonnas või samal tasemel (RAG punkt 117)</w:t>
      </w:r>
      <w:r>
        <w:t>. Palun esitage oma seisukoha toetuseks tõendusmaterjali.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Palun kinnitage, kas abisaaja on esitanud avalduse, milles kinnitab, et ei ole (kontserni tasandil) lõpetanud EMPs kahe aasta jooksul enne abi taotlemise kuupäeva sama või sarnast tegevust või et tal ei ole abi taotlemise hetkel kavatsust sellist tegevust EMPs kahe aasta jooksul pärast investeeringu lõpuleviimist lõpetada (RAG punkt 118).</w:t>
      </w:r>
    </w:p>
    <w:p w14:paraId="6230E8D6" w14:textId="77777777" w:rsidR="00D1583F" w:rsidRPr="00F24AED" w:rsidRDefault="00D1583F" w:rsidP="00D1583F">
      <w:pPr>
        <w:pStyle w:val="Normal127"/>
        <w:tabs>
          <w:tab w:val="clear" w:pos="720"/>
          <w:tab w:val="clear" w:pos="1440"/>
          <w:tab w:val="left" w:pos="1418"/>
        </w:tabs>
        <w:ind w:left="1418"/>
      </w:pPr>
      <w:r>
        <w:t>Kui selline avaldus on esitatud, palun lisage teatele selle koopia. Kui avaldust ei ole esitatud, selgitage palun, miks seda ei ole tehtud.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Kui abisaaja (kontserni tasandil) on lõpetanud sama või sarnase tegevuse EMP muus piirkonnas kahe aasta jooksul enne abi taotlemist või kui ta kavatseb seda teha kahe aasta jooksul pärast investeeringu lõpuleviimist, ning kui ta on viinud selle tegevuse üle sihtpiirkonda või kavatseb seda teha, siis selgitage, miks ta arvab, et abi ja tegevuse üleviimise vahel ei ole põhjuslikku seost (RAG punkt 118).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Palun selgitage, kas riigiabi otsese tagajärjena võib EMPs kaduda märkimisväärne arv töökohti nende praegustes asukohtades. Kui võib, siis </w:t>
      </w:r>
      <w:r>
        <w:rPr>
          <w:color w:val="000000"/>
        </w:rPr>
        <w:lastRenderedPageBreak/>
        <w:t>palun märkige kaotsi minevate töökohtade arv ja protsent asukoha töötajate koguarvust.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Läbipaistvus </w:t>
            </w:r>
          </w:p>
        </w:tc>
      </w:tr>
    </w:tbl>
    <w:p w14:paraId="54B7A160" w14:textId="77777777" w:rsidR="00733697" w:rsidRPr="00562FB9" w:rsidRDefault="00733697" w:rsidP="0010307A">
      <w:pPr>
        <w:pStyle w:val="NumPar3"/>
        <w:numPr>
          <w:ilvl w:val="1"/>
          <w:numId w:val="2"/>
        </w:numPr>
        <w:spacing w:before="240"/>
        <w:ind w:left="709" w:hanging="709"/>
      </w:pPr>
      <w:r>
        <w:t>Palun kinnitage, et üksikabi andmiseks vastu võetud otsuse või heakskiidetud abikava ja selle rakendussätete täistekst või link sellele</w:t>
      </w:r>
      <w:bookmarkStart w:id="1" w:name="_Ref44059869"/>
      <w:r>
        <w:t xml:space="preserve"> ja teave iga üle 100 000 euro suuruse üksikabi kohta avaldatakse VIII lisa struktuuri kasutades</w:t>
      </w:r>
      <w:bookmarkEnd w:id="1"/>
      <w:r>
        <w:t xml:space="preserve"> Euroopa Komisjoni läbipaistvusmoodulis või ülevaatlikul riigiabi veebisaidil riiklikul või piirkondlikul tasandil</w:t>
      </w:r>
      <w:r>
        <w:rPr>
          <w:rStyle w:val="FootnoteReference"/>
        </w:rPr>
        <w:footnoteReference w:id="20"/>
      </w:r>
      <w:r>
        <w:t xml:space="preserve"> kuue kuu jooksul alates abi andmise kuupäevast või maksusoodustuste vormis antava abi puhul ühe aasta jooksul alates maksudeklaratsiooni esitamise tähtpäevast.</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Jah</w:t>
      </w:r>
    </w:p>
    <w:p w14:paraId="331C5D5F" w14:textId="77777777" w:rsidR="00733697" w:rsidRDefault="00733697" w:rsidP="0010307A">
      <w:pPr>
        <w:pStyle w:val="NumPar3"/>
        <w:numPr>
          <w:ilvl w:val="1"/>
          <w:numId w:val="2"/>
        </w:numPr>
        <w:spacing w:before="240"/>
        <w:ind w:left="709" w:hanging="709"/>
      </w:pPr>
      <w:r>
        <w:t>Palun esitage viide õigusliku aluse sätetele, millega on ette nähtud, et abi andev asutus peab avaldama Euroopa Komisjoni läbipaistvusmoodulis või ülevaatlikul riigiabi veebisaidil riiklikul või piirkondlikul tasandil</w:t>
      </w:r>
      <w:r>
        <w:rPr>
          <w:rStyle w:val="FootnoteReference"/>
        </w:rPr>
        <w:footnoteReference w:id="21"/>
      </w:r>
      <w:r>
        <w:t xml:space="preserve"> teatamisele kuuluvate riigiabikavade kohta vähemalt järgmise teabe: teatatud abikava tekst ja selle rakendussätted, abi andev asutus, konkreetsed abisaajad, abisumma abisaaja kohta ning abi osakaal (RAG punkt 136).</w:t>
      </w:r>
    </w:p>
    <w:p w14:paraId="6236CB31" w14:textId="77777777" w:rsidR="00733697" w:rsidRDefault="00733697" w:rsidP="0010307A">
      <w:pPr>
        <w:pStyle w:val="NumPar3"/>
        <w:spacing w:before="240"/>
        <w:ind w:left="709"/>
      </w:pPr>
      <w:r>
        <w:t>Kui selliseid sätteid ei ole esitatud, palun selgitage, miks. Juhul kui teatatud kava õiguslik alus selliseid sätteid ei sisalda, kuid need on teistes seadusandlusega seotud dokumentides, siis palun märkige need.</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Palun esitage viited õigusliku aluse sätetele, millega on ette nähtud, et eespool esitatud teave tehakse üldsusele piiranguteta kättesaadavaks vähemalt kümneks aastaks alates abi andmise kuupäevast (RAG punkt 140).</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Aruandlus ja järelevalve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Kinnitage, et kooskõlas nõukogu 13. juuli 2015. aasta määrusega (EL) nr 2015/1589 ja komisjoni 21. aprilli 2004. aasta määrusega (EÜ) nr 794/2004, millega rakendatakse nõukogu määrust (EL) 2015/1589, millega kehtestatakse üksikasjalikud eeskirjad Euroopa Liidu toimimise lepingu artikli 108 kohaldamiseks, esitatakse komisjonile aastaaruanded.</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lastRenderedPageBreak/>
        <w:fldChar w:fldCharType="begin">
          <w:ffData>
            <w:name w:val="Check1"/>
            <w:enabled/>
            <w:calcOnExit w:val="0"/>
            <w:checkBox>
              <w:sizeAuto/>
              <w:default w:val="0"/>
            </w:checkBox>
          </w:ffData>
        </w:fldChar>
      </w:r>
      <w:r>
        <w:rPr>
          <w:b/>
        </w:rPr>
        <w:instrText xml:space="preserve"> FORMCHECKBOX </w:instrText>
      </w:r>
      <w:r w:rsidR="00B94E16">
        <w:rPr>
          <w:b/>
        </w:rPr>
      </w:r>
      <w:r w:rsidR="00B94E16">
        <w:rPr>
          <w:b/>
        </w:rPr>
        <w:fldChar w:fldCharType="separate"/>
      </w:r>
      <w:r>
        <w:rPr>
          <w:b/>
        </w:rPr>
        <w:fldChar w:fldCharType="end"/>
      </w:r>
      <w:r>
        <w:rPr>
          <w:b/>
        </w:rPr>
        <w:t xml:space="preserve"> </w:t>
      </w:r>
      <w:r>
        <w:tab/>
        <w:t>Jah</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t>Palun kinnitage, et säilitate vähemalt kümme aastat alates abi andmise kuupäevast üksikasjalikud andmed, mis sisaldavad vajalikku teavet ja dokumente, et tõendada kõigi kokkusobivuse tingimuste täitmist, ja esitate need vastava taotluse korral Euroopa Komisjonile.</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B94E16">
        <w:fldChar w:fldCharType="separate"/>
      </w:r>
      <w:r>
        <w:fldChar w:fldCharType="end"/>
      </w:r>
      <w:r>
        <w:t xml:space="preserve"> </w:t>
      </w:r>
      <w:r>
        <w:tab/>
        <w:t>Jah</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Regionaalabi suunised </w:t>
      </w:r>
      <w:r>
        <w:rPr>
          <w:rStyle w:val="Emphasis"/>
          <w:i w:val="0"/>
        </w:rPr>
        <w:t>(ELT C 153, 29.4.2021, lk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 xml:space="preserve"> </w:t>
      </w:r>
      <w:r>
        <w:tab/>
        <w:t>„Sama või sarnane tegevusala“ – Euroopa Liidu majanduse tegevusalade statistilise klassifikaatori (NACE Rev. 2) samasse klassi (neljakohaline arvkood) kuuluv tegevusala.</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t>Selliste äriühingute määratlus on esitatud komisjoni teatises „Suunised raskustes olevate mittefinantsettevõtjate päästmiseks ja ümberkorraldamiseks antava riigiabi kohta“ (ELT C 249, 31.7.2014, lk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 xml:space="preserve"> </w:t>
      </w:r>
      <w:r>
        <w:tab/>
        <w:t>VKEd on ettevõtjad, kes vastavad komisjoni 6. mai 2003. aasta soovituses (mikro-, väike- ja keskmise suurusega ettevõtjate määratluse kohta, ELT L 124, 20.5.2003, lk 36) sätestatud tingimustele.</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t>Üksnes ettevõtte aktsiate omandamine alginvesteeringuks ei kvalifitseeru.</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Need tingimused on järgmised: 1) investeering on seotud alginvesteeringuga õiglase ülemineku fondist kaasrahastatud toetuse saamiseks kindlaks määratud piirkonna punkti c alas, mille SKP elaniku kohta on väiksem kui 100 % EL 27 keskmisest; 2) investeering ja abisaaja on määratud kindlaks liikmesriigi õiglase ülemineku territoriaalses kavas, mille on heaks kiitnud komisjon, ning 3) investeeringuks antav riigiabi kaetakse õiglase ülemineku fondist maksimaalselt lubatud piirides.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t>Üksnes ettevõtte aktsiate omandamine ei kvalifitseeru uut majandustegevust tekitavaks alginvesteeringuks.</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t>Seda punkti ei kohaldata VKEde puhul ja ettevõtte omandamise korral.</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t>RAG punktis 33 on sätestatud, et suurettevõtjate puhul on immateriaalse vara kulud abikõlblikud ainult kuni 50 % ulatuses alginvesteeringu kõigist abikõlblikest investeerimiskuludest. VKEde puhul on abikõlblikud 100 % immateriaalse vara kuludest.</w:t>
      </w:r>
      <w:r>
        <w:tab/>
        <w:t>RAG punktis 34 on sätestatud, et investeerimiskulude arvutamisel arvesse võetav immateriaalne vara peab jääma seotuks asjaomase piirkonnaga ning seda ei tohi üle viia teistesse piirkondadesse. Selleks peab immateriaalne vara vastama järgmistele tingimustele:</w:t>
      </w:r>
    </w:p>
    <w:p w14:paraId="701B08D5" w14:textId="77777777" w:rsidR="00823C32" w:rsidRDefault="00823C32" w:rsidP="0010307A">
      <w:pPr>
        <w:pStyle w:val="FootnoteText"/>
        <w:numPr>
          <w:ilvl w:val="0"/>
          <w:numId w:val="38"/>
        </w:numPr>
        <w:tabs>
          <w:tab w:val="clear" w:pos="720"/>
          <w:tab w:val="left" w:pos="709"/>
        </w:tabs>
        <w:ind w:left="709" w:hanging="425"/>
      </w:pPr>
      <w:r>
        <w:t>seda tuleb kasutada üksnes abi saavas ettevõttes;</w:t>
      </w:r>
    </w:p>
    <w:p w14:paraId="582ED1B5" w14:textId="77777777" w:rsidR="00823C32" w:rsidRDefault="00823C32" w:rsidP="0010307A">
      <w:pPr>
        <w:pStyle w:val="FootnoteText"/>
        <w:numPr>
          <w:ilvl w:val="0"/>
          <w:numId w:val="38"/>
        </w:numPr>
        <w:tabs>
          <w:tab w:val="clear" w:pos="720"/>
          <w:tab w:val="left" w:pos="709"/>
        </w:tabs>
        <w:ind w:left="709" w:hanging="425"/>
      </w:pPr>
      <w:r>
        <w:t>see peab olema amortiseeritav;</w:t>
      </w:r>
    </w:p>
    <w:p w14:paraId="172FF030" w14:textId="77777777" w:rsidR="00823C32" w:rsidRDefault="00823C32" w:rsidP="0010307A">
      <w:pPr>
        <w:pStyle w:val="FootnoteText"/>
        <w:numPr>
          <w:ilvl w:val="0"/>
          <w:numId w:val="38"/>
        </w:numPr>
        <w:tabs>
          <w:tab w:val="clear" w:pos="720"/>
          <w:tab w:val="left" w:pos="709"/>
        </w:tabs>
        <w:ind w:left="709" w:hanging="425"/>
      </w:pPr>
      <w:r>
        <w:t>see peab olema ostetud turutingimustel ostjaga mitteseotud kolmandatelt isikutelt;</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see peab olema arvatud abi saava ettevõtja vara hulka ja peab jääma vähemalt viieks aastaks (VKEde puhul kolmeks aastaks) seotuks projektiga, mille jaoks abi antakse.</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Komisjoni teatis kehtivate riigiabi tagastamise intressimäärade ja viite-/diskontomäärade kohta kehtivusega alates 1. maist 2021 (avaldatud vastavalt komisjoni 21. aprilli 2004. aasta määruse (EÜ) nr 794/2004 (ELT L 140, 30.4.2004, lk 1) artiklile 10) (ELT C 139, 20.4.2021, lk 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Abisumma(d) ja abikõlblikud kulud tuleks esitada nii nominaal- kui ka diskonteeritud väärtuses.</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Selleks võite </w:t>
      </w:r>
      <w:r>
        <w:rPr>
          <w:color w:val="000000"/>
        </w:rPr>
        <w:t>näiteks viidata RAG punktis 50 loetletud kriteeriumidele ja/või abisaaja äriplaanile. Oodatav positiivne mõju võib näiteks olla loodud või säilitatud töökohtade arv, teadus-, arendus- ja uuendustegevus, koolitustegevus, klastri loomine ning projekti võimalik panus piirkonna majanduse rohe- ja digipöördesse (sealhulgas vajaduse korral teave selle kohta, kas investeering on ELi taksonoomiamääruse 2020/852 tähenduses keskkonnasäästlik).</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Seda punkti ei kohaldata subsideeritud laenude, avaliku sektori omakapitalilaenude või riigiosaluse korral, mis ei vasta turumajandusliku investori põhimõttele, abi elemente sisaldavate riigigarantiide või vähese tähtsusega abi eeskirja alusel antud riikliku toetuse korral.</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t>Näiteks otsetoetused, vabastused või soodustused seoses maksude, sotsiaalkindlustusmaksete või muude kohustuslike tasudega või maa, kauba või teenuste pakkumine soodsate hindadega jms.</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t>Näiteks madala intressiga laenud või intressisoodustused, riigigarantiid, aktsiate ostmine või alternatiivne kapitalisüst soodsatel tingimustel.</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Sisemise tulumäära arvutamise aluseks olev ajavahemik peaks vastama ajavahemikule, mida tööstusharus sarnaste projektide korral tavaliselt kasutatakse.</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t>Arvesse tuleb võtta kõiki asjakohaseid kulusid ja kogu asjakohast kasu, sealhulgas näiteks haldus-, transpordi- ja koolituskulusid, mida ei kaeta koolitusabiga, ning palgaerinevusi. Kui aga alternatiivne asukoht paikneb EMPs, siis selles teises kohas antud toetusi arvesse võtta ei tohi.</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t>Palun esitage see teave ka 2. stsenaariumi puhul, kus vastupidise stsenaariumi korral tehtaks investeering mõnel teisel geograafilisel turul.</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t>Turu ebatõhusust mõõdetakse üldjuhul lähtuvalt EMP SKPst projekti algusele eelneva kolme aasta jooksul (võrdlusmäär). Seda saab mõõta ka järgmise kolme kuni viie aasta prognoositud kasvumäärade alusel. Näitajateks võivad olla asjaomase turu eeldatav kasv, sellest tulenev tootmisvõimsuse rakendamise aste ning tootmisvõimsuse kasvu tõenäoline mõju konkurentidele hindade ja kasumimarginaali seisukohast.</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Nagu on täpsustatud komisjoni 17. juuni 2014. aasta määruse (EL) nr 651/2014 (ELi aluslepingu artiklite 107 ja 108 kohaldamise kohta, millega teatavat liiki abi tunnistatakse siseturuga kokkusobivaks) III lisas.</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Nagu on täpsustatud komisjoni 17. juuni 2014. aasta määruse (EL) nr 651/2014 (ELi aluslepingu artiklite 107 ja 108 kohaldamise kohta, millega teatavat liiki abi tunnistatakse siseturuga kokkusobivaks) III lisas.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94E16"/>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et-EE"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et-EE"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et-EE"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4B5F9-9225-4FC9-9B78-64C7586E2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3827</Words>
  <Characters>19712</Characters>
  <Application>Microsoft Office Word</Application>
  <DocSecurity>0</DocSecurity>
  <Lines>788</Lines>
  <Paragraphs>331</Paragraphs>
  <ScaleCrop>false</ScaleCrop>
  <Company/>
  <LinksUpToDate>false</LinksUpToDate>
  <CharactersWithSpaces>23208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2023-01-25T13:44:00Z</dcterms:modified>
</cp:coreProperties>
</file>