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 xml:space="preserve">ΜΕΡΟΣ ΙΙΙ. ΣΥΜΠΛΗΡΩΜΑΤΙΚΑ ΔΕΛΤΙΑ ΠΛΗΡΟΦΟΡΙΩΝ</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 xml:space="preserve">Μέρος III.1.A</w:t>
            </w:r>
          </w:p>
          <w:p w14:paraId="0B352C8D" w14:textId="77777777" w:rsidR="000432CC" w:rsidRDefault="00EA65BD" w:rsidP="00C830F1">
            <w:pPr>
              <w:pStyle w:val="ChapterTitle"/>
              <w:spacing w:after="240"/>
              <w:rPr>
                <w:bCs w:val="0"/>
                <w:color w:val="000000"/>
                <w:sz w:val="28"/>
                <w:szCs w:val="28"/>
              </w:rPr>
            </w:pPr>
            <w:r>
              <w:rPr>
                <w:color w:val="000000"/>
                <w:sz w:val="28"/>
              </w:rPr>
              <w:t xml:space="preserve">Επικαιροποιημένο* Συμπληρωματικό δελτίο πληροφοριών σχετικά με τις μεμονωμένες επενδυτικές ενισχύσεις περιφερειακού χαρακτήρα</w:t>
            </w:r>
          </w:p>
          <w:p w14:paraId="11FAC6A9" w14:textId="77777777" w:rsidR="00291206" w:rsidRPr="00291206" w:rsidRDefault="00EA65BD" w:rsidP="00C830F1">
            <w:pPr>
              <w:jc w:val="left"/>
            </w:pPr>
            <w:r>
              <w:t xml:space="preserve">* χωρίς επίσημη έγκριση</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 xml:space="preserve">Το παρόν συμπληρωματικό δελτίο πληροφοριών δεν είναι υποχρεωτικό.</w:t>
      </w:r>
      <w:r>
        <w:t xml:space="preserve"> </w:t>
      </w:r>
      <w:r>
        <w:t xml:space="preserve">Συνιστάται, ωστόσο, η συμπλήρωσή του, επιπλέον του εντύπου “Γενικές πληροφορίες”, για την κοινοποίηση όλων των μεμονωμένων επενδυτικών ενισχύσεων που καλύπτονται από τις κατευθυντήριες γραμμές για τις κρατικές ενισχύσεις περιφερειακού χαρακτήρα που εφαρμόζονται από την 1η Ιανουαρίου 2022 (ΚΓΠΕ).</w:t>
      </w:r>
      <w:r>
        <w:rPr>
          <w:iCs/>
          <w:szCs w:val="24"/>
          <w:vertAlign w:val="superscript"/>
        </w:rPr>
        <w:footnoteReference w:id="1"/>
      </w:r>
      <w:r>
        <w:t xml:space="preserve">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 xml:space="preserve">Πεδίο εφαρμογής</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 xml:space="preserve">Λόγοι για την κοινοποίηση του μέτρου:</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Η κοινοποίηση αφορά μεμονωμένη ενίσχυση που χορηγείται στο πλαίσιο καθεστώτος και η ενίσχυση από κάθε πηγή υπερβαίνει το όριο κοινοποίησης.</w:t>
      </w:r>
      <w:r>
        <w:t xml:space="preserve"> </w:t>
      </w:r>
      <w:r>
        <w:t xml:space="preserve">Αναφέρετε τα στοιχεία αναφοράς των κρατικών ενισχύσεων για τα σχετικά εγκεκριμένα καθεστώτα ή τα καθεστώτα ενισχύσεων που υπάγονται σε απαλλαγή κατά κατηγορία:</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w:t>
            </w:r>
            <w:r>
              <w:t xml:space="preserve"> </w:t>
            </w:r>
          </w:p>
        </w:tc>
      </w:tr>
    </w:tbl>
    <w:p w14:paraId="49EF6F99" w14:textId="77777777" w:rsidR="000432CC" w:rsidRPr="009830AE" w:rsidRDefault="000432CC" w:rsidP="00D2200E">
      <w:pPr>
        <w:pStyle w:val="Normal127Indent127"/>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Η κοινοποίηση αφορά μεμονωμένη ενίσχυση που χορηγείται εκτός του πλαισίου ενός καθεστώτος (ενίσχυση ad hoc).</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Η κοινοποίηση αφορά ενίσχυση που χορηγείται σε δικαιούχο που έχει διακόψει την ίδια ή παρόμοια δραστηριότητα</w:t>
      </w:r>
      <w:r>
        <w:rPr>
          <w:rStyle w:val="FootnoteReference"/>
          <w:color w:val="000000"/>
        </w:rPr>
        <w:footnoteReference w:id="2"/>
      </w:r>
      <w:r>
        <w:t xml:space="preserve"> εντός του ΕΟΧ δύο έτη πριν από την ημερομηνία της αίτησης για χορήγηση ενίσχυσης, ή που, κατά τη στιγμή υποβολής της αίτησης, για ενίσχυση προτίθεται να διακόψει τη δραστηριότητα αυτή, εντός περιόδου δύο ετών από την ολοκλήρωση της προς επιδότηση επένδυσης.</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Άλλοι (να διευκρινιστούν)</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w:t>
            </w:r>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 xml:space="preserve">Πεδίο εφαρμογής του κοινοποιηθέντος μέτρου ενίσχυσης</w:t>
      </w:r>
    </w:p>
    <w:p w14:paraId="42026524" w14:textId="77777777" w:rsidR="00840F2A" w:rsidRDefault="000432CC" w:rsidP="00C359A9">
      <w:pPr>
        <w:pStyle w:val="NormalKop111"/>
        <w:numPr>
          <w:ilvl w:val="2"/>
          <w:numId w:val="2"/>
        </w:numPr>
        <w:spacing w:before="0"/>
        <w:ind w:left="720" w:firstLine="0"/>
        <w:rPr>
          <w:color w:val="000000"/>
        </w:rPr>
      </w:pPr>
      <w:r>
        <w:rPr>
          <w:color w:val="000000"/>
        </w:rPr>
        <w:t xml:space="preserve">Επιβεβαιώστε ότι ο δικαιούχος δεν είναι προβληματική επιχείρηση</w:t>
      </w:r>
      <w:r>
        <w:rPr>
          <w:color w:val="000000"/>
          <w:vertAlign w:val="superscript"/>
        </w:rPr>
        <w:footnoteReference w:id="3"/>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t xml:space="preserve">…</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color w:val="000000"/>
          <w:rFonts w:cs="Times New Roman"/>
        </w:rPr>
      </w:pPr>
      <w:r>
        <w:t xml:space="preserve">Υποβάλετε αντίγραφο του εντύπου αίτησης και τη συμφωνία χορήγησης της ενίσχυσης ή σχέδιο αυτής.</w:t>
      </w:r>
      <w:r>
        <w:t xml:space="preserve">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 xml:space="preserve">Συμπληρωματικές πληροφορίες σχετικά με τον δικαιούχο, το επενδυτικό σχέδιο και την ενίσχυση</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 xml:space="preserve">Ο δικαιούχος</w:t>
      </w:r>
    </w:p>
    <w:p w14:paraId="32A2F06C" w14:textId="77777777" w:rsidR="007E5B4A" w:rsidRPr="007E5B4A" w:rsidRDefault="00025F6C" w:rsidP="00D2200E">
      <w:pPr>
        <w:pStyle w:val="NormalKop111"/>
        <w:numPr>
          <w:ilvl w:val="2"/>
          <w:numId w:val="2"/>
        </w:numPr>
        <w:ind w:left="720" w:firstLine="0"/>
        <w:rPr>
          <w:color w:val="000000"/>
          <w:rFonts w:cs="Times New Roman"/>
        </w:rPr>
      </w:pPr>
      <w:r>
        <w:rPr>
          <w:color w:val="000000"/>
        </w:rPr>
        <w:t xml:space="preserve">Ταυτότητα του(των) αποδέκτη(-δεκτών) της ενίσχυσης:</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 xml:space="preserve">…</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Εάν η νομική προσωπικότητα του αποδέκτη της ενίσχυσης είναι διαφορετική από εκείνη της επιχείρησης ή των επιχειρήσεων που χρηματοδοτούν το σχέδιο ή του πραγματικού δικαιούχου ή των πραγματικών δικαιούχων, να περιγράψετε τις υπάρχουσες διαφορές και να ταυτοποιήσετε τις άλλες εμπλεκόμενες επιχειρήσεις.</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 xml:space="preserve">…</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Περιγράψτε σαφώς τη σχέση μεταξύ του δικαιούχου, του ομίλου επιχειρήσεων στον οποίο ανήκει και τυχόν άλλων συνδεδεμένων επιχειρήσεων, συμπεριλαμβανομένων των κοινοπραξιών.</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 xml:space="preserve">…</w:t>
            </w:r>
          </w:p>
        </w:tc>
      </w:tr>
    </w:tbl>
    <w:p w14:paraId="758D75E9" w14:textId="77777777" w:rsidR="00162C83" w:rsidRDefault="00162C83" w:rsidP="004A7C2E">
      <w:pPr>
        <w:pStyle w:val="NormalKop11"/>
        <w:numPr>
          <w:ilvl w:val="1"/>
          <w:numId w:val="2"/>
        </w:numPr>
        <w:ind w:left="720" w:hanging="720"/>
        <w:rPr>
          <w:b/>
          <w:color w:val="000000"/>
        </w:rPr>
      </w:pPr>
      <w:r>
        <w:rPr>
          <w:b/>
          <w:color w:val="000000"/>
        </w:rPr>
        <w:t xml:space="preserve">Το επενδυτικό σχέδιο</w:t>
      </w:r>
    </w:p>
    <w:p w14:paraId="4EF16C39" w14:textId="77777777" w:rsidR="00162C83" w:rsidRPr="009830AE" w:rsidRDefault="00162C83" w:rsidP="00D2200E">
      <w:pPr>
        <w:pStyle w:val="NormalKop111"/>
        <w:numPr>
          <w:ilvl w:val="2"/>
          <w:numId w:val="2"/>
        </w:numPr>
        <w:ind w:left="720" w:firstLine="0"/>
        <w:rPr>
          <w:color w:val="000000"/>
          <w:rFonts w:cs="Times New Roman"/>
        </w:rPr>
      </w:pPr>
      <w:r>
        <w:rPr>
          <w:color w:val="000000"/>
        </w:rPr>
        <w:t xml:space="preserve">Παραθέστε τις ακόλουθες πληροφορίες σχετικά με το κοινοποιηθέν επενδυτικό σχέδιο:</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 xml:space="preserve">Ημερομηνία αίτησης ενίσχυσης:</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 xml:space="preserve">Ημερομηνία έναρξης των εργασιών για το επενδυτικό έργο:</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 xml:space="preserve">Ημερομηνία έναρξης της παραγωγής:</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 xml:space="preserve">Ημερομηνία κατά την οποία θα επιτευχθεί η πλήρης παραγωγική ικανότητα:</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 xml:space="preserve">Προβλεπόμενη ημερομηνία ολοκλήρωσης του επενδυτικού σχεδίου:</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 xml:space="preserve">Εάν η κοινοποίηση καλύπτει επένδυση σε μια περιοχή «α» ή επένδυση από μία ή περισσότερες ΜΜΕ</w:t>
      </w:r>
      <w:r>
        <w:rPr>
          <w:rStyle w:val="FootnoteReference"/>
        </w:rPr>
        <w:footnoteReference w:id="4"/>
      </w:r>
      <w:r>
        <w:t xml:space="preserve"> σε μια περιοχή «γ» (παράγραφος 45 των ΚΓΠΕ), διευκρινίστε την κατηγορία ή τις κατηγορίες αρχικής επένδυσης που αφορά η κοινοποίηση (παράγραφος 19 σημείο 13) των ΚΓΠΕ):</w:t>
      </w:r>
      <w:r>
        <w:t xml:space="preserve">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δημιουργία νέας εγκατάστασης</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επέκταση της παραγωγικής ικανότητας υφιστάμενης εγκατάστασης</w:t>
      </w:r>
    </w:p>
    <w:p w14:paraId="4BC3590D"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διαφοροποίηση της παραγωγής υφιστάμενης εγκατάστασης σε προϊόντα που δεν παρήγε προηγουμένως η εγκατάσταση</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θεμελιώδη αλλαγή στη συνολική παραγωγική διαδικασία των προϊόντων που αφορά η επένδυση στην εγκατάσταση</w:t>
      </w:r>
    </w:p>
    <w:p w14:paraId="3DE90299" w14:textId="2A26F94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απόκτηση περιουσιακών στοιχείων που ανήκουν σε εγκατάσταση που έχει κλείσει ή θα είχε κλείσει εάν δεν είχε αγοραστεί</w:t>
      </w:r>
      <w:r>
        <w:rPr>
          <w:rStyle w:val="FootnoteReference"/>
        </w:rPr>
        <w:footnoteReference w:id="5"/>
      </w:r>
    </w:p>
    <w:p w14:paraId="2F15749C" w14:textId="77777777" w:rsidR="007D70E6" w:rsidRPr="005C5DFC" w:rsidRDefault="007D70E6" w:rsidP="00033078">
      <w:pPr>
        <w:pStyle w:val="NumPar3"/>
        <w:numPr>
          <w:ilvl w:val="2"/>
          <w:numId w:val="2"/>
        </w:numPr>
        <w:spacing w:before="240" w:after="240"/>
        <w:ind w:left="1440" w:hanging="720"/>
      </w:pPr>
      <w:r>
        <w:t xml:space="preserve">Εάν η κοινοποίηση καλύπτει επένδυση σε μια περιοχή «γ» από μεγάλη επιχείρηση, διευκρινίστε την κατηγορία ή τις κατηγορίες αρχικής επένδυσης που αφορά η κοινοποίηση [παράγραφος 19 σημείο 14) και παράγραφος 14 των ΚΓΠΕ]:</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δημιουργία νέας εγκατάστασης</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διαφοροποίηση της δραστηριότητας μιας εγκατάστασης, υπό την προϋπόθεση ότι η νέα δραστηριότητα δεν είναι ίδια ή παρόμοια με τη δραστηριότητα που ασκούνταν προηγουμένως στην εγκατάσταση</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διαφοροποίηση της παραγωγής μιας εγκατάστασης σε προϊόντα που δεν παρήγαγε προηγουμένως η εγκατάσταση εφόσον πληρούνται σωρευτικά οι τρεις προϋποθέσεις της παραγράφου 14 των ΚΓΠΕ</w:t>
      </w:r>
      <w:r>
        <w:rPr>
          <w:rStyle w:val="FootnoteReference"/>
        </w:rPr>
        <w:footnoteReference w:id="6"/>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θεμελιώδη αλλαγή στη συνολική παραγωγική διαδικασία των προϊόντων που αφορά η επένδυση στην εγκατάσταση εφόσον πληρούνται σωρευτικά οι τρεις προϋποθέσεις της παραγράφου 14 των ΚΓΠΕ</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απόκτηση περιουσιακών στοιχείων που ανήκουν σε εγκατάσταση που έχει κλείσει ή θα είχε κλείσει εάν δεν είχε αγοραστεί, υπό την προϋπόθεση ότι η νέα δραστηριότητα που θα ασκείται με χρήση των αποκτηθέντων περιουσιακών στοιχείων δεν είναι η ίδια ή παρόμοια δραστηριότητα με τη δραστηριότητα που ασκείτο στην εγκατάσταση πριν από την απόκτηση</w:t>
      </w:r>
      <w:r>
        <w:rPr>
          <w:rStyle w:val="FootnoteReference"/>
        </w:rPr>
        <w:footnoteReference w:id="7"/>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 xml:space="preserve">Δώστε μία σύντομη περιγραφή του επενδυτικού σχεδίου, στην οποία να εξηγείτε επίσης πώς εμπίπτει το εν λόγω σχέδιο σε μία ή περισσότερες από τις κατηγορίες αρχικής επένδυσης που αναφέρονται ανωτέρω:</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 xml:space="preserve">…</w:t>
            </w:r>
          </w:p>
        </w:tc>
      </w:tr>
    </w:tbl>
    <w:p w14:paraId="2949111E" w14:textId="77777777" w:rsidR="004A7C2E" w:rsidRDefault="004A7C2E" w:rsidP="004A7C2E">
      <w:pPr>
        <w:pStyle w:val="NormalKop11"/>
        <w:numPr>
          <w:ilvl w:val="1"/>
          <w:numId w:val="2"/>
        </w:numPr>
        <w:ind w:left="720" w:hanging="720"/>
        <w:rPr>
          <w:b/>
          <w:color w:val="000000"/>
        </w:rPr>
      </w:pPr>
      <w:r>
        <w:rPr>
          <w:b/>
          <w:color w:val="000000"/>
        </w:rPr>
        <w:t xml:space="preserve">Επιλέξιμες δαπάνες που υπολογίζονται με βάση τις επενδυτικές δαπάνες</w:t>
      </w:r>
    </w:p>
    <w:p w14:paraId="73227028" w14:textId="77777777" w:rsidR="00E940DB" w:rsidRPr="009830AE" w:rsidRDefault="00E940DB" w:rsidP="00033078">
      <w:pPr>
        <w:pStyle w:val="NormalKop111"/>
        <w:numPr>
          <w:ilvl w:val="2"/>
          <w:numId w:val="2"/>
        </w:numPr>
        <w:ind w:left="1418" w:hanging="698"/>
        <w:rPr>
          <w:color w:val="000000"/>
          <w:rFonts w:cs="Times New Roman"/>
        </w:rPr>
      </w:pPr>
      <w:r>
        <w:rPr>
          <w:color w:val="000000"/>
        </w:rPr>
        <w:t xml:space="preserve">Παραθέστε την κάτωθι κατανομή των συνολικών επιλέξιμων επενδυτικών δαπανών, σε ονομαστική και σε προεξοφλημένη αξία:</w:t>
      </w:r>
    </w:p>
    <w:p w14:paraId="0B359A95" w14:textId="77777777" w:rsidR="00033078" w:rsidRDefault="00033078">
      <w:r>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 xml:space="preserve">Συνολικές επιλέξιμες δαπάνες (ονομαστικές)</w:t>
            </w:r>
            <w:r>
              <w:rPr>
                <w:sz w:val="20"/>
                <w:vertAlign w:val="superscript"/>
              </w:rPr>
              <w:t xml:space="preserve">(°)</w:t>
            </w:r>
          </w:p>
        </w:tc>
        <w:tc>
          <w:tcPr>
            <w:tcW w:w="1417" w:type="dxa"/>
          </w:tcPr>
          <w:p w14:paraId="390D1283" w14:textId="77777777" w:rsidR="00516B30" w:rsidRPr="00633A52" w:rsidRDefault="00516B30" w:rsidP="009C5F4C">
            <w:pPr>
              <w:jc w:val="left"/>
              <w:rPr>
                <w:sz w:val="20"/>
                <w:szCs w:val="20"/>
              </w:rPr>
            </w:pPr>
            <w:r>
              <w:rPr>
                <w:sz w:val="20"/>
              </w:rPr>
              <w:t xml:space="preserve">Συνολικές επιλέξιμες δαπάνες (προεξοφλημένες)</w:t>
            </w:r>
            <w:r>
              <w:rPr>
                <w:sz w:val="20"/>
                <w:vertAlign w:val="superscript"/>
              </w:rPr>
              <w:t xml:space="preserve">(°)</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 xml:space="preserve">Δαπάνες για προκαταρκτικές μελέτες ή συμβουλές οι οποίες συνδέονται με την επένδυση (μόνον ΜΜΕ)</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 xml:space="preserve">Γήπεδα</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 xml:space="preserve">Κτίρια</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 xml:space="preserve">Μονάδα παραγωγής/μηχανήματα/εξοπλισμός</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 xml:space="preserve">Άυλα περιουσιακά στοιχεία</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 xml:space="preserve">Συνολικό επιλέξιμο κόστος</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xml:space="preserve">(°) Σε εθνικό νόμισμα (βλέπε επίσης σημείο 2.5 κατωτέρω)</w:t>
      </w:r>
    </w:p>
    <w:p w14:paraId="3D68B83F" w14:textId="77777777" w:rsidR="00BC08A3" w:rsidRPr="0025149B" w:rsidRDefault="004255FA" w:rsidP="00093A59">
      <w:pPr>
        <w:pStyle w:val="NormalKop111"/>
        <w:numPr>
          <w:ilvl w:val="2"/>
          <w:numId w:val="2"/>
        </w:numPr>
        <w:ind w:left="1225" w:hanging="505"/>
        <w:rPr>
          <w:color w:val="000000"/>
          <w:rFonts w:cs="Times New Roman"/>
        </w:rPr>
      </w:pPr>
      <w:r>
        <w:rPr>
          <w:color w:val="000000"/>
        </w:rPr>
        <w:t xml:space="preserve">Επιβεβαιώστε ότι τα αποκτηθέντα περιουσιακά στοιχεία είναι νέα (παράγραφος 27 των ΚΓΠΕ)</w:t>
      </w:r>
      <w:r>
        <w:rPr>
          <w:rStyle w:val="FootnoteReference"/>
          <w:color w:val="000000"/>
        </w:rPr>
        <w:footnoteReference w:id="8"/>
      </w:r>
      <w:r>
        <w:t xml:space="preserve">.</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 xml:space="preserve">…</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Υποβάλετε στοιχεία που αποδεικνύουν ότι, στην περίπτωση των ΜΜΕ, δεν συμπεριλαμβάνονται στις επιλέξιμες δαπάνες οι δαπάνες που υπερβαίνουν το 50 % των δαπανών για προκαταρκτικές μελέτες ή συμβουλές οι οποίες συνδέονται με την επένδυση (παράγραφος 28 των ΚΓΠΕ).</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 xml:space="preserve">…</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Υποβάλετε στοιχεία που αποδεικνύουν ότι, όσον αφορά ενισχύσεις που χορηγούνται σε μεγάλες επιχειρήσεις για την υλοποίηση μιας ριζικής αλλαγής στην παραγωγική διαδικασία, οι επιλέξιμες δαπάνες υπερβαίνουν τις αποσβέσεις των περιουσιακών στοιχείων που συνδέονται με τη δραστηριότητα που πρόκειται να εκσυγχρονιστεί κατά τη διάρκεια των τριών προηγούμενων οικονομικών ετών (παράγραφος 29 των ΚΓΠΕ).</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 xml:space="preserve">…</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Αναφέρετε τη σχετική διάταξη της νομικής βάσης ή εξηγήστε με ποιον τρόπο διασφαλίζεται ότι, όσον αφορά ενισχύσεις που χορηγούνται για τη διαφοροποίηση υφιστάμενης εγκατάστασης, οι επιλέξιμες δαπάνες υπερβαίνουν κατά τουλάχιστον 200 % τη λογιστική αξία των περιουσιακών στοιχείων που επαναχρησιμοποιούνται, όπως έχει καταγραφεί στο οικονομικό έτος που προηγείται της έναρξης των εργασιών (παράγραφος 30 των ΚΓΠΕ).</w:t>
      </w:r>
      <w:r>
        <w:rPr>
          <w:color w:val="000000"/>
        </w:rPr>
        <w:t xml:space="preserve"> </w:t>
      </w:r>
      <w:r>
        <w:rPr>
          <w:color w:val="000000"/>
        </w:rPr>
        <w:t xml:space="preserve">Εάν είναι σκόπιμο, υποβάλετε έγγραφα που περιέχουν τα σχετικά ποσοτικά δεδομένα.</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 xml:space="preserve">…</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Σε περιπτώσεις που αφορούν τη μίσθωση υλικών περιουσιακών στοιχείων, αναφέρετε τις σχετικές διατάξεις της νομικής βάσης στις οποίες ορίζεται ότι πληρούνται οι ακόλουθες προϋποθέσεις (παράγραφος 31 των ΚΓΠΕ), ή εξηγήστε πώς επιτυγχάνεται αυτό με άλλον τρόπο.</w:t>
      </w:r>
      <w:r>
        <w:rPr>
          <w:color w:val="000000"/>
        </w:rPr>
        <w:t xml:space="preserve"> </w:t>
      </w:r>
    </w:p>
    <w:p w14:paraId="7E7B447C" w14:textId="77777777" w:rsidR="000432CC" w:rsidRPr="000D782C" w:rsidRDefault="000432CC" w:rsidP="00633A52">
      <w:pPr>
        <w:pStyle w:val="Normal127Bullet63"/>
        <w:spacing w:before="120" w:after="120"/>
      </w:pPr>
      <w:r>
        <w:t xml:space="preserve">Για τη γη και τα κτίρια, η μίσθωση πρέπει να συνεχίζεται για τουλάχιστον πέντε έτη μετά την αναμενόμενη ημερομηνία ολοκλήρωσης της επένδυσης για μεγάλες επιχειρήσεις ή τρία έτη στην περίπτωση των ΜΜΕ·</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w:t>
            </w:r>
            <w:r>
              <w:t xml:space="preserve"> </w:t>
            </w:r>
          </w:p>
        </w:tc>
      </w:tr>
    </w:tbl>
    <w:p w14:paraId="0640E71C" w14:textId="77777777" w:rsidR="000432CC" w:rsidRPr="000D782C" w:rsidRDefault="000432CC" w:rsidP="00633A52">
      <w:pPr>
        <w:pStyle w:val="Normal127Bullet63"/>
        <w:spacing w:before="240" w:after="120"/>
      </w:pPr>
      <w:r>
        <w:t xml:space="preserve">Για τις μονάδες παραγωγής ή τα μηχανήματα, η μίσθωση πρέπει να λαμβάνει τη μορφή χρηματοδοτικής μίσθωσης και να περιλαμβάνει υποχρέωση αγοράς των περιουσιακών στοιχείων κατά τη λήξη της διάρκειας της μίσθωσης για τον δικαιούχο.</w:t>
      </w: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w:t>
            </w:r>
            <w:r>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 xml:space="preserve">Η παράγραφος 32 των ΚΓΠΕ προβλέπει ότι «Στην περίπτωση απόκτησης εγκατάστασης, «</w:t>
      </w:r>
      <w:r>
        <w:rPr>
          <w:color w:val="000000"/>
          <w:i/>
        </w:rPr>
        <w:t xml:space="preserve">θα πρέπει, καταρχήν, να λαμβάνονται υπόψη μόνον οι δαπάνες αγοράς των περιουσιακών στοιχείων από τρίτους που δεν σχετίζονται με τον αγοραστή.</w:t>
      </w:r>
      <w:r>
        <w:rPr>
          <w:color w:val="000000"/>
          <w:i/>
        </w:rPr>
        <w:t xml:space="preserve"> </w:t>
      </w:r>
      <w:r>
        <w:rPr>
          <w:color w:val="000000"/>
          <w:i/>
        </w:rPr>
        <w:t xml:space="preserve">Ωστόσο, σε περίπτωση που ένα μέλος της οικογένειας ή ένας υπάλληλος του αρχικού ιδιοκτήτη αναλαμβάνει μια μικρή επιχείρηση, δεν ισχύει ο όρος ότι τα περιουσιακά στοιχεία πρέπει να αγοράζονται από τρίτους που δεν σχετίζονται με τον αγοραστή.</w:t>
      </w:r>
      <w:r>
        <w:rPr>
          <w:color w:val="000000"/>
          <w:i/>
        </w:rPr>
        <w:t xml:space="preserve"> </w:t>
      </w:r>
      <w:r>
        <w:rPr>
          <w:color w:val="000000"/>
          <w:i/>
        </w:rPr>
        <w:t xml:space="preserve">Οι σχετικές συναλλαγές πρέπει να πραγματοποιούνται υπό τους όρους της αγοράς.</w:t>
      </w:r>
      <w:r>
        <w:rPr>
          <w:color w:val="000000"/>
          <w:i/>
        </w:rPr>
        <w:t xml:space="preserve"> </w:t>
      </w:r>
      <w:r>
        <w:rPr>
          <w:color w:val="000000"/>
          <w:i/>
        </w:rPr>
        <w:t xml:space="preserve">Εάν η απόκτηση των περιουσιακών στοιχείων μιας εγκατάστασης συνοδεύεται από πρόσθετη επένδυση η οποία είναι επιλέξιμη για περιφερειακή ενίσχυση, οι επιλέξιμες δαπάνες της πρόσθετης αυτής ενίσχυσης θα πρέπει να προστεθούν στο κόστος απόκτησης των περιουσιακών στοιχείων της εγκατάστασης</w:t>
      </w:r>
      <w:r>
        <w:rPr>
          <w:color w:val="000000"/>
        </w:rPr>
        <w:t xml:space="preserve">».</w:t>
      </w:r>
      <w:r>
        <w:rPr>
          <w:color w:val="000000"/>
        </w:rPr>
        <w:t xml:space="preserve"> </w:t>
      </w:r>
    </w:p>
    <w:p w14:paraId="68432129" w14:textId="77777777" w:rsidR="000432CC" w:rsidRDefault="00A96151" w:rsidP="00A80D24">
      <w:pPr>
        <w:pStyle w:val="Normal127"/>
      </w:pPr>
      <w:r>
        <w:t xml:space="preserve">Εάν τα ανωτέρω αφορούν την κοινοποιηθείσα υπόθεση, εξηγήστε πώς έχουν τηρηθεί οι εν λόγω προϋποθέσεις, παρέχοντας σχετικά δικαιολογητικά έγγραφα.</w:t>
      </w: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 xml:space="preserve">…</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 xml:space="preserve">Εάν οι επιλέξιμες δαπάνες για το επενδυτικό σχέδιο περιλαμβάνουν άυλα στοιχεία ενεργητικού, εξηγήστε με ποιον τρόπο διασφαλίζεται ότι θα τηρηθούν οι προϋποθέσεις που αναφέρονται στις παραγράφους 33-34 των ΚΓΠΕ</w:t>
      </w:r>
      <w:r>
        <w:rPr>
          <w:color w:val="000000"/>
          <w:vertAlign w:val="superscript"/>
        </w:rPr>
        <w:footnoteReference w:id="9"/>
      </w:r>
      <w:r>
        <w:rPr>
          <w:color w:val="000000"/>
        </w:rPr>
        <w:t xml:space="preserve">.</w:t>
      </w:r>
      <w:r>
        <w:rPr>
          <w:color w:val="000000"/>
        </w:rPr>
        <w:t xml:space="preserve"> </w:t>
      </w:r>
      <w:r>
        <w:rPr>
          <w:color w:val="000000"/>
        </w:rPr>
        <w:t xml:space="preserve">Στις περιπτώσεις αυτές, αναφέρετε επακριβώς τη σχετική διάταξη της νομικής βάσης.</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 xml:space="preserve">…</w:t>
            </w:r>
          </w:p>
        </w:tc>
      </w:tr>
    </w:tbl>
    <w:p w14:paraId="6AF3FF90" w14:textId="77777777" w:rsidR="000432CC" w:rsidRPr="00684A3B" w:rsidRDefault="000432CC" w:rsidP="00093A59">
      <w:pPr>
        <w:pStyle w:val="NormalKop11"/>
        <w:numPr>
          <w:ilvl w:val="1"/>
          <w:numId w:val="2"/>
        </w:numPr>
        <w:ind w:left="720" w:hanging="720"/>
        <w:rPr>
          <w:b/>
          <w:color w:val="000000"/>
          <w:rFonts w:cs="Times New Roman"/>
        </w:rPr>
      </w:pPr>
      <w:r>
        <w:rPr>
          <w:b/>
          <w:color w:val="000000"/>
        </w:rPr>
        <w:t xml:space="preserve">Επιλέξιμες δαπάνες που υπολογίζονται με βάση το μισθολογικό κόστος</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Παρακαλείστε:</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t xml:space="preserve">να εξηγήσετε πώς έχουν καθοριστεί οι επιλέξιμες δαπάνες που υπολογίζονται με βάση το μισθολογικό κόστος (παράγραφος 35 των ΚΓΠΕ)·</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t xml:space="preserve">να εξηγήσετε πώς έχει υπολογιστεί ο αριθμός των δημιουργούμενων θέσεων απασχόλησης, με αναφορά στην παράγραφο 19 σημείο 16) των ΚΓΠΕ·</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 xml:space="preserve">να εξηγήσετε πώς έχουν καθοριστεί οι μισθολογικές δαπάνες του προσλαμβανόμενου προσωπικού, με αναφορά στην παράγραφο 19 σημείο 33) των ΚΓΠΕ·</w:t>
      </w:r>
      <w:r>
        <w:rPr>
          <w:color w:val="000000"/>
        </w:rPr>
        <w:t xml:space="preserve"> </w:t>
      </w:r>
      <w:r>
        <w:rPr>
          <w:color w:val="000000"/>
        </w:rPr>
        <w:t xml:space="preserve">και</w:t>
      </w:r>
    </w:p>
    <w:p w14:paraId="2B7CA749" w14:textId="77777777"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br w:type="page"/>
      </w:r>
      <w:r>
        <w:rPr>
          <w:color w:val="000000"/>
        </w:rPr>
        <w:t xml:space="preserve">να παράσχετε τους σχετικούς υπολογισμούς και την τεκμηρίωση των αριθμητικών στοιχείων.</w:t>
      </w:r>
      <w:r>
        <w:rPr>
          <w:color w:val="000000"/>
        </w:rPr>
        <w:t xml:space="preserve">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 xml:space="preserve">…</w:t>
            </w:r>
          </w:p>
          <w:p w14:paraId="400D5A49" w14:textId="77777777" w:rsidR="00162C83" w:rsidRDefault="00162C83" w:rsidP="0039571D">
            <w:r>
              <w:t xml:space="preserve">…</w:t>
            </w:r>
          </w:p>
        </w:tc>
      </w:tr>
    </w:tbl>
    <w:p w14:paraId="43B1C93C" w14:textId="77777777" w:rsidR="00AA5619" w:rsidRDefault="00AA5619" w:rsidP="00653940">
      <w:pPr>
        <w:pStyle w:val="NormalKop11"/>
        <w:numPr>
          <w:ilvl w:val="1"/>
          <w:numId w:val="2"/>
        </w:numPr>
        <w:ind w:left="720" w:hanging="720"/>
        <w:rPr>
          <w:color w:val="000000"/>
          <w:rFonts w:cs="EUAlbertina"/>
        </w:rPr>
      </w:pPr>
      <w:r>
        <w:rPr>
          <w:color w:val="000000"/>
          <w:b/>
        </w:rPr>
        <w:t xml:space="preserve">Υπολογισμός των προεξοφλημένων επιλέξιμων δαπανών και του ποσού της ενίσχυσης</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 xml:space="preserve">Συμπληρώστε στον πίνακα που ακολουθεί τα αναλυτικά στοιχεία των επιλέξιμων δαπανών ανά κατηγορία επιλέξιμων δαπανών που πρόκειται να καλυφθούν καθ' όλη τη διάρκεια του επενδυτικού σχεδίου:</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39571D"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 xml:space="preserve">Ονομαστική/ προεξοφλημένη</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 xml:space="preserve">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 xml:space="preserve">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 xml:space="preserve">N+2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 xml:space="preserve">N+3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 xml:space="preserve">N+Χ°</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 xml:space="preserve">Σύνολο°</w:t>
            </w:r>
          </w:p>
        </w:tc>
      </w:tr>
      <w:tr w:rsidR="00DC5A80"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Προκαταρκτικές</w:t>
            </w:r>
            <w:r>
              <w:rPr>
                <w:color w:val="000000"/>
                <w:sz w:val="20"/>
              </w:rPr>
              <w:t xml:space="preserve"> </w:t>
            </w:r>
          </w:p>
          <w:p w14:paraId="39D34ADD" w14:textId="77777777" w:rsidR="00DC5A80" w:rsidRPr="00772CF3" w:rsidRDefault="00DC5A80" w:rsidP="00033078">
            <w:pPr>
              <w:jc w:val="left"/>
              <w:rPr>
                <w:color w:val="000000"/>
                <w:sz w:val="20"/>
                <w:szCs w:val="20"/>
              </w:rPr>
            </w:pPr>
            <w:r>
              <w:rPr>
                <w:color w:val="000000"/>
                <w:sz w:val="20"/>
              </w:rPr>
              <w:t xml:space="preserve">μελέτες κ.λπ. (μόνον ΜΜΕ)</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Ονομαστική αξία</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 xml:space="preserve">Προεξοφλημένη</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 xml:space="preserve">Γήπεδα</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Ονομαστική αξία</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 xml:space="preserve">Προεξοφλημένη</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 xml:space="preserve">Κτίρια</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Ονομαστική αξία</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 xml:space="preserve">Προεξοφλημένη</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 xml:space="preserve">Μονάδα παραγωγής/ μηχανήματα/</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Ονομαστική αξία</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 xml:space="preserve">εξοπλισμός</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 xml:space="preserve">Προεξοφλημένη</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 xml:space="preserve">Άυλα περιουσιακά στοιχεία</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Ονομαστική αξία</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 xml:space="preserve">Προεξοφλημένη</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 xml:space="preserve">Μισθολογικό κόστος</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Ονομαστική αξία</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 xml:space="preserve">Προεξοφλημένη</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 xml:space="preserve">Άλλα (να διευκρινιστούν)</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Ονομαστική αξία</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 xml:space="preserve">Προεξοφλημένη</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 xml:space="preserve">Σύνολο</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Ονομαστική αξία</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 xml:space="preserve">Προεξοφλημένη</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 Σε εθνικό νόμισμα</w:t>
      </w:r>
      <w:r>
        <w:rPr>
          <w:i/>
          <w:sz w:val="20"/>
        </w:rPr>
        <w:t xml:space="preserve"> </w:t>
      </w:r>
    </w:p>
    <w:p w14:paraId="4C6AC8BA" w14:textId="77777777" w:rsidR="00D577FA" w:rsidRPr="00577841" w:rsidRDefault="0039571D" w:rsidP="00577841">
      <w:pPr>
        <w:pStyle w:val="NormalKop111"/>
        <w:rPr>
          <w:color w:val="000000"/>
          <w:rFonts w:cs="EUAlbertina"/>
        </w:rPr>
      </w:pPr>
      <w:r>
        <w:rPr>
          <w:color w:val="000000"/>
        </w:rPr>
        <w:t xml:space="preserve">Αναφέρετε την ημερομηνία κατά την οποία προεξοφλήθηκαν τα ποσά, καθώς και το προεξοφλητικό επιτόκιο που χρησιμοποιήθηκε</w:t>
      </w:r>
      <w:r>
        <w:rPr>
          <w:rStyle w:val="FootnoteReference"/>
          <w:rFonts w:cs="EUAlbertina"/>
          <w:color w:val="000000"/>
        </w:rPr>
        <w:footnoteReference w:id="10"/>
      </w:r>
      <w:r>
        <w:rPr>
          <w:color w:val="000000"/>
        </w:rPr>
        <w:t xml:space="preserve">:</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 xml:space="preserve">…</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 xml:space="preserve">Συμπληρώστε τον πίνακα που ακολουθεί με τα αναλυτικά στοιχεία της κοινοποιηθείσας ενίσχυσης που πρόκειται να χορηγηθεί ή χορηγήθηκε για το επενδυτικό σχέδιο, με αναφορά στην εφαρμοστέα μορφή της ενίσχυσης:</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 xml:space="preserve">Ονομαστική/ προεξοφλημένη</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t xml:space="preserve">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 xml:space="preserve">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 xml:space="preserve">N+2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 xml:space="preserve">N+3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 xml:space="preserve">N+Χ°</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 xml:space="preserve">Σύνολο°</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 xml:space="preserve">Επιχορήγηση</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Ονομαστική αξία</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 xml:space="preserve">Προεξοφλημένη</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 xml:space="preserve">Δάνειο</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Ονομαστική αξία</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 xml:space="preserve">Προεξοφλημένη</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 xml:space="preserve">Εγγύηση</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Ονομαστική αξία</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 xml:space="preserve">Προεξοφλημένη</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77777777" w:rsidR="0010307A" w:rsidRDefault="0010307A">
      <w:r>
        <w:br w:type="page"/>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 xml:space="preserve">Φορολογικό πλεονέκτημα</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Ονομαστική αξία</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 xml:space="preserve">Προεξοφλημένη</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 xml:space="preserv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Ονομαστική αξία</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 xml:space="preserve">Προεξοφλημένη</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 xml:space="preserv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Ονομαστική αξία</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 xml:space="preserve">Προεξοφλημένη</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 xml:space="preserve">Σύνολο</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Ονομαστική αξία</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 xml:space="preserve">Προεξοφλημένη</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 xml:space="preserve">° Σε εθνικό νόμισμα</w:t>
      </w:r>
    </w:p>
    <w:p w14:paraId="6B87FE2E" w14:textId="77777777" w:rsidR="00012D1C" w:rsidRPr="00957D0D" w:rsidRDefault="00012D1C" w:rsidP="00012D1C">
      <w:pPr>
        <w:pStyle w:val="NormalKop111"/>
        <w:rPr>
          <w:color w:val="000000"/>
          <w:rFonts w:cs="EUAlbertina"/>
        </w:rPr>
      </w:pPr>
      <w:r>
        <w:rPr>
          <w:color w:val="000000"/>
        </w:rPr>
        <w:t xml:space="preserve">Αναφέρετε την ημερομηνία κατά την οποία προεξοφλήθηκαν τα ποσά, καθώς και το προεξοφλητικό επιτόκιο που χρησιμοποιήθηκε:</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 xml:space="preserve">…</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 xml:space="preserve">Για κάθε μορφή ενίσχυσης που αναφέρεται στον ως άνω πίνακα, αναφέρετε πώς υπολογίζεται το ισοδύναμο επιχορήγησης:</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 xml:space="preserve">Δάνειο με ευνοϊκούς όρους</w:t>
            </w:r>
            <w:r>
              <w:t xml:space="preserve">:</w:t>
            </w:r>
          </w:p>
          <w:p w14:paraId="0CDFAAED" w14:textId="77777777" w:rsidR="003A2F0C" w:rsidRDefault="003A2F0C" w:rsidP="00772CF3">
            <w:r>
              <w:t xml:space="preserve">…</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 xml:space="preserve">Εγγύηση</w:t>
            </w:r>
            <w:r>
              <w:t xml:space="preserve">:</w:t>
            </w:r>
          </w:p>
          <w:p w14:paraId="168C5436" w14:textId="77777777" w:rsidR="003A2F0C" w:rsidRDefault="003A2F0C" w:rsidP="00772CF3">
            <w:r>
              <w:t xml:space="preserve">…</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 xml:space="preserve">Μείωση φόρου</w:t>
            </w:r>
            <w:r>
              <w:t xml:space="preserve">:</w:t>
            </w:r>
          </w:p>
          <w:p w14:paraId="26CD10D7" w14:textId="77777777" w:rsidR="003A2F0C" w:rsidRDefault="003A2F0C" w:rsidP="00772CF3">
            <w:r>
              <w:t xml:space="preserve">…</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 xml:space="preserve">Άλλο:</w:t>
            </w:r>
          </w:p>
          <w:p w14:paraId="17A7D904" w14:textId="77777777" w:rsidR="003A2F0C" w:rsidRPr="00E35956" w:rsidRDefault="003A2F0C" w:rsidP="00142F96">
            <w:r>
              <w:t xml:space="preserve">….</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color w:val="000000"/>
          <w:rFonts w:cs="Times New Roman"/>
        </w:rPr>
      </w:pPr>
      <w:r>
        <w:rPr>
          <w:color w:val="000000"/>
        </w:rPr>
        <w:t xml:space="preserve">Εάν ορισμένα από τα μέτρα ενίσχυσης που πρόκειται να χορηγηθούν για το σχέδιο δεν έχουν ακόμη καθοριστεί, να το αναφέρετε και να εξηγήστε με ποιον τρόπο η χορηγούσα αρχή θα διασφαλίσει ότι τηρείται η εφαρμοστέα μέγιστη ένταση της ενίσχυσης (παράγραφοι 93 και 94 των ΚΓΠΕ):</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 xml:space="preserve">…</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color w:val="000000"/>
          <w:rFonts w:cs="Times New Roman"/>
        </w:rPr>
      </w:pPr>
      <w:r>
        <w:rPr>
          <w:color w:val="000000"/>
        </w:rPr>
        <w:t xml:space="preserve">Συγχρηματοδοτείται το έργο από κάποιο από τα Ταμεία της ΕΕ που υλοποιείται στο πλαίσιο της επιμερισμένης διαχείρισης (στο εξής: ταμεία);</w:t>
      </w:r>
      <w:r>
        <w:rPr>
          <w:color w:val="000000"/>
        </w:rPr>
        <w:t xml:space="preserve"> </w:t>
      </w:r>
      <w:r>
        <w:rPr>
          <w:color w:val="000000"/>
        </w:rPr>
        <w:t xml:space="preserve">Εάν ναι, εξηγήστε στο πλαίσιο ποιου προγράμματος θα ληφθεί χρηματοδότηση.</w:t>
      </w:r>
      <w:r>
        <w:rPr>
          <w:color w:val="000000"/>
        </w:rPr>
        <w:t xml:space="preserve"> </w:t>
      </w:r>
      <w:r>
        <w:rPr>
          <w:color w:val="000000"/>
        </w:rPr>
        <w:t xml:space="preserve">Αναφέρετε επίσης το ποσό χρηματοδότησης με το οποίο θα συμμετάσχουν τα ταμεία.</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 xml:space="preserve">…</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Εάν ο δικαιούχος (σε επίπεδο ομίλου) έλαβε ενίσχυση για μία ή περισσότερες αρχικές επενδύσεις σχετικά με την ίδια ή σχετική δραστηριότητα, που άρχισε στην ίδια περιφέρεια NUTS-3 σε περίοδο τριών ετών πριν την ημερομηνία έναρξης των εργασιών του κοινοποιηθέντος επενδυτικού σχεδίου [παράγραφος 19 σημείο 27) των ΚΓΠΕ], παραθέστε λεπτομέρειες σχετικά με τα μέτρα ενίσχυσης για καθεμία από τις προηγούμενες ενισχυόμενες αρχικές επενδύσεις (συμπεριλαμβανομένων σύντομης περιγραφής του επενδυτικού σχεδίου, της ημερομηνίας της αίτησης ενίσχυσης, της ημερομηνίας χορήγησης της ενίσχυσης, της ημερομηνίας έναρξης των εργασιών, του ποσού ή των ποσών της ενίσχυσης και των επιλέξιμων δαπανών</w:t>
      </w:r>
      <w:r>
        <w:rPr>
          <w:rStyle w:val="FootnoteReference"/>
          <w:color w:val="000000"/>
        </w:rPr>
        <w:footnoteReference w:id="11"/>
      </w:r>
      <w:r>
        <w:rPr>
          <w:color w:val="000000"/>
        </w:rPr>
        <w:t xml:space="preserve">).</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14:paraId="34A40551" w14:textId="77777777" w:rsidTr="009C5F4C">
        <w:tc>
          <w:tcPr>
            <w:tcW w:w="851" w:type="dxa"/>
            <w:shd w:val="clear" w:color="auto" w:fill="auto"/>
          </w:tcPr>
          <w:p w14:paraId="6DF0A3F1" w14:textId="77777777" w:rsidR="00FE7795" w:rsidRPr="00633A52" w:rsidRDefault="00FE7795" w:rsidP="00F567F1">
            <w:pPr>
              <w:rPr>
                <w:sz w:val="20"/>
                <w:szCs w:val="20"/>
              </w:rPr>
            </w:pPr>
          </w:p>
        </w:tc>
        <w:tc>
          <w:tcPr>
            <w:tcW w:w="794" w:type="dxa"/>
          </w:tcPr>
          <w:p w14:paraId="43CE59B3" w14:textId="77777777" w:rsidR="00FE7795" w:rsidRPr="00633A52" w:rsidRDefault="00FE7795" w:rsidP="009C5F4C">
            <w:pPr>
              <w:jc w:val="left"/>
              <w:rPr>
                <w:sz w:val="20"/>
                <w:szCs w:val="20"/>
              </w:rPr>
            </w:pPr>
            <w:r>
              <w:rPr>
                <w:sz w:val="20"/>
              </w:rPr>
              <w:t xml:space="preserve">Επιλέξιμες επενδυτικές δαπάνες°</w:t>
            </w:r>
          </w:p>
        </w:tc>
        <w:tc>
          <w:tcPr>
            <w:tcW w:w="794" w:type="dxa"/>
          </w:tcPr>
          <w:p w14:paraId="5E53F953" w14:textId="77777777" w:rsidR="00FE7795" w:rsidRPr="00633A52" w:rsidRDefault="00FE7795" w:rsidP="009C5F4C">
            <w:pPr>
              <w:jc w:val="left"/>
              <w:rPr>
                <w:sz w:val="20"/>
                <w:szCs w:val="20"/>
              </w:rPr>
            </w:pPr>
            <w:r>
              <w:rPr>
                <w:sz w:val="20"/>
              </w:rPr>
              <w:t xml:space="preserve">Ποσό της χορηγούμενης ενίσχυσης°</w:t>
            </w:r>
          </w:p>
        </w:tc>
        <w:tc>
          <w:tcPr>
            <w:tcW w:w="794" w:type="dxa"/>
          </w:tcPr>
          <w:p w14:paraId="5690C210" w14:textId="77777777" w:rsidR="00FE7795" w:rsidRPr="00633A52" w:rsidRDefault="00FE7795" w:rsidP="009C5F4C">
            <w:pPr>
              <w:jc w:val="left"/>
              <w:rPr>
                <w:sz w:val="20"/>
                <w:szCs w:val="20"/>
              </w:rPr>
            </w:pPr>
            <w:r>
              <w:rPr>
                <w:sz w:val="20"/>
              </w:rPr>
              <w:t xml:space="preserve">Ημερομηνία αίτησης</w:t>
            </w:r>
          </w:p>
        </w:tc>
        <w:tc>
          <w:tcPr>
            <w:tcW w:w="794" w:type="dxa"/>
          </w:tcPr>
          <w:p w14:paraId="0A71C2A6" w14:textId="77777777" w:rsidR="00FE7795" w:rsidRPr="00633A52" w:rsidRDefault="00FE7795" w:rsidP="009C5F4C">
            <w:pPr>
              <w:jc w:val="left"/>
              <w:rPr>
                <w:sz w:val="20"/>
                <w:szCs w:val="20"/>
              </w:rPr>
            </w:pPr>
            <w:r>
              <w:rPr>
                <w:sz w:val="20"/>
              </w:rPr>
              <w:t xml:space="preserve">Ημερομηνία χορήγησης της ενίσχυσης</w:t>
            </w:r>
          </w:p>
        </w:tc>
        <w:tc>
          <w:tcPr>
            <w:tcW w:w="794" w:type="dxa"/>
          </w:tcPr>
          <w:p w14:paraId="4944FDD2" w14:textId="77777777" w:rsidR="00FE7795" w:rsidRPr="00633A52" w:rsidRDefault="00FE7795" w:rsidP="009C5F4C">
            <w:pPr>
              <w:jc w:val="left"/>
              <w:rPr>
                <w:sz w:val="20"/>
                <w:szCs w:val="20"/>
              </w:rPr>
            </w:pPr>
            <w:r>
              <w:rPr>
                <w:sz w:val="20"/>
              </w:rPr>
              <w:t xml:space="preserve">Ημερομηνία έναρξης των εργασιών</w:t>
            </w:r>
          </w:p>
        </w:tc>
        <w:tc>
          <w:tcPr>
            <w:tcW w:w="2267" w:type="dxa"/>
          </w:tcPr>
          <w:p w14:paraId="76CA3EDF" w14:textId="77777777" w:rsidR="00FE7795" w:rsidRPr="00633A52" w:rsidRDefault="00FE7795" w:rsidP="00FE7795">
            <w:pPr>
              <w:jc w:val="left"/>
              <w:rPr>
                <w:sz w:val="20"/>
                <w:szCs w:val="20"/>
              </w:rPr>
            </w:pPr>
            <w:r>
              <w:rPr>
                <w:sz w:val="20"/>
              </w:rPr>
              <w:t xml:space="preserve">Σύντομη περιγραφή</w:t>
            </w:r>
          </w:p>
        </w:tc>
        <w:tc>
          <w:tcPr>
            <w:tcW w:w="1275" w:type="dxa"/>
          </w:tcPr>
          <w:p w14:paraId="47DAEC32" w14:textId="77777777" w:rsidR="00FE7795" w:rsidRDefault="00FE7795" w:rsidP="00FE7795">
            <w:pPr>
              <w:jc w:val="left"/>
              <w:rPr>
                <w:sz w:val="20"/>
                <w:szCs w:val="20"/>
              </w:rPr>
            </w:pPr>
            <w:r>
              <w:rPr>
                <w:sz w:val="20"/>
              </w:rPr>
              <w:t xml:space="preserve">Στοιχεία αναφοράς της ενίσχυσης</w:t>
            </w:r>
          </w:p>
        </w:tc>
      </w:tr>
      <w:tr w:rsidR="00FE7795" w14:paraId="6F9F240E" w14:textId="77777777" w:rsidTr="009C5F4C">
        <w:tc>
          <w:tcPr>
            <w:tcW w:w="851" w:type="dxa"/>
            <w:shd w:val="clear" w:color="auto" w:fill="auto"/>
          </w:tcPr>
          <w:p w14:paraId="136CD563" w14:textId="77777777" w:rsidR="00FE7795" w:rsidRPr="00633A52" w:rsidRDefault="00FE7795" w:rsidP="00F567F1">
            <w:pPr>
              <w:rPr>
                <w:sz w:val="20"/>
                <w:szCs w:val="20"/>
              </w:rPr>
            </w:pPr>
            <w:r>
              <w:rPr>
                <w:sz w:val="20"/>
              </w:rPr>
              <w:t xml:space="preserve">Αρχική επένδυση σχέδιο 1</w:t>
            </w:r>
          </w:p>
        </w:tc>
        <w:tc>
          <w:tcPr>
            <w:tcW w:w="794" w:type="dxa"/>
          </w:tcPr>
          <w:p w14:paraId="5142EC17" w14:textId="77777777" w:rsidR="00FE7795" w:rsidRPr="00633A52" w:rsidRDefault="00FE7795" w:rsidP="00F567F1">
            <w:pPr>
              <w:jc w:val="right"/>
              <w:rPr>
                <w:sz w:val="20"/>
                <w:szCs w:val="20"/>
              </w:rPr>
            </w:pPr>
          </w:p>
        </w:tc>
        <w:tc>
          <w:tcPr>
            <w:tcW w:w="794" w:type="dxa"/>
          </w:tcPr>
          <w:p w14:paraId="0F67FFE1" w14:textId="77777777" w:rsidR="00FE7795" w:rsidRPr="00633A52" w:rsidRDefault="00FE7795" w:rsidP="00F567F1">
            <w:pPr>
              <w:jc w:val="right"/>
              <w:rPr>
                <w:sz w:val="20"/>
                <w:szCs w:val="20"/>
              </w:rPr>
            </w:pPr>
          </w:p>
        </w:tc>
        <w:tc>
          <w:tcPr>
            <w:tcW w:w="794" w:type="dxa"/>
          </w:tcPr>
          <w:p w14:paraId="23D02631" w14:textId="77777777" w:rsidR="00FE7795" w:rsidRPr="00633A52" w:rsidRDefault="00FE7795" w:rsidP="00F567F1">
            <w:pPr>
              <w:jc w:val="right"/>
              <w:rPr>
                <w:sz w:val="20"/>
                <w:szCs w:val="20"/>
              </w:rPr>
            </w:pPr>
          </w:p>
        </w:tc>
        <w:tc>
          <w:tcPr>
            <w:tcW w:w="794" w:type="dxa"/>
          </w:tcPr>
          <w:p w14:paraId="0355FC46" w14:textId="77777777" w:rsidR="00FE7795" w:rsidRPr="00633A52" w:rsidRDefault="00FE7795" w:rsidP="00F567F1">
            <w:pPr>
              <w:jc w:val="right"/>
              <w:rPr>
                <w:sz w:val="20"/>
                <w:szCs w:val="20"/>
              </w:rPr>
            </w:pPr>
          </w:p>
        </w:tc>
        <w:tc>
          <w:tcPr>
            <w:tcW w:w="794"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9C5F4C">
        <w:tc>
          <w:tcPr>
            <w:tcW w:w="851" w:type="dxa"/>
            <w:shd w:val="clear" w:color="auto" w:fill="auto"/>
          </w:tcPr>
          <w:p w14:paraId="47372CEA" w14:textId="77777777" w:rsidR="00FE7795" w:rsidRPr="00633A52" w:rsidRDefault="00FE7795" w:rsidP="00F567F1">
            <w:pPr>
              <w:rPr>
                <w:sz w:val="20"/>
                <w:szCs w:val="20"/>
              </w:rPr>
            </w:pPr>
            <w:r>
              <w:rPr>
                <w:sz w:val="20"/>
              </w:rPr>
              <w:t xml:space="preserve">Αρχική επένδυση</w:t>
            </w:r>
            <w:r>
              <w:rPr>
                <w:sz w:val="20"/>
              </w:rPr>
              <w:t xml:space="preserve"> </w:t>
            </w:r>
            <w:r>
              <w:rPr>
                <w:sz w:val="20"/>
              </w:rPr>
              <w:t xml:space="preserve">Σχέδιο 2</w:t>
            </w:r>
          </w:p>
        </w:tc>
        <w:tc>
          <w:tcPr>
            <w:tcW w:w="794" w:type="dxa"/>
          </w:tcPr>
          <w:p w14:paraId="2AC2E25A" w14:textId="77777777" w:rsidR="00FE7795" w:rsidRPr="00633A52" w:rsidRDefault="00FE7795" w:rsidP="00F567F1">
            <w:pPr>
              <w:jc w:val="right"/>
              <w:rPr>
                <w:sz w:val="20"/>
                <w:szCs w:val="20"/>
              </w:rPr>
            </w:pPr>
          </w:p>
        </w:tc>
        <w:tc>
          <w:tcPr>
            <w:tcW w:w="794" w:type="dxa"/>
          </w:tcPr>
          <w:p w14:paraId="11726C44" w14:textId="77777777" w:rsidR="00FE7795" w:rsidRPr="00633A52" w:rsidRDefault="00FE7795" w:rsidP="00F567F1">
            <w:pPr>
              <w:jc w:val="right"/>
              <w:rPr>
                <w:sz w:val="20"/>
                <w:szCs w:val="20"/>
              </w:rPr>
            </w:pPr>
          </w:p>
        </w:tc>
        <w:tc>
          <w:tcPr>
            <w:tcW w:w="794" w:type="dxa"/>
          </w:tcPr>
          <w:p w14:paraId="6DB030CF" w14:textId="77777777" w:rsidR="00FE7795" w:rsidRPr="00633A52" w:rsidRDefault="00FE7795" w:rsidP="00F567F1">
            <w:pPr>
              <w:jc w:val="right"/>
              <w:rPr>
                <w:sz w:val="20"/>
                <w:szCs w:val="20"/>
              </w:rPr>
            </w:pPr>
          </w:p>
        </w:tc>
        <w:tc>
          <w:tcPr>
            <w:tcW w:w="794" w:type="dxa"/>
          </w:tcPr>
          <w:p w14:paraId="1B4D79AD" w14:textId="77777777" w:rsidR="00FE7795" w:rsidRPr="00633A52" w:rsidRDefault="00FE7795" w:rsidP="00F567F1">
            <w:pPr>
              <w:jc w:val="right"/>
              <w:rPr>
                <w:sz w:val="20"/>
                <w:szCs w:val="20"/>
              </w:rPr>
            </w:pPr>
          </w:p>
        </w:tc>
        <w:tc>
          <w:tcPr>
            <w:tcW w:w="794"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9C5F4C">
        <w:tc>
          <w:tcPr>
            <w:tcW w:w="851" w:type="dxa"/>
            <w:shd w:val="clear" w:color="auto" w:fill="auto"/>
          </w:tcPr>
          <w:p w14:paraId="18102F08" w14:textId="77777777" w:rsidR="00FE7795" w:rsidRPr="00633A52" w:rsidRDefault="00FE7795" w:rsidP="00F567F1">
            <w:pPr>
              <w:rPr>
                <w:sz w:val="20"/>
                <w:szCs w:val="20"/>
              </w:rPr>
            </w:pPr>
            <w:r>
              <w:rPr>
                <w:sz w:val="20"/>
              </w:rPr>
              <w:t xml:space="preserve">Αρχική επένδυση σχέδιο 3</w:t>
            </w:r>
          </w:p>
        </w:tc>
        <w:tc>
          <w:tcPr>
            <w:tcW w:w="794" w:type="dxa"/>
          </w:tcPr>
          <w:p w14:paraId="3FE8F81C" w14:textId="77777777" w:rsidR="00FE7795" w:rsidRPr="00633A52" w:rsidRDefault="00FE7795" w:rsidP="00F567F1">
            <w:pPr>
              <w:jc w:val="right"/>
              <w:rPr>
                <w:sz w:val="20"/>
                <w:szCs w:val="20"/>
              </w:rPr>
            </w:pPr>
          </w:p>
        </w:tc>
        <w:tc>
          <w:tcPr>
            <w:tcW w:w="794" w:type="dxa"/>
          </w:tcPr>
          <w:p w14:paraId="67831878" w14:textId="77777777" w:rsidR="00FE7795" w:rsidRPr="00633A52" w:rsidRDefault="00FE7795" w:rsidP="00F567F1">
            <w:pPr>
              <w:jc w:val="right"/>
              <w:rPr>
                <w:sz w:val="20"/>
                <w:szCs w:val="20"/>
              </w:rPr>
            </w:pPr>
          </w:p>
        </w:tc>
        <w:tc>
          <w:tcPr>
            <w:tcW w:w="794" w:type="dxa"/>
          </w:tcPr>
          <w:p w14:paraId="2B4EACAE" w14:textId="77777777" w:rsidR="00FE7795" w:rsidRPr="00633A52" w:rsidRDefault="00FE7795" w:rsidP="00F567F1">
            <w:pPr>
              <w:jc w:val="right"/>
              <w:rPr>
                <w:sz w:val="20"/>
                <w:szCs w:val="20"/>
              </w:rPr>
            </w:pPr>
          </w:p>
        </w:tc>
        <w:tc>
          <w:tcPr>
            <w:tcW w:w="794" w:type="dxa"/>
          </w:tcPr>
          <w:p w14:paraId="04435712" w14:textId="77777777" w:rsidR="00FE7795" w:rsidRPr="00633A52" w:rsidRDefault="00FE7795" w:rsidP="00F567F1">
            <w:pPr>
              <w:jc w:val="right"/>
              <w:rPr>
                <w:sz w:val="20"/>
                <w:szCs w:val="20"/>
              </w:rPr>
            </w:pPr>
          </w:p>
        </w:tc>
        <w:tc>
          <w:tcPr>
            <w:tcW w:w="794"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9C5F4C">
        <w:tc>
          <w:tcPr>
            <w:tcW w:w="851" w:type="dxa"/>
            <w:shd w:val="clear" w:color="auto" w:fill="auto"/>
          </w:tcPr>
          <w:p w14:paraId="24E1087F" w14:textId="77777777" w:rsidR="00FE7795" w:rsidRDefault="00FE7795" w:rsidP="00F567F1">
            <w:pPr>
              <w:rPr>
                <w:sz w:val="20"/>
                <w:szCs w:val="20"/>
              </w:rPr>
            </w:pPr>
            <w:r>
              <w:rPr>
                <w:sz w:val="20"/>
              </w:rPr>
              <w:t xml:space="preserve">…</w:t>
            </w:r>
          </w:p>
          <w:p w14:paraId="680FB571" w14:textId="77777777" w:rsidR="00FE7795" w:rsidRPr="00633A52" w:rsidRDefault="00FE7795" w:rsidP="00F567F1">
            <w:pPr>
              <w:rPr>
                <w:sz w:val="20"/>
                <w:szCs w:val="20"/>
              </w:rPr>
            </w:pPr>
          </w:p>
        </w:tc>
        <w:tc>
          <w:tcPr>
            <w:tcW w:w="794" w:type="dxa"/>
          </w:tcPr>
          <w:p w14:paraId="3DB0B0EE" w14:textId="77777777" w:rsidR="00FE7795" w:rsidRPr="00633A52" w:rsidRDefault="00FE7795" w:rsidP="00F567F1">
            <w:pPr>
              <w:jc w:val="right"/>
              <w:rPr>
                <w:sz w:val="20"/>
                <w:szCs w:val="20"/>
              </w:rPr>
            </w:pPr>
          </w:p>
        </w:tc>
        <w:tc>
          <w:tcPr>
            <w:tcW w:w="794" w:type="dxa"/>
          </w:tcPr>
          <w:p w14:paraId="3E805E1F" w14:textId="77777777" w:rsidR="00FE7795" w:rsidRPr="00633A52" w:rsidRDefault="00FE7795" w:rsidP="00F567F1">
            <w:pPr>
              <w:jc w:val="right"/>
              <w:rPr>
                <w:sz w:val="20"/>
                <w:szCs w:val="20"/>
              </w:rPr>
            </w:pPr>
          </w:p>
        </w:tc>
        <w:tc>
          <w:tcPr>
            <w:tcW w:w="794" w:type="dxa"/>
          </w:tcPr>
          <w:p w14:paraId="5DA7A5EC" w14:textId="77777777" w:rsidR="00FE7795" w:rsidRPr="00633A52" w:rsidRDefault="00FE7795" w:rsidP="00F567F1">
            <w:pPr>
              <w:jc w:val="right"/>
              <w:rPr>
                <w:sz w:val="20"/>
                <w:szCs w:val="20"/>
              </w:rPr>
            </w:pPr>
          </w:p>
        </w:tc>
        <w:tc>
          <w:tcPr>
            <w:tcW w:w="794" w:type="dxa"/>
          </w:tcPr>
          <w:p w14:paraId="039546B3" w14:textId="77777777" w:rsidR="00FE7795" w:rsidRPr="00633A52" w:rsidRDefault="00FE7795" w:rsidP="00F567F1">
            <w:pPr>
              <w:jc w:val="right"/>
              <w:rPr>
                <w:sz w:val="20"/>
                <w:szCs w:val="20"/>
              </w:rPr>
            </w:pPr>
          </w:p>
        </w:tc>
        <w:tc>
          <w:tcPr>
            <w:tcW w:w="794"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 Σε εθνικό νόμισμα</w:t>
      </w:r>
      <w:r>
        <w:rPr>
          <w:i/>
          <w:sz w:val="20"/>
        </w:rPr>
        <w:t xml:space="preserve">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 xml:space="preserve">Επιβεβαιώστε ότι το συνολικό ποσό της ενίσχυσης που θα χορηγηθεί στο αρχικό επενδυτικό σχέδιο δεν υπερβαίνει το ποσό που προκύπτει από τη «μέγιστη ένταση ενίσχυσης» [όπως ορίζεται στην παράγραφο 19 σημείο 19) των ΚΓΠΕ], λαμβανομένης υπόψη της αυξημένης έντασης ενίσχυσης για τις ΜΜΕ (όπως προσδιορίζεται στην παράγραφο 186 των ΚΓΠΕ) και του «προσαρμοσμένου ποσού ενίσχυσης» [όπως ορίζεται στην παράγραφο 19 σημείο 3) των ΚΓΠΕ], αναλόγως με την περίπτωση.</w:t>
      </w:r>
      <w:r>
        <w:rPr>
          <w:color w:val="000000"/>
        </w:rPr>
        <w:t xml:space="preserve"> </w:t>
      </w:r>
      <w:r>
        <w:rPr>
          <w:color w:val="000000"/>
        </w:rPr>
        <w:t xml:space="preserve">Υποβάλετε σχετική τεκμηρίωση και υπολογισμούς για την υποστήριξη αυτής της επιβεβαίωσης.</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 xml:space="preserve">…</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rPr>
          <w:color w:val="000000"/>
        </w:rPr>
        <w:t xml:space="preserve">Επιβεβαιώστε ότι δεν πρόκειται να</w:t>
      </w:r>
      <w:r>
        <w:t xml:space="preserve"> σημειωθεί υπέρβαση ούτε ως προς το εγκεκριμένο ανώτατο ποσό της ενίσχυσης με βάση την προεξοφλημένη αξία ούτε ως προς την εγκεκριμένη ένταση της ενίσχυσης εάν το ποσό των επιλέξιμων δαπανών αποκλίνει από το κοινοποιηθέν ποσό.</w:t>
      </w:r>
      <w:r>
        <w:t xml:space="preserve"> </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Ναι</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 xml:space="preserve">Όταν η ενίσχυση που χορηγείται στο επενδυτικό σχέδιο πρόκειται να χορηγηθεί στο πλαίσιο περισσότερων καθεστώτων περιφερειακών ενισχύσεων ή σωρεύεται με ενισχύσεις ad hoc, επιβεβαιώστε ότι η μέγιστη επιτρεπόμενη ένταση ενίσχυσης που μπορεί να χορηγηθεί στο σχέδιο έχει υπολογιστεί εκ των προτέρων από την πρώτη χορηγούσα αρχή, και προσδιορίστε την εν λόγω μέγιστη ένταση της ενίσχυσης.</w:t>
      </w:r>
      <w:r>
        <w:rPr>
          <w:color w:val="000000"/>
        </w:rPr>
        <w:t xml:space="preserve"> </w:t>
      </w:r>
      <w:r>
        <w:rPr>
          <w:color w:val="000000"/>
        </w:rPr>
        <w:t xml:space="preserve">Εξηγήστε με ποιον τρόπο οι αρχές που χορηγούν την ενίσχυση θα διασφαλίσουν ότι θα τηρηθεί αυτή η μέγιστη ένταση της ενίσχυσης (παράγραφος 99 των ΚΓΠΕ).</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 xml:space="preserve">Εάν η αρχική επένδυση συνδέεται με σχέδιο ευρωπαϊκής εδαφικής συνεργασίας (ΕΕΣ), εξηγήστε, με αναφορά στις διατάξεις της παραγράφου 100 των ΚΓΠΕ, πώς προσδιορίζεται η μέγιστη ένταση ενίσχυσης που εφαρμόζεται για το σχέδιο, καθώς και οι διάφοροι δικαιούχοι που συμμετέχουν.</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 xml:space="preserve">…</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t xml:space="preserve">Εκτίμηση του συμβιβάσιμου του μέτρου</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Συμβολή στην περιφερειακή ανάπτυξη, θετικές συνέπειες και ανάγκη κρατικής παρέμβασης</w:t>
      </w:r>
      <w:r>
        <w:rPr>
          <w:b/>
          <w:color w:val="000000"/>
        </w:rPr>
        <w:t xml:space="preserve">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 xml:space="preserve">Παρακαλείστε:</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 xml:space="preserve">να αναφέρετε την επακριβή τοποθεσία του ενισχυόμενου σχεδίου (δηλαδή, τον τόπο και την περιφέρεια NUTS 2 ή 3 στην οποία ανήκει η τοποθεσία)·</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 xml:space="preserve">να αναφέρετε λεπτομέρειες για το καθεστώς της ενίσχυσης ως περιφερειακής ενίσχυσης στον ισχύοντα χάρτη περιφερειακών ενισχύσεων [δηλαδή, αν βρίσκεται σε περιοχή επιλέξιμη για περιφερειακή ενίσχυση, βάσει του άρθρου 107 παράγραφος 3 στοιχείο α) ή γ)]·</w:t>
      </w:r>
      <w:r>
        <w:rPr>
          <w:color w:val="000000"/>
        </w:rPr>
        <w:t xml:space="preserve"> </w:t>
      </w:r>
      <w:r>
        <w:rPr>
          <w:color w:val="000000"/>
        </w:rPr>
        <w:t xml:space="preserve">και</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 xml:space="preserve">να αναφέρετε τη μέγιστη ένταση ενίσχυσης που ισχύει για μεγάλες επιχειρήσεις,</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 xml:space="preserve">…</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 xml:space="preserve">Εξηγήστε με ποιον τρόπο η ενίσχυση θα συμβάλει στην περιφερειακή ανάπτυξη και, κατά περίπτωση, ποια άλλα θετικά αποτελέσματα προκύπτουν από την ενίσχυση;</w:t>
      </w:r>
      <w:r>
        <w:rPr>
          <w:vertAlign w:val="superscript"/>
        </w:rPr>
        <w:footnoteReference w:id="12"/>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 xml:space="preserve">…</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Εάν η κοινοποίηση αφορά μεμονωμένη αίτηση για ενίσχυση στο πλαίσιο καθεστώτος, εξηγήστε με ποιον τρόπο το σχέδιο συμβάλλει στην επίτευξη του στόχου του καθεστώτος, και υποβάλετε σχετικά υποστηρικτικά έγγραφα (παράγραφος 46 των ΚΓΠΕ).</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 xml:space="preserve">…</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Εάν η κοινοποίηση αφορά τις ενισχύσεις ad hoc, εξηγήστε με ποιον τρόπο το σχέδιο συμβάλλει στην αναπτυξιακή στρατηγική της οικείας περιοχής, και υποβάλετε σχετικά δικαιολογητικά έγγραφα (παράγραφος 53 των ΚΓΠΕ).</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 xml:space="preserve">…</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Εξηγήστε πώς εφαρμόζεται η διάταξη που επιβάλλει να διατηρείται η επένδυση στην εν λόγω περιοχή για τουλάχιστον πέντε έτη (τρία έτη για τις ΜΜΕ) μετά την ολοκλήρωσή της (παράγραφος 47 των ΚΓΠΕ).</w:t>
      </w:r>
      <w:r>
        <w:rPr>
          <w:color w:val="000000"/>
        </w:rPr>
        <w:t xml:space="preserve"> </w:t>
      </w:r>
      <w:r>
        <w:rPr>
          <w:color w:val="000000"/>
        </w:rPr>
        <w:t xml:space="preserve">Αναφέρετε τη σχετική διάταξη της νομικής βάσης (π.χ. τη σύμβαση χορήγησης της ενίσχυσης).</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 xml:space="preserve">…</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 xml:space="preserve">Σε περιπτώσεις όπου η ενίσχυση υπολογίζεται βάσει των μισθολογικών δαπανών, εξηγήστε τον τρόπο εφαρμογής της διάταξης που προβλέπει ότι οι θέσεις απασχόλησης δημιουργούνται εντός τριών ετών από την ολοκλήρωση της επένδυσης και ότι κάθε θέση εργασίας που δημιουργείται μέσω της επένδυσης θα διατηρηθεί στην οικεία περιοχή για περίοδο πέντε ετών (τριών, για τις ΜΜΕ) από την ημερομηνία κατά την οποία η θέση καλύπτεται για πρώτη φορά (παράγραφος 36 των ΚΓΠΕ).</w:t>
      </w:r>
      <w:r>
        <w:rPr>
          <w:color w:val="000000"/>
        </w:rPr>
        <w:t xml:space="preserve"> </w:t>
      </w:r>
      <w:r>
        <w:rPr>
          <w:color w:val="000000"/>
        </w:rPr>
        <w:t xml:space="preserve">Αναφέρετε τη σχετική διάταξη της νομικής βάσης (π.χ. τη σύμβαση χορήγησης της ενίσχυσης).</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 xml:space="preserve">…</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 xml:space="preserve">Αναφέρετε τη σχετική διάταξη της νομικής βάσης ή καταδείξτε ότι ο αποδέκτης (ή οι αποδέκτες) οφείλει να συνεισφέρει τουλάχιστον το 25% των επιλέξιμων δαπανών, είτε μέσω ιδίων πόρων του είτε μέσω εξωτερικής χρηματοδότησης, με μορφή που δεν περιέχει στοιχεία δημόσιας χρηματοδοτικής ενίσχυσης.</w:t>
      </w:r>
      <w:r>
        <w:rPr>
          <w:vertAlign w:val="superscript"/>
        </w:rPr>
        <w:footnoteReference w:id="13"/>
      </w:r>
      <w:r>
        <w:rPr>
          <w:color w:val="000000"/>
        </w:rPr>
        <w:t xml:space="preserve"> </w:t>
      </w:r>
      <w:r>
        <w:rPr>
          <w:color w:val="000000"/>
        </w:rPr>
        <w:t xml:space="preserve">(παράγραφος 48 των ΚΓΠΕ)</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 xml:space="preserve">…</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 xml:space="preserve">Διενεργήσατε ή δεσμεύεστε να διενεργήσετε εκτίμηση περιβαλλοντικών επιπτώσεων («ΕΠΕ») για την επένδυση;</w:t>
      </w:r>
      <w:r>
        <w:rPr>
          <w:color w:val="000000"/>
        </w:rPr>
        <w:t xml:space="preserve"> </w:t>
      </w:r>
      <w:r>
        <w:rPr>
          <w:color w:val="000000"/>
        </w:rPr>
        <w:t xml:space="preserve">(παράγραφος 49 των ΚΓΠΕ)</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Ναι</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Όχι</w:t>
      </w:r>
      <w:r>
        <w:t xml:space="preserve"> </w:t>
      </w:r>
    </w:p>
    <w:p w14:paraId="1BDCCEBD" w14:textId="77777777" w:rsidR="00B80DE0" w:rsidRPr="009830AE" w:rsidRDefault="00370A84" w:rsidP="00A80D24">
      <w:pPr>
        <w:pStyle w:val="Normal127"/>
      </w:pPr>
      <w:r>
        <w:t xml:space="preserve">Εάν όχι, διευκρινίστε τους λόγους για τους οποίους δεν απαιτείται ΕΠΕ για το έργο αυτό.</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 xml:space="preserve">…</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 xml:space="preserve">Παροχή κινήτρων από το μέτρο</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Επιβεβαιώστε ότι οι εργασίες για την κοινοποιηθείσα μεμονωμένη επένδυση ξεκίνησαν μόνο μετά την υποβολή της αίτησης για ενίσχυση (παράγραφος 62 των ΚΓΠΕ).</w:t>
      </w:r>
      <w:r>
        <w:rPr>
          <w:color w:val="000000"/>
        </w:rPr>
        <w:t xml:space="preserve"> </w:t>
      </w:r>
      <w:r>
        <w:rPr>
          <w:color w:val="000000"/>
        </w:rPr>
        <w:t xml:space="preserve">Υποβάλετε αντίγραφο της αίτησης ενίσχυσης, η οποία απεστάλη στη χορηγούσα αρχή από τον δικαιούχο, και αποδεικτικά στοιχεία σχετικά με την ημερομηνία έναρξης των εργασιών.</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 xml:space="preserve">…</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Εξηγήστε τη δυνατότητα της ενίσχυσης να δημιουργήσει κίνητρα, με περιγραφή του σεναρίου αντιπαραδείγματος, με αναφορά σε ένα από τα δύο πιθανά σενάρια που αναφέρονται στην παράγραφο 59 των ΚΓΠΕ.</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 xml:space="preserve">…</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Εάν η περιφερειακή ενίσχυση χορηγείται από</w:t>
      </w:r>
      <w:r>
        <w:t xml:space="preserve"> </w:t>
      </w:r>
      <w:r>
        <w:rPr>
          <w:sz w:val="23"/>
        </w:rPr>
        <w:t xml:space="preserve">τα ταμεία πολιτικής συνοχής ή το ΕΓΤΑΑ</w:t>
      </w:r>
      <w:r>
        <w:rPr>
          <w:color w:val="000000"/>
        </w:rPr>
        <w:t xml:space="preserve"> σε περιοχές «α» για επενδύσεις που είναι αναγκαίες για την επίτευξη των προτύπων που καθορίζονται από το δίκαιο της Ένωσης, εξηγήστε τα εξής (και υποβάλετε δικαιολογητικά έγγραφα):</w:t>
      </w:r>
    </w:p>
    <w:p w14:paraId="4DC89A4E" w14:textId="77777777" w:rsidR="00B719F2" w:rsidRDefault="00B719F2" w:rsidP="00B719F2">
      <w:pPr>
        <w:pStyle w:val="Normal127Bullet63"/>
      </w:pPr>
      <w:r>
        <w:t xml:space="preserve">Ποιο είναι το σχετικό πρότυπο;</w:t>
      </w:r>
    </w:p>
    <w:p w14:paraId="23D487CA" w14:textId="77777777" w:rsidR="00B719F2" w:rsidRDefault="00B719F2" w:rsidP="00B719F2">
      <w:pPr>
        <w:pStyle w:val="Normal127Bullet63"/>
      </w:pPr>
      <w:r>
        <w:t xml:space="preserve">Γιατί είναι αναγκαία η επένδυση για να επιτευχθεί το πρότυπο;</w:t>
      </w:r>
      <w:r>
        <w:t xml:space="preserve"> </w:t>
      </w:r>
    </w:p>
    <w:p w14:paraId="2B6A27FA" w14:textId="77777777" w:rsidR="00B719F2" w:rsidRDefault="00B719F2" w:rsidP="00B719F2">
      <w:pPr>
        <w:pStyle w:val="Normal127Bullet63"/>
        <w:spacing w:after="120"/>
      </w:pPr>
      <w:r>
        <w:t xml:space="preserve">Γιατί, ελλείψει της ενίσχυσης, η επένδυση στην οικεία περιοχή δεν θα ήταν επαρκώς κερδοφόρα για τον δικαιούχο (παράγραφος 61 των ΚΓΠΕ);</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 xml:space="preserve">…</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 xml:space="preserve">Καταλληλότητα του μέτρου</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 xml:space="preserve">Εάν η κοινοποίηση αφορά ενισχύσεις ad hoc, αποδείξτε τον τρόπο με τον οποίο η εν λόγω ενίσχυση διασφαλίζει καλύτερα την ανάπτυξη της οικείας περιοχής από ό,τι μια ενίσχυση στο πλαίσιο ενός καθεστώτος ή άλλοι τύποι μέτρων (παράγραφος 83 των ΚΓΠΕ):</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 xml:space="preserve">…</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Εάν οι ενισχύσεις χορηγούνται σε μορφές που παρέχουν άμεσο περιουσιακό όφελος</w:t>
      </w:r>
      <w:r>
        <w:rPr>
          <w:color w:val="000000"/>
          <w:vertAlign w:val="superscript"/>
        </w:rPr>
        <w:footnoteReference w:id="14"/>
      </w:r>
      <w:r>
        <w:rPr>
          <w:color w:val="000000"/>
        </w:rPr>
        <w:t xml:space="preserve">, αποδείξτε τον λόγο για τον οποίο δεν είναι κατάλληλες άλλες δυνητικά λιγότερο στρεβλωτικές μορφές ενισχύσεων, όπως επιστρεπτέες προκαταβολές ή μορφές ενίσχυσης που βασίζονται σε χρεωστικούς ή συμμετοχικούς τίτλους</w:t>
      </w:r>
      <w:r>
        <w:rPr>
          <w:rStyle w:val="FootnoteReference"/>
          <w:color w:val="000000"/>
        </w:rPr>
        <w:footnoteReference w:id="15"/>
      </w:r>
      <w:r>
        <w:rPr>
          <w:color w:val="000000"/>
        </w:rPr>
        <w:t xml:space="preserve"> (παράγραφος 85 των ΚΓΠΕ):</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 xml:space="preserve">…</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 xml:space="preserve">Αναλογικότητα του μέτρου</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Στις περιπτώσεις του σεναρίου 1, αναφέρετε τις ακόλουθες πληροφορίες (ή παραπέμψτε στα σχετικά μέρη του υποβληθέντος αντιπαραδείγματος) (παράγραφος 96 των ΚΓΠΕ):</w:t>
      </w:r>
    </w:p>
    <w:p w14:paraId="6CC248A9" w14:textId="77777777" w:rsidR="007D318F" w:rsidRPr="009830AE" w:rsidRDefault="000432CC" w:rsidP="007D318F">
      <w:pPr>
        <w:pStyle w:val="Normal127Bullet63"/>
        <w:spacing w:after="120"/>
      </w:pPr>
      <w:r>
        <w:t xml:space="preserve">τον υπολογισμό του εσωτερικού ποσοστού απόδοσης («ΕΠΑ») της επένδυσης, με ή χωρίς την ενίσχυση</w:t>
      </w:r>
      <w:r>
        <w:rPr>
          <w:rStyle w:val="FootnoteReference"/>
        </w:rPr>
        <w:footnoteReference w:id="16"/>
      </w:r>
      <w:r>
        <w:t xml:space="preserv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 xml:space="preserve">…</w:t>
            </w:r>
          </w:p>
        </w:tc>
      </w:tr>
    </w:tbl>
    <w:p w14:paraId="04FC812F" w14:textId="77777777" w:rsidR="007D318F" w:rsidRPr="009830AE" w:rsidRDefault="000432CC" w:rsidP="007D318F">
      <w:pPr>
        <w:pStyle w:val="Normal127Bullet63"/>
        <w:spacing w:before="120" w:after="120"/>
      </w:pPr>
      <w:r>
        <w:t xml:space="preserve">πληροφορίες σχετικά με τα αντίστοιχα ποσοστά αναφοράς για την επιχείρηση (π.χ. κανονικά ποσοστά απόδοσης που απαιτούνται από τον δικαιούχο για να αναλάβει παρόμοια έργα, το κόστος κεφαλαίου της επιχείρησης συνολικά, τα ποσοστά αναφοράς του σχετικού κλάδου):</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 xml:space="preserve">…</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 xml:space="preserve">εξήγηση των λόγων για τους οποίους, βάσει των παραπάνω, το ποσό της ενίσχυσης είναι το ελάχιστο απαραίτητο για να καταστεί το σχέδιο επαρκώς κερδοφόρο):</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 xml:space="preserve">…</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 xml:space="preserve">Στις περιπτώσεις του σεναρίου 2, αναφέρετε τις ακόλουθες πληροφορίες (ή παραπέμψτε στα σχετικά μέρη του υποβληθέντος αντιπαραδείγματος) (παράγραφος 97 των ΚΓΠΕ):</w:t>
      </w:r>
    </w:p>
    <w:p w14:paraId="552DA4A4" w14:textId="77777777" w:rsidR="00F52BA4" w:rsidRDefault="00AC3C96" w:rsidP="007D318F">
      <w:pPr>
        <w:pStyle w:val="Normal127Bullet63"/>
        <w:spacing w:before="120" w:after="120"/>
      </w:pPr>
      <w:r>
        <w:t xml:space="preserve">τον υπολογισμό της διαφοράς μεταξύ της καθαρής παρούσας αξίας («ΚΠΑ») της επένδυσης στην περιοχή-στόχο και της ΚΠΑ της επένδυσης στην εναλλακτική τοποθεσία</w:t>
      </w:r>
      <w:r>
        <w:rPr>
          <w:rStyle w:val="FootnoteReference"/>
          <w:color w:val="000000"/>
        </w:rPr>
        <w:footnoteReference w:id="17"/>
      </w:r>
      <w:r>
        <w:t xml:space="preserv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t xml:space="preserve">…</w:t>
            </w:r>
          </w:p>
        </w:tc>
      </w:tr>
    </w:tbl>
    <w:p w14:paraId="0F4E039D" w14:textId="77777777" w:rsidR="001A3C89" w:rsidRDefault="001A3C89" w:rsidP="001A3C89">
      <w:pPr>
        <w:pStyle w:val="Normal127Bullet63"/>
        <w:spacing w:before="120" w:after="120"/>
      </w:pPr>
      <w:r>
        <w:t xml:space="preserve">όλες τις παραμέτρους που χρησιμοποιήθηκαν για τον ανωτέρω υπολογισμό (μεταξύ άλλων, το σχετικό χρονικό χρονοδιάγραμμα, το προεξοφλητικό επιτόκιο που χρησιμοποιήθηκε, κ.λπ.):</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 xml:space="preserve">…</w:t>
            </w:r>
          </w:p>
        </w:tc>
      </w:tr>
    </w:tbl>
    <w:p w14:paraId="3D2F8E2C" w14:textId="77777777" w:rsidR="001A3C89" w:rsidRPr="009830AE" w:rsidRDefault="00AC3C96" w:rsidP="001A3C89">
      <w:pPr>
        <w:pStyle w:val="Normal127Bullet63"/>
        <w:spacing w:before="120" w:after="120"/>
      </w:pPr>
      <w:r>
        <w:t xml:space="preserve">τον λόγο για τον οποίο, βάσει των ανωτέρω, η ενίσχυση δεν υπερβαίνει τη διαφορά μεταξύ της ΚΠΑ της επένδυσης στην περιοχή-στόχο και της ΚΠΑ στην εναλλακτική τοποθεσία:</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 xml:space="preserve">…</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 xml:space="preserve">Αποφυγή αθέμιτων αρνητικών επιπτώσεων στον ανταγωνισμό και τις συναλλαγές</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 xml:space="preserve">Ορισμός της σχετικής αγοράς:</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Παραθέστε τις πληροφορίες που προσδιορίζονται στη συνέχεια προκειμένου να προσδιοριστούν οι οικείες αγορές προϊόντων (δηλαδή, προϊόντα που επηρεάζονται από τη μεταβολή στη συμπεριφορά του δικαιούχου της ενίσχυσης) και να εντοπιστούν οι ανταγωνιστές και οι πελάτες/καταναλωτές που επηρεάζονται (παράγραφοι 124 και 125 των ΚΓΠΕ):</w:t>
      </w:r>
    </w:p>
    <w:p w14:paraId="1B28B2AD" w14:textId="28C92B94" w:rsidR="000432CC" w:rsidRPr="009830AE" w:rsidRDefault="005D2380" w:rsidP="0015397B">
      <w:pPr>
        <w:pStyle w:val="Normal127Bullet63"/>
        <w:spacing w:before="120" w:after="120"/>
      </w:pPr>
      <w:r>
        <w:t xml:space="preserve">Προσδιορίστε όλα τα προϊόντα που θα παράγονται στις ενισχυόμενες εγκαταστάσεις μετά την ολοκλήρωση της επένδυσης, καθώς και, εφόσον συντρέχει περίπτωση, τον κωδικό NACE ή τον κωδικό Prodcom ή την ονοματολογία CPA για τα σχέδια στον τομέα των υπηρεσιών.</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 xml:space="preserve">…</w:t>
            </w:r>
          </w:p>
        </w:tc>
      </w:tr>
    </w:tbl>
    <w:p w14:paraId="5189ADD8" w14:textId="77777777" w:rsidR="000432CC" w:rsidRPr="009830AE" w:rsidRDefault="005D2380" w:rsidP="0015397B">
      <w:pPr>
        <w:pStyle w:val="Normal127Bullet63"/>
        <w:spacing w:before="120" w:after="120"/>
      </w:pPr>
      <w:r>
        <w:t xml:space="preserve">Προσδιορίστε εάν τα προϊόντα που εντάσσονται στο σχέδιο πρόκειται να αντικαταστήσουν άλλα προϊόντα που παράγονται από τον δικαιούχο (σε επίπεδο ομίλου).</w:t>
      </w:r>
      <w:r>
        <w:t xml:space="preserve"> </w:t>
      </w:r>
      <w:r>
        <w:t xml:space="preserve">Ποια είναι τα προϊόντα προς αντικατάσταση;</w:t>
      </w:r>
      <w:r>
        <w:t xml:space="preserve"> </w:t>
      </w:r>
      <w:r>
        <w:t xml:space="preserve">Εάν αυτά τα προϊόντα που αντικαθίστανται δεν παράγονται στην τοποθεσία του σχεδίου, αναφέρετε πού παράγονται σήμερα.</w:t>
      </w:r>
      <w:r>
        <w:t xml:space="preserve"> </w:t>
      </w:r>
      <w:r>
        <w:t xml:space="preserve">Να περιγράψετε τη σχέση μεταξύ προϊόντων προς αντικατάσταση και σχεδιαζόμενης επένδυσης, και να δώσετε το χρονοδιάγραμμα της αντικατάστασης.</w:t>
      </w:r>
      <w:r>
        <w:t xml:space="preserve">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 xml:space="preserve">…</w:t>
            </w:r>
          </w:p>
        </w:tc>
      </w:tr>
    </w:tbl>
    <w:p w14:paraId="6A650BD6" w14:textId="49B8F88F" w:rsidR="000432CC" w:rsidRPr="009830AE" w:rsidRDefault="005D2380" w:rsidP="0015397B">
      <w:pPr>
        <w:pStyle w:val="Normal127Bullet63"/>
        <w:spacing w:before="120" w:after="120"/>
      </w:pPr>
      <w:r>
        <w:t xml:space="preserve">Να αναφέρετε ποιο άλλο προϊόν ή προϊόντα μπορούν να παραχθούν στις ίδιες, νέες εγκαταστάσεις (μέσω συστήματος ευελιξίας στις εγκαταστάσεις παραγωγής του δικαιούχου) με μικρό ή μηδενικό πρόσθετο κόστος.</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 xml:space="preserve">…</w:t>
            </w:r>
          </w:p>
        </w:tc>
      </w:tr>
    </w:tbl>
    <w:p w14:paraId="1DBCBA6A" w14:textId="77777777" w:rsidR="000432CC" w:rsidRPr="009830AE" w:rsidRDefault="005D2380" w:rsidP="0015397B">
      <w:pPr>
        <w:pStyle w:val="Normal127Bullet63"/>
        <w:spacing w:before="120" w:after="120"/>
      </w:pPr>
      <w:r>
        <w:t xml:space="preserve">Εξηγήστε αν το σχέδιο αφορά ενδιάμεσο προϊόν και αν σημαντικό μέρος της παραγωγής πωλείται με άλλον τρόπο πλην της διάθεσης στην αγορά (υπό τους συνήθεις όρους της αγοράς).</w:t>
      </w:r>
      <w:r>
        <w:t xml:space="preserve"> </w:t>
      </w:r>
      <w:r>
        <w:t xml:space="preserve">Με βάση την εξήγηση αυτή, και για τον σκοπό του υπολογισμού του μεριδίου αγοράς και της αύξησης της παραγωγικής ικανότητας στο υπόλοιπο της παρούσας ενότητας, αναφέρετε εάν το εν λόγω προϊόν είναι εκείνο που προβλέπεται στο σχέδιο ή εάν πρόκειται για προϊόν μεταγενέστερης παραγωγικής φάσης.</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 xml:space="preserve">…</w:t>
            </w:r>
          </w:p>
        </w:tc>
      </w:tr>
    </w:tbl>
    <w:p w14:paraId="05682CA8" w14:textId="5824585F" w:rsidR="000432CC" w:rsidRPr="009830AE" w:rsidRDefault="000432CC" w:rsidP="0015397B">
      <w:pPr>
        <w:pStyle w:val="Normal127Bullet63"/>
        <w:spacing w:before="120" w:after="120"/>
      </w:pPr>
      <w:r>
        <w:t xml:space="preserve">Αναφέρετε τη σχετική αγορά ή τις αγορές του προϊόντος/των προϊόντων.</w:t>
      </w:r>
      <w:r>
        <w:t xml:space="preserve"> </w:t>
      </w:r>
      <w:r>
        <w:t xml:space="preserve">Η σχετική αγορά προϊόντος περιλαμβάνει το εν λόγω προϊόν και τα υποκατάστατά του από την πλευρά της ζήτησης, δηλαδή προϊόντα που οι καταναλωτές θεωρούν υποκατάστατα (λόγω των χαρακτηριστικών του προϊόντος, των τιμών και της προβλεπόμενης χρήσης του), και τα υποκατάστατά του από την πλευρά της προσφοράς, δηλαδή, προϊόντα που οι παραγωγοί θεωρούν υποκατάστατα (μέσω ευελιξίας στις εγκαταστάσεις παραγωγής του δικαιούχου και των ανταγωνιστών του).</w:t>
      </w:r>
      <w:r>
        <w:t xml:space="preserve"> </w:t>
      </w:r>
      <w:r>
        <w:t xml:space="preserve">Αναφέρετε ποια θεωρείτε σχετικά υποκατάστατα από την πλευρά της ζήτησης και της προσφοράς, εν προκειμένω.</w:t>
      </w:r>
      <w:r>
        <w:t xml:space="preserve"> </w:t>
      </w:r>
      <w:r>
        <w:t xml:space="preserve">Παραθέστε αποδεικτικά στοιχεία, από ανεξάρτητο τρίτο μέρος, εάν είναι δυνατόν, για να υποστηρίξετε τα συμπεράσματά σας.</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 xml:space="preserve">…</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 xml:space="preserve">Αναφέρετε πληροφορίες και παραθέστε αποδεικτικά στοιχεία όσον αφορά τη σχετική γεωγραφική αγορά του δικαιούχου:</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 xml:space="preserve">…</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color w:val="000000"/>
          <w:u w:val="single"/>
          <w:b/>
        </w:rPr>
        <w:t xml:space="preserve">Για τις περιπτώσεις του σεναρίου 1</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 xml:space="preserve">Ισχύς στην αγορά (παράγραφοι 108 και 127 των ΚΓΠΕ):</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Παραθέστε τις ακόλουθες πληροφορίες σχετικά με τη θέση του δικαιούχου στην αγορά (κατά τη διάρκεια χρονικής περιόδου που προηγούνταν της λήψης της ενίσχυσης και την αναμενόμενη θέση στην αγορά μετά την ολοκλήρωση της επένδυσης) (</w:t>
      </w:r>
      <w:r>
        <w:rPr>
          <w:color w:val="000000"/>
          <w:u w:val="single"/>
        </w:rPr>
        <w:t xml:space="preserve">παράγραφος 133 RAG)</w:t>
      </w:r>
      <w:r>
        <w:rPr>
          <w:color w:val="000000"/>
        </w:rPr>
        <w:t xml:space="preserve">:</w:t>
      </w:r>
    </w:p>
    <w:p w14:paraId="529235B7" w14:textId="77777777" w:rsidR="000432CC" w:rsidRPr="009830AE" w:rsidRDefault="000432CC" w:rsidP="0015397B">
      <w:pPr>
        <w:pStyle w:val="Normal127Bullet63"/>
        <w:spacing w:after="120"/>
      </w:pPr>
      <w:r>
        <w:t xml:space="preserve">εκτίμηση των συνολικών πωλήσεων (σε αξία και σε όγκο) του αποδέκτη της ενίσχυσης στη σχετική αγορά (σε επίπεδο ομίλου).</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 xml:space="preserve">…</w:t>
            </w:r>
          </w:p>
        </w:tc>
      </w:tr>
    </w:tbl>
    <w:p w14:paraId="0AC1256A" w14:textId="77777777" w:rsidR="000432CC" w:rsidRPr="009830AE" w:rsidRDefault="000432CC" w:rsidP="0015397B">
      <w:pPr>
        <w:pStyle w:val="Normal127Bullet63"/>
        <w:spacing w:before="120" w:after="120"/>
      </w:pPr>
      <w:r>
        <w:t xml:space="preserve">εκτίμηση των συνολικών πωλήσεων όλων των παραγωγών στη σχετική αγορά (σε αξία και σε όγκο).</w:t>
      </w:r>
      <w:r>
        <w:t xml:space="preserve"> </w:t>
      </w:r>
      <w:r>
        <w:t xml:space="preserve">Εάν υπάρχουν, συμπεριλάβετε και τις σχετικές στατιστικές που έχουν καταρτίσει δημόσιοι και/ή ιδιωτικοί φορείς.</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 xml:space="preserve">…</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Υποβάλετε εκτίμηση της δομής της σχετικής αγοράς, η οποία να περιλαμβάνει, για παράδειγμα, το επίπεδο συγκέντρωσης στην αγορά, πιθανούς φραγμούς εισόδου, την αγοραστική ισχύ και φραγμούς επέκτασης ή εξόδου.</w:t>
      </w:r>
      <w:r>
        <w:rPr>
          <w:color w:val="000000"/>
        </w:rPr>
        <w:t xml:space="preserve"> </w:t>
      </w:r>
      <w:r>
        <w:t xml:space="preserve">Παραθέστε αποδεικτικά στοιχεία, από ανεξάρτητο τρίτο μέρος, εάν είναι δυνατόν, για να υποστηρίξετε τα συμπεράσματά σας.</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 xml:space="preserve">…</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 xml:space="preserve">Παραγωγική ικανότητα [παράγραφος 127 σημείο 1) των ΚΓΠΕ]:</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 xml:space="preserve">Υποβάλετε εκτίμηση για την επιπρόσθετη παραγωγική ικανότητα που θα δημιουργηθεί με την επένδυση (σε αξία και σε όγκο):</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 xml:space="preserve">…</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r>
      <w:r>
        <w:rPr>
          <w:b/>
          <w:color w:val="000000"/>
        </w:rPr>
        <w:t xml:space="preserve">Για όλες τις περιπτώσεις</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 xml:space="preserve">Προφανείς αρνητικές επιπτώσεις:</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Στις περιπτώσεις του σεναρίου 1, παραθέστε τις ακόλουθες πληροφορίες και αποδεικτικά στοιχεία, όσον αφορά την αγορά των σχετικών προϊόντων:</w:t>
      </w:r>
      <w:r>
        <w:rPr>
          <w:vertAlign w:val="superscript"/>
        </w:rPr>
        <w:footnoteReference w:id="19"/>
      </w:r>
    </w:p>
    <w:p w14:paraId="10046A66" w14:textId="77777777" w:rsidR="00BA3F74" w:rsidRDefault="00BA3F74" w:rsidP="00BA3F74">
      <w:pPr>
        <w:pStyle w:val="Normal127Bullet63"/>
      </w:pPr>
      <w:r>
        <w:t xml:space="preserve">Σε μακροπρόθεσμη προοπτική, η σχετική αγορά βρίσκεται από διαρθρωτική άποψη σε απόλυτη παρακμή (δηλαδή, παρουσιάζει αρνητικούς ρυθμούς ανάπτυξης);</w:t>
      </w:r>
      <w:r>
        <w:t xml:space="preserve"> </w:t>
      </w:r>
      <w:r>
        <w:t xml:space="preserve">(παράγραφος 130 των ΚΓΠΕ)</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 xml:space="preserve">…</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 xml:space="preserve">Η σχετική αγορά βρίσκεται σε σχετική παρακμή (δηλαδή, παρουσιάζει θετικούς ρυθμούς ανάπτυξης, οι οποίοι, όμως, δεν υπερβαίνουν ένα ποσοστό αναφοράς);</w:t>
      </w:r>
      <w:r>
        <w:t xml:space="preserve"> </w:t>
      </w:r>
      <w:r>
        <w:t xml:space="preserve">(παράγραφος 130 των ΚΓΠΕ)</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 xml:space="preserve">…</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Στις περιπτώσεις του σεναρίου 2, αναφέρετε εάν, χωρίς την ενίσχυση, η επένδυση θα είχε πραγματοποιηθεί σε περιφέρεια με υψηλότερη ή ίδια ένταση περιφερειακής ενίσχυσης με την περιοχή-στόχο.</w:t>
      </w:r>
      <w:r>
        <w:rPr>
          <w:color w:val="000000"/>
        </w:rPr>
        <w:t xml:space="preserve"> </w:t>
      </w:r>
      <w:r>
        <w:rPr>
          <w:color w:val="000000"/>
        </w:rPr>
        <w:t xml:space="preserve">(παράγραφος 117 των ΚΓΠΕ)</w:t>
      </w:r>
      <w:r>
        <w:t xml:space="preserve"> Να υποβάλετε αποδεικτικά στοιχεία που να στηρίζουν τη θέση σας.</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 xml:space="preserve">…</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 xml:space="preserve">Επιβεβαιώστε ότι ο δικαιούχος έχει υποβάλει δήλωση στην οποία επιβεβαιώνει ότι, σε επίπεδο ομίλου, δεν έχει διακόψει την ίδια ή παρόμοια δραστηριότητα εντός του ΕΟΧ δύο έτη πριν από την ημερομηνία της αίτησης για χορήγηση ενίσχυσης, και ότι δεν προτίθεται να διακόψει την ίδια ή παρόμοια δραστηριότητα εντός του ΕΟΧ, εντός περιόδου δύο ετών από την ολοκλήρωση της προς επιδότηση επένδυσης (παράγραφος 118 των ΚΓΠΕ).</w:t>
      </w:r>
    </w:p>
    <w:p w14:paraId="6230E8D6" w14:textId="77777777" w:rsidR="00D1583F" w:rsidRPr="00F24AED" w:rsidRDefault="00D1583F" w:rsidP="00D1583F">
      <w:pPr>
        <w:pStyle w:val="Normal127"/>
        <w:tabs>
          <w:tab w:val="clear" w:pos="720"/>
          <w:tab w:val="clear" w:pos="1440"/>
          <w:tab w:val="left" w:pos="1418"/>
        </w:tabs>
        <w:ind w:left="1418"/>
      </w:pPr>
      <w:r>
        <w:t xml:space="preserve">Εάν υπέβαλε τέτοια δήλωση, παρακαλείσθε να επισυνάψετε αντίγραφό της στην κοινοποίηση.</w:t>
      </w:r>
      <w:r>
        <w:t xml:space="preserve"> </w:t>
      </w:r>
      <w:r>
        <w:t xml:space="preserve">Εάν δεν το έπραξε, εξηγήστε γιατί δεν το έπραξε.</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 xml:space="preserve">…</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Εάν ο δικαιούχος σε επίπεδο ομίλου διέκοψε την ίδια ή παρόμοια δραστηριότητα σε άλλη περιοχή εντός του ΕΟΧ δύο έτη πριν από την αίτηση για ενίσχυση ή προτίθεται να τη διακόψει εντός δύο ετών μετά την ολοκλήρωση της επένδυσης, και έχει μεταφέρει τη δραστηριότητα αυτή στην περιοχή-στόχο ή προτίθεται να το πράξει, εξηγήστε τον λόγο για τον οποίο θεωρεί ότι δεν υπάρχει αιτιώδης συνάφεια μεταξύ της ενίσχυσης και της μετεγκατάστασης (παράγραφος 118 των ΚΓΠΕ).</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 xml:space="preserve">…</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Εξηγήστε κατά πόσον η κρατική ενίσχυση θα μπορούσε να οδηγήσει άμεσα σε σημαντική απώλεια θέσεων εργασίας σε υφιστάμενες τοποθεσίες εντός του ΕΟΧ.</w:t>
      </w:r>
      <w:r>
        <w:rPr>
          <w:color w:val="000000"/>
        </w:rPr>
        <w:t xml:space="preserve"> </w:t>
      </w:r>
      <w:r>
        <w:rPr>
          <w:color w:val="000000"/>
        </w:rPr>
        <w:t xml:space="preserve">Εάν οι κρατικές ενισχύσεις ενδέχεται να έχουν ως αποτέλεσμα σημαντική απώλεια θέσεων εργασίας σε υφιστάμενες τοποθεσίες εντός του ΕΟΧ, αναφέρετε τον αριθμό και την αναλογία τους σε σύγκριση με τη συνολική απασχόληση στη σχετική ή στις σχετικές τοποθεσίες.</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 xml:space="preserve">…</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Διαφάνεια</w:t>
            </w:r>
            <w:r>
              <w:rPr>
                <w:color w:val="000000"/>
              </w:rPr>
              <w:t xml:space="preserve"> </w:t>
            </w:r>
          </w:p>
        </w:tc>
      </w:tr>
    </w:tbl>
    <w:p w14:paraId="54B7A160" w14:textId="77777777" w:rsidR="00733697" w:rsidRPr="00562FB9" w:rsidRDefault="00733697" w:rsidP="0010307A">
      <w:pPr>
        <w:pStyle w:val="NumPar3"/>
        <w:numPr>
          <w:ilvl w:val="1"/>
          <w:numId w:val="2"/>
        </w:numPr>
        <w:spacing w:before="240"/>
        <w:ind w:left="709" w:hanging="709"/>
      </w:pPr>
      <w:r>
        <w:t xml:space="preserve">Επιβεβαιώστε ότι το πλήρες κείμενο της απόφασης χορήγησης μεμονωμένης ενίσχυσης ή του εγκεκριμένου καθεστώτος ενισχύσεων και οι διατάξεις εφαρμογής της, ή ένας σύνδεσμος προς αυτό </w:t>
      </w:r>
      <w:bookmarkStart w:id="1" w:name="_Ref44059869"/>
      <w:r>
        <w:t xml:space="preserve">και πληροφορίες για κάθε μεμονωμένη ενίσχυση που υπερβαίνει τα 100 000 EUR, θα δημοσιευθούν χρησιμοποιώντας τη δομή του παραρτήματος VIII</w:t>
      </w:r>
      <w:bookmarkEnd w:id="1"/>
      <w:r>
        <w:t xml:space="preserve"> στην εφαρμογή Transparency Award Module (TAM) της Ευρωπαϊκής Επιτροπής, ή σε εμπεριστατωμένο δικτυακό τόπο για τις κρατικές ενισχύσεις, σε εθνικό ή περιφερειακό επίπεδο</w:t>
      </w:r>
      <w:r>
        <w:rPr>
          <w:rStyle w:val="FootnoteReference"/>
        </w:rPr>
        <w:footnoteReference w:id="20"/>
      </w:r>
      <w:r>
        <w:t xml:space="preserve">, εντός έξι μηνών από την ημερομηνία χορήγησης της ενίσχυσης, ή, όσον αφορά τις ενισχύσεις υπό μορφή φορολογικών πλεονεκτημάτων, εντός ενός έτους από την ημερομηνία υποβολής της φορολογικής δήλωσης.</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Ναι</w:t>
      </w:r>
    </w:p>
    <w:p w14:paraId="331C5D5F" w14:textId="77777777" w:rsidR="00733697" w:rsidRDefault="00733697" w:rsidP="0010307A">
      <w:pPr>
        <w:pStyle w:val="NumPar3"/>
        <w:numPr>
          <w:ilvl w:val="1"/>
          <w:numId w:val="2"/>
        </w:numPr>
        <w:spacing w:before="240"/>
        <w:ind w:left="709" w:hanging="709"/>
      </w:pPr>
      <w:r>
        <w:t xml:space="preserve">Αναφέρετε τις σχετικές διατάξεις της νομικής βάσης, όπου προβλέπεται ότι η χορηγούσα αρχή πρέπει να δημοσιεύει στην εφαρμογή Transparency Award Module (TAM) ή σε εμπεριστατωμένο ιστότοπο για τις κρατικές ενισχύσεις, σε εθνικό ή σε περιφερειακό επίπεδο</w:t>
      </w:r>
      <w:r>
        <w:rPr>
          <w:rStyle w:val="FootnoteReference"/>
        </w:rPr>
        <w:footnoteReference w:id="21"/>
      </w:r>
      <w:r>
        <w:t xml:space="preserve">, τουλάχιστον τις ακόλουθες πληροφορίες σχετικά με τα κοινοποιηθέντα καθεστώτα κρατικών ενισχύσεων:</w:t>
      </w:r>
      <w:r>
        <w:t xml:space="preserve"> </w:t>
      </w:r>
      <w:r>
        <w:t xml:space="preserve">το κείμενο του κοινοποιηθέντος καθεστώτος ενισχύσεων, και τις διατάξεις σχετικά με την εφαρμογή του, τη χορηγούσα αρχή, τους μεμονωμένους δικαιούχους, το ποσό της ενίσχυσης ανά δικαιούχο και την ένταση της ενίσχυσης.</w:t>
      </w:r>
      <w:r>
        <w:t xml:space="preserve"> </w:t>
      </w:r>
      <w:r>
        <w:t xml:space="preserve">(παράγραφος 136 των ΚΓΠΕ)</w:t>
      </w:r>
    </w:p>
    <w:p w14:paraId="6236CB31" w14:textId="77777777" w:rsidR="00733697" w:rsidRDefault="00733697" w:rsidP="0010307A">
      <w:pPr>
        <w:pStyle w:val="NumPar3"/>
        <w:spacing w:before="240"/>
        <w:ind w:left="709"/>
      </w:pPr>
      <w:r>
        <w:t xml:space="preserve">Εάν δεν υπάρχουν ανάλογες διατάξεις, διευκρινίστε τους λόγους.</w:t>
      </w:r>
      <w:r>
        <w:t xml:space="preserve"> </w:t>
      </w:r>
      <w:r>
        <w:t xml:space="preserve">Ομοίως, εάν οι διατάξεις αυτές δεν περιλαμβάνονται στη νομική βάση για το κοινοποιηθέν καθεστώς, αλλά περιέχονται σε άλλα νομοθετικά έγγραφα, παρακαλείσθε να το αναφέρετε.</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 xml:space="preserve">…</w:t>
            </w:r>
          </w:p>
        </w:tc>
      </w:tr>
    </w:tbl>
    <w:p w14:paraId="77BBA1D0" w14:textId="77777777" w:rsidR="000C480F" w:rsidRDefault="00733697" w:rsidP="0010307A">
      <w:pPr>
        <w:pStyle w:val="NumPar3"/>
        <w:spacing w:before="240"/>
        <w:ind w:left="0"/>
      </w:pPr>
      <w:r>
        <w:t xml:space="preserve">Αναφέρετε τις σχετικές διατάξεις της νομικής βάσης, όπου προβλέπεται ότι οι ως άνω πληροφορίες θα είναι διαθέσιμες για το ευρύ κοινό, χωρίς περιορισμούς, επί τουλάχιστον 10 έτη από την ημερομηνία χορήγησης της ενίσχυσης.</w:t>
      </w:r>
      <w:r>
        <w:t xml:space="preserve"> </w:t>
      </w:r>
      <w:r>
        <w:t xml:space="preserve">(παράγραφος 140 των ΚΓΠΕ).</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t xml:space="preserve">Υποβολή εκθέσεων και παρακολούθηση</w:t>
            </w:r>
            <w:r>
              <w:rPr>
                <w:color w:val="000000"/>
              </w:rPr>
              <w:t xml:space="preserve">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rPr>
          <w:color w:val="000000"/>
        </w:rPr>
        <w:t xml:space="preserve">Επιβεβαιώστε</w:t>
      </w:r>
      <w:r>
        <w:t xml:space="preserve"> ότι, σύμφωνα με τον κανονισμό (ΕΕ) αριθ. 2015/1589 του Συμβουλίου, της 13ης Ιουλίου 2015, και τον κανονισμό (ΕΚ) αριθ. 794/2004 της Επιτροπής, της 21ης Απριλίου 2004, σχετικά με την εφαρμογή του κανονισμού (ΕΕ) 2015/1589 του Συμβουλίου περί λεπτομερών κανόνων για την εφαρμογή του άρθρου 108 της Συνθήκης για τη λειτουργία της Ευρωπαϊκής Ένωσης, οι ετήσιες εκθέσεις θα υποβληθούν στην Επιτροπή.</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rPr>
          <w:b/>
        </w:rPr>
        <w:t xml:space="preserve"> </w:t>
      </w:r>
      <w:r>
        <w:tab/>
      </w:r>
      <w:r>
        <w:t xml:space="preserve">Ναι</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color w:val="000000"/>
          <w:rFonts w:cs="Times New Roman"/>
        </w:rPr>
      </w:pPr>
      <w:r>
        <w:rPr>
          <w:color w:val="000000"/>
        </w:rPr>
        <w:t xml:space="preserve">Επιβεβαιώστε </w:t>
      </w:r>
      <w:r>
        <w:rPr>
          <w:color w:val="000000"/>
          <w:color w:val="000000"/>
        </w:rPr>
        <w:t xml:space="preserve">ότι</w:t>
      </w:r>
      <w:r>
        <w:rPr>
          <w:color w:val="000000"/>
        </w:rPr>
        <w:t xml:space="preserve"> θα τηρείτε επί τουλάχιστον 10 έτη, από την ημερομηνία χορήγησης της ενίσχυσης, λεπτομερή αρχεία με τις πληροφορίες και τα δικαιολογητικά που απαιτούνται για να διαπιστωθεί ότι πληρούνται όλες οι προϋποθέσεις συμβατότητας, και ότι τα αρχεία αυτά θα υποβληθούν στην Επιτροπή εάν ζητηθούν.</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Ναι</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Κατευθυντήριες γραμμές για τις κρατικές ενισχύσεις περιφερειακού χαρακτήρα (ΕΕ C </w:t>
      </w:r>
      <w:r>
        <w:rPr>
          <w:rStyle w:val="Emphasis"/>
          <w:i w:val="0"/>
        </w:rPr>
        <w:t xml:space="preserve">153 της 29.4.2021, σ. 1)</w:t>
      </w:r>
      <w:r>
        <w:t xml:space="preserve">.</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Ως «η ίδια ή παρόμοια δραστηριότητα» νοείται δραστηριότητα που υπάγεται στην ίδια κατηγορία (τετραψήφιος αριθμητικός κωδικός) της στατιστικής ταξινόμησης των οικονομικών δραστηριοτήτων NACE αναθ. 2.</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Κατά τον ορισμό που δίδεται στην ανακοίνωση της Επιτροπής — Κατευθυντήριες γραμμές σχετικά με τις κρατικές ενισχύσεις για τη διάσωση και αναδιάρθρωση μη χρηματοπιστωτικών προβληματικών επιχειρήσεων (EE C 249 της 31.7.2014, σ. 1).</w:t>
      </w:r>
    </w:p>
  </w:footnote>
  <w:footnote w:id="4">
    <w:p w14:paraId="02CDBE48" w14:textId="676D449A" w:rsidR="00823C32" w:rsidRPr="00527F9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Ως «ΜΜΕ» νοούνται οι επιχειρήσεις που πληρούν τις προϋποθέσεις που ορίζονται στη σύσταση της Επιτροπής, της 6ης Μαΐου 2003, σχετικά με τον ορισμό των πολύ μικρών, των μικρών και των μεσαίων επιχειρήσεων (ΕΕ L 124 της 20.5.2003, σ. 36).</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Η απλή εξαγορά των μετοχών μιας επιχείρησης δεν χαρακτηρίζεται αρχική επένδυση.</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Οι προϋποθέσεις είναι οι εξής:</w:t>
      </w:r>
      <w:r>
        <w:t xml:space="preserve"> </w:t>
      </w:r>
      <w:r>
        <w:t xml:space="preserve">(1) Η επένδυση αφορά αρχική επένδυση σε έδαφος που έχει προσδιοριστεί για συγχρηματοδοτούμενη στήριξη από το ΤΔΜ σε περιοχή «γ» με κατά κεφαλήν ΑΕΠ χαμηλότερο από το 100 % του μέσου όρου της ΕΕ των 27·</w:t>
      </w:r>
      <w:r>
        <w:t xml:space="preserve"> </w:t>
      </w:r>
      <w:r>
        <w:t xml:space="preserve">(2) η επένδυση και ο δικαιούχος προσδιορίζονται στο εδαφικό σχέδιο δίκαιης μετάβασης κράτους μέλους που έχει εγκριθεί από την Επιτροπή·</w:t>
      </w:r>
      <w:r>
        <w:t xml:space="preserve"> </w:t>
      </w:r>
      <w:r>
        <w:t xml:space="preserve">και (3) η κρατική ενίσχυση για την επένδυση καλύπτεται από το ΤΔΜ στο μέγιστο επιτρεπόμενο όριο.</w:t>
      </w:r>
      <w:r>
        <w:t xml:space="preserve">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Η απλή απόκτηση των μετοχών μιας επιχείρησης δεν χαρακτηρίζεται ως αρχική επένδυση που δημιουργεί νέα οικονομική δραστηριότητα.</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Η διάταξη αυτή δεν εφαρμόζεται για τις ΜΜΕ ή στην περίπτωση απόκτησης μιας εγκατάστασης.</w:t>
      </w:r>
    </w:p>
  </w:footnote>
  <w:footnote w:id="9">
    <w:p w14:paraId="2A072B76" w14:textId="77777777" w:rsidR="00823C32" w:rsidRPr="005078A0" w:rsidRDefault="00823C32" w:rsidP="0010307A">
      <w:pPr>
        <w:pStyle w:val="FootnoteText"/>
        <w:tabs>
          <w:tab w:val="clear" w:pos="720"/>
          <w:tab w:val="left" w:pos="284"/>
        </w:tabs>
        <w:ind w:left="284" w:hanging="284"/>
      </w:pPr>
      <w:r>
        <w:rPr>
          <w:rStyle w:val="FootnoteReference"/>
        </w:rPr>
        <w:footnoteRef/>
      </w:r>
      <w:r>
        <w:t xml:space="preserve"> </w:t>
      </w:r>
      <w:r>
        <w:tab/>
      </w:r>
      <w:r>
        <w:t xml:space="preserve">Η παράγραφος 33 των ΚΓΠΕ προβλέπει ότι για τις μεγάλες επιχειρήσεις, οι δαπάνες άυλων περιουσιακών στοιχείων είναι επιλέξιμες μόνον έως το 50 % των συνολικών επιλέξιμων επενδυτικών δαπανών για την αρχική επένδυση.</w:t>
      </w:r>
      <w:r>
        <w:t xml:space="preserve"> </w:t>
      </w:r>
      <w:r>
        <w:t xml:space="preserve">Για τις ΜΜΕ, είναι επιλέξιμο το 100 % των δαπανών σε άυλα περιουσιακά στοιχεία.</w:t>
      </w:r>
      <w:r>
        <w:tab/>
      </w:r>
      <w:r>
        <w:t xml:space="preserve">Η παράγραφος 34 των ΚΓΠΕ προβλέπει ότι τα άυλα περιουσιακά στοιχεία, τα οποία μπορούν να λαμβάνονται υπόψη για τον υπολογισμό των επενδυτικών δαπανών, πρέπει να παραμένουν συνδεδεμένα με την οικεία περιοχή και να μην μεταφέρονται σε άλλες περιοχές.</w:t>
      </w:r>
      <w:r>
        <w:t xml:space="preserve"> </w:t>
      </w:r>
      <w:r>
        <w:t xml:space="preserve">Για τον σκοπό αυτόν, τα άυλα περιουσιακά στοιχεία πρέπει να πληρούν τις ακόλουθες προϋποθέσεις:</w:t>
      </w:r>
    </w:p>
    <w:p w14:paraId="701B08D5" w14:textId="77777777" w:rsidR="00823C32" w:rsidRDefault="00823C32" w:rsidP="0010307A">
      <w:pPr>
        <w:pStyle w:val="FootnoteText"/>
        <w:numPr>
          <w:ilvl w:val="0"/>
          <w:numId w:val="38"/>
        </w:numPr>
        <w:tabs>
          <w:tab w:val="clear" w:pos="720"/>
          <w:tab w:val="left" w:pos="709"/>
        </w:tabs>
        <w:ind w:left="709" w:hanging="425"/>
      </w:pPr>
      <w:r>
        <w:t xml:space="preserve">πρέπει να χρησιμοποιούνται αποκλειστικά στην επιχειρηματική εγκατάσταση που λαμβάνει την ενίσχυση·</w:t>
      </w:r>
    </w:p>
    <w:p w14:paraId="582ED1B5" w14:textId="77777777" w:rsidR="00823C32" w:rsidRDefault="00823C32" w:rsidP="0010307A">
      <w:pPr>
        <w:pStyle w:val="FootnoteText"/>
        <w:numPr>
          <w:ilvl w:val="0"/>
          <w:numId w:val="38"/>
        </w:numPr>
        <w:tabs>
          <w:tab w:val="clear" w:pos="720"/>
          <w:tab w:val="left" w:pos="709"/>
        </w:tabs>
        <w:ind w:left="709" w:hanging="425"/>
      </w:pPr>
      <w:r>
        <w:t xml:space="preserve">πρέπει να είναι αποσβέσιμα·</w:t>
      </w:r>
    </w:p>
    <w:p w14:paraId="172FF030" w14:textId="77777777" w:rsidR="00823C32" w:rsidRDefault="00823C32" w:rsidP="0010307A">
      <w:pPr>
        <w:pStyle w:val="FootnoteText"/>
        <w:numPr>
          <w:ilvl w:val="0"/>
          <w:numId w:val="38"/>
        </w:numPr>
        <w:tabs>
          <w:tab w:val="clear" w:pos="720"/>
          <w:tab w:val="left" w:pos="709"/>
        </w:tabs>
        <w:ind w:left="709" w:hanging="425"/>
      </w:pPr>
      <w:r>
        <w:t xml:space="preserve">πρέπει να αγοράζονται σύμφωνα με τους όρους της αγοράς από τρίτους που δεν έχουν σχέση με τον αγοραστή·</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 xml:space="preserve">πρέπει να περιλαμβάνονται στο ενεργητικό της επιχείρησης που λαμβάνει την ενίσχυση και να παραμένουν συνδεδεμένα με το σχέδιο για το οποίο χορηγείται η ενίσχυση επί τουλάχιστον πέντε έτη (τρία έτη για τις ΜΜΕ).</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r>
      <w:r>
        <w:t xml:space="preserve">Ανακοίνωση της Επιτροπής σχετικά με τα τρέχοντα επιτόκια ανάκτησης και τα επιτόκια αναφοράς/προεξόφλησης που ισχύουν από την 1η Μαΐου 2021 [Δημοσιεύεται σύμφωνα με το άρθρο 10 του κανονισμού (ΕΚ) αριθ. 794/2004 της Επιτροπής, της 21ης Απριλίου 2004 (ΕΕ L 140 της 30.4.2004, σ. 1)]</w:t>
      </w:r>
      <w:r>
        <w:t xml:space="preserve"> </w:t>
      </w:r>
      <w:r>
        <w:t xml:space="preserve">2021/C 139/04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Το ποσό ή τα ποσά της ενίσχυσης και οι επιλέξιμες δαπάνες θα πρέπει να αναφέρονται τόσο σε ονομαστική όσο και σε προεξοφλημένη αξία.</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Για τον σκοπό αυτό, μπορείτε</w:t>
      </w:r>
      <w:r>
        <w:rPr>
          <w:color w:val="000000"/>
        </w:rPr>
        <w:t xml:space="preserve">, για παράδειγμα, να αναφερθείτε στα κριτήρια που απαριθμούνται στην παράγραφο 50 των ΚΓΠΕ και/ή στο επιχειρηματικό πρόγραμμα του δικαιούχου.</w:t>
      </w:r>
      <w:r>
        <w:rPr>
          <w:color w:val="000000"/>
        </w:rPr>
        <w:t xml:space="preserve"> </w:t>
      </w:r>
      <w:r>
        <w:rPr>
          <w:color w:val="000000"/>
        </w:rPr>
        <w:t xml:space="preserve">Οι αναμενόμενες θετικές συνέπειες θα μπορούσαν, για παράδειγμα, να αφορούν τον αριθμό των θέσεων εργασίας που θα δημιουργηθούν ή θα διατηρηθούν, τις δραστηριότητες Ε&amp;Α&amp;Κ, την κατάρτιση, τη δημιουργία συστάδων επιχειρήσεων και την πιθανή συμβολή στην πράσινη και ψηφιακή μετάβαση της οικονομίας [συμπεριλαμβανομένων, κατά περίπτωση, πληροφοριών σχετικά με το κατά πόσον η επένδυση είναι περιβαλλοντικά βιώσιμη κατά την έννοια του κανονισμού (ΕΕ) 2020/852 για το ενωσιακό σύστημα ταξινόμησης].</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r>
      <w:r>
        <w:t xml:space="preserve">Αυτό δεν ισχύει για τα επιδοτούμενα δάνεια, τα κρατικά δάνεια μετοχικού κεφαλαίου ή τις κρατικές συμμετοχές που δεν πληρούν τις αρχές της οικονομίας της αγοράς, για τις εγγυήσεις που περιέχουν στοιχεία κρατικής ενίσχυσης, καθώς και για τις κρατικές ενισχύσεις που χορηγούνται βάσει του κανόνα de minimis.</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Για παράδειγμα, άμεσες επιχορηγήσεις, απαλλαγές ή μειώσεις φόρων, εισφορών κοινωνικής ασφάλισης ή άλλων υποχρεωτικών επιβαρύνσεων, ή παροχή γης, αγαθών ή υπηρεσιών σε ευνοϊκές τιμές κ.λπ.</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 xml:space="preserve"> </w:t>
      </w:r>
      <w:r>
        <w:tab/>
      </w:r>
      <w:r>
        <w:t xml:space="preserve">Για παράδειγμα, δάνεια με χαμηλό επιτόκιο ή επιδοτήσεις επιτοκίου, κρατικές εγγυήσεις, αγορά μετοχών ή εναλλακτική εισφορά κεφαλαίων υπό ευνοϊκούς όρους.</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Το χρονικό διάστημα που λαμβάνεται υπόψη για τον υπολογισμό του εσωτερικού ποσοστού απόδοσης θα πρέπει να αντιστοιχεί σε χρονικά πλαίσια που συνήθως λαμβάνονται υπόψη από τον κλάδο για παρόμοια σχέδια.</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r>
      <w:r>
        <w:t xml:space="preserve">Πρέπει να λαμβάνονται υπόψη όλες οι σχετικές δαπάνες και τα οφέλη, όπως διοικητικά έξοδα, έξοδα μεταφοράς, έξοδα εκπαίδευσης που δεν καλύπτονται από τις ενισχύσεις κατάρτισης, καθώς και οι μισθολογικές διαφορές.</w:t>
      </w:r>
      <w:r>
        <w:t xml:space="preserve"> </w:t>
      </w:r>
      <w:r>
        <w:t xml:space="preserve">Ωστόσο, εάν η εναλλακτική τοποθεσία βρίσκεται στον ΕΟΧ, οι επιδοτήσεις που χορηγούνται στην εν λόγω άλλη τοποθεσία δεν μπορούν να λαμβάνονται υπόψη.</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Παρακαλείσθε επίσης να παράσχετε τις πληροφορίες αυτές για τις περιπτώσεις του σεναρίου 2 όπου η επένδυση, στο σενάριο του αντιπαραδείγματος, θα πραγματοποιούνταν σε διαφορετική γεωγραφική αγορά</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Η υποτονικότητα της αγοράς θα υπολογίζεται κατά κανόνα σε σχέση με το ΑΕΠ του ΕΟΧ κατά τα τρία έτη πριν από την έναρξη του έργου (ποσοστό αναφοράς).</w:t>
      </w:r>
      <w:r>
        <w:t xml:space="preserve"> </w:t>
      </w:r>
      <w:r>
        <w:t xml:space="preserve">Μπορεί επίσης να μετρηθεί με βάση τους προβλεπόμενους ρυθμούς ανάπτυξης για τα επόμενα τρία έως πέντε έτη.</w:t>
      </w:r>
      <w:r>
        <w:t xml:space="preserve"> </w:t>
      </w:r>
      <w:r>
        <w:t xml:space="preserve">Στους δείκτες μπορεί να περιλαμβάνονται η αναμενόμενη μελλοντική ανάπτυξη της οικείας αγοράς, οι επακόλουθοι αναμενόμενοι συντελεστές αξιοποίησης της παραγωγικής ικανότητας και ο πιθανός αντίκτυπος της αύξησης της παραγωγικής ικανότητας στους ανταγωνιστές από την άποψη των τιμών και των περιθωρίων κέρδους.</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Όπως ορίζεται στο παράρτημα ΙΙΙ του κανονισμού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Όπως ορίζεται στο παράρτημα ΙΙΙ του κανονισμού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l-GR"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val="el-GR"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val="el-GR"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el-GR"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val="el-GR"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el-GR"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val="el-GR"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el-GR"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2D9F7-3D18-47D7-8E22-5F00D1693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4093</Words>
  <Characters>21082</Characters>
  <Application>Microsoft Office Word</Application>
  <DocSecurity>0</DocSecurity>
  <Lines>843</Lines>
  <Paragraphs>354</Paragraphs>
  <ScaleCrop>false</ScaleCrop>
  <Company/>
  <LinksUpToDate>false</LinksUpToDate>
  <CharactersWithSpaces>24821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2023-01-20T10:22:00Z</dcterms:modified>
</cp:coreProperties>
</file>