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PARTE III. SCHEDE DI INFORMAZIONI COMPLEMENTARI</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PARTE III.1.A</w:t>
            </w:r>
          </w:p>
          <w:p w14:paraId="0B352C8D" w14:textId="77777777" w:rsidR="000432CC" w:rsidRDefault="00EA65BD" w:rsidP="00C830F1">
            <w:pPr>
              <w:pStyle w:val="ChapterTitle"/>
              <w:spacing w:after="240"/>
              <w:rPr>
                <w:bCs w:val="0"/>
                <w:color w:val="000000"/>
                <w:sz w:val="28"/>
                <w:szCs w:val="28"/>
              </w:rPr>
            </w:pPr>
            <w:r>
              <w:rPr>
                <w:color w:val="000000"/>
                <w:sz w:val="28"/>
              </w:rPr>
              <w:t>Scheda aggiornata* di informazioni complementari sugli aiuti individuali a finalità regionale agli investimenti</w:t>
            </w:r>
          </w:p>
          <w:p w14:paraId="11FAC6A9" w14:textId="77777777" w:rsidR="00291206" w:rsidRPr="00291206" w:rsidRDefault="00EA65BD" w:rsidP="00C830F1">
            <w:pPr>
              <w:jc w:val="left"/>
            </w:pPr>
            <w:r>
              <w:t>*Non ancora formalmente adottata.</w:t>
            </w:r>
          </w:p>
        </w:tc>
      </w:tr>
    </w:tbl>
    <w:p w14:paraId="1B882312" w14:textId="77777777" w:rsidR="000432CC" w:rsidRPr="009830AE" w:rsidRDefault="000432CC" w:rsidP="000432CC">
      <w:pPr>
        <w:rPr>
          <w:color w:val="000000"/>
        </w:rPr>
      </w:pPr>
    </w:p>
    <w:p w14:paraId="50B62BED" w14:textId="31D3B450" w:rsidR="00EC615B" w:rsidRPr="00EC615B" w:rsidRDefault="00EC615B" w:rsidP="00EC615B">
      <w:pPr>
        <w:tabs>
          <w:tab w:val="clear" w:pos="720"/>
          <w:tab w:val="clear" w:pos="1077"/>
          <w:tab w:val="clear" w:pos="1440"/>
          <w:tab w:val="clear" w:pos="1797"/>
        </w:tabs>
      </w:pPr>
      <w:r>
        <w:t>La presente scheda di informazioni complementari non è obbligatoria. Si consiglia tuttavia di compilare, oltre al modulo di informazioni generali, la presente scheda di informazioni complementari per la notifica di tutti gli aiuti individuali agli investimenti ai quali si applicano gli orientamenti in materia di aiuti di Stato a finalità regionale in vigore con decorrenza 1º</w:t>
      </w:r>
      <w:r w:rsidR="003615F9">
        <w:t> </w:t>
      </w:r>
      <w:r>
        <w:t>gennaio 2022</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Ambito di applicazione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Motivi per la notifica della misura:</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4C30E3">
        <w:rPr>
          <w:b/>
        </w:rPr>
      </w:r>
      <w:r w:rsidR="004C30E3">
        <w:rPr>
          <w:b/>
        </w:rPr>
        <w:fldChar w:fldCharType="separate"/>
      </w:r>
      <w:r>
        <w:rPr>
          <w:b/>
        </w:rPr>
        <w:fldChar w:fldCharType="end"/>
      </w:r>
      <w:r>
        <w:tab/>
        <w:t>La notifica riguarda un aiuto individuale concesso nell'ambito di un regime e l'importo dell'aiuto, sommando tutte le fonti, supera la soglia di notifica. Indicare il numero di riferimento dei regimi di aiuti approvati o che beneficiano dell'esenzione per categoria.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4C30E3">
        <w:rPr>
          <w:b/>
        </w:rPr>
      </w:r>
      <w:r w:rsidR="004C30E3">
        <w:rPr>
          <w:b/>
        </w:rPr>
        <w:fldChar w:fldCharType="separate"/>
      </w:r>
      <w:r>
        <w:rPr>
          <w:b/>
        </w:rPr>
        <w:fldChar w:fldCharType="end"/>
      </w:r>
      <w:r>
        <w:tab/>
        <w:t>La notifica riguarda un aiuto individuale concesso al di fuori di un regime (aiuto ad hoc).</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4C30E3">
        <w:rPr>
          <w:b/>
        </w:rPr>
      </w:r>
      <w:r w:rsidR="004C30E3">
        <w:rPr>
          <w:b/>
        </w:rPr>
        <w:fldChar w:fldCharType="separate"/>
      </w:r>
      <w:r>
        <w:rPr>
          <w:b/>
        </w:rPr>
        <w:fldChar w:fldCharType="end"/>
      </w:r>
      <w:r>
        <w:tab/>
        <w:t>La notifica riguarda un aiuto a favore di un beneficiario che ha chiuso attività uguali o simili</w:t>
      </w:r>
      <w:r>
        <w:rPr>
          <w:rStyle w:val="FootnoteReference"/>
          <w:color w:val="000000"/>
        </w:rPr>
        <w:footnoteReference w:id="2"/>
      </w:r>
      <w:r>
        <w:t xml:space="preserve"> nel SEE nei due anni precedenti la data di presentazione della domanda di aiuto o che, al momento della presentazione della domanda, ha intenzione di chiudere detta attività entro i due anni successivi al completamento dell'investimento sovvenzionato.</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Altro (specificare).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Ambito di applicazione della misura di aiuto notificata</w:t>
      </w:r>
    </w:p>
    <w:p w14:paraId="42026524" w14:textId="77777777" w:rsidR="00840F2A" w:rsidRDefault="000432CC" w:rsidP="00C359A9">
      <w:pPr>
        <w:pStyle w:val="NormalKop111"/>
        <w:numPr>
          <w:ilvl w:val="2"/>
          <w:numId w:val="2"/>
        </w:numPr>
        <w:spacing w:before="0"/>
        <w:ind w:left="720" w:firstLine="0"/>
        <w:rPr>
          <w:color w:val="000000"/>
        </w:rPr>
      </w:pPr>
      <w:r>
        <w:rPr>
          <w:color w:val="000000"/>
        </w:rPr>
        <w:t>Confermare che il beneficiario non è un'impresa in difficoltà</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lastRenderedPageBreak/>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Fornire una copia del modulo di domanda e dell'accordo (o progetto di accordo) per la concessione dell'aiuto.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Informazioni supplementari sul beneficiario, sul progetto di investimento e sull'aiuto</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Beneficiario</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Indicare l'identità del beneficiario (o dei beneficiari) dell'aiuto.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Se il beneficiario dell'aiuto è una persona giuridica diversa dall'impresa o dalle imprese che finanziano il progetto o dal soggetto o dai soggetti che percepiscono effettivamente l'aiuto, specificare le differenze e indicare l'identità delle altre imprese interessate.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Fornire una chiara descrizione del rapporto che intercorre tra il beneficiario, il gruppo di imprese a cui appartiene e altre imprese associate, comprese le joint venture.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Progetto di investimento</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Fornire le seguenti informazioni relative al progetto di investimento notificato: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Data della domanda di aiuto</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Data di inizio dei lavori relativi al progetto di investimento</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Data di inizio della produzione</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Data in cui è raggiunta la piena capacità produttiva</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Data prevista del completamento del progetto di investimento</w:t>
            </w:r>
          </w:p>
        </w:tc>
        <w:tc>
          <w:tcPr>
            <w:tcW w:w="2811" w:type="dxa"/>
            <w:shd w:val="clear" w:color="auto" w:fill="auto"/>
          </w:tcPr>
          <w:p w14:paraId="315B6313" w14:textId="77777777" w:rsidR="00162C83" w:rsidRDefault="00162C83" w:rsidP="0039571D"/>
        </w:tc>
      </w:tr>
    </w:tbl>
    <w:p w14:paraId="5A9F2A01" w14:textId="17F88981" w:rsidR="007D70E6" w:rsidRPr="005C5DFC" w:rsidRDefault="007D70E6" w:rsidP="007D70E6">
      <w:pPr>
        <w:pStyle w:val="NumPar3"/>
        <w:numPr>
          <w:ilvl w:val="2"/>
          <w:numId w:val="2"/>
        </w:numPr>
        <w:spacing w:before="240"/>
        <w:ind w:left="1440" w:hanging="720"/>
      </w:pPr>
      <w:r>
        <w:t>Se la notifica riguarda investimenti in una "zona a" o investimenti di una o più PMI</w:t>
      </w:r>
      <w:r>
        <w:rPr>
          <w:rStyle w:val="FootnoteReference"/>
        </w:rPr>
        <w:footnoteReference w:id="4"/>
      </w:r>
      <w:r>
        <w:t xml:space="preserve"> in una "zona c" (punto 45 degli orientamenti), precisare la categoria o le categorie in cui rientra l'investimento iniziale oggetto della notifica (punto</w:t>
      </w:r>
      <w:r w:rsidR="003615F9">
        <w:t> </w:t>
      </w:r>
      <w:r>
        <w:t>19,</w:t>
      </w:r>
      <w:r w:rsidR="003615F9">
        <w:t> </w:t>
      </w:r>
      <w:r>
        <w:t xml:space="preserve">paragrafo 13, degli orientamenti):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Creazione di un nuovo stabilimento.</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Ampliamento della capacità di uno stabilimento esistente.</w:t>
      </w:r>
    </w:p>
    <w:p w14:paraId="4BC3590D" w14:textId="77777777" w:rsidR="007D70E6" w:rsidRPr="005C5DFC"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Diversificazione della produzione di uno stabilimento esistente per ottenere prodotti mai fabbricati prima in detto stabilimento.</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Cambiamento fondamentale del processo di produzione complessivo del prodotto o dei prodotti interessati dall'investimento nello stabilimento.</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Acquisizione di attivi appartenenti a uno stabilimento che è stato chiuso o che sarebbe stato chiuso senza tale acquisizione</w:t>
      </w:r>
      <w:r>
        <w:rPr>
          <w:rStyle w:val="FootnoteReference"/>
        </w:rPr>
        <w:footnoteReference w:id="5"/>
      </w:r>
      <w:r>
        <w:t>.</w:t>
      </w:r>
    </w:p>
    <w:p w14:paraId="2F15749C" w14:textId="77777777" w:rsidR="007D70E6" w:rsidRPr="005C5DFC" w:rsidRDefault="007D70E6" w:rsidP="00033078">
      <w:pPr>
        <w:pStyle w:val="NumPar3"/>
        <w:numPr>
          <w:ilvl w:val="2"/>
          <w:numId w:val="2"/>
        </w:numPr>
        <w:spacing w:before="240" w:after="240"/>
        <w:ind w:left="1440" w:hanging="720"/>
      </w:pPr>
      <w:r>
        <w:t>Se la notifica riguarda investimenti nelle "zone c" da parte di grandi imprese, precisare la categoria o le categorie in cui rientra l'investimento iniziale oggetto della notifica (punto 19, paragrafo 14, e punto 14 degli orientamenti):</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Creazione di un nuovo stabilimento.</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Diversificazione dell'attività di uno stabilimento, a condizione che la nuova attività non sia uguale o simile a quella svolta precedentemente nello stesso stabilimento.</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Diversificazione della produzione di uno stabilimento esistente per ottenere prodotti mai fabbricati prima in detto stabilimento, a norma delle tre condizioni cumulative del punto 14 degli orientamenti</w:t>
      </w:r>
      <w:r>
        <w:rPr>
          <w:rStyle w:val="FootnoteReference"/>
        </w:rPr>
        <w:footnoteReference w:id="6"/>
      </w:r>
      <w:r>
        <w:t>.</w:t>
      </w:r>
    </w:p>
    <w:p w14:paraId="4E058FC5" w14:textId="4AD841B1"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Cambiamento fondamentale del processo di produzione complessivo del prodotto o dei prodotti interessati dall'investimento nello stabilimento, a norma delle tre condizioni cumulative del punto</w:t>
      </w:r>
      <w:r w:rsidR="003615F9">
        <w:t> </w:t>
      </w:r>
      <w:r>
        <w:t>14 degli orientamenti.</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Acquisizione di attivi appartenenti a uno stabilimento che sia stato chiuso o che sarebbe stato chiuso senza tale acquisizione, a condizione che la nuova attività che verrà svolta utilizzando gli attivi acquisiti non sia uguale o simile all'attività svolta nello stabilimento prima dell'acquisizione</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Descrivere brevemente il progetto di investimento precisando anche in che modo il progetto in questione rientra in una o più delle categorie di investimento iniziale di cui sopra.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17EF1457" w14:textId="77777777" w:rsidR="003615F9" w:rsidRDefault="003615F9" w:rsidP="003615F9">
      <w:pPr>
        <w:pStyle w:val="NormalKop11"/>
        <w:numPr>
          <w:ilvl w:val="0"/>
          <w:numId w:val="0"/>
        </w:numPr>
        <w:ind w:left="720"/>
        <w:rPr>
          <w:b/>
          <w:color w:val="000000"/>
        </w:rPr>
      </w:pPr>
    </w:p>
    <w:p w14:paraId="2949111E" w14:textId="26D0162A" w:rsidR="004A7C2E" w:rsidRDefault="004A7C2E" w:rsidP="004A7C2E">
      <w:pPr>
        <w:pStyle w:val="NormalKop11"/>
        <w:numPr>
          <w:ilvl w:val="1"/>
          <w:numId w:val="2"/>
        </w:numPr>
        <w:ind w:left="720" w:hanging="720"/>
        <w:rPr>
          <w:b/>
          <w:color w:val="000000"/>
        </w:rPr>
      </w:pPr>
      <w:r>
        <w:rPr>
          <w:b/>
          <w:color w:val="000000"/>
        </w:rPr>
        <w:lastRenderedPageBreak/>
        <w:t>Costi ammissibili calcolati in base ai costi di investimento</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Fornire una ripartizione del totale dei costi ammissibili dell'investimento in valore nominale e attualizzato.</w:t>
      </w:r>
    </w:p>
    <w:p w14:paraId="0B359A95" w14:textId="49EC013B" w:rsidR="00033078" w:rsidRDefault="00033078"/>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Totale dei costi ammissibili (valore nominale)</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Totale dei costi ammissibili (valore attualizzato)</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Costi di studi preparatori o costi di consulenza connessi all'investimento (solo per le PMI)</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Terreni</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Immobili</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Impianti/macchinari/attrezzature</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Attivi immateriali</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Totale dei costi ammissibili</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In valuta nazionale (cfr. anche il punto 2.5 in appresso).</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Confermare che gli attivi acquisiti sono nuovi (punto 27 degli orientamenti)</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Dimostrare che, per quanto riguarda le PMI, sono considerati ammissibili anche i costi di studi preparatori o i costi di consulenza connessi all'investimento, fino al 50 % (punto 28 degli orientamenti).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Dimostrare che, per quanto riguarda gli aiuti concessi alle grandi imprese per un cambiamento fondamentale del processo di produzione, i costi ammissibili superano l'ammortamento degli attivi relativi all'attività da modernizzare nei tre esercizi finanziari precedenti (punto 29 degli orientamenti).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Indicare il riferimento alla pertinente disposizione della base giuridica oppure spiegare in che modo, nel caso di aiuti concessi a favore della diversificazione di uno stabilimento esistente, i costi ammissibili superano almeno del 200 % il valore contabile degli attivi riutilizzati, registrato nell'esercizio finanziario precedente l'avvio dei lavori (punto 30 degli orientamenti). Se del caso, fornire la documentazione contenente i dati quantitativi pertinenti.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Nei casi in cui è prevista la locazione di attivi materiali, indicare il riferimento alle pertinenti disposizioni della base giuridica che stabiliscono il rispetto delle seguenti condizioni (punto 31 degli orientamenti) oppure indicare in che modo tale rispetto è garantito: </w:t>
      </w:r>
    </w:p>
    <w:p w14:paraId="7E7B447C" w14:textId="77777777" w:rsidR="000432CC" w:rsidRPr="000D782C" w:rsidRDefault="000432CC" w:rsidP="00633A52">
      <w:pPr>
        <w:pStyle w:val="Normal127Bullet63"/>
        <w:spacing w:before="120" w:after="120"/>
      </w:pPr>
      <w:r>
        <w:lastRenderedPageBreak/>
        <w:t>Per i terreni e gli immobili, la locazione deve proseguire per almeno cinque anni dopo la data prevista di completamento dell'investimento nel caso di imprese di grandi dimensioni e per tre anni nel caso di PMI.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Per gli stabilimenti o i macchinari, il contratto di locazione deve avere la forma di leasing finanziario e prevedere l'obbligo per il beneficiario di acquisire l'attivo alla scadenza del contratto.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Il punto 32 degli orientamenti stabilisce che "</w:t>
      </w:r>
      <w:r>
        <w:rPr>
          <w:i/>
          <w:color w:val="000000"/>
        </w:rPr>
        <w:t>in linea di principio dovrebbero essere presi in considerazione solo i costi di acquisto degli attivi da terzi che non hanno relazioni con l'acquirente. Tuttavia se un membro della famiglia del proprietario originario, o un dipendente, rileva una piccola impresa, non si applica la condizione secondo cui gli attivi devono essere acquistati da terzi che non hanno relazioni con l'acquirente. La transazione deve avvenire a condizioni di mercato. Nel caso in cui l'acquisizione degli attivi di uno stabilimento sia accompagnata da un ulteriore investimento ammissibile a ricevere aiuti a finalità regionale, i costi ammissibili di questo investimento aggiuntivo dovrebbero essere sommati ai costi di acquisizione degli attivi dello stabilimento".</w:t>
      </w:r>
      <w:r>
        <w:rPr>
          <w:color w:val="000000"/>
        </w:rPr>
        <w:t xml:space="preserve"> </w:t>
      </w:r>
    </w:p>
    <w:p w14:paraId="68432129" w14:textId="77777777" w:rsidR="000432CC" w:rsidRDefault="00A96151" w:rsidP="00A80D24">
      <w:pPr>
        <w:pStyle w:val="Normal127"/>
      </w:pPr>
      <w:r>
        <w:t xml:space="preserve">Se pertinente per la misura notificata, spiegare in che modo sono state soddisfatte le suddette condizioni, fornendo l'opportuna documentazione giustificativa.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Se i costi ammissibili per il progetto di investimento includono attivi immateriali, spiegare in che modo si intende garantire il rispetto delle condizioni di cui ai punti 33 e 34 degli orientamenti</w:t>
      </w:r>
      <w:r>
        <w:rPr>
          <w:color w:val="000000"/>
          <w:vertAlign w:val="superscript"/>
        </w:rPr>
        <w:footnoteReference w:id="9"/>
      </w:r>
      <w:r>
        <w:rPr>
          <w:color w:val="000000"/>
        </w:rPr>
        <w:t>. In tali casi, indicare il riferimento alla pertinente disposizione della base giuridica.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Costi ammissibili calcolati in base ai costi salariali</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Si prega di:</w:t>
      </w:r>
    </w:p>
    <w:p w14:paraId="720C47E9" w14:textId="3125BB25" w:rsidR="002A74E7" w:rsidRDefault="00864276" w:rsidP="002A74E7">
      <w:pPr>
        <w:pStyle w:val="NormalKop111"/>
        <w:numPr>
          <w:ilvl w:val="0"/>
          <w:numId w:val="27"/>
        </w:numPr>
        <w:tabs>
          <w:tab w:val="clear" w:pos="720"/>
          <w:tab w:val="clear" w:pos="1440"/>
          <w:tab w:val="clear" w:pos="1797"/>
        </w:tabs>
        <w:rPr>
          <w:color w:val="000000"/>
        </w:rPr>
      </w:pPr>
      <w:r>
        <w:rPr>
          <w:color w:val="000000"/>
        </w:rPr>
        <w:t>spiegare il metodo di calcolo dei costi ammissibili in base ai costi salariali (punto</w:t>
      </w:r>
      <w:r w:rsidR="003615F9">
        <w:rPr>
          <w:color w:val="000000"/>
        </w:rPr>
        <w:t> </w:t>
      </w:r>
      <w:r>
        <w:rPr>
          <w:color w:val="000000"/>
        </w:rPr>
        <w:t>35 degli orientamenti);</w:t>
      </w:r>
    </w:p>
    <w:p w14:paraId="5C2FAAAE" w14:textId="42E1F058" w:rsidR="002A74E7" w:rsidRDefault="002A74E7" w:rsidP="002A74E7">
      <w:pPr>
        <w:pStyle w:val="NormalKop111"/>
        <w:numPr>
          <w:ilvl w:val="0"/>
          <w:numId w:val="27"/>
        </w:numPr>
        <w:tabs>
          <w:tab w:val="clear" w:pos="720"/>
          <w:tab w:val="clear" w:pos="1440"/>
          <w:tab w:val="clear" w:pos="1797"/>
        </w:tabs>
        <w:rPr>
          <w:color w:val="000000"/>
        </w:rPr>
      </w:pPr>
      <w:r>
        <w:rPr>
          <w:color w:val="000000"/>
        </w:rPr>
        <w:lastRenderedPageBreak/>
        <w:t>spiegare il metodo di calcolo dei posti di lavoro creati, con riferimento al punto</w:t>
      </w:r>
      <w:r w:rsidR="003615F9">
        <w:rPr>
          <w:color w:val="000000"/>
        </w:rPr>
        <w:t> </w:t>
      </w:r>
      <w:r>
        <w:rPr>
          <w:color w:val="000000"/>
        </w:rPr>
        <w:t>19, paragrafo</w:t>
      </w:r>
      <w:r w:rsidR="003615F9">
        <w:rPr>
          <w:color w:val="000000"/>
        </w:rPr>
        <w:t> </w:t>
      </w:r>
      <w:r>
        <w:rPr>
          <w:color w:val="000000"/>
        </w:rPr>
        <w:t>16, degli orientamenti;</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spiegare il metodo di calcolo dei costi salariali delle persone assunte, con riferimento al punto 19, paragrafo 33, degli orientamenti; e</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fornire i calcoli e i documenti pertinenti a sostegno di tali dati.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Calcolo dei costi ammissibili attualizzati e importo dell'aiuto</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Compilare la tabella sottostante con le informazioni relative ai costi ammissibili, suddivisi per categoria, che saranno sostenuti per l'intera durata del progetto di investimento:</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Valore nominale/attualizzato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Totale°</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Studi </w:t>
            </w:r>
          </w:p>
          <w:p w14:paraId="39D34ADD" w14:textId="77777777" w:rsidR="00DC5A80" w:rsidRPr="00772CF3" w:rsidRDefault="00DC5A80" w:rsidP="00033078">
            <w:pPr>
              <w:jc w:val="left"/>
              <w:rPr>
                <w:color w:val="000000"/>
                <w:sz w:val="20"/>
                <w:szCs w:val="20"/>
              </w:rPr>
            </w:pPr>
            <w:r>
              <w:rPr>
                <w:color w:val="000000"/>
                <w:sz w:val="20"/>
              </w:rPr>
              <w:t>preparatori eccetera (solo per le PMI)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Terreni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Immobili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Impianti/macchinari/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attrezzature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Attivi immateriali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Costi salariali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Altro (specificare)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Totale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°In valuta nazionale. </w:t>
      </w:r>
    </w:p>
    <w:p w14:paraId="4C6AC8BA" w14:textId="77777777" w:rsidR="00D577FA" w:rsidRPr="00577841" w:rsidRDefault="0039571D" w:rsidP="00577841">
      <w:pPr>
        <w:pStyle w:val="NormalKop111"/>
        <w:rPr>
          <w:rFonts w:cs="EUAlbertina"/>
          <w:color w:val="000000"/>
        </w:rPr>
      </w:pPr>
      <w:r>
        <w:rPr>
          <w:color w:val="000000"/>
        </w:rPr>
        <w:t>Indicare la data di attualizzazione degli importi e il tasso utilizzato</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Completare la tabella sottostante con le informazioni relative all'aiuto notificato concesso (o da concedere) per il progetto di investimento con riferimento alla forma di aiuto applicabile.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Valore nominale/attualizzato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Totale°</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Sovvenzione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Prestito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lastRenderedPageBreak/>
              <w:t>Garanzia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4F168D2D" w:rsidR="0010307A" w:rsidRDefault="0010307A"/>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Agevolazione fiscale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Totale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Attualizzato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°In valuta nazionale.</w:t>
      </w:r>
    </w:p>
    <w:p w14:paraId="6B87FE2E" w14:textId="77777777" w:rsidR="00012D1C" w:rsidRPr="00957D0D" w:rsidRDefault="00012D1C" w:rsidP="00012D1C">
      <w:pPr>
        <w:pStyle w:val="NormalKop111"/>
        <w:rPr>
          <w:rFonts w:cs="EUAlbertina"/>
          <w:color w:val="000000"/>
        </w:rPr>
      </w:pPr>
      <w:r>
        <w:rPr>
          <w:color w:val="000000"/>
        </w:rPr>
        <w:t>Indicare la data di attualizzazione degli importi e il tasso utilizzato.</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Per ciascuna forma di aiuto menzionata nella tabella precedente, indicare il metodo di calcolo dell'equivalente sovvenzione.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Prestito agevolato</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Garanzia</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Riduzione fiscale</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Altro:</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Precisare se vi sono misure di aiuto da concedere al progetto che non sono ancora state definite e spiegare in che modo l'autorità che concede l'aiuto intende garantire che l'intensità massima di aiuto non superi il massimo consentito (punti 93 e 94 degli orientamenti).</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Il progetto è cofinanziato da uno dei fondi dell'UE attuati in regime di gestione concorrente (i "fondi")? In caso affermativo, indicare il programma nell'ambito del quale sarà concesso tale finanziamento. Indicare inoltre l'importo del finanziamento dei fondi.</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il beneficiario (a livello di gruppo) ha ricevuto aiuti per uno (o più) investimenti iniziali relativi a un'attività uguale o simile realizzati nella stessa regione NUTS 3 nei tre anni precedenti la data di inizio dei lavori del progetto di investimento notificato (punto 19, paragrafo 27, degli orientamenti), fornire informazioni dettagliate sulle misure di aiuto relative a ciascun investimento iniziale sovvenzionato in tale periodo (compresi una breve descrizione del progetto di investimento, la data della domanda di aiuto, la data di concessione </w:t>
      </w:r>
      <w:r>
        <w:rPr>
          <w:color w:val="000000"/>
        </w:rPr>
        <w:lastRenderedPageBreak/>
        <w:t>dell'aiuto, la data di inizio dei lavori, gli importi degli aiuti e i costi ammissibili</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Costi ammiss. dell'investimento°</w:t>
            </w:r>
          </w:p>
        </w:tc>
        <w:tc>
          <w:tcPr>
            <w:tcW w:w="794" w:type="dxa"/>
          </w:tcPr>
          <w:p w14:paraId="5E53F953" w14:textId="77777777" w:rsidR="00FE7795" w:rsidRPr="00633A52" w:rsidRDefault="00FE7795" w:rsidP="009C5F4C">
            <w:pPr>
              <w:jc w:val="left"/>
              <w:rPr>
                <w:sz w:val="20"/>
                <w:szCs w:val="20"/>
              </w:rPr>
            </w:pPr>
            <w:r>
              <w:rPr>
                <w:sz w:val="20"/>
              </w:rPr>
              <w:t>Importo dell'aiuto concesso°</w:t>
            </w:r>
          </w:p>
        </w:tc>
        <w:tc>
          <w:tcPr>
            <w:tcW w:w="794" w:type="dxa"/>
          </w:tcPr>
          <w:p w14:paraId="5690C210" w14:textId="77777777" w:rsidR="00FE7795" w:rsidRPr="00633A52" w:rsidRDefault="00FE7795" w:rsidP="009C5F4C">
            <w:pPr>
              <w:jc w:val="left"/>
              <w:rPr>
                <w:sz w:val="20"/>
                <w:szCs w:val="20"/>
              </w:rPr>
            </w:pPr>
            <w:r>
              <w:rPr>
                <w:sz w:val="20"/>
              </w:rPr>
              <w:t>Data della domanda</w:t>
            </w:r>
          </w:p>
        </w:tc>
        <w:tc>
          <w:tcPr>
            <w:tcW w:w="794" w:type="dxa"/>
          </w:tcPr>
          <w:p w14:paraId="0A71C2A6" w14:textId="77777777" w:rsidR="00FE7795" w:rsidRPr="00633A52" w:rsidRDefault="00FE7795" w:rsidP="009C5F4C">
            <w:pPr>
              <w:jc w:val="left"/>
              <w:rPr>
                <w:sz w:val="20"/>
                <w:szCs w:val="20"/>
              </w:rPr>
            </w:pPr>
            <w:r>
              <w:rPr>
                <w:sz w:val="20"/>
              </w:rPr>
              <w:t>Data di concessione</w:t>
            </w:r>
          </w:p>
        </w:tc>
        <w:tc>
          <w:tcPr>
            <w:tcW w:w="794" w:type="dxa"/>
          </w:tcPr>
          <w:p w14:paraId="4944FDD2" w14:textId="77777777" w:rsidR="00FE7795" w:rsidRPr="00633A52" w:rsidRDefault="00FE7795" w:rsidP="009C5F4C">
            <w:pPr>
              <w:jc w:val="left"/>
              <w:rPr>
                <w:sz w:val="20"/>
                <w:szCs w:val="20"/>
              </w:rPr>
            </w:pPr>
            <w:r>
              <w:rPr>
                <w:sz w:val="20"/>
              </w:rPr>
              <w:t>Data di inizio dei lavori</w:t>
            </w:r>
          </w:p>
        </w:tc>
        <w:tc>
          <w:tcPr>
            <w:tcW w:w="2267" w:type="dxa"/>
          </w:tcPr>
          <w:p w14:paraId="76CA3EDF" w14:textId="77777777" w:rsidR="00FE7795" w:rsidRPr="00633A52" w:rsidRDefault="00FE7795" w:rsidP="00FE7795">
            <w:pPr>
              <w:jc w:val="left"/>
              <w:rPr>
                <w:sz w:val="20"/>
                <w:szCs w:val="20"/>
              </w:rPr>
            </w:pPr>
            <w:r>
              <w:rPr>
                <w:sz w:val="20"/>
              </w:rPr>
              <w:t>Breve descrizione</w:t>
            </w:r>
          </w:p>
        </w:tc>
        <w:tc>
          <w:tcPr>
            <w:tcW w:w="1275" w:type="dxa"/>
          </w:tcPr>
          <w:p w14:paraId="47DAEC32" w14:textId="77777777" w:rsidR="00FE7795" w:rsidRDefault="00FE7795" w:rsidP="00FE7795">
            <w:pPr>
              <w:jc w:val="left"/>
              <w:rPr>
                <w:sz w:val="20"/>
                <w:szCs w:val="20"/>
              </w:rPr>
            </w:pPr>
            <w:r>
              <w:rPr>
                <w:sz w:val="20"/>
              </w:rPr>
              <w:t>Riferimenti dell'aiuto</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Progetto di invest. iniziale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Progetto di invest. iniziale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Progetto di invest. iniziale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°In valuta nazionale.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Confermare che l'importo complessivo dell'aiuto che sarà concesso al progetto di investimento iniziale non supera l'importo corrispondente alla "intensità massima di aiuto" di cui al punto 19, paragrafo 19, degli orientamenti, tenendo conto della maggiorazione per le PMI (punto 186 degli orientamenti) e dell'"importo di aiuto corretto" (punto 19, paragrafo 3, degli orientamenti), se del caso. Fornire i documenti e i calcoli pertinenti a sostegno di tale conferma.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Confermare che non saranno superati</w:t>
      </w:r>
      <w:r>
        <w:t xml:space="preserve"> né l'importo massimo dell'aiuto approvato in valore attualizzato né l'intensità di aiuto approvata se l'importo dei costi ammissibili si discosta dall'importo notificato.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Sì</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Qualora l'aiuto a favore del progetto di investimento sarà concesso a titolo di diversi regimi di aiuti a finalità regionale o in combinazione con aiuti ad hoc, indicare l'intensità massima di aiuto autorizzata per il progetto e confermare che è stata calcolata preliminarmente dalla prima autorità che concede l'aiuto. Spiegare in che modo le autorità che concedono l'aiuto intendono garantire il rispetto di tale intensità massima di aiuto (punto 99 degli orientamenti).</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Qualora l'investimento iniziale sia connesso a progetti nell'ambito della cooperazione territoriale europea (CTE), indicare (con riferimento alle disposizioni di cui al punto 100 degli orientamenti) il modo in cui si intende determinare l'intensità massima di aiuto applicabile al progetto e il numero di beneficiari interessati.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Valutazione della compatibilità della misura</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Contributo allo sviluppo regionale, effetti positivi e necessità dell'intervento statale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Si prega di:</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indicare l'esatta ubicazione del progetto sovvenzionato (ossia la località e la regione NUTS 2 o 3 di appartenenza);</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fornire dettagli sullo status dell'aiuto a finalità regionale nella carta degli aiuti a finalità regionale applicabile (ossia indicare se si trova in una zona ammissibile agli aiuti a finalità regionale a norma dell'articolo 107, paragrafo 3, lettere a) o c)); e</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precisare l'intensità massima di aiuto applicabile alle grandi imprese.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Spiegare in che modo l'aiuto contribuirà allo sviluppo regionale e, se del caso, quali altri effetti positivi produrrà</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4CD7A15E"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Se la notifica riguarda una singola domanda di aiuto nell'ambito di un regime, spiegare in che modo il progetto contribuisce al raggiungimento dell'obiettivo del regime e fornire i documenti giustificativi pertinenti (punto</w:t>
      </w:r>
      <w:r w:rsidR="003615F9">
        <w:rPr>
          <w:color w:val="000000"/>
        </w:rPr>
        <w:t> </w:t>
      </w:r>
      <w:r>
        <w:rPr>
          <w:color w:val="000000"/>
        </w:rPr>
        <w:t>46 degli orientamenti).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Se la notifica riguarda un aiuto ad hoc, spiegare in che modo il progetto contribuisce alla strategia di sviluppo della zona interessata e fornire i documenti giustificativi pertinenti (punto 53 degli orientamenti).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Spiegare in che modo si intende attuare la disposizione che prevede che l'investimento sia mantenuto in essere nella zona interessata per almeno cinque anni (tre anni nel caso delle PMI) dopo il suo completamento (punto 47 degli orientamenti). Indicare il riferimento alla pertinente disposizione della base giuridica (ad esempio il contratto per la concessione dell'aiuto).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lastRenderedPageBreak/>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Qualora gli aiuti vengano calcolati in base ai costi salariali, spiegare in che modo si intende attuare la disposizione secondo cui i posti di lavoro devono essere creati entro tre anni dal completamento dell'investimento e ciascun posto di lavoro creato attraverso l'investimento deve essere mantenuto nella zona interessata per un periodo di cinque anni (tre anni per le PMI) dalla data in cui è stato occupato per la prima volta (punto 36 degli orientamenti). Indicare il riferimento alla pertinente disposizione della base giuridica (ad esempio il contratto per la concessione dell'aiuto).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Indicare il riferimento alla base giuridica o dimostrare che i destinatari devono apportare un contributo finanziario pari almeno al 25 % dei costi ammissibili, o attraverso risorse proprie o mediante finanziamento esterno, in una forma priva di qualsiasi sostegno pubblico</w:t>
      </w:r>
      <w:r>
        <w:rPr>
          <w:vertAlign w:val="superscript"/>
        </w:rPr>
        <w:footnoteReference w:id="13"/>
      </w:r>
      <w:r>
        <w:rPr>
          <w:color w:val="000000"/>
        </w:rPr>
        <w:t xml:space="preserve"> (punto 48 degli orientamenti).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È stata realizzata o si intende realizzare una valutazione di impatto ambientale dell'investimento? (punto 49 degli orientamenti)</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Sì</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 xml:space="preserve">No </w:t>
      </w:r>
    </w:p>
    <w:p w14:paraId="1BDCCEBD" w14:textId="77777777" w:rsidR="00B80DE0" w:rsidRPr="009830AE" w:rsidRDefault="00370A84" w:rsidP="00A80D24">
      <w:pPr>
        <w:pStyle w:val="Normal127"/>
      </w:pPr>
      <w:r>
        <w:t>In caso negativo, precisare per quale motivo una valutazione d'impatto ambientale non è necessaria per il progetto in questione.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Effetto di incentivazione della misura</w:t>
      </w:r>
    </w:p>
    <w:p w14:paraId="07385BAE" w14:textId="182488A8"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Confermare che i lavori relativi all'investimento individuale notificato sono iniziati solo dopo la presentazione della domanda di aiuto (punto</w:t>
      </w:r>
      <w:r w:rsidR="003615F9">
        <w:rPr>
          <w:color w:val="000000"/>
        </w:rPr>
        <w:t> </w:t>
      </w:r>
      <w:r>
        <w:rPr>
          <w:color w:val="000000"/>
        </w:rPr>
        <w:t>62 degli orientamenti). Fornire una copia della domanda di aiuto inviata dal beneficiario all'autorità che concede l'aiuto e documenti comprovanti la data di inizio dei lavori.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Dimostrare l'esistenza dell'effetto di incentivazione generato dall'aiuto descrivendo lo scenario controfattuale con riferimento a uno dei due possibili scenari di cui al punto 59 degli orientamenti.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lastRenderedPageBreak/>
        <w:t>Se l'aiuto a finalità regionale è concesso mediante</w:t>
      </w:r>
      <w:r>
        <w:t xml:space="preserve"> </w:t>
      </w:r>
      <w:r>
        <w:rPr>
          <w:sz w:val="23"/>
        </w:rPr>
        <w:t>fondi della politica di coesione o del FEASR</w:t>
      </w:r>
      <w:r>
        <w:rPr>
          <w:color w:val="000000"/>
        </w:rPr>
        <w:t xml:space="preserve"> in una "zona a" onde realizzare investimenti finalizzati al raggiungimento di standard richiesti dalla legislazione dell'Unione, fornire le seguenti informazioni (corredate da documenti giustificativi):</w:t>
      </w:r>
    </w:p>
    <w:p w14:paraId="4DC89A4E" w14:textId="77777777" w:rsidR="00B719F2" w:rsidRDefault="00B719F2" w:rsidP="00B719F2">
      <w:pPr>
        <w:pStyle w:val="Normal127Bullet63"/>
      </w:pPr>
      <w:r>
        <w:t>lo standard in questione;</w:t>
      </w:r>
    </w:p>
    <w:p w14:paraId="23D487CA" w14:textId="77777777" w:rsidR="00B719F2" w:rsidRDefault="00B719F2" w:rsidP="00B719F2">
      <w:pPr>
        <w:pStyle w:val="Normal127Bullet63"/>
      </w:pPr>
      <w:r>
        <w:t xml:space="preserve">il motivo che rende necessario l'investimento per conseguire lo standard; </w:t>
      </w:r>
    </w:p>
    <w:p w14:paraId="2B6A27FA" w14:textId="77777777" w:rsidR="00B719F2" w:rsidRDefault="00B719F2" w:rsidP="00B719F2">
      <w:pPr>
        <w:pStyle w:val="Normal127Bullet63"/>
        <w:spacing w:after="120"/>
      </w:pPr>
      <w:r>
        <w:t>il motivo per cui, in assenza dell'aiuto, non sarebbe sufficientemente redditizio per il beneficiario investire nella zona interessata (punto 61 degli orientamenti).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Adeguatezza della misura</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Se la notifica riguarda un aiuto ad hoc, dimostrare come questo tipo di aiuto sia in grado di garantire un migliore sviluppo della zona interessata rispetto a un aiuto nel quadro di un regime o ad altri tipi di misure (punto 83 degli orientamenti).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Se l'aiuto è concesso in forme che conferiscono un vantaggio pecuniario diretto</w:t>
      </w:r>
      <w:r>
        <w:rPr>
          <w:color w:val="000000"/>
          <w:vertAlign w:val="superscript"/>
        </w:rPr>
        <w:footnoteReference w:id="14"/>
      </w:r>
      <w:r>
        <w:rPr>
          <w:color w:val="000000"/>
        </w:rPr>
        <w:t>, dimostrare perché si ritiene che altre tipologie di aiuto potenzialmente meno distorsive, quali gli anticipi rimborsabili o gli aiuti basati su strumenti di debito o rappresentativi di capitale</w:t>
      </w:r>
      <w:r>
        <w:rPr>
          <w:rStyle w:val="FootnoteReference"/>
          <w:color w:val="000000"/>
        </w:rPr>
        <w:footnoteReference w:id="15"/>
      </w:r>
      <w:r>
        <w:rPr>
          <w:color w:val="000000"/>
        </w:rPr>
        <w:t xml:space="preserve">, non siano appropriate (punto 85 degli orientamenti).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Proporzionalità della misura</w:t>
      </w:r>
    </w:p>
    <w:p w14:paraId="2C12EAB1" w14:textId="7D30A9C6"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Nei casi riconducibili allo scenario 1, fornire le seguenti informazioni (o fare riferimento ai punti pertinenti dello scenario controfattuale presentato) (punto</w:t>
      </w:r>
      <w:r w:rsidR="003615F9">
        <w:rPr>
          <w:color w:val="000000"/>
        </w:rPr>
        <w:t> </w:t>
      </w:r>
      <w:r>
        <w:rPr>
          <w:color w:val="000000"/>
        </w:rPr>
        <w:t>96 degli orientamenti):</w:t>
      </w:r>
    </w:p>
    <w:p w14:paraId="6CC248A9" w14:textId="77777777" w:rsidR="007D318F" w:rsidRPr="009830AE" w:rsidRDefault="000432CC" w:rsidP="007D318F">
      <w:pPr>
        <w:pStyle w:val="Normal127Bullet63"/>
        <w:spacing w:after="120"/>
      </w:pPr>
      <w:r>
        <w:t>Il calcolo del tasso di rendimento interno (TRI), con e senza l'aiuto</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Informazioni sui parametri di riferimento pertinenti per l'impresa (quali i normali tassi di rendimento richiesti dal beneficiario per intraprendere progetti analoghi, il costo del capitale dell'impresa nel suo insieme, i pertinenti parametri di riferimento abitualmente registrati nel settore industriale interessato).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lastRenderedPageBreak/>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Una spiegazione del motivo per cui, sulla base di quanto precede, l'aiuto è il minimo necessario per rendere il progetto sufficientemente redditizio.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1CA427A8"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Nei casi riconducibili allo scenario 2, fornire le informazioni seguenti (o fare riferimento ai punti pertinenti dello scenario controfattuale presentato) (punto</w:t>
      </w:r>
      <w:r w:rsidR="003615F9">
        <w:rPr>
          <w:color w:val="000000"/>
        </w:rPr>
        <w:t> </w:t>
      </w:r>
      <w:r>
        <w:rPr>
          <w:color w:val="000000"/>
        </w:rPr>
        <w:t>97 degli orientamenti):</w:t>
      </w:r>
    </w:p>
    <w:p w14:paraId="552DA4A4" w14:textId="77777777" w:rsidR="00F52BA4" w:rsidRDefault="00AC3C96" w:rsidP="007D318F">
      <w:pPr>
        <w:pStyle w:val="Normal127Bullet63"/>
        <w:spacing w:before="120" w:after="120"/>
      </w:pPr>
      <w:r>
        <w:t>Il calcolo della differenza tra il valore attuale netto dell'investimento nell'area interessata e il valore attuale netto nell'ubicazione alternativa</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Tutti i parametri utilizzati per il calcolo di cui sopra (tra cui il periodo di tempo interessato, il tasso di attualizzazione utilizzato eccetera).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Il motivo per cui, sulla base di quanto precede, l'aiuto non supera la differenza tra il valore attuale netto dell'investimento nell'area interessata e il valore attuale netto nell'ubicazione alternativa.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Prevenzione degli effetti negativi indebiti sulla concorrenza e sugli scambi</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Definizione del mercato rilevante:</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Fornire le informazioni richieste di seguito per individuare i mercati dei prodotti interessati (ovvero prodotti che risentono del cambiamento di comportamento da parte del beneficiario degli aiuti) nonché i concorrenti e i clienti/consumatori interessati (punti 124 e 125 degli orientamenti):</w:t>
      </w:r>
    </w:p>
    <w:p w14:paraId="1B28B2AD" w14:textId="28C92B94" w:rsidR="000432CC" w:rsidRPr="009830AE" w:rsidRDefault="005D2380" w:rsidP="0015397B">
      <w:pPr>
        <w:pStyle w:val="Normal127Bullet63"/>
        <w:spacing w:before="120" w:after="120"/>
      </w:pPr>
      <w:r>
        <w:t>Specificare tutti i prodotti che saranno fabbricati, una volta completato l'investimento, negli stabilimenti sovvenzionati e, se del caso, il codice NACE, il codice Prodcom o la denominazione secondo la nomenclatura CPA per i progetti nei settori dei servizi.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Indicare se i prodotti previsti dal progetto sostituiranno altri prodotti fabbricati dal beneficiario (a livello di gruppo). Quali prodotti sono destinati a sostituire? Se i prodotti da sostituire non vengono fabbricati nel luogo dove verrà attuato il progetto, indicare dove sono prodotti attualmente. Fornire una descrizione del collegamento esistente tra la </w:t>
      </w:r>
      <w:r>
        <w:lastRenderedPageBreak/>
        <w:t xml:space="preserve">produzione sostituita e l'attuale investimento, precisando un calendario per la sostituzione.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Indicare quali altri prodotti potrebbero essere fabbricati negli stessi nuovi impianti (grazie alla flessibilità degli impianti di produzione del beneficiario) con un lieve incremento dei costi o senza costi supplementari.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Specificare se il progetto riguarda un prodotto intermedio e se una parte significativa della produzione è venduta altrove rispetto al mercato (a condizioni di mercato). In base a tale spiegazione, onde calcolare la quota di mercato e l'aumento della capacità di cui al resto della presente sezione, indicare se il prodotto interessato è il prodotto previsto dal progetto o se è il prodotto a valle.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Indicare il mercato o i mercati rilevanti del prodotto. Il mercato del prodotto rilevante comprende il prodotto interessato e i suoi succedanei sul lato della domanda, ovvero i prodotti considerati in modo tale dal consumatore (in ragione delle caratteristiche del prodotto, dei prezzi e dell'utilizzo previsto), e sul lato dell'offerta, ovvero i prodotti considerati in modo tale dal produttore (grazie alla flessibilità degli impianti di produzione del beneficiario e dei suoi concorrenti). Specificare cosa si considera come succedanei rilevanti sul lato della domanda e dell'offerta in questo caso. Fornire prove a sostegno delle proprie conclusioni su questo punto, se possibile provenienti da un terzo indipendente.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Fornire informazioni, corredate da prove, sul mercato geografico rilevante del beneficiario.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Per i casi riconducibili allo scenario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Potere di mercato (punti 108 e 127 degli orientamenti):</w:t>
      </w:r>
    </w:p>
    <w:p w14:paraId="18F6E3EA" w14:textId="5EF22CD3"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Fornire le seguenti informazioni sulla posizione di mercato del beneficiario (la</w:t>
      </w:r>
      <w:r w:rsidR="003615F9">
        <w:rPr>
          <w:color w:val="000000"/>
        </w:rPr>
        <w:t> </w:t>
      </w:r>
      <w:r>
        <w:rPr>
          <w:color w:val="000000"/>
        </w:rPr>
        <w:t>posizione detenuta in un dato periodo di tempo prima di ricevere l'aiuto e la posizione di mercato prevista dopo il completamento dell'investimento) (punto</w:t>
      </w:r>
      <w:r w:rsidR="003615F9">
        <w:rPr>
          <w:color w:val="000000"/>
        </w:rPr>
        <w:t> </w:t>
      </w:r>
      <w:r>
        <w:rPr>
          <w:color w:val="000000"/>
        </w:rPr>
        <w:t>133 degli orientamenti):</w:t>
      </w:r>
    </w:p>
    <w:p w14:paraId="529235B7" w14:textId="77777777" w:rsidR="000432CC" w:rsidRPr="009830AE" w:rsidRDefault="000432CC" w:rsidP="0015397B">
      <w:pPr>
        <w:pStyle w:val="Normal127Bullet63"/>
        <w:spacing w:after="120"/>
      </w:pPr>
      <w:r>
        <w:t>Una stima di tutte le vendite (in termini di valore e volume) del beneficiario dell'aiuto sul mercato rilevante (a livello di gruppo).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lastRenderedPageBreak/>
        <w:t>Una stima delle vendite complessive di tutti i produttori sul mercato rilevante (in termini di valore e di volume). Se disponibili, includere statistiche elaborate da fonti pubbliche e/o indipendenti.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Fornire una valutazione della struttura del mercato rilevante, inclusi, ad esempio, i livelli di concentrazione sul mercato, la presenza di eventuali barriere all'ingresso, il potere contrattuale dell'acquirente e le barriere all'espansione o all'uscita. </w:t>
      </w:r>
      <w:r>
        <w:t>Fornire prove a sostegno delle proprie conclusioni su questo punto, se possibile provenienti da un terzo indipendente.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Capacità (punto 127, paragrafo 1, degli orientamenti):</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Fornire una stima della capacità produttiva supplementare creata dall'investimento (in termini di volume e di valore).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Per tutti i casi</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Effetti negativi evidenti:</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Per i casi riconducibili allo scenario 1, fornire le seguenti informazioni, corredate da prove, sul mercato del prodotto rilevante</w:t>
      </w:r>
      <w:r>
        <w:rPr>
          <w:vertAlign w:val="superscript"/>
        </w:rPr>
        <w:footnoteReference w:id="19"/>
      </w:r>
      <w:r>
        <w:rPr>
          <w:color w:val="000000"/>
        </w:rPr>
        <w:t>:</w:t>
      </w:r>
    </w:p>
    <w:p w14:paraId="10046A66" w14:textId="77777777" w:rsidR="00BA3F74" w:rsidRDefault="00BA3F74" w:rsidP="00BA3F74">
      <w:pPr>
        <w:pStyle w:val="Normal127Bullet63"/>
      </w:pPr>
      <w:r>
        <w:t>In un'ottica di lungo periodo, indicare se il mercato rilevante è strutturalmente in fase di declino assoluto (ad esempio, registra un tasso di crescita negativo) (punto 130 degli orientamenti).</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Precisare se il mercato rilevante è in fase di declino relativo (ad esempio registra un tasso di crescita positivo senza tuttavia andar oltre un tasso di crescita di riferimento) (punto 130 degli orientamenti).</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41023D10"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Nei casi riconducibili allo scenario 2, indicare se, in assenza di aiuto, l'investimento sarebbe stato realizzato in una zona con un'intensità di aiuto a finalità regionale superiore o identica a quella della zona prescelta (punto</w:t>
      </w:r>
      <w:r w:rsidR="003615F9">
        <w:rPr>
          <w:color w:val="000000"/>
        </w:rPr>
        <w:t> </w:t>
      </w:r>
      <w:r>
        <w:rPr>
          <w:color w:val="000000"/>
        </w:rPr>
        <w:t>117 degli orientamenti)</w:t>
      </w:r>
      <w:r>
        <w:t>. Fornire prove a sostegno della propria posizione.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6841DB6C"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Confermare che il beneficiario ha fornito una dichiarazione attestante che, a livello di gruppo, non ha chiuso un'attività uguale o simile nel SEE nei due anni precedenti la domanda di aiuto e che non intende chiudere un'attività uguale o simile nel SEE entro due anni dal completamento dell'investimento (punto</w:t>
      </w:r>
      <w:r w:rsidR="003615F9">
        <w:rPr>
          <w:color w:val="000000"/>
        </w:rPr>
        <w:t> </w:t>
      </w:r>
      <w:r>
        <w:rPr>
          <w:color w:val="000000"/>
        </w:rPr>
        <w:t>118 degli orientamenti).</w:t>
      </w:r>
    </w:p>
    <w:p w14:paraId="6230E8D6" w14:textId="418BBAD7" w:rsidR="00D1583F" w:rsidRPr="00F24AED" w:rsidRDefault="00D1583F" w:rsidP="00D1583F">
      <w:pPr>
        <w:pStyle w:val="Normal127"/>
        <w:tabs>
          <w:tab w:val="clear" w:pos="720"/>
          <w:tab w:val="clear" w:pos="1440"/>
          <w:tab w:val="left" w:pos="1418"/>
        </w:tabs>
        <w:ind w:left="1418"/>
      </w:pPr>
      <w:r>
        <w:t xml:space="preserve">Se tale dichiarazione è stata presentata, allegarne una copia alla notifica. </w:t>
      </w:r>
      <w:r w:rsidR="003615F9">
        <w:br/>
      </w:r>
      <w:r>
        <w:t>In caso contrario, spiegare il motivo per cui non è stata presentata.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Se, a livello di gruppo, il beneficiario ha chiuso un'attività uguale o simile in un'altra zona all'interno del SEE nei due anni precedenti la domanda di aiuto o ha intenzione di farlo nei due anni dopo il completamento dell'investimento, e ha spostato o intende spostare tale attività verso la zona prescelta, spiegare perché ritiene che non sussista un nesso causale tra l'aiuto e la delocalizzazione (punto 118 degli orientamenti).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Precisare se gli aiuti di Stato rischiano di comportare una perdita significativa di posti di lavoro in siti esistenti all'interno del SEE. In tal caso, quantificare tale perdita e precisarne la proporzione rispetto al numero totale di posti di lavoro nei siti interessati.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Trasparenza </w:t>
            </w:r>
          </w:p>
        </w:tc>
      </w:tr>
    </w:tbl>
    <w:p w14:paraId="54B7A160" w14:textId="1081E810" w:rsidR="00733697" w:rsidRPr="00562FB9" w:rsidRDefault="00733697" w:rsidP="0010307A">
      <w:pPr>
        <w:pStyle w:val="NumPar3"/>
        <w:numPr>
          <w:ilvl w:val="1"/>
          <w:numId w:val="2"/>
        </w:numPr>
        <w:spacing w:before="240"/>
        <w:ind w:left="709" w:hanging="709"/>
      </w:pPr>
      <w:r>
        <w:t>Confermare che il testo integrale della decisione di concessione dell'aiuto individuale o del regime di aiuti approvato e le relative disposizioni di applicazione, oppure un link che vi dia accesso</w:t>
      </w:r>
      <w:bookmarkStart w:id="0" w:name="_Ref44059869"/>
      <w:r>
        <w:t xml:space="preserve"> e le informazioni su ciascun aiuto individuale di importo superiore a 100 000 EUR saranno pubblicati secondo la struttura di cui all'allegato</w:t>
      </w:r>
      <w:r w:rsidR="003615F9">
        <w:t> </w:t>
      </w:r>
      <w:r>
        <w:t>VIII</w:t>
      </w:r>
      <w:bookmarkEnd w:id="0"/>
      <w:r>
        <w:t xml:space="preserve"> nella piattaforma Transparency Award Module della Commissione europea o in un sito web esaustivo a livello regionale o nazionale relativo agli aiuti di Stato</w:t>
      </w:r>
      <w:r>
        <w:rPr>
          <w:rStyle w:val="FootnoteReference"/>
        </w:rPr>
        <w:footnoteReference w:id="20"/>
      </w:r>
      <w:r>
        <w:t xml:space="preserve"> entro sei mesi dalla data di concessione dell'aiuto o, per gli aiuti concessi sotto forma di agevolazioni fiscali, entro un anno dalla data prevista per la presentazione della dichiarazione fiscale.</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Sì</w:t>
      </w:r>
    </w:p>
    <w:p w14:paraId="331C5D5F" w14:textId="77777777" w:rsidR="00733697" w:rsidRDefault="00733697" w:rsidP="0010307A">
      <w:pPr>
        <w:pStyle w:val="NumPar3"/>
        <w:numPr>
          <w:ilvl w:val="1"/>
          <w:numId w:val="2"/>
        </w:numPr>
        <w:spacing w:before="240"/>
        <w:ind w:left="709" w:hanging="709"/>
      </w:pPr>
      <w:r>
        <w:t>Indicare il riferimento alle pertinenti disposizioni della base giuridica che prevedono la pubblicazione, da parte dell'autorità che concede l'aiuto, nella piattaforma Transparency Award Module o in un sito web esaustivo a livello regionale o nazionale relativo agli aiuti di Stato</w:t>
      </w:r>
      <w:r>
        <w:rPr>
          <w:rStyle w:val="FootnoteReference"/>
        </w:rPr>
        <w:footnoteReference w:id="21"/>
      </w:r>
      <w:r>
        <w:t>, almeno delle seguenti informazioni sulle misure di aiuto di Stato notificate: il testo del regime di aiuti notificato e le relative disposizioni di applicazione, l'autorità che concede l'aiuto, i singoli beneficiari, l'importo dell'aiuto per beneficiario e l'intensità di aiuto (punto 136 degli orientamenti).</w:t>
      </w:r>
    </w:p>
    <w:p w14:paraId="6236CB31" w14:textId="77777777" w:rsidR="00733697" w:rsidRDefault="00733697" w:rsidP="0010307A">
      <w:pPr>
        <w:pStyle w:val="NumPar3"/>
        <w:spacing w:before="240"/>
        <w:ind w:left="709"/>
      </w:pPr>
      <w:r>
        <w:t>Se tali disposizioni non sono in atto, spiegarne il motivo. Analogamente se tali disposizioni non sono contenute nella base giuridica del regime notificato, ma in altri documenti legislativi, specificarlo.</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 xml:space="preserve">Indicare il riferimento alle pertinenti disposizioni della base giuridica che prevedono che le </w:t>
      </w:r>
      <w:bookmarkStart w:id="1" w:name="_GoBack"/>
      <w:bookmarkEnd w:id="1"/>
      <w:r>
        <w:t>informazioni di cui sopra siano rese disponibili al pubblico senza restrizioni per un periodo di almeno 10 anni dalla data in cui l'aiuto è stato concesso (punto 140 degli orientamenti).</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lastRenderedPageBreak/>
              <w:t xml:space="preserve">Relazioni e monitoraggio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rPr>
          <w:color w:val="000000"/>
        </w:rPr>
        <w:t>Confermare</w:t>
      </w:r>
      <w:r>
        <w:t xml:space="preserve"> che saranno presentate relazioni annuali alla Commissione, a norma del regolamento (UE) 2015/1589 del Consiglio, del 13 luglio 2015, recante modalità di applicazione dell'articolo 108 del trattato sul funzionamento dell'Unione europea, e del regolamento (CE) n. 794/2004 della Commissione, del 21 aprile 2004, recante disposizioni di esecuzione del regolamento (UE) 2015/1589 del Consiglio.</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4C30E3">
        <w:rPr>
          <w:b/>
        </w:rPr>
      </w:r>
      <w:r w:rsidR="004C30E3">
        <w:rPr>
          <w:b/>
        </w:rPr>
        <w:fldChar w:fldCharType="separate"/>
      </w:r>
      <w:r>
        <w:rPr>
          <w:b/>
        </w:rPr>
        <w:fldChar w:fldCharType="end"/>
      </w:r>
      <w:r>
        <w:rPr>
          <w:b/>
        </w:rPr>
        <w:t xml:space="preserve"> </w:t>
      </w:r>
      <w:r>
        <w:tab/>
        <w:t>Sì</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Pr>
          <w:color w:val="000000"/>
        </w:rPr>
        <w:t>Confermare</w:t>
      </w:r>
      <w:r>
        <w:t xml:space="preserve"> che si conserverà, per almeno 10 anni dalla data di concessione dell'aiuto, una documentazione dettagliata comprensiva di tutte le informazioni e dei documenti giustificativi utili per accertare il rispetto delle condizioni di compatibilità e che, previa richiesta, tale documentazione sarà messa a disposizione della Commissione.</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4C30E3">
        <w:fldChar w:fldCharType="separate"/>
      </w:r>
      <w:r>
        <w:fldChar w:fldCharType="end"/>
      </w:r>
      <w:r>
        <w:tab/>
        <w:t>Sì</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0A3AB25B" w:rsidR="00823C32" w:rsidRPr="00AF634A" w:rsidRDefault="00823C32" w:rsidP="00033078">
      <w:pPr>
        <w:pStyle w:val="FootnoteText"/>
        <w:tabs>
          <w:tab w:val="clear" w:pos="720"/>
          <w:tab w:val="left" w:pos="284"/>
        </w:tabs>
        <w:spacing w:after="120"/>
        <w:ind w:left="284" w:hanging="284"/>
      </w:pPr>
      <w:r>
        <w:rPr>
          <w:rStyle w:val="FootnoteReference"/>
        </w:rPr>
        <w:footnoteRef/>
      </w:r>
      <w:r>
        <w:tab/>
        <w:t>Orientamenti in materia di aiuti di Stato a finalità regionale (GU C</w:t>
      </w:r>
      <w:r w:rsidR="003615F9">
        <w:t> </w:t>
      </w:r>
      <w:r>
        <w:rPr>
          <w:rStyle w:val="Emphasis"/>
          <w:i w:val="0"/>
        </w:rPr>
        <w:t>153 del 29.4.2021, pag.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t>"Attività uguali o simili": attività che rientrano nella stessa classe (codice numerico a quattro cifre) della classificazione statistica delle attività economiche NACE Revisione 2.</w:t>
      </w:r>
    </w:p>
  </w:footnote>
  <w:footnote w:id="3">
    <w:p w14:paraId="6BDC7051" w14:textId="56FF0527" w:rsidR="00823C32" w:rsidRDefault="00823C32" w:rsidP="00033078">
      <w:pPr>
        <w:pStyle w:val="FootnoteText"/>
        <w:tabs>
          <w:tab w:val="clear" w:pos="720"/>
          <w:tab w:val="left" w:pos="284"/>
        </w:tabs>
        <w:spacing w:after="120"/>
        <w:ind w:left="284" w:hanging="284"/>
      </w:pPr>
      <w:r>
        <w:rPr>
          <w:rStyle w:val="FootnoteReference"/>
        </w:rPr>
        <w:footnoteRef/>
      </w:r>
      <w:r>
        <w:tab/>
        <w:t>Secondo la definizione di cui alla comunicazione della Commissione — Orientamenti sugli aiuti di Stato per il salvataggio e la ristrutturazione di imprese non finanziarie in difficoltà (GU C</w:t>
      </w:r>
      <w:r w:rsidR="003615F9">
        <w:t> </w:t>
      </w:r>
      <w:r>
        <w:t>249 del 31.7.2014, pag. 1).</w:t>
      </w:r>
    </w:p>
  </w:footnote>
  <w:footnote w:id="4">
    <w:p w14:paraId="02CDBE48" w14:textId="3F9C789A" w:rsidR="00823C32" w:rsidRPr="00527F99" w:rsidRDefault="00823C32" w:rsidP="00033078">
      <w:pPr>
        <w:pStyle w:val="FootnoteText"/>
        <w:tabs>
          <w:tab w:val="clear" w:pos="720"/>
          <w:tab w:val="left" w:pos="284"/>
        </w:tabs>
        <w:spacing w:after="120"/>
        <w:ind w:left="284" w:hanging="284"/>
      </w:pPr>
      <w:r>
        <w:rPr>
          <w:rStyle w:val="FootnoteReference"/>
        </w:rPr>
        <w:footnoteRef/>
      </w:r>
      <w:r>
        <w:tab/>
        <w:t>Per "PMI" si intendono le imprese che soddisfano i criteri di cui alla raccomandazione della Commissione, del 6 maggio 2003, relativa alla definizione delle microimprese, piccole imprese e medie imprese (GU L</w:t>
      </w:r>
      <w:r w:rsidR="003615F9">
        <w:t> </w:t>
      </w:r>
      <w:r>
        <w:t>124 del 20.5.2003, pag.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t>La semplice acquisizione di azioni di un'impresa non viene considerata un investimento iniziale.</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ab/>
        <w:t xml:space="preserve">Le condizioni sono le seguenti: 1) l'investimento riguarda un investimento iniziale in un territorio selezionato per beneficiare del sostegno cofinanziato del Fondo per una transizione giusta in una "zona c" con un PIL pro capite inferiore al 100 % della media UE-27; 2) l'investimento e il beneficiario figurano nel piano territoriale per una transizione giusta di uno Stato membro approvato dalla Commissione; e 3) l'aiuto di Stato all'investimento è coperto dal Fondo per una transizione giusta fino all'importo massimo consentito.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t>La semplice acquisizione di azioni di un'impresa non viene considerata un investimento iniziale per la creazione di una nuova attività economica.</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t>Tale disposizione non si applica alle PMI o nei casi di acquisizione di uno stabilimento.</w:t>
      </w:r>
    </w:p>
  </w:footnote>
  <w:footnote w:id="9">
    <w:p w14:paraId="2A072B76" w14:textId="0F89497E" w:rsidR="00823C32" w:rsidRPr="005078A0" w:rsidRDefault="00823C32" w:rsidP="0010307A">
      <w:pPr>
        <w:pStyle w:val="FootnoteText"/>
        <w:tabs>
          <w:tab w:val="clear" w:pos="720"/>
          <w:tab w:val="left" w:pos="284"/>
        </w:tabs>
        <w:ind w:left="284" w:hanging="284"/>
      </w:pPr>
      <w:r>
        <w:rPr>
          <w:rStyle w:val="FootnoteReference"/>
        </w:rPr>
        <w:footnoteRef/>
      </w:r>
      <w:r>
        <w:tab/>
        <w:t>Nel punto 33 degli orientamenti si stabilisce che per le grandi imprese i costi degli attivi immateriali sono ammissibili solo fino al 50 % dei costi totali d'investimento ammissibili per l'investimento iniziale. Per le PMI è ammissibile il 100 % dei costi degli attivi immateriali.</w:t>
      </w:r>
      <w:r>
        <w:tab/>
        <w:t xml:space="preserve">Nel punto 34 degli orientamenti si stabilisce che gli attivi immateriali che possono essere presi in considerazione per il calcolo dei costi d'investimento devono restare associati alla zona in questione e non devono essere trasferiti ad altre zone. </w:t>
      </w:r>
      <w:r w:rsidR="003615F9">
        <w:br/>
      </w:r>
      <w:r>
        <w:t>A tal fine, gli attivi immateriali devono soddisfare le seguenti condizioni:</w:t>
      </w:r>
    </w:p>
    <w:p w14:paraId="701B08D5" w14:textId="77777777" w:rsidR="00823C32" w:rsidRDefault="00823C32" w:rsidP="0010307A">
      <w:pPr>
        <w:pStyle w:val="FootnoteText"/>
        <w:numPr>
          <w:ilvl w:val="0"/>
          <w:numId w:val="38"/>
        </w:numPr>
        <w:tabs>
          <w:tab w:val="clear" w:pos="720"/>
          <w:tab w:val="left" w:pos="709"/>
        </w:tabs>
        <w:ind w:left="709" w:hanging="425"/>
      </w:pPr>
      <w:r>
        <w:t>devono essere utilizzati esclusivamente nello stabilimento beneficiario degli aiuti;</w:t>
      </w:r>
    </w:p>
    <w:p w14:paraId="582ED1B5" w14:textId="77777777" w:rsidR="00823C32" w:rsidRDefault="00823C32" w:rsidP="0010307A">
      <w:pPr>
        <w:pStyle w:val="FootnoteText"/>
        <w:numPr>
          <w:ilvl w:val="0"/>
          <w:numId w:val="38"/>
        </w:numPr>
        <w:tabs>
          <w:tab w:val="clear" w:pos="720"/>
          <w:tab w:val="left" w:pos="709"/>
        </w:tabs>
        <w:ind w:left="709" w:hanging="425"/>
      </w:pPr>
      <w:r>
        <w:t>devono essere ammortizzabili;</w:t>
      </w:r>
    </w:p>
    <w:p w14:paraId="172FF030" w14:textId="77777777" w:rsidR="00823C32" w:rsidRDefault="00823C32" w:rsidP="0010307A">
      <w:pPr>
        <w:pStyle w:val="FootnoteText"/>
        <w:numPr>
          <w:ilvl w:val="0"/>
          <w:numId w:val="38"/>
        </w:numPr>
        <w:tabs>
          <w:tab w:val="clear" w:pos="720"/>
          <w:tab w:val="left" w:pos="709"/>
        </w:tabs>
        <w:ind w:left="709" w:hanging="425"/>
      </w:pPr>
      <w:r>
        <w:t>devono essere acquistati a condizioni di mercato da terzi che non hanno legami con l'acquirente;</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devono figurare all'attivo dell'impresa che riceve l'aiuto e restare associati al progetto per cui è concesso l'aiuto per almeno cinque anni (tre anni per le PMI).</w:t>
      </w:r>
    </w:p>
  </w:footnote>
  <w:footnote w:id="10">
    <w:p w14:paraId="0BB39687" w14:textId="4F38BF7A"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ab/>
        <w:t>Comunicazione della Commissione sui tassi di interesse per il recupero degli aiuti di Stato e di riferimento/attualizzazione in vigore con decorrenza 1º maggio 2021 [pubblicata ai sensi dell'articolo 10 del regolamento (CE) n. 794/2004 della Commissione, del 21 aprile 2004 (GU L</w:t>
      </w:r>
      <w:r w:rsidR="003615F9">
        <w:t> </w:t>
      </w:r>
      <w:r>
        <w:t>140 del 30.4.2004, pag. 1)] (GU</w:t>
      </w:r>
      <w:r w:rsidR="003615F9">
        <w:t> </w:t>
      </w:r>
      <w:r>
        <w:t>C 139 del 20.4.2021, pag. 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Se possibile, indicare gli importi degli aiuti e i costi ammissibili sia in valore nominale che in valore attualizzato.</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t xml:space="preserve">A tal fine è possibile, </w:t>
      </w:r>
      <w:r>
        <w:rPr>
          <w:color w:val="000000"/>
        </w:rPr>
        <w:t>ad esempio, fare riferimento ai criteri di cui al punto 50 degli orientamenti e/o al piano aziendale del beneficiario. I previsti effetti positivi possono essere relativi, ad esempio, al numero di posti di lavoro creati o mantenuti, alle attività di RSI, alla formazione, alla creazione di un cluster e al possibile contributo del progetto alla transizione verde e digitale dell'economia (comprese, se pertinenti, informazioni che indichino se l'investimento è ecosostenibile ai sensi del regolamento (UE) 2020/852 sulla tassonomia).</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t>Questo punto non è pertinente nel caso di prestiti agevolati, di prestiti partecipativi pubblici o di una partecipazione pubblica che non rispettano il principio dell'investitore operante in un'economia di mercato, nel caso di garanzie statali che contengono elementi di aiuto, nonché nel caso di sostegno pubblico concesso nell'ambito della norma "de minimis".</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t>Ad esempio sovvenzioni dirette, esenzioni o riduzioni fiscali, degli oneri sociali o di altri contributi obbligatori oppure la fornitura di terreni, beni o servizi a prezzi vantaggiosi ecc.</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t>Ad esempio prestiti a tasso agevolato o con abbuono d'interessi, garanzie statali, acquisizioni di una partecipazione o altri apporti di capitale a condizioni favorevoli.</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Il lasso di tempo considerato per il calcolo del TRI dovrebbe corrispondere a quello in genere impiegato dalle imprese del settore per progetti analoghi.</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Occorre tener conto di tutti i costi e i benefici rilevanti, compresi ad esempio i costi amministrativi e di trasporto, i costi di formazione non coperti da aiuti alla formazione e le differenze salariali. Se tuttavia il sito alternativo si trova all'interno del SEE, le sovvenzioni concesse per tale luogo non possono essere prese in considerazione.</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t>Fornire questa informazione anche per i casi riconducibili allo scenario 2 in cui l'investimento, nello scenario controfattuale, avverrebbe in un diverso mercato geografico.</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t>La scarsa efficienza del mercato è solitamente misurata in relazione al PIL registrato all'interno del SEE nel triennio precedente l'avvio del progetto (tasso di riferimento), oppure può essere misurata anche sulla base dei tassi di crescita previsti per i successivi tre-cinque anni. Tra gli indicatori figurano le previsioni di crescita del mercato interessato, gli indici di utilizzo della capacità che dovrebbero derivarne e la probabile incidenza dell'aumento di capacità sui concorrenti in termini di prezzi e di margini di profitto.</w:t>
      </w:r>
    </w:p>
  </w:footnote>
  <w:footnote w:id="20">
    <w:p w14:paraId="27CF7419" w14:textId="24E1766D" w:rsidR="00823C32" w:rsidRPr="00562FB9" w:rsidRDefault="00823C32" w:rsidP="00033078">
      <w:pPr>
        <w:pStyle w:val="FootnoteText"/>
        <w:tabs>
          <w:tab w:val="clear" w:pos="720"/>
          <w:tab w:val="left" w:pos="284"/>
        </w:tabs>
        <w:spacing w:after="120"/>
        <w:ind w:left="284" w:hanging="284"/>
      </w:pPr>
      <w:r>
        <w:rPr>
          <w:rStyle w:val="FootnoteReference"/>
        </w:rPr>
        <w:footnoteRef/>
      </w:r>
      <w:r>
        <w:tab/>
        <w:t>Secondo la definizione di cui all'allegato III del regolamento (UE) n. 651/2014 della Commissione, del 17</w:t>
      </w:r>
      <w:r w:rsidR="003615F9">
        <w:t> </w:t>
      </w:r>
      <w:r>
        <w:t>giugno 2014, che dichiara alcune categorie di aiuti compatibili con il mercato interno in applicazione degli articoli 107 e 108 del trattato.</w:t>
      </w:r>
    </w:p>
  </w:footnote>
  <w:footnote w:id="21">
    <w:p w14:paraId="5CA5A850" w14:textId="397F99C5" w:rsidR="00823C32" w:rsidRPr="00562FB9" w:rsidRDefault="00823C32" w:rsidP="00033078">
      <w:pPr>
        <w:pStyle w:val="FootnoteText"/>
        <w:tabs>
          <w:tab w:val="clear" w:pos="720"/>
          <w:tab w:val="left" w:pos="284"/>
        </w:tabs>
        <w:spacing w:after="120"/>
        <w:ind w:left="284" w:hanging="284"/>
      </w:pPr>
      <w:r>
        <w:rPr>
          <w:rStyle w:val="FootnoteReference"/>
        </w:rPr>
        <w:footnoteRef/>
      </w:r>
      <w:r>
        <w:tab/>
        <w:t>Secondo la definizione di cui all'allegato III del regolamento (UE) n. 651/2014 della Commissione, del 17</w:t>
      </w:r>
      <w:r w:rsidR="003615F9">
        <w:t> </w:t>
      </w:r>
      <w:r>
        <w:t>giugno 2014, che dichiara alcune categorie di aiuti compatibili con il mercato interno in applicazione degli articoli 107 e 108 del trattato.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15F9"/>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C30E3"/>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it-IT"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it-IT"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it-IT"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864A7-10FC-41B6-908E-90B3576F0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4626</Words>
  <Characters>23826</Characters>
  <Application>Microsoft Office Word</Application>
  <DocSecurity>0</DocSecurity>
  <Lines>953</Lines>
  <Paragraphs>400</Paragraphs>
  <ScaleCrop>false</ScaleCrop>
  <Company/>
  <LinksUpToDate>false</LinksUpToDate>
  <CharactersWithSpaces>28052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2023-01-25T13:36:00Z</dcterms:modified>
</cp:coreProperties>
</file>