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OSA III LISÄTIETOLOMAKKEET</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OSA III.1.A</w:t>
            </w:r>
          </w:p>
          <w:p w14:paraId="0B352C8D" w14:textId="77777777" w:rsidR="000432CC" w:rsidRDefault="00EA65BD" w:rsidP="00C830F1">
            <w:pPr>
              <w:pStyle w:val="ChapterTitle"/>
              <w:spacing w:after="240"/>
              <w:rPr>
                <w:bCs w:val="0"/>
                <w:color w:val="000000"/>
                <w:sz w:val="28"/>
                <w:szCs w:val="28"/>
              </w:rPr>
            </w:pPr>
            <w:r>
              <w:rPr>
                <w:color w:val="000000"/>
                <w:sz w:val="28"/>
              </w:rPr>
              <w:t>Päivitetty* Lisätietolomake – Yksittäinen alueellinen investointituki</w:t>
            </w:r>
          </w:p>
          <w:p w14:paraId="11FAC6A9" w14:textId="77777777" w:rsidR="00291206" w:rsidRPr="00291206" w:rsidRDefault="00EA65BD" w:rsidP="00C830F1">
            <w:pPr>
              <w:jc w:val="left"/>
            </w:pPr>
            <w:r>
              <w:t>* Ei vielä virallisesti hyväksytty.</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Tämä lisätietolomake ei ole pakollinen. Sen täyttäminen on kuitenkin suositeltavaa yleisiä tietoja koskevan lomakkeen lisäksi ilmoitettaessa yksittäisestä investointituesta, joka kuuluu 1. tammikuuta 2022 alkaen sovellettavien alueellisia valtiontukia koskevien suuntaviivojen</w:t>
      </w:r>
      <w:r>
        <w:rPr>
          <w:iCs/>
          <w:szCs w:val="24"/>
          <w:vertAlign w:val="superscript"/>
        </w:rPr>
        <w:footnoteReference w:id="1"/>
      </w:r>
      <w:r>
        <w:t xml:space="preserve"> (’aluetukisuuntaviivojen’) piiriin.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Kohdeala</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Syyt toimenpiteestä ilmoittamiseen:</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FC57B3">
        <w:rPr>
          <w:b/>
        </w:rPr>
      </w:r>
      <w:r w:rsidR="00FC57B3">
        <w:rPr>
          <w:b/>
        </w:rPr>
        <w:fldChar w:fldCharType="separate"/>
      </w:r>
      <w:r>
        <w:rPr>
          <w:b/>
        </w:rPr>
        <w:fldChar w:fldCharType="end"/>
      </w:r>
      <w:r>
        <w:tab/>
        <w:t>Ilmoitus koskee yksittäistä tukea, joka myönnetään ohjelman perusteella, ja kaikista lähteistä saadun tuen määrä ylittää ilmoituskynnysarvon. Ilmoittakaa kyseisten hyväksyttyjen tai ryhmäpoikkeuksen soveltamisalaan kuuluvien tukiohjelmien viitenumerot:</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 </w:t>
            </w:r>
          </w:p>
        </w:tc>
      </w:tr>
    </w:tbl>
    <w:p w14:paraId="49EF6F99" w14:textId="77777777" w:rsidR="000432CC" w:rsidRPr="009830AE" w:rsidRDefault="000432CC" w:rsidP="00D2200E">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FC57B3">
        <w:rPr>
          <w:b/>
        </w:rPr>
      </w:r>
      <w:r w:rsidR="00FC57B3">
        <w:rPr>
          <w:b/>
        </w:rPr>
        <w:fldChar w:fldCharType="separate"/>
      </w:r>
      <w:r>
        <w:rPr>
          <w:b/>
        </w:rPr>
        <w:fldChar w:fldCharType="end"/>
      </w:r>
      <w:r>
        <w:tab/>
        <w:t>Ilmoitus koskee ohjelman ulkopuolella myönnettävää yksittäistä tukea (tapauskohtainen tuki).</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FC57B3">
        <w:rPr>
          <w:b/>
        </w:rPr>
      </w:r>
      <w:r w:rsidR="00FC57B3">
        <w:rPr>
          <w:b/>
        </w:rPr>
        <w:fldChar w:fldCharType="separate"/>
      </w:r>
      <w:r>
        <w:rPr>
          <w:b/>
        </w:rPr>
        <w:fldChar w:fldCharType="end"/>
      </w:r>
      <w:r>
        <w:tab/>
        <w:t>Ilmoitus koskee tukea tuensaajalle, joka on lopettanut saman tai samankaltaisen toiminnan</w:t>
      </w:r>
      <w:r>
        <w:rPr>
          <w:rStyle w:val="FootnoteReference"/>
          <w:color w:val="000000"/>
        </w:rPr>
        <w:footnoteReference w:id="2"/>
      </w:r>
      <w:r>
        <w:t xml:space="preserve"> ETA-alueella kahden tuen hakemispäivää edeltävän vuoden aikana tai jolla on tuen hakemisajankohtana aikomus lopettaa tällainen toiminta kahden vuoden kuluessa siitä, kun tuettava investointi on saatu päätökseen.</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ab/>
        <w:t>Muu syy (täsmennettävä).</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Ilmoitetun tukitoimenpiteen kohdeala</w:t>
      </w:r>
    </w:p>
    <w:p w14:paraId="42026524" w14:textId="77777777" w:rsidR="00840F2A" w:rsidRDefault="000432CC" w:rsidP="00C359A9">
      <w:pPr>
        <w:pStyle w:val="NormalKop111"/>
        <w:numPr>
          <w:ilvl w:val="2"/>
          <w:numId w:val="2"/>
        </w:numPr>
        <w:spacing w:before="0"/>
        <w:ind w:left="720" w:firstLine="0"/>
        <w:rPr>
          <w:color w:val="000000"/>
        </w:rPr>
      </w:pPr>
      <w:r>
        <w:rPr>
          <w:color w:val="000000"/>
        </w:rPr>
        <w:t>Vahvistakaa, että tuensaaja ei ole vaikeuksissa oleva yritys</w:t>
      </w:r>
      <w:r>
        <w:rPr>
          <w:color w:val="000000"/>
          <w:vertAlign w:val="superscript"/>
        </w:rPr>
        <w:footnoteReference w:id="3"/>
      </w:r>
      <w:r>
        <w:rPr>
          <w:color w:val="000000"/>
        </w:rPr>
        <w:t>.</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lastRenderedPageBreak/>
        <w:t xml:space="preserve">Toimittakaa jäljennös hakulomakkeesta ja tuen myöntämistä koskevasta sopimuksesta (sen luonnoksesta).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Lisätietoja tuensaajasta, investointihankkeesta ja tuesta</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Tuensaaja</w:t>
      </w:r>
    </w:p>
    <w:p w14:paraId="32A2F06C" w14:textId="77777777" w:rsidR="007E5B4A" w:rsidRPr="007E5B4A" w:rsidRDefault="00025F6C" w:rsidP="00D2200E">
      <w:pPr>
        <w:pStyle w:val="NormalKop111"/>
        <w:numPr>
          <w:ilvl w:val="2"/>
          <w:numId w:val="2"/>
        </w:numPr>
        <w:ind w:left="720" w:firstLine="0"/>
        <w:rPr>
          <w:rFonts w:cs="Times New Roman"/>
          <w:color w:val="000000"/>
        </w:rPr>
      </w:pPr>
      <w:r>
        <w:rPr>
          <w:color w:val="000000"/>
        </w:rPr>
        <w:t xml:space="preserve">Yksilöikää tuensaaja(t):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Jos tuen vastaanottajan oikeushenkilöllisyys on eri kuin hanketta rahoittavan (rahoittavien) yhden tai useamman yrityksen tai yhden tai useamman tosiasiallisen tuensaajan, kuvailkaa näitä eroja ja yksilöikää kyseiset muut yritykset.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Esittäkää selkeä kuvaus tuensaajan, yritysryhmän, johon se kuuluu, ja muiden osakkuusyritysten (myös yhteisyritysten) suhteesta.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w:t>
            </w:r>
          </w:p>
        </w:tc>
      </w:tr>
    </w:tbl>
    <w:p w14:paraId="758D75E9" w14:textId="77777777" w:rsidR="00162C83" w:rsidRDefault="00162C83" w:rsidP="004A7C2E">
      <w:pPr>
        <w:pStyle w:val="NormalKop11"/>
        <w:numPr>
          <w:ilvl w:val="1"/>
          <w:numId w:val="2"/>
        </w:numPr>
        <w:ind w:left="720" w:hanging="720"/>
        <w:rPr>
          <w:b/>
          <w:color w:val="000000"/>
        </w:rPr>
      </w:pPr>
      <w:r>
        <w:rPr>
          <w:b/>
          <w:color w:val="000000"/>
        </w:rPr>
        <w:t>Investointihanke</w:t>
      </w:r>
    </w:p>
    <w:p w14:paraId="4EF16C39" w14:textId="77777777" w:rsidR="00162C83" w:rsidRPr="009830AE" w:rsidRDefault="00162C83" w:rsidP="00D2200E">
      <w:pPr>
        <w:pStyle w:val="NormalKop111"/>
        <w:numPr>
          <w:ilvl w:val="2"/>
          <w:numId w:val="2"/>
        </w:numPr>
        <w:ind w:left="720" w:firstLine="0"/>
        <w:rPr>
          <w:rFonts w:cs="Times New Roman"/>
          <w:color w:val="000000"/>
        </w:rPr>
      </w:pPr>
      <w:r>
        <w:rPr>
          <w:color w:val="000000"/>
        </w:rPr>
        <w:t>Antakaa seuraavat tiedot ilmoitetusta investointihankkeesta: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Tuen hakemispäivä:</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Investointihankkeeseen liittyvien töiden alkamispäivä:</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Tuotannon aloituspäivä:</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Päivä, jona täysi tuotantokapasiteetti saavutetaan:</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Investointihankkeen suunniteltu valmistumispäivä:</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Jos ilmoitus koskee investointia ’a-alueella’ tai yhden tai useamman pk-yrityksen</w:t>
      </w:r>
      <w:r>
        <w:rPr>
          <w:rStyle w:val="FootnoteReference"/>
        </w:rPr>
        <w:footnoteReference w:id="4"/>
      </w:r>
      <w:r>
        <w:t xml:space="preserve"> investointia ’c-alueella’ (aluetukisuuntaviivojen 45 kohta), täsmentäkää ilmoituksen kohteena olevan alkuinvestoinnin luokka/luokat (aluetukisuuntaviivojen 19 kohdan 13 alakohta):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 xml:space="preserve"> </w:t>
      </w:r>
      <w:r>
        <w:tab/>
        <w:t>uuden laitoksen perustaminen</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 xml:space="preserve"> </w:t>
      </w:r>
      <w:r>
        <w:tab/>
        <w:t>olemassa olevan laitoksen kapasiteetin lisääminen</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 xml:space="preserve"> </w:t>
      </w:r>
      <w:r>
        <w:tab/>
        <w:t>laitoksen tuotannon monipuolistaminen sellaisiin tuotteisiin, joita laitos ei ole aikaisemmin tuottanut</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 xml:space="preserve"> </w:t>
      </w:r>
      <w:r>
        <w:tab/>
        <w:t>investoinnin kohteena olevan tuotteen (olevien tuotteiden) tuotantoprosessin perusteellinen muuttaminen laitoksessa</w:t>
      </w:r>
    </w:p>
    <w:p w14:paraId="3DE90299" w14:textId="2A26F947" w:rsidR="007D70E6" w:rsidRDefault="007D70E6" w:rsidP="007D70E6">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 xml:space="preserve"> </w:t>
      </w:r>
      <w:r>
        <w:tab/>
        <w:t>sellaisen toimipaikan omaisuuden hankinta, joka on suljettu tai olisi suljettu, jos sitä ei olisi ostettu</w:t>
      </w:r>
      <w:r>
        <w:rPr>
          <w:rStyle w:val="FootnoteReference"/>
        </w:rPr>
        <w:footnoteReference w:id="5"/>
      </w:r>
    </w:p>
    <w:p w14:paraId="2F15749C" w14:textId="77777777" w:rsidR="007D70E6" w:rsidRPr="005C5DFC" w:rsidRDefault="007D70E6" w:rsidP="00033078">
      <w:pPr>
        <w:pStyle w:val="NumPar3"/>
        <w:numPr>
          <w:ilvl w:val="2"/>
          <w:numId w:val="2"/>
        </w:numPr>
        <w:spacing w:before="240" w:after="240"/>
        <w:ind w:left="1440" w:hanging="720"/>
      </w:pPr>
      <w:r>
        <w:t>Jos ilmoitus koskee suuren yrityksen investointia ’c-alueella’, täsmentäkää ilmoituksen kohteena olevan alkuinvestoinnin luokka/luokat (aluetukisuuntaviivojen 19 kohdan 14 alakohta ja 14 kohta):</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 xml:space="preserve"> </w:t>
      </w:r>
      <w:r>
        <w:tab/>
        <w:t>uuden laitoksen perustaminen</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 xml:space="preserve"> </w:t>
      </w:r>
      <w:r>
        <w:tab/>
        <w:t>laitoksen tuotannon monipuolistaminen, kunhan uusi toiminta ei ole samaa tai samankaltaista kuin kyseisessä laitoksessa on aikaisemmin harjoitettu</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 xml:space="preserve"> </w:t>
      </w:r>
      <w:r>
        <w:tab/>
        <w:t>laitoksen tuotannon monipuolistaminen sellaisiin tuotteisiin, joita laitos ei ole aikaisemmin tuottanut, siten että aluetukisuuntaviivojen 14 kohdan kaikki 3 edellytystä</w:t>
      </w:r>
      <w:r>
        <w:rPr>
          <w:rStyle w:val="FootnoteReference"/>
        </w:rPr>
        <w:footnoteReference w:id="6"/>
      </w:r>
      <w:r>
        <w:t xml:space="preserve"> täyttyvät</w:t>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 xml:space="preserve"> </w:t>
      </w:r>
      <w:r>
        <w:tab/>
        <w:t>investoinnin kohteena olevan tuotteen (tai tuotteiden) tuotantoprosessin perusteellinen muuttaminen laitoksessa siten, että aluetukisuuntaviivojen 14 kohdan kaikki 3 edellytystä täyttyvät</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 xml:space="preserve"> </w:t>
      </w:r>
      <w:r>
        <w:tab/>
        <w:t>sellaisen laitoksen omaisuuden hankinta, joka on suljettu tai olisi suljettu, jos sitä ei olisi ostettu, kunhan hankittua omaisuutta käyttämällä harjoitettava uusi toiminta ei ole samaa tai samankaltaista kuin ennen hankintaa kyseisessä laitoksessa harjoitettu toiminta</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Esittäkää investointihankkeesta lyhyt kuvaus josta käy myös ilmi, miten hanke kuuluu yhteen tai useampaan edellä mainittuun alkuinvestointiluokkaan: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w:t>
            </w:r>
          </w:p>
        </w:tc>
      </w:tr>
    </w:tbl>
    <w:p w14:paraId="2949111E" w14:textId="77777777" w:rsidR="004A7C2E" w:rsidRDefault="004A7C2E" w:rsidP="004A7C2E">
      <w:pPr>
        <w:pStyle w:val="NormalKop11"/>
        <w:numPr>
          <w:ilvl w:val="1"/>
          <w:numId w:val="2"/>
        </w:numPr>
        <w:ind w:left="720" w:hanging="720"/>
        <w:rPr>
          <w:b/>
          <w:color w:val="000000"/>
        </w:rPr>
      </w:pPr>
      <w:r>
        <w:rPr>
          <w:b/>
          <w:color w:val="000000"/>
        </w:rPr>
        <w:t>Investointikustannusten perusteella lasketut tukikelpoiset kustannukset</w:t>
      </w:r>
    </w:p>
    <w:p w14:paraId="73227028" w14:textId="77777777" w:rsidR="00E940DB" w:rsidRPr="009830AE" w:rsidRDefault="00E940DB" w:rsidP="00033078">
      <w:pPr>
        <w:pStyle w:val="NormalKop111"/>
        <w:numPr>
          <w:ilvl w:val="2"/>
          <w:numId w:val="2"/>
        </w:numPr>
        <w:ind w:left="1418" w:hanging="698"/>
        <w:rPr>
          <w:rFonts w:cs="Times New Roman"/>
          <w:color w:val="000000"/>
        </w:rPr>
      </w:pPr>
      <w:r>
        <w:rPr>
          <w:color w:val="000000"/>
        </w:rPr>
        <w:t>Ilmoittakaa seuraavat tiedot kaikista tukikelpoisista investointikustannuksista (sekä nimellisarvo että diskontattu arvo):</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Tukikelpoiset kustannukset yhteensä (nimellisarvo)</w:t>
            </w:r>
            <w:r>
              <w:rPr>
                <w:sz w:val="20"/>
                <w:vertAlign w:val="superscript"/>
              </w:rPr>
              <w:t>(°)</w:t>
            </w:r>
          </w:p>
        </w:tc>
        <w:tc>
          <w:tcPr>
            <w:tcW w:w="1417" w:type="dxa"/>
          </w:tcPr>
          <w:p w14:paraId="390D1283" w14:textId="77777777" w:rsidR="00516B30" w:rsidRPr="00633A52" w:rsidRDefault="00516B30" w:rsidP="009C5F4C">
            <w:pPr>
              <w:jc w:val="left"/>
              <w:rPr>
                <w:sz w:val="20"/>
                <w:szCs w:val="20"/>
              </w:rPr>
            </w:pPr>
            <w:r>
              <w:rPr>
                <w:sz w:val="20"/>
              </w:rPr>
              <w:t>Tukikelpoiset kustannukset yhteensä (diskontattu arvo)</w:t>
            </w:r>
            <w:r>
              <w:rPr>
                <w:sz w:val="20"/>
                <w:vertAlign w:val="superscript"/>
              </w:rPr>
              <w:t>(°)</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Alustavista selvityksistä ja neuvontapalveluista aiheutuvat investointiin liittyvät kustannukset (ainoastaan pk-yritykset)</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Maa-alueet</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Rakennukset</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Laitokset/koneet/laitteet</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Aineettomat hyödykkeet</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Tukikelpoiset kokonaiskustannukset</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Kansallisena valuuttana (ks. myös kohta 2.5 jäljempänä).</w:t>
      </w:r>
    </w:p>
    <w:p w14:paraId="3D68B83F" w14:textId="77777777" w:rsidR="00BC08A3" w:rsidRPr="0025149B" w:rsidRDefault="004255FA" w:rsidP="00093A59">
      <w:pPr>
        <w:pStyle w:val="NormalKop111"/>
        <w:numPr>
          <w:ilvl w:val="2"/>
          <w:numId w:val="2"/>
        </w:numPr>
        <w:ind w:left="1225" w:hanging="505"/>
        <w:rPr>
          <w:rFonts w:cs="Times New Roman"/>
          <w:color w:val="000000"/>
        </w:rPr>
      </w:pPr>
      <w:r>
        <w:t>Vahvistakaa, että hankitut omaisuuserät ovat uusia (aluetukisuuntaviivojen 27 kohta).</w:t>
      </w:r>
      <w:r>
        <w:rPr>
          <w:rStyle w:val="FootnoteReference"/>
          <w:color w:val="000000"/>
        </w:rPr>
        <w:footnoteReference w:id="8"/>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Esittäkää näyttöä siitä, että pk-yritysten tapauksessa enintään 50 prosenttia investointiin liittyvistä alustavista selvityksistä ja neuvontapalveluista aiheutuvista kustannuksista sisältyy tukikelpoisiin kustannuksiin (aluetukisuuntaviivojen 28 kohta).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Esittäkää näyttöä siitä, että suurille yrityksille tuotantoprosessin perusteelliseen muutokseen myönnettävän tuen osalta tukikelpoiset kustannukset ovat suuremmat kuin poistot, jotka on tehty uudistettavaan toimintaan liittyvästä omaisuudesta kolmen edeltävän verovuoden aikana (aluetukisuuntaviivojen 29 kohta).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Antakaa viittaus oikeusperustaan tai selostakaa, miten varmistetaan, että olemassa olevan laitoksen tuotannon monipuolistamiseen myönnettävän tuen osalta tukikelpoiset kustannukset ovat vähintään 200 prosenttia suuremmat kuin uudelleen käytettävän omaisuuden kirjanpitoarvo töiden alkamista edeltävänä verovuonna (aluetukisuuntaviivojen 30 kohta). Esittäkää tarvittaessa asiakirjat, jotka sisältävät asiaa koskevat kvantitatiiviset tiedot.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Kun on kyse aineellisen omaisuuden vuokraamisesta, antakaa viittaukset oikeusperustan säännöksiin, joiden mukaan seuraavat edellytykset täyttyvät (aluetukisuuntaviivojen 31 kohta), tai selostakaa, kuinka edellytysten täyttyminen taataan muulla tavoin: </w:t>
      </w:r>
    </w:p>
    <w:p w14:paraId="7E7B447C" w14:textId="77777777" w:rsidR="000432CC" w:rsidRPr="000D782C" w:rsidRDefault="000432CC" w:rsidP="00633A52">
      <w:pPr>
        <w:pStyle w:val="Normal127Bullet63"/>
        <w:spacing w:before="120" w:after="120"/>
      </w:pPr>
      <w:r>
        <w:t xml:space="preserve">Maa-alueisiin ja rakennuksiin liittyvän vuokrasopimuksen on oltava voimassa vähintään viisi vuotta investoinnin arvioidun </w:t>
      </w:r>
      <w:r>
        <w:lastRenderedPageBreak/>
        <w:t>valmistumisajankohdan jälkeen, jos kyseessä on suuri yritys, ja kolme vuotta, jos kyseessä on pk-yritys.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 </w:t>
            </w:r>
          </w:p>
        </w:tc>
      </w:tr>
    </w:tbl>
    <w:p w14:paraId="0640E71C" w14:textId="77777777" w:rsidR="000432CC" w:rsidRPr="000D782C" w:rsidRDefault="000432CC" w:rsidP="00633A52">
      <w:pPr>
        <w:pStyle w:val="Normal127Bullet63"/>
        <w:spacing w:before="240" w:after="120"/>
      </w:pPr>
      <w:r>
        <w:t xml:space="preserve">Laitoksen tai koneiden vuokrasopimus on tehtävä rahoitusleasingin muodossa ja siihen on sisällyttävä velvoite, jonka mukaan tuensaajan on ostettava kyseinen omaisuuserä vuokrasopimuksen päätyttyä.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Aluetukisuuntaviivojen 32 kohdassa todetaan, että laitoksen hankinnan yhteydessä ”</w:t>
      </w:r>
      <w:r>
        <w:rPr>
          <w:i/>
          <w:color w:val="000000"/>
        </w:rPr>
        <w:t>huomioon olisi periaatteessa otettava ainoastaan kustannukset, jotka aiheutuvat omaisuuserien ostamisesta ostajasta riippumattomilta kolmansilta osapuolilta. Jos pieni yritys siirtyy alkuperäisen omistajan perheenjäsenelle tai entiselle työntekijälle, luovutaan kuitenkin edellytyksestä, jonka mukaan omaisuuserät on ostettava kolmansilta osapuolilta, jotka ovat ostajasta riippumattomia. Kauppa on toteutettava markkinaehdoin. Jos laitoksen omaisuuserän hankintaan liittyy aluetukikelpoinen lisäinvestointi, tämän lisäinvestoinnin tukikelpoiset kustannukset olisi lisättävä laitoksen omaisuuserien hankinnasta aiheutuviin kustannuksiin</w:t>
      </w:r>
      <w:r>
        <w:rPr>
          <w:color w:val="000000"/>
        </w:rPr>
        <w:t xml:space="preserve">.” </w:t>
      </w:r>
    </w:p>
    <w:p w14:paraId="68432129" w14:textId="77777777" w:rsidR="000432CC" w:rsidRDefault="00A96151" w:rsidP="00A80D24">
      <w:pPr>
        <w:pStyle w:val="Normal127"/>
      </w:pPr>
      <w:r>
        <w:t xml:space="preserve">Jos merkityksellistä ilmoitetun tapauksen kannalta, selittäkää, miten nämä edellytykset ovat täyttyneet, ja esittäkää asianmukaiset asiakirjat.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Jos investointihankkeen tukikelpoisiin kustannuksiin sisältyy aineettomia omaisuuseriä, selittäkää miten varmistetaan, että aluetukisuuntaviivojen 33 ja 34 kohdan</w:t>
      </w:r>
      <w:r>
        <w:rPr>
          <w:color w:val="000000"/>
          <w:vertAlign w:val="superscript"/>
        </w:rPr>
        <w:footnoteReference w:id="9"/>
      </w:r>
      <w:r>
        <w:rPr>
          <w:color w:val="000000"/>
        </w:rPr>
        <w:t xml:space="preserve"> edellytykset täyttyvät. Viitatkaa tällaisissa tapauksissa täsmällisesti oikeusperustan asiaa koskevaan säännökseen.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w:t>
            </w:r>
          </w:p>
        </w:tc>
      </w:tr>
    </w:tbl>
    <w:p w14:paraId="6AF3FF90" w14:textId="77777777" w:rsidR="000432CC" w:rsidRPr="00684A3B" w:rsidRDefault="000432CC" w:rsidP="00093A59">
      <w:pPr>
        <w:pStyle w:val="NormalKop11"/>
        <w:numPr>
          <w:ilvl w:val="1"/>
          <w:numId w:val="2"/>
        </w:numPr>
        <w:ind w:left="720" w:hanging="720"/>
        <w:rPr>
          <w:rFonts w:cs="Times New Roman"/>
          <w:b/>
          <w:color w:val="000000"/>
        </w:rPr>
      </w:pPr>
      <w:r>
        <w:rPr>
          <w:b/>
          <w:color w:val="000000"/>
        </w:rPr>
        <w:t>Palkkakustannusten perusteella lasketut tukikelpoiset kustannukset</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Esittäkää seuraavat tiedot:</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Selittäkää, miten palkkakustannusten perusteella lasketut tukikelpoiset kustannukset on määritetty (aluetukisuuntaviivojen 35 kohta),</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lastRenderedPageBreak/>
        <w:t>selittäkää, miten luotujen työpaikkojen määrä on laskettu, viitaten aluetukisuuntaviivojen 19 kohdan 16 alakohtaan,</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selittäkää, miten palvelukseen otettujen henkilöiden palkkakustannukset on määritetty, viitaten aluetukisuuntaviivojen 19 kohdan 33 alakohtaan ja</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r>
        <w:rPr>
          <w:color w:val="000000"/>
        </w:rPr>
        <w:lastRenderedPageBreak/>
        <w:t xml:space="preserve">esittäkää asiaa koskevat laskelmat ja lukuja tukevat asiakirjat.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w:t>
            </w:r>
          </w:p>
          <w:p w14:paraId="400D5A49" w14:textId="77777777" w:rsidR="00162C83" w:rsidRDefault="00162C83" w:rsidP="0039571D">
            <w:r>
              <w:t>…</w:t>
            </w:r>
          </w:p>
        </w:tc>
      </w:tr>
    </w:tbl>
    <w:p w14:paraId="43B1C93C" w14:textId="77777777" w:rsidR="00AA5619" w:rsidRDefault="00AA5619" w:rsidP="00653940">
      <w:pPr>
        <w:pStyle w:val="NormalKop11"/>
        <w:numPr>
          <w:ilvl w:val="1"/>
          <w:numId w:val="2"/>
        </w:numPr>
        <w:ind w:left="720" w:hanging="720"/>
        <w:rPr>
          <w:rFonts w:cs="EUAlbertina"/>
          <w:color w:val="000000"/>
        </w:rPr>
      </w:pPr>
      <w:r>
        <w:rPr>
          <w:b/>
          <w:color w:val="000000"/>
        </w:rPr>
        <w:t>Diskontattujen tukikelpoisten kustannusten ja tuen määrän laskeminen</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Ilmoittakaa alla olevassa taulukossa tiedot tukikelpoisista kustannuksista eri tukikelpoisten kustannusten luokissa, jotka on katettava investointihankkeen koko keston aikana:</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219"/>
        <w:gridCol w:w="880"/>
        <w:gridCol w:w="1021"/>
        <w:gridCol w:w="1021"/>
        <w:gridCol w:w="1021"/>
        <w:gridCol w:w="1021"/>
        <w:gridCol w:w="1021"/>
      </w:tblGrid>
      <w:tr w:rsidR="000165F8" w:rsidRPr="0039571D" w14:paraId="75A2C4A1" w14:textId="77777777" w:rsidTr="00FC57B3">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Nimellisarvo/diskontattu 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Yhteensä°</w:t>
            </w:r>
          </w:p>
        </w:tc>
      </w:tr>
      <w:tr w:rsidR="00DC5A80" w14:paraId="6B55E95D" w14:textId="77777777" w:rsidTr="00FC57B3">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Alustavat selvitykset jne. (vain pk-yritykset) </w:t>
            </w:r>
          </w:p>
          <w:p w14:paraId="39D34ADD" w14:textId="77777777" w:rsidR="00DC5A80" w:rsidRPr="00772CF3" w:rsidRDefault="00DC5A80" w:rsidP="00033078">
            <w:pPr>
              <w:jc w:val="left"/>
              <w:rPr>
                <w:color w:val="000000"/>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FC57B3">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Maa-alueet</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Rakennukset</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Laitokset/koneet/</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laitteet</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Aineettomat hyödykkeet</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Palkkakustannukset</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Muu (täsmennettävä)</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Yhteensä</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Kansallisessa valuutassa </w:t>
      </w:r>
    </w:p>
    <w:p w14:paraId="4C6AC8BA" w14:textId="77777777" w:rsidR="00D577FA" w:rsidRPr="00577841" w:rsidRDefault="0039571D" w:rsidP="00577841">
      <w:pPr>
        <w:pStyle w:val="NormalKop111"/>
        <w:rPr>
          <w:rFonts w:cs="EUAlbertina"/>
          <w:color w:val="000000"/>
        </w:rPr>
      </w:pPr>
      <w:r>
        <w:rPr>
          <w:color w:val="000000"/>
        </w:rPr>
        <w:t>Ilmoittakaa päivä, jolle määrät diskontattiin, sekä käytetty diskonttokorko</w:t>
      </w:r>
      <w:r>
        <w:rPr>
          <w:rStyle w:val="FootnoteReference"/>
          <w:rFonts w:cs="EUAlbertina"/>
          <w:color w:val="000000"/>
        </w:rPr>
        <w:footnoteReference w:id="10"/>
      </w:r>
      <w:r>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Ilmoittakaa alla olevassa taulukossa tukimuodon mukaan jaoteltuna tiedot ilmoitetusta tuesta, joka on myönnetty (myönnetään) investointihankkeelle:</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219"/>
        <w:gridCol w:w="880"/>
        <w:gridCol w:w="1021"/>
        <w:gridCol w:w="1021"/>
        <w:gridCol w:w="1021"/>
        <w:gridCol w:w="1021"/>
        <w:gridCol w:w="1021"/>
      </w:tblGrid>
      <w:tr w:rsidR="0039571D" w:rsidRPr="0039571D" w14:paraId="3FD861DB" w14:textId="77777777" w:rsidTr="00FC57B3">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219"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Nimellisarvo/</w:t>
            </w:r>
            <w:r>
              <w:rPr>
                <w:sz w:val="20"/>
              </w:rPr>
              <w:lastRenderedPageBreak/>
              <w:t xml:space="preserve">diskontattu 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lastRenderedPageBreak/>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Yhteensä°</w:t>
            </w:r>
          </w:p>
        </w:tc>
      </w:tr>
      <w:tr w:rsidR="0039571D" w14:paraId="51393C28"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Avustus</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Laina</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Takaus</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r w:rsidR="0039571D" w14:paraId="6605116E"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Veroetuus</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FC57B3">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Yhteensä</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Nimellisarvo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FC57B3">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Diskontattu arvo</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Kansallisessa valuutassa</w:t>
      </w:r>
    </w:p>
    <w:p w14:paraId="6B87FE2E" w14:textId="77777777" w:rsidR="00012D1C" w:rsidRPr="00957D0D" w:rsidRDefault="00012D1C" w:rsidP="00012D1C">
      <w:pPr>
        <w:pStyle w:val="NormalKop111"/>
        <w:rPr>
          <w:rFonts w:cs="EUAlbertina"/>
          <w:color w:val="000000"/>
        </w:rPr>
      </w:pPr>
      <w:r>
        <w:rPr>
          <w:color w:val="000000"/>
        </w:rPr>
        <w:t>Ilmoittakaa päivä, jolle määrät diskontattiin, sekä käytetty diskonttokorko:</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Ilmoittakaa kunkin yllä olevassa taulukossa mainitun tukimuodon osalta, miten avustusekvivalentti lasketaan: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Halpakorkoinen laina</w:t>
            </w:r>
            <w:r>
              <w:t>:</w:t>
            </w:r>
          </w:p>
          <w:p w14:paraId="0CDFAAED" w14:textId="77777777" w:rsidR="003A2F0C" w:rsidRDefault="003A2F0C" w:rsidP="00772CF3">
            <w:r>
              <w:t>…</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Takaus</w:t>
            </w:r>
            <w:r>
              <w:t>:</w:t>
            </w:r>
          </w:p>
          <w:p w14:paraId="168C5436" w14:textId="77777777" w:rsidR="003A2F0C" w:rsidRDefault="003A2F0C" w:rsidP="00772CF3">
            <w:r>
              <w:t>…</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Veronalennus</w:t>
            </w:r>
            <w:r>
              <w:t>:</w:t>
            </w:r>
          </w:p>
          <w:p w14:paraId="26CD10D7" w14:textId="77777777" w:rsidR="003A2F0C" w:rsidRDefault="003A2F0C" w:rsidP="00772CF3">
            <w:r>
              <w:t>…</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Muu:</w:t>
            </w:r>
          </w:p>
          <w:p w14:paraId="17A7D904" w14:textId="77777777" w:rsidR="003A2F0C" w:rsidRPr="00E35956" w:rsidRDefault="003A2F0C" w:rsidP="00142F96">
            <w:r>
              <w:t>….</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Pr>
          <w:color w:val="000000"/>
        </w:rPr>
        <w:t>Jos joitakin hankkeeseen kohdennettavia tukitoimenpiteitä on vielä määrittelemättä, mainitkaa tämä ja selittäkää, miten tuen myöntävä viranomainen varmistaa, että sovellettavaa tuen enimmäisintensiteettiä ei ylitetä (aluetukisuuntaviivojen 93 ja 94 kohta):</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Pr>
          <w:color w:val="000000"/>
        </w:rPr>
        <w:t>Osarahoitetaanko hanketta jostakin EU:n rahastosta (jäljempänä ’EU-rahastot’), jota hallinnoidaan yhdessä jäsenvaltioiden kanssa? Jos näin on, mistä ohjelmasta rahoitus saadaan? Ilmoittakaa myös EU-rahastoista saatavan rahoituksen määrä.</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lastRenderedPageBreak/>
              <w:t>…</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Jos tuensaaja (konsernitasolla) on saanut tukea yhteen (tai useampaan) samaan tai samankaltaiseen toimintaan liittyvään alkuinvestointiin, joka on käynnistetty samalla NUTS 3 -alueella kolmen vuoden sisällä ennen ilmoitettuun investointihankkeeseen liittyvien töiden aloittamista (aluetukisuuntaviivojen 19 kohdan 27 alakohta), esittäkää yksityiskohtaiset tiedot tukitoimenpiteistä kunkin aikaisemmin tuetun alkuinvestoinnin osalta (mukaan lukien lyhyt kuvaus investointihankkeesta, tukihakemuksen päivämäärä, tuen myöntämispäivä, töiden aloittamispäivä, tukimäärä(t) ja tukikelpoiset kustannukset</w:t>
      </w:r>
      <w:r>
        <w:rPr>
          <w:rStyle w:val="FootnoteReference"/>
          <w:color w:val="000000"/>
        </w:rPr>
        <w:footnoteReference w:id="11"/>
      </w:r>
      <w:r>
        <w:rPr>
          <w:color w:val="000000"/>
        </w:rPr>
        <w:t>).</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rPr>
              <w:t>Tukikelpoiset investointikustannukset°</w:t>
            </w:r>
          </w:p>
        </w:tc>
        <w:tc>
          <w:tcPr>
            <w:tcW w:w="794" w:type="dxa"/>
          </w:tcPr>
          <w:p w14:paraId="5E53F953" w14:textId="77777777" w:rsidR="00FE7795" w:rsidRPr="00633A52" w:rsidRDefault="00FE7795" w:rsidP="009C5F4C">
            <w:pPr>
              <w:jc w:val="left"/>
              <w:rPr>
                <w:sz w:val="20"/>
                <w:szCs w:val="20"/>
              </w:rPr>
            </w:pPr>
            <w:r>
              <w:rPr>
                <w:sz w:val="20"/>
              </w:rPr>
              <w:t>Myönnetyn tuen määrä°</w:t>
            </w:r>
          </w:p>
        </w:tc>
        <w:tc>
          <w:tcPr>
            <w:tcW w:w="794" w:type="dxa"/>
          </w:tcPr>
          <w:p w14:paraId="5690C210" w14:textId="77777777" w:rsidR="00FE7795" w:rsidRPr="00633A52" w:rsidRDefault="00FE7795" w:rsidP="009C5F4C">
            <w:pPr>
              <w:jc w:val="left"/>
              <w:rPr>
                <w:sz w:val="20"/>
                <w:szCs w:val="20"/>
              </w:rPr>
            </w:pPr>
            <w:r>
              <w:rPr>
                <w:sz w:val="20"/>
              </w:rPr>
              <w:t>Hakemispäivä</w:t>
            </w:r>
          </w:p>
        </w:tc>
        <w:tc>
          <w:tcPr>
            <w:tcW w:w="794" w:type="dxa"/>
          </w:tcPr>
          <w:p w14:paraId="0A71C2A6" w14:textId="77777777" w:rsidR="00FE7795" w:rsidRPr="00633A52" w:rsidRDefault="00FE7795" w:rsidP="009C5F4C">
            <w:pPr>
              <w:jc w:val="left"/>
              <w:rPr>
                <w:sz w:val="20"/>
                <w:szCs w:val="20"/>
              </w:rPr>
            </w:pPr>
            <w:r>
              <w:rPr>
                <w:sz w:val="20"/>
              </w:rPr>
              <w:t>Myöntämispäivä</w:t>
            </w:r>
          </w:p>
        </w:tc>
        <w:tc>
          <w:tcPr>
            <w:tcW w:w="794" w:type="dxa"/>
          </w:tcPr>
          <w:p w14:paraId="4944FDD2" w14:textId="77777777" w:rsidR="00FE7795" w:rsidRPr="00633A52" w:rsidRDefault="00FE7795" w:rsidP="009C5F4C">
            <w:pPr>
              <w:jc w:val="left"/>
              <w:rPr>
                <w:sz w:val="20"/>
                <w:szCs w:val="20"/>
              </w:rPr>
            </w:pPr>
            <w:r>
              <w:rPr>
                <w:sz w:val="20"/>
              </w:rPr>
              <w:t>Töiden aloituspäivä</w:t>
            </w:r>
          </w:p>
        </w:tc>
        <w:tc>
          <w:tcPr>
            <w:tcW w:w="2267" w:type="dxa"/>
          </w:tcPr>
          <w:p w14:paraId="76CA3EDF" w14:textId="77777777" w:rsidR="00FE7795" w:rsidRPr="00633A52" w:rsidRDefault="00FE7795" w:rsidP="00FE7795">
            <w:pPr>
              <w:jc w:val="left"/>
              <w:rPr>
                <w:sz w:val="20"/>
                <w:szCs w:val="20"/>
              </w:rPr>
            </w:pPr>
            <w:r>
              <w:rPr>
                <w:sz w:val="20"/>
              </w:rPr>
              <w:t>Lyhyt kuvaus</w:t>
            </w:r>
          </w:p>
        </w:tc>
        <w:tc>
          <w:tcPr>
            <w:tcW w:w="1275" w:type="dxa"/>
          </w:tcPr>
          <w:p w14:paraId="47DAEC32" w14:textId="77777777" w:rsidR="00FE7795" w:rsidRDefault="00FE7795" w:rsidP="00FE7795">
            <w:pPr>
              <w:jc w:val="left"/>
              <w:rPr>
                <w:sz w:val="20"/>
                <w:szCs w:val="20"/>
              </w:rPr>
            </w:pPr>
            <w:r>
              <w:rPr>
                <w:sz w:val="20"/>
              </w:rPr>
              <w:t>Tuen viitenumero(t)</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Alkuinvestointihanke 1</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Alkuinvestointihanke 2</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Alkuinvestointihanke 3</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Kansallisessa valuutassa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Vahvistakaa, että alkuinvestointihankkeelle myönnettävän tuen kokonaismäärä ei ylitä ’tuen enimmäisintensiteetin’ (kuten se on määritelty aluetukisuuntaviivojen 19 kohdan 19 alakohdassa) mukaista määrää ottaen tarvittaessa huomioon pk-yritysten korotettu tuki-intensiteetti (kuten se on määritetty aluetukisuuntaviivojen 186 kohdassa) ja ’mukautettu tuen määrä’ (kuten se on määritelty aluetukisuuntaviivojen 19 kohdan 3 alakohdassa). Esittäkää tämän tueksi asiaa koskevat asiakirjat ja laskelmat.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t xml:space="preserve">Vahvistakaa, että tuen hyväksytty enimmäismäärä diskontattuna ja hyväksytty tuki-intensiteetti eivät ylity, jos tukikelpoisten kustannusten määrä poikkeaa ilmoitetusta määrästä.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ab/>
        <w:t>Kyllä</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Jos investointihankkeelle myönnettävä tuki on tarkoitus myöntää useammasta aluetukiohjelmasta tai tapauskohtaisen tuen kanssa kasautuneena, vahvistakaa, että ensimmäisenä tukea myöntävä viranomainen on laskenut etukäteen tuen sallitun enimmäisintensiteetin, joka voidaan myöntää hankkeelle, ja ilmoittakaa </w:t>
      </w:r>
      <w:r>
        <w:rPr>
          <w:color w:val="000000"/>
        </w:rPr>
        <w:lastRenderedPageBreak/>
        <w:t>tämä enimmäisintensiteetti. Miten tuen myöntävät viranomaiset varmistavat, että tätä tuen enimmäisintensiteettiä ei ylitetä (aluetukisuuntaviivojen 99 kohta)?</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Jos alkuinvestointi liittyy Euroopan alueellisen yhteistyön hankkeeseen, selittäkää aluetukisuuntaviivojen 100 kohta huomioon ottaen miten hankkeeseen ja eri tuensaajiin sovellettava tuen enimmäisintensiteetti on määritetty.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w:t>
            </w:r>
          </w:p>
        </w:tc>
      </w:tr>
    </w:tbl>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Toimenpiteen sisämarkkinoille soveltuvuuden arviointi</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Aluekehityksen edesauttaminen, myönteiset vaikutukset ja valtion intervention tarve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Esittäkää seuraavat tiedot:</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Ilmoittakaa tuetun hankkeen tarkka sijainti (eli paikkakunta ja NUTS 2- tai 3-tason alue, johon paikkakunta kuuluu),</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antakaa yksityiskohtaiset tiedot sen aluetukiluokituksesta voimassa olevassa aluetukikartassa (eli sijaitseeko se alueella, jolle voidaan myöntää aluetukia 107 artiklan 3 kohdan a tai c alakohdan nojalla) ja</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ilmoittakaa suuriin yrityksiin sovellettava tuen enimmäisintensiteetti.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Selittäkää, miten tuki edesauttaa aluekehitystä ja mitä muita myönteisiä vaikutuksia tuella mahdollisesti on.</w:t>
      </w:r>
      <w:r>
        <w:rPr>
          <w:vertAlign w:val="superscript"/>
        </w:rPr>
        <w:footnoteReference w:id="12"/>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Jos ilmoitus koskee yksittäisen tuen hakemista ohjelmasta, selittäkää, miten hanke edistää ohjelman tavoitetta, ja esittäkää tarvittavat asiakirjat tämän tueksi (aluetukisuuntaviivojen 46 kohta).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Jos ilmoitus koskee tapauskohtaista tukea, selittäkää, miten hanke edistää kyseisen alueen kehitysstrategiaa, ja esittäkää tarvittavat asiakirjat tämän tueksi (aluetukisuuntaviivojen 53 kohta).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Selittäkää, miten vaatimus, jonka mukaan investointi on säilytettävä kyseisellä alueella vähintään viiden vuoden ajan (pk-yritysten tapauksessa kolmen vuoden ajan) investoinnin toteuttamisesta, täytetään (aluetukisuuntaviivojen 47 kohta). Esittäkää viittaukset oikeusperustan (esim. tuen myöntämistä koskevan sopimuksen) asiaa koskevaan kohtaan.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Jos tuki lasketaan palkkakustannusten perusteella, selittäkää, millä tavoin täytetään vaatimus, jonka mukaan työpaikat on luotava kolmen vuoden kuluessa investoinnin loppuunsaattamisesta ja investoinnin avulla luodut työpaikat on säilytettävä alueella viiden vuoden ajan (pk-yritysten tapauksessa kolmen vuoden ajan) siitä päivästä, jolloin työpaikka on täytetty ensimmäisen kerran (aluetukisuuntaviivojen 36 kohta). Esittäkää viittaukset oikeusperustan (esim. tuen myöntämistä koskevan sopimuksen) asiaa koskevaan kohtaan.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Esittäkää viittaus oikeusperustaan tai osoittakaa, että tuensaajan on rahoitettava vähintään 25 prosenttia tukikelpoisista kustannuksista joko omista varoistaan tai ulkopuolisella rahoituksella, johon ei liity julkista tukea.</w:t>
      </w:r>
      <w:r>
        <w:rPr>
          <w:vertAlign w:val="superscript"/>
        </w:rPr>
        <w:footnoteReference w:id="13"/>
      </w:r>
      <w:r>
        <w:rPr>
          <w:color w:val="000000"/>
        </w:rPr>
        <w:t xml:space="preserve"> (Aluetukisuuntaviivojen 48 kohta)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Oletteko tehnyt tai sitoudutteko tekemään investoinnista ympäristövaikutusten arvioinnin (aluetukisuuntaviivojen 49 kohta)?</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ab/>
        <w:t>Kyllä</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ab/>
        <w:t xml:space="preserve">Ei </w:t>
      </w:r>
    </w:p>
    <w:p w14:paraId="1BDCCEBD" w14:textId="77777777" w:rsidR="00B80DE0" w:rsidRPr="009830AE" w:rsidRDefault="00370A84" w:rsidP="00A80D24">
      <w:pPr>
        <w:pStyle w:val="Normal127"/>
      </w:pPr>
      <w:r>
        <w:t>Jos vastasitte ei, miksi hankkeesta ei tarvitse tehdä ympäristövaikutusten arviointia?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Tuen kannustava vaikutus</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Vahvistakaa, että ilmoitettuun yksittäiseen investointiin liittyvät työt aloitettiin vasta tukihakemuksen jättämisen jälkeen (aluetukisuuntaviivojen 62 kohta). Toimittakaa jäljennös tuensaajan tuen myöntävälle viranomaiselle jättämästä tukihakemuksesta ja asiakirjatodisteet töiden alkamispäivästä.</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Selittäkää tuen kannustava vaikutus kuvailemalla vaihtoehtoista skenaariota toisessa aluetukisuuntaviivojen 59 kohdan mukaisessa mahdollisessa skenaariossa.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lastRenderedPageBreak/>
              <w:t>…</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t>Jos alueellinen tuki myönnetään koheesiopolitiikan rahastoista tai maaseurahastosta a-alueilla investoinneille, jotka ovat tarpeen EU:n oikeudessa vahvistettujen normien saavuttamiseksi, selittäkää tämä (ja esittäkää tätä tukevat asiakirjat):</w:t>
      </w:r>
    </w:p>
    <w:p w14:paraId="4DC89A4E" w14:textId="77777777" w:rsidR="00B719F2" w:rsidRDefault="00B719F2" w:rsidP="00B719F2">
      <w:pPr>
        <w:pStyle w:val="Normal127Bullet63"/>
      </w:pPr>
      <w:r>
        <w:t>Mistä normista on kyse?</w:t>
      </w:r>
    </w:p>
    <w:p w14:paraId="23D487CA" w14:textId="77777777" w:rsidR="00B719F2" w:rsidRDefault="00B719F2" w:rsidP="00B719F2">
      <w:pPr>
        <w:pStyle w:val="Normal127Bullet63"/>
      </w:pPr>
      <w:r>
        <w:t xml:space="preserve">Miksi investointi on tarpeen normin saavuttamiseksi? </w:t>
      </w:r>
    </w:p>
    <w:p w14:paraId="2B6A27FA" w14:textId="77777777" w:rsidR="00B719F2" w:rsidRDefault="00B719F2" w:rsidP="00B719F2">
      <w:pPr>
        <w:pStyle w:val="Normal127Bullet63"/>
        <w:spacing w:after="120"/>
      </w:pPr>
      <w:r>
        <w:t>Miksi investointi kyseisellä alueella ei olisi tuensaajalle riittävän kannattava ilman tukea (aluetukisuuntaviivojen 61 kohta)?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Tukitoimenpiteen tarkoituksenmukaisuus</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Jos ilmoitus koskee tapauskohtaista tukea, osoittakaa miten kyseessä olevan alueen kehitys varmistetaan kyseisellä tuella paremmin kuin tukiohjelmasta myönnettävällä tuella tai muunlaisilla toimenpiteillä (aluetukisuuntaviivojen 83 kohta):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Jos tuki myönnetään muodossa, joka tarjoaa suoran rahallisen edun</w:t>
      </w:r>
      <w:r>
        <w:rPr>
          <w:color w:val="000000"/>
          <w:vertAlign w:val="superscript"/>
        </w:rPr>
        <w:footnoteReference w:id="14"/>
      </w:r>
      <w:r>
        <w:rPr>
          <w:color w:val="000000"/>
        </w:rPr>
        <w:t>, osoittakaa miksi muut mahdollisesti vähemmän vääristävät tukimuodot, kuten takaisinmaksettavat ennakot tai velka- tai pääomainstrumentteihin perustuvat tukimuodot</w:t>
      </w:r>
      <w:r>
        <w:rPr>
          <w:rStyle w:val="FootnoteReference"/>
          <w:color w:val="000000"/>
        </w:rPr>
        <w:footnoteReference w:id="15"/>
      </w:r>
      <w:r>
        <w:rPr>
          <w:color w:val="000000"/>
        </w:rPr>
        <w:t xml:space="preserve">, eivät ole tarkoituksenmukaisia (aluetukisuuntaviivojen 85 kohta):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Tukitoimenpiteen oikeasuhteisuus</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Toimittakaa skenaarion 1 mukaisissa tapauksissa seuraavat tiedot (tai viitatkaa esitetyn vaihtoehtoisen skenaarion asian kannalta merkityksellisiin osiin) (aluetukisuuntaviivojen 96 kohta):</w:t>
      </w:r>
    </w:p>
    <w:p w14:paraId="6CC248A9" w14:textId="77777777" w:rsidR="007D318F" w:rsidRPr="009830AE" w:rsidRDefault="000432CC" w:rsidP="007D318F">
      <w:pPr>
        <w:pStyle w:val="Normal127Bullet63"/>
        <w:spacing w:after="120"/>
      </w:pPr>
      <w:r>
        <w:t>laskelma investoinnin sisäisestä tuottoprosentista (IRR) tuen kanssa ja ilman tukea</w:t>
      </w:r>
      <w:r>
        <w:rPr>
          <w:rStyle w:val="FootnoteReference"/>
        </w:rPr>
        <w:footnoteReference w:id="16"/>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w:t>
            </w:r>
          </w:p>
        </w:tc>
      </w:tr>
    </w:tbl>
    <w:p w14:paraId="04FC812F" w14:textId="77777777" w:rsidR="007D318F" w:rsidRPr="009830AE" w:rsidRDefault="000432CC" w:rsidP="007D318F">
      <w:pPr>
        <w:pStyle w:val="Normal127Bullet63"/>
        <w:spacing w:before="120" w:after="120"/>
      </w:pPr>
      <w:r>
        <w:t xml:space="preserve">yritystä koskevat asian kannalta merkitykselliset viitearvot (esim. tavallinen tuotto, jonka tuensaaja vaatii samanlaisissa hankkeissa, yrityksen </w:t>
      </w:r>
      <w:r>
        <w:lastRenderedPageBreak/>
        <w:t>pääomakustannukset kokonaisuutena tarkasteltuna, alan yleiset tuottoprosentit):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selvitys siitä, miksi tuen määrä ei edellä esitetyn perusteella ylitä sitä, mikä on tarpeen, jotta hanke olisi riittävän kannattava: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Toimittakaa skenaarion 2 mukaisissa tapauksissa seuraavat tiedot (tai viitatkaa esitetyn vaihtoehtoisen skenaarion asian kannalta merkityksellisiin osiin) (aluetukisuuntaviivojen 97 kohta):</w:t>
      </w:r>
    </w:p>
    <w:p w14:paraId="552DA4A4" w14:textId="77777777" w:rsidR="00F52BA4" w:rsidRDefault="00AC3C96" w:rsidP="007D318F">
      <w:pPr>
        <w:pStyle w:val="Normal127Bullet63"/>
        <w:spacing w:before="120" w:after="120"/>
      </w:pPr>
      <w:r>
        <w:t>kohdealueella toteutetun investoinnin nettonykyarvon ja vaihtoehtoisessa sijaintipaikassa toteutetun investoinnin nettonykyarvon erotusta koskeva laskelma</w:t>
      </w:r>
      <w:r>
        <w:rPr>
          <w:rStyle w:val="FootnoteReference"/>
          <w:color w:val="000000"/>
        </w:rPr>
        <w:footnoteReference w:id="17"/>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w:t>
            </w:r>
          </w:p>
        </w:tc>
      </w:tr>
    </w:tbl>
    <w:p w14:paraId="0F4E039D" w14:textId="77777777" w:rsidR="001A3C89" w:rsidRDefault="001A3C89" w:rsidP="001A3C89">
      <w:pPr>
        <w:pStyle w:val="Normal127Bullet63"/>
        <w:spacing w:before="120" w:after="120"/>
      </w:pPr>
      <w:r>
        <w:t>kaikki muuttujat, joita käytetään edellä mainitussa laskelmassa (muun muassa ajanjakso, käytetty diskonttokorko jne.):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w:t>
            </w:r>
          </w:p>
        </w:tc>
      </w:tr>
    </w:tbl>
    <w:p w14:paraId="3D2F8E2C" w14:textId="77777777" w:rsidR="001A3C89" w:rsidRPr="009830AE" w:rsidRDefault="00AC3C96" w:rsidP="001A3C89">
      <w:pPr>
        <w:pStyle w:val="Normal127Bullet63"/>
        <w:spacing w:before="120" w:after="120"/>
      </w:pPr>
      <w:r>
        <w:t>selvitys siitä, miksi tuki ei edellä esitetyn perusteella ylitä kohdealueella toteutetun investoinnin nettonykyarvon ja vaihtoehtoisessa sijaintipaikassa toteutetun investoinnin nettonykyarvon erotusta: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Kilpailuun ja kauppaan kohdistuvien kohtuuttomien kielteisten vaikutusten välttäminen</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Merkityksellisten markkinoiden määritelmä:</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Esittäkää alla täsmennetyt tiedot kyseisten tuotemarkkinoiden (eli tuotteiden, joihin tuensaajan toiminnan muutos vaikuttaa) ja vaikutusalaan kuuluvien kilpailijoiden ja asiakkaiden/kuluttajien määrittämistä varten (aluetukisuuntaviivojen 124 ja 125 kohta):</w:t>
      </w:r>
    </w:p>
    <w:p w14:paraId="1B28B2AD" w14:textId="28C92B94" w:rsidR="000432CC" w:rsidRPr="009830AE" w:rsidRDefault="005D2380" w:rsidP="0015397B">
      <w:pPr>
        <w:pStyle w:val="Normal127Bullet63"/>
        <w:spacing w:before="120" w:after="120"/>
      </w:pPr>
      <w:r>
        <w:t>Ilmoittakaa kaikki tuotteet, joita tuettavassa laitoksessa valmistetaan investoinnin valmistumisen jälkeen, ja ilmoittakaa tarvittaessa NACE-koodi tai Prodcom-koodi tai palvelualan hankkeiden osalta CPA-luokitus.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w:t>
            </w:r>
          </w:p>
        </w:tc>
      </w:tr>
    </w:tbl>
    <w:p w14:paraId="5189ADD8" w14:textId="77777777" w:rsidR="000432CC" w:rsidRPr="009830AE" w:rsidRDefault="005D2380" w:rsidP="0015397B">
      <w:pPr>
        <w:pStyle w:val="Normal127Bullet63"/>
        <w:spacing w:before="120" w:after="120"/>
      </w:pPr>
      <w:r>
        <w:t xml:space="preserve">Ilmoittakaa, korvataanko hankkeeseen kuuluvilla tuotteilla tuensaajan tuottamia muita tuotteita (konsernitasolla). Mitä tuotteita niillä korvataan? Jos korvattavia tuotteita ei tuoteta hankkeen toteutuspaikassa, ilmoittakaa </w:t>
      </w:r>
      <w:r>
        <w:lastRenderedPageBreak/>
        <w:t xml:space="preserve">niiden tämänhetkinen tuotantopaikka. Antakaa kuvaus korvatun tuotannon ja kyseisen investoinnin välisestä yhteydestä ja korvaamisen aikataulusta: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w:t>
            </w:r>
          </w:p>
        </w:tc>
      </w:tr>
    </w:tbl>
    <w:p w14:paraId="6A650BD6" w14:textId="49B8F88F" w:rsidR="000432CC" w:rsidRPr="009830AE" w:rsidRDefault="005D2380" w:rsidP="0015397B">
      <w:pPr>
        <w:pStyle w:val="Normal127Bullet63"/>
        <w:spacing w:before="120" w:after="120"/>
      </w:pPr>
      <w:r>
        <w:t>Ilmoittakaa, mitä muita tuotteita voidaan tuottaa samalla uudella tuotantokoneistolla vähäisin lisäkustannuksin tai kokonaan ilman lisäkustannuksia (tuensaajan tuotantolaitteiden joustavuuden ansiosta).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w:t>
            </w:r>
          </w:p>
        </w:tc>
      </w:tr>
    </w:tbl>
    <w:p w14:paraId="1DBCBA6A" w14:textId="77777777" w:rsidR="000432CC" w:rsidRPr="009830AE" w:rsidRDefault="005D2380" w:rsidP="0015397B">
      <w:pPr>
        <w:pStyle w:val="Normal127Bullet63"/>
        <w:spacing w:before="120" w:after="120"/>
      </w:pPr>
      <w:r>
        <w:t>Selittäkää, koskeeko hanke välituotetta ja myydäänkö suuri osa tuotannosta muutoin kuin markkinoilla (markkinaehdoin). Jotta voitaisiin laskea markkinaosuus ja kapasiteetin lisäys tämän jakson loppuosassa, ilmoittakaa edellä esitetyn perusteella, onko kyseinen tuote hankkeen kohde vai tuotantoketjun myöhemmän vaiheen tuote.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w:t>
            </w:r>
          </w:p>
        </w:tc>
      </w:tr>
    </w:tbl>
    <w:p w14:paraId="05682CA8" w14:textId="5824585F" w:rsidR="000432CC" w:rsidRPr="009830AE" w:rsidRDefault="000432CC" w:rsidP="0015397B">
      <w:pPr>
        <w:pStyle w:val="Normal127Bullet63"/>
        <w:spacing w:before="120" w:after="120"/>
      </w:pPr>
      <w:r>
        <w:t>Ilmoittakaa merkitykselliset tuotemarkkinat. Merkityksellisiin tuotemarkkinoihin kuuluvat kyseinen tuote ja sen kysyntäpuolella korvaavat tuotteet, eli tuotteet, joita kuluttaja (tuotteiden ominaisuuksien, hintojen ja käyttötarkoituksen vuoksi) pitää korvaavina tuotteina, ja sen tarjontapuolella korvaavat tuotteet, eli tuotteet, joita tuottajat (tuensaajan ja sen kilpailijoiden tuotantolaitteiden joustavuuden ansiosta) pitävät korvaavina tuotteina. Ilmoittakaa mielestänne korvaavat kysyntä- ja tarjontapuolen tuotteet tässä tapauksessa. Esittäkää kantaanne tukevaa näyttöä, mahdollisuuksien mukaan riippumattomalta kolmannelta osapuolelta.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Esittäkää tietoa ja näyttöä tuensaajan merkityksellisistä maantieteellisistä markkinoista: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b/>
          <w:color w:val="000000"/>
          <w:u w:val="single"/>
        </w:rPr>
        <w:t>Skenaarion 1 tapauksissa</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Markkinavoima (aluetukisuuntaviivojen 108 ja 127 kohta):</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Esittäkää seuraavat tiedot tuensaajan markkina-asemasta (tietyn ajanjakson aikana ennen tuen saantia ja oletettu markkina-asema investoinnin toteuttamisen jälkeen) (aluetukisuuntaviivojen 133 kohta):</w:t>
      </w:r>
    </w:p>
    <w:p w14:paraId="529235B7" w14:textId="77777777" w:rsidR="000432CC" w:rsidRPr="009830AE" w:rsidRDefault="000432CC" w:rsidP="0015397B">
      <w:pPr>
        <w:pStyle w:val="Normal127Bullet63"/>
        <w:spacing w:after="120"/>
      </w:pPr>
      <w:r>
        <w:t>arvio tuensaajan kokonaismyynnistä (arvona ja määrinä) merkityksellisillä markkinoilla (konsernitasolla).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w:t>
            </w:r>
          </w:p>
        </w:tc>
      </w:tr>
    </w:tbl>
    <w:p w14:paraId="0AC1256A" w14:textId="77777777" w:rsidR="000432CC" w:rsidRPr="009830AE" w:rsidRDefault="000432CC" w:rsidP="0015397B">
      <w:pPr>
        <w:pStyle w:val="Normal127Bullet63"/>
        <w:spacing w:before="120" w:after="120"/>
      </w:pPr>
      <w:r>
        <w:t>arvio kaikkien tuottajien kokonaismyynnistä merkityksellisillä markkinoilla (arvona ja määrinä). Esittäkää mahdollisuuksien mukaan tilastotietoa julkisista ja/tai riippumattomista lähteistä.</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lastRenderedPageBreak/>
              <w:t>…</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Arvioikaa merkityksellisten markkinoiden rakennetta, muun muassa markkinoiden keskittymisastetta, markkinoille tulon mahdollisia esteitä, asiakkaiden neuvotteluvoimaa ja toiminnan laajentamisen tai markkinoilta poistumisen esteitä. </w:t>
      </w:r>
      <w:r>
        <w:t>Esittäkää kantaanne tukevaa näyttöä, mahdollisuuksien mukaan riippumattomalta kolmannelta osapuolelta.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Kapasiteetti (aluetukisuuntaviivojen 127 kohdan 1 alakohta):</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Esittäkää arvio investoinnilla luotavasta lisätuotantokapasiteetista (arvona ja määrinä):</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lastRenderedPageBreak/>
        <w:t>Kaikissa tapauksissa</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Selvät kielteiset vaikutukset:</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Esittäkää skenaarion 1 tapauksissa seuraavat tiedot ja niitä tukeva näyttö merkityksellisistä tuotemarkkinoista:</w:t>
      </w:r>
      <w:r>
        <w:rPr>
          <w:vertAlign w:val="superscript"/>
        </w:rPr>
        <w:footnoteReference w:id="19"/>
      </w:r>
    </w:p>
    <w:p w14:paraId="10046A66" w14:textId="77777777" w:rsidR="00BA3F74" w:rsidRDefault="00BA3F74" w:rsidP="00BA3F74">
      <w:pPr>
        <w:pStyle w:val="Normal127Bullet63"/>
      </w:pPr>
      <w:r>
        <w:t>Ovatko merkitykselliset markkinat pitkällä aikavälillä rakenteellisesti ja absoluuttisesti tarkasteltuna taantuvat (toisin sanoen niiden kasvu on negatiivinen) (aluetukisuuntaviivojen 130 kohta)?</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Ovatko merkitykselliset markkinat suhteellisesti taantuvat (toisin sanoen kasvu on positiivista mutta ei ylitä vertailukohteena olevaa kasvua) (aluetukisuuntaviivojen 130 kohta)?</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t>Skenaarion 2 tapauksissa ilmoittakaa, olisiko investointi ilman tukea sijoitettu alueelle, jolla aluetuen intensiteetti on suurempi tai sama kuin kohdealueella (aluetukisuuntaviivojen 117 kohta). Esittäkää näyttöä näkemyksenne tueksi.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Vahvistakaa, että tuensaaja on toimittanut lausunnon, jossa se vahvistaa, ettei se ole konsernitasolla lopettanut samaa tai samankaltaista toimintaa ETA-alueella hakupäivää edeltävien kahden vuoden aikana eikä aio lopettaa samaa tai samankaltaista toimintaa ETA-alueella kahden vuoden kuluessa investoinnin päätökseen saamisesta (aluetukisuuntaviivojen 118 kohta).</w:t>
      </w:r>
    </w:p>
    <w:p w14:paraId="6230E8D6" w14:textId="77777777" w:rsidR="00D1583F" w:rsidRPr="00F24AED" w:rsidRDefault="00D1583F" w:rsidP="00D1583F">
      <w:pPr>
        <w:pStyle w:val="Normal127"/>
        <w:tabs>
          <w:tab w:val="clear" w:pos="720"/>
          <w:tab w:val="clear" w:pos="1440"/>
          <w:tab w:val="left" w:pos="1418"/>
        </w:tabs>
        <w:ind w:left="1418"/>
      </w:pPr>
      <w:r>
        <w:t>Jos tällainen lausunto on saatu, liittäkää siitä ilmoitukseen jäljennös. Jos tällaista lausuntoa ei ole saatu, selittäkää miksi.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Jos tuensaaja on konsernitasolla lopettanut saman tai samankaltaisen toiminnan toisella sijaintipaikalla ETA-alueella tuen hakemista edeltävien kahden vuoden aikana tai se aikoo tehdä niin kahden vuoden kuluessa investoinnin päätökseen saamisesta ja se on siirtänyt kyseisen toiminnan kohdealueelle tai aikoo tehdä niin, selittäkää, miksi se katsoo, ettei tuen ja toiminnan siirtämisen välillä ole syy-yhteyttä (aluetukisuuntaviivojen 118 kohta).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Ilmoittakaa, johtaisiko valtiontuki suoraan merkittävään työpaikkojen menetykseen olemassa olevilla sijaintipaikoilla ETA-alueella. Jos valtiontuki </w:t>
      </w:r>
      <w:r>
        <w:rPr>
          <w:color w:val="000000"/>
        </w:rPr>
        <w:lastRenderedPageBreak/>
        <w:t>johtaisi merkittävään työpaikkojen menetykseen olemassa olevilla sijaintipaikoilla ETA-alueella, ilmoittakaa menetettyjen työpaikkojen määrä ja osuus suhteessa työpaikkojen kokonaismäärään kyseisissä sijaintipaikoissa.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Avoimuus </w:t>
            </w:r>
          </w:p>
        </w:tc>
      </w:tr>
    </w:tbl>
    <w:p w14:paraId="54B7A160" w14:textId="77777777" w:rsidR="00733697" w:rsidRPr="00562FB9" w:rsidRDefault="00733697" w:rsidP="0010307A">
      <w:pPr>
        <w:pStyle w:val="NumPar3"/>
        <w:numPr>
          <w:ilvl w:val="1"/>
          <w:numId w:val="2"/>
        </w:numPr>
        <w:spacing w:before="240"/>
        <w:ind w:left="709" w:hanging="709"/>
      </w:pPr>
      <w:r>
        <w:t xml:space="preserve">Vahvistakaa, että yksittäisen tuen myöntämispäätöksen tai hyväksytyn tukiohjelman ja sen täytäntöönpanosäännösten koko teksti tai linkki siihen sekä </w:t>
      </w:r>
      <w:bookmarkStart w:id="1" w:name="_Ref44059869"/>
      <w:r>
        <w:t>tiedot kustakin yli 100 000 euron suuruisesta yksittäisestä tuesta julkaistaan liitteessä VIII olevaa rakennetta käyttäen</w:t>
      </w:r>
      <w:bookmarkEnd w:id="1"/>
      <w:r>
        <w:t xml:space="preserve"> Euroopan komission valtiontukien avoimuusmoduulissa tai kattavalla valtiontukiverkkosivustolla kansallisella tai alueellisella tasolla</w:t>
      </w:r>
      <w:r>
        <w:rPr>
          <w:rStyle w:val="FootnoteReference"/>
        </w:rPr>
        <w:footnoteReference w:id="20"/>
      </w:r>
      <w:r>
        <w:t xml:space="preserve"> kuuden kuukauden kuluessa tuen myöntämispäivästä tai veroetuuksien muodossa myönnettävän tuen osalta vuoden kuluessa veroilmoituksen määräpäivästä.</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 xml:space="preserve"> </w:t>
      </w:r>
      <w:r>
        <w:tab/>
        <w:t>Kyllä</w:t>
      </w:r>
    </w:p>
    <w:p w14:paraId="331C5D5F" w14:textId="77777777" w:rsidR="00733697" w:rsidRDefault="00733697" w:rsidP="0010307A">
      <w:pPr>
        <w:pStyle w:val="NumPar3"/>
        <w:numPr>
          <w:ilvl w:val="1"/>
          <w:numId w:val="2"/>
        </w:numPr>
        <w:spacing w:before="240"/>
        <w:ind w:left="709" w:hanging="709"/>
      </w:pPr>
      <w:r>
        <w:t>Antakaa viittaukset oikeusperustan säännöksiin, joiden mukaan tuen myöntävän viranomaisen olisi julkaistava ilmoitetuista valtiontukiohjelmista vähintään seuraavat tiedot valtiontukien avoimuusmoduulissa tai kattavalla valtiontukiverkkosivustolla kansallisella tai alueellisella tasolla</w:t>
      </w:r>
      <w:r>
        <w:rPr>
          <w:rStyle w:val="FootnoteReference"/>
        </w:rPr>
        <w:footnoteReference w:id="21"/>
      </w:r>
      <w:r>
        <w:t>: ilmoitetun tukiohjelman ja sen täytäntöönpanosääntöjen koko teksti, tuen myöntävä viranomainen, yksittäiset tuensaajat, tuensaajakohtainen tuen määrä ja tuki-intensiteetti. (Aluetukisuuntaviivojen 136 kohta)</w:t>
      </w:r>
    </w:p>
    <w:p w14:paraId="6236CB31" w14:textId="77777777" w:rsidR="00733697" w:rsidRDefault="00733697" w:rsidP="0010307A">
      <w:pPr>
        <w:pStyle w:val="NumPar3"/>
        <w:spacing w:before="240"/>
        <w:ind w:left="709"/>
      </w:pPr>
      <w:r>
        <w:t>Jos tällaisia säännöksiä ei ole, perustelkaa miksi. Ilmoittakaa vastaavasti, jos tällaisia säännöksiä ei ole ilmoitetun ohjelman oikeusperustassa, vaan ne sisältyvät muihin lainsäädännöllisiin asiakirjoihin.</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w:t>
            </w:r>
          </w:p>
        </w:tc>
      </w:tr>
    </w:tbl>
    <w:p w14:paraId="77BBA1D0" w14:textId="77777777" w:rsidR="000C480F" w:rsidRDefault="00733697" w:rsidP="0010307A">
      <w:pPr>
        <w:pStyle w:val="NumPar3"/>
        <w:spacing w:before="240"/>
        <w:ind w:left="0"/>
      </w:pPr>
      <w:r>
        <w:t>Antakaa viittaukset oikeusperustan säännöksiin, joiden mukaan edellä mainitut tiedot on pidettävä rajoituksetta yleisön saatavilla vähintään kymmenen vuoden ajan tuen myöntämispäivästä (aluetukisuuntaviivojen 140 artikla).</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Raportointi ja seuranta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t xml:space="preserve">Vahvistakaa, että komissiolle toimitetaan vuosiraportit 13 päivänä heinäkuuta 2015 annetun neuvoston asetuksen (EU) N:o 2015/1589 ja Euroopan unionin toiminnasta </w:t>
      </w:r>
      <w:r>
        <w:lastRenderedPageBreak/>
        <w:t>tehdyn sopimuksen 108 artiklan soveltamista koskevista yksityiskohtaisista säännöistä annetun neuvoston asetuksen (EU) 2015/1589 täytäntöönpanosta 21 päivänä huhtikuuta 2004 annetun komission asetuksen (EY) N:o 794/2004 mukaisesti.</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sidR="00FC57B3">
        <w:rPr>
          <w:b/>
        </w:rPr>
      </w:r>
      <w:r w:rsidR="00FC57B3">
        <w:rPr>
          <w:b/>
        </w:rPr>
        <w:fldChar w:fldCharType="separate"/>
      </w:r>
      <w:r>
        <w:rPr>
          <w:b/>
        </w:rPr>
        <w:fldChar w:fldCharType="end"/>
      </w:r>
      <w:r>
        <w:rPr>
          <w:b/>
        </w:rPr>
        <w:t xml:space="preserve"> </w:t>
      </w:r>
      <w:r>
        <w:tab/>
        <w:t>Kyllä</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t>Vahvistakaa, että säilytätte vähintään kymmenen vuoden ajan tuen myöntämispäivästä yksityiskohtaiset asiakirjat, jotka sisältävät tiedot ja tositteet, jotka ovat tarpeen sen osoittamiseksi, että kaikki sisämarkkinoille soveltuvuuden edellytykset täyttyvät, ja että nämä asiakirjat toimitetaan pyynnöstä komissiolle.</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rsidR="00FC57B3">
        <w:fldChar w:fldCharType="separate"/>
      </w:r>
      <w:r>
        <w:fldChar w:fldCharType="end"/>
      </w:r>
      <w:r>
        <w:t xml:space="preserve"> </w:t>
      </w:r>
      <w:r>
        <w:tab/>
        <w:t>Kyllä</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 xml:space="preserve"> </w:t>
      </w:r>
      <w:r>
        <w:tab/>
        <w:t xml:space="preserve">Alueellisia valtiontukia koskevat suuntaviivat (EUVL C </w:t>
      </w:r>
      <w:r>
        <w:rPr>
          <w:rStyle w:val="Emphasis"/>
          <w:i w:val="0"/>
        </w:rPr>
        <w:t>153, 29.4.2021, s. 1)</w:t>
      </w:r>
      <w:r>
        <w:t>.</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 xml:space="preserve"> </w:t>
      </w:r>
      <w:r>
        <w:tab/>
        <w:t>’Samalla tai samankaltaisella toiminnalla’ tarkoitetaan toimintaa, joka kuuluu samaan tilastollisen toimialaluokituksen (NACE Rev. 2) nelinumerotasoon (nelinumeroinen tunnus).</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 xml:space="preserve"> </w:t>
      </w:r>
      <w:r>
        <w:tab/>
        <w:t>Kuten suuntaviivoissa valtiontuesta rahoitusalan ulkopuolisten vaikeuksissa olevien yritysten pelastamiseen ja rakenneuudistukseen määritellään (EUVL C 249, 31.7.2014, s. 1).</w:t>
      </w:r>
    </w:p>
  </w:footnote>
  <w:footnote w:id="4">
    <w:p w14:paraId="02CDBE48" w14:textId="03DA7EE2" w:rsidR="00823C32" w:rsidRPr="00527F99" w:rsidRDefault="00823C32" w:rsidP="00033078">
      <w:pPr>
        <w:pStyle w:val="FootnoteText"/>
        <w:tabs>
          <w:tab w:val="clear" w:pos="720"/>
          <w:tab w:val="left" w:pos="284"/>
        </w:tabs>
        <w:spacing w:after="120"/>
        <w:ind w:left="284" w:hanging="284"/>
      </w:pPr>
      <w:r>
        <w:rPr>
          <w:rStyle w:val="FootnoteReference"/>
        </w:rPr>
        <w:footnoteRef/>
      </w:r>
      <w:r w:rsidR="00FC57B3">
        <w:t xml:space="preserve"> </w:t>
      </w:r>
      <w:r w:rsidR="00FC57B3">
        <w:tab/>
        <w:t>”</w:t>
      </w:r>
      <w:r>
        <w:t>Pk-yrityksillä</w:t>
      </w:r>
      <w:r w:rsidR="00FC57B3">
        <w:t>”</w:t>
      </w:r>
      <w:r>
        <w:t xml:space="preserve"> tarkoitetaan yrityksiä, jotka täyttävät mikroyritysten sekä pienten ja keskisuurten yritysten määritelmästä 6 päivänä toukokuuta 2003 annetussa komission suosituksessa (EUVL L 124, 20.5.2003, s. 36) vahvistetut edellytykset.</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 xml:space="preserve"> </w:t>
      </w:r>
      <w:r>
        <w:tab/>
        <w:t>Pelkkää yrityksen osakkeiden hankkimista ei katsota alkuinvestoinniksi.</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 xml:space="preserve"> </w:t>
      </w:r>
      <w:r>
        <w:tab/>
        <w:t xml:space="preserve">Edellytykset ovat seuraavat: 1) tuki koskee alkuinvestointia alueella, joka on määritetty oikeudenmukaisen siirtymän rahaston osarahoittamaksi c-alueeksi, jonka BKT asukasta kohti on alle 100 prosenttia EU27-alueen keskiarvosta, 2) investointi ja tuensaaja yksilöidään komission hyväksymässä kyseisen jäsenvaltion alueellisessa oikeudenmukaista siirtymää koskevassa suunnitelmassa ja 3) investointiin myönnettävä valtiontuki katetaan oikeudenmukaisen siirtymän rahastosta sallittuun enimmäismäärään asti.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 xml:space="preserve"> </w:t>
      </w:r>
      <w:r>
        <w:tab/>
        <w:t>Pelkkää yrityksen osakkeiden hankkimista ei katsota alkuinvestoinniksi, jolla luodaan uutta taloudellista toimintaa.</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 xml:space="preserve"> </w:t>
      </w:r>
      <w:r>
        <w:tab/>
        <w:t>Paitsi kun on kyse pk-yrityksistä tai yritysostosta.</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 xml:space="preserve"> </w:t>
      </w:r>
      <w:r>
        <w:tab/>
        <w:t>Aluetukisuuntaviivojen 33 kohdan mukaan suurten yritysten tapauksessa aineettoman omaisuuden kustannuksista tukikelpoisiksi katsotaan ainoastaan enintään 50 prosenttia alkuinvestoinnin tukikelpoisista kokonaiskustannuksista. Pk-yritysten tapauksessa tukikelpoisia on 100 prosenttia aineettoman omaisuuden kustannuksista.</w:t>
      </w:r>
      <w:r>
        <w:tab/>
        <w:t>Aluetukisuuntaviivojen 34 kohdan mukaan aineettoman omaisuuden, joka voidaan ottaa huomioon laskettaessa investointikustannuksia, on pysyttävä kyseisellä alueella eikä sitä saa siirtää muille alueille. Tässä tarkoituksessa aineettoman omaisuuden on täytettävä seuraavat ehdot:</w:t>
      </w:r>
    </w:p>
    <w:p w14:paraId="701B08D5" w14:textId="77777777" w:rsidR="00823C32" w:rsidRDefault="00823C32" w:rsidP="0010307A">
      <w:pPr>
        <w:pStyle w:val="FootnoteText"/>
        <w:numPr>
          <w:ilvl w:val="0"/>
          <w:numId w:val="38"/>
        </w:numPr>
        <w:tabs>
          <w:tab w:val="clear" w:pos="720"/>
          <w:tab w:val="left" w:pos="709"/>
        </w:tabs>
        <w:ind w:left="709" w:hanging="425"/>
      </w:pPr>
      <w:r>
        <w:t>sitä on käytettävä ainoastaan tukea saavassa laitoksessa;</w:t>
      </w:r>
    </w:p>
    <w:p w14:paraId="582ED1B5" w14:textId="77777777" w:rsidR="00823C32" w:rsidRDefault="00823C32" w:rsidP="0010307A">
      <w:pPr>
        <w:pStyle w:val="FootnoteText"/>
        <w:numPr>
          <w:ilvl w:val="0"/>
          <w:numId w:val="38"/>
        </w:numPr>
        <w:tabs>
          <w:tab w:val="clear" w:pos="720"/>
          <w:tab w:val="left" w:pos="709"/>
        </w:tabs>
        <w:ind w:left="709" w:hanging="425"/>
      </w:pPr>
      <w:r>
        <w:t>sen on oltava poistokelpoista;</w:t>
      </w:r>
    </w:p>
    <w:p w14:paraId="172FF030" w14:textId="77777777" w:rsidR="00823C32" w:rsidRDefault="00823C32" w:rsidP="0010307A">
      <w:pPr>
        <w:pStyle w:val="FootnoteText"/>
        <w:numPr>
          <w:ilvl w:val="0"/>
          <w:numId w:val="38"/>
        </w:numPr>
        <w:tabs>
          <w:tab w:val="clear" w:pos="720"/>
          <w:tab w:val="left" w:pos="709"/>
        </w:tabs>
        <w:ind w:left="709" w:hanging="425"/>
      </w:pPr>
      <w:r>
        <w:t>se on ostettava markkinaehdoin kolmansilta osapuolilta, jotka ovat ostajasta riippumattomia;</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sen on sisällyttävä tuensaajayrityksen varoihin ja liityttävä hankkeeseen, jota varten tukea myönnetään, vähintään viiden vuoden ajan (kolmen vuoden ajan, kun kyseessä on pk-yritys).</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t>Komission tiedote tämänhetkisistä valtiontuen takaisinperintäkoroista sekä viite- ja diskonttokoroista 1. toukokuuta 2021 lähtien (Julkaistu 21. huhtikuuta 2004 annetun komission asetuksen (EY) N:o 794/2004 (EUVL L 140, 30.4.2004, s. 1)) 10 artiklan mukaisesti) (2021/C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t>Tukimäärä(t) ja tukikelpoiset kustannukset on ilmoitettava sekä nimellisenä että diskontattuna arvona.</w:t>
      </w:r>
    </w:p>
  </w:footnote>
  <w:footnote w:id="12">
    <w:p w14:paraId="087D83C0" w14:textId="20B9298C" w:rsidR="00823C32" w:rsidRPr="00074190" w:rsidRDefault="00823C32" w:rsidP="00033078">
      <w:pPr>
        <w:pStyle w:val="FootnoteText"/>
        <w:tabs>
          <w:tab w:val="clear" w:pos="720"/>
          <w:tab w:val="left" w:pos="284"/>
        </w:tabs>
        <w:spacing w:after="120"/>
        <w:ind w:left="284" w:hanging="284"/>
      </w:pPr>
      <w:r>
        <w:rPr>
          <w:rStyle w:val="FootnoteReference"/>
        </w:rPr>
        <w:footnoteRef/>
      </w:r>
      <w:r>
        <w:t xml:space="preserve"> </w:t>
      </w:r>
      <w:r>
        <w:tab/>
        <w:t>Tässä voidaan esimerkiksi viitata aluetukisuuntaviivojen 50 kohdassa lueteltuihin kriteereihin ja/tai tuensaajan liiketoimintasuunnitelmaan.</w:t>
      </w:r>
      <w:r>
        <w:rPr>
          <w:color w:val="000000"/>
        </w:rPr>
        <w:t xml:space="preserve"> Odotetut myönteiset vaikutukset voivat liittyä esimerkiksi luotujen tai säilytettyjen työpaikkojen määrään, TKI-toimintaan, koulutukseen, klusterin perustamiseen ja talouden digitaalisen ja vihreän siirtymän mahdolliseen edistämiseen (mukaan lukien tarvittaessa tieto siitä, onko investo</w:t>
      </w:r>
      <w:r w:rsidR="00FC57B3">
        <w:rPr>
          <w:color w:val="000000"/>
        </w:rPr>
        <w:t>i</w:t>
      </w:r>
      <w:bookmarkStart w:id="0" w:name="_GoBack"/>
      <w:bookmarkEnd w:id="0"/>
      <w:r>
        <w:rPr>
          <w:color w:val="000000"/>
        </w:rPr>
        <w:t>nti EU:n luokitusjärjestelmäasetuksessa 2020/852 tarkoitetulla tavalla ympäristön kannalta kestävä).</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t>Tätä kysymystä ei sovelleta silloin, kun on kyse korkotukilainoista, julkisista pääomalainoista tai osakkuuksista, jotka eivät ole markkinataloussijoittajaa koskevan periaatteen mukaisia, valtiontakauksista, joihin sisältyy tukea, tai julkisesta tuesta, jota myönnetään vähämerkityksistä tukea koskevan säännön perusteella.</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 xml:space="preserve"> </w:t>
      </w:r>
      <w:r>
        <w:tab/>
        <w:t>Esimerkiksi suorat avustukset, vapautukset veroista, sosiaaliturvamaksuista tai muista pakollisista maksuista tai niiden alennukset tai maa-alueiden, tavaroiden tai palvelujen tarjoaminen edulliseen hintaan.</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 xml:space="preserve"> </w:t>
      </w:r>
      <w:r>
        <w:tab/>
        <w:t>Esimerkiksi halpakorkoiset lainat tai korkotuet, valtion takaukset tai edullisin ehdoin toteutettu omistusosuuden hankinta tai muunlainen pääomasijoitus.</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t>Sisäisen tuottoprosentin laskennassa käytettävän ajanjakson olisi vastattava alalla samanlaisissa hankkeissa tavallisesti käytettäviä ajanjaksoja.</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t>Kaikki asiaankuuluvat kustannukset ja hyödyt on otettava huomioon, mukaan lukien hallinto- ja kuljetuskustannukset, koulutustuen ulkopuolelle jäävät koulutuskustannukset sekä palkkaerot. Jos vaihtoehtoinen sijaintipaikka on ETA-alueella, kyseisen toisen sijaintipaikan tukia ei kuitenkaan voida ottaa huomioon.</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 xml:space="preserve"> </w:t>
      </w:r>
      <w:r>
        <w:tab/>
        <w:t>Esittäkää nämä tiedot myös skenaarion 2 tilanteista, joissa investointi tehtäisiin vaihtoehtoisessa skenaariossa eri maantieteellisillä markkinoilla.</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 xml:space="preserve"> </w:t>
      </w:r>
      <w:r>
        <w:tab/>
        <w:t>Markkinoiden tehottomuutta mitataan tyypillisesti ottamalla vertailukohdaksi ETA-alueen BKT kolmen vuoden ajalta ennen hankkeen aloittamista (vertailuarvo). Se voidaan määrittää myös seuraavien 3–5 vuoden ennustetun kasvun perusteella. Tähän liittyviä indikaattoreita voivat olla kyseisten markkinoiden ennustettu kasvu, odotettu kapasiteetin käyttöaste ja kapasiteetin lisäyksen todennäköinen vaikutus kilpailijoihin hintojen ja voittomarginaalien välityksellä.</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t>Siten kuin ne on määritelty tiettyjen tukimuotojen toteamisesta sisämarkkinoille soveltuviksi perussopimuksen 107 ja 108 artiklan mukaisesti 17 päivänä kesäkuuta 2014 annetun komission asetuksen (EU) N:o 651/2014 liitteessä III.</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t>Siten kuin ne on määritelty tiettyjen tukimuotojen toteamisesta sisämarkkinoille soveltuviksi perussopimuksen 107 ja 108 artiklan mukaisesti 17 päivänä kesäkuuta 2014 annetun komission asetuksen (EU) N:o 651/2014 liitteessä III.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57B3"/>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i-FI"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fi-FI"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fi-FI"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fi-FI"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A7CC4-A54F-45E0-B7E5-73119ED8B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2788</Words>
  <Characters>23338</Characters>
  <Application>Microsoft Office Word</Application>
  <DocSecurity>0</DocSecurity>
  <Lines>897</Lines>
  <Paragraphs>330</Paragraphs>
  <ScaleCrop>false</ScaleCrop>
  <Company/>
  <LinksUpToDate>false</LinksUpToDate>
  <CharactersWithSpaces>25796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2023-01-27T08:50:00Z</dcterms:modified>
</cp:coreProperties>
</file>