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5ABB1" w14:textId="638547A1" w:rsidR="006C46B1" w:rsidRPr="004C6AE4" w:rsidRDefault="006C46B1">
      <w:pPr>
        <w:rPr>
          <w:rFonts w:cs="Arial"/>
          <w:color w:val="404040"/>
        </w:rPr>
      </w:pPr>
      <w:proofErr w:type="spellStart"/>
      <w:r w:rsidRPr="004C6AE4">
        <w:rPr>
          <w:rFonts w:cs="Arial"/>
          <w:color w:val="404040"/>
        </w:rPr>
        <w:t>European</w:t>
      </w:r>
      <w:proofErr w:type="spellEnd"/>
      <w:r w:rsidRPr="004C6AE4">
        <w:rPr>
          <w:rFonts w:cs="Arial"/>
          <w:color w:val="404040"/>
        </w:rPr>
        <w:t xml:space="preserve"> </w:t>
      </w:r>
      <w:proofErr w:type="spellStart"/>
      <w:r w:rsidRPr="004C6AE4">
        <w:rPr>
          <w:rFonts w:cs="Arial"/>
          <w:color w:val="404040"/>
        </w:rPr>
        <w:t>Commission</w:t>
      </w:r>
      <w:proofErr w:type="spellEnd"/>
      <w:r w:rsidRPr="004C6AE4">
        <w:rPr>
          <w:rFonts w:cs="Arial"/>
          <w:color w:val="404040"/>
        </w:rPr>
        <w:br/>
      </w:r>
      <w:proofErr w:type="spellStart"/>
      <w:r w:rsidRPr="004C6AE4">
        <w:rPr>
          <w:rFonts w:cs="Arial"/>
          <w:color w:val="404040"/>
        </w:rPr>
        <w:t>Directorate</w:t>
      </w:r>
      <w:proofErr w:type="spellEnd"/>
      <w:r w:rsidRPr="004C6AE4">
        <w:rPr>
          <w:rFonts w:cs="Arial"/>
          <w:color w:val="404040"/>
        </w:rPr>
        <w:t xml:space="preserve">-General </w:t>
      </w:r>
      <w:proofErr w:type="spellStart"/>
      <w:r w:rsidRPr="004C6AE4">
        <w:rPr>
          <w:rFonts w:cs="Arial"/>
          <w:color w:val="404040"/>
        </w:rPr>
        <w:t>for</w:t>
      </w:r>
      <w:proofErr w:type="spellEnd"/>
      <w:r w:rsidRPr="004C6AE4">
        <w:rPr>
          <w:rFonts w:cs="Arial"/>
          <w:color w:val="404040"/>
        </w:rPr>
        <w:t xml:space="preserve"> </w:t>
      </w:r>
      <w:proofErr w:type="spellStart"/>
      <w:r w:rsidRPr="004C6AE4">
        <w:rPr>
          <w:rFonts w:cs="Arial"/>
          <w:color w:val="404040"/>
        </w:rPr>
        <w:t>Competition</w:t>
      </w:r>
      <w:proofErr w:type="spellEnd"/>
      <w:r w:rsidRPr="004C6AE4">
        <w:rPr>
          <w:rFonts w:cs="Arial"/>
          <w:color w:val="404040"/>
        </w:rPr>
        <w:br/>
      </w:r>
      <w:proofErr w:type="spellStart"/>
      <w:r w:rsidRPr="004C6AE4">
        <w:rPr>
          <w:rFonts w:cs="Arial"/>
          <w:color w:val="404040"/>
        </w:rPr>
        <w:t>State</w:t>
      </w:r>
      <w:proofErr w:type="spellEnd"/>
      <w:r w:rsidRPr="004C6AE4">
        <w:rPr>
          <w:rFonts w:cs="Arial"/>
          <w:color w:val="404040"/>
        </w:rPr>
        <w:t xml:space="preserve"> </w:t>
      </w:r>
      <w:proofErr w:type="spellStart"/>
      <w:r w:rsidRPr="004C6AE4">
        <w:rPr>
          <w:rFonts w:cs="Arial"/>
          <w:color w:val="404040"/>
        </w:rPr>
        <w:t>Aid</w:t>
      </w:r>
      <w:proofErr w:type="spellEnd"/>
      <w:r w:rsidRPr="004C6AE4">
        <w:rPr>
          <w:rFonts w:cs="Arial"/>
          <w:color w:val="404040"/>
        </w:rPr>
        <w:t xml:space="preserve"> </w:t>
      </w:r>
      <w:proofErr w:type="spellStart"/>
      <w:r w:rsidRPr="004C6AE4">
        <w:rPr>
          <w:rFonts w:cs="Arial"/>
          <w:color w:val="404040"/>
        </w:rPr>
        <w:t>Registry</w:t>
      </w:r>
      <w:proofErr w:type="spellEnd"/>
      <w:r w:rsidRPr="004C6AE4">
        <w:rPr>
          <w:rFonts w:cs="Arial"/>
          <w:color w:val="404040"/>
        </w:rPr>
        <w:br/>
        <w:t xml:space="preserve">1049 </w:t>
      </w:r>
      <w:proofErr w:type="spellStart"/>
      <w:r w:rsidRPr="004C6AE4">
        <w:rPr>
          <w:rFonts w:cs="Arial"/>
          <w:color w:val="404040"/>
        </w:rPr>
        <w:t>Bruxelles</w:t>
      </w:r>
      <w:proofErr w:type="spellEnd"/>
      <w:r w:rsidRPr="004C6AE4">
        <w:rPr>
          <w:rFonts w:cs="Arial"/>
          <w:color w:val="404040"/>
        </w:rPr>
        <w:t>/</w:t>
      </w:r>
      <w:proofErr w:type="spellStart"/>
      <w:r w:rsidRPr="004C6AE4">
        <w:rPr>
          <w:rFonts w:cs="Arial"/>
          <w:color w:val="404040"/>
        </w:rPr>
        <w:t>Brussel</w:t>
      </w:r>
      <w:proofErr w:type="spellEnd"/>
      <w:r w:rsidRPr="004C6AE4">
        <w:rPr>
          <w:rFonts w:cs="Arial"/>
          <w:color w:val="404040"/>
        </w:rPr>
        <w:br/>
      </w:r>
      <w:proofErr w:type="spellStart"/>
      <w:r w:rsidRPr="004C6AE4">
        <w:rPr>
          <w:rFonts w:cs="Arial"/>
          <w:color w:val="404040"/>
        </w:rPr>
        <w:t>Belgique</w:t>
      </w:r>
      <w:proofErr w:type="spellEnd"/>
      <w:r w:rsidRPr="004C6AE4">
        <w:rPr>
          <w:rFonts w:cs="Arial"/>
          <w:color w:val="404040"/>
        </w:rPr>
        <w:t>/</w:t>
      </w:r>
      <w:proofErr w:type="spellStart"/>
      <w:r w:rsidRPr="004C6AE4">
        <w:rPr>
          <w:rFonts w:cs="Arial"/>
          <w:color w:val="404040"/>
        </w:rPr>
        <w:t>België</w:t>
      </w:r>
      <w:proofErr w:type="spellEnd"/>
      <w:r w:rsidRPr="004C6AE4">
        <w:rPr>
          <w:rFonts w:cs="Arial"/>
          <w:color w:val="404040"/>
        </w:rPr>
        <w:br/>
        <w:t>Ref.: HT.5371</w:t>
      </w:r>
    </w:p>
    <w:p w14:paraId="21A0C5DA" w14:textId="77777777" w:rsidR="00DE05D7" w:rsidRPr="004C6AE4" w:rsidRDefault="00DE05D7">
      <w:pPr>
        <w:rPr>
          <w:rFonts w:cs="Arial"/>
          <w:color w:val="404040"/>
        </w:rPr>
      </w:pPr>
    </w:p>
    <w:p w14:paraId="0B19C807" w14:textId="7452A56A" w:rsidR="006C46B1" w:rsidRPr="004C6AE4" w:rsidRDefault="00DE05D7">
      <w:pPr>
        <w:rPr>
          <w:rFonts w:cs="Arial"/>
          <w:color w:val="404040"/>
        </w:rPr>
      </w:pPr>
      <w:r w:rsidRPr="004C6AE4">
        <w:rPr>
          <w:rFonts w:cs="Arial"/>
          <w:color w:val="404040"/>
        </w:rPr>
        <w:t>Ljubljana, 2.8.2021</w:t>
      </w:r>
    </w:p>
    <w:p w14:paraId="292B11B2" w14:textId="77777777" w:rsidR="00DE05D7" w:rsidRPr="004C6AE4" w:rsidRDefault="00DE05D7">
      <w:pPr>
        <w:rPr>
          <w:rFonts w:cs="Arial"/>
          <w:color w:val="404040"/>
        </w:rPr>
      </w:pPr>
    </w:p>
    <w:p w14:paraId="1C7EEBAE" w14:textId="43D0BAC5" w:rsidR="006C46B1" w:rsidRPr="00046E1B" w:rsidRDefault="00DE05D7">
      <w:pPr>
        <w:rPr>
          <w:rFonts w:cs="Arial"/>
          <w:b/>
          <w:bCs/>
          <w:color w:val="404040"/>
        </w:rPr>
      </w:pPr>
      <w:r w:rsidRPr="004C6AE4">
        <w:rPr>
          <w:rFonts w:cs="Arial"/>
          <w:color w:val="404040"/>
        </w:rPr>
        <w:t>Zadeva</w:t>
      </w:r>
      <w:r w:rsidR="006C46B1" w:rsidRPr="004C6AE4">
        <w:rPr>
          <w:rFonts w:cs="Arial"/>
          <w:color w:val="404040"/>
        </w:rPr>
        <w:t xml:space="preserve">: </w:t>
      </w:r>
      <w:r w:rsidR="006C46B1" w:rsidRPr="00046E1B">
        <w:rPr>
          <w:rFonts w:cs="Arial"/>
          <w:b/>
          <w:bCs/>
          <w:color w:val="404040"/>
        </w:rPr>
        <w:t>Pripombe na Smernice o državni pomoči za podnebje, varstvo okolja in energijo iz leta 2022</w:t>
      </w:r>
    </w:p>
    <w:p w14:paraId="63082300" w14:textId="1E94A32D" w:rsidR="006C46B1" w:rsidRPr="004C6AE4" w:rsidRDefault="006C46B1">
      <w:pPr>
        <w:rPr>
          <w:rFonts w:cs="Arial"/>
          <w:color w:val="404040"/>
        </w:rPr>
      </w:pPr>
      <w:r w:rsidRPr="004C6AE4">
        <w:rPr>
          <w:rFonts w:cs="Arial"/>
          <w:color w:val="404040"/>
        </w:rPr>
        <w:t xml:space="preserve">Posredujemo vam stališče Gospodarske zbornice Slovenije, ki smo ga oblikovali v skupini članov energetsko intenzivnih podjetij. </w:t>
      </w:r>
      <w:r w:rsidR="00DE05D7" w:rsidRPr="004C6AE4">
        <w:rPr>
          <w:rFonts w:cs="Arial"/>
          <w:color w:val="404040"/>
        </w:rPr>
        <w:t>Generalno p</w:t>
      </w:r>
      <w:r w:rsidRPr="004C6AE4">
        <w:rPr>
          <w:rFonts w:cs="Arial"/>
          <w:color w:val="404040"/>
        </w:rPr>
        <w:t xml:space="preserve">ozdravljamo </w:t>
      </w:r>
      <w:r w:rsidR="00DE05D7" w:rsidRPr="004C6AE4">
        <w:rPr>
          <w:rFonts w:cs="Arial"/>
          <w:color w:val="404040"/>
        </w:rPr>
        <w:t>pripravo</w:t>
      </w:r>
      <w:r w:rsidRPr="004C6AE4">
        <w:rPr>
          <w:rFonts w:cs="Arial"/>
          <w:color w:val="404040"/>
        </w:rPr>
        <w:t xml:space="preserve"> omenjenih smernic za državne pomoči kot nepogrešljivega orodja za zagotavljanje konkurenčnosti evropskega gospodarstva tudi v prihodnje.</w:t>
      </w:r>
    </w:p>
    <w:p w14:paraId="6768C865" w14:textId="14EF4E38" w:rsidR="00456EDC" w:rsidRPr="004C6AE4" w:rsidRDefault="00456EDC">
      <w:pPr>
        <w:rPr>
          <w:rFonts w:cs="Arial"/>
          <w:color w:val="404040"/>
        </w:rPr>
      </w:pPr>
      <w:r w:rsidRPr="004C6AE4">
        <w:rPr>
          <w:rFonts w:cs="Arial"/>
          <w:color w:val="404040"/>
        </w:rPr>
        <w:t>Pretekle izkušnje slovenskega gospodarstva so, da so tovrstne smernice nepogrešljiv mehanizem za zagotavljanje konkurenčnosti, obenem pa je izkušnja v Sloveniji žal takšna, da do uveljavitve shem državne pomoči prihaja z večjim časovnim zamikom kot v državah članicah z višjim BDP-jem. To včasih sproža veliko negotovost v podjetjih glede nadaljnjega poslovanja in razvoja ter v vmesnem obdobju manj konkurenčne pogoje poslovanja.</w:t>
      </w:r>
    </w:p>
    <w:p w14:paraId="6062A4D1" w14:textId="77777777" w:rsidR="00CD3BE7" w:rsidRPr="00057E15" w:rsidRDefault="00456EDC">
      <w:pPr>
        <w:rPr>
          <w:rFonts w:cs="Arial"/>
          <w:b/>
          <w:bCs/>
          <w:color w:val="404040"/>
        </w:rPr>
      </w:pPr>
      <w:r w:rsidRPr="00057E15">
        <w:rPr>
          <w:rFonts w:cs="Arial"/>
          <w:b/>
          <w:bCs/>
          <w:color w:val="404040"/>
        </w:rPr>
        <w:t xml:space="preserve">Naš predlog je, da </w:t>
      </w:r>
      <w:r w:rsidRPr="00057E15">
        <w:rPr>
          <w:rFonts w:cs="Arial"/>
          <w:b/>
          <w:bCs/>
          <w:color w:val="404040"/>
          <w:u w:val="single"/>
        </w:rPr>
        <w:t xml:space="preserve">se vzpostavi obveza </w:t>
      </w:r>
      <w:r w:rsidRPr="00057E15">
        <w:rPr>
          <w:rFonts w:cs="Arial"/>
          <w:b/>
          <w:bCs/>
          <w:color w:val="404040"/>
        </w:rPr>
        <w:t>za uveljavitev prepoznanih, potrebnih shem državnih pomoči za podnebje, varstvo okolja in energijo</w:t>
      </w:r>
      <w:r w:rsidR="00CD3BE7" w:rsidRPr="00057E15">
        <w:rPr>
          <w:rFonts w:cs="Arial"/>
          <w:b/>
          <w:bCs/>
          <w:color w:val="404040"/>
          <w:u w:val="single"/>
        </w:rPr>
        <w:t xml:space="preserve"> </w:t>
      </w:r>
      <w:r w:rsidR="00CD3BE7" w:rsidRPr="00057E15">
        <w:rPr>
          <w:rFonts w:cs="Arial"/>
          <w:b/>
          <w:bCs/>
          <w:color w:val="404040"/>
          <w:u w:val="single"/>
        </w:rPr>
        <w:t>v vseh državah članicah</w:t>
      </w:r>
      <w:r w:rsidR="00CD3BE7" w:rsidRPr="00057E15">
        <w:rPr>
          <w:rFonts w:cs="Arial"/>
          <w:b/>
          <w:bCs/>
          <w:color w:val="404040"/>
        </w:rPr>
        <w:t xml:space="preserve"> </w:t>
      </w:r>
      <w:r w:rsidR="00CD3BE7" w:rsidRPr="00057E15">
        <w:rPr>
          <w:rFonts w:cs="Arial"/>
          <w:b/>
          <w:bCs/>
          <w:color w:val="404040"/>
          <w:u w:val="single"/>
        </w:rPr>
        <w:t>istočasno</w:t>
      </w:r>
      <w:r w:rsidRPr="00057E15">
        <w:rPr>
          <w:rFonts w:cs="Arial"/>
          <w:b/>
          <w:bCs/>
          <w:color w:val="404040"/>
        </w:rPr>
        <w:t xml:space="preserve">. </w:t>
      </w:r>
    </w:p>
    <w:p w14:paraId="07790E74" w14:textId="6E7221B7" w:rsidR="00C60D66" w:rsidRDefault="00C60D66">
      <w:pPr>
        <w:rPr>
          <w:rFonts w:cs="Arial"/>
          <w:color w:val="404040"/>
        </w:rPr>
      </w:pPr>
      <w:r w:rsidRPr="004C6AE4">
        <w:rPr>
          <w:rFonts w:cs="Arial"/>
          <w:color w:val="404040"/>
        </w:rPr>
        <w:t xml:space="preserve">S tem </w:t>
      </w:r>
      <w:r w:rsidR="00CD3BE7" w:rsidRPr="004C6AE4">
        <w:rPr>
          <w:rFonts w:cs="Arial"/>
          <w:color w:val="404040"/>
        </w:rPr>
        <w:t>zagotovimo konkurenčne pogoje vsem podjetjem v določenih dejavnostih znotraj Evropske unije konkurenčne pogoje poslovanja, nadalje pa bi tako</w:t>
      </w:r>
      <w:r w:rsidRPr="004C6AE4">
        <w:rPr>
          <w:rFonts w:cs="Arial"/>
          <w:color w:val="404040"/>
        </w:rPr>
        <w:t xml:space="preserve"> lažje in učinkoviteje zagotovili </w:t>
      </w:r>
      <w:r w:rsidRPr="004C6AE4">
        <w:rPr>
          <w:rFonts w:cs="Arial"/>
          <w:color w:val="404040"/>
          <w:u w:val="single"/>
        </w:rPr>
        <w:t>samozadostnost Evropske unije</w:t>
      </w:r>
      <w:r w:rsidRPr="004C6AE4">
        <w:rPr>
          <w:rFonts w:cs="Arial"/>
          <w:color w:val="404040"/>
        </w:rPr>
        <w:t xml:space="preserve"> in držav članic na področjih, ki izhajajo iz evropskega zelenega dogovora.</w:t>
      </w:r>
      <w:r w:rsidR="00CD3BE7" w:rsidRPr="004C6AE4">
        <w:rPr>
          <w:rFonts w:cs="Arial"/>
          <w:color w:val="404040"/>
        </w:rPr>
        <w:t xml:space="preserve"> </w:t>
      </w:r>
    </w:p>
    <w:p w14:paraId="2B845BE6" w14:textId="77777777" w:rsidR="00F37EDA" w:rsidRPr="003A3154" w:rsidRDefault="00F37EDA">
      <w:pPr>
        <w:rPr>
          <w:rFonts w:cs="Arial"/>
          <w:color w:val="404040"/>
          <w:sz w:val="2"/>
          <w:szCs w:val="2"/>
        </w:rPr>
      </w:pPr>
    </w:p>
    <w:p w14:paraId="45EF8745" w14:textId="1E6401CA" w:rsidR="00C60D66" w:rsidRDefault="00C60D66">
      <w:pPr>
        <w:rPr>
          <w:rFonts w:cs="Arial"/>
          <w:color w:val="404040"/>
        </w:rPr>
      </w:pPr>
      <w:r w:rsidRPr="004C6AE4">
        <w:rPr>
          <w:rFonts w:cs="Arial"/>
          <w:color w:val="404040"/>
        </w:rPr>
        <w:t>Vsebinsko se strinjamo s poglavji in z razširjeno vsebino novih smernic 2022, imamo pa nekaj komentarjev in predlogov za poglavje 4.11:</w:t>
      </w:r>
    </w:p>
    <w:p w14:paraId="48AE4C0D" w14:textId="77777777" w:rsidR="00C60D66" w:rsidRPr="00596954" w:rsidRDefault="00C60D66">
      <w:pPr>
        <w:rPr>
          <w:rFonts w:cs="Arial"/>
          <w:b/>
          <w:bCs/>
          <w:i/>
          <w:iCs/>
          <w:color w:val="404040"/>
        </w:rPr>
      </w:pPr>
      <w:r w:rsidRPr="00596954">
        <w:rPr>
          <w:rFonts w:cs="Arial"/>
          <w:b/>
          <w:bCs/>
          <w:i/>
          <w:iCs/>
          <w:color w:val="404040"/>
        </w:rPr>
        <w:t>4.11.2. Področje uporabe: Dajatve, v zvezi s katerimi se lahko odobrijo znižanja</w:t>
      </w:r>
    </w:p>
    <w:p w14:paraId="78701BBA" w14:textId="579007A9" w:rsidR="00C60D66" w:rsidRPr="004C6AE4" w:rsidRDefault="00C60D66">
      <w:pPr>
        <w:rPr>
          <w:rFonts w:cs="Arial"/>
          <w:color w:val="404040"/>
          <w:u w:val="single"/>
        </w:rPr>
      </w:pPr>
      <w:r w:rsidRPr="00596954">
        <w:rPr>
          <w:rFonts w:cs="Arial"/>
          <w:b/>
          <w:bCs/>
          <w:color w:val="404040"/>
        </w:rPr>
        <w:t>V točki 356</w:t>
      </w:r>
      <w:r w:rsidRPr="004C6AE4">
        <w:rPr>
          <w:rFonts w:cs="Arial"/>
          <w:color w:val="404040"/>
        </w:rPr>
        <w:t xml:space="preserve"> je stališče </w:t>
      </w:r>
      <w:r w:rsidR="00273022" w:rsidRPr="004C6AE4">
        <w:rPr>
          <w:rFonts w:cs="Arial"/>
          <w:color w:val="404040"/>
        </w:rPr>
        <w:t xml:space="preserve">slovenskih </w:t>
      </w:r>
      <w:r w:rsidRPr="004C6AE4">
        <w:rPr>
          <w:rFonts w:cs="Arial"/>
          <w:color w:val="404040"/>
        </w:rPr>
        <w:t>energetsko intenzivnih podjetij glede skupne kumulativne ravni, opredeljene v EUR/MWh, da je potrebno pri določitvi omenjene vredno</w:t>
      </w:r>
      <w:r w:rsidR="00273022" w:rsidRPr="004C6AE4">
        <w:rPr>
          <w:rFonts w:cs="Arial"/>
          <w:color w:val="404040"/>
        </w:rPr>
        <w:t>s</w:t>
      </w:r>
      <w:r w:rsidRPr="004C6AE4">
        <w:rPr>
          <w:rFonts w:cs="Arial"/>
          <w:color w:val="404040"/>
        </w:rPr>
        <w:t xml:space="preserve">ti </w:t>
      </w:r>
      <w:r w:rsidRPr="004C6AE4">
        <w:rPr>
          <w:rFonts w:cs="Arial"/>
          <w:color w:val="404040"/>
          <w:u w:val="single"/>
        </w:rPr>
        <w:t xml:space="preserve">upoštevati </w:t>
      </w:r>
      <w:r w:rsidR="00273022" w:rsidRPr="004C6AE4">
        <w:rPr>
          <w:rFonts w:cs="Arial"/>
          <w:color w:val="404040"/>
          <w:u w:val="single"/>
        </w:rPr>
        <w:t>specifiko vsake posamezne države članice.</w:t>
      </w:r>
    </w:p>
    <w:p w14:paraId="17F95D83" w14:textId="550FD19D" w:rsidR="00273022" w:rsidRDefault="00273022">
      <w:pPr>
        <w:rPr>
          <w:rFonts w:cs="Arial"/>
          <w:color w:val="404040"/>
        </w:rPr>
      </w:pPr>
      <w:r w:rsidRPr="004C6AE4">
        <w:rPr>
          <w:rFonts w:cs="Arial"/>
          <w:color w:val="404040"/>
        </w:rPr>
        <w:t>Specifika slovenskih podjetij je njihova majhnost v primerjavi s konkurenti v enakih dejavnostih v drugih državah članicah, zato predlagamo, da se mejna vrednost skupne kumulativne ravni (pred morebitnimi znižanji) opredeli na nivoju posamezne države članice.</w:t>
      </w:r>
    </w:p>
    <w:p w14:paraId="5AE94E2C" w14:textId="4368DB88" w:rsidR="00046E1B" w:rsidRDefault="00046E1B">
      <w:pPr>
        <w:rPr>
          <w:rFonts w:cs="Arial"/>
          <w:color w:val="404040"/>
        </w:rPr>
      </w:pPr>
    </w:p>
    <w:p w14:paraId="28BAB950" w14:textId="77777777" w:rsidR="00046E1B" w:rsidRPr="004C6AE4" w:rsidRDefault="00046E1B">
      <w:pPr>
        <w:rPr>
          <w:rFonts w:cs="Arial"/>
          <w:color w:val="404040"/>
        </w:rPr>
      </w:pPr>
    </w:p>
    <w:p w14:paraId="18C181C2" w14:textId="70E12364" w:rsidR="00273022" w:rsidRPr="00596954" w:rsidRDefault="00273022">
      <w:pPr>
        <w:rPr>
          <w:rFonts w:cs="Arial"/>
          <w:b/>
          <w:bCs/>
          <w:i/>
          <w:iCs/>
          <w:color w:val="404040"/>
        </w:rPr>
      </w:pPr>
      <w:r w:rsidRPr="00596954">
        <w:rPr>
          <w:rFonts w:cs="Arial"/>
          <w:b/>
          <w:bCs/>
          <w:i/>
          <w:iCs/>
          <w:color w:val="404040"/>
        </w:rPr>
        <w:t>4.11.3.2. Sorazmernost ukrepa pomoči</w:t>
      </w:r>
    </w:p>
    <w:p w14:paraId="5409463C" w14:textId="28B5EAFB" w:rsidR="00273022" w:rsidRPr="004C6AE4" w:rsidRDefault="00273022">
      <w:pPr>
        <w:rPr>
          <w:rFonts w:cs="Arial"/>
          <w:color w:val="404040"/>
        </w:rPr>
      </w:pPr>
      <w:r w:rsidRPr="00596954">
        <w:rPr>
          <w:rFonts w:cs="Arial"/>
          <w:b/>
          <w:bCs/>
          <w:color w:val="404040"/>
        </w:rPr>
        <w:t>V točki 359</w:t>
      </w:r>
      <w:r w:rsidRPr="004C6AE4">
        <w:rPr>
          <w:rFonts w:cs="Arial"/>
          <w:color w:val="404040"/>
        </w:rPr>
        <w:t xml:space="preserve"> </w:t>
      </w:r>
      <w:r w:rsidR="00CD3BE7" w:rsidRPr="004C6AE4">
        <w:rPr>
          <w:rFonts w:cs="Arial"/>
          <w:color w:val="404040"/>
        </w:rPr>
        <w:t xml:space="preserve">predlagamo, da </w:t>
      </w:r>
      <w:r w:rsidRPr="004C6AE4">
        <w:rPr>
          <w:rFonts w:cs="Arial"/>
          <w:color w:val="404040"/>
        </w:rPr>
        <w:t xml:space="preserve">se šteje pomoč za sorazmerno, če upravičenci plačajo </w:t>
      </w:r>
      <w:r w:rsidRPr="004C6AE4">
        <w:rPr>
          <w:rFonts w:cs="Arial"/>
          <w:color w:val="404040"/>
          <w:u w:val="single"/>
        </w:rPr>
        <w:t xml:space="preserve">vsaj </w:t>
      </w:r>
      <w:r w:rsidR="00CE320D" w:rsidRPr="004C6AE4">
        <w:rPr>
          <w:rFonts w:cs="Arial"/>
          <w:color w:val="404040"/>
          <w:u w:val="single"/>
        </w:rPr>
        <w:t>15</w:t>
      </w:r>
      <w:r w:rsidRPr="004C6AE4">
        <w:rPr>
          <w:rFonts w:cs="Arial"/>
          <w:color w:val="404040"/>
          <w:u w:val="single"/>
        </w:rPr>
        <w:t xml:space="preserve"> %</w:t>
      </w:r>
      <w:r w:rsidR="00CE320D" w:rsidRPr="004C6AE4">
        <w:rPr>
          <w:rFonts w:cs="Arial"/>
          <w:color w:val="404040"/>
          <w:u w:val="single"/>
        </w:rPr>
        <w:t xml:space="preserve"> stroškov</w:t>
      </w:r>
      <w:r w:rsidR="00CE320D" w:rsidRPr="004C6AE4">
        <w:rPr>
          <w:rFonts w:cs="Arial"/>
          <w:color w:val="404040"/>
        </w:rPr>
        <w:t xml:space="preserve">, nastalih zaradi dajatev na električno energijo, ki jih država </w:t>
      </w:r>
      <w:r w:rsidR="00CD3BE7" w:rsidRPr="004C6AE4">
        <w:rPr>
          <w:rFonts w:cs="Arial"/>
          <w:color w:val="404040"/>
        </w:rPr>
        <w:t>č</w:t>
      </w:r>
      <w:r w:rsidR="00CE320D" w:rsidRPr="004C6AE4">
        <w:rPr>
          <w:rFonts w:cs="Arial"/>
          <w:color w:val="404040"/>
        </w:rPr>
        <w:t>lanica vključi v svojo shemo, in ne 25</w:t>
      </w:r>
      <w:r w:rsidR="00CD3BE7" w:rsidRPr="004C6AE4">
        <w:rPr>
          <w:rFonts w:cs="Arial"/>
          <w:color w:val="404040"/>
        </w:rPr>
        <w:t xml:space="preserve"> </w:t>
      </w:r>
      <w:r w:rsidR="00CE320D" w:rsidRPr="004C6AE4">
        <w:rPr>
          <w:rFonts w:cs="Arial"/>
          <w:color w:val="404040"/>
        </w:rPr>
        <w:t xml:space="preserve">% kot je predlagano po novem. </w:t>
      </w:r>
    </w:p>
    <w:p w14:paraId="5CBE213D" w14:textId="298A0F67" w:rsidR="00CE320D" w:rsidRPr="004C6AE4" w:rsidRDefault="00CE320D">
      <w:pPr>
        <w:rPr>
          <w:rFonts w:cs="Arial"/>
          <w:color w:val="404040"/>
        </w:rPr>
      </w:pPr>
      <w:r w:rsidRPr="004C6AE4">
        <w:rPr>
          <w:rFonts w:cs="Arial"/>
          <w:color w:val="404040"/>
        </w:rPr>
        <w:t xml:space="preserve">Nadalje </w:t>
      </w:r>
      <w:r w:rsidR="00CD3BE7" w:rsidRPr="00596954">
        <w:rPr>
          <w:rFonts w:cs="Arial"/>
          <w:b/>
          <w:bCs/>
          <w:color w:val="404040"/>
        </w:rPr>
        <w:t>v točki 360</w:t>
      </w:r>
      <w:r w:rsidR="00CD3BE7" w:rsidRPr="004C6AE4">
        <w:rPr>
          <w:rFonts w:cs="Arial"/>
          <w:color w:val="404040"/>
        </w:rPr>
        <w:t xml:space="preserve"> </w:t>
      </w:r>
      <w:r w:rsidR="00A32899" w:rsidRPr="004C6AE4">
        <w:rPr>
          <w:rFonts w:cs="Arial"/>
          <w:color w:val="404040"/>
        </w:rPr>
        <w:t>predlagamo,</w:t>
      </w:r>
      <w:r w:rsidR="00A32899" w:rsidRPr="004C6AE4">
        <w:rPr>
          <w:rFonts w:cs="Arial"/>
          <w:color w:val="404040"/>
        </w:rPr>
        <w:t xml:space="preserve"> da se</w:t>
      </w:r>
      <w:r w:rsidRPr="004C6AE4">
        <w:rPr>
          <w:rFonts w:cs="Arial"/>
          <w:color w:val="404040"/>
        </w:rPr>
        <w:t xml:space="preserve"> za posebno izpostavljena podjetja, </w:t>
      </w:r>
      <w:r w:rsidR="00CD3BE7" w:rsidRPr="004C6AE4">
        <w:rPr>
          <w:rFonts w:cs="Arial"/>
          <w:color w:val="404040"/>
        </w:rPr>
        <w:t xml:space="preserve">ki so </w:t>
      </w:r>
      <w:r w:rsidRPr="004C6AE4">
        <w:rPr>
          <w:rFonts w:cs="Arial"/>
          <w:color w:val="404040"/>
        </w:rPr>
        <w:t xml:space="preserve">opredeljena v točki 357 smernic,  </w:t>
      </w:r>
      <w:r w:rsidR="00A32899" w:rsidRPr="004C6AE4">
        <w:rPr>
          <w:rFonts w:cs="Arial"/>
          <w:color w:val="404040"/>
        </w:rPr>
        <w:t>njihov</w:t>
      </w:r>
      <w:r w:rsidRPr="004C6AE4">
        <w:rPr>
          <w:rFonts w:cs="Arial"/>
          <w:color w:val="404040"/>
        </w:rPr>
        <w:t xml:space="preserve"> lastni prispevek </w:t>
      </w:r>
      <w:r w:rsidRPr="004C6AE4">
        <w:rPr>
          <w:rFonts w:cs="Arial"/>
          <w:color w:val="404040"/>
          <w:u w:val="single"/>
        </w:rPr>
        <w:t>omeji na 0,5 % bruto</w:t>
      </w:r>
      <w:r w:rsidRPr="004C6AE4">
        <w:rPr>
          <w:rFonts w:cs="Arial"/>
          <w:color w:val="404040"/>
        </w:rPr>
        <w:t xml:space="preserve"> </w:t>
      </w:r>
      <w:r w:rsidRPr="004C6AE4">
        <w:rPr>
          <w:rFonts w:cs="Arial"/>
          <w:color w:val="404040"/>
          <w:u w:val="single"/>
        </w:rPr>
        <w:t>dodane vrednosti</w:t>
      </w:r>
      <w:r w:rsidRPr="004C6AE4">
        <w:rPr>
          <w:rFonts w:cs="Arial"/>
          <w:color w:val="404040"/>
        </w:rPr>
        <w:t xml:space="preserve"> zadevnega podjetja in ne na 1,5 % kot </w:t>
      </w:r>
      <w:r w:rsidR="00A32899" w:rsidRPr="004C6AE4">
        <w:rPr>
          <w:rFonts w:cs="Arial"/>
          <w:color w:val="404040"/>
        </w:rPr>
        <w:t xml:space="preserve">je </w:t>
      </w:r>
      <w:r w:rsidRPr="004C6AE4">
        <w:rPr>
          <w:rFonts w:cs="Arial"/>
          <w:color w:val="404040"/>
        </w:rPr>
        <w:t>predlagano.</w:t>
      </w:r>
    </w:p>
    <w:p w14:paraId="7B6D586D" w14:textId="77777777" w:rsidR="006C46B1" w:rsidRPr="004C6AE4" w:rsidRDefault="006C46B1" w:rsidP="006C46B1"/>
    <w:p w14:paraId="284D06C0" w14:textId="464932A2" w:rsidR="006C46B1" w:rsidRPr="004C6AE4" w:rsidRDefault="00DE05D7">
      <w:pPr>
        <w:rPr>
          <w:rFonts w:cs="Arial"/>
          <w:color w:val="404040"/>
          <w:sz w:val="20"/>
          <w:szCs w:val="20"/>
        </w:rPr>
      </w:pPr>
      <w:r w:rsidRPr="004C6AE4">
        <w:rPr>
          <w:rFonts w:cs="Arial"/>
          <w:color w:val="404040"/>
          <w:sz w:val="20"/>
          <w:szCs w:val="20"/>
        </w:rPr>
        <w:t>V imenu slovenskih energetsko intenzivnih podjetij pripravile:</w:t>
      </w:r>
    </w:p>
    <w:p w14:paraId="254EC6B0" w14:textId="2CD8572D" w:rsidR="00DE05D7" w:rsidRPr="004C6AE4" w:rsidRDefault="00DE05D7" w:rsidP="00596954">
      <w:pPr>
        <w:spacing w:after="0"/>
        <w:rPr>
          <w:rFonts w:cs="Arial"/>
          <w:color w:val="404040"/>
          <w:sz w:val="20"/>
          <w:szCs w:val="20"/>
        </w:rPr>
      </w:pPr>
      <w:r w:rsidRPr="004C6AE4">
        <w:rPr>
          <w:rFonts w:cs="Arial"/>
          <w:color w:val="404040"/>
          <w:sz w:val="20"/>
          <w:szCs w:val="20"/>
        </w:rPr>
        <w:t>Petra Prebil Bašin, petra.prebil.basin@gzs.si</w:t>
      </w:r>
    </w:p>
    <w:p w14:paraId="5B9DD7B5" w14:textId="3B0AA605" w:rsidR="00DE05D7" w:rsidRPr="004C6AE4" w:rsidRDefault="00DE05D7" w:rsidP="00596954">
      <w:pPr>
        <w:spacing w:after="0"/>
        <w:rPr>
          <w:rFonts w:cs="Arial"/>
          <w:color w:val="404040"/>
          <w:sz w:val="20"/>
          <w:szCs w:val="20"/>
        </w:rPr>
      </w:pPr>
      <w:r w:rsidRPr="004C6AE4">
        <w:rPr>
          <w:rFonts w:cs="Arial"/>
          <w:color w:val="404040"/>
          <w:sz w:val="20"/>
          <w:szCs w:val="20"/>
        </w:rPr>
        <w:t>Vesna Nahtigal; vesna.nahtigal@gzs.si</w:t>
      </w:r>
    </w:p>
    <w:p w14:paraId="0C7DF676" w14:textId="2397ECF9" w:rsidR="00DE05D7" w:rsidRPr="004C6AE4" w:rsidRDefault="00DE05D7" w:rsidP="00596954">
      <w:pPr>
        <w:spacing w:after="0"/>
        <w:rPr>
          <w:rFonts w:cs="Arial"/>
          <w:color w:val="404040"/>
          <w:sz w:val="20"/>
          <w:szCs w:val="20"/>
        </w:rPr>
      </w:pPr>
      <w:r w:rsidRPr="004C6AE4">
        <w:rPr>
          <w:rFonts w:cs="Arial"/>
          <w:color w:val="404040"/>
          <w:sz w:val="20"/>
          <w:szCs w:val="20"/>
        </w:rPr>
        <w:t>Romana Benčina; romana.bencina@gzs.si</w:t>
      </w:r>
    </w:p>
    <w:p w14:paraId="12EE44AD" w14:textId="77777777" w:rsidR="00DE05D7" w:rsidRPr="004C6AE4" w:rsidRDefault="00DE05D7">
      <w:pPr>
        <w:rPr>
          <w:rFonts w:cs="Arial"/>
          <w:color w:val="404040"/>
        </w:rPr>
      </w:pPr>
    </w:p>
    <w:p w14:paraId="23E5EA2B" w14:textId="77777777" w:rsidR="006C46B1" w:rsidRPr="004C6AE4" w:rsidRDefault="006C46B1">
      <w:pPr>
        <w:rPr>
          <w:rFonts w:cs="Arial"/>
          <w:color w:val="404040"/>
        </w:rPr>
      </w:pPr>
    </w:p>
    <w:p w14:paraId="00FF067F" w14:textId="52A8F9CC" w:rsidR="006C46B1" w:rsidRPr="004C6AE4" w:rsidRDefault="006C46B1">
      <w:pPr>
        <w:rPr>
          <w:rFonts w:cs="Arial"/>
          <w:color w:val="404040"/>
        </w:rPr>
      </w:pPr>
    </w:p>
    <w:p w14:paraId="3783E1C6" w14:textId="77777777" w:rsidR="006C46B1" w:rsidRPr="004C6AE4" w:rsidRDefault="006C46B1"/>
    <w:sectPr w:rsidR="006C46B1" w:rsidRPr="004C6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F9752" w14:textId="77777777" w:rsidR="008306BF" w:rsidRDefault="008306BF" w:rsidP="00B975B2">
      <w:pPr>
        <w:spacing w:after="0" w:line="240" w:lineRule="auto"/>
      </w:pPr>
      <w:r>
        <w:separator/>
      </w:r>
    </w:p>
  </w:endnote>
  <w:endnote w:type="continuationSeparator" w:id="0">
    <w:p w14:paraId="3FBE6D18" w14:textId="77777777" w:rsidR="008306BF" w:rsidRDefault="008306BF" w:rsidP="00B97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0FB43" w14:textId="77777777" w:rsidR="00596954" w:rsidRDefault="0059695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E3BCB" w14:textId="77777777" w:rsidR="00596954" w:rsidRDefault="0059695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600F5" w14:textId="77777777" w:rsidR="00596954" w:rsidRDefault="0059695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C9FA4" w14:textId="77777777" w:rsidR="008306BF" w:rsidRDefault="008306BF" w:rsidP="00B975B2">
      <w:pPr>
        <w:spacing w:after="0" w:line="240" w:lineRule="auto"/>
      </w:pPr>
      <w:r>
        <w:separator/>
      </w:r>
    </w:p>
  </w:footnote>
  <w:footnote w:type="continuationSeparator" w:id="0">
    <w:p w14:paraId="4BB2B145" w14:textId="77777777" w:rsidR="008306BF" w:rsidRDefault="008306BF" w:rsidP="00B97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6B43A" w14:textId="77777777" w:rsidR="00596954" w:rsidRDefault="0059695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0256C" w14:textId="1956C599" w:rsidR="00620FF6" w:rsidRDefault="00620FF6" w:rsidP="00620FF6">
    <w:pPr>
      <w:pStyle w:val="Glava"/>
      <w:ind w:left="-1134"/>
    </w:pPr>
    <w:r>
      <w:rPr>
        <w:noProof/>
      </w:rPr>
      <w:drawing>
        <wp:inline distT="0" distB="0" distL="0" distR="0" wp14:anchorId="7D19B776" wp14:editId="432C6621">
          <wp:extent cx="927100" cy="463550"/>
          <wp:effectExtent l="0" t="0" r="635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C88E4E" w14:textId="1FD93906" w:rsidR="00620FF6" w:rsidRPr="008B4EC5" w:rsidRDefault="00620FF6" w:rsidP="00620FF6">
    <w:pPr>
      <w:pStyle w:val="Glava"/>
      <w:pBdr>
        <w:bottom w:val="single" w:sz="18" w:space="1" w:color="808080"/>
      </w:pBdr>
      <w:spacing w:before="120" w:line="240" w:lineRule="exact"/>
      <w:ind w:left="-1134" w:right="-1135"/>
      <w:rPr>
        <w:rFonts w:cs="Tahoma"/>
        <w:szCs w:val="14"/>
      </w:rPr>
    </w:pPr>
    <w:r>
      <w:rPr>
        <w:rFonts w:cs="Tahoma"/>
        <w:noProof/>
        <w:szCs w:val="14"/>
      </w:rPr>
      <w:t>Chamber of Commerce and Industry of Slovenia</w:t>
    </w:r>
  </w:p>
  <w:p w14:paraId="359C0CB8" w14:textId="2EA17ACA" w:rsidR="00620FF6" w:rsidRPr="004C6AE4" w:rsidRDefault="00620FF6" w:rsidP="004C6AE4">
    <w:pPr>
      <w:ind w:left="-1134" w:right="-1135"/>
      <w:rPr>
        <w:rFonts w:ascii="Verdana" w:hAnsi="Verdana" w:cs="Tahoma"/>
        <w:sz w:val="14"/>
        <w:szCs w:val="14"/>
      </w:rPr>
    </w:pPr>
    <w:r w:rsidRPr="005748D9">
      <w:rPr>
        <w:rFonts w:ascii="Verdana" w:hAnsi="Verdana" w:cs="Tahoma"/>
        <w:noProof/>
        <w:sz w:val="14"/>
        <w:szCs w:val="14"/>
      </w:rPr>
      <w:t>Dimičeva 13</w:t>
    </w:r>
    <w:r w:rsidRPr="008B4EC5">
      <w:rPr>
        <w:rFonts w:ascii="Verdana" w:hAnsi="Verdana" w:cs="Tahoma"/>
        <w:sz w:val="14"/>
        <w:szCs w:val="14"/>
      </w:rPr>
      <w:t xml:space="preserve"> </w:t>
    </w:r>
    <w:r w:rsidRPr="008B4EC5">
      <w:rPr>
        <w:rFonts w:ascii="Verdana" w:hAnsi="Verdana" w:cs="Tahoma"/>
        <w:color w:val="808080"/>
        <w:sz w:val="12"/>
        <w:szCs w:val="12"/>
      </w:rPr>
      <w:sym w:font="Wingdings" w:char="F06E"/>
    </w:r>
    <w:r w:rsidRPr="008B4EC5">
      <w:rPr>
        <w:rFonts w:ascii="Verdana" w:hAnsi="Verdana" w:cs="Tahoma"/>
        <w:sz w:val="14"/>
        <w:szCs w:val="14"/>
      </w:rPr>
      <w:t xml:space="preserve"> </w:t>
    </w:r>
    <w:r w:rsidRPr="005748D9">
      <w:rPr>
        <w:rFonts w:ascii="Verdana" w:hAnsi="Verdana" w:cs="Tahoma"/>
        <w:noProof/>
        <w:sz w:val="14"/>
        <w:szCs w:val="14"/>
      </w:rPr>
      <w:t>1504 Ljubljana</w:t>
    </w:r>
    <w:r w:rsidRPr="008B4EC5">
      <w:rPr>
        <w:rFonts w:ascii="Verdana" w:hAnsi="Verdana" w:cs="Tahoma"/>
        <w:sz w:val="14"/>
        <w:szCs w:val="14"/>
      </w:rPr>
      <w:t xml:space="preserve"> </w:t>
    </w:r>
    <w:r w:rsidRPr="008B4EC5">
      <w:rPr>
        <w:rFonts w:ascii="Verdana" w:hAnsi="Verdana" w:cs="Tahoma"/>
        <w:color w:val="808080"/>
        <w:sz w:val="12"/>
        <w:szCs w:val="12"/>
      </w:rPr>
      <w:sym w:font="Wingdings" w:char="F06E"/>
    </w:r>
    <w:r w:rsidRPr="008B4EC5">
      <w:rPr>
        <w:rFonts w:ascii="Verdana" w:hAnsi="Verdana" w:cs="Tahoma"/>
        <w:sz w:val="14"/>
        <w:szCs w:val="14"/>
      </w:rPr>
      <w:t xml:space="preserve"> </w:t>
    </w:r>
    <w:proofErr w:type="spellStart"/>
    <w:r>
      <w:rPr>
        <w:rFonts w:ascii="Verdana" w:hAnsi="Verdana" w:cs="Tahoma"/>
        <w:sz w:val="14"/>
        <w:szCs w:val="14"/>
      </w:rPr>
      <w:t>Slovenia</w:t>
    </w:r>
    <w:proofErr w:type="spellEnd"/>
    <w:r>
      <w:rPr>
        <w:rFonts w:ascii="Verdana" w:hAnsi="Verdana" w:cs="Tahoma"/>
        <w:sz w:val="14"/>
        <w:szCs w:val="14"/>
      </w:rPr>
      <w:t xml:space="preserve"> </w:t>
    </w:r>
    <w:r w:rsidR="004C6AE4" w:rsidRPr="008B4EC5">
      <w:rPr>
        <w:rFonts w:ascii="Verdana" w:hAnsi="Verdana" w:cs="Tahoma"/>
        <w:color w:val="808080"/>
        <w:sz w:val="12"/>
        <w:szCs w:val="12"/>
      </w:rPr>
      <w:sym w:font="Wingdings" w:char="F06E"/>
    </w:r>
    <w:r w:rsidR="004C6AE4">
      <w:rPr>
        <w:rFonts w:ascii="Verdana" w:hAnsi="Verdana" w:cs="Tahoma"/>
        <w:color w:val="808080"/>
        <w:sz w:val="12"/>
        <w:szCs w:val="12"/>
      </w:rPr>
      <w:t xml:space="preserve"> </w:t>
    </w:r>
    <w:r w:rsidRPr="008B4EC5">
      <w:rPr>
        <w:rFonts w:ascii="Verdana" w:hAnsi="Verdana" w:cs="Tahoma"/>
        <w:sz w:val="14"/>
        <w:szCs w:val="14"/>
      </w:rPr>
      <w:t xml:space="preserve">T: </w:t>
    </w:r>
    <w:r w:rsidRPr="005748D9">
      <w:rPr>
        <w:rFonts w:ascii="Verdana" w:hAnsi="Verdana" w:cs="Tahoma"/>
        <w:noProof/>
        <w:sz w:val="14"/>
        <w:szCs w:val="14"/>
      </w:rPr>
      <w:t>(01) 58 98 273, 58 98 000</w:t>
    </w:r>
    <w:r w:rsidRPr="008B4EC5">
      <w:rPr>
        <w:rFonts w:ascii="Verdana" w:hAnsi="Verdana" w:cs="Tahoma"/>
        <w:sz w:val="14"/>
        <w:szCs w:val="14"/>
      </w:rPr>
      <w:t xml:space="preserve"> </w:t>
    </w:r>
    <w:r w:rsidRPr="008B4EC5">
      <w:rPr>
        <w:rFonts w:ascii="Verdana" w:hAnsi="Verdana" w:cs="Tahoma"/>
        <w:color w:val="808080"/>
        <w:sz w:val="12"/>
        <w:szCs w:val="12"/>
      </w:rPr>
      <w:sym w:font="Wingdings" w:char="F06E"/>
    </w:r>
    <w:r w:rsidRPr="008B4EC5">
      <w:rPr>
        <w:rFonts w:ascii="Verdana" w:hAnsi="Verdana" w:cs="Tahoma"/>
        <w:sz w:val="14"/>
        <w:szCs w:val="14"/>
      </w:rPr>
      <w:t xml:space="preserve"> F: </w:t>
    </w:r>
    <w:r w:rsidRPr="005748D9">
      <w:rPr>
        <w:rFonts w:ascii="Verdana" w:hAnsi="Verdana" w:cs="Tahoma"/>
        <w:noProof/>
        <w:sz w:val="14"/>
        <w:szCs w:val="14"/>
      </w:rPr>
      <w:t xml:space="preserve">(01) 58 98 </w:t>
    </w:r>
    <w:r>
      <w:rPr>
        <w:rFonts w:ascii="Verdana" w:hAnsi="Verdana" w:cs="Tahoma"/>
        <w:noProof/>
        <w:sz w:val="14"/>
        <w:szCs w:val="14"/>
      </w:rPr>
      <w:t>1</w:t>
    </w:r>
    <w:r w:rsidRPr="005748D9">
      <w:rPr>
        <w:rFonts w:ascii="Verdana" w:hAnsi="Verdana" w:cs="Tahoma"/>
        <w:noProof/>
        <w:sz w:val="14"/>
        <w:szCs w:val="14"/>
      </w:rPr>
      <w:t>00</w:t>
    </w:r>
    <w:r w:rsidRPr="008B4EC5">
      <w:rPr>
        <w:rFonts w:ascii="Verdana" w:hAnsi="Verdana" w:cs="Tahoma"/>
        <w:sz w:val="14"/>
        <w:szCs w:val="14"/>
      </w:rPr>
      <w:t xml:space="preserve"> </w:t>
    </w:r>
    <w:r w:rsidRPr="008B4EC5">
      <w:rPr>
        <w:rFonts w:ascii="Verdana" w:hAnsi="Verdana" w:cs="Tahoma"/>
        <w:color w:val="808080"/>
        <w:sz w:val="12"/>
        <w:szCs w:val="12"/>
      </w:rPr>
      <w:sym w:font="Wingdings" w:char="F06E"/>
    </w:r>
    <w:r w:rsidRPr="008B4EC5">
      <w:rPr>
        <w:rFonts w:ascii="Verdana" w:hAnsi="Verdana" w:cs="Tahoma"/>
        <w:sz w:val="14"/>
        <w:szCs w:val="14"/>
      </w:rPr>
      <w:t xml:space="preserve"> </w:t>
    </w:r>
    <w:r w:rsidRPr="005748D9">
      <w:rPr>
        <w:rFonts w:ascii="Verdana" w:hAnsi="Verdana" w:cs="Tahoma"/>
        <w:noProof/>
        <w:sz w:val="14"/>
        <w:szCs w:val="14"/>
      </w:rPr>
      <w:t>info@gzs.si</w:t>
    </w:r>
    <w:r w:rsidRPr="008B4EC5">
      <w:rPr>
        <w:rFonts w:ascii="Verdana" w:hAnsi="Verdana" w:cs="Tahoma"/>
        <w:sz w:val="14"/>
        <w:szCs w:val="14"/>
      </w:rPr>
      <w:t xml:space="preserve"> </w:t>
    </w:r>
    <w:r w:rsidRPr="008B4EC5">
      <w:rPr>
        <w:rFonts w:ascii="Verdana" w:hAnsi="Verdana" w:cs="Tahoma"/>
        <w:color w:val="808080"/>
        <w:sz w:val="12"/>
        <w:szCs w:val="12"/>
      </w:rPr>
      <w:sym w:font="Wingdings" w:char="F06E"/>
    </w:r>
    <w:r w:rsidRPr="008B4EC5">
      <w:rPr>
        <w:rFonts w:ascii="Verdana" w:hAnsi="Verdana" w:cs="Tahoma"/>
        <w:sz w:val="14"/>
        <w:szCs w:val="14"/>
      </w:rPr>
      <w:t xml:space="preserve"> </w:t>
    </w:r>
    <w:r w:rsidRPr="005748D9">
      <w:rPr>
        <w:rFonts w:ascii="Verdana" w:hAnsi="Verdana" w:cs="Tahoma"/>
        <w:noProof/>
        <w:sz w:val="14"/>
        <w:szCs w:val="14"/>
      </w:rPr>
      <w:t>www.gzs.s</w:t>
    </w:r>
  </w:p>
  <w:p w14:paraId="088E7B15" w14:textId="77777777" w:rsidR="00B975B2" w:rsidRDefault="00B975B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413AB" w14:textId="77777777" w:rsidR="00596954" w:rsidRDefault="0059695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6D3F97"/>
    <w:multiLevelType w:val="hybridMultilevel"/>
    <w:tmpl w:val="FEC67978"/>
    <w:lvl w:ilvl="0" w:tplc="900ED940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6B1"/>
    <w:rsid w:val="00046E1B"/>
    <w:rsid w:val="00057E15"/>
    <w:rsid w:val="00273022"/>
    <w:rsid w:val="003A3154"/>
    <w:rsid w:val="00456EDC"/>
    <w:rsid w:val="004C6AE4"/>
    <w:rsid w:val="00596954"/>
    <w:rsid w:val="00620FF6"/>
    <w:rsid w:val="006C46B1"/>
    <w:rsid w:val="008306BF"/>
    <w:rsid w:val="00874C29"/>
    <w:rsid w:val="00A32899"/>
    <w:rsid w:val="00B975B2"/>
    <w:rsid w:val="00C60D66"/>
    <w:rsid w:val="00CD3BE7"/>
    <w:rsid w:val="00CE320D"/>
    <w:rsid w:val="00DE05D7"/>
    <w:rsid w:val="00F3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02347"/>
  <w15:chartTrackingRefBased/>
  <w15:docId w15:val="{8C5C7F9E-5964-44A5-9A75-9BD8FE45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60D66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97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975B2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nhideWhenUsed/>
    <w:rsid w:val="00B97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975B2"/>
  </w:style>
  <w:style w:type="paragraph" w:styleId="Noga">
    <w:name w:val="footer"/>
    <w:basedOn w:val="Navaden"/>
    <w:link w:val="NogaZnak"/>
    <w:uiPriority w:val="99"/>
    <w:unhideWhenUsed/>
    <w:rsid w:val="00B97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97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60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D7855E997C7CD547BAA84FB5C436F0EB" ma:contentTypeVersion="5" ma:contentTypeDescription="Upload a any type of Document to this Document Library, Tag and Categorize." ma:contentTypeScope="" ma:versionID="9da1a9b8db38812dd4845d0202193013">
  <xsd:schema xmlns:xsd="http://www.w3.org/2001/XMLSchema" xmlns:xs="http://www.w3.org/2001/XMLSchema" xmlns:p="http://schemas.microsoft.com/office/2006/metadata/properties" xmlns:ns1="7cc652c1-0fd7-41eb-a014-c51c51780a7a" targetNamespace="http://schemas.microsoft.com/office/2006/metadata/properties" ma:root="true" ma:fieldsID="d4e861f33666f41124d7fe3faad0c1db" ns1:_="">
    <xsd:import namespace="7cc652c1-0fd7-41eb-a014-c51c51780a7a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b19f75d238cc47e1b22517c8f1caea47" minOccurs="0"/>
                <xsd:element ref="ns1:TaxCatchAll" minOccurs="0"/>
                <xsd:element ref="ns1:TaxCatchAllLabel" minOccurs="0"/>
                <xsd:element ref="ns1:h9a1eb4c7bd54efca9d2a6b83ebb485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652c1-0fd7-41eb-a014-c51c51780a7a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19f75d238cc47e1b22517c8f1caea47" ma:index="6" nillable="true" ma:taxonomy="true" ma:internalName="b19f75d238cc47e1b22517c8f1caea47" ma:taxonomyFieldName="documentGeneralTags" ma:displayName="General Tags" ma:fieldId="{b19f75d2-38cc-47e1-b225-17c8f1caea4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437298f6-1c1b-4d51-8c63-a2307b44d2d3}" ma:internalName="TaxCatchAll" ma:showField="CatchAllData" ma:web="7cc652c1-0fd7-41eb-a014-c51c51780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437298f6-1c1b-4d51-8c63-a2307b44d2d3}" ma:internalName="TaxCatchAllLabel" ma:readOnly="true" ma:showField="CatchAllDataLabel" ma:web="7cc652c1-0fd7-41eb-a014-c51c51780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9a1eb4c7bd54efca9d2a6b83ebb485f" ma:index="10" nillable="true" ma:taxonomy="true" ma:internalName="h9a1eb4c7bd54efca9d2a6b83ebb485f" ma:taxonomyFieldName="documentCaseTags" ma:displayName="Case Tags" ma:fieldId="{19a1eb4c-7bd5-4efc-a9d2-a6b83ebb485f}" ma:taxonomyMulti="true" ma:sspId="0b3cc5dc-dc2a-4346-9392-57628a0b46cb" ma:termSetId="a063f2db-454f-4e18-b57e-ebf5c79ba29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cc652c1-0fd7-41eb-a014-c51c51780a7a">COMPCOLLAB-832284309-3193</_dlc_DocId>
    <_dlc_DocIdUrl xmlns="7cc652c1-0fd7-41eb-a014-c51c51780a7a">
      <Url>https://compcollab.ec.europa.eu/cases/HT.5371/_layouts/15/DocIdRedir.aspx?ID=COMPCOLLAB-832284309-3193</Url>
      <Description>COMPCOLLAB-832284309-3193</Description>
    </_dlc_DocIdUrl>
    <documentSummary xmlns="7cc652c1-0fd7-41eb-a014-c51c51780a7a" xsi:nil="true"/>
    <b19f75d238cc47e1b22517c8f1caea47 xmlns="7cc652c1-0fd7-41eb-a014-c51c51780a7a">
      <Terms xmlns="http://schemas.microsoft.com/office/infopath/2007/PartnerControls"/>
    </b19f75d238cc47e1b22517c8f1caea47>
    <TaxCatchAll xmlns="7cc652c1-0fd7-41eb-a014-c51c51780a7a"/>
    <documentTitle xmlns="7cc652c1-0fd7-41eb-a014-c51c51780a7a" xsi:nil="true"/>
    <documentFollowUp xmlns="7cc652c1-0fd7-41eb-a014-c51c51780a7a" xsi:nil="true"/>
    <h9a1eb4c7bd54efca9d2a6b83ebb485f xmlns="7cc652c1-0fd7-41eb-a014-c51c51780a7a">
      <Terms xmlns="http://schemas.microsoft.com/office/infopath/2007/PartnerControls"/>
    </h9a1eb4c7bd54efca9d2a6b83ebb485f>
  </documentManagement>
</p:properties>
</file>

<file path=customXml/itemProps1.xml><?xml version="1.0" encoding="utf-8"?>
<ds:datastoreItem xmlns:ds="http://schemas.openxmlformats.org/officeDocument/2006/customXml" ds:itemID="{B109F09C-42C2-4558-8AF9-77948CECD2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DB0A0F-CD47-482D-A6EF-C461EEEA826C}"/>
</file>

<file path=customXml/itemProps3.xml><?xml version="1.0" encoding="utf-8"?>
<ds:datastoreItem xmlns:ds="http://schemas.openxmlformats.org/officeDocument/2006/customXml" ds:itemID="{B8C872ED-06B3-4E77-96E8-AFCE2E336C56}"/>
</file>

<file path=customXml/itemProps4.xml><?xml version="1.0" encoding="utf-8"?>
<ds:datastoreItem xmlns:ds="http://schemas.openxmlformats.org/officeDocument/2006/customXml" ds:itemID="{E1AA4903-60A5-4372-9E9A-87F1DEB99F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Prebil</dc:creator>
  <cp:keywords/>
  <dc:description/>
  <cp:lastModifiedBy>Petra Prebil</cp:lastModifiedBy>
  <cp:revision>9</cp:revision>
  <dcterms:created xsi:type="dcterms:W3CDTF">2021-08-02T08:38:00Z</dcterms:created>
  <dcterms:modified xsi:type="dcterms:W3CDTF">2021-08-02T14:48:00Z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3aee26d7-1ec5-4e53-8b4c-c59c9b969e9d</vt:lpwstr>
  </property>
  <property fmtid="{D5CDD505-2E9C-101B-9397-08002B2CF9AE}" pid="3" name="ContentTypeId">
    <vt:lpwstr>0x01010400988603A364794F7AA753E65AAE73280500D7855E997C7CD547BAA84FB5C436F0EB</vt:lpwstr>
  </property>
</Properties>
</file>