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C44D1" w14:textId="77777777" w:rsidR="003C3539" w:rsidRPr="003C3539" w:rsidRDefault="003C3539" w:rsidP="003C3539">
      <w:pPr>
        <w:jc w:val="center"/>
        <w:rPr>
          <w:rFonts w:ascii="BundesSans Office" w:hAnsi="BundesSans Office"/>
          <w:b/>
          <w:sz w:val="24"/>
          <w:szCs w:val="24"/>
        </w:rPr>
      </w:pPr>
      <w:r w:rsidRPr="003C3539">
        <w:rPr>
          <w:rFonts w:ascii="BundesSans Office" w:hAnsi="BundesSans Office"/>
          <w:b/>
          <w:sz w:val="24"/>
          <w:szCs w:val="24"/>
        </w:rPr>
        <w:t>Stellungnahme</w:t>
      </w:r>
    </w:p>
    <w:p w14:paraId="4BA8CE62" w14:textId="77777777" w:rsidR="003C3539" w:rsidRPr="003C3539" w:rsidRDefault="003C3539" w:rsidP="003C3539">
      <w:pPr>
        <w:jc w:val="center"/>
        <w:rPr>
          <w:rFonts w:ascii="BundesSans Office" w:hAnsi="BundesSans Office"/>
          <w:b/>
          <w:sz w:val="24"/>
          <w:szCs w:val="24"/>
        </w:rPr>
      </w:pPr>
      <w:r w:rsidRPr="003C3539">
        <w:rPr>
          <w:rFonts w:ascii="BundesSans Office" w:hAnsi="BundesSans Office"/>
          <w:b/>
          <w:sz w:val="24"/>
          <w:szCs w:val="24"/>
        </w:rPr>
        <w:t>der Regierung der Bundesrepublik Deutschland</w:t>
      </w:r>
    </w:p>
    <w:p w14:paraId="260251E1" w14:textId="77777777" w:rsidR="003C3539" w:rsidRPr="003C3539" w:rsidRDefault="003C3539" w:rsidP="003C3539">
      <w:pPr>
        <w:jc w:val="center"/>
        <w:rPr>
          <w:rFonts w:ascii="BundesSans Office" w:hAnsi="BundesSans Office"/>
          <w:b/>
          <w:sz w:val="24"/>
          <w:szCs w:val="24"/>
        </w:rPr>
      </w:pPr>
      <w:r w:rsidRPr="003C3539">
        <w:rPr>
          <w:rFonts w:ascii="BundesSans Office" w:hAnsi="BundesSans Office"/>
          <w:b/>
          <w:sz w:val="24"/>
          <w:szCs w:val="24"/>
        </w:rPr>
        <w:t>an die Europäische Kommission</w:t>
      </w:r>
    </w:p>
    <w:p w14:paraId="420BFB21" w14:textId="6E00B0CE" w:rsidR="003C3539" w:rsidRPr="003C3539" w:rsidRDefault="003C3539" w:rsidP="003C3539">
      <w:pPr>
        <w:jc w:val="center"/>
        <w:rPr>
          <w:rFonts w:ascii="BundesSans Office" w:hAnsi="BundesSans Office"/>
          <w:b/>
          <w:sz w:val="24"/>
          <w:szCs w:val="24"/>
        </w:rPr>
      </w:pPr>
      <w:r w:rsidRPr="00901B63">
        <w:rPr>
          <w:rFonts w:ascii="BundesSans Office" w:hAnsi="BundesSans Office"/>
          <w:b/>
          <w:sz w:val="24"/>
          <w:szCs w:val="24"/>
        </w:rPr>
        <w:t xml:space="preserve">vom </w:t>
      </w:r>
      <w:r w:rsidR="00D20491" w:rsidRPr="00901B63">
        <w:rPr>
          <w:rFonts w:ascii="BundesSans Office" w:hAnsi="BundesSans Office"/>
          <w:b/>
          <w:sz w:val="24"/>
          <w:szCs w:val="24"/>
        </w:rPr>
        <w:t>17. April 2023</w:t>
      </w:r>
    </w:p>
    <w:p w14:paraId="60AE0B63" w14:textId="77777777" w:rsidR="003C3539" w:rsidRPr="003C3539" w:rsidRDefault="003C3539" w:rsidP="003C3539">
      <w:pPr>
        <w:rPr>
          <w:rFonts w:ascii="BundesSans Office" w:hAnsi="BundesSans Office"/>
          <w:sz w:val="24"/>
          <w:szCs w:val="24"/>
        </w:rPr>
      </w:pPr>
    </w:p>
    <w:p w14:paraId="0FF7AC1C" w14:textId="77777777" w:rsidR="003C3539" w:rsidRPr="003C3539" w:rsidRDefault="003C3539" w:rsidP="003C3539">
      <w:pPr>
        <w:rPr>
          <w:rFonts w:ascii="BundesSans Office" w:hAnsi="BundesSans Office"/>
          <w:b/>
          <w:bCs/>
          <w:sz w:val="24"/>
          <w:szCs w:val="24"/>
        </w:rPr>
      </w:pPr>
      <w:r w:rsidRPr="003C3539">
        <w:rPr>
          <w:rFonts w:ascii="BundesSans Office" w:hAnsi="BundesSans Office"/>
          <w:b/>
          <w:bCs/>
          <w:sz w:val="24"/>
          <w:szCs w:val="24"/>
        </w:rPr>
        <w:t xml:space="preserve">Entwurf der Leitlinien der Kommission zur Anwendung des Artikels 210a der Gemeinsamen Marktorganisation über Nachhaltigkeitsinitiativen </w:t>
      </w:r>
    </w:p>
    <w:p w14:paraId="2B926B2A" w14:textId="77777777" w:rsidR="003C3539" w:rsidRPr="003C3539" w:rsidRDefault="003C3539" w:rsidP="003C3539">
      <w:pPr>
        <w:rPr>
          <w:rFonts w:ascii="BundesSans Office" w:hAnsi="BundesSans Office"/>
          <w:sz w:val="24"/>
          <w:szCs w:val="24"/>
        </w:rPr>
      </w:pPr>
    </w:p>
    <w:p w14:paraId="2B25FE8E" w14:textId="159106B2" w:rsidR="003C3539" w:rsidRPr="003C3539" w:rsidRDefault="003C3539" w:rsidP="003C3539">
      <w:pPr>
        <w:rPr>
          <w:rFonts w:ascii="BundesSans Office" w:hAnsi="BundesSans Office"/>
          <w:sz w:val="24"/>
          <w:szCs w:val="24"/>
        </w:rPr>
      </w:pPr>
      <w:r w:rsidRPr="003C3539">
        <w:rPr>
          <w:rFonts w:ascii="BundesSans Office" w:hAnsi="BundesSans Office"/>
          <w:sz w:val="24"/>
          <w:szCs w:val="24"/>
        </w:rPr>
        <w:t xml:space="preserve">Mit dem neuen Artikel 210a der Verordnung (EU) Nr. 1308/2013 über eine gemeinsame Marktorganisation für landwirtschaftliche Erzeugnisse (GMO) wurde eine kartellrechtliche Privilegierung für Nachhaltigkeitsinitiativen geschaffen. Die Vorschrift setzt einen Anreiz für eine gemeinsame Gestaltung einer ökologisch nachhaltigen Landwirtschaft und dient somit auch den Zielen der Farm </w:t>
      </w:r>
      <w:proofErr w:type="spellStart"/>
      <w:r w:rsidRPr="003C3539">
        <w:rPr>
          <w:rFonts w:ascii="BundesSans Office" w:hAnsi="BundesSans Office"/>
          <w:sz w:val="24"/>
          <w:szCs w:val="24"/>
        </w:rPr>
        <w:t>to</w:t>
      </w:r>
      <w:proofErr w:type="spellEnd"/>
      <w:r w:rsidRPr="003C3539">
        <w:rPr>
          <w:rFonts w:ascii="BundesSans Office" w:hAnsi="BundesSans Office"/>
          <w:sz w:val="24"/>
          <w:szCs w:val="24"/>
        </w:rPr>
        <w:t xml:space="preserve"> Fork-Strategie. Zugleich hat sie das Potenzial, die Stellung von Erzeugerinnen und Erzeugern in der Lebensmittelversorgungskette zu stärken</w:t>
      </w:r>
      <w:r w:rsidR="00E71F5A">
        <w:rPr>
          <w:rFonts w:ascii="BundesSans Office" w:hAnsi="BundesSans Office"/>
          <w:sz w:val="24"/>
          <w:szCs w:val="24"/>
        </w:rPr>
        <w:t xml:space="preserve">, </w:t>
      </w:r>
      <w:r w:rsidR="00E71F5A" w:rsidRPr="00E71F5A">
        <w:rPr>
          <w:rFonts w:ascii="BundesSans Office" w:hAnsi="BundesSans Office"/>
          <w:sz w:val="24"/>
          <w:szCs w:val="24"/>
        </w:rPr>
        <w:t>ihre Teilhabe an der Wertschöpfung des Lebensmittelmarktes zu verbessern und die Wettbewerbsfähigkeit nachhaltiger Produkte zu fördern</w:t>
      </w:r>
      <w:r w:rsidRPr="003C3539">
        <w:rPr>
          <w:rFonts w:ascii="BundesSans Office" w:hAnsi="BundesSans Office"/>
          <w:sz w:val="24"/>
          <w:szCs w:val="24"/>
        </w:rPr>
        <w:t xml:space="preserve">. </w:t>
      </w:r>
    </w:p>
    <w:p w14:paraId="6BA34E52" w14:textId="77777777" w:rsidR="003C3539" w:rsidRPr="003C3539" w:rsidRDefault="003C3539" w:rsidP="003C3539">
      <w:pPr>
        <w:rPr>
          <w:rFonts w:ascii="BundesSans Office" w:hAnsi="BundesSans Office"/>
          <w:sz w:val="24"/>
          <w:szCs w:val="24"/>
        </w:rPr>
      </w:pPr>
      <w:r w:rsidRPr="003C3539">
        <w:rPr>
          <w:rFonts w:ascii="BundesSans Office" w:hAnsi="BundesSans Office"/>
          <w:sz w:val="24"/>
          <w:szCs w:val="24"/>
        </w:rPr>
        <w:t>Die Bundesregierung begrüßt, dass die Kommission einen breit angelegten Entwurf für Leitlinien zur Anwendung des Artikels 210a GMO vorgelegt hat. Die Leitlinien leisten einen wesentlichen Beitrag zur Rechtsklarheit. Dabei sieht die Bundesregierung Bedarf für weitere Klarstellungen, Abgrenzungen und Erläuterungen in den Leitlinien, um den Umfang der Freistellung von Nachhaltigkeitsinitiativen landwirtschaftlicher Erzeugerinnen und Erzeuger auf vertikaler und horizontaler Ebene der landwirtschaftlichen Wertschöpfungskette und deren rechtliche Grenzen nach dem unionsrechtlichen Kartellverbot aufzuzeigen.</w:t>
      </w:r>
    </w:p>
    <w:p w14:paraId="73009D97" w14:textId="4F07DD6B" w:rsidR="003C3539" w:rsidRDefault="003C3539" w:rsidP="003C3539">
      <w:pPr>
        <w:rPr>
          <w:rFonts w:ascii="BundesSans Office" w:hAnsi="BundesSans Office"/>
          <w:sz w:val="24"/>
          <w:szCs w:val="24"/>
        </w:rPr>
      </w:pPr>
      <w:r>
        <w:rPr>
          <w:rFonts w:ascii="BundesSans Office" w:hAnsi="BundesSans Office"/>
          <w:sz w:val="24"/>
          <w:szCs w:val="24"/>
        </w:rPr>
        <w:t>Die Leitlinien heben richtigerw</w:t>
      </w:r>
      <w:r w:rsidRPr="003C3539">
        <w:rPr>
          <w:rFonts w:ascii="BundesSans Office" w:hAnsi="BundesSans Office"/>
          <w:sz w:val="24"/>
          <w:szCs w:val="24"/>
        </w:rPr>
        <w:t>eise den Grundsatz hervor, dass Ausnahmeregelungen eng auszulegen sind (</w:t>
      </w:r>
      <w:proofErr w:type="spellStart"/>
      <w:r w:rsidRPr="003C3539">
        <w:rPr>
          <w:rFonts w:ascii="BundesSans Office" w:hAnsi="BundesSans Office"/>
          <w:sz w:val="24"/>
          <w:szCs w:val="24"/>
        </w:rPr>
        <w:t>Rn</w:t>
      </w:r>
      <w:proofErr w:type="spellEnd"/>
      <w:r w:rsidRPr="003C3539">
        <w:rPr>
          <w:rFonts w:ascii="BundesSans Office" w:hAnsi="BundesSans Office"/>
          <w:sz w:val="24"/>
          <w:szCs w:val="24"/>
        </w:rPr>
        <w:t xml:space="preserve">. 15), wobei </w:t>
      </w:r>
      <w:r w:rsidR="00E71F5A">
        <w:rPr>
          <w:rFonts w:ascii="BundesSans Office" w:hAnsi="BundesSans Office"/>
          <w:sz w:val="24"/>
          <w:szCs w:val="24"/>
        </w:rPr>
        <w:t>dabei der Sinn und Zweck der Vorschrift zu beachten ist</w:t>
      </w:r>
      <w:r w:rsidRPr="003C3539">
        <w:rPr>
          <w:rFonts w:ascii="BundesSans Office" w:hAnsi="BundesSans Office"/>
          <w:sz w:val="24"/>
          <w:szCs w:val="24"/>
        </w:rPr>
        <w:t xml:space="preserve">. </w:t>
      </w:r>
    </w:p>
    <w:p w14:paraId="79AAA928" w14:textId="1F46BF4B" w:rsidR="003C3539" w:rsidRPr="003C3539" w:rsidRDefault="003C3539" w:rsidP="003C3539">
      <w:pPr>
        <w:rPr>
          <w:rFonts w:ascii="BundesSans Office" w:hAnsi="BundesSans Office"/>
          <w:sz w:val="24"/>
          <w:szCs w:val="24"/>
        </w:rPr>
      </w:pPr>
      <w:r w:rsidRPr="003C3539">
        <w:rPr>
          <w:rFonts w:ascii="BundesSans Office" w:hAnsi="BundesSans Office"/>
          <w:sz w:val="24"/>
          <w:szCs w:val="24"/>
        </w:rPr>
        <w:t>Die Schwelle für die Wahrscheinlichkeit des Erreichens des angestrebten Nachhaltigkeitsstandards (</w:t>
      </w:r>
      <w:proofErr w:type="spellStart"/>
      <w:r w:rsidRPr="003C3539">
        <w:rPr>
          <w:rFonts w:ascii="BundesSans Office" w:hAnsi="BundesSans Office"/>
          <w:sz w:val="24"/>
          <w:szCs w:val="24"/>
        </w:rPr>
        <w:t>Rn</w:t>
      </w:r>
      <w:proofErr w:type="spellEnd"/>
      <w:r w:rsidRPr="003C3539">
        <w:rPr>
          <w:rFonts w:ascii="BundesSans Office" w:hAnsi="BundesSans Office"/>
          <w:sz w:val="24"/>
          <w:szCs w:val="24"/>
        </w:rPr>
        <w:t xml:space="preserve">. 89) </w:t>
      </w:r>
      <w:r w:rsidR="00E71F5A" w:rsidRPr="00E71F5A">
        <w:rPr>
          <w:rFonts w:ascii="BundesSans Office" w:hAnsi="BundesSans Office"/>
          <w:sz w:val="24"/>
          <w:szCs w:val="24"/>
        </w:rPr>
        <w:t xml:space="preserve">sollte nicht zu niedrig angesetzt werden. Weiterhin sollte auch </w:t>
      </w:r>
      <w:r w:rsidRPr="003C3539">
        <w:rPr>
          <w:rFonts w:ascii="BundesSans Office" w:hAnsi="BundesSans Office"/>
          <w:sz w:val="24"/>
          <w:szCs w:val="24"/>
        </w:rPr>
        <w:t xml:space="preserve">der angestrebte Nachhaltigkeitsstandard </w:t>
      </w:r>
      <w:r w:rsidR="00E71F5A" w:rsidRPr="00E71F5A">
        <w:rPr>
          <w:rFonts w:ascii="BundesSans Office" w:hAnsi="BundesSans Office"/>
          <w:sz w:val="24"/>
          <w:szCs w:val="24"/>
        </w:rPr>
        <w:t xml:space="preserve">an sich unter Berücksichtigung des gesetzlichen Mindeststandards </w:t>
      </w:r>
      <w:r w:rsidR="00E71F5A">
        <w:rPr>
          <w:rFonts w:ascii="BundesSans Office" w:hAnsi="BundesSans Office"/>
          <w:sz w:val="24"/>
          <w:szCs w:val="24"/>
        </w:rPr>
        <w:t xml:space="preserve">ambitioniert angesetzt werden </w:t>
      </w:r>
      <w:r w:rsidRPr="003C3539">
        <w:rPr>
          <w:rFonts w:ascii="BundesSans Office" w:hAnsi="BundesSans Office"/>
          <w:sz w:val="24"/>
          <w:szCs w:val="24"/>
        </w:rPr>
        <w:t>(</w:t>
      </w:r>
      <w:proofErr w:type="spellStart"/>
      <w:r w:rsidRPr="003C3539">
        <w:rPr>
          <w:rFonts w:ascii="BundesSans Office" w:hAnsi="BundesSans Office"/>
          <w:sz w:val="24"/>
          <w:szCs w:val="24"/>
        </w:rPr>
        <w:t>Rn</w:t>
      </w:r>
      <w:proofErr w:type="spellEnd"/>
      <w:r w:rsidRPr="003C3539">
        <w:rPr>
          <w:rFonts w:ascii="BundesSans Office" w:hAnsi="BundesSans Office"/>
          <w:sz w:val="24"/>
          <w:szCs w:val="24"/>
        </w:rPr>
        <w:t xml:space="preserve">. 61). Dabei sollte auch der Wettbewerb um Innovationen, die der Nachhaltigkeit dienen, z. B. durch neue Technologien oder Produktionsmethoden, gewährleistet bleiben. </w:t>
      </w:r>
    </w:p>
    <w:p w14:paraId="232854C0" w14:textId="77777777" w:rsidR="003C3539" w:rsidRPr="003C3539" w:rsidRDefault="003C3539" w:rsidP="003C3539">
      <w:pPr>
        <w:rPr>
          <w:rFonts w:ascii="BundesSans Office" w:hAnsi="BundesSans Office"/>
          <w:sz w:val="24"/>
          <w:szCs w:val="24"/>
        </w:rPr>
      </w:pPr>
      <w:r w:rsidRPr="003C3539">
        <w:rPr>
          <w:rFonts w:ascii="BundesSans Office" w:hAnsi="BundesSans Office"/>
          <w:sz w:val="24"/>
          <w:szCs w:val="24"/>
        </w:rPr>
        <w:t xml:space="preserve">Die in den Leitlinien angeführten Praxisbeispiele verbessern das Verständnis des neu geschaffenen Artikels. Sie verdeutlichen aber auch die Komplexität der wettbewerbsrechtlichen Fragen, die Anwenderinnen und Anwender im Rahmen der Vereinbarung von Nachhaltigkeitsinitiativen zu klären und zu berücksichtigen haben. Um die </w:t>
      </w:r>
      <w:r w:rsidRPr="003C3539">
        <w:rPr>
          <w:rFonts w:ascii="BundesSans Office" w:hAnsi="BundesSans Office"/>
          <w:sz w:val="24"/>
          <w:szCs w:val="24"/>
        </w:rPr>
        <w:lastRenderedPageBreak/>
        <w:t xml:space="preserve">Nutzerfreundlichkeit zu gewährleisten, könnten die Leitlinien um eine leicht verständliche kurze Zusammenfassung ergänzt werden. </w:t>
      </w:r>
    </w:p>
    <w:p w14:paraId="5D480EE8" w14:textId="77777777" w:rsidR="003C3539" w:rsidRPr="003C3539" w:rsidRDefault="003C3539" w:rsidP="003C3539">
      <w:pPr>
        <w:rPr>
          <w:rFonts w:ascii="BundesSans Office" w:hAnsi="BundesSans Office"/>
          <w:sz w:val="24"/>
          <w:szCs w:val="24"/>
        </w:rPr>
      </w:pPr>
      <w:r w:rsidRPr="003C3539">
        <w:rPr>
          <w:rFonts w:ascii="BundesSans Office" w:hAnsi="BundesSans Office"/>
          <w:sz w:val="24"/>
          <w:szCs w:val="24"/>
        </w:rPr>
        <w:t xml:space="preserve">Die Bundesregierung begrüßt die Konsultationen zum Entwurf der Leitlinien. Kommentare sowie Bitten um Erläuterung und Klarstellung sind als Anlage beigefügt. </w:t>
      </w:r>
    </w:p>
    <w:p w14:paraId="3070CD39" w14:textId="77777777" w:rsidR="003C3539" w:rsidRPr="003C3539" w:rsidRDefault="003C3539" w:rsidP="003C3539">
      <w:pPr>
        <w:rPr>
          <w:rFonts w:ascii="BundesSans Office" w:hAnsi="BundesSans Office"/>
          <w:sz w:val="24"/>
          <w:szCs w:val="24"/>
        </w:rPr>
      </w:pPr>
    </w:p>
    <w:p w14:paraId="727DCF9B" w14:textId="77777777" w:rsidR="001159D0" w:rsidRPr="003C3539" w:rsidRDefault="001159D0">
      <w:pPr>
        <w:rPr>
          <w:rFonts w:ascii="BundesSans Office" w:hAnsi="BundesSans Office"/>
          <w:sz w:val="24"/>
          <w:szCs w:val="24"/>
        </w:rPr>
      </w:pPr>
    </w:p>
    <w:sectPr w:rsidR="001159D0" w:rsidRPr="003C353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237A7" w14:textId="77777777" w:rsidR="003C3539" w:rsidRDefault="003C3539" w:rsidP="003C3539">
      <w:pPr>
        <w:spacing w:after="0" w:line="240" w:lineRule="auto"/>
      </w:pPr>
      <w:r>
        <w:separator/>
      </w:r>
    </w:p>
  </w:endnote>
  <w:endnote w:type="continuationSeparator" w:id="0">
    <w:p w14:paraId="469644D3" w14:textId="77777777" w:rsidR="003C3539" w:rsidRDefault="003C3539" w:rsidP="003C3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undesSans Office">
    <w:altName w:val="Calibri"/>
    <w:charset w:val="00"/>
    <w:family w:val="swiss"/>
    <w:pitch w:val="variable"/>
    <w:sig w:usb0="A00000BF" w:usb1="4000206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0C1C1" w14:textId="77777777" w:rsidR="003C3539" w:rsidRDefault="003C3539" w:rsidP="003C3539">
      <w:pPr>
        <w:spacing w:after="0" w:line="240" w:lineRule="auto"/>
      </w:pPr>
      <w:r>
        <w:separator/>
      </w:r>
    </w:p>
  </w:footnote>
  <w:footnote w:type="continuationSeparator" w:id="0">
    <w:p w14:paraId="50DEC6DC" w14:textId="77777777" w:rsidR="003C3539" w:rsidRDefault="003C3539" w:rsidP="003C35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3C3539"/>
    <w:rsid w:val="001159D0"/>
    <w:rsid w:val="002D1B5F"/>
    <w:rsid w:val="003B02CE"/>
    <w:rsid w:val="003C3539"/>
    <w:rsid w:val="00901B63"/>
    <w:rsid w:val="00D20491"/>
    <w:rsid w:val="00E71F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35F27"/>
  <w15:chartTrackingRefBased/>
  <w15:docId w15:val="{8BA4F664-4526-4F7E-A693-1B2AE5911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3C3539"/>
    <w:rPr>
      <w:sz w:val="16"/>
      <w:szCs w:val="16"/>
    </w:rPr>
  </w:style>
  <w:style w:type="paragraph" w:styleId="CommentText">
    <w:name w:val="annotation text"/>
    <w:basedOn w:val="Normal"/>
    <w:link w:val="CommentTextChar"/>
    <w:semiHidden/>
    <w:rsid w:val="003C3539"/>
    <w:pPr>
      <w:spacing w:after="0" w:line="240" w:lineRule="auto"/>
    </w:pPr>
    <w:rPr>
      <w:rFonts w:ascii="BundesSans Office" w:eastAsia="Times New Roman" w:hAnsi="BundesSans Office" w:cs="Times New Roman"/>
      <w:sz w:val="20"/>
      <w:szCs w:val="20"/>
      <w:lang w:eastAsia="de-DE"/>
    </w:rPr>
  </w:style>
  <w:style w:type="character" w:customStyle="1" w:styleId="CommentTextChar">
    <w:name w:val="Comment Text Char"/>
    <w:basedOn w:val="DefaultParagraphFont"/>
    <w:link w:val="CommentText"/>
    <w:semiHidden/>
    <w:rsid w:val="003C3539"/>
    <w:rPr>
      <w:rFonts w:ascii="BundesSans Office" w:eastAsia="Times New Roman" w:hAnsi="BundesSans Office" w:cs="Times New Roman"/>
      <w:sz w:val="20"/>
      <w:szCs w:val="20"/>
      <w:lang w:eastAsia="de-DE"/>
    </w:rPr>
  </w:style>
  <w:style w:type="paragraph" w:styleId="BalloonText">
    <w:name w:val="Balloon Text"/>
    <w:basedOn w:val="Normal"/>
    <w:link w:val="BalloonTextChar"/>
    <w:uiPriority w:val="99"/>
    <w:semiHidden/>
    <w:unhideWhenUsed/>
    <w:rsid w:val="003C35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3539"/>
    <w:rPr>
      <w:rFonts w:ascii="Segoe UI" w:hAnsi="Segoe UI" w:cs="Segoe UI"/>
      <w:sz w:val="18"/>
      <w:szCs w:val="18"/>
    </w:rPr>
  </w:style>
  <w:style w:type="paragraph" w:styleId="Header">
    <w:name w:val="header"/>
    <w:basedOn w:val="Normal"/>
    <w:link w:val="HeaderChar"/>
    <w:uiPriority w:val="99"/>
    <w:unhideWhenUsed/>
    <w:rsid w:val="003C35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3539"/>
  </w:style>
  <w:style w:type="paragraph" w:styleId="Footer">
    <w:name w:val="footer"/>
    <w:basedOn w:val="Normal"/>
    <w:link w:val="FooterChar"/>
    <w:uiPriority w:val="99"/>
    <w:unhideWhenUsed/>
    <w:rsid w:val="003C35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3539"/>
  </w:style>
  <w:style w:type="paragraph" w:styleId="CommentSubject">
    <w:name w:val="annotation subject"/>
    <w:basedOn w:val="CommentText"/>
    <w:next w:val="CommentText"/>
    <w:link w:val="CommentSubjectChar"/>
    <w:uiPriority w:val="99"/>
    <w:semiHidden/>
    <w:unhideWhenUsed/>
    <w:rsid w:val="00E71F5A"/>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71F5A"/>
    <w:rPr>
      <w:rFonts w:ascii="BundesSans Office" w:eastAsia="Times New Roman" w:hAnsi="BundesSans Office"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335</Words>
  <Characters>2448</Characters>
  <Application>Microsoft Office Word</Application>
  <DocSecurity>0</DocSecurity>
  <Lines>40</Lines>
  <Paragraphs>12</Paragraphs>
  <ScaleCrop>false</ScaleCrop>
  <HeadingPairs>
    <vt:vector size="2" baseType="variant">
      <vt:variant>
        <vt:lpstr>Titel</vt:lpstr>
      </vt:variant>
      <vt:variant>
        <vt:i4>1</vt:i4>
      </vt:variant>
    </vt:vector>
  </HeadingPairs>
  <TitlesOfParts>
    <vt:vector size="1" baseType="lpstr">
      <vt:lpstr/>
    </vt:vector>
  </TitlesOfParts>
  <Company>BMEL</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BMEL Ref. 415 OLu</dc:creator>
  <cp:keywords/>
  <dc:description/>
  <cp:lastModifiedBy>BANKOV Marin (COMP)</cp:lastModifiedBy>
  <cp:revision>2</cp:revision>
  <dcterms:created xsi:type="dcterms:W3CDTF">2023-04-20T10:35:00Z</dcterms:created>
  <dcterms:modified xsi:type="dcterms:W3CDTF">2023-04-20T10:35:00Z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2023-04-20T10:34:39Z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968628c8-557e-4ef6-99c9-7106d6e65178</vt:lpwstr>
  </property>
  <property fmtid="{D5CDD505-2E9C-101B-9397-08002B2CF9AE}" pid="8" name="MSIP_Label_6bd9ddd1-4d20-43f6-abfa-fc3c07406f94_ContentBits">
    <vt:lpwstr>0</vt:lpwstr>
  </property>
</Properties>
</file>