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8B3C5" w14:textId="77777777" w:rsidR="00A613AE" w:rsidRPr="00A613AE" w:rsidRDefault="00A613AE" w:rsidP="00A613AE">
      <w:pPr>
        <w:pStyle w:val="Adrefeld"/>
        <w:framePr w:wrap="around"/>
        <w:rPr>
          <w:lang w:val="en-US"/>
        </w:rPr>
      </w:pPr>
      <w:bookmarkStart w:id="0" w:name="Text1"/>
      <w:r w:rsidRPr="00A613AE">
        <w:rPr>
          <w:lang w:val="en-US"/>
        </w:rPr>
        <w:t>European Commission</w:t>
      </w:r>
    </w:p>
    <w:p w14:paraId="7D457D2E" w14:textId="77777777" w:rsidR="00A613AE" w:rsidRPr="00A613AE" w:rsidRDefault="00A613AE" w:rsidP="00A613AE">
      <w:pPr>
        <w:pStyle w:val="Adrefeld"/>
        <w:framePr w:wrap="around"/>
        <w:rPr>
          <w:lang w:val="en-US"/>
        </w:rPr>
      </w:pPr>
      <w:r w:rsidRPr="00A613AE">
        <w:rPr>
          <w:lang w:val="en-US"/>
        </w:rPr>
        <w:t>Directorate-General for Competition</w:t>
      </w:r>
    </w:p>
    <w:p w14:paraId="6DE04E23" w14:textId="77777777" w:rsidR="00A613AE" w:rsidRPr="00A613AE" w:rsidRDefault="00A613AE" w:rsidP="00A613AE">
      <w:pPr>
        <w:pStyle w:val="Adrefeld"/>
        <w:framePr w:wrap="around"/>
        <w:rPr>
          <w:lang w:val="fr-FR"/>
        </w:rPr>
      </w:pPr>
      <w:r w:rsidRPr="00A613AE">
        <w:rPr>
          <w:lang w:val="fr-FR"/>
        </w:rPr>
        <w:t>Unit E5</w:t>
      </w:r>
    </w:p>
    <w:p w14:paraId="51227B71" w14:textId="77777777" w:rsidR="00A613AE" w:rsidRPr="00A613AE" w:rsidRDefault="00A613AE" w:rsidP="00A613AE">
      <w:pPr>
        <w:pStyle w:val="Adrefeld"/>
        <w:framePr w:wrap="around"/>
        <w:rPr>
          <w:lang w:val="fr-FR"/>
        </w:rPr>
      </w:pPr>
      <w:r w:rsidRPr="00A613AE">
        <w:rPr>
          <w:lang w:val="fr-FR"/>
        </w:rPr>
        <w:t>Place Madou 1,</w:t>
      </w:r>
    </w:p>
    <w:p w14:paraId="32E67917" w14:textId="77777777" w:rsidR="00A613AE" w:rsidRPr="00A613AE" w:rsidRDefault="00A613AE" w:rsidP="00A613AE">
      <w:pPr>
        <w:pStyle w:val="Adrefeld"/>
        <w:framePr w:wrap="around"/>
        <w:rPr>
          <w:lang w:val="fr-FR"/>
        </w:rPr>
      </w:pPr>
      <w:r w:rsidRPr="00A613AE">
        <w:rPr>
          <w:lang w:val="fr-FR"/>
        </w:rPr>
        <w:t>1210 Saint-Josse-ten-Noode,</w:t>
      </w:r>
    </w:p>
    <w:p w14:paraId="3E9DD582" w14:textId="4EC0356E" w:rsidR="00A613AE" w:rsidRDefault="00A613AE" w:rsidP="00A613AE">
      <w:pPr>
        <w:pStyle w:val="Adrefeld"/>
        <w:framePr w:wrap="around"/>
      </w:pPr>
      <w:proofErr w:type="spellStart"/>
      <w:r>
        <w:t>Belgique</w:t>
      </w:r>
      <w:proofErr w:type="spellEnd"/>
      <w:r>
        <w:t xml:space="preserve"> /</w:t>
      </w:r>
      <w:proofErr w:type="spellStart"/>
      <w:r>
        <w:t>België</w:t>
      </w:r>
      <w:proofErr w:type="spellEnd"/>
    </w:p>
    <w:bookmarkEnd w:id="0"/>
    <w:tbl>
      <w:tblPr>
        <w:tblStyle w:val="Tabellenraster"/>
        <w:tblW w:w="9214" w:type="dxa"/>
        <w:tblLook w:val="01E0" w:firstRow="1" w:lastRow="1" w:firstColumn="1" w:lastColumn="1" w:noHBand="0" w:noVBand="0"/>
      </w:tblPr>
      <w:tblGrid>
        <w:gridCol w:w="7371"/>
        <w:gridCol w:w="1843"/>
      </w:tblGrid>
      <w:tr w:rsidR="0012277D" w:rsidRPr="00490C47" w14:paraId="4259F968" w14:textId="77777777" w:rsidTr="0085437C">
        <w:tc>
          <w:tcPr>
            <w:tcW w:w="7371" w:type="dxa"/>
          </w:tcPr>
          <w:p w14:paraId="05891AC7" w14:textId="77777777" w:rsidR="00543FB5" w:rsidRPr="00543FB5" w:rsidRDefault="00543FB5" w:rsidP="00713CA5">
            <w:pPr>
              <w:rPr>
                <w:b/>
              </w:rPr>
            </w:pPr>
          </w:p>
        </w:tc>
        <w:tc>
          <w:tcPr>
            <w:tcW w:w="1843" w:type="dxa"/>
          </w:tcPr>
          <w:p w14:paraId="77D50627" w14:textId="16E1078E" w:rsidR="00490C47" w:rsidRPr="00490C47" w:rsidRDefault="00E5395C" w:rsidP="0085437C">
            <w:r>
              <w:rPr>
                <w:color w:val="2B579A"/>
                <w:shd w:val="clear" w:color="auto" w:fill="E6E6E6"/>
              </w:rPr>
              <w:fldChar w:fldCharType="begin"/>
            </w:r>
            <w:r>
              <w:instrText xml:space="preserve"> CREATEDATE  \@ "d. MMMM yyyy" </w:instrText>
            </w:r>
            <w:r>
              <w:rPr>
                <w:color w:val="2B579A"/>
                <w:shd w:val="clear" w:color="auto" w:fill="E6E6E6"/>
              </w:rPr>
              <w:fldChar w:fldCharType="separate"/>
            </w:r>
            <w:r w:rsidR="00A613AE">
              <w:t>1</w:t>
            </w:r>
            <w:r w:rsidR="004C0E0E">
              <w:t>3</w:t>
            </w:r>
            <w:r w:rsidR="00CD7331">
              <w:rPr>
                <w:noProof/>
              </w:rPr>
              <w:t xml:space="preserve"> </w:t>
            </w:r>
            <w:r w:rsidR="00A613AE">
              <w:rPr>
                <w:noProof/>
              </w:rPr>
              <w:t>April</w:t>
            </w:r>
            <w:r w:rsidR="00CD7331">
              <w:rPr>
                <w:noProof/>
              </w:rPr>
              <w:t xml:space="preserve"> 202</w:t>
            </w:r>
            <w:r>
              <w:rPr>
                <w:noProof/>
                <w:color w:val="2B579A"/>
                <w:shd w:val="clear" w:color="auto" w:fill="E6E6E6"/>
              </w:rPr>
              <w:fldChar w:fldCharType="end"/>
            </w:r>
            <w:r w:rsidR="00A613AE">
              <w:rPr>
                <w:noProof/>
              </w:rPr>
              <w:t>3</w:t>
            </w:r>
          </w:p>
        </w:tc>
      </w:tr>
    </w:tbl>
    <w:p w14:paraId="6C218AE5" w14:textId="77777777" w:rsidR="003A692B" w:rsidRDefault="003A692B" w:rsidP="00B266D1">
      <w:pPr>
        <w:rPr>
          <w:b/>
          <w:bCs/>
          <w:lang w:val="en-US"/>
        </w:rPr>
      </w:pPr>
    </w:p>
    <w:p w14:paraId="4D313428" w14:textId="05E638E6" w:rsidR="00B266D1" w:rsidRPr="00A613AE" w:rsidRDefault="00A613AE" w:rsidP="00B266D1">
      <w:pPr>
        <w:rPr>
          <w:b/>
          <w:bCs/>
          <w:lang w:val="en-US"/>
        </w:rPr>
      </w:pPr>
      <w:r w:rsidRPr="00A613AE">
        <w:rPr>
          <w:b/>
          <w:bCs/>
          <w:lang w:val="en-US"/>
        </w:rPr>
        <w:t>Public consultation on sustainability guidelines on an antitrust exclusion in agriculture</w:t>
      </w:r>
    </w:p>
    <w:p w14:paraId="73AAD0E6" w14:textId="7F5E9995" w:rsidR="00B266D1" w:rsidRDefault="00B266D1" w:rsidP="00B266D1">
      <w:pPr>
        <w:rPr>
          <w:lang w:val="en-US"/>
        </w:rPr>
      </w:pPr>
    </w:p>
    <w:p w14:paraId="6B36EAC1" w14:textId="60E349D9" w:rsidR="00A613AE" w:rsidRDefault="00A613AE" w:rsidP="00B266D1">
      <w:pPr>
        <w:rPr>
          <w:lang w:val="en-US"/>
        </w:rPr>
      </w:pPr>
      <w:r>
        <w:rPr>
          <w:lang w:val="en-US"/>
        </w:rPr>
        <w:t>Dear Sir or Madam,</w:t>
      </w:r>
    </w:p>
    <w:p w14:paraId="0A94EF83" w14:textId="1CD18E00" w:rsidR="00A613AE" w:rsidRDefault="00A613AE" w:rsidP="00B266D1">
      <w:pPr>
        <w:rPr>
          <w:lang w:val="en-US"/>
        </w:rPr>
      </w:pPr>
    </w:p>
    <w:p w14:paraId="2E414E6C" w14:textId="6F02B13A" w:rsidR="00A613AE" w:rsidRDefault="00A613AE" w:rsidP="00B266D1">
      <w:pPr>
        <w:rPr>
          <w:lang w:val="en-US"/>
        </w:rPr>
      </w:pPr>
      <w:r>
        <w:rPr>
          <w:lang w:val="en-US"/>
        </w:rPr>
        <w:t xml:space="preserve">we, Forum for Sustainable Palm Oil (FONAP), thank the European Commission for the opportunity to </w:t>
      </w:r>
      <w:r w:rsidR="00CF6F2B">
        <w:rPr>
          <w:lang w:val="en-US"/>
        </w:rPr>
        <w:t>provide feedback</w:t>
      </w:r>
      <w:r>
        <w:rPr>
          <w:lang w:val="en-US"/>
        </w:rPr>
        <w:t xml:space="preserve"> on the draft </w:t>
      </w:r>
      <w:r w:rsidRPr="00A613AE">
        <w:rPr>
          <w:lang w:val="en-US"/>
        </w:rPr>
        <w:t>Commission Guidelines on the application of the derogation from Article 101 TFEU for sustainability agreements of agricultural producers pursuant to Article 210(a) of Regulation 1308/2013</w:t>
      </w:r>
      <w:r w:rsidR="003A692B">
        <w:rPr>
          <w:lang w:val="en-US"/>
        </w:rPr>
        <w:t>.</w:t>
      </w:r>
      <w:r w:rsidR="006A69C0">
        <w:rPr>
          <w:lang w:val="en-US"/>
        </w:rPr>
        <w:t xml:space="preserve"> </w:t>
      </w:r>
    </w:p>
    <w:p w14:paraId="3995BE40" w14:textId="40B06029" w:rsidR="003A692B" w:rsidRDefault="003A692B" w:rsidP="00B266D1">
      <w:pPr>
        <w:rPr>
          <w:lang w:val="en-US"/>
        </w:rPr>
      </w:pPr>
    </w:p>
    <w:p w14:paraId="1467D64E" w14:textId="362E0F7D" w:rsidR="003A692B" w:rsidRPr="003A692B" w:rsidRDefault="003A692B" w:rsidP="003A692B">
      <w:pPr>
        <w:rPr>
          <w:lang w:val="en-US"/>
        </w:rPr>
      </w:pPr>
      <w:r w:rsidRPr="003A692B">
        <w:rPr>
          <w:lang w:val="en-US"/>
        </w:rPr>
        <w:t xml:space="preserve">The Forum for Sustainable Palm Oil </w:t>
      </w:r>
      <w:r>
        <w:rPr>
          <w:lang w:val="en-US"/>
        </w:rPr>
        <w:t>(FONAP</w:t>
      </w:r>
      <w:r w:rsidR="00EC6159">
        <w:rPr>
          <w:lang w:val="en-US"/>
        </w:rPr>
        <w:t xml:space="preserve"> </w:t>
      </w:r>
      <w:proofErr w:type="spellStart"/>
      <w:r w:rsidR="00EC6159">
        <w:rPr>
          <w:lang w:val="en-US"/>
        </w:rPr>
        <w:t>e.V.</w:t>
      </w:r>
      <w:proofErr w:type="spellEnd"/>
      <w:r>
        <w:rPr>
          <w:lang w:val="en-US"/>
        </w:rPr>
        <w:t xml:space="preserve">) </w:t>
      </w:r>
      <w:r w:rsidRPr="003A692B">
        <w:rPr>
          <w:lang w:val="en-US"/>
        </w:rPr>
        <w:t xml:space="preserve">currently has 51 members, including companies, non-governmental </w:t>
      </w:r>
      <w:r w:rsidR="00EC6159" w:rsidRPr="003A692B">
        <w:rPr>
          <w:lang w:val="en-US"/>
        </w:rPr>
        <w:t>organizations</w:t>
      </w:r>
      <w:r w:rsidRPr="003A692B">
        <w:rPr>
          <w:lang w:val="en-US"/>
        </w:rPr>
        <w:t xml:space="preserve">, associations, the German Federal Ministry of Food and Agriculture (BMEL) and the </w:t>
      </w:r>
      <w:r w:rsidR="00EC6159">
        <w:rPr>
          <w:lang w:val="en-US"/>
        </w:rPr>
        <w:t xml:space="preserve">German </w:t>
      </w:r>
      <w:r w:rsidRPr="003A692B">
        <w:rPr>
          <w:lang w:val="en-US"/>
        </w:rPr>
        <w:t xml:space="preserve">Federal Ministry for Economic Cooperation and Development (BMZ). The aim of FONAP </w:t>
      </w:r>
      <w:proofErr w:type="spellStart"/>
      <w:r w:rsidRPr="003A692B">
        <w:rPr>
          <w:lang w:val="en-US"/>
        </w:rPr>
        <w:t>e.V.</w:t>
      </w:r>
      <w:proofErr w:type="spellEnd"/>
      <w:r w:rsidRPr="003A692B">
        <w:rPr>
          <w:lang w:val="en-US"/>
        </w:rPr>
        <w:t xml:space="preserve"> is to promote sustainable agricultural supply chains with a focus on palm oil. Since its foundation in 2015, FONAP has been committed to more sustainable oil palm cultivation in the countries of origin. The members of FONAP have publicly committed to using only sustainably produced palm and palm kernel oil in their products. They also undertake to ensure the traceability of the palm oil they use and to comply with certain add-on criteria that are not yet covered by the certification systems. </w:t>
      </w:r>
    </w:p>
    <w:p w14:paraId="4965E69A" w14:textId="00074C99" w:rsidR="003A692B" w:rsidRDefault="003A692B" w:rsidP="00B266D1">
      <w:pPr>
        <w:rPr>
          <w:lang w:val="en-US"/>
        </w:rPr>
      </w:pPr>
    </w:p>
    <w:p w14:paraId="30E26F4F" w14:textId="07466117" w:rsidR="006F6451" w:rsidRDefault="003A692B" w:rsidP="00B266D1">
      <w:pPr>
        <w:rPr>
          <w:lang w:val="en-US"/>
        </w:rPr>
      </w:pPr>
      <w:r>
        <w:rPr>
          <w:lang w:val="en-US"/>
        </w:rPr>
        <w:t xml:space="preserve">FONAP does not currently partner with producers in </w:t>
      </w:r>
      <w:r w:rsidR="00BE3D4E">
        <w:rPr>
          <w:lang w:val="en-US"/>
        </w:rPr>
        <w:t xml:space="preserve">any way that restricts </w:t>
      </w:r>
      <w:r>
        <w:rPr>
          <w:lang w:val="en-US"/>
        </w:rPr>
        <w:t>competition in the European market</w:t>
      </w:r>
      <w:r w:rsidR="00466F53">
        <w:rPr>
          <w:lang w:val="en-US"/>
        </w:rPr>
        <w:t>. In future,</w:t>
      </w:r>
      <w:r>
        <w:rPr>
          <w:lang w:val="en-US"/>
        </w:rPr>
        <w:t xml:space="preserve"> </w:t>
      </w:r>
      <w:r w:rsidR="008F255A">
        <w:rPr>
          <w:lang w:val="en-US"/>
        </w:rPr>
        <w:t xml:space="preserve">however, </w:t>
      </w:r>
      <w:r>
        <w:rPr>
          <w:lang w:val="en-US"/>
        </w:rPr>
        <w:t>it m</w:t>
      </w:r>
      <w:r w:rsidR="00466F53">
        <w:rPr>
          <w:lang w:val="en-US"/>
        </w:rPr>
        <w:t>ight</w:t>
      </w:r>
      <w:r>
        <w:rPr>
          <w:lang w:val="en-US"/>
        </w:rPr>
        <w:t xml:space="preserve"> enter partnerships </w:t>
      </w:r>
      <w:r w:rsidR="00466F53">
        <w:rPr>
          <w:lang w:val="en-US"/>
        </w:rPr>
        <w:t xml:space="preserve">with producers of palm (kernel) oil and its fractions to pursue goals related to </w:t>
      </w:r>
      <w:r w:rsidR="004A1E15">
        <w:rPr>
          <w:lang w:val="en-US"/>
        </w:rPr>
        <w:t xml:space="preserve">social and </w:t>
      </w:r>
      <w:r w:rsidR="00466F53">
        <w:rPr>
          <w:lang w:val="en-US"/>
        </w:rPr>
        <w:t>environmental sustainability (e.g., improving biodiversity on plantations, protecting wild animals, limiting the use of hazardous fertilizers, protecting forests and peatlands)</w:t>
      </w:r>
      <w:r>
        <w:rPr>
          <w:lang w:val="en-US"/>
        </w:rPr>
        <w:t xml:space="preserve">. Producer partners of any such agreement </w:t>
      </w:r>
      <w:r w:rsidR="00E94515">
        <w:rPr>
          <w:lang w:val="en-US"/>
        </w:rPr>
        <w:t>will</w:t>
      </w:r>
      <w:r>
        <w:rPr>
          <w:lang w:val="en-US"/>
        </w:rPr>
        <w:t xml:space="preserve"> be based outside the EU, </w:t>
      </w:r>
      <w:r w:rsidR="00466F53">
        <w:rPr>
          <w:lang w:val="en-US"/>
        </w:rPr>
        <w:t xml:space="preserve">as </w:t>
      </w:r>
      <w:r>
        <w:rPr>
          <w:lang w:val="en-US"/>
        </w:rPr>
        <w:t xml:space="preserve">stipulated by chiffre (30) of the guidelines. </w:t>
      </w:r>
    </w:p>
    <w:p w14:paraId="1BC57914" w14:textId="1DAD4D8F" w:rsidR="00466F53" w:rsidRDefault="00466F53" w:rsidP="00466F53">
      <w:pPr>
        <w:rPr>
          <w:lang w:val="en-US"/>
        </w:rPr>
      </w:pPr>
    </w:p>
    <w:p w14:paraId="790715B6" w14:textId="78029118" w:rsidR="007800A6" w:rsidRDefault="007800A6" w:rsidP="00466F53">
      <w:pPr>
        <w:rPr>
          <w:lang w:val="en-US"/>
        </w:rPr>
      </w:pPr>
      <w:r>
        <w:rPr>
          <w:lang w:val="en-US"/>
        </w:rPr>
        <w:t xml:space="preserve">As </w:t>
      </w:r>
      <w:r w:rsidR="00700FCA">
        <w:rPr>
          <w:lang w:val="en-US"/>
        </w:rPr>
        <w:t xml:space="preserve">stakeholders in sustainable palm oil, we welcome the article and </w:t>
      </w:r>
      <w:r w:rsidR="002834D3">
        <w:rPr>
          <w:lang w:val="en-US"/>
        </w:rPr>
        <w:t xml:space="preserve">its </w:t>
      </w:r>
      <w:r w:rsidR="00700FCA">
        <w:rPr>
          <w:lang w:val="en-US"/>
        </w:rPr>
        <w:t xml:space="preserve">implementation guidelines as a step towards more sustainable </w:t>
      </w:r>
      <w:r w:rsidR="00E94515">
        <w:rPr>
          <w:lang w:val="en-US"/>
        </w:rPr>
        <w:t>supp</w:t>
      </w:r>
      <w:r w:rsidR="005F7917">
        <w:rPr>
          <w:lang w:val="en-US"/>
        </w:rPr>
        <w:t>ly chains</w:t>
      </w:r>
      <w:r w:rsidR="00700FCA">
        <w:rPr>
          <w:lang w:val="en-US"/>
        </w:rPr>
        <w:t xml:space="preserve">. To </w:t>
      </w:r>
      <w:r w:rsidR="002834D3">
        <w:rPr>
          <w:lang w:val="en-US"/>
        </w:rPr>
        <w:t xml:space="preserve">unlock </w:t>
      </w:r>
      <w:r w:rsidR="005F7917">
        <w:rPr>
          <w:lang w:val="en-US"/>
        </w:rPr>
        <w:t xml:space="preserve">the </w:t>
      </w:r>
      <w:r w:rsidR="002834D3">
        <w:rPr>
          <w:lang w:val="en-US"/>
        </w:rPr>
        <w:t>full potential</w:t>
      </w:r>
      <w:r w:rsidR="005F7917">
        <w:rPr>
          <w:lang w:val="en-US"/>
        </w:rPr>
        <w:t xml:space="preserve"> of the article</w:t>
      </w:r>
      <w:r w:rsidR="002834D3">
        <w:rPr>
          <w:lang w:val="en-US"/>
        </w:rPr>
        <w:t xml:space="preserve">, we </w:t>
      </w:r>
      <w:r w:rsidR="00172889">
        <w:rPr>
          <w:lang w:val="en-US"/>
        </w:rPr>
        <w:t>invite the EC to:</w:t>
      </w:r>
    </w:p>
    <w:p w14:paraId="69939722" w14:textId="77777777" w:rsidR="00172889" w:rsidRDefault="00172889" w:rsidP="00466F53">
      <w:pPr>
        <w:rPr>
          <w:lang w:val="en-US"/>
        </w:rPr>
      </w:pPr>
    </w:p>
    <w:p w14:paraId="5BF49BAE" w14:textId="71DCE8A2" w:rsidR="007800A6" w:rsidRDefault="00172889" w:rsidP="00466F53">
      <w:pPr>
        <w:pStyle w:val="Listenabsatz"/>
        <w:numPr>
          <w:ilvl w:val="0"/>
          <w:numId w:val="4"/>
        </w:numPr>
        <w:rPr>
          <w:lang w:val="en-US"/>
        </w:rPr>
      </w:pPr>
      <w:r w:rsidRPr="1D71038B">
        <w:rPr>
          <w:b/>
          <w:bCs/>
          <w:lang w:val="en-US"/>
        </w:rPr>
        <w:t xml:space="preserve">Clarify the role of non-food actors in </w:t>
      </w:r>
      <w:r w:rsidR="00DD247F" w:rsidRPr="1D71038B">
        <w:rPr>
          <w:b/>
          <w:bCs/>
          <w:lang w:val="en-US"/>
        </w:rPr>
        <w:t>the agricultural supply chain</w:t>
      </w:r>
      <w:r w:rsidR="00DD247F" w:rsidRPr="1D71038B">
        <w:rPr>
          <w:lang w:val="en-US"/>
        </w:rPr>
        <w:t xml:space="preserve">. </w:t>
      </w:r>
      <w:r w:rsidR="005E1647" w:rsidRPr="1D71038B">
        <w:rPr>
          <w:lang w:val="en-US"/>
        </w:rPr>
        <w:t xml:space="preserve">The article itself stipulates that </w:t>
      </w:r>
      <w:r w:rsidR="00A85B4F" w:rsidRPr="1D71038B">
        <w:rPr>
          <w:lang w:val="en-US"/>
        </w:rPr>
        <w:t>“</w:t>
      </w:r>
      <w:r w:rsidR="00E42FAD" w:rsidRPr="1D71038B">
        <w:rPr>
          <w:lang w:val="en-US"/>
        </w:rPr>
        <w:t xml:space="preserve">operators at different levels of the production, processing, and trade </w:t>
      </w:r>
      <w:r w:rsidR="00E42FAD" w:rsidRPr="1D71038B">
        <w:rPr>
          <w:i/>
          <w:iCs/>
          <w:lang w:val="en-US"/>
        </w:rPr>
        <w:t>in the food supply chain</w:t>
      </w:r>
      <w:r w:rsidR="00E42FAD" w:rsidRPr="1D71038B">
        <w:rPr>
          <w:lang w:val="en-US"/>
        </w:rPr>
        <w:t>, including distributio</w:t>
      </w:r>
      <w:r w:rsidR="00A85B4F" w:rsidRPr="1D71038B">
        <w:rPr>
          <w:lang w:val="en-US"/>
        </w:rPr>
        <w:t>n” can be party to a sustainability agreement</w:t>
      </w:r>
      <w:r w:rsidR="00F6660E" w:rsidRPr="1D71038B">
        <w:rPr>
          <w:lang w:val="en-US"/>
        </w:rPr>
        <w:t xml:space="preserve">. In the guidelines, </w:t>
      </w:r>
      <w:r w:rsidR="004559A1" w:rsidRPr="1D71038B">
        <w:rPr>
          <w:lang w:val="en-US"/>
        </w:rPr>
        <w:t>(28</w:t>
      </w:r>
      <w:r w:rsidR="00501C06" w:rsidRPr="1D71038B">
        <w:rPr>
          <w:lang w:val="en-US"/>
        </w:rPr>
        <w:t xml:space="preserve">) limits processors to the food value chain, while 28 (c) and (d) appear to be broader in scope. </w:t>
      </w:r>
      <w:r w:rsidRPr="00375964">
        <w:rPr>
          <w:lang w:val="en-US"/>
        </w:rPr>
        <w:br/>
      </w:r>
      <w:r w:rsidRPr="00375964">
        <w:rPr>
          <w:lang w:val="en-US"/>
        </w:rPr>
        <w:br/>
      </w:r>
      <w:r w:rsidR="00E1316A" w:rsidRPr="1D71038B">
        <w:rPr>
          <w:lang w:val="en-US"/>
        </w:rPr>
        <w:lastRenderedPageBreak/>
        <w:t xml:space="preserve">A significant portion of European palm oil consumption </w:t>
      </w:r>
      <w:r w:rsidR="0071286F" w:rsidRPr="1D71038B">
        <w:rPr>
          <w:lang w:val="en-US"/>
        </w:rPr>
        <w:t xml:space="preserve">goes to energy production or industrial uses (e.g., hygiene </w:t>
      </w:r>
      <w:r w:rsidR="00CE2411" w:rsidRPr="1D71038B">
        <w:rPr>
          <w:lang w:val="en-US"/>
        </w:rPr>
        <w:t>sector</w:t>
      </w:r>
      <w:r w:rsidR="0071286F" w:rsidRPr="1D71038B">
        <w:rPr>
          <w:lang w:val="en-US"/>
        </w:rPr>
        <w:t>)</w:t>
      </w:r>
      <w:r w:rsidR="00E403C4" w:rsidRPr="1D71038B">
        <w:rPr>
          <w:lang w:val="en-US"/>
        </w:rPr>
        <w:t xml:space="preserve">, as detailed in a </w:t>
      </w:r>
      <w:hyperlink r:id="rId8">
        <w:r w:rsidR="00E403C4" w:rsidRPr="1D71038B">
          <w:rPr>
            <w:rStyle w:val="Hyperlink"/>
            <w:lang w:val="en-US"/>
          </w:rPr>
          <w:t>recent publication</w:t>
        </w:r>
        <w:r w:rsidR="00505375" w:rsidRPr="1D71038B">
          <w:rPr>
            <w:rStyle w:val="Hyperlink"/>
            <w:lang w:val="en-US"/>
          </w:rPr>
          <w:t xml:space="preserve"> by Fern</w:t>
        </w:r>
      </w:hyperlink>
      <w:r w:rsidR="0071286F" w:rsidRPr="1D71038B">
        <w:rPr>
          <w:lang w:val="en-US"/>
        </w:rPr>
        <w:t xml:space="preserve">. </w:t>
      </w:r>
      <w:r w:rsidR="00A269BA" w:rsidRPr="1D71038B">
        <w:rPr>
          <w:lang w:val="en-US"/>
        </w:rPr>
        <w:t xml:space="preserve">Including </w:t>
      </w:r>
      <w:r w:rsidR="00DC6A42" w:rsidRPr="1D71038B">
        <w:rPr>
          <w:lang w:val="en-US"/>
        </w:rPr>
        <w:t>non-food</w:t>
      </w:r>
      <w:r w:rsidR="00A269BA" w:rsidRPr="1D71038B">
        <w:rPr>
          <w:lang w:val="en-US"/>
        </w:rPr>
        <w:t xml:space="preserve"> actors into sustainability agreements with producers is </w:t>
      </w:r>
      <w:r w:rsidR="00DC6A42" w:rsidRPr="1D71038B">
        <w:rPr>
          <w:lang w:val="en-US"/>
        </w:rPr>
        <w:t xml:space="preserve">therefore </w:t>
      </w:r>
      <w:r w:rsidR="00A269BA" w:rsidRPr="1D71038B">
        <w:rPr>
          <w:lang w:val="en-US"/>
        </w:rPr>
        <w:t xml:space="preserve">vital to achieve a transformation of the value chain. </w:t>
      </w:r>
      <w:r w:rsidRPr="00375964">
        <w:rPr>
          <w:lang w:val="en-US"/>
        </w:rPr>
        <w:br/>
      </w:r>
      <w:r w:rsidRPr="00375964">
        <w:rPr>
          <w:lang w:val="en-US"/>
        </w:rPr>
        <w:br/>
      </w:r>
      <w:r w:rsidR="008E311B" w:rsidRPr="1D71038B">
        <w:rPr>
          <w:lang w:val="en-US"/>
        </w:rPr>
        <w:t xml:space="preserve">To provide legal clarity to such </w:t>
      </w:r>
      <w:r w:rsidR="00DC6A42" w:rsidRPr="1D71038B">
        <w:rPr>
          <w:lang w:val="en-US"/>
        </w:rPr>
        <w:t>operators</w:t>
      </w:r>
      <w:r w:rsidR="008E311B" w:rsidRPr="1D71038B">
        <w:rPr>
          <w:lang w:val="en-US"/>
        </w:rPr>
        <w:t xml:space="preserve">, we would like to suggest re-formulating the main passage of (28) to include non-food actors more clearly and / or add </w:t>
      </w:r>
      <w:r w:rsidR="00E034DD" w:rsidRPr="1D71038B">
        <w:rPr>
          <w:lang w:val="en-US"/>
        </w:rPr>
        <w:t xml:space="preserve">an additional example in which non-food actors </w:t>
      </w:r>
      <w:r w:rsidR="00E61109" w:rsidRPr="1D71038B">
        <w:rPr>
          <w:lang w:val="en-US"/>
        </w:rPr>
        <w:t xml:space="preserve">enter a sustainability agreement </w:t>
      </w:r>
      <w:r w:rsidR="00C83469" w:rsidRPr="1D71038B">
        <w:rPr>
          <w:lang w:val="en-US"/>
        </w:rPr>
        <w:t xml:space="preserve">with processors </w:t>
      </w:r>
      <w:r w:rsidR="00E61109" w:rsidRPr="1D71038B">
        <w:rPr>
          <w:lang w:val="en-US"/>
        </w:rPr>
        <w:t xml:space="preserve">(e.g., </w:t>
      </w:r>
      <w:r w:rsidR="00101A39" w:rsidRPr="1D71038B">
        <w:rPr>
          <w:lang w:val="en-US"/>
        </w:rPr>
        <w:t xml:space="preserve">Indonesian oil mills cooperating with </w:t>
      </w:r>
      <w:r w:rsidR="00C36510" w:rsidRPr="1D71038B">
        <w:rPr>
          <w:lang w:val="en-US"/>
        </w:rPr>
        <w:t xml:space="preserve">European </w:t>
      </w:r>
      <w:r w:rsidR="00101A39" w:rsidRPr="1D71038B">
        <w:rPr>
          <w:lang w:val="en-US"/>
        </w:rPr>
        <w:t xml:space="preserve">chemistry </w:t>
      </w:r>
      <w:r w:rsidR="00C36510" w:rsidRPr="1D71038B">
        <w:rPr>
          <w:lang w:val="en-US"/>
        </w:rPr>
        <w:t xml:space="preserve">companies </w:t>
      </w:r>
      <w:r w:rsidR="00AD01FF" w:rsidRPr="1D71038B">
        <w:rPr>
          <w:lang w:val="en-US"/>
        </w:rPr>
        <w:t xml:space="preserve">to </w:t>
      </w:r>
      <w:r w:rsidR="00E16BA0" w:rsidRPr="1D71038B">
        <w:rPr>
          <w:lang w:val="en-US"/>
        </w:rPr>
        <w:t>limit the use of certain hazardous pesticides</w:t>
      </w:r>
      <w:r w:rsidR="00215ACD" w:rsidRPr="1D71038B">
        <w:rPr>
          <w:lang w:val="en-US"/>
        </w:rPr>
        <w:t xml:space="preserve"> on plantations).</w:t>
      </w:r>
      <w:r w:rsidRPr="00375964">
        <w:rPr>
          <w:lang w:val="en-US"/>
        </w:rPr>
        <w:br/>
      </w:r>
    </w:p>
    <w:p w14:paraId="784FE77C" w14:textId="08A1E6DA" w:rsidR="00681FF2" w:rsidRDefault="00FF228B" w:rsidP="00466F53">
      <w:pPr>
        <w:pStyle w:val="Listenabsatz"/>
        <w:numPr>
          <w:ilvl w:val="0"/>
          <w:numId w:val="4"/>
        </w:numPr>
        <w:rPr>
          <w:lang w:val="en-US"/>
        </w:rPr>
      </w:pPr>
      <w:r w:rsidRPr="00FF228B">
        <w:rPr>
          <w:b/>
          <w:bCs/>
          <w:lang w:val="en-US"/>
        </w:rPr>
        <w:t>Provide additional guidance on sustainability agreements with processors based outside the European Union</w:t>
      </w:r>
      <w:r>
        <w:rPr>
          <w:lang w:val="en-US"/>
        </w:rPr>
        <w:t xml:space="preserve">. </w:t>
      </w:r>
      <w:r w:rsidR="00780FDC">
        <w:rPr>
          <w:lang w:val="en-US"/>
        </w:rPr>
        <w:t>All or nearly all the examples provided in the guidelines relate to agreements implemented within the European Union.</w:t>
      </w:r>
      <w:r w:rsidR="003C703E">
        <w:rPr>
          <w:lang w:val="en-US"/>
        </w:rPr>
        <w:t xml:space="preserve"> </w:t>
      </w:r>
      <w:r w:rsidR="00A34841">
        <w:rPr>
          <w:lang w:val="en-US"/>
        </w:rPr>
        <w:t xml:space="preserve">We consider it helpful to </w:t>
      </w:r>
      <w:r w:rsidR="0017139F">
        <w:rPr>
          <w:lang w:val="en-US"/>
        </w:rPr>
        <w:t>include an additional constellation clarifying the</w:t>
      </w:r>
      <w:r w:rsidR="000841F8">
        <w:rPr>
          <w:lang w:val="en-US"/>
        </w:rPr>
        <w:t xml:space="preserve"> role of national standards in non-EU countries, e.g.</w:t>
      </w:r>
      <w:r w:rsidR="00DF2E4E">
        <w:rPr>
          <w:lang w:val="en-US"/>
        </w:rPr>
        <w:t>,</w:t>
      </w:r>
      <w:r w:rsidR="000841F8">
        <w:rPr>
          <w:lang w:val="en-US"/>
        </w:rPr>
        <w:t xml:space="preserve"> Indones</w:t>
      </w:r>
      <w:r w:rsidR="00DF2E4E">
        <w:rPr>
          <w:lang w:val="en-US"/>
        </w:rPr>
        <w:t>ian non-deforestation regulations. (55) stipulates that “</w:t>
      </w:r>
      <w:r w:rsidR="00E83F90">
        <w:rPr>
          <w:lang w:val="en-US"/>
        </w:rPr>
        <w:t>r</w:t>
      </w:r>
      <w:r w:rsidR="00E83F90" w:rsidRPr="00E83F90">
        <w:rPr>
          <w:lang w:val="en-US"/>
        </w:rPr>
        <w:t>egardless of whether non-EU operators are parties to a sustainability agreement, mandatory standards are to be understood as EU standards or national standards by EU Member States</w:t>
      </w:r>
      <w:r w:rsidR="00E83F90">
        <w:rPr>
          <w:lang w:val="en-US"/>
        </w:rPr>
        <w:t xml:space="preserve">.” </w:t>
      </w:r>
      <w:r w:rsidR="00152637">
        <w:rPr>
          <w:lang w:val="en-US"/>
        </w:rPr>
        <w:t xml:space="preserve">What </w:t>
      </w:r>
      <w:r w:rsidR="003D4C56">
        <w:rPr>
          <w:lang w:val="en-US"/>
        </w:rPr>
        <w:t xml:space="preserve">happens if processors are based outside the European Union? </w:t>
      </w:r>
      <w:r w:rsidR="00B100D7">
        <w:rPr>
          <w:lang w:val="en-US"/>
        </w:rPr>
        <w:t xml:space="preserve">Should sustainability standards covered by </w:t>
      </w:r>
      <w:r w:rsidR="000D7659">
        <w:rPr>
          <w:lang w:val="en-US"/>
        </w:rPr>
        <w:t xml:space="preserve">Article 210a be higher than those stipulated by EU import regulations, </w:t>
      </w:r>
      <w:r w:rsidR="000B5F07">
        <w:rPr>
          <w:lang w:val="en-US"/>
        </w:rPr>
        <w:t xml:space="preserve">than </w:t>
      </w:r>
      <w:r w:rsidR="00DC653A">
        <w:rPr>
          <w:lang w:val="en-US"/>
        </w:rPr>
        <w:t xml:space="preserve">those stipulated by </w:t>
      </w:r>
      <w:r w:rsidR="000D7659">
        <w:rPr>
          <w:lang w:val="en-US"/>
        </w:rPr>
        <w:t xml:space="preserve">national law in the producing country, or </w:t>
      </w:r>
      <w:r w:rsidR="000B5F07">
        <w:rPr>
          <w:lang w:val="en-US"/>
        </w:rPr>
        <w:t xml:space="preserve">than </w:t>
      </w:r>
      <w:r w:rsidR="000D7659">
        <w:rPr>
          <w:lang w:val="en-US"/>
        </w:rPr>
        <w:t>both?</w:t>
      </w:r>
      <w:r w:rsidR="00DC653A">
        <w:rPr>
          <w:lang w:val="en-US"/>
        </w:rPr>
        <w:t xml:space="preserve"> </w:t>
      </w:r>
      <w:r w:rsidR="00681FF2">
        <w:rPr>
          <w:lang w:val="en-US"/>
        </w:rPr>
        <w:br/>
      </w:r>
    </w:p>
    <w:p w14:paraId="0268CB2D" w14:textId="19956AB6" w:rsidR="00466F53" w:rsidRPr="00B33C07" w:rsidRDefault="006362BE" w:rsidP="00B266D1">
      <w:pPr>
        <w:pStyle w:val="Listenabsatz"/>
        <w:numPr>
          <w:ilvl w:val="0"/>
          <w:numId w:val="4"/>
        </w:numPr>
        <w:rPr>
          <w:lang w:val="en-US"/>
        </w:rPr>
      </w:pPr>
      <w:r w:rsidRPr="00B33C07">
        <w:rPr>
          <w:b/>
          <w:bCs/>
          <w:lang w:val="en-US"/>
        </w:rPr>
        <w:t xml:space="preserve">Reiterate </w:t>
      </w:r>
      <w:r w:rsidR="00596B20" w:rsidRPr="00B33C07">
        <w:rPr>
          <w:b/>
          <w:bCs/>
          <w:lang w:val="en-US"/>
        </w:rPr>
        <w:t>in the guidelines the link between social and environmental aspects of sustainability</w:t>
      </w:r>
      <w:r w:rsidR="00596B20" w:rsidRPr="00B33C07">
        <w:rPr>
          <w:lang w:val="en-US"/>
        </w:rPr>
        <w:t xml:space="preserve">. </w:t>
      </w:r>
      <w:r w:rsidR="002E76EF" w:rsidRPr="00B33C07">
        <w:rPr>
          <w:lang w:val="en-US"/>
        </w:rPr>
        <w:t xml:space="preserve">This would </w:t>
      </w:r>
      <w:r w:rsidR="003248C4">
        <w:rPr>
          <w:lang w:val="en-US"/>
        </w:rPr>
        <w:t xml:space="preserve">help the article achieve its full potential and </w:t>
      </w:r>
      <w:r w:rsidR="002461A5" w:rsidRPr="00B33C07">
        <w:rPr>
          <w:lang w:val="en-US"/>
        </w:rPr>
        <w:t>improve policy coherence with</w:t>
      </w:r>
      <w:r w:rsidR="002E76EF" w:rsidRPr="00B33C07">
        <w:rPr>
          <w:lang w:val="en-US"/>
        </w:rPr>
        <w:t xml:space="preserve"> the Farm to Fork strategy.</w:t>
      </w:r>
      <w:r w:rsidR="004C38B5" w:rsidRPr="00B33C07">
        <w:rPr>
          <w:lang w:val="en-US"/>
        </w:rPr>
        <w:t xml:space="preserve"> </w:t>
      </w:r>
      <w:r w:rsidR="00660583" w:rsidRPr="00B33C07">
        <w:rPr>
          <w:lang w:val="en-US"/>
        </w:rPr>
        <w:t xml:space="preserve">When working with producers in the Global South, especially smallholder farmers, it is common to </w:t>
      </w:r>
      <w:r w:rsidR="00580C51">
        <w:rPr>
          <w:lang w:val="en-US"/>
        </w:rPr>
        <w:t xml:space="preserve">work on social alongside environmental goals. </w:t>
      </w:r>
      <w:r w:rsidR="00293686">
        <w:rPr>
          <w:lang w:val="en-US"/>
        </w:rPr>
        <w:t xml:space="preserve">The guidelines should clarify what happens to </w:t>
      </w:r>
      <w:r w:rsidR="003E30D6">
        <w:rPr>
          <w:lang w:val="en-US"/>
        </w:rPr>
        <w:t>ancillary</w:t>
      </w:r>
      <w:r w:rsidR="00293686">
        <w:rPr>
          <w:lang w:val="en-US"/>
        </w:rPr>
        <w:t xml:space="preserve"> social </w:t>
      </w:r>
      <w:r w:rsidR="003E30D6">
        <w:rPr>
          <w:lang w:val="en-US"/>
        </w:rPr>
        <w:t xml:space="preserve">objectives of a sustainability standard which are necessary to incentivize or enable producers to work towards environmental </w:t>
      </w:r>
      <w:r w:rsidR="00F72164">
        <w:rPr>
          <w:lang w:val="en-US"/>
        </w:rPr>
        <w:t xml:space="preserve">targets. </w:t>
      </w:r>
      <w:r w:rsidR="00C96444">
        <w:rPr>
          <w:lang w:val="en-US"/>
        </w:rPr>
        <w:t xml:space="preserve">For example, a sustainability standard may </w:t>
      </w:r>
      <w:r w:rsidR="00AD2C28">
        <w:rPr>
          <w:lang w:val="en-US"/>
        </w:rPr>
        <w:t xml:space="preserve">stipulate that palm oil producers set up biodiversity corridors on their plantations. </w:t>
      </w:r>
      <w:r w:rsidR="00DA2521">
        <w:rPr>
          <w:lang w:val="en-US"/>
        </w:rPr>
        <w:t xml:space="preserve">Operators in the European market may then agree </w:t>
      </w:r>
      <w:r w:rsidR="00D21217">
        <w:rPr>
          <w:lang w:val="en-US"/>
        </w:rPr>
        <w:t xml:space="preserve">to purchase </w:t>
      </w:r>
      <w:r w:rsidR="004B357E">
        <w:rPr>
          <w:lang w:val="en-US"/>
        </w:rPr>
        <w:t xml:space="preserve">oil at a </w:t>
      </w:r>
      <w:r w:rsidR="008E4893">
        <w:rPr>
          <w:lang w:val="en-US"/>
        </w:rPr>
        <w:t xml:space="preserve">higher </w:t>
      </w:r>
      <w:r w:rsidR="004B357E">
        <w:rPr>
          <w:lang w:val="en-US"/>
        </w:rPr>
        <w:t xml:space="preserve">price </w:t>
      </w:r>
      <w:r w:rsidR="009D3A4B">
        <w:rPr>
          <w:lang w:val="en-US"/>
        </w:rPr>
        <w:t xml:space="preserve">that covers processors’ costs for the corridors but also </w:t>
      </w:r>
      <w:r w:rsidR="008E4893">
        <w:rPr>
          <w:lang w:val="en-US"/>
        </w:rPr>
        <w:t xml:space="preserve">moves them closer toward a living income. </w:t>
      </w:r>
    </w:p>
    <w:p w14:paraId="0B6AFD5B" w14:textId="77777777" w:rsidR="00466F53" w:rsidRDefault="00466F53" w:rsidP="00B266D1">
      <w:pPr>
        <w:rPr>
          <w:lang w:val="en-US"/>
        </w:rPr>
      </w:pPr>
    </w:p>
    <w:p w14:paraId="13E76944" w14:textId="425903DE" w:rsidR="003A692B" w:rsidRPr="00A613AE" w:rsidRDefault="00CB201F" w:rsidP="00B266D1">
      <w:pPr>
        <w:rPr>
          <w:lang w:val="en-US"/>
        </w:rPr>
      </w:pPr>
      <w:r>
        <w:rPr>
          <w:lang w:val="en-US"/>
        </w:rPr>
        <w:t xml:space="preserve">We hope that our feedback will be </w:t>
      </w:r>
      <w:proofErr w:type="gramStart"/>
      <w:r w:rsidR="00DE12D2">
        <w:rPr>
          <w:lang w:val="en-US"/>
        </w:rPr>
        <w:t>taken into account</w:t>
      </w:r>
      <w:proofErr w:type="gramEnd"/>
      <w:r w:rsidR="00DE12D2">
        <w:rPr>
          <w:lang w:val="en-US"/>
        </w:rPr>
        <w:t xml:space="preserve"> in finalizing the guidelines and thank the EC for the opportunity to contribute.</w:t>
      </w:r>
    </w:p>
    <w:p w14:paraId="79D5021D" w14:textId="77777777" w:rsidR="006F6451" w:rsidRPr="00A613AE" w:rsidRDefault="006F6451" w:rsidP="00B266D1">
      <w:pPr>
        <w:rPr>
          <w:lang w:val="en-US"/>
        </w:rPr>
      </w:pPr>
    </w:p>
    <w:p w14:paraId="7BBEF942" w14:textId="77777777" w:rsidR="006F6451" w:rsidRPr="00A613AE" w:rsidRDefault="006F6451" w:rsidP="00B266D1">
      <w:pPr>
        <w:rPr>
          <w:lang w:val="en-US"/>
        </w:rPr>
      </w:pPr>
    </w:p>
    <w:p w14:paraId="686D5A60" w14:textId="06C95DA6" w:rsidR="006F6451" w:rsidRDefault="004E2AC3" w:rsidP="00B266D1">
      <w:pPr>
        <w:rPr>
          <w:lang w:val="en-US"/>
        </w:rPr>
      </w:pPr>
      <w:r>
        <w:rPr>
          <w:noProof/>
          <w:lang w:val="en-US"/>
        </w:rPr>
        <w:drawing>
          <wp:inline distT="0" distB="0" distL="0" distR="0" wp14:anchorId="7C2929A5" wp14:editId="6363CD57">
            <wp:extent cx="1743075" cy="467940"/>
            <wp:effectExtent l="0" t="0" r="0" b="889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60358" cy="472580"/>
                    </a:xfrm>
                    <a:prstGeom prst="rect">
                      <a:avLst/>
                    </a:prstGeom>
                  </pic:spPr>
                </pic:pic>
              </a:graphicData>
            </a:graphic>
          </wp:inline>
        </w:drawing>
      </w:r>
    </w:p>
    <w:p w14:paraId="0DEE9BC3" w14:textId="77777777" w:rsidR="004E2AC3" w:rsidRDefault="004E2AC3" w:rsidP="00B266D1">
      <w:pPr>
        <w:rPr>
          <w:lang w:val="en-US"/>
        </w:rPr>
      </w:pPr>
    </w:p>
    <w:p w14:paraId="761A5104" w14:textId="6FF465B4" w:rsidR="004E2AC3" w:rsidRDefault="004E2AC3" w:rsidP="00B266D1">
      <w:pPr>
        <w:rPr>
          <w:lang w:val="en-US"/>
        </w:rPr>
      </w:pPr>
      <w:r>
        <w:rPr>
          <w:lang w:val="en-US"/>
        </w:rPr>
        <w:t>Almut Feller</w:t>
      </w:r>
    </w:p>
    <w:p w14:paraId="05DA1770" w14:textId="6F267E01" w:rsidR="004E2AC3" w:rsidRDefault="004E2AC3" w:rsidP="00B266D1">
      <w:pPr>
        <w:rPr>
          <w:lang w:val="en-US"/>
        </w:rPr>
      </w:pPr>
      <w:r>
        <w:rPr>
          <w:lang w:val="en-US"/>
        </w:rPr>
        <w:t xml:space="preserve">Head of the </w:t>
      </w:r>
      <w:r w:rsidRPr="004E2AC3">
        <w:rPr>
          <w:lang w:val="en-US"/>
        </w:rPr>
        <w:t>Steering Committee</w:t>
      </w:r>
    </w:p>
    <w:p w14:paraId="32BCDD22" w14:textId="53E0BE61" w:rsidR="004E2AC3" w:rsidRPr="00A613AE" w:rsidRDefault="004E2AC3" w:rsidP="00B266D1">
      <w:pPr>
        <w:rPr>
          <w:lang w:val="en-US"/>
        </w:rPr>
      </w:pPr>
      <w:r>
        <w:rPr>
          <w:lang w:val="en-US"/>
        </w:rPr>
        <w:t>Forum for Sustainable Palm Oil (FONAP)</w:t>
      </w:r>
    </w:p>
    <w:p w14:paraId="46310963" w14:textId="77777777" w:rsidR="006F6451" w:rsidRPr="00A613AE" w:rsidRDefault="006F6451" w:rsidP="00B266D1">
      <w:pPr>
        <w:rPr>
          <w:lang w:val="en-US"/>
        </w:rPr>
      </w:pPr>
    </w:p>
    <w:p w14:paraId="6242061C" w14:textId="77777777" w:rsidR="006F6451" w:rsidRPr="00A613AE" w:rsidRDefault="006F6451" w:rsidP="00B266D1">
      <w:pPr>
        <w:rPr>
          <w:lang w:val="en-US"/>
        </w:rPr>
      </w:pPr>
    </w:p>
    <w:p w14:paraId="19F156A3" w14:textId="77777777" w:rsidR="006F6451" w:rsidRPr="00A613AE" w:rsidRDefault="006F6451" w:rsidP="00B266D1">
      <w:pPr>
        <w:rPr>
          <w:lang w:val="en-US"/>
        </w:rPr>
      </w:pPr>
    </w:p>
    <w:p w14:paraId="5A95655C" w14:textId="77777777" w:rsidR="006F6451" w:rsidRPr="00A613AE" w:rsidRDefault="006F6451" w:rsidP="00B266D1">
      <w:pPr>
        <w:rPr>
          <w:lang w:val="en-US"/>
        </w:rPr>
      </w:pPr>
    </w:p>
    <w:p w14:paraId="305E5277" w14:textId="77777777" w:rsidR="006F6451" w:rsidRPr="00A613AE" w:rsidRDefault="006F6451" w:rsidP="00B266D1">
      <w:pPr>
        <w:rPr>
          <w:lang w:val="en-US"/>
        </w:rPr>
      </w:pPr>
    </w:p>
    <w:p w14:paraId="2D8E631E" w14:textId="77777777" w:rsidR="006F6451" w:rsidRPr="00A613AE" w:rsidRDefault="006F6451" w:rsidP="00B266D1">
      <w:pPr>
        <w:rPr>
          <w:lang w:val="en-US"/>
        </w:rPr>
      </w:pPr>
    </w:p>
    <w:p w14:paraId="4A7D3F1A" w14:textId="77777777" w:rsidR="006F6451" w:rsidRPr="00A613AE" w:rsidRDefault="006F6451" w:rsidP="00B266D1">
      <w:pPr>
        <w:rPr>
          <w:lang w:val="en-US"/>
        </w:rPr>
      </w:pPr>
    </w:p>
    <w:p w14:paraId="41EAB40B" w14:textId="77777777" w:rsidR="006F6451" w:rsidRPr="00A613AE" w:rsidRDefault="006F6451" w:rsidP="00B266D1">
      <w:pPr>
        <w:rPr>
          <w:lang w:val="en-US"/>
        </w:rPr>
      </w:pPr>
    </w:p>
    <w:p w14:paraId="6409DD8A" w14:textId="77777777" w:rsidR="006F6451" w:rsidRPr="00A613AE" w:rsidRDefault="006F6451" w:rsidP="00B266D1">
      <w:pPr>
        <w:rPr>
          <w:lang w:val="en-US"/>
        </w:rPr>
      </w:pPr>
    </w:p>
    <w:p w14:paraId="6984E546" w14:textId="77777777" w:rsidR="006F6451" w:rsidRPr="00A613AE" w:rsidRDefault="006F6451" w:rsidP="00B266D1">
      <w:pPr>
        <w:rPr>
          <w:lang w:val="en-US"/>
        </w:rPr>
      </w:pPr>
    </w:p>
    <w:p w14:paraId="2A5CAF15" w14:textId="77777777" w:rsidR="006F6451" w:rsidRPr="00A613AE" w:rsidRDefault="006F6451" w:rsidP="00B266D1">
      <w:pPr>
        <w:rPr>
          <w:lang w:val="en-US"/>
        </w:rPr>
      </w:pPr>
    </w:p>
    <w:p w14:paraId="40B58DBF" w14:textId="77777777" w:rsidR="006F6451" w:rsidRPr="00A613AE" w:rsidRDefault="006F6451" w:rsidP="00B266D1">
      <w:pPr>
        <w:rPr>
          <w:lang w:val="en-US"/>
        </w:rPr>
      </w:pPr>
    </w:p>
    <w:p w14:paraId="100BBF6B" w14:textId="77777777" w:rsidR="006F6451" w:rsidRPr="00A613AE" w:rsidRDefault="006F6451" w:rsidP="00B266D1">
      <w:pPr>
        <w:rPr>
          <w:lang w:val="en-US"/>
        </w:rPr>
      </w:pPr>
    </w:p>
    <w:sectPr w:rsidR="006F6451" w:rsidRPr="00A613AE" w:rsidSect="009A4AB7">
      <w:headerReference w:type="even" r:id="rId10"/>
      <w:headerReference w:type="default" r:id="rId11"/>
      <w:footerReference w:type="default" r:id="rId12"/>
      <w:headerReference w:type="first" r:id="rId13"/>
      <w:footerReference w:type="first" r:id="rId14"/>
      <w:pgSz w:w="11906" w:h="16838" w:code="9"/>
      <w:pgMar w:top="2127" w:right="2835" w:bottom="1134" w:left="124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DAF44" w14:textId="77777777" w:rsidR="00833D39" w:rsidRDefault="00833D39">
      <w:r>
        <w:separator/>
      </w:r>
    </w:p>
  </w:endnote>
  <w:endnote w:type="continuationSeparator" w:id="0">
    <w:p w14:paraId="173A5D53" w14:textId="77777777" w:rsidR="00833D39" w:rsidRDefault="0083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F5B3" w14:textId="77777777" w:rsidR="00665F3E" w:rsidRDefault="00833D39">
    <w:pPr>
      <w:pStyle w:val="Fuzeile"/>
    </w:pPr>
    <w:r>
      <w:rPr>
        <w:noProof/>
        <w:color w:val="2B579A"/>
        <w:shd w:val="clear" w:color="auto" w:fill="E6E6E6"/>
      </w:rPr>
      <w:pict w14:anchorId="098D5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156737" o:spid="_x0000_s1027" type="#_x0000_t75" style="position:absolute;margin-left:406.3pt;margin-top:588.3pt;width:109.65pt;height:152.5pt;z-index:-251653632;mso-position-horizontal-relative:margin;mso-position-vertical-relative:margin" o:allowincell="f">
          <v:imagedata r:id="rId1" o:title="Palmtropfen"/>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6A5F4" w14:textId="77777777" w:rsidR="00B266D1" w:rsidRDefault="00833D39">
    <w:pPr>
      <w:pStyle w:val="Fuzeile"/>
    </w:pPr>
    <w:r>
      <w:rPr>
        <w:noProof/>
        <w:color w:val="2B579A"/>
        <w:shd w:val="clear" w:color="auto" w:fill="E6E6E6"/>
      </w:rPr>
      <w:pict w14:anchorId="22291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156735" o:spid="_x0000_s1025" type="#_x0000_t75" style="position:absolute;margin-left:406.25pt;margin-top:302.3pt;width:109.65pt;height:152.5pt;z-index:-251655680;mso-position-horizontal-relative:margin;mso-position-vertical-relative:margin" o:allowincell="f">
          <v:imagedata r:id="rId1" o:title="Palmtropfen"/>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9C239" w14:textId="77777777" w:rsidR="00833D39" w:rsidRDefault="00833D39">
      <w:r>
        <w:separator/>
      </w:r>
    </w:p>
  </w:footnote>
  <w:footnote w:type="continuationSeparator" w:id="0">
    <w:p w14:paraId="5A8E5997" w14:textId="77777777" w:rsidR="00833D39" w:rsidRDefault="00833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C88F" w14:textId="77777777" w:rsidR="00B266D1" w:rsidRDefault="00833D39">
    <w:pPr>
      <w:pStyle w:val="Kopfzeile"/>
    </w:pPr>
    <w:r>
      <w:rPr>
        <w:noProof/>
        <w:color w:val="2B579A"/>
        <w:shd w:val="clear" w:color="auto" w:fill="E6E6E6"/>
      </w:rPr>
      <w:pict w14:anchorId="2A5C4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156736" o:spid="_x0000_s1026" type="#_x0000_t75" style="position:absolute;margin-left:0;margin-top:0;width:109.65pt;height:152.5pt;z-index:-251654656;mso-position-horizontal:center;mso-position-horizontal-relative:margin;mso-position-vertical:center;mso-position-vertical-relative:margin" o:allowincell="f">
          <v:imagedata r:id="rId1" o:title="Palmtropf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2F1" w14:textId="77777777" w:rsidR="00E574A9" w:rsidRDefault="00E110BF">
    <w:pPr>
      <w:pStyle w:val="Kopfzeile"/>
    </w:pPr>
    <w:r>
      <w:rPr>
        <w:noProof/>
        <w:color w:val="2B579A"/>
        <w:shd w:val="clear" w:color="auto" w:fill="E6E6E6"/>
      </w:rPr>
      <w:drawing>
        <wp:anchor distT="0" distB="0" distL="114300" distR="114300" simplePos="0" relativeHeight="251658752" behindDoc="0" locked="1" layoutInCell="1" allowOverlap="1" wp14:anchorId="30697EA9" wp14:editId="5A2CF3AF">
          <wp:simplePos x="0" y="0"/>
          <wp:positionH relativeFrom="page">
            <wp:posOffset>4884420</wp:posOffset>
          </wp:positionH>
          <wp:positionV relativeFrom="page">
            <wp:posOffset>-85090</wp:posOffset>
          </wp:positionV>
          <wp:extent cx="2649855" cy="3355340"/>
          <wp:effectExtent l="0" t="0" r="0" b="0"/>
          <wp:wrapNone/>
          <wp:docPr id="6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_L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49855" cy="33553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A8ABD" w14:textId="2A5F15A1" w:rsidR="00713CA5" w:rsidRDefault="00B107C4" w:rsidP="00713CA5">
    <w:pPr>
      <w:pStyle w:val="Kopfzeile"/>
      <w:tabs>
        <w:tab w:val="clear" w:pos="7825"/>
        <w:tab w:val="left" w:pos="983"/>
        <w:tab w:val="right" w:pos="7824"/>
      </w:tabs>
      <w:spacing w:after="5680"/>
    </w:pPr>
    <w:r>
      <w:rPr>
        <w:noProof/>
        <w:color w:val="2B579A"/>
        <w:shd w:val="clear" w:color="auto" w:fill="E6E6E6"/>
      </w:rPr>
      <w:drawing>
        <wp:anchor distT="0" distB="0" distL="114300" distR="114300" simplePos="0" relativeHeight="251657727" behindDoc="1" locked="1" layoutInCell="1" allowOverlap="1" wp14:anchorId="2E0C950A" wp14:editId="08CFCCC6">
          <wp:simplePos x="0" y="0"/>
          <wp:positionH relativeFrom="page">
            <wp:posOffset>-81280</wp:posOffset>
          </wp:positionH>
          <wp:positionV relativeFrom="page">
            <wp:posOffset>10160</wp:posOffset>
          </wp:positionV>
          <wp:extent cx="7716520" cy="2819400"/>
          <wp:effectExtent l="0" t="0" r="0" b="0"/>
          <wp:wrapNone/>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700"/>
                  <a:stretch/>
                </pic:blipFill>
                <pic:spPr bwMode="auto">
                  <a:xfrm>
                    <a:off x="0" y="0"/>
                    <a:ext cx="7716520" cy="2819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B4505"/>
    <w:multiLevelType w:val="hybridMultilevel"/>
    <w:tmpl w:val="1F7E8F36"/>
    <w:lvl w:ilvl="0" w:tplc="79646D0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4A040E"/>
    <w:multiLevelType w:val="hybridMultilevel"/>
    <w:tmpl w:val="A43632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EB020F0"/>
    <w:multiLevelType w:val="hybridMultilevel"/>
    <w:tmpl w:val="7A9AC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1B0468"/>
    <w:multiLevelType w:val="hybridMultilevel"/>
    <w:tmpl w:val="B2C84830"/>
    <w:lvl w:ilvl="0" w:tplc="446417C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autoHyphenation/>
  <w:hyphenationZone w:val="425"/>
  <w:characterSpacingControl w:val="doNotCompress"/>
  <w:hdrShapeDefaults>
    <o:shapedefaults v:ext="edit" spidmax="2050">
      <v:stroke weight=".25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331"/>
    <w:rsid w:val="000121B0"/>
    <w:rsid w:val="00020C85"/>
    <w:rsid w:val="00040D52"/>
    <w:rsid w:val="00067D17"/>
    <w:rsid w:val="000841F8"/>
    <w:rsid w:val="000B5F07"/>
    <w:rsid w:val="000B75B2"/>
    <w:rsid w:val="000D3375"/>
    <w:rsid w:val="000D7659"/>
    <w:rsid w:val="00101A39"/>
    <w:rsid w:val="0012277D"/>
    <w:rsid w:val="00152637"/>
    <w:rsid w:val="00171020"/>
    <w:rsid w:val="0017139F"/>
    <w:rsid w:val="00172889"/>
    <w:rsid w:val="00192A39"/>
    <w:rsid w:val="001942AD"/>
    <w:rsid w:val="00194F2E"/>
    <w:rsid w:val="001A7032"/>
    <w:rsid w:val="001D081B"/>
    <w:rsid w:val="001E06A8"/>
    <w:rsid w:val="00215ACD"/>
    <w:rsid w:val="002369A6"/>
    <w:rsid w:val="002461A5"/>
    <w:rsid w:val="002834D3"/>
    <w:rsid w:val="00286B14"/>
    <w:rsid w:val="00293686"/>
    <w:rsid w:val="002C1665"/>
    <w:rsid w:val="002E76EF"/>
    <w:rsid w:val="003248C4"/>
    <w:rsid w:val="00375964"/>
    <w:rsid w:val="00385AF2"/>
    <w:rsid w:val="003A692B"/>
    <w:rsid w:val="003B247C"/>
    <w:rsid w:val="003C703E"/>
    <w:rsid w:val="003D4C56"/>
    <w:rsid w:val="003E30D6"/>
    <w:rsid w:val="00420121"/>
    <w:rsid w:val="00421532"/>
    <w:rsid w:val="00432798"/>
    <w:rsid w:val="004519CF"/>
    <w:rsid w:val="004559A1"/>
    <w:rsid w:val="00466F53"/>
    <w:rsid w:val="00473A2C"/>
    <w:rsid w:val="00490C47"/>
    <w:rsid w:val="004A1E15"/>
    <w:rsid w:val="004A50ED"/>
    <w:rsid w:val="004B357E"/>
    <w:rsid w:val="004B7577"/>
    <w:rsid w:val="004C0E0E"/>
    <w:rsid w:val="004C38B5"/>
    <w:rsid w:val="004C67E2"/>
    <w:rsid w:val="004D734F"/>
    <w:rsid w:val="004E2AC3"/>
    <w:rsid w:val="004F7438"/>
    <w:rsid w:val="004F75EB"/>
    <w:rsid w:val="00501C06"/>
    <w:rsid w:val="00505375"/>
    <w:rsid w:val="00543FB5"/>
    <w:rsid w:val="00546449"/>
    <w:rsid w:val="00564368"/>
    <w:rsid w:val="005674BB"/>
    <w:rsid w:val="00580C51"/>
    <w:rsid w:val="0059058D"/>
    <w:rsid w:val="00596B20"/>
    <w:rsid w:val="005A6864"/>
    <w:rsid w:val="005E1647"/>
    <w:rsid w:val="005E665D"/>
    <w:rsid w:val="005F7917"/>
    <w:rsid w:val="006362BE"/>
    <w:rsid w:val="00660583"/>
    <w:rsid w:val="00665F3E"/>
    <w:rsid w:val="00681FF2"/>
    <w:rsid w:val="006873BD"/>
    <w:rsid w:val="006A69C0"/>
    <w:rsid w:val="006B2D24"/>
    <w:rsid w:val="006D0DE2"/>
    <w:rsid w:val="006D5C71"/>
    <w:rsid w:val="006F6451"/>
    <w:rsid w:val="00700FCA"/>
    <w:rsid w:val="0070591A"/>
    <w:rsid w:val="0071286F"/>
    <w:rsid w:val="00713CA5"/>
    <w:rsid w:val="007536EA"/>
    <w:rsid w:val="007800A6"/>
    <w:rsid w:val="00780FDC"/>
    <w:rsid w:val="00783B05"/>
    <w:rsid w:val="007A4D32"/>
    <w:rsid w:val="007C54EC"/>
    <w:rsid w:val="007E65EF"/>
    <w:rsid w:val="00800472"/>
    <w:rsid w:val="00817639"/>
    <w:rsid w:val="008271EC"/>
    <w:rsid w:val="00833D39"/>
    <w:rsid w:val="00836499"/>
    <w:rsid w:val="0085437C"/>
    <w:rsid w:val="00863C46"/>
    <w:rsid w:val="0088317B"/>
    <w:rsid w:val="008A3311"/>
    <w:rsid w:val="008C1666"/>
    <w:rsid w:val="008D2549"/>
    <w:rsid w:val="008E311B"/>
    <w:rsid w:val="008E4893"/>
    <w:rsid w:val="008F255A"/>
    <w:rsid w:val="00941C85"/>
    <w:rsid w:val="009A4AB7"/>
    <w:rsid w:val="009B1CC8"/>
    <w:rsid w:val="009C1BFA"/>
    <w:rsid w:val="009C6F12"/>
    <w:rsid w:val="009C7B6B"/>
    <w:rsid w:val="009D3A4B"/>
    <w:rsid w:val="00A049B8"/>
    <w:rsid w:val="00A269BA"/>
    <w:rsid w:val="00A34841"/>
    <w:rsid w:val="00A613AE"/>
    <w:rsid w:val="00A85B4F"/>
    <w:rsid w:val="00AA566D"/>
    <w:rsid w:val="00AD01FF"/>
    <w:rsid w:val="00AD2C28"/>
    <w:rsid w:val="00AF11BE"/>
    <w:rsid w:val="00B100D7"/>
    <w:rsid w:val="00B107C4"/>
    <w:rsid w:val="00B266D1"/>
    <w:rsid w:val="00B33C07"/>
    <w:rsid w:val="00B411D6"/>
    <w:rsid w:val="00B47998"/>
    <w:rsid w:val="00B87DFC"/>
    <w:rsid w:val="00BE3D4E"/>
    <w:rsid w:val="00C160CA"/>
    <w:rsid w:val="00C3177F"/>
    <w:rsid w:val="00C31FC1"/>
    <w:rsid w:val="00C36510"/>
    <w:rsid w:val="00C83469"/>
    <w:rsid w:val="00C96444"/>
    <w:rsid w:val="00CA7BF0"/>
    <w:rsid w:val="00CB201F"/>
    <w:rsid w:val="00CB4DB8"/>
    <w:rsid w:val="00CD7331"/>
    <w:rsid w:val="00CE2411"/>
    <w:rsid w:val="00CF1BC5"/>
    <w:rsid w:val="00CF6F2B"/>
    <w:rsid w:val="00D12B31"/>
    <w:rsid w:val="00D210BF"/>
    <w:rsid w:val="00D21217"/>
    <w:rsid w:val="00D26675"/>
    <w:rsid w:val="00D47CD5"/>
    <w:rsid w:val="00D732A5"/>
    <w:rsid w:val="00DA2521"/>
    <w:rsid w:val="00DC653A"/>
    <w:rsid w:val="00DC6A42"/>
    <w:rsid w:val="00DD247F"/>
    <w:rsid w:val="00DD36B2"/>
    <w:rsid w:val="00DE12D2"/>
    <w:rsid w:val="00DE554A"/>
    <w:rsid w:val="00DF2E4E"/>
    <w:rsid w:val="00E034DD"/>
    <w:rsid w:val="00E110BF"/>
    <w:rsid w:val="00E1316A"/>
    <w:rsid w:val="00E16BA0"/>
    <w:rsid w:val="00E206FE"/>
    <w:rsid w:val="00E225DB"/>
    <w:rsid w:val="00E403C4"/>
    <w:rsid w:val="00E42FAD"/>
    <w:rsid w:val="00E5395C"/>
    <w:rsid w:val="00E574A9"/>
    <w:rsid w:val="00E61109"/>
    <w:rsid w:val="00E63037"/>
    <w:rsid w:val="00E64A7E"/>
    <w:rsid w:val="00E83F90"/>
    <w:rsid w:val="00E94515"/>
    <w:rsid w:val="00E94EED"/>
    <w:rsid w:val="00EC1B03"/>
    <w:rsid w:val="00EC6159"/>
    <w:rsid w:val="00ED4BB4"/>
    <w:rsid w:val="00EE3F0F"/>
    <w:rsid w:val="00F13A67"/>
    <w:rsid w:val="00F4330C"/>
    <w:rsid w:val="00F6660E"/>
    <w:rsid w:val="00F72164"/>
    <w:rsid w:val="00FF0B56"/>
    <w:rsid w:val="00FF228B"/>
    <w:rsid w:val="117E88A8"/>
    <w:rsid w:val="1D71038B"/>
    <w:rsid w:val="69F540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weight=".25pt"/>
    </o:shapedefaults>
    <o:shapelayout v:ext="edit">
      <o:idmap v:ext="edit" data="2"/>
    </o:shapelayout>
  </w:shapeDefaults>
  <w:decimalSymbol w:val=","/>
  <w:listSeparator w:val=";"/>
  <w14:docId w14:val="10800A09"/>
  <w15:docId w15:val="{E0348C0D-9DB8-450A-98E3-134F1495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B75B2"/>
    <w:pPr>
      <w:tabs>
        <w:tab w:val="right" w:pos="7825"/>
      </w:tabs>
      <w:spacing w:line="240" w:lineRule="atLeast"/>
    </w:pPr>
    <w:rPr>
      <w:rFonts w:ascii="Calibri" w:hAnsi="Calibri"/>
      <w:spacing w:val="4"/>
      <w:kern w:val="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286B14"/>
    <w:rPr>
      <w:rFonts w:ascii="Arial" w:hAnsi="Arial"/>
    </w:rPr>
  </w:style>
  <w:style w:type="paragraph" w:styleId="Kopfzeile">
    <w:name w:val="header"/>
    <w:basedOn w:val="Standard"/>
    <w:semiHidden/>
    <w:rsid w:val="00286B14"/>
    <w:rPr>
      <w:rFonts w:ascii="Arial" w:hAnsi="Arial"/>
    </w:rPr>
  </w:style>
  <w:style w:type="paragraph" w:customStyle="1" w:styleId="Adrefeld">
    <w:name w:val="_Adreßfeld"/>
    <w:basedOn w:val="Standard"/>
    <w:qFormat/>
    <w:rsid w:val="00E574A9"/>
    <w:pPr>
      <w:framePr w:w="4536" w:h="1985" w:hRule="exact" w:wrap="around" w:vAnchor="page" w:hAnchor="text" w:y="3199" w:anchorLock="1"/>
    </w:pPr>
    <w:rPr>
      <w:spacing w:val="0"/>
    </w:rPr>
  </w:style>
  <w:style w:type="table" w:styleId="Tabellenraster">
    <w:name w:val="Table Grid"/>
    <w:basedOn w:val="NormaleTabelle"/>
    <w:semiHidden/>
    <w:rsid w:val="00490C47"/>
    <w:pPr>
      <w:spacing w:line="240" w:lineRule="atLeast"/>
    </w:pPr>
    <w:tblPr>
      <w:tblCellMar>
        <w:left w:w="0" w:type="dxa"/>
        <w:right w:w="0" w:type="dxa"/>
      </w:tblCellMar>
    </w:tblPr>
  </w:style>
  <w:style w:type="paragraph" w:styleId="Sprechblasentext">
    <w:name w:val="Balloon Text"/>
    <w:basedOn w:val="Standard"/>
    <w:link w:val="SprechblasentextZchn"/>
    <w:rsid w:val="004A50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A50ED"/>
    <w:rPr>
      <w:rFonts w:ascii="Tahoma" w:hAnsi="Tahoma" w:cs="Tahoma"/>
      <w:spacing w:val="4"/>
      <w:kern w:val="8"/>
      <w:sz w:val="16"/>
      <w:szCs w:val="16"/>
    </w:rPr>
  </w:style>
  <w:style w:type="paragraph" w:styleId="Listenabsatz">
    <w:name w:val="List Paragraph"/>
    <w:basedOn w:val="Standard"/>
    <w:uiPriority w:val="34"/>
    <w:rsid w:val="00713CA5"/>
    <w:pPr>
      <w:ind w:left="720"/>
      <w:contextualSpacing/>
    </w:pPr>
  </w:style>
  <w:style w:type="character" w:styleId="Hyperlink">
    <w:name w:val="Hyperlink"/>
    <w:basedOn w:val="Absatz-Standardschriftart"/>
    <w:unhideWhenUsed/>
    <w:rsid w:val="00505375"/>
    <w:rPr>
      <w:color w:val="0000FF" w:themeColor="hyperlink"/>
      <w:u w:val="single"/>
    </w:rPr>
  </w:style>
  <w:style w:type="character" w:styleId="NichtaufgelsteErwhnung">
    <w:name w:val="Unresolved Mention"/>
    <w:basedOn w:val="Absatz-Standardschriftart"/>
    <w:uiPriority w:val="99"/>
    <w:semiHidden/>
    <w:unhideWhenUsed/>
    <w:rsid w:val="0050537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semiHidden/>
    <w:unhideWhenUsed/>
    <w:pPr>
      <w:spacing w:line="240" w:lineRule="auto"/>
    </w:pPr>
    <w:rPr>
      <w:szCs w:val="20"/>
    </w:rPr>
  </w:style>
  <w:style w:type="character" w:customStyle="1" w:styleId="KommentartextZchn">
    <w:name w:val="Kommentartext Zchn"/>
    <w:basedOn w:val="Absatz-Standardschriftart"/>
    <w:link w:val="Kommentartext"/>
    <w:semiHidden/>
    <w:rPr>
      <w:rFonts w:ascii="Calibri" w:hAnsi="Calibri"/>
      <w:spacing w:val="4"/>
      <w:kern w:val="8"/>
    </w:rPr>
  </w:style>
  <w:style w:type="character" w:styleId="Kommentarzeichen">
    <w:name w:val="annotation reference"/>
    <w:basedOn w:val="Absatz-Standardschriftart"/>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rn.org/fileadmin/uploads/fern/Documents/2022/Palm_oil_production_comsumption_and_trade_patter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tmp"/><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hl_len\AppData\Local\Temp\Temp1_Vorlagen.zip\Briefbogen%20FONAP%20final.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6FCCC-12B6-4068-AC24-F902F625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Briefbogen FONAP final.dotx</Template>
  <TotalTime>0</TotalTime>
  <Pages>3</Pages>
  <Words>734</Words>
  <Characters>4630</Characters>
  <Application>Microsoft Office Word</Application>
  <DocSecurity>0</DocSecurity>
  <Lines>38</Lines>
  <Paragraphs>10</Paragraphs>
  <ScaleCrop>false</ScaleCrop>
  <Company>MediaCompany</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dc:title>
  <dc:creator>Katharina Münster</dc:creator>
  <cp:lastModifiedBy>Muenster, Katharina GIZ</cp:lastModifiedBy>
  <cp:revision>106</cp:revision>
  <cp:lastPrinted>2018-02-01T14:51:00Z</cp:lastPrinted>
  <dcterms:created xsi:type="dcterms:W3CDTF">2023-04-12T14:50:00Z</dcterms:created>
  <dcterms:modified xsi:type="dcterms:W3CDTF">2023-04-24T08:21:00Z</dcterms:modified>
</cp:coreProperties>
</file>