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CBA3B" w14:textId="77777777" w:rsidR="00971340" w:rsidRDefault="00971340" w:rsidP="00E31CE6">
      <w:pPr>
        <w:spacing w:line="276" w:lineRule="auto"/>
        <w:jc w:val="center"/>
        <w:rPr>
          <w:rFonts w:ascii="MonarkLight" w:hAnsi="MonarkLight"/>
          <w:b/>
          <w:color w:val="2F5496" w:themeColor="accent1" w:themeShade="BF"/>
          <w:sz w:val="46"/>
          <w:szCs w:val="72"/>
        </w:rPr>
      </w:pPr>
    </w:p>
    <w:p w14:paraId="763EB004" w14:textId="0C164513" w:rsidR="00AA3D1C" w:rsidRPr="00971340" w:rsidRDefault="00A71A67" w:rsidP="00E31CE6">
      <w:pPr>
        <w:spacing w:line="276" w:lineRule="auto"/>
        <w:jc w:val="center"/>
        <w:rPr>
          <w:rFonts w:ascii="MonarkLight" w:hAnsi="MonarkLight"/>
          <w:b/>
          <w:color w:val="2F5496" w:themeColor="accent1" w:themeShade="BF"/>
          <w:sz w:val="46"/>
          <w:szCs w:val="72"/>
        </w:rPr>
      </w:pPr>
      <w:r>
        <w:rPr>
          <w:rFonts w:ascii="MonarkLight" w:hAnsi="MonarkLight"/>
          <w:b/>
          <w:color w:val="2F5496" w:themeColor="accent1" w:themeShade="BF"/>
          <w:sz w:val="46"/>
          <w:szCs w:val="72"/>
        </w:rPr>
        <w:t>Directrices de la Comisión Europea sobre los acuerdos en sostenibilidad que están exceptuados de cumplir las normas de competencia</w:t>
      </w:r>
    </w:p>
    <w:p w14:paraId="56938E01" w14:textId="77777777" w:rsidR="00971340" w:rsidRDefault="00971340" w:rsidP="00E31CE6">
      <w:pPr>
        <w:spacing w:line="276" w:lineRule="auto"/>
        <w:jc w:val="center"/>
        <w:rPr>
          <w:rFonts w:ascii="MonarkLight" w:hAnsi="MonarkLight"/>
          <w:b/>
          <w:color w:val="44546A" w:themeColor="text2"/>
          <w:sz w:val="38"/>
          <w:szCs w:val="44"/>
        </w:rPr>
      </w:pPr>
    </w:p>
    <w:p w14:paraId="542A85A5" w14:textId="0991485F" w:rsidR="00971340" w:rsidRPr="00971340" w:rsidRDefault="00971340" w:rsidP="00E31CE6">
      <w:pPr>
        <w:spacing w:line="276" w:lineRule="auto"/>
        <w:jc w:val="center"/>
        <w:rPr>
          <w:rFonts w:ascii="MonarkLight" w:hAnsi="MonarkLight"/>
          <w:b/>
          <w:color w:val="767171" w:themeColor="background2" w:themeShade="80"/>
          <w:sz w:val="38"/>
          <w:szCs w:val="44"/>
        </w:rPr>
      </w:pPr>
      <w:r w:rsidRPr="00971340">
        <w:rPr>
          <w:rFonts w:ascii="MonarkLight" w:hAnsi="MonarkLight"/>
          <w:b/>
          <w:color w:val="767171" w:themeColor="background2" w:themeShade="80"/>
          <w:sz w:val="38"/>
          <w:szCs w:val="44"/>
        </w:rPr>
        <w:t xml:space="preserve">Posición Cooperativas </w:t>
      </w:r>
      <w:proofErr w:type="gramStart"/>
      <w:r w:rsidRPr="00971340">
        <w:rPr>
          <w:rFonts w:ascii="MonarkLight" w:hAnsi="MonarkLight"/>
          <w:b/>
          <w:color w:val="767171" w:themeColor="background2" w:themeShade="80"/>
          <w:sz w:val="38"/>
          <w:szCs w:val="44"/>
        </w:rPr>
        <w:t>Agro-alimentarias</w:t>
      </w:r>
      <w:proofErr w:type="gramEnd"/>
      <w:r w:rsidRPr="00971340">
        <w:rPr>
          <w:rFonts w:ascii="MonarkLight" w:hAnsi="MonarkLight"/>
          <w:b/>
          <w:color w:val="767171" w:themeColor="background2" w:themeShade="80"/>
          <w:sz w:val="38"/>
          <w:szCs w:val="44"/>
        </w:rPr>
        <w:t xml:space="preserve"> de España</w:t>
      </w:r>
    </w:p>
    <w:p w14:paraId="25921D4F" w14:textId="77777777" w:rsidR="00971340" w:rsidRPr="00971340" w:rsidRDefault="00971340" w:rsidP="00E31CE6">
      <w:pPr>
        <w:spacing w:line="276" w:lineRule="auto"/>
        <w:jc w:val="center"/>
        <w:rPr>
          <w:rFonts w:ascii="MonarkLight" w:hAnsi="MonarkLight"/>
          <w:b/>
          <w:color w:val="44546A" w:themeColor="text2"/>
          <w:sz w:val="38"/>
          <w:szCs w:val="44"/>
        </w:rPr>
      </w:pPr>
    </w:p>
    <w:p w14:paraId="64A7D4BA" w14:textId="77777777" w:rsidR="00E31CE6" w:rsidRDefault="00E31CE6" w:rsidP="00E31CE6">
      <w:pPr>
        <w:spacing w:line="276" w:lineRule="auto"/>
        <w:jc w:val="center"/>
        <w:rPr>
          <w:rFonts w:ascii="Verdana" w:hAnsi="Verdana"/>
          <w:sz w:val="20"/>
        </w:rPr>
      </w:pPr>
    </w:p>
    <w:p w14:paraId="744BC987" w14:textId="750DEF48" w:rsidR="00A01CF7" w:rsidRDefault="00C47985" w:rsidP="00A042A3">
      <w:p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C47985">
        <w:rPr>
          <w:rFonts w:ascii="Verdana" w:hAnsi="Verdana" w:cs="Arial"/>
          <w:sz w:val="20"/>
          <w:szCs w:val="20"/>
        </w:rPr>
        <w:t xml:space="preserve">El </w:t>
      </w:r>
      <w:r w:rsidR="00C906FC">
        <w:rPr>
          <w:rFonts w:ascii="Verdana" w:hAnsi="Verdana" w:cs="Arial"/>
          <w:sz w:val="20"/>
          <w:szCs w:val="20"/>
        </w:rPr>
        <w:t>10 de enero de 2023</w:t>
      </w:r>
      <w:r w:rsidR="001736C9">
        <w:rPr>
          <w:rFonts w:ascii="Verdana" w:hAnsi="Verdana" w:cs="Arial"/>
          <w:sz w:val="20"/>
          <w:szCs w:val="20"/>
        </w:rPr>
        <w:t xml:space="preserve"> </w:t>
      </w:r>
      <w:r w:rsidRPr="00C47985">
        <w:rPr>
          <w:rFonts w:ascii="Verdana" w:hAnsi="Verdana" w:cs="Arial"/>
          <w:sz w:val="20"/>
          <w:szCs w:val="20"/>
        </w:rPr>
        <w:t xml:space="preserve">la Comisión Europea abrió el periodo de </w:t>
      </w:r>
      <w:hyperlink r:id="rId12" w:history="1">
        <w:r w:rsidRPr="0084304C">
          <w:rPr>
            <w:rStyle w:val="Hipervnculo"/>
            <w:rFonts w:ascii="Verdana" w:hAnsi="Verdana" w:cs="Arial"/>
            <w:sz w:val="20"/>
            <w:szCs w:val="20"/>
          </w:rPr>
          <w:t xml:space="preserve">consulta </w:t>
        </w:r>
        <w:r w:rsidR="00631547" w:rsidRPr="0084304C">
          <w:rPr>
            <w:rStyle w:val="Hipervnculo"/>
            <w:rFonts w:ascii="Verdana" w:hAnsi="Verdana" w:cs="Arial"/>
            <w:sz w:val="20"/>
            <w:szCs w:val="20"/>
          </w:rPr>
          <w:t xml:space="preserve">pública </w:t>
        </w:r>
        <w:r w:rsidRPr="0084304C">
          <w:rPr>
            <w:rStyle w:val="Hipervnculo"/>
            <w:rFonts w:ascii="Verdana" w:hAnsi="Verdana" w:cs="Arial"/>
            <w:sz w:val="20"/>
            <w:szCs w:val="20"/>
          </w:rPr>
          <w:t xml:space="preserve">sobre </w:t>
        </w:r>
        <w:r w:rsidR="00C906FC" w:rsidRPr="0084304C">
          <w:rPr>
            <w:rStyle w:val="Hipervnculo"/>
            <w:rFonts w:ascii="Verdana" w:hAnsi="Verdana" w:cs="Arial"/>
            <w:sz w:val="20"/>
            <w:szCs w:val="20"/>
          </w:rPr>
          <w:t xml:space="preserve">la publicación de </w:t>
        </w:r>
        <w:r w:rsidR="00BF75C9" w:rsidRPr="0084304C">
          <w:rPr>
            <w:rStyle w:val="Hipervnculo"/>
            <w:rFonts w:ascii="Verdana" w:hAnsi="Verdana" w:cs="Arial"/>
            <w:sz w:val="20"/>
            <w:szCs w:val="20"/>
          </w:rPr>
          <w:t>una Guía de directrices sobre los acuerdos de sostenibilidad en la agricultura</w:t>
        </w:r>
        <w:r w:rsidR="00E21AF2" w:rsidRPr="0084304C">
          <w:rPr>
            <w:rStyle w:val="Hipervnculo"/>
            <w:rFonts w:ascii="Verdana" w:hAnsi="Verdana" w:cs="Arial"/>
            <w:sz w:val="20"/>
            <w:szCs w:val="20"/>
          </w:rPr>
          <w:t xml:space="preserve"> excluidos del cumplimiento de las normas de competencia</w:t>
        </w:r>
      </w:hyperlink>
      <w:r w:rsidR="00872491">
        <w:rPr>
          <w:rFonts w:ascii="Verdana" w:hAnsi="Verdana" w:cs="Arial"/>
          <w:sz w:val="20"/>
          <w:szCs w:val="20"/>
        </w:rPr>
        <w:t>.</w:t>
      </w:r>
      <w:r w:rsidR="002B27C7">
        <w:rPr>
          <w:rFonts w:ascii="Verdana" w:hAnsi="Verdana" w:cs="Arial"/>
          <w:sz w:val="20"/>
          <w:szCs w:val="20"/>
        </w:rPr>
        <w:t xml:space="preserve"> </w:t>
      </w:r>
      <w:r w:rsidR="00A01CF7">
        <w:rPr>
          <w:rFonts w:ascii="Verdana" w:hAnsi="Verdana" w:cs="Arial"/>
          <w:sz w:val="20"/>
          <w:szCs w:val="20"/>
        </w:rPr>
        <w:t xml:space="preserve">Estos acuerdos vienen regulados en el artículo 210 </w:t>
      </w:r>
      <w:r w:rsidR="00A01CF7" w:rsidRPr="00022A23">
        <w:rPr>
          <w:rFonts w:ascii="Verdana" w:hAnsi="Verdana" w:cs="Arial"/>
          <w:i/>
          <w:iCs/>
          <w:sz w:val="20"/>
          <w:szCs w:val="20"/>
        </w:rPr>
        <w:t>bis</w:t>
      </w:r>
      <w:r w:rsidR="00A01CF7">
        <w:rPr>
          <w:rFonts w:ascii="Verdana" w:hAnsi="Verdana" w:cs="Arial"/>
          <w:sz w:val="20"/>
          <w:szCs w:val="20"/>
        </w:rPr>
        <w:t xml:space="preserve"> del</w:t>
      </w:r>
      <w:r w:rsidR="00A01CF7" w:rsidRPr="00A01CF7">
        <w:rPr>
          <w:rFonts w:ascii="Verdana" w:hAnsi="Verdana" w:cs="Arial"/>
          <w:sz w:val="20"/>
          <w:szCs w:val="20"/>
        </w:rPr>
        <w:t xml:space="preserve"> Reglamento 1308/2013 (OCM Única), que ha sido actualizado al nuevo periodo PAC con el Reglamento 2021/2117.</w:t>
      </w:r>
    </w:p>
    <w:p w14:paraId="76FB7B58" w14:textId="72BCE4A1" w:rsidR="00BC664C" w:rsidRPr="00C47985" w:rsidRDefault="00E931A0" w:rsidP="00C47985">
      <w:p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Dicha iniciativa e</w:t>
      </w:r>
      <w:r w:rsidR="00A042A3" w:rsidRPr="00A042A3">
        <w:rPr>
          <w:rFonts w:ascii="Verdana" w:hAnsi="Verdana" w:cs="Arial"/>
          <w:sz w:val="20"/>
          <w:szCs w:val="20"/>
        </w:rPr>
        <w:t xml:space="preserve">stablecerá </w:t>
      </w:r>
      <w:r w:rsidR="00F25366">
        <w:rPr>
          <w:rFonts w:ascii="Verdana" w:hAnsi="Verdana" w:cs="Arial"/>
          <w:sz w:val="20"/>
          <w:szCs w:val="20"/>
        </w:rPr>
        <w:t xml:space="preserve">las directrices </w:t>
      </w:r>
      <w:r w:rsidR="00CC0EDA">
        <w:rPr>
          <w:rFonts w:ascii="Verdana" w:hAnsi="Verdana" w:cs="Arial"/>
          <w:sz w:val="20"/>
          <w:szCs w:val="20"/>
        </w:rPr>
        <w:t>que desarrollan los conceptos prácticos</w:t>
      </w:r>
      <w:r w:rsidR="009A3773">
        <w:rPr>
          <w:rFonts w:ascii="Verdana" w:hAnsi="Verdana" w:cs="Arial"/>
          <w:sz w:val="20"/>
          <w:szCs w:val="20"/>
        </w:rPr>
        <w:t xml:space="preserve"> de aplicación de la excepción contenida en el mencionado artículo 210 </w:t>
      </w:r>
      <w:r w:rsidR="009A3773">
        <w:rPr>
          <w:rFonts w:ascii="Verdana" w:hAnsi="Verdana" w:cs="Arial"/>
          <w:i/>
          <w:iCs/>
          <w:sz w:val="20"/>
          <w:szCs w:val="20"/>
        </w:rPr>
        <w:t xml:space="preserve">bis. </w:t>
      </w:r>
    </w:p>
    <w:p w14:paraId="2C51E761" w14:textId="02F11D80" w:rsidR="00A646AB" w:rsidRDefault="00C47985" w:rsidP="00635C84">
      <w:p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C47985">
        <w:rPr>
          <w:rFonts w:ascii="Verdana" w:hAnsi="Verdana" w:cs="Arial"/>
          <w:sz w:val="20"/>
          <w:szCs w:val="20"/>
        </w:rPr>
        <w:t xml:space="preserve">El objeto del presente documento es exponer la </w:t>
      </w:r>
      <w:r w:rsidRPr="00590A60">
        <w:rPr>
          <w:rFonts w:ascii="Verdana" w:hAnsi="Verdana" w:cs="Arial"/>
          <w:sz w:val="20"/>
          <w:szCs w:val="20"/>
        </w:rPr>
        <w:t xml:space="preserve">postura de </w:t>
      </w:r>
      <w:r w:rsidRPr="00C47985">
        <w:rPr>
          <w:rFonts w:ascii="Verdana" w:hAnsi="Verdana" w:cs="Arial"/>
          <w:sz w:val="20"/>
          <w:szCs w:val="20"/>
        </w:rPr>
        <w:t xml:space="preserve">Cooperativas </w:t>
      </w:r>
      <w:proofErr w:type="spellStart"/>
      <w:proofErr w:type="gramStart"/>
      <w:r w:rsidRPr="00C47985">
        <w:rPr>
          <w:rFonts w:ascii="Verdana" w:hAnsi="Verdana" w:cs="Arial"/>
          <w:sz w:val="20"/>
          <w:szCs w:val="20"/>
        </w:rPr>
        <w:t>Agro-alimentarias</w:t>
      </w:r>
      <w:proofErr w:type="spellEnd"/>
      <w:proofErr w:type="gramEnd"/>
      <w:r w:rsidRPr="00C47985">
        <w:rPr>
          <w:rFonts w:ascii="Verdana" w:hAnsi="Verdana" w:cs="Arial"/>
          <w:sz w:val="20"/>
          <w:szCs w:val="20"/>
        </w:rPr>
        <w:t xml:space="preserve"> de España ante </w:t>
      </w:r>
      <w:r w:rsidR="00F86BDE">
        <w:rPr>
          <w:rFonts w:ascii="Verdana" w:hAnsi="Verdana" w:cs="Arial"/>
          <w:sz w:val="20"/>
          <w:szCs w:val="20"/>
        </w:rPr>
        <w:t xml:space="preserve">la propuesta de </w:t>
      </w:r>
      <w:r w:rsidR="009A3773" w:rsidRPr="009A3773">
        <w:rPr>
          <w:rFonts w:ascii="Verdana" w:hAnsi="Verdana" w:cs="Arial"/>
          <w:sz w:val="20"/>
          <w:szCs w:val="20"/>
        </w:rPr>
        <w:t>Directrices de la Comisión Europea sobre los acuerdos en sostenibilidad que están exceptuados de cumplir las normas de competencia</w:t>
      </w:r>
      <w:r w:rsidR="00F86BDE">
        <w:rPr>
          <w:rFonts w:ascii="Verdana" w:hAnsi="Verdana" w:cs="Arial"/>
          <w:sz w:val="20"/>
          <w:szCs w:val="20"/>
        </w:rPr>
        <w:t>, en tod</w:t>
      </w:r>
      <w:r w:rsidR="00BE1A57">
        <w:rPr>
          <w:rFonts w:ascii="Verdana" w:hAnsi="Verdana" w:cs="Arial"/>
          <w:sz w:val="20"/>
          <w:szCs w:val="20"/>
        </w:rPr>
        <w:t xml:space="preserve">as las esferas y </w:t>
      </w:r>
      <w:r w:rsidR="007F7E4D">
        <w:rPr>
          <w:rFonts w:ascii="Verdana" w:hAnsi="Verdana" w:cs="Arial"/>
          <w:sz w:val="20"/>
          <w:szCs w:val="20"/>
        </w:rPr>
        <w:t xml:space="preserve">ámbitos </w:t>
      </w:r>
      <w:r w:rsidR="00BE1A57">
        <w:rPr>
          <w:rFonts w:ascii="Verdana" w:hAnsi="Verdana" w:cs="Arial"/>
          <w:sz w:val="20"/>
          <w:szCs w:val="20"/>
        </w:rPr>
        <w:t>en los que pueda interesar.</w:t>
      </w:r>
    </w:p>
    <w:p w14:paraId="2057B4E8" w14:textId="5FC3F262" w:rsidR="00A646AB" w:rsidRDefault="00A646AB" w:rsidP="00635C84">
      <w:p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</w:p>
    <w:p w14:paraId="498F2664" w14:textId="0A4A1AB2" w:rsidR="00A646AB" w:rsidRPr="00BD5C73" w:rsidRDefault="00C714B8" w:rsidP="00A646AB">
      <w:pPr>
        <w:pStyle w:val="Subtituloraya"/>
        <w:spacing w:before="360" w:after="240" w:line="276" w:lineRule="auto"/>
        <w:ind w:left="357" w:hanging="357"/>
        <w:rPr>
          <w:rFonts w:ascii="MonarkLight" w:hAnsi="MonarkLight"/>
          <w:sz w:val="26"/>
          <w:szCs w:val="26"/>
        </w:rPr>
      </w:pPr>
      <w:r>
        <w:rPr>
          <w:rFonts w:ascii="MonarkLight" w:hAnsi="MonarkLight"/>
          <w:sz w:val="26"/>
          <w:szCs w:val="26"/>
          <w:lang w:val="es-ES"/>
        </w:rPr>
        <w:t xml:space="preserve">Introducción y enfoque general </w:t>
      </w:r>
      <w:r w:rsidR="00703A29">
        <w:rPr>
          <w:rFonts w:ascii="MonarkLight" w:hAnsi="MonarkLight"/>
          <w:sz w:val="26"/>
          <w:szCs w:val="26"/>
          <w:lang w:val="es-ES"/>
        </w:rPr>
        <w:t xml:space="preserve">de las excepciones a las normas de competencia para el sector </w:t>
      </w:r>
      <w:r w:rsidR="00BF2588">
        <w:rPr>
          <w:rFonts w:ascii="MonarkLight" w:hAnsi="MonarkLight"/>
          <w:sz w:val="26"/>
          <w:szCs w:val="26"/>
          <w:lang w:val="es-ES"/>
        </w:rPr>
        <w:t xml:space="preserve">productor </w:t>
      </w:r>
      <w:r w:rsidR="00703A29">
        <w:rPr>
          <w:rFonts w:ascii="MonarkLight" w:hAnsi="MonarkLight"/>
          <w:sz w:val="26"/>
          <w:szCs w:val="26"/>
          <w:lang w:val="es-ES"/>
        </w:rPr>
        <w:t>agroalimentario</w:t>
      </w:r>
    </w:p>
    <w:p w14:paraId="28A99628" w14:textId="77777777" w:rsidR="0036323E" w:rsidRDefault="00F7045A" w:rsidP="00BF2588">
      <w:p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El artículo</w:t>
      </w:r>
      <w:r w:rsidR="00CC23C9">
        <w:rPr>
          <w:rFonts w:ascii="Verdana" w:hAnsi="Verdana" w:cs="Arial"/>
          <w:sz w:val="20"/>
          <w:szCs w:val="20"/>
        </w:rPr>
        <w:t xml:space="preserve"> 210 </w:t>
      </w:r>
      <w:r w:rsidR="00CC23C9">
        <w:rPr>
          <w:rFonts w:ascii="Verdana" w:hAnsi="Verdana" w:cs="Arial"/>
          <w:i/>
          <w:iCs/>
          <w:sz w:val="20"/>
          <w:szCs w:val="20"/>
        </w:rPr>
        <w:t>bis</w:t>
      </w:r>
      <w:r w:rsidR="00CC23C9">
        <w:rPr>
          <w:rFonts w:ascii="Verdana" w:hAnsi="Verdana" w:cs="Arial"/>
          <w:sz w:val="20"/>
          <w:szCs w:val="20"/>
        </w:rPr>
        <w:t xml:space="preserve"> del Reglamento 2021/</w:t>
      </w:r>
      <w:r w:rsidR="0036323E">
        <w:rPr>
          <w:rFonts w:ascii="Verdana" w:hAnsi="Verdana" w:cs="Arial"/>
          <w:sz w:val="20"/>
          <w:szCs w:val="20"/>
        </w:rPr>
        <w:t>2</w:t>
      </w:r>
      <w:r w:rsidR="00CC23C9">
        <w:rPr>
          <w:rFonts w:ascii="Verdana" w:hAnsi="Verdana" w:cs="Arial"/>
          <w:sz w:val="20"/>
          <w:szCs w:val="20"/>
        </w:rPr>
        <w:t>117</w:t>
      </w:r>
      <w:r w:rsidR="0036323E">
        <w:rPr>
          <w:rFonts w:ascii="Verdana" w:hAnsi="Verdana" w:cs="Arial"/>
          <w:sz w:val="20"/>
          <w:szCs w:val="20"/>
        </w:rPr>
        <w:t xml:space="preserve"> establece:</w:t>
      </w:r>
    </w:p>
    <w:p w14:paraId="37A13804" w14:textId="77777777" w:rsidR="008E7AF0" w:rsidRDefault="0036323E" w:rsidP="00536FE0">
      <w:pPr>
        <w:tabs>
          <w:tab w:val="left" w:pos="0"/>
        </w:tabs>
        <w:spacing w:before="120" w:after="120" w:line="276" w:lineRule="auto"/>
        <w:ind w:left="709"/>
        <w:jc w:val="both"/>
        <w:rPr>
          <w:rFonts w:ascii="Verdana" w:hAnsi="Verdana" w:cs="Arial"/>
          <w:i/>
          <w:iCs/>
          <w:sz w:val="20"/>
          <w:szCs w:val="20"/>
        </w:rPr>
      </w:pPr>
      <w:r w:rsidRPr="0036323E">
        <w:rPr>
          <w:rFonts w:ascii="Verdana" w:hAnsi="Verdana" w:cs="Arial"/>
          <w:i/>
          <w:iCs/>
          <w:sz w:val="20"/>
          <w:szCs w:val="20"/>
        </w:rPr>
        <w:t>El artículo 101, apartado 1, del TFUE no se aplicará a los acuerdos, decisiones y prácticas concertadas de productores de productos agrarios relacionados con la producción o el comercio de productos agrarios y cuyo objetivo sea aplicar una norma de sostenibilidad superior a la exigida por el Derecho de la Unión o el nacional, siempre que dichos acuerdos, decisiones y prácticas concertadas impongan a la competencia únicamente las restricciones que sean indispensables para la consecución de dicha norma.</w:t>
      </w:r>
      <w:r w:rsidR="00F7045A" w:rsidRPr="0036323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6B5B5E02" w14:textId="77777777" w:rsidR="008E7AF0" w:rsidRDefault="008E7AF0" w:rsidP="0036323E">
      <w:p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</w:p>
    <w:p w14:paraId="48255501" w14:textId="5EDF36B2" w:rsidR="008E7AF0" w:rsidRDefault="000638D1" w:rsidP="0036323E">
      <w:p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 xml:space="preserve">Desde Cooperativas </w:t>
      </w:r>
      <w:proofErr w:type="spellStart"/>
      <w:proofErr w:type="gramStart"/>
      <w:r>
        <w:rPr>
          <w:rFonts w:ascii="Verdana" w:hAnsi="Verdana" w:cs="Arial"/>
          <w:sz w:val="20"/>
          <w:szCs w:val="20"/>
        </w:rPr>
        <w:t>Agro-alimentarias</w:t>
      </w:r>
      <w:proofErr w:type="spellEnd"/>
      <w:proofErr w:type="gramEnd"/>
      <w:r>
        <w:rPr>
          <w:rFonts w:ascii="Verdana" w:hAnsi="Verdana" w:cs="Arial"/>
          <w:sz w:val="20"/>
          <w:szCs w:val="20"/>
        </w:rPr>
        <w:t xml:space="preserve"> de España se considera muy interesante que se habiliten opciones para que </w:t>
      </w:r>
      <w:r w:rsidR="002C2FFD">
        <w:rPr>
          <w:rFonts w:ascii="Verdana" w:hAnsi="Verdana" w:cs="Arial"/>
          <w:sz w:val="20"/>
          <w:szCs w:val="20"/>
        </w:rPr>
        <w:t>los productores y sus agrupaciones puedan consolidar acuerdos que se extiendan al conjunto del sector. Esta posibilidad</w:t>
      </w:r>
      <w:r w:rsidR="00A668BE">
        <w:rPr>
          <w:rFonts w:ascii="Verdana" w:hAnsi="Verdana" w:cs="Arial"/>
          <w:sz w:val="20"/>
          <w:szCs w:val="20"/>
        </w:rPr>
        <w:t>, siempre en persecución de objetivos de sostenibilidad</w:t>
      </w:r>
      <w:r w:rsidR="00AC2285">
        <w:rPr>
          <w:rFonts w:ascii="Verdana" w:hAnsi="Verdana" w:cs="Arial"/>
          <w:sz w:val="20"/>
          <w:szCs w:val="20"/>
        </w:rPr>
        <w:t xml:space="preserve"> de interés común, facilita</w:t>
      </w:r>
      <w:r w:rsidR="00536FE0">
        <w:rPr>
          <w:rFonts w:ascii="Verdana" w:hAnsi="Verdana" w:cs="Arial"/>
          <w:sz w:val="20"/>
          <w:szCs w:val="20"/>
        </w:rPr>
        <w:t>ría</w:t>
      </w:r>
      <w:r w:rsidR="00AC2285">
        <w:rPr>
          <w:rFonts w:ascii="Verdana" w:hAnsi="Verdana" w:cs="Arial"/>
          <w:sz w:val="20"/>
          <w:szCs w:val="20"/>
        </w:rPr>
        <w:t xml:space="preserve"> un reequilibrio del poder de negociación en la cadena alimentaria</w:t>
      </w:r>
      <w:r w:rsidR="00313AB5">
        <w:rPr>
          <w:rFonts w:ascii="Verdana" w:hAnsi="Verdana" w:cs="Arial"/>
          <w:sz w:val="20"/>
          <w:szCs w:val="20"/>
        </w:rPr>
        <w:t xml:space="preserve">, en la actualidad </w:t>
      </w:r>
      <w:r w:rsidR="00AC2285">
        <w:rPr>
          <w:rFonts w:ascii="Verdana" w:hAnsi="Verdana" w:cs="Arial"/>
          <w:sz w:val="20"/>
          <w:szCs w:val="20"/>
        </w:rPr>
        <w:t xml:space="preserve">claramente balanceado hacia los eslabones finales, mucho más concentrados que </w:t>
      </w:r>
      <w:r w:rsidR="00E17DC4">
        <w:rPr>
          <w:rFonts w:ascii="Verdana" w:hAnsi="Verdana" w:cs="Arial"/>
          <w:sz w:val="20"/>
          <w:szCs w:val="20"/>
        </w:rPr>
        <w:t>la producción primaria, tradicionalmente mucho más atomizada y menos vertebrada</w:t>
      </w:r>
      <w:r w:rsidR="004266F4" w:rsidRPr="007D5031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="00E17DC4">
        <w:rPr>
          <w:rFonts w:ascii="Verdana" w:hAnsi="Verdana" w:cs="Arial"/>
          <w:sz w:val="20"/>
          <w:szCs w:val="20"/>
        </w:rPr>
        <w:t>.</w:t>
      </w:r>
      <w:r w:rsidR="00965F5A">
        <w:rPr>
          <w:rFonts w:ascii="Verdana" w:hAnsi="Verdana" w:cs="Arial"/>
          <w:sz w:val="20"/>
          <w:szCs w:val="20"/>
        </w:rPr>
        <w:t xml:space="preserve"> </w:t>
      </w:r>
    </w:p>
    <w:p w14:paraId="461B0B4B" w14:textId="120FF8AA" w:rsidR="00B92000" w:rsidRDefault="00B92000" w:rsidP="0036323E">
      <w:p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No obstante, </w:t>
      </w:r>
      <w:r w:rsidR="006E20CD">
        <w:rPr>
          <w:rFonts w:ascii="Verdana" w:hAnsi="Verdana" w:cs="Arial"/>
          <w:sz w:val="20"/>
          <w:szCs w:val="20"/>
        </w:rPr>
        <w:t xml:space="preserve">también </w:t>
      </w:r>
      <w:r>
        <w:rPr>
          <w:rFonts w:ascii="Verdana" w:hAnsi="Verdana" w:cs="Arial"/>
          <w:sz w:val="20"/>
          <w:szCs w:val="20"/>
        </w:rPr>
        <w:t xml:space="preserve">es importante </w:t>
      </w:r>
      <w:r w:rsidR="006E20CD">
        <w:rPr>
          <w:rFonts w:ascii="Verdana" w:hAnsi="Verdana" w:cs="Arial"/>
          <w:sz w:val="20"/>
          <w:szCs w:val="20"/>
        </w:rPr>
        <w:t xml:space="preserve">ser realista y evaluar </w:t>
      </w:r>
      <w:r w:rsidR="00646C06">
        <w:rPr>
          <w:rFonts w:ascii="Verdana" w:hAnsi="Verdana" w:cs="Arial"/>
          <w:sz w:val="20"/>
          <w:szCs w:val="20"/>
        </w:rPr>
        <w:t>la capacidad de implantación de las o</w:t>
      </w:r>
      <w:r w:rsidR="006E20CD">
        <w:rPr>
          <w:rFonts w:ascii="Verdana" w:hAnsi="Verdana" w:cs="Arial"/>
          <w:sz w:val="20"/>
          <w:szCs w:val="20"/>
        </w:rPr>
        <w:t>pciones facilitadas</w:t>
      </w:r>
      <w:r w:rsidR="00646C06">
        <w:rPr>
          <w:rFonts w:ascii="Verdana" w:hAnsi="Verdana" w:cs="Arial"/>
          <w:sz w:val="20"/>
          <w:szCs w:val="20"/>
        </w:rPr>
        <w:t>. A nuestro juicio, las posibilidades de que este acuerdo sean empleadas y llevadas a buen término por los productores son muy escasas o nula</w:t>
      </w:r>
      <w:r w:rsidR="00992583">
        <w:rPr>
          <w:rFonts w:ascii="Verdana" w:hAnsi="Verdana" w:cs="Arial"/>
          <w:sz w:val="20"/>
          <w:szCs w:val="20"/>
        </w:rPr>
        <w:t>s</w:t>
      </w:r>
      <w:r w:rsidR="00646C06">
        <w:rPr>
          <w:rFonts w:ascii="Verdana" w:hAnsi="Verdana" w:cs="Arial"/>
          <w:sz w:val="20"/>
          <w:szCs w:val="20"/>
        </w:rPr>
        <w:t xml:space="preserve">. Es precisamente </w:t>
      </w:r>
      <w:r w:rsidR="00965F5A">
        <w:rPr>
          <w:rFonts w:ascii="Verdana" w:hAnsi="Verdana" w:cs="Arial"/>
          <w:sz w:val="20"/>
          <w:szCs w:val="20"/>
        </w:rPr>
        <w:t>la</w:t>
      </w:r>
      <w:r w:rsidR="00646C06">
        <w:rPr>
          <w:rFonts w:ascii="Verdana" w:hAnsi="Verdana" w:cs="Arial"/>
          <w:sz w:val="20"/>
          <w:szCs w:val="20"/>
        </w:rPr>
        <w:t xml:space="preserve"> atomización y </w:t>
      </w:r>
      <w:r w:rsidR="00965F5A">
        <w:rPr>
          <w:rFonts w:ascii="Verdana" w:hAnsi="Verdana" w:cs="Arial"/>
          <w:sz w:val="20"/>
          <w:szCs w:val="20"/>
        </w:rPr>
        <w:t>la</w:t>
      </w:r>
      <w:r w:rsidR="00646C06">
        <w:rPr>
          <w:rFonts w:ascii="Verdana" w:hAnsi="Verdana" w:cs="Arial"/>
          <w:sz w:val="20"/>
          <w:szCs w:val="20"/>
        </w:rPr>
        <w:t xml:space="preserve"> escasa </w:t>
      </w:r>
      <w:r w:rsidR="00E33656">
        <w:rPr>
          <w:rFonts w:ascii="Verdana" w:hAnsi="Verdana" w:cs="Arial"/>
          <w:sz w:val="20"/>
          <w:szCs w:val="20"/>
        </w:rPr>
        <w:t xml:space="preserve">vertebración </w:t>
      </w:r>
      <w:r w:rsidR="00965F5A">
        <w:rPr>
          <w:rFonts w:ascii="Verdana" w:hAnsi="Verdana" w:cs="Arial"/>
          <w:sz w:val="20"/>
          <w:szCs w:val="20"/>
        </w:rPr>
        <w:t>del sector productor, referenciada anteriormente</w:t>
      </w:r>
      <w:r w:rsidR="00A32055">
        <w:rPr>
          <w:rFonts w:ascii="Verdana" w:hAnsi="Verdana" w:cs="Arial"/>
          <w:sz w:val="20"/>
          <w:szCs w:val="20"/>
        </w:rPr>
        <w:t>,</w:t>
      </w:r>
      <w:r w:rsidR="00965F5A">
        <w:rPr>
          <w:rFonts w:ascii="Verdana" w:hAnsi="Verdana" w:cs="Arial"/>
          <w:sz w:val="20"/>
          <w:szCs w:val="20"/>
        </w:rPr>
        <w:t xml:space="preserve"> </w:t>
      </w:r>
      <w:r w:rsidR="00E33656">
        <w:rPr>
          <w:rFonts w:ascii="Verdana" w:hAnsi="Verdana" w:cs="Arial"/>
          <w:sz w:val="20"/>
          <w:szCs w:val="20"/>
        </w:rPr>
        <w:t>lo que dificulta</w:t>
      </w:r>
      <w:r w:rsidR="00A32055">
        <w:rPr>
          <w:rFonts w:ascii="Verdana" w:hAnsi="Verdana" w:cs="Arial"/>
          <w:sz w:val="20"/>
          <w:szCs w:val="20"/>
        </w:rPr>
        <w:t>ría que un acuerdo horizontal e</w:t>
      </w:r>
      <w:r w:rsidR="00F7308D">
        <w:rPr>
          <w:rFonts w:ascii="Verdana" w:hAnsi="Verdana" w:cs="Arial"/>
          <w:sz w:val="20"/>
          <w:szCs w:val="20"/>
        </w:rPr>
        <w:t xml:space="preserve">ntre agricultores en favor de la sostenibilidad </w:t>
      </w:r>
      <w:r w:rsidR="00E16894">
        <w:rPr>
          <w:rFonts w:ascii="Verdana" w:hAnsi="Verdana" w:cs="Arial"/>
          <w:sz w:val="20"/>
          <w:szCs w:val="20"/>
        </w:rPr>
        <w:t xml:space="preserve">se </w:t>
      </w:r>
      <w:r w:rsidR="00A05E9F">
        <w:rPr>
          <w:rFonts w:ascii="Verdana" w:hAnsi="Verdana" w:cs="Arial"/>
          <w:sz w:val="20"/>
          <w:szCs w:val="20"/>
        </w:rPr>
        <w:t>trasladase hacia adelante en la cadena,</w:t>
      </w:r>
      <w:r w:rsidR="00E16894">
        <w:rPr>
          <w:rFonts w:ascii="Verdana" w:hAnsi="Verdana" w:cs="Arial"/>
          <w:sz w:val="20"/>
          <w:szCs w:val="20"/>
        </w:rPr>
        <w:t xml:space="preserve"> </w:t>
      </w:r>
      <w:r w:rsidR="00C06B49">
        <w:rPr>
          <w:rFonts w:ascii="Verdana" w:hAnsi="Verdana" w:cs="Arial"/>
          <w:sz w:val="20"/>
          <w:szCs w:val="20"/>
        </w:rPr>
        <w:t>impidiendo</w:t>
      </w:r>
      <w:r w:rsidR="00AC2718">
        <w:rPr>
          <w:rFonts w:ascii="Verdana" w:hAnsi="Verdana" w:cs="Arial"/>
          <w:sz w:val="20"/>
          <w:szCs w:val="20"/>
        </w:rPr>
        <w:t xml:space="preserve"> que finalmente es</w:t>
      </w:r>
      <w:r w:rsidR="00E16894">
        <w:rPr>
          <w:rFonts w:ascii="Verdana" w:hAnsi="Verdana" w:cs="Arial"/>
          <w:sz w:val="20"/>
          <w:szCs w:val="20"/>
        </w:rPr>
        <w:t>tos productores</w:t>
      </w:r>
      <w:r w:rsidR="00AC2718">
        <w:rPr>
          <w:rFonts w:ascii="Verdana" w:hAnsi="Verdana" w:cs="Arial"/>
          <w:sz w:val="20"/>
          <w:szCs w:val="20"/>
        </w:rPr>
        <w:t xml:space="preserve"> pudieran</w:t>
      </w:r>
      <w:r w:rsidR="00E16894">
        <w:rPr>
          <w:rFonts w:ascii="Verdana" w:hAnsi="Verdana" w:cs="Arial"/>
          <w:sz w:val="20"/>
          <w:szCs w:val="20"/>
        </w:rPr>
        <w:t xml:space="preserve"> beneficiarse de una restricción</w:t>
      </w:r>
      <w:r w:rsidR="00AC2718">
        <w:rPr>
          <w:rFonts w:ascii="Verdana" w:hAnsi="Verdana" w:cs="Arial"/>
          <w:sz w:val="20"/>
          <w:szCs w:val="20"/>
        </w:rPr>
        <w:t xml:space="preserve"> (</w:t>
      </w:r>
      <w:r w:rsidR="00E16894">
        <w:rPr>
          <w:rFonts w:ascii="Verdana" w:hAnsi="Verdana" w:cs="Arial"/>
          <w:sz w:val="20"/>
          <w:szCs w:val="20"/>
        </w:rPr>
        <w:t>permitida</w:t>
      </w:r>
      <w:r w:rsidR="00AC2718">
        <w:rPr>
          <w:rFonts w:ascii="Verdana" w:hAnsi="Verdana" w:cs="Arial"/>
          <w:sz w:val="20"/>
          <w:szCs w:val="20"/>
        </w:rPr>
        <w:t>)</w:t>
      </w:r>
      <w:r w:rsidR="00E16894">
        <w:rPr>
          <w:rFonts w:ascii="Verdana" w:hAnsi="Verdana" w:cs="Arial"/>
          <w:sz w:val="20"/>
          <w:szCs w:val="20"/>
        </w:rPr>
        <w:t xml:space="preserve"> de las normas de competencia.</w:t>
      </w:r>
      <w:r w:rsidR="00A32055">
        <w:rPr>
          <w:rFonts w:ascii="Verdana" w:hAnsi="Verdana" w:cs="Arial"/>
          <w:sz w:val="20"/>
          <w:szCs w:val="20"/>
        </w:rPr>
        <w:t xml:space="preserve"> </w:t>
      </w:r>
      <w:r w:rsidR="00C06B49">
        <w:rPr>
          <w:rFonts w:ascii="Verdana" w:hAnsi="Verdana" w:cs="Arial"/>
          <w:sz w:val="20"/>
          <w:szCs w:val="20"/>
        </w:rPr>
        <w:t>Para que un acuerdo alcanzado entre operadores del sector productor</w:t>
      </w:r>
      <w:r w:rsidR="00692EEF">
        <w:rPr>
          <w:rFonts w:ascii="Verdana" w:hAnsi="Verdana" w:cs="Arial"/>
          <w:sz w:val="20"/>
          <w:szCs w:val="20"/>
        </w:rPr>
        <w:t xml:space="preserve"> acabase suponiendo una restricción real de la competencia (por precio, por inputs, etc.), la </w:t>
      </w:r>
      <w:r w:rsidR="00913239">
        <w:rPr>
          <w:rFonts w:ascii="Verdana" w:hAnsi="Verdana" w:cs="Arial"/>
          <w:sz w:val="20"/>
          <w:szCs w:val="20"/>
        </w:rPr>
        <w:t>situación</w:t>
      </w:r>
      <w:r w:rsidR="00692EEF">
        <w:rPr>
          <w:rFonts w:ascii="Verdana" w:hAnsi="Verdana" w:cs="Arial"/>
          <w:sz w:val="20"/>
          <w:szCs w:val="20"/>
        </w:rPr>
        <w:t xml:space="preserve"> de partida del sector </w:t>
      </w:r>
      <w:r w:rsidR="00913239">
        <w:rPr>
          <w:rFonts w:ascii="Verdana" w:hAnsi="Verdana" w:cs="Arial"/>
          <w:sz w:val="20"/>
          <w:szCs w:val="20"/>
        </w:rPr>
        <w:t xml:space="preserve">productor </w:t>
      </w:r>
      <w:r w:rsidR="00692EEF">
        <w:rPr>
          <w:rFonts w:ascii="Verdana" w:hAnsi="Verdana" w:cs="Arial"/>
          <w:sz w:val="20"/>
          <w:szCs w:val="20"/>
        </w:rPr>
        <w:t>tendría que ser una muy distinta</w:t>
      </w:r>
      <w:r w:rsidR="003D5518">
        <w:rPr>
          <w:rFonts w:ascii="Verdana" w:hAnsi="Verdana" w:cs="Arial"/>
          <w:sz w:val="20"/>
          <w:szCs w:val="20"/>
        </w:rPr>
        <w:t>, vertebrada y con una importante capacidad de concentración de la oferta que en estos momentos no existe</w:t>
      </w:r>
      <w:r w:rsidR="007D5031">
        <w:rPr>
          <w:rFonts w:ascii="Verdana" w:hAnsi="Verdana" w:cs="Arial"/>
          <w:sz w:val="20"/>
          <w:szCs w:val="20"/>
        </w:rPr>
        <w:t xml:space="preserve"> en España, ni tampoco en la mayor parte de la Unión Europea.</w:t>
      </w:r>
    </w:p>
    <w:p w14:paraId="2A7076BB" w14:textId="4A9D5329" w:rsidR="00100045" w:rsidRDefault="00100045" w:rsidP="00931938">
      <w:p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</w:p>
    <w:p w14:paraId="039C96DC" w14:textId="34C0D66E" w:rsidR="00C714B8" w:rsidRPr="00BD5C73" w:rsidRDefault="00BF2588" w:rsidP="00C714B8">
      <w:pPr>
        <w:pStyle w:val="Subtituloraya"/>
        <w:spacing w:before="360" w:after="240" w:line="276" w:lineRule="auto"/>
        <w:ind w:left="357" w:hanging="357"/>
        <w:rPr>
          <w:rFonts w:ascii="MonarkLight" w:hAnsi="MonarkLight"/>
          <w:sz w:val="26"/>
          <w:szCs w:val="26"/>
        </w:rPr>
      </w:pPr>
      <w:r>
        <w:rPr>
          <w:rFonts w:ascii="MonarkLight" w:hAnsi="MonarkLight"/>
          <w:sz w:val="26"/>
          <w:szCs w:val="26"/>
          <w:lang w:val="es-ES"/>
        </w:rPr>
        <w:t>Los riesgos asociados a</w:t>
      </w:r>
      <w:r w:rsidR="00F47710">
        <w:rPr>
          <w:rFonts w:ascii="MonarkLight" w:hAnsi="MonarkLight"/>
          <w:sz w:val="26"/>
          <w:szCs w:val="26"/>
          <w:lang w:val="es-ES"/>
        </w:rPr>
        <w:t xml:space="preserve"> las excepciones</w:t>
      </w:r>
      <w:r w:rsidR="005F31A7">
        <w:rPr>
          <w:rFonts w:ascii="MonarkLight" w:hAnsi="MonarkLight"/>
          <w:sz w:val="26"/>
          <w:szCs w:val="26"/>
          <w:lang w:val="es-ES"/>
        </w:rPr>
        <w:t xml:space="preserve"> de competencia para los acuerdos en sostenibilidad</w:t>
      </w:r>
    </w:p>
    <w:p w14:paraId="58C238A4" w14:textId="17524CF3" w:rsidR="00690614" w:rsidRDefault="00F61707" w:rsidP="00E3672C">
      <w:p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En primer lugar, </w:t>
      </w:r>
      <w:r w:rsidR="00C107FD">
        <w:rPr>
          <w:rFonts w:ascii="Verdana" w:hAnsi="Verdana" w:cs="Arial"/>
          <w:sz w:val="20"/>
          <w:szCs w:val="20"/>
        </w:rPr>
        <w:t>somos conscientes de que lo que actualmente está en debate no es la propia reglamentación en sí que permite y define estos acuerdos,</w:t>
      </w:r>
      <w:r w:rsidR="00114A19">
        <w:rPr>
          <w:rFonts w:ascii="Verdana" w:hAnsi="Verdana" w:cs="Arial"/>
          <w:sz w:val="20"/>
          <w:szCs w:val="20"/>
        </w:rPr>
        <w:t xml:space="preserve"> debatida y aprobada finalmente en el año 2021,</w:t>
      </w:r>
      <w:r w:rsidR="00690614">
        <w:rPr>
          <w:rFonts w:ascii="Verdana" w:hAnsi="Verdana" w:cs="Arial"/>
          <w:sz w:val="20"/>
          <w:szCs w:val="20"/>
        </w:rPr>
        <w:t xml:space="preserve"> sino una guía de directrices sobre la normativa aprobada que no es vinculante desde el punto de vista legal.</w:t>
      </w:r>
      <w:r w:rsidR="00114A19">
        <w:rPr>
          <w:rFonts w:ascii="Verdana" w:hAnsi="Verdana" w:cs="Arial"/>
          <w:sz w:val="20"/>
          <w:szCs w:val="20"/>
        </w:rPr>
        <w:t xml:space="preserve"> A este respecto, somos conscientes de las limitaciones de nuest</w:t>
      </w:r>
      <w:r w:rsidR="00EE2228">
        <w:rPr>
          <w:rFonts w:ascii="Verdana" w:hAnsi="Verdana" w:cs="Arial"/>
          <w:sz w:val="20"/>
          <w:szCs w:val="20"/>
        </w:rPr>
        <w:t xml:space="preserve">ros comentarios, pero también consideramos que un enfoque e interpretación adecuados del artículo 210 </w:t>
      </w:r>
      <w:r w:rsidR="00EE2228">
        <w:rPr>
          <w:rFonts w:ascii="Verdana" w:hAnsi="Verdana" w:cs="Arial"/>
          <w:i/>
          <w:iCs/>
          <w:sz w:val="20"/>
          <w:szCs w:val="20"/>
        </w:rPr>
        <w:t xml:space="preserve">bis </w:t>
      </w:r>
      <w:r w:rsidR="00EE2228">
        <w:rPr>
          <w:rFonts w:ascii="Verdana" w:hAnsi="Verdana" w:cs="Arial"/>
          <w:sz w:val="20"/>
          <w:szCs w:val="20"/>
        </w:rPr>
        <w:t>del Reglamento 1308/2013 evitaría alguno de los riesgos que identificamos a continuación, y facilitaría una mejor explotación de los beneficios y oportunidades pretendidas.</w:t>
      </w:r>
    </w:p>
    <w:p w14:paraId="1AC8A9C1" w14:textId="4FDAFD14" w:rsidR="006B6604" w:rsidRDefault="006B6604" w:rsidP="00E3672C">
      <w:p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Como se comentaba en el punto I, el objetivo de esta normativa es del todo loable, y es un</w:t>
      </w:r>
      <w:r w:rsidR="00EB5BDA">
        <w:rPr>
          <w:rFonts w:ascii="Verdana" w:hAnsi="Verdana" w:cs="Arial"/>
          <w:sz w:val="20"/>
          <w:szCs w:val="20"/>
        </w:rPr>
        <w:t>a aspiración ansiada y reclamada por el sector productor.</w:t>
      </w:r>
      <w:r w:rsidR="00BE1D16">
        <w:rPr>
          <w:rFonts w:ascii="Verdana" w:hAnsi="Verdana" w:cs="Arial"/>
          <w:sz w:val="20"/>
          <w:szCs w:val="20"/>
        </w:rPr>
        <w:t xml:space="preserve"> Aunque </w:t>
      </w:r>
      <w:r w:rsidR="008E615A">
        <w:rPr>
          <w:rFonts w:ascii="Verdana" w:hAnsi="Verdana" w:cs="Arial"/>
          <w:sz w:val="20"/>
          <w:szCs w:val="20"/>
        </w:rPr>
        <w:t xml:space="preserve">se reconoce el interés de los objetivos </w:t>
      </w:r>
      <w:r w:rsidR="009633E8">
        <w:rPr>
          <w:rFonts w:ascii="Verdana" w:hAnsi="Verdana" w:cs="Arial"/>
          <w:sz w:val="20"/>
          <w:szCs w:val="20"/>
        </w:rPr>
        <w:t xml:space="preserve">del artículo para el eslabón primario, es muy importante analizar con detenimiento los riesgos asociados </w:t>
      </w:r>
      <w:r w:rsidR="00846A6E">
        <w:rPr>
          <w:rFonts w:ascii="Verdana" w:hAnsi="Verdana" w:cs="Arial"/>
          <w:sz w:val="20"/>
          <w:szCs w:val="20"/>
        </w:rPr>
        <w:t xml:space="preserve">a la aprobación de esta normativa, que podrían acabar siendo </w:t>
      </w:r>
      <w:r w:rsidR="00B86374">
        <w:rPr>
          <w:rFonts w:ascii="Verdana" w:hAnsi="Verdana" w:cs="Arial"/>
          <w:sz w:val="20"/>
          <w:szCs w:val="20"/>
        </w:rPr>
        <w:t>muy superiores y totalmente opuestos a la intención de la norma.</w:t>
      </w:r>
    </w:p>
    <w:p w14:paraId="442D3139" w14:textId="1ACD2186" w:rsidR="00E3672C" w:rsidRDefault="00494216" w:rsidP="00E3672C">
      <w:p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Tanto e</w:t>
      </w:r>
      <w:r w:rsidR="00E3672C">
        <w:rPr>
          <w:rFonts w:ascii="Verdana" w:hAnsi="Verdana" w:cs="Arial"/>
          <w:sz w:val="20"/>
          <w:szCs w:val="20"/>
        </w:rPr>
        <w:t xml:space="preserve">l artículo 210 </w:t>
      </w:r>
      <w:r w:rsidR="00E3672C">
        <w:rPr>
          <w:rFonts w:ascii="Verdana" w:hAnsi="Verdana" w:cs="Arial"/>
          <w:i/>
          <w:iCs/>
          <w:sz w:val="20"/>
          <w:szCs w:val="20"/>
        </w:rPr>
        <w:t xml:space="preserve">bis </w:t>
      </w:r>
      <w:r w:rsidR="00E3672C">
        <w:rPr>
          <w:rFonts w:ascii="Verdana" w:hAnsi="Verdana" w:cs="Arial"/>
          <w:sz w:val="20"/>
          <w:szCs w:val="20"/>
        </w:rPr>
        <w:t xml:space="preserve">del Reglamento </w:t>
      </w:r>
      <w:r>
        <w:rPr>
          <w:rFonts w:ascii="Verdana" w:hAnsi="Verdana" w:cs="Arial"/>
          <w:sz w:val="20"/>
          <w:szCs w:val="20"/>
        </w:rPr>
        <w:t xml:space="preserve">1308/2013, como el borrador de directrices en consulta, es claro en que </w:t>
      </w:r>
      <w:r w:rsidR="00E3672C" w:rsidRPr="00E3672C">
        <w:rPr>
          <w:rFonts w:ascii="Verdana" w:hAnsi="Verdana" w:cs="Arial"/>
          <w:sz w:val="20"/>
          <w:szCs w:val="20"/>
        </w:rPr>
        <w:t>para que estos acuerdos no sean considerados prácticas anticompetitivas, es necesario que participe, al menos, un productor.</w:t>
      </w:r>
      <w:r w:rsidR="00CC23C9">
        <w:rPr>
          <w:rFonts w:ascii="Verdana" w:hAnsi="Verdana" w:cs="Arial"/>
          <w:sz w:val="20"/>
          <w:szCs w:val="20"/>
        </w:rPr>
        <w:t xml:space="preserve"> </w:t>
      </w:r>
      <w:r w:rsidR="00B86374">
        <w:rPr>
          <w:rFonts w:ascii="Verdana" w:hAnsi="Verdana" w:cs="Arial"/>
          <w:sz w:val="20"/>
          <w:szCs w:val="20"/>
        </w:rPr>
        <w:t xml:space="preserve">Así, se incide en </w:t>
      </w:r>
      <w:r w:rsidR="00F26C70">
        <w:rPr>
          <w:rFonts w:ascii="Verdana" w:hAnsi="Verdana" w:cs="Arial"/>
          <w:sz w:val="20"/>
          <w:szCs w:val="20"/>
        </w:rPr>
        <w:t>que estos acuerdos podrían ser tanto iniciativas horizontales (entre productores o agrupaciones de éstos), como verticales</w:t>
      </w:r>
      <w:r w:rsidR="007E5FB4">
        <w:rPr>
          <w:rFonts w:ascii="Verdana" w:hAnsi="Verdana" w:cs="Arial"/>
          <w:sz w:val="20"/>
          <w:szCs w:val="20"/>
        </w:rPr>
        <w:t xml:space="preserve"> (incluyendo operadores de la industria, distribución, o proveedores de inputs)</w:t>
      </w:r>
      <w:r w:rsidR="00107412">
        <w:rPr>
          <w:rFonts w:ascii="Verdana" w:hAnsi="Verdana" w:cs="Arial"/>
          <w:sz w:val="20"/>
          <w:szCs w:val="20"/>
        </w:rPr>
        <w:t>, siempre que se incluya</w:t>
      </w:r>
      <w:r w:rsidR="007E5FB4">
        <w:rPr>
          <w:rFonts w:ascii="Verdana" w:hAnsi="Verdana" w:cs="Arial"/>
          <w:sz w:val="20"/>
          <w:szCs w:val="20"/>
        </w:rPr>
        <w:t xml:space="preserve"> a</w:t>
      </w:r>
      <w:r w:rsidR="00107412">
        <w:rPr>
          <w:rFonts w:ascii="Verdana" w:hAnsi="Verdana" w:cs="Arial"/>
          <w:sz w:val="20"/>
          <w:szCs w:val="20"/>
        </w:rPr>
        <w:t xml:space="preserve"> productores en la </w:t>
      </w:r>
      <w:r w:rsidR="00107412">
        <w:rPr>
          <w:rFonts w:ascii="Verdana" w:hAnsi="Verdana" w:cs="Arial"/>
          <w:sz w:val="20"/>
          <w:szCs w:val="20"/>
        </w:rPr>
        <w:lastRenderedPageBreak/>
        <w:t>iniciativa. E</w:t>
      </w:r>
      <w:r w:rsidR="00E3672C" w:rsidRPr="00E3672C">
        <w:rPr>
          <w:rFonts w:ascii="Verdana" w:hAnsi="Verdana" w:cs="Arial"/>
          <w:sz w:val="20"/>
          <w:szCs w:val="20"/>
        </w:rPr>
        <w:t xml:space="preserve">sto es el primer y principal factor de riesgo observado, ya que permite la entrada en la excepción a </w:t>
      </w:r>
      <w:r>
        <w:rPr>
          <w:rFonts w:ascii="Verdana" w:hAnsi="Verdana" w:cs="Arial"/>
          <w:sz w:val="20"/>
          <w:szCs w:val="20"/>
        </w:rPr>
        <w:t>operadores i</w:t>
      </w:r>
      <w:r w:rsidR="00E3672C" w:rsidRPr="00E3672C">
        <w:rPr>
          <w:rFonts w:ascii="Verdana" w:hAnsi="Verdana" w:cs="Arial"/>
          <w:sz w:val="20"/>
          <w:szCs w:val="20"/>
        </w:rPr>
        <w:t>ndustriales, distribución, transporte, pro</w:t>
      </w:r>
      <w:r>
        <w:rPr>
          <w:rFonts w:ascii="Verdana" w:hAnsi="Verdana" w:cs="Arial"/>
          <w:sz w:val="20"/>
          <w:szCs w:val="20"/>
        </w:rPr>
        <w:t>veedore</w:t>
      </w:r>
      <w:r w:rsidR="00E3672C" w:rsidRPr="00E3672C">
        <w:rPr>
          <w:rFonts w:ascii="Verdana" w:hAnsi="Verdana" w:cs="Arial"/>
          <w:sz w:val="20"/>
          <w:szCs w:val="20"/>
        </w:rPr>
        <w:t xml:space="preserve">s de inputs; que podrían suscribir acuerdos anticompetitivos, </w:t>
      </w:r>
      <w:r>
        <w:rPr>
          <w:rFonts w:ascii="Verdana" w:hAnsi="Verdana" w:cs="Arial"/>
          <w:sz w:val="20"/>
          <w:szCs w:val="20"/>
        </w:rPr>
        <w:t xml:space="preserve">justificándose en la participación de productores en el acuerdo. Se incluyen varios ejemplos </w:t>
      </w:r>
      <w:r w:rsidR="007E5FB4">
        <w:rPr>
          <w:rFonts w:ascii="Verdana" w:hAnsi="Verdana" w:cs="Arial"/>
          <w:sz w:val="20"/>
          <w:szCs w:val="20"/>
        </w:rPr>
        <w:t xml:space="preserve">sencillos </w:t>
      </w:r>
      <w:r>
        <w:rPr>
          <w:rFonts w:ascii="Verdana" w:hAnsi="Verdana" w:cs="Arial"/>
          <w:sz w:val="20"/>
          <w:szCs w:val="20"/>
        </w:rPr>
        <w:t>de cómo podrían materializarse estos riesgos:</w:t>
      </w:r>
    </w:p>
    <w:p w14:paraId="14C640AF" w14:textId="58CF9D2F" w:rsidR="00E3672C" w:rsidRPr="00B22204" w:rsidRDefault="00D80263" w:rsidP="00B22204">
      <w:pPr>
        <w:pStyle w:val="Prrafodelista"/>
        <w:numPr>
          <w:ilvl w:val="0"/>
          <w:numId w:val="39"/>
        </w:num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Varias</w:t>
      </w:r>
      <w:r w:rsidR="00B22204" w:rsidRPr="002A599B">
        <w:rPr>
          <w:rFonts w:ascii="Verdana" w:hAnsi="Verdana" w:cs="Arial"/>
          <w:sz w:val="20"/>
          <w:szCs w:val="20"/>
        </w:rPr>
        <w:t xml:space="preserve"> empresas suministradoras de envases </w:t>
      </w:r>
      <w:r>
        <w:rPr>
          <w:rFonts w:ascii="Verdana" w:hAnsi="Verdana" w:cs="Arial"/>
          <w:sz w:val="20"/>
          <w:szCs w:val="20"/>
        </w:rPr>
        <w:t xml:space="preserve">(pongamos que producen un 80% de los envases de cierto producto) </w:t>
      </w:r>
      <w:r w:rsidR="00B22204" w:rsidRPr="002A599B">
        <w:rPr>
          <w:rFonts w:ascii="Verdana" w:hAnsi="Verdana" w:cs="Arial"/>
          <w:sz w:val="20"/>
          <w:szCs w:val="20"/>
        </w:rPr>
        <w:t>podrían suscribir un acuerdo entre ellas para incorporar nuevos materiales a los envases en sustitución del plástico (</w:t>
      </w:r>
      <w:r w:rsidR="00B22204" w:rsidRPr="00B22204">
        <w:rPr>
          <w:rFonts w:ascii="Verdana" w:hAnsi="Verdana" w:cs="Arial"/>
          <w:i/>
          <w:iCs/>
          <w:sz w:val="20"/>
          <w:szCs w:val="20"/>
        </w:rPr>
        <w:t>objetivo sostenible</w:t>
      </w:r>
      <w:r w:rsidR="00B22204" w:rsidRPr="002A599B">
        <w:rPr>
          <w:rFonts w:ascii="Verdana" w:hAnsi="Verdana" w:cs="Arial"/>
          <w:sz w:val="20"/>
          <w:szCs w:val="20"/>
        </w:rPr>
        <w:t>), y acordando un incremento concreto del precio de estos inputs (</w:t>
      </w:r>
      <w:r w:rsidR="00B22204" w:rsidRPr="00B22204">
        <w:rPr>
          <w:rFonts w:ascii="Verdana" w:hAnsi="Verdana" w:cs="Arial"/>
          <w:i/>
          <w:iCs/>
          <w:sz w:val="20"/>
          <w:szCs w:val="20"/>
        </w:rPr>
        <w:t>práctica anticompetitiva por pacto de precios</w:t>
      </w:r>
      <w:r w:rsidR="00B22204" w:rsidRPr="002A599B">
        <w:rPr>
          <w:rFonts w:ascii="Verdana" w:hAnsi="Verdana" w:cs="Arial"/>
          <w:sz w:val="20"/>
          <w:szCs w:val="20"/>
        </w:rPr>
        <w:t>). Si en dicho acuerdo participase algún productor, podría ser considerada una práctica exceptuada de las normas de la competencia, y ser, de facto, legal</w:t>
      </w:r>
      <w:r w:rsidR="00B22204">
        <w:rPr>
          <w:rFonts w:ascii="Verdana" w:hAnsi="Verdana" w:cs="Arial"/>
          <w:sz w:val="20"/>
          <w:szCs w:val="20"/>
        </w:rPr>
        <w:t>. No obstante, dicha práctica obligaría al pago de un precio mayor al conjunto de los productores que necesiten ese envase</w:t>
      </w:r>
      <w:r>
        <w:rPr>
          <w:rFonts w:ascii="Verdana" w:hAnsi="Verdana" w:cs="Arial"/>
          <w:sz w:val="20"/>
          <w:szCs w:val="20"/>
        </w:rPr>
        <w:t>, y no solo al productor participante del acuerdo</w:t>
      </w:r>
      <w:r w:rsidR="00B22204">
        <w:rPr>
          <w:rFonts w:ascii="Verdana" w:hAnsi="Verdana" w:cs="Arial"/>
          <w:sz w:val="20"/>
          <w:szCs w:val="20"/>
        </w:rPr>
        <w:t>.</w:t>
      </w:r>
    </w:p>
    <w:p w14:paraId="14AC3F69" w14:textId="23C490A3" w:rsidR="00E3672C" w:rsidRDefault="00E3672C" w:rsidP="00B22204">
      <w:pPr>
        <w:pStyle w:val="Prrafodelista"/>
        <w:numPr>
          <w:ilvl w:val="0"/>
          <w:numId w:val="40"/>
        </w:num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B22204">
        <w:rPr>
          <w:rFonts w:ascii="Verdana" w:hAnsi="Verdana" w:cs="Arial"/>
          <w:sz w:val="20"/>
          <w:szCs w:val="20"/>
        </w:rPr>
        <w:t xml:space="preserve">Varias empresas de la distribución (imaginemos que </w:t>
      </w:r>
      <w:r w:rsidR="00D80263">
        <w:rPr>
          <w:rFonts w:ascii="Verdana" w:hAnsi="Verdana" w:cs="Arial"/>
          <w:sz w:val="20"/>
          <w:szCs w:val="20"/>
        </w:rPr>
        <w:t>representan</w:t>
      </w:r>
      <w:r w:rsidRPr="00B22204">
        <w:rPr>
          <w:rFonts w:ascii="Verdana" w:hAnsi="Verdana" w:cs="Arial"/>
          <w:sz w:val="20"/>
          <w:szCs w:val="20"/>
        </w:rPr>
        <w:t xml:space="preserve"> un 70% de la cuota del mercado) podrían pactar que sólo comprarán carne obtenida de animales que no hayan sido objeto nunca de un tratamiento antibiótico (</w:t>
      </w:r>
      <w:r w:rsidRPr="00B22204">
        <w:rPr>
          <w:rFonts w:ascii="Verdana" w:hAnsi="Verdana" w:cs="Arial"/>
          <w:i/>
          <w:iCs/>
          <w:sz w:val="20"/>
          <w:szCs w:val="20"/>
        </w:rPr>
        <w:t>práctica anticompetitiva por restricción relacionada con los inputs</w:t>
      </w:r>
      <w:r w:rsidRPr="00B22204">
        <w:rPr>
          <w:rFonts w:ascii="Verdana" w:hAnsi="Verdana" w:cs="Arial"/>
          <w:sz w:val="20"/>
          <w:szCs w:val="20"/>
        </w:rPr>
        <w:t>). Esto obligaría de facto a los productores (al conjunto de ellos) a producir sin antibióticos si quieren vender. Para que este acuerdo fuera considerado dentro de la excepción a las normas de competencia, y por tanto legal, tendría que participar al menos un productor u organización de productores. Por ejemplo, podría estar dentro del acuerdo una organización de productores que cuenta con una marca de certificación de producción libre de antibióticos, y su participación estaría obligando de facto al resto de productores que venden a esas empresas de la distribución.</w:t>
      </w:r>
    </w:p>
    <w:p w14:paraId="46ED9242" w14:textId="77777777" w:rsidR="009D11E9" w:rsidRPr="00B22204" w:rsidRDefault="009D11E9" w:rsidP="009D11E9">
      <w:pPr>
        <w:pStyle w:val="Prrafodelista"/>
        <w:tabs>
          <w:tab w:val="left" w:pos="0"/>
        </w:tabs>
        <w:spacing w:before="120" w:after="120" w:line="276" w:lineRule="auto"/>
        <w:ind w:left="720"/>
        <w:jc w:val="both"/>
        <w:rPr>
          <w:rFonts w:ascii="Verdana" w:hAnsi="Verdana" w:cs="Arial"/>
          <w:sz w:val="20"/>
          <w:szCs w:val="20"/>
        </w:rPr>
      </w:pPr>
    </w:p>
    <w:p w14:paraId="1A6B741F" w14:textId="77777777" w:rsidR="009D11E9" w:rsidRPr="009D11E9" w:rsidRDefault="009D11E9" w:rsidP="009D11E9">
      <w:p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9D11E9">
        <w:rPr>
          <w:rFonts w:ascii="Verdana" w:hAnsi="Verdana" w:cs="Arial"/>
          <w:sz w:val="20"/>
          <w:szCs w:val="20"/>
        </w:rPr>
        <w:t xml:space="preserve">La debilidad y atomización del sector primario le hace ser el eslabón más débil y posiblemente afectado negativamente por las consecuencias de la adopción del artículo 210 </w:t>
      </w:r>
      <w:r w:rsidRPr="009D11E9">
        <w:rPr>
          <w:rFonts w:ascii="Verdana" w:hAnsi="Verdana" w:cs="Arial"/>
          <w:i/>
          <w:iCs/>
          <w:sz w:val="20"/>
          <w:szCs w:val="20"/>
        </w:rPr>
        <w:t>bis.</w:t>
      </w:r>
      <w:r w:rsidRPr="009D11E9">
        <w:rPr>
          <w:rFonts w:ascii="Verdana" w:hAnsi="Verdana" w:cs="Arial"/>
          <w:sz w:val="20"/>
          <w:szCs w:val="20"/>
        </w:rPr>
        <w:t xml:space="preserve"> Asimismo, la necesidad de contar con al menos un productor en los acuerdos verticales implica que una decisión o pacto suscrito por un solo productor daría legalidad a un acuerdo que restrinja la competencia y afecte al resto de productores.</w:t>
      </w:r>
    </w:p>
    <w:p w14:paraId="6FDA7C6C" w14:textId="254BB497" w:rsidR="00D834FE" w:rsidRDefault="00E3672C" w:rsidP="00577472">
      <w:p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3672C">
        <w:rPr>
          <w:rFonts w:ascii="Verdana" w:hAnsi="Verdana" w:cs="Arial"/>
          <w:sz w:val="20"/>
          <w:szCs w:val="20"/>
        </w:rPr>
        <w:t xml:space="preserve">La Comisión </w:t>
      </w:r>
      <w:r w:rsidR="00614BCD">
        <w:rPr>
          <w:rFonts w:ascii="Verdana" w:hAnsi="Verdana" w:cs="Arial"/>
          <w:sz w:val="20"/>
          <w:szCs w:val="20"/>
        </w:rPr>
        <w:t>pre</w:t>
      </w:r>
      <w:r w:rsidR="00BE4183">
        <w:rPr>
          <w:rFonts w:ascii="Verdana" w:hAnsi="Verdana" w:cs="Arial"/>
          <w:sz w:val="20"/>
          <w:szCs w:val="20"/>
        </w:rPr>
        <w:t>supone</w:t>
      </w:r>
      <w:r w:rsidRPr="00E3672C">
        <w:rPr>
          <w:rFonts w:ascii="Verdana" w:hAnsi="Verdana" w:cs="Arial"/>
          <w:sz w:val="20"/>
          <w:szCs w:val="20"/>
        </w:rPr>
        <w:t xml:space="preserve"> que si los productores participan </w:t>
      </w:r>
      <w:r w:rsidR="00BE4183">
        <w:rPr>
          <w:rFonts w:ascii="Verdana" w:hAnsi="Verdana" w:cs="Arial"/>
          <w:sz w:val="20"/>
          <w:szCs w:val="20"/>
        </w:rPr>
        <w:t xml:space="preserve">de un acuerdo vertical es que </w:t>
      </w:r>
      <w:r w:rsidR="00B16305">
        <w:rPr>
          <w:rFonts w:ascii="Verdana" w:hAnsi="Verdana" w:cs="Arial"/>
          <w:sz w:val="20"/>
          <w:szCs w:val="20"/>
        </w:rPr>
        <w:t>muestran su</w:t>
      </w:r>
      <w:r w:rsidRPr="00E3672C">
        <w:rPr>
          <w:rFonts w:ascii="Verdana" w:hAnsi="Verdana" w:cs="Arial"/>
          <w:sz w:val="20"/>
          <w:szCs w:val="20"/>
        </w:rPr>
        <w:t xml:space="preserve"> acuerdo con esas prácticas, pero no analiza la fina barrera que separa la participación voluntaria y la participación “sugerida” por presión de </w:t>
      </w:r>
      <w:r w:rsidR="002D4D74">
        <w:rPr>
          <w:rFonts w:ascii="Verdana" w:hAnsi="Verdana" w:cs="Arial"/>
          <w:sz w:val="20"/>
          <w:szCs w:val="20"/>
        </w:rPr>
        <w:t>p</w:t>
      </w:r>
      <w:r w:rsidRPr="00E3672C">
        <w:rPr>
          <w:rFonts w:ascii="Verdana" w:hAnsi="Verdana" w:cs="Arial"/>
          <w:sz w:val="20"/>
          <w:szCs w:val="20"/>
        </w:rPr>
        <w:t>roveedores y compradores</w:t>
      </w:r>
      <w:r w:rsidR="00A80FCA">
        <w:rPr>
          <w:rFonts w:ascii="Verdana" w:hAnsi="Verdana" w:cs="Arial"/>
          <w:sz w:val="20"/>
          <w:szCs w:val="20"/>
        </w:rPr>
        <w:t xml:space="preserve"> a riesgo de perder un canal de venta</w:t>
      </w:r>
      <w:r w:rsidR="00D84EE6">
        <w:rPr>
          <w:rFonts w:ascii="Verdana" w:hAnsi="Verdana" w:cs="Arial"/>
          <w:sz w:val="20"/>
          <w:szCs w:val="20"/>
        </w:rPr>
        <w:t>. Est</w:t>
      </w:r>
      <w:r w:rsidR="00A80FCA">
        <w:rPr>
          <w:rFonts w:ascii="Verdana" w:hAnsi="Verdana" w:cs="Arial"/>
          <w:sz w:val="20"/>
          <w:szCs w:val="20"/>
        </w:rPr>
        <w:t>o se ha traducido tradicionalmente en el lenguaje normativo de la UE</w:t>
      </w:r>
      <w:r w:rsidR="00A22801">
        <w:rPr>
          <w:rFonts w:ascii="Verdana" w:hAnsi="Verdana" w:cs="Arial"/>
          <w:sz w:val="20"/>
          <w:szCs w:val="20"/>
        </w:rPr>
        <w:t>, sin ambages, como “</w:t>
      </w:r>
      <w:r w:rsidR="0025264C">
        <w:rPr>
          <w:rFonts w:ascii="Verdana" w:hAnsi="Verdana" w:cs="Arial"/>
          <w:sz w:val="20"/>
          <w:szCs w:val="20"/>
        </w:rPr>
        <w:t xml:space="preserve">amenaza de </w:t>
      </w:r>
      <w:r w:rsidR="00A22801">
        <w:rPr>
          <w:rFonts w:ascii="Verdana" w:hAnsi="Verdana" w:cs="Arial"/>
          <w:sz w:val="20"/>
          <w:szCs w:val="20"/>
        </w:rPr>
        <w:t>represalias comerciales”.</w:t>
      </w:r>
      <w:r w:rsidR="00294E26">
        <w:rPr>
          <w:rFonts w:ascii="Verdana" w:hAnsi="Verdana" w:cs="Arial"/>
          <w:sz w:val="20"/>
          <w:szCs w:val="20"/>
        </w:rPr>
        <w:t xml:space="preserve"> </w:t>
      </w:r>
      <w:r w:rsidR="00D834FE">
        <w:rPr>
          <w:rFonts w:ascii="Verdana" w:hAnsi="Verdana" w:cs="Arial"/>
          <w:sz w:val="20"/>
          <w:szCs w:val="20"/>
        </w:rPr>
        <w:t>Tampoco</w:t>
      </w:r>
      <w:r w:rsidR="005C4329">
        <w:rPr>
          <w:rFonts w:ascii="Verdana" w:hAnsi="Verdana" w:cs="Arial"/>
          <w:sz w:val="20"/>
          <w:szCs w:val="20"/>
        </w:rPr>
        <w:t xml:space="preserve"> se</w:t>
      </w:r>
      <w:r w:rsidR="00752B9E">
        <w:rPr>
          <w:rFonts w:ascii="Verdana" w:hAnsi="Verdana" w:cs="Arial"/>
          <w:sz w:val="20"/>
          <w:szCs w:val="20"/>
        </w:rPr>
        <w:t xml:space="preserve"> valora que permitir la entrada del eslabón de la distribución en los acuerdos verticales</w:t>
      </w:r>
      <w:r w:rsidR="00A90BC3">
        <w:rPr>
          <w:rFonts w:ascii="Verdana" w:hAnsi="Verdana" w:cs="Arial"/>
          <w:sz w:val="20"/>
          <w:szCs w:val="20"/>
        </w:rPr>
        <w:t>, pudiendo ser incluso el promotor del acuerdo, implica un riesgo directo de socavar aún m</w:t>
      </w:r>
      <w:r w:rsidR="00FE305E">
        <w:rPr>
          <w:rFonts w:ascii="Verdana" w:hAnsi="Verdana" w:cs="Arial"/>
          <w:sz w:val="20"/>
          <w:szCs w:val="20"/>
        </w:rPr>
        <w:t>á</w:t>
      </w:r>
      <w:r w:rsidR="00A90BC3">
        <w:rPr>
          <w:rFonts w:ascii="Verdana" w:hAnsi="Verdana" w:cs="Arial"/>
          <w:sz w:val="20"/>
          <w:szCs w:val="20"/>
        </w:rPr>
        <w:t xml:space="preserve">s el desequilibrio estructural de la cadena alimentaria. </w:t>
      </w:r>
      <w:r w:rsidR="00294E26">
        <w:rPr>
          <w:rFonts w:ascii="Verdana" w:hAnsi="Verdana" w:cs="Arial"/>
          <w:sz w:val="20"/>
          <w:szCs w:val="20"/>
        </w:rPr>
        <w:t xml:space="preserve">Este tipo de prácticas </w:t>
      </w:r>
      <w:r w:rsidR="0044725E">
        <w:rPr>
          <w:rFonts w:ascii="Verdana" w:hAnsi="Verdana" w:cs="Arial"/>
          <w:sz w:val="20"/>
          <w:szCs w:val="20"/>
        </w:rPr>
        <w:t xml:space="preserve">y riesgos </w:t>
      </w:r>
      <w:r w:rsidR="00904E04">
        <w:rPr>
          <w:rFonts w:ascii="Verdana" w:hAnsi="Verdana" w:cs="Arial"/>
          <w:sz w:val="20"/>
          <w:szCs w:val="20"/>
        </w:rPr>
        <w:t>son perfectamente conocid</w:t>
      </w:r>
      <w:r w:rsidR="0044725E">
        <w:rPr>
          <w:rFonts w:ascii="Verdana" w:hAnsi="Verdana" w:cs="Arial"/>
          <w:sz w:val="20"/>
          <w:szCs w:val="20"/>
        </w:rPr>
        <w:t>o</w:t>
      </w:r>
      <w:r w:rsidR="00904E04">
        <w:rPr>
          <w:rFonts w:ascii="Verdana" w:hAnsi="Verdana" w:cs="Arial"/>
          <w:sz w:val="20"/>
          <w:szCs w:val="20"/>
        </w:rPr>
        <w:t xml:space="preserve">s por parte de la Comisión Europea, ya que se incluyen en la Directiva </w:t>
      </w:r>
      <w:r w:rsidR="00577472" w:rsidRPr="00577472">
        <w:rPr>
          <w:rFonts w:ascii="Verdana" w:hAnsi="Verdana" w:cs="Arial"/>
          <w:sz w:val="20"/>
          <w:szCs w:val="20"/>
        </w:rPr>
        <w:t>(UE) 2019/633</w:t>
      </w:r>
      <w:r w:rsidR="00577472">
        <w:rPr>
          <w:rFonts w:ascii="Verdana" w:hAnsi="Verdana" w:cs="Arial"/>
          <w:sz w:val="20"/>
          <w:szCs w:val="20"/>
        </w:rPr>
        <w:t xml:space="preserve">, </w:t>
      </w:r>
      <w:r w:rsidR="00577472" w:rsidRPr="00577472">
        <w:rPr>
          <w:rFonts w:ascii="Verdana" w:hAnsi="Verdana" w:cs="Arial"/>
          <w:sz w:val="20"/>
          <w:szCs w:val="20"/>
        </w:rPr>
        <w:t xml:space="preserve">relativa a las prácticas comerciales desleales en las relaciones entre </w:t>
      </w:r>
      <w:r w:rsidR="00577472" w:rsidRPr="00577472">
        <w:rPr>
          <w:rFonts w:ascii="Verdana" w:hAnsi="Verdana" w:cs="Arial"/>
          <w:sz w:val="20"/>
          <w:szCs w:val="20"/>
        </w:rPr>
        <w:lastRenderedPageBreak/>
        <w:t>empresas en la cadena de suministro agrícola y alimentario</w:t>
      </w:r>
      <w:r w:rsidR="00E14044" w:rsidRPr="00E14044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2"/>
      </w:r>
      <w:r w:rsidR="00E42E2D">
        <w:rPr>
          <w:rFonts w:ascii="Verdana" w:hAnsi="Verdana" w:cs="Arial"/>
          <w:sz w:val="20"/>
          <w:szCs w:val="20"/>
        </w:rPr>
        <w:t>. A continuación se transcriben algunos de los puntos en los que la redacción de esta directiva define a la perfección los riesgos d</w:t>
      </w:r>
      <w:r w:rsidR="00B36821">
        <w:rPr>
          <w:rFonts w:ascii="Verdana" w:hAnsi="Verdana" w:cs="Arial"/>
          <w:sz w:val="20"/>
          <w:szCs w:val="20"/>
        </w:rPr>
        <w:t>el desequilibrio en la cadena alimentaria, y por tanto, los riesgos</w:t>
      </w:r>
      <w:r w:rsidR="0044725E">
        <w:rPr>
          <w:rFonts w:ascii="Verdana" w:hAnsi="Verdana" w:cs="Arial"/>
          <w:sz w:val="20"/>
          <w:szCs w:val="20"/>
        </w:rPr>
        <w:t xml:space="preserve"> implícitos de que esta </w:t>
      </w:r>
      <w:r w:rsidR="00D834FE">
        <w:rPr>
          <w:rFonts w:ascii="Verdana" w:hAnsi="Verdana" w:cs="Arial"/>
          <w:sz w:val="20"/>
          <w:szCs w:val="20"/>
        </w:rPr>
        <w:t>norma no sea exclusiva para el sector productor:</w:t>
      </w:r>
    </w:p>
    <w:p w14:paraId="4D3A8BE0" w14:textId="67B89C5A" w:rsidR="00FE305E" w:rsidRPr="002E12E0" w:rsidRDefault="002E12E0" w:rsidP="00A14C46">
      <w:pPr>
        <w:pStyle w:val="Prrafodelista"/>
        <w:numPr>
          <w:ilvl w:val="0"/>
          <w:numId w:val="39"/>
        </w:num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2E12E0">
        <w:rPr>
          <w:rFonts w:ascii="Verdana" w:hAnsi="Verdana" w:cs="Arial"/>
          <w:i/>
          <w:iCs/>
          <w:sz w:val="20"/>
          <w:szCs w:val="20"/>
        </w:rPr>
        <w:t>En el marco de la cadena de suministro agrícola y alimentario, se producen con frecuencia desequilibrios importantes en cuanto a poder de negociación entre proveedores y compradores de productos agrícolas y alimentarios. Estos desequilibrios en el poder de negociación es probable que conduzcan a prácticas comerciales desleales, si los socios comerciales de mayor tamaño y poder tratan de imponer determinadas prácticas o disposiciones contractuales que les benefician en relación con una transacción de venta.</w:t>
      </w:r>
    </w:p>
    <w:p w14:paraId="30531904" w14:textId="2FAB83CA" w:rsidR="002E12E0" w:rsidRDefault="006003B5" w:rsidP="00D0558D">
      <w:pPr>
        <w:pStyle w:val="Prrafodelista"/>
        <w:numPr>
          <w:ilvl w:val="0"/>
          <w:numId w:val="39"/>
        </w:num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6003B5">
        <w:rPr>
          <w:rFonts w:ascii="Verdana" w:hAnsi="Verdana" w:cs="Arial"/>
          <w:i/>
          <w:iCs/>
          <w:sz w:val="20"/>
          <w:szCs w:val="20"/>
        </w:rPr>
        <w:t>Aun cuando es posible recurrir al Derecho contractual o a iniciativas de autorregulación, el temor a represalias comerciales contra el denunciante, así como los riesgos financieros que supone el desafiar tales prácticas, limitan el valor práctico de esas vías de recurso</w:t>
      </w:r>
      <w:r>
        <w:rPr>
          <w:rFonts w:ascii="Verdana" w:hAnsi="Verdana" w:cs="Arial"/>
          <w:i/>
          <w:iCs/>
          <w:sz w:val="20"/>
          <w:szCs w:val="20"/>
        </w:rPr>
        <w:t>.</w:t>
      </w:r>
    </w:p>
    <w:p w14:paraId="61EBAAC2" w14:textId="12B15C90" w:rsidR="006003B5" w:rsidRDefault="00A3555F" w:rsidP="002242AC">
      <w:pPr>
        <w:pStyle w:val="Prrafodelista"/>
        <w:numPr>
          <w:ilvl w:val="0"/>
          <w:numId w:val="39"/>
        </w:num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A3555F">
        <w:rPr>
          <w:rFonts w:ascii="Verdana" w:hAnsi="Verdana" w:cs="Arial"/>
          <w:i/>
          <w:iCs/>
          <w:sz w:val="20"/>
          <w:szCs w:val="20"/>
        </w:rPr>
        <w:t>El número y el tamaño de los agentes varían en las distintas etapas de la cadena de suministro agrícola y alimentario. Las diferencias en el poder de negociación, que se corresponden con la dependencia económica del proveedor respecto del comprador, y es probable que conduzcan a que los agentes más grandes impongan prácticas comerciales desleales a los agentes más pequeños</w:t>
      </w:r>
      <w:r>
        <w:rPr>
          <w:rFonts w:ascii="Verdana" w:hAnsi="Verdana" w:cs="Arial"/>
          <w:i/>
          <w:iCs/>
          <w:sz w:val="20"/>
          <w:szCs w:val="20"/>
        </w:rPr>
        <w:t>.</w:t>
      </w:r>
    </w:p>
    <w:p w14:paraId="3938B7FC" w14:textId="2899D7D7" w:rsidR="00A3555F" w:rsidRDefault="00310E98" w:rsidP="003F7EE9">
      <w:pPr>
        <w:pStyle w:val="Prrafodelista"/>
        <w:numPr>
          <w:ilvl w:val="0"/>
          <w:numId w:val="39"/>
        </w:num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310E98">
        <w:rPr>
          <w:rFonts w:ascii="Verdana" w:hAnsi="Verdana" w:cs="Arial"/>
          <w:i/>
          <w:iCs/>
          <w:sz w:val="20"/>
          <w:szCs w:val="20"/>
        </w:rPr>
        <w:t>Los proveedores deben poder interponer denuncias contra determinadas prácticas comerciales desleales. Deben prohibirse y considerarse prácticas comerciales desleales las represalias del comprador contra un proveedor que ejerce sus derechos, o la amenaza de tomar tales represalias</w:t>
      </w:r>
      <w:r>
        <w:rPr>
          <w:rFonts w:ascii="Verdana" w:hAnsi="Verdana" w:cs="Arial"/>
          <w:i/>
          <w:iCs/>
          <w:sz w:val="20"/>
          <w:szCs w:val="20"/>
        </w:rPr>
        <w:t>.</w:t>
      </w:r>
    </w:p>
    <w:p w14:paraId="6C985724" w14:textId="77777777" w:rsidR="00D834FE" w:rsidRDefault="00D834FE" w:rsidP="00577472">
      <w:p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</w:p>
    <w:p w14:paraId="727EC773" w14:textId="31FF2E47" w:rsidR="00534360" w:rsidRDefault="00484687" w:rsidP="00534360">
      <w:p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 definitiva, s</w:t>
      </w:r>
      <w:r w:rsidR="00534360">
        <w:rPr>
          <w:rFonts w:ascii="Verdana" w:hAnsi="Verdana" w:cs="Arial"/>
          <w:sz w:val="20"/>
          <w:szCs w:val="20"/>
        </w:rPr>
        <w:t>e observa</w:t>
      </w:r>
      <w:r w:rsidR="00534360" w:rsidRPr="00E3672C">
        <w:rPr>
          <w:rFonts w:ascii="Verdana" w:hAnsi="Verdana" w:cs="Arial"/>
          <w:sz w:val="20"/>
          <w:szCs w:val="20"/>
        </w:rPr>
        <w:t xml:space="preserve"> una escasa oportunidad de utilización de </w:t>
      </w:r>
      <w:r>
        <w:rPr>
          <w:rFonts w:ascii="Verdana" w:hAnsi="Verdana" w:cs="Arial"/>
          <w:sz w:val="20"/>
          <w:szCs w:val="20"/>
        </w:rPr>
        <w:t>est</w:t>
      </w:r>
      <w:r w:rsidR="00534360" w:rsidRPr="00E3672C">
        <w:rPr>
          <w:rFonts w:ascii="Verdana" w:hAnsi="Verdana" w:cs="Arial"/>
          <w:sz w:val="20"/>
          <w:szCs w:val="20"/>
        </w:rPr>
        <w:t>a excepción por parte del sector productor, ya que sus acuerdos carece</w:t>
      </w:r>
      <w:r>
        <w:rPr>
          <w:rFonts w:ascii="Verdana" w:hAnsi="Verdana" w:cs="Arial"/>
          <w:sz w:val="20"/>
          <w:szCs w:val="20"/>
        </w:rPr>
        <w:t>rán</w:t>
      </w:r>
      <w:r w:rsidR="00534360" w:rsidRPr="00E3672C">
        <w:rPr>
          <w:rFonts w:ascii="Verdana" w:hAnsi="Verdana" w:cs="Arial"/>
          <w:sz w:val="20"/>
          <w:szCs w:val="20"/>
        </w:rPr>
        <w:t xml:space="preserve"> de peso en la cadena al no tener poder </w:t>
      </w:r>
      <w:r>
        <w:rPr>
          <w:rFonts w:ascii="Verdana" w:hAnsi="Verdana" w:cs="Arial"/>
          <w:sz w:val="20"/>
          <w:szCs w:val="20"/>
        </w:rPr>
        <w:t xml:space="preserve">suficiente </w:t>
      </w:r>
      <w:r w:rsidR="00534360" w:rsidRPr="00E3672C">
        <w:rPr>
          <w:rFonts w:ascii="Verdana" w:hAnsi="Verdana" w:cs="Arial"/>
          <w:sz w:val="20"/>
          <w:szCs w:val="20"/>
        </w:rPr>
        <w:t xml:space="preserve">en las negociaciones comerciales </w:t>
      </w:r>
      <w:r>
        <w:rPr>
          <w:rFonts w:ascii="Verdana" w:hAnsi="Verdana" w:cs="Arial"/>
          <w:sz w:val="20"/>
          <w:szCs w:val="20"/>
        </w:rPr>
        <w:t xml:space="preserve">como para </w:t>
      </w:r>
      <w:r w:rsidR="00534360" w:rsidRPr="00E3672C">
        <w:rPr>
          <w:rFonts w:ascii="Verdana" w:hAnsi="Verdana" w:cs="Arial"/>
          <w:sz w:val="20"/>
          <w:szCs w:val="20"/>
        </w:rPr>
        <w:t>trasladar ese acuerdo a industria y distribución. En cambio, se facilita la posibilidad de que la distribución, o fabricantes de inputs, mucho más concentrados, dispongan de una vía legal para concertar prácticas que obliguen a los consumidores</w:t>
      </w:r>
      <w:r w:rsidR="00F34383">
        <w:rPr>
          <w:rFonts w:ascii="Verdana" w:hAnsi="Verdana" w:cs="Arial"/>
          <w:sz w:val="20"/>
          <w:szCs w:val="20"/>
        </w:rPr>
        <w:t xml:space="preserve"> a pagar un precio superior,</w:t>
      </w:r>
      <w:r w:rsidR="00534360" w:rsidRPr="00E3672C">
        <w:rPr>
          <w:rFonts w:ascii="Verdana" w:hAnsi="Verdana" w:cs="Arial"/>
          <w:sz w:val="20"/>
          <w:szCs w:val="20"/>
        </w:rPr>
        <w:t xml:space="preserve"> o </w:t>
      </w:r>
      <w:r w:rsidR="00D12E05">
        <w:rPr>
          <w:rFonts w:ascii="Verdana" w:hAnsi="Verdana" w:cs="Arial"/>
          <w:sz w:val="20"/>
          <w:szCs w:val="20"/>
        </w:rPr>
        <w:t xml:space="preserve">a </w:t>
      </w:r>
      <w:r w:rsidR="00F34383">
        <w:rPr>
          <w:rFonts w:ascii="Verdana" w:hAnsi="Verdana" w:cs="Arial"/>
          <w:sz w:val="20"/>
          <w:szCs w:val="20"/>
        </w:rPr>
        <w:t xml:space="preserve">sus </w:t>
      </w:r>
      <w:r w:rsidR="00534360" w:rsidRPr="00E3672C">
        <w:rPr>
          <w:rFonts w:ascii="Verdana" w:hAnsi="Verdana" w:cs="Arial"/>
          <w:sz w:val="20"/>
          <w:szCs w:val="20"/>
        </w:rPr>
        <w:t>proveedores a</w:t>
      </w:r>
      <w:r w:rsidR="00F34383">
        <w:rPr>
          <w:rFonts w:ascii="Verdana" w:hAnsi="Verdana" w:cs="Arial"/>
          <w:sz w:val="20"/>
          <w:szCs w:val="20"/>
        </w:rPr>
        <w:t xml:space="preserve"> vender a un precio inferior o</w:t>
      </w:r>
      <w:r w:rsidR="00534360" w:rsidRPr="00E3672C">
        <w:rPr>
          <w:rFonts w:ascii="Verdana" w:hAnsi="Verdana" w:cs="Arial"/>
          <w:sz w:val="20"/>
          <w:szCs w:val="20"/>
        </w:rPr>
        <w:t xml:space="preserve"> </w:t>
      </w:r>
      <w:r w:rsidR="0056474C">
        <w:rPr>
          <w:rFonts w:ascii="Verdana" w:hAnsi="Verdana" w:cs="Arial"/>
          <w:sz w:val="20"/>
          <w:szCs w:val="20"/>
        </w:rPr>
        <w:t xml:space="preserve">a </w:t>
      </w:r>
      <w:r w:rsidR="00D12E05">
        <w:rPr>
          <w:rFonts w:ascii="Verdana" w:hAnsi="Verdana" w:cs="Arial"/>
          <w:sz w:val="20"/>
          <w:szCs w:val="20"/>
        </w:rPr>
        <w:t>modificar</w:t>
      </w:r>
      <w:r w:rsidR="00534360" w:rsidRPr="00E3672C">
        <w:rPr>
          <w:rFonts w:ascii="Verdana" w:hAnsi="Verdana" w:cs="Arial"/>
          <w:sz w:val="20"/>
          <w:szCs w:val="20"/>
        </w:rPr>
        <w:t xml:space="preserve"> sus métodos de producción sin el acuerdo del grueso del sector productor.</w:t>
      </w:r>
      <w:r w:rsidR="00AD4AAF">
        <w:rPr>
          <w:rFonts w:ascii="Verdana" w:hAnsi="Verdana" w:cs="Arial"/>
          <w:sz w:val="20"/>
          <w:szCs w:val="20"/>
        </w:rPr>
        <w:t xml:space="preserve"> Sirva como ejemplo </w:t>
      </w:r>
      <w:r w:rsidR="00D12E05">
        <w:rPr>
          <w:rFonts w:ascii="Verdana" w:hAnsi="Verdana" w:cs="Arial"/>
          <w:sz w:val="20"/>
          <w:szCs w:val="20"/>
        </w:rPr>
        <w:t xml:space="preserve">del poder de negociación del comercio minorista </w:t>
      </w:r>
      <w:r w:rsidR="00AD4AAF">
        <w:rPr>
          <w:rFonts w:ascii="Verdana" w:hAnsi="Verdana" w:cs="Arial"/>
          <w:sz w:val="20"/>
          <w:szCs w:val="20"/>
        </w:rPr>
        <w:t>el nivel de concentración de la distribución en España, donde 5 empresas concentran un 50% de la cuota del mercado</w:t>
      </w:r>
      <w:r w:rsidR="0056474C" w:rsidRPr="0056474C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3"/>
      </w:r>
      <w:r w:rsidR="00AD4AAF">
        <w:rPr>
          <w:rFonts w:ascii="Verdana" w:hAnsi="Verdana" w:cs="Arial"/>
          <w:sz w:val="20"/>
          <w:szCs w:val="20"/>
        </w:rPr>
        <w:t>.</w:t>
      </w:r>
    </w:p>
    <w:p w14:paraId="0573C446" w14:textId="75CCE25F" w:rsidR="00534360" w:rsidRPr="00B503B0" w:rsidRDefault="00630A7E" w:rsidP="00B503B0">
      <w:p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Por último, pero no por ello menos importante, cabe destacar que el objetivo de alcanzar una mayor sostenibilidad medioambiental no es suficiente </w:t>
      </w:r>
      <w:r w:rsidR="00B503B0">
        <w:rPr>
          <w:rFonts w:ascii="Verdana" w:hAnsi="Verdana" w:cs="Arial"/>
          <w:i/>
          <w:iCs/>
          <w:sz w:val="20"/>
          <w:szCs w:val="20"/>
        </w:rPr>
        <w:t xml:space="preserve">per se </w:t>
      </w:r>
      <w:r w:rsidR="00B503B0">
        <w:rPr>
          <w:rFonts w:ascii="Verdana" w:hAnsi="Verdana" w:cs="Arial"/>
          <w:sz w:val="20"/>
          <w:szCs w:val="20"/>
        </w:rPr>
        <w:t xml:space="preserve">para </w:t>
      </w:r>
      <w:r w:rsidR="00944B98">
        <w:rPr>
          <w:rFonts w:ascii="Verdana" w:hAnsi="Verdana" w:cs="Arial"/>
          <w:sz w:val="20"/>
          <w:szCs w:val="20"/>
        </w:rPr>
        <w:t xml:space="preserve">justificar la puesta en marcha de estos acuerdos que socavan la libre competencia, sobre todo en el caso de que esta limitación de la competencia </w:t>
      </w:r>
      <w:r w:rsidR="005E3BC5">
        <w:rPr>
          <w:rFonts w:ascii="Verdana" w:hAnsi="Verdana" w:cs="Arial"/>
          <w:sz w:val="20"/>
          <w:szCs w:val="20"/>
        </w:rPr>
        <w:t xml:space="preserve">altere la sostenibilidad económica y social de algunos eslabones de la cadena con menor poder </w:t>
      </w:r>
      <w:r w:rsidR="00DF1902">
        <w:rPr>
          <w:rFonts w:ascii="Verdana" w:hAnsi="Verdana" w:cs="Arial"/>
          <w:sz w:val="20"/>
          <w:szCs w:val="20"/>
        </w:rPr>
        <w:t>negociador.</w:t>
      </w:r>
      <w:r w:rsidR="00282F32">
        <w:rPr>
          <w:rFonts w:ascii="Verdana" w:hAnsi="Verdana" w:cs="Arial"/>
          <w:sz w:val="20"/>
          <w:szCs w:val="20"/>
        </w:rPr>
        <w:t xml:space="preserve"> </w:t>
      </w:r>
      <w:r w:rsidR="0016165D">
        <w:rPr>
          <w:rFonts w:ascii="Verdana" w:hAnsi="Verdana" w:cs="Arial"/>
          <w:sz w:val="20"/>
          <w:szCs w:val="20"/>
        </w:rPr>
        <w:lastRenderedPageBreak/>
        <w:t>Aunque e</w:t>
      </w:r>
      <w:r w:rsidR="00D9185B">
        <w:rPr>
          <w:rFonts w:ascii="Verdana" w:hAnsi="Verdana" w:cs="Arial"/>
          <w:sz w:val="20"/>
          <w:szCs w:val="20"/>
        </w:rPr>
        <w:t xml:space="preserve">xiste un consenso generalizado, institucional y en el propio sector agroalimentario, de que la sostenibilidad es un concepto complejo que debe </w:t>
      </w:r>
      <w:r w:rsidR="007F3553">
        <w:rPr>
          <w:rFonts w:ascii="Verdana" w:hAnsi="Verdana" w:cs="Arial"/>
          <w:sz w:val="20"/>
          <w:szCs w:val="20"/>
        </w:rPr>
        <w:t>contemplar</w:t>
      </w:r>
      <w:r w:rsidR="00D9185B">
        <w:rPr>
          <w:rFonts w:ascii="Verdana" w:hAnsi="Verdana" w:cs="Arial"/>
          <w:sz w:val="20"/>
          <w:szCs w:val="20"/>
        </w:rPr>
        <w:t xml:space="preserve"> al menos </w:t>
      </w:r>
      <w:r w:rsidR="007F3553">
        <w:rPr>
          <w:rFonts w:ascii="Verdana" w:hAnsi="Verdana" w:cs="Arial"/>
          <w:sz w:val="20"/>
          <w:szCs w:val="20"/>
        </w:rPr>
        <w:t>los 3 pilares de la sostenibilidad</w:t>
      </w:r>
      <w:r w:rsidR="00CB43A1">
        <w:rPr>
          <w:rFonts w:ascii="Verdana" w:hAnsi="Verdana" w:cs="Arial"/>
          <w:sz w:val="20"/>
          <w:szCs w:val="20"/>
        </w:rPr>
        <w:t>,</w:t>
      </w:r>
      <w:r w:rsidR="007F3553">
        <w:rPr>
          <w:rFonts w:ascii="Verdana" w:hAnsi="Verdana" w:cs="Arial"/>
          <w:sz w:val="20"/>
          <w:szCs w:val="20"/>
        </w:rPr>
        <w:t xml:space="preserve"> económica, social y medioambiental</w:t>
      </w:r>
      <w:r w:rsidR="00CB43A1">
        <w:rPr>
          <w:rFonts w:ascii="Verdana" w:hAnsi="Verdana" w:cs="Arial"/>
          <w:sz w:val="20"/>
          <w:szCs w:val="20"/>
        </w:rPr>
        <w:t xml:space="preserve">, </w:t>
      </w:r>
      <w:r w:rsidR="007F3553">
        <w:rPr>
          <w:rFonts w:ascii="Verdana" w:hAnsi="Verdana" w:cs="Arial"/>
          <w:sz w:val="20"/>
          <w:szCs w:val="20"/>
        </w:rPr>
        <w:t>en un delicado</w:t>
      </w:r>
      <w:r w:rsidR="00CB43A1">
        <w:rPr>
          <w:rFonts w:ascii="Verdana" w:hAnsi="Verdana" w:cs="Arial"/>
          <w:sz w:val="20"/>
          <w:szCs w:val="20"/>
        </w:rPr>
        <w:t xml:space="preserve"> y frágil</w:t>
      </w:r>
      <w:r w:rsidR="007F3553">
        <w:rPr>
          <w:rFonts w:ascii="Verdana" w:hAnsi="Verdana" w:cs="Arial"/>
          <w:sz w:val="20"/>
          <w:szCs w:val="20"/>
        </w:rPr>
        <w:t xml:space="preserve"> equilibrio</w:t>
      </w:r>
      <w:r w:rsidR="00873F5C" w:rsidRPr="00873F5C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4"/>
      </w:r>
      <w:r w:rsidR="00BF5FFC">
        <w:rPr>
          <w:rFonts w:ascii="Verdana" w:hAnsi="Verdana" w:cs="Arial"/>
          <w:sz w:val="20"/>
          <w:szCs w:val="20"/>
        </w:rPr>
        <w:t>;</w:t>
      </w:r>
      <w:r w:rsidR="0016165D">
        <w:rPr>
          <w:rFonts w:ascii="Verdana" w:hAnsi="Verdana" w:cs="Arial"/>
          <w:sz w:val="20"/>
          <w:szCs w:val="20"/>
        </w:rPr>
        <w:t xml:space="preserve"> no se observan estas precauciones </w:t>
      </w:r>
      <w:r w:rsidR="00732D1E">
        <w:rPr>
          <w:rFonts w:ascii="Verdana" w:hAnsi="Verdana" w:cs="Arial"/>
          <w:sz w:val="20"/>
          <w:szCs w:val="20"/>
        </w:rPr>
        <w:t xml:space="preserve">al permitir que las iniciativas verticales puedan </w:t>
      </w:r>
      <w:r w:rsidR="00BF5FFC">
        <w:rPr>
          <w:rFonts w:ascii="Verdana" w:hAnsi="Verdana" w:cs="Arial"/>
          <w:sz w:val="20"/>
          <w:szCs w:val="20"/>
        </w:rPr>
        <w:t>restringir la libre competencia</w:t>
      </w:r>
      <w:r w:rsidR="007F3553">
        <w:rPr>
          <w:rFonts w:ascii="Verdana" w:hAnsi="Verdana" w:cs="Arial"/>
          <w:sz w:val="20"/>
          <w:szCs w:val="20"/>
        </w:rPr>
        <w:t>.</w:t>
      </w:r>
      <w:r w:rsidR="00CB43A1">
        <w:rPr>
          <w:rFonts w:ascii="Verdana" w:hAnsi="Verdana" w:cs="Arial"/>
          <w:sz w:val="20"/>
          <w:szCs w:val="20"/>
        </w:rPr>
        <w:t xml:space="preserve"> Se ha insistido desde el sector agroalimentario en que los avances en sostenibilidad ambiental no se producirán de no existir </w:t>
      </w:r>
      <w:r w:rsidR="00945CEA">
        <w:rPr>
          <w:rFonts w:ascii="Verdana" w:hAnsi="Verdana" w:cs="Arial"/>
          <w:sz w:val="20"/>
          <w:szCs w:val="20"/>
        </w:rPr>
        <w:t xml:space="preserve">rentabilidad </w:t>
      </w:r>
      <w:r w:rsidR="00D33720">
        <w:rPr>
          <w:rFonts w:ascii="Verdana" w:hAnsi="Verdana" w:cs="Arial"/>
          <w:sz w:val="20"/>
          <w:szCs w:val="20"/>
        </w:rPr>
        <w:t>en las explotaciones,</w:t>
      </w:r>
      <w:r w:rsidR="00D33C84">
        <w:rPr>
          <w:rFonts w:ascii="Verdana" w:hAnsi="Verdana" w:cs="Arial"/>
          <w:sz w:val="20"/>
          <w:szCs w:val="20"/>
        </w:rPr>
        <w:t xml:space="preserve"> y se echa de menos que esta </w:t>
      </w:r>
      <w:r w:rsidR="006D2BAE">
        <w:rPr>
          <w:rFonts w:ascii="Verdana" w:hAnsi="Verdana" w:cs="Arial"/>
          <w:sz w:val="20"/>
          <w:szCs w:val="20"/>
        </w:rPr>
        <w:t xml:space="preserve">norma sopese con más </w:t>
      </w:r>
      <w:r w:rsidR="0016165D">
        <w:rPr>
          <w:rFonts w:ascii="Verdana" w:hAnsi="Verdana" w:cs="Arial"/>
          <w:sz w:val="20"/>
          <w:szCs w:val="20"/>
        </w:rPr>
        <w:t>detenimiento este equilibrio y proteja la sostenibilidad económica del sector primario.</w:t>
      </w:r>
    </w:p>
    <w:p w14:paraId="695E299A" w14:textId="77777777" w:rsidR="00B503B0" w:rsidRDefault="00B503B0" w:rsidP="00B503B0">
      <w:pPr>
        <w:tabs>
          <w:tab w:val="left" w:pos="0"/>
        </w:tabs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</w:p>
    <w:sectPr w:rsidR="00B503B0" w:rsidSect="007B331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418" w:right="1701" w:bottom="1560" w:left="1701" w:header="709" w:footer="1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DC326" w14:textId="77777777" w:rsidR="00292ED3" w:rsidRDefault="00292ED3">
      <w:r>
        <w:separator/>
      </w:r>
    </w:p>
  </w:endnote>
  <w:endnote w:type="continuationSeparator" w:id="0">
    <w:p w14:paraId="6CCB27AE" w14:textId="77777777" w:rsidR="00292ED3" w:rsidRDefault="00292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ark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WenQuanYi Micro Hei"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05B06" w14:textId="77777777" w:rsidR="005A041E" w:rsidRDefault="005A041E" w:rsidP="00590A15">
    <w:pPr>
      <w:pStyle w:val="Piedepgina"/>
      <w:tabs>
        <w:tab w:val="left" w:pos="4080"/>
      </w:tabs>
      <w:spacing w:before="60" w:after="60" w:line="0" w:lineRule="atLeast"/>
      <w:ind w:left="-1560" w:right="-1696"/>
      <w:jc w:val="center"/>
      <w:rPr>
        <w:rFonts w:ascii="Verdana" w:hAnsi="Verdana" w:cs="Arial"/>
        <w:color w:val="0D0D0D"/>
        <w:sz w:val="16"/>
        <w:szCs w:val="16"/>
      </w:rPr>
    </w:pPr>
    <w:r>
      <w:rPr>
        <w:rFonts w:ascii="Verdana" w:hAnsi="Verdana" w:cs="Arial"/>
        <w:color w:val="7F7F7F"/>
        <w:spacing w:val="60"/>
        <w:sz w:val="16"/>
        <w:szCs w:val="16"/>
      </w:rPr>
      <w:t>P</w:t>
    </w:r>
    <w:r w:rsidRPr="001925B4">
      <w:rPr>
        <w:rFonts w:ascii="Verdana" w:hAnsi="Verdana" w:cs="Arial"/>
        <w:color w:val="7F7F7F"/>
        <w:spacing w:val="60"/>
        <w:sz w:val="16"/>
        <w:szCs w:val="16"/>
      </w:rPr>
      <w:t>ágina</w:t>
    </w:r>
    <w:r>
      <w:rPr>
        <w:rFonts w:ascii="Verdana" w:hAnsi="Verdana" w:cs="Arial"/>
        <w:color w:val="0D0D0D"/>
        <w:sz w:val="16"/>
        <w:szCs w:val="16"/>
      </w:rPr>
      <w:t xml:space="preserve"> </w:t>
    </w:r>
    <w:r w:rsidRPr="001925B4">
      <w:rPr>
        <w:rFonts w:ascii="Verdana" w:hAnsi="Verdana" w:cs="Arial"/>
        <w:color w:val="0D0D0D"/>
        <w:sz w:val="16"/>
        <w:szCs w:val="16"/>
      </w:rPr>
      <w:fldChar w:fldCharType="begin"/>
    </w:r>
    <w:r w:rsidRPr="001925B4">
      <w:rPr>
        <w:rFonts w:ascii="Verdana" w:hAnsi="Verdana" w:cs="Arial"/>
        <w:color w:val="0D0D0D"/>
        <w:sz w:val="16"/>
        <w:szCs w:val="16"/>
      </w:rPr>
      <w:instrText xml:space="preserve"> PAGE   \* MERGEFORMAT </w:instrText>
    </w:r>
    <w:r w:rsidRPr="001925B4">
      <w:rPr>
        <w:rFonts w:ascii="Verdana" w:hAnsi="Verdana" w:cs="Arial"/>
        <w:color w:val="0D0D0D"/>
        <w:sz w:val="16"/>
        <w:szCs w:val="16"/>
      </w:rPr>
      <w:fldChar w:fldCharType="separate"/>
    </w:r>
    <w:r w:rsidRPr="009063C6">
      <w:rPr>
        <w:rFonts w:ascii="Verdana" w:hAnsi="Verdana" w:cs="Arial"/>
        <w:b/>
        <w:noProof/>
        <w:color w:val="0D0D0D"/>
        <w:sz w:val="16"/>
        <w:szCs w:val="16"/>
      </w:rPr>
      <w:t>4</w:t>
    </w:r>
    <w:r w:rsidRPr="001925B4">
      <w:rPr>
        <w:rFonts w:ascii="Verdana" w:hAnsi="Verdana" w:cs="Arial"/>
        <w:color w:val="0D0D0D"/>
        <w:sz w:val="16"/>
        <w:szCs w:val="16"/>
      </w:rPr>
      <w:fldChar w:fldCharType="end"/>
    </w:r>
  </w:p>
  <w:p w14:paraId="1740B758" w14:textId="05AE6DAB" w:rsidR="005A041E" w:rsidRPr="00590A15" w:rsidRDefault="00517DFB" w:rsidP="00590A15">
    <w:pPr>
      <w:pStyle w:val="Piedepgina"/>
      <w:tabs>
        <w:tab w:val="clear" w:pos="8504"/>
        <w:tab w:val="right" w:pos="9360"/>
      </w:tabs>
      <w:spacing w:after="40" w:line="360" w:lineRule="auto"/>
      <w:ind w:left="-360" w:right="-256"/>
      <w:rPr>
        <w:b/>
        <w:color w:val="808080"/>
        <w:sz w:val="12"/>
        <w:szCs w:val="12"/>
      </w:rPr>
    </w:pPr>
    <w:r>
      <w:rPr>
        <w:noProof/>
      </w:rPr>
      <w:drawing>
        <wp:inline distT="0" distB="0" distL="0" distR="0" wp14:anchorId="70E23CF5" wp14:editId="3D1264B6">
          <wp:extent cx="6076315" cy="39814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014F3" w14:textId="77777777" w:rsidR="005A041E" w:rsidRDefault="005A041E" w:rsidP="00590A15">
    <w:pPr>
      <w:pStyle w:val="Piedepgina"/>
      <w:tabs>
        <w:tab w:val="left" w:pos="4080"/>
      </w:tabs>
      <w:spacing w:before="60" w:after="60" w:line="0" w:lineRule="atLeast"/>
      <w:ind w:left="-1560" w:right="-1696"/>
      <w:jc w:val="center"/>
      <w:rPr>
        <w:rFonts w:ascii="Verdana" w:hAnsi="Verdana" w:cs="Arial"/>
        <w:color w:val="0D0D0D"/>
        <w:sz w:val="16"/>
        <w:szCs w:val="16"/>
      </w:rPr>
    </w:pPr>
    <w:r>
      <w:rPr>
        <w:rFonts w:ascii="Verdana" w:hAnsi="Verdana" w:cs="Arial"/>
        <w:color w:val="7F7F7F"/>
        <w:spacing w:val="60"/>
        <w:sz w:val="16"/>
        <w:szCs w:val="16"/>
      </w:rPr>
      <w:t>P</w:t>
    </w:r>
    <w:r w:rsidRPr="001925B4">
      <w:rPr>
        <w:rFonts w:ascii="Verdana" w:hAnsi="Verdana" w:cs="Arial"/>
        <w:color w:val="7F7F7F"/>
        <w:spacing w:val="60"/>
        <w:sz w:val="16"/>
        <w:szCs w:val="16"/>
      </w:rPr>
      <w:t>ágina</w:t>
    </w:r>
    <w:r>
      <w:rPr>
        <w:rFonts w:ascii="Verdana" w:hAnsi="Verdana" w:cs="Arial"/>
        <w:color w:val="0D0D0D"/>
        <w:sz w:val="16"/>
        <w:szCs w:val="16"/>
      </w:rPr>
      <w:t xml:space="preserve"> </w:t>
    </w:r>
    <w:r w:rsidRPr="001925B4">
      <w:rPr>
        <w:rFonts w:ascii="Verdana" w:hAnsi="Verdana" w:cs="Arial"/>
        <w:color w:val="0D0D0D"/>
        <w:sz w:val="16"/>
        <w:szCs w:val="16"/>
      </w:rPr>
      <w:fldChar w:fldCharType="begin"/>
    </w:r>
    <w:r w:rsidRPr="001925B4">
      <w:rPr>
        <w:rFonts w:ascii="Verdana" w:hAnsi="Verdana" w:cs="Arial"/>
        <w:color w:val="0D0D0D"/>
        <w:sz w:val="16"/>
        <w:szCs w:val="16"/>
      </w:rPr>
      <w:instrText xml:space="preserve"> PAGE   \* MERGEFORMAT </w:instrText>
    </w:r>
    <w:r w:rsidRPr="001925B4">
      <w:rPr>
        <w:rFonts w:ascii="Verdana" w:hAnsi="Verdana" w:cs="Arial"/>
        <w:color w:val="0D0D0D"/>
        <w:sz w:val="16"/>
        <w:szCs w:val="16"/>
      </w:rPr>
      <w:fldChar w:fldCharType="separate"/>
    </w:r>
    <w:r w:rsidRPr="009063C6">
      <w:rPr>
        <w:rFonts w:ascii="Verdana" w:hAnsi="Verdana" w:cs="Arial"/>
        <w:b/>
        <w:noProof/>
        <w:color w:val="0D0D0D"/>
        <w:sz w:val="16"/>
        <w:szCs w:val="16"/>
      </w:rPr>
      <w:t>1</w:t>
    </w:r>
    <w:r w:rsidRPr="001925B4">
      <w:rPr>
        <w:rFonts w:ascii="Verdana" w:hAnsi="Verdana" w:cs="Arial"/>
        <w:color w:val="0D0D0D"/>
        <w:sz w:val="16"/>
        <w:szCs w:val="16"/>
      </w:rPr>
      <w:fldChar w:fldCharType="end"/>
    </w:r>
  </w:p>
  <w:p w14:paraId="6C406DD0" w14:textId="10152A29" w:rsidR="005A041E" w:rsidRPr="00590A15" w:rsidRDefault="00517DFB" w:rsidP="00590A15">
    <w:pPr>
      <w:pStyle w:val="Piedepgina"/>
      <w:tabs>
        <w:tab w:val="clear" w:pos="8504"/>
        <w:tab w:val="right" w:pos="9360"/>
      </w:tabs>
      <w:spacing w:after="40" w:line="360" w:lineRule="auto"/>
      <w:ind w:left="-360" w:right="-256"/>
      <w:rPr>
        <w:b/>
        <w:color w:val="808080"/>
        <w:sz w:val="12"/>
        <w:szCs w:val="12"/>
      </w:rPr>
    </w:pPr>
    <w:r>
      <w:rPr>
        <w:noProof/>
      </w:rPr>
      <w:drawing>
        <wp:inline distT="0" distB="0" distL="0" distR="0" wp14:anchorId="48D3DEA8" wp14:editId="43257C0F">
          <wp:extent cx="6076315" cy="398145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541FF" w14:textId="77777777" w:rsidR="00292ED3" w:rsidRDefault="00292ED3">
      <w:r>
        <w:separator/>
      </w:r>
    </w:p>
  </w:footnote>
  <w:footnote w:type="continuationSeparator" w:id="0">
    <w:p w14:paraId="6925E35C" w14:textId="77777777" w:rsidR="00292ED3" w:rsidRDefault="00292ED3">
      <w:r>
        <w:continuationSeparator/>
      </w:r>
    </w:p>
  </w:footnote>
  <w:footnote w:id="1">
    <w:p w14:paraId="32E1B73C" w14:textId="3099A554" w:rsidR="004266F4" w:rsidRDefault="004266F4">
      <w:pPr>
        <w:pStyle w:val="Textonotapie"/>
      </w:pPr>
      <w:r>
        <w:rPr>
          <w:rStyle w:val="Refdenotaalpie"/>
        </w:rPr>
        <w:footnoteRef/>
      </w:r>
      <w:r>
        <w:t xml:space="preserve"> </w:t>
      </w:r>
      <w:hyperlink r:id="rId1" w:history="1">
        <w:r w:rsidRPr="00CD5AB1">
          <w:rPr>
            <w:rStyle w:val="Hipervnculo"/>
          </w:rPr>
          <w:t>Plan Estratégico de la PAC para España 2023-2027</w:t>
        </w:r>
        <w:r w:rsidR="00CD5AB1" w:rsidRPr="00CD5AB1">
          <w:rPr>
            <w:rStyle w:val="Hipervnculo"/>
          </w:rPr>
          <w:t>.</w:t>
        </w:r>
      </w:hyperlink>
    </w:p>
  </w:footnote>
  <w:footnote w:id="2">
    <w:p w14:paraId="71C98D41" w14:textId="5A7F9C6F" w:rsidR="00E14044" w:rsidRDefault="00E14044">
      <w:pPr>
        <w:pStyle w:val="Textonotapie"/>
      </w:pPr>
      <w:r>
        <w:rPr>
          <w:rStyle w:val="Refdenotaalpie"/>
        </w:rPr>
        <w:footnoteRef/>
      </w:r>
      <w:r>
        <w:t xml:space="preserve"> </w:t>
      </w:r>
      <w:hyperlink r:id="rId2" w:history="1">
        <w:r w:rsidRPr="00BE4183">
          <w:rPr>
            <w:rStyle w:val="Hipervnculo"/>
          </w:rPr>
          <w:t>Directiva (UE) 2019/633, relativa a las prácticas comerciales desleales en las relaciones entre empresas en la cadena de suministro agrícola y alimentario.</w:t>
        </w:r>
      </w:hyperlink>
    </w:p>
    <w:p w14:paraId="6CA13739" w14:textId="77777777" w:rsidR="00282F32" w:rsidRDefault="00282F32">
      <w:pPr>
        <w:pStyle w:val="Textonotapie"/>
      </w:pPr>
    </w:p>
  </w:footnote>
  <w:footnote w:id="3">
    <w:p w14:paraId="259F265F" w14:textId="35E99569" w:rsidR="0056474C" w:rsidRDefault="0056474C">
      <w:pPr>
        <w:pStyle w:val="Textonotapie"/>
      </w:pPr>
      <w:r>
        <w:rPr>
          <w:rStyle w:val="Refdenotaalpie"/>
        </w:rPr>
        <w:footnoteRef/>
      </w:r>
      <w:r>
        <w:t xml:space="preserve"> </w:t>
      </w:r>
      <w:hyperlink r:id="rId3" w:history="1">
        <w:r w:rsidR="00630A7E" w:rsidRPr="00630A7E">
          <w:rPr>
            <w:rStyle w:val="Hipervnculo"/>
          </w:rPr>
          <w:t xml:space="preserve">Cuotas de Mercado de la Distribución en España. Kantar </w:t>
        </w:r>
        <w:proofErr w:type="spellStart"/>
        <w:r w:rsidR="00630A7E" w:rsidRPr="00630A7E">
          <w:rPr>
            <w:rStyle w:val="Hipervnculo"/>
          </w:rPr>
          <w:t>World</w:t>
        </w:r>
        <w:proofErr w:type="spellEnd"/>
        <w:r w:rsidR="00630A7E" w:rsidRPr="00630A7E">
          <w:rPr>
            <w:rStyle w:val="Hipervnculo"/>
          </w:rPr>
          <w:t xml:space="preserve"> Panel.</w:t>
        </w:r>
      </w:hyperlink>
    </w:p>
  </w:footnote>
  <w:footnote w:id="4">
    <w:p w14:paraId="5015421C" w14:textId="421DB60F" w:rsidR="00873F5C" w:rsidRDefault="00873F5C">
      <w:pPr>
        <w:pStyle w:val="Textonotapie"/>
      </w:pPr>
      <w:r>
        <w:rPr>
          <w:rStyle w:val="Refdenotaalpie"/>
        </w:rPr>
        <w:footnoteRef/>
      </w:r>
      <w:r>
        <w:t xml:space="preserve"> </w:t>
      </w:r>
      <w:hyperlink r:id="rId4" w:history="1">
        <w:r w:rsidRPr="00873F5C">
          <w:rPr>
            <w:rStyle w:val="Hipervnculo"/>
          </w:rPr>
          <w:t>Agenda 2030 para el Desarrollo Sostenible. Organización de las Naciones Unidas (ONU).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F809A" w14:textId="77777777" w:rsidR="005A041E" w:rsidRPr="00C93F33" w:rsidRDefault="005A041E" w:rsidP="00C93F33">
    <w:pPr>
      <w:jc w:val="right"/>
      <w:rPr>
        <w:rFonts w:ascii="Verdana" w:hAnsi="Verdana"/>
        <w:b/>
        <w:bCs/>
        <w:color w:val="A50021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68" w:type="dxa"/>
      <w:tblLook w:val="01E0" w:firstRow="1" w:lastRow="1" w:firstColumn="1" w:lastColumn="1" w:noHBand="0" w:noVBand="0"/>
    </w:tblPr>
    <w:tblGrid>
      <w:gridCol w:w="3718"/>
      <w:gridCol w:w="4850"/>
    </w:tblGrid>
    <w:tr w:rsidR="005A041E" w14:paraId="6A4A401D" w14:textId="77777777" w:rsidTr="000B6F19">
      <w:trPr>
        <w:trHeight w:val="1263"/>
      </w:trPr>
      <w:tc>
        <w:tcPr>
          <w:tcW w:w="3718" w:type="dxa"/>
        </w:tcPr>
        <w:p w14:paraId="5F5E1359" w14:textId="4C94CF6E" w:rsidR="005A041E" w:rsidRPr="002E7886" w:rsidRDefault="00517DFB" w:rsidP="0069333D">
          <w:pPr>
            <w:pStyle w:val="Encabezado"/>
            <w:rPr>
              <w:lang w:val="es-ES" w:eastAsia="es-ES"/>
            </w:rPr>
          </w:pPr>
          <w:r>
            <w:rPr>
              <w:noProof/>
              <w:lang w:val="es-ES" w:eastAsia="es-ES"/>
            </w:rPr>
            <w:drawing>
              <wp:inline distT="0" distB="0" distL="0" distR="0" wp14:anchorId="32498083" wp14:editId="30AF3519">
                <wp:extent cx="2028190" cy="73025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81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50" w:type="dxa"/>
        </w:tcPr>
        <w:p w14:paraId="37192EA0" w14:textId="77777777" w:rsidR="005A041E" w:rsidRPr="00BB0726" w:rsidRDefault="005A041E" w:rsidP="000163D4">
          <w:pPr>
            <w:pStyle w:val="Encabezado"/>
            <w:spacing w:before="60"/>
            <w:jc w:val="right"/>
            <w:rPr>
              <w:rFonts w:ascii="MonarkLight" w:hAnsi="MonarkLight" w:cs="Arial"/>
              <w:i/>
              <w:sz w:val="6"/>
              <w:szCs w:val="18"/>
              <w:lang w:val="es-ES" w:eastAsia="es-ES"/>
            </w:rPr>
          </w:pPr>
        </w:p>
        <w:p w14:paraId="35571EED" w14:textId="02FA67DD" w:rsidR="005A041E" w:rsidRPr="002E7886" w:rsidRDefault="005A041E" w:rsidP="000163D4">
          <w:pPr>
            <w:pStyle w:val="Encabezado"/>
            <w:spacing w:line="160" w:lineRule="exact"/>
            <w:jc w:val="right"/>
            <w:rPr>
              <w:rFonts w:cs="Arial"/>
              <w:i/>
              <w:sz w:val="16"/>
              <w:szCs w:val="16"/>
              <w:lang w:val="es-ES" w:eastAsia="es-ES"/>
            </w:rPr>
          </w:pPr>
        </w:p>
      </w:tc>
    </w:tr>
  </w:tbl>
  <w:p w14:paraId="3D8A8675" w14:textId="77777777" w:rsidR="005A041E" w:rsidRPr="002E65D9" w:rsidRDefault="005A041E" w:rsidP="004E2D44">
    <w:pPr>
      <w:pStyle w:val="Encabezado"/>
      <w:jc w:val="right"/>
      <w:rPr>
        <w:rFonts w:ascii="MonarkLight" w:hAnsi="MonarkLight"/>
        <w:b/>
        <w:bCs/>
        <w:color w:val="BED6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2AEC0A9E"/>
    <w:lvl w:ilvl="0">
      <w:start w:val="1"/>
      <w:numFmt w:val="upperRoman"/>
      <w:pStyle w:val="Ttulo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Ttulo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tulo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Ttulo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tulo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Ttulo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Ttulo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Ttulo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Ttulo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2A6547F"/>
    <w:multiLevelType w:val="hybridMultilevel"/>
    <w:tmpl w:val="921CE1D8"/>
    <w:lvl w:ilvl="0" w:tplc="BFD8734C">
      <w:numFmt w:val="bullet"/>
      <w:lvlText w:val="•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718A9"/>
    <w:multiLevelType w:val="hybridMultilevel"/>
    <w:tmpl w:val="6842345E"/>
    <w:lvl w:ilvl="0" w:tplc="9E105702">
      <w:numFmt w:val="bullet"/>
      <w:lvlText w:val="-"/>
      <w:lvlJc w:val="left"/>
      <w:pPr>
        <w:ind w:left="1778" w:hanging="360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43563BB"/>
    <w:multiLevelType w:val="hybridMultilevel"/>
    <w:tmpl w:val="747A11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B1B0C"/>
    <w:multiLevelType w:val="hybridMultilevel"/>
    <w:tmpl w:val="93745E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6348C"/>
    <w:multiLevelType w:val="hybridMultilevel"/>
    <w:tmpl w:val="42DC6FE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0527E"/>
    <w:multiLevelType w:val="hybridMultilevel"/>
    <w:tmpl w:val="5DD09256"/>
    <w:lvl w:ilvl="0" w:tplc="DEFCE9F8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400FAB"/>
    <w:multiLevelType w:val="hybridMultilevel"/>
    <w:tmpl w:val="9D401E9C"/>
    <w:lvl w:ilvl="0" w:tplc="0C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0F">
      <w:start w:val="1"/>
      <w:numFmt w:val="decimal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6687B"/>
    <w:multiLevelType w:val="hybridMultilevel"/>
    <w:tmpl w:val="C988F9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D1AA5"/>
    <w:multiLevelType w:val="hybridMultilevel"/>
    <w:tmpl w:val="C3681C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78663E"/>
    <w:multiLevelType w:val="hybridMultilevel"/>
    <w:tmpl w:val="3104C5D4"/>
    <w:lvl w:ilvl="0" w:tplc="C2502168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F7EDE"/>
    <w:multiLevelType w:val="hybridMultilevel"/>
    <w:tmpl w:val="603A12DA"/>
    <w:lvl w:ilvl="0" w:tplc="03C04862">
      <w:start w:val="95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55A5A"/>
    <w:multiLevelType w:val="hybridMultilevel"/>
    <w:tmpl w:val="A9407D06"/>
    <w:lvl w:ilvl="0" w:tplc="577ED302">
      <w:numFmt w:val="bullet"/>
      <w:lvlText w:val="-"/>
      <w:lvlJc w:val="left"/>
      <w:pPr>
        <w:ind w:left="1073" w:hanging="713"/>
      </w:pPr>
      <w:rPr>
        <w:rFonts w:ascii="Verdana" w:eastAsia="Times New Roman" w:hAnsi="Verdana" w:cs="Arial" w:hint="default"/>
      </w:rPr>
    </w:lvl>
    <w:lvl w:ilvl="1" w:tplc="B24469FE">
      <w:numFmt w:val="bullet"/>
      <w:lvlText w:val=""/>
      <w:lvlJc w:val="left"/>
      <w:pPr>
        <w:ind w:left="1793" w:hanging="713"/>
      </w:pPr>
      <w:rPr>
        <w:rFonts w:ascii="Symbol" w:eastAsia="Times New Roman" w:hAnsi="Symbo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80789"/>
    <w:multiLevelType w:val="hybridMultilevel"/>
    <w:tmpl w:val="25C2E32A"/>
    <w:lvl w:ilvl="0" w:tplc="AF26BFB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610E3"/>
    <w:multiLevelType w:val="hybridMultilevel"/>
    <w:tmpl w:val="CBF4D7F6"/>
    <w:lvl w:ilvl="0" w:tplc="24620E20">
      <w:start w:val="1"/>
      <w:numFmt w:val="upperLetter"/>
      <w:pStyle w:val="Nivel1"/>
      <w:lvlText w:val="%1."/>
      <w:lvlJc w:val="left"/>
      <w:pPr>
        <w:ind w:left="1068" w:hanging="360"/>
      </w:pPr>
      <w:rPr>
        <w:rFonts w:hint="default"/>
      </w:rPr>
    </w:lvl>
    <w:lvl w:ilvl="1" w:tplc="5E044E26" w:tentative="1">
      <w:start w:val="1"/>
      <w:numFmt w:val="lowerLetter"/>
      <w:lvlText w:val="%2."/>
      <w:lvlJc w:val="left"/>
      <w:pPr>
        <w:ind w:left="1788" w:hanging="360"/>
      </w:pPr>
    </w:lvl>
    <w:lvl w:ilvl="2" w:tplc="7E5878E4" w:tentative="1">
      <w:start w:val="1"/>
      <w:numFmt w:val="lowerRoman"/>
      <w:lvlText w:val="%3."/>
      <w:lvlJc w:val="right"/>
      <w:pPr>
        <w:ind w:left="2508" w:hanging="180"/>
      </w:pPr>
    </w:lvl>
    <w:lvl w:ilvl="3" w:tplc="28E89176" w:tentative="1">
      <w:start w:val="1"/>
      <w:numFmt w:val="decimal"/>
      <w:lvlText w:val="%4."/>
      <w:lvlJc w:val="left"/>
      <w:pPr>
        <w:ind w:left="3228" w:hanging="360"/>
      </w:pPr>
    </w:lvl>
    <w:lvl w:ilvl="4" w:tplc="002A881C" w:tentative="1">
      <w:start w:val="1"/>
      <w:numFmt w:val="lowerLetter"/>
      <w:lvlText w:val="%5."/>
      <w:lvlJc w:val="left"/>
      <w:pPr>
        <w:ind w:left="3948" w:hanging="360"/>
      </w:pPr>
    </w:lvl>
    <w:lvl w:ilvl="5" w:tplc="FA3C6864" w:tentative="1">
      <w:start w:val="1"/>
      <w:numFmt w:val="lowerRoman"/>
      <w:lvlText w:val="%6."/>
      <w:lvlJc w:val="right"/>
      <w:pPr>
        <w:ind w:left="4668" w:hanging="180"/>
      </w:pPr>
    </w:lvl>
    <w:lvl w:ilvl="6" w:tplc="51163554" w:tentative="1">
      <w:start w:val="1"/>
      <w:numFmt w:val="decimal"/>
      <w:lvlText w:val="%7."/>
      <w:lvlJc w:val="left"/>
      <w:pPr>
        <w:ind w:left="5388" w:hanging="360"/>
      </w:pPr>
    </w:lvl>
    <w:lvl w:ilvl="7" w:tplc="241498BC" w:tentative="1">
      <w:start w:val="1"/>
      <w:numFmt w:val="lowerLetter"/>
      <w:lvlText w:val="%8."/>
      <w:lvlJc w:val="left"/>
      <w:pPr>
        <w:ind w:left="6108" w:hanging="360"/>
      </w:pPr>
    </w:lvl>
    <w:lvl w:ilvl="8" w:tplc="0144D9D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8502202"/>
    <w:multiLevelType w:val="hybridMultilevel"/>
    <w:tmpl w:val="B6EE7FDE"/>
    <w:lvl w:ilvl="0" w:tplc="76308B2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100236"/>
    <w:multiLevelType w:val="hybridMultilevel"/>
    <w:tmpl w:val="C480F138"/>
    <w:lvl w:ilvl="0" w:tplc="BFD8734C">
      <w:numFmt w:val="bullet"/>
      <w:lvlText w:val="•"/>
      <w:lvlJc w:val="left"/>
      <w:pPr>
        <w:ind w:left="1073" w:hanging="713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011B4"/>
    <w:multiLevelType w:val="hybridMultilevel"/>
    <w:tmpl w:val="DDACCA2C"/>
    <w:lvl w:ilvl="0" w:tplc="6FCA14B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5413A0"/>
    <w:multiLevelType w:val="hybridMultilevel"/>
    <w:tmpl w:val="F4760440"/>
    <w:lvl w:ilvl="0" w:tplc="1978815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557E420E">
      <w:start w:val="1"/>
      <w:numFmt w:val="decimal"/>
      <w:lvlText w:val="%2."/>
      <w:lvlJc w:val="left"/>
      <w:pPr>
        <w:ind w:left="1440" w:hanging="360"/>
      </w:pPr>
      <w:rPr>
        <w:b/>
        <w:bCs/>
        <w:i/>
        <w:iCs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0328AE"/>
    <w:multiLevelType w:val="hybridMultilevel"/>
    <w:tmpl w:val="4F0ABBE2"/>
    <w:lvl w:ilvl="0" w:tplc="8AA420F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1A316D"/>
    <w:multiLevelType w:val="hybridMultilevel"/>
    <w:tmpl w:val="8C38C43E"/>
    <w:lvl w:ilvl="0" w:tplc="AF26BFB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8365A4"/>
    <w:multiLevelType w:val="hybridMultilevel"/>
    <w:tmpl w:val="47D2A894"/>
    <w:lvl w:ilvl="0" w:tplc="C5FA9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240FF2"/>
    <w:multiLevelType w:val="hybridMultilevel"/>
    <w:tmpl w:val="DAAA2742"/>
    <w:lvl w:ilvl="0" w:tplc="6FCA14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0F">
      <w:start w:val="1"/>
      <w:numFmt w:val="decimal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908A1"/>
    <w:multiLevelType w:val="hybridMultilevel"/>
    <w:tmpl w:val="73306874"/>
    <w:lvl w:ilvl="0" w:tplc="BFD8734C">
      <w:numFmt w:val="bullet"/>
      <w:lvlText w:val="•"/>
      <w:lvlJc w:val="left"/>
      <w:pPr>
        <w:ind w:left="1073" w:hanging="713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FF7115"/>
    <w:multiLevelType w:val="hybridMultilevel"/>
    <w:tmpl w:val="5C7C8274"/>
    <w:lvl w:ilvl="0" w:tplc="F648DB08">
      <w:numFmt w:val="bullet"/>
      <w:lvlText w:val="-"/>
      <w:lvlJc w:val="left"/>
      <w:pPr>
        <w:ind w:left="720" w:hanging="360"/>
      </w:pPr>
      <w:rPr>
        <w:rFonts w:ascii="MonarkLight" w:eastAsia="Times New Roman" w:hAnsi="MonarkLight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05690"/>
    <w:multiLevelType w:val="hybridMultilevel"/>
    <w:tmpl w:val="6B8AEDC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FE2829"/>
    <w:multiLevelType w:val="hybridMultilevel"/>
    <w:tmpl w:val="04A45AC6"/>
    <w:lvl w:ilvl="0" w:tplc="C9F2C9FA">
      <w:start w:val="1"/>
      <w:numFmt w:val="upperRoman"/>
      <w:pStyle w:val="Subtituloraya"/>
      <w:lvlText w:val="%1."/>
      <w:lvlJc w:val="left"/>
      <w:pPr>
        <w:ind w:left="360" w:hanging="360"/>
      </w:pPr>
      <w:rPr>
        <w:rFonts w:ascii="MonarkLight" w:hAnsi="MonarkLight" w:hint="default"/>
        <w:b w:val="0"/>
        <w:i w:val="0"/>
        <w:color w:val="auto"/>
        <w:sz w:val="28"/>
        <w:u w:val="none" w:color="A6A6A6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FA9720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992AF3"/>
    <w:multiLevelType w:val="hybridMultilevel"/>
    <w:tmpl w:val="CD90C760"/>
    <w:lvl w:ilvl="0" w:tplc="C2502168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EE26ED"/>
    <w:multiLevelType w:val="hybridMultilevel"/>
    <w:tmpl w:val="FDE25F4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3836AA"/>
    <w:multiLevelType w:val="hybridMultilevel"/>
    <w:tmpl w:val="2F16BC52"/>
    <w:lvl w:ilvl="0" w:tplc="AF2802D0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140BD7"/>
    <w:multiLevelType w:val="hybridMultilevel"/>
    <w:tmpl w:val="EEA27E02"/>
    <w:lvl w:ilvl="0" w:tplc="BFD8734C">
      <w:numFmt w:val="bullet"/>
      <w:lvlText w:val="•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747A5A"/>
    <w:multiLevelType w:val="hybridMultilevel"/>
    <w:tmpl w:val="F910A618"/>
    <w:lvl w:ilvl="0" w:tplc="C2502168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5F45C8"/>
    <w:multiLevelType w:val="hybridMultilevel"/>
    <w:tmpl w:val="C5DAE1B4"/>
    <w:lvl w:ilvl="0" w:tplc="9E10570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A105E"/>
    <w:multiLevelType w:val="hybridMultilevel"/>
    <w:tmpl w:val="2F02C92C"/>
    <w:lvl w:ilvl="0" w:tplc="0C0A000F">
      <w:start w:val="1"/>
      <w:numFmt w:val="decimal"/>
      <w:lvlText w:val="%1."/>
      <w:lvlJc w:val="left"/>
      <w:pPr>
        <w:ind w:left="1800" w:hanging="360"/>
      </w:p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540196F"/>
    <w:multiLevelType w:val="hybridMultilevel"/>
    <w:tmpl w:val="CD6AD332"/>
    <w:lvl w:ilvl="0" w:tplc="0C0A000F">
      <w:start w:val="1"/>
      <w:numFmt w:val="decimal"/>
      <w:lvlText w:val="%1."/>
      <w:lvlJc w:val="left"/>
      <w:pPr>
        <w:ind w:left="1800" w:hanging="360"/>
      </w:p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7266739"/>
    <w:multiLevelType w:val="hybridMultilevel"/>
    <w:tmpl w:val="486A8C76"/>
    <w:lvl w:ilvl="0" w:tplc="9E10570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0741B9"/>
    <w:multiLevelType w:val="hybridMultilevel"/>
    <w:tmpl w:val="0D0602DC"/>
    <w:lvl w:ilvl="0" w:tplc="96A0252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525064"/>
    <w:multiLevelType w:val="hybridMultilevel"/>
    <w:tmpl w:val="2EFA9CC0"/>
    <w:lvl w:ilvl="0" w:tplc="EB04B6B0">
      <w:start w:val="25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E66216"/>
    <w:multiLevelType w:val="hybridMultilevel"/>
    <w:tmpl w:val="7322503C"/>
    <w:lvl w:ilvl="0" w:tplc="AF26BFB2">
      <w:numFmt w:val="bullet"/>
      <w:lvlText w:val="-"/>
      <w:lvlJc w:val="left"/>
      <w:pPr>
        <w:ind w:left="360" w:hanging="360"/>
      </w:pPr>
      <w:rPr>
        <w:rFonts w:ascii="Verdana" w:eastAsia="Times New Roman" w:hAnsi="Verdana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7360E6"/>
    <w:multiLevelType w:val="hybridMultilevel"/>
    <w:tmpl w:val="20E8E478"/>
    <w:lvl w:ilvl="0" w:tplc="0C0A000F">
      <w:start w:val="1"/>
      <w:numFmt w:val="decimal"/>
      <w:lvlText w:val="%1."/>
      <w:lvlJc w:val="left"/>
      <w:pPr>
        <w:ind w:left="1069" w:hanging="360"/>
      </w:p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18332938">
    <w:abstractNumId w:val="0"/>
  </w:num>
  <w:num w:numId="2" w16cid:durableId="1762290374">
    <w:abstractNumId w:val="26"/>
  </w:num>
  <w:num w:numId="3" w16cid:durableId="639579407">
    <w:abstractNumId w:val="14"/>
  </w:num>
  <w:num w:numId="4" w16cid:durableId="644623948">
    <w:abstractNumId w:val="35"/>
  </w:num>
  <w:num w:numId="5" w16cid:durableId="441071154">
    <w:abstractNumId w:val="37"/>
  </w:num>
  <w:num w:numId="6" w16cid:durableId="1256547719">
    <w:abstractNumId w:val="20"/>
  </w:num>
  <w:num w:numId="7" w16cid:durableId="1844473339">
    <w:abstractNumId w:val="32"/>
  </w:num>
  <w:num w:numId="8" w16cid:durableId="2069454719">
    <w:abstractNumId w:val="5"/>
  </w:num>
  <w:num w:numId="9" w16cid:durableId="284698201">
    <w:abstractNumId w:val="28"/>
  </w:num>
  <w:num w:numId="10" w16cid:durableId="1414931287">
    <w:abstractNumId w:val="2"/>
  </w:num>
  <w:num w:numId="11" w16cid:durableId="1197625549">
    <w:abstractNumId w:val="24"/>
  </w:num>
  <w:num w:numId="12" w16cid:durableId="2119446356">
    <w:abstractNumId w:val="13"/>
  </w:num>
  <w:num w:numId="13" w16cid:durableId="1822311108">
    <w:abstractNumId w:val="38"/>
  </w:num>
  <w:num w:numId="14" w16cid:durableId="721517702">
    <w:abstractNumId w:val="18"/>
  </w:num>
  <w:num w:numId="15" w16cid:durableId="1722826652">
    <w:abstractNumId w:val="34"/>
  </w:num>
  <w:num w:numId="16" w16cid:durableId="542986527">
    <w:abstractNumId w:val="6"/>
  </w:num>
  <w:num w:numId="17" w16cid:durableId="1501388986">
    <w:abstractNumId w:val="39"/>
  </w:num>
  <w:num w:numId="18" w16cid:durableId="1375693246">
    <w:abstractNumId w:val="33"/>
  </w:num>
  <w:num w:numId="19" w16cid:durableId="1272321685">
    <w:abstractNumId w:val="25"/>
  </w:num>
  <w:num w:numId="20" w16cid:durableId="1356343105">
    <w:abstractNumId w:val="8"/>
  </w:num>
  <w:num w:numId="21" w16cid:durableId="649941757">
    <w:abstractNumId w:val="3"/>
  </w:num>
  <w:num w:numId="22" w16cid:durableId="41252668">
    <w:abstractNumId w:val="16"/>
  </w:num>
  <w:num w:numId="23" w16cid:durableId="1297685870">
    <w:abstractNumId w:val="23"/>
  </w:num>
  <w:num w:numId="24" w16cid:durableId="562375047">
    <w:abstractNumId w:val="12"/>
  </w:num>
  <w:num w:numId="25" w16cid:durableId="949240756">
    <w:abstractNumId w:val="30"/>
  </w:num>
  <w:num w:numId="26" w16cid:durableId="1985548605">
    <w:abstractNumId w:val="1"/>
  </w:num>
  <w:num w:numId="27" w16cid:durableId="820535182">
    <w:abstractNumId w:val="17"/>
  </w:num>
  <w:num w:numId="28" w16cid:durableId="2103185998">
    <w:abstractNumId w:val="22"/>
  </w:num>
  <w:num w:numId="29" w16cid:durableId="538859493">
    <w:abstractNumId w:val="7"/>
  </w:num>
  <w:num w:numId="30" w16cid:durableId="943684572">
    <w:abstractNumId w:val="9"/>
  </w:num>
  <w:num w:numId="31" w16cid:durableId="422990130">
    <w:abstractNumId w:val="11"/>
  </w:num>
  <w:num w:numId="32" w16cid:durableId="1404913943">
    <w:abstractNumId w:val="36"/>
  </w:num>
  <w:num w:numId="33" w16cid:durableId="516698486">
    <w:abstractNumId w:val="19"/>
  </w:num>
  <w:num w:numId="34" w16cid:durableId="1946843606">
    <w:abstractNumId w:val="31"/>
  </w:num>
  <w:num w:numId="35" w16cid:durableId="1367605748">
    <w:abstractNumId w:val="10"/>
  </w:num>
  <w:num w:numId="36" w16cid:durableId="1996032458">
    <w:abstractNumId w:val="27"/>
  </w:num>
  <w:num w:numId="37" w16cid:durableId="1331326937">
    <w:abstractNumId w:val="4"/>
  </w:num>
  <w:num w:numId="38" w16cid:durableId="1218126514">
    <w:abstractNumId w:val="15"/>
  </w:num>
  <w:num w:numId="39" w16cid:durableId="1619334300">
    <w:abstractNumId w:val="29"/>
  </w:num>
  <w:num w:numId="40" w16cid:durableId="415248651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46"/>
    <w:rsid w:val="00001B2F"/>
    <w:rsid w:val="00002358"/>
    <w:rsid w:val="000024C5"/>
    <w:rsid w:val="0000363C"/>
    <w:rsid w:val="00005A05"/>
    <w:rsid w:val="00005DA7"/>
    <w:rsid w:val="00005E7B"/>
    <w:rsid w:val="00007710"/>
    <w:rsid w:val="00007C10"/>
    <w:rsid w:val="0001064A"/>
    <w:rsid w:val="00010A93"/>
    <w:rsid w:val="00012D98"/>
    <w:rsid w:val="00013B77"/>
    <w:rsid w:val="00014114"/>
    <w:rsid w:val="00014363"/>
    <w:rsid w:val="0001494E"/>
    <w:rsid w:val="00014BCB"/>
    <w:rsid w:val="00015EF3"/>
    <w:rsid w:val="000163BC"/>
    <w:rsid w:val="000163D4"/>
    <w:rsid w:val="0002083E"/>
    <w:rsid w:val="0002295C"/>
    <w:rsid w:val="00022A23"/>
    <w:rsid w:val="00023AAB"/>
    <w:rsid w:val="000264FC"/>
    <w:rsid w:val="00026A46"/>
    <w:rsid w:val="00027508"/>
    <w:rsid w:val="0003073D"/>
    <w:rsid w:val="00032749"/>
    <w:rsid w:val="0003287C"/>
    <w:rsid w:val="00032C40"/>
    <w:rsid w:val="00040C24"/>
    <w:rsid w:val="00040D55"/>
    <w:rsid w:val="00043D83"/>
    <w:rsid w:val="0004645D"/>
    <w:rsid w:val="00046E96"/>
    <w:rsid w:val="000474EC"/>
    <w:rsid w:val="00047946"/>
    <w:rsid w:val="000510AB"/>
    <w:rsid w:val="00057499"/>
    <w:rsid w:val="000613EE"/>
    <w:rsid w:val="000613F8"/>
    <w:rsid w:val="00061D9C"/>
    <w:rsid w:val="000625FC"/>
    <w:rsid w:val="000638D1"/>
    <w:rsid w:val="00067E38"/>
    <w:rsid w:val="00067E42"/>
    <w:rsid w:val="00072810"/>
    <w:rsid w:val="0007385B"/>
    <w:rsid w:val="00076355"/>
    <w:rsid w:val="000800C9"/>
    <w:rsid w:val="000806C4"/>
    <w:rsid w:val="00080C35"/>
    <w:rsid w:val="0008400F"/>
    <w:rsid w:val="00084434"/>
    <w:rsid w:val="0008520B"/>
    <w:rsid w:val="00085CDA"/>
    <w:rsid w:val="00092DE8"/>
    <w:rsid w:val="00093372"/>
    <w:rsid w:val="000935B0"/>
    <w:rsid w:val="00093F13"/>
    <w:rsid w:val="00094B6F"/>
    <w:rsid w:val="00094F53"/>
    <w:rsid w:val="000965C9"/>
    <w:rsid w:val="00096977"/>
    <w:rsid w:val="00096A19"/>
    <w:rsid w:val="00097697"/>
    <w:rsid w:val="0009787E"/>
    <w:rsid w:val="00097B8B"/>
    <w:rsid w:val="000A18C0"/>
    <w:rsid w:val="000A206E"/>
    <w:rsid w:val="000A2E28"/>
    <w:rsid w:val="000A4297"/>
    <w:rsid w:val="000A53D6"/>
    <w:rsid w:val="000A7104"/>
    <w:rsid w:val="000A758B"/>
    <w:rsid w:val="000A7F2E"/>
    <w:rsid w:val="000B0CA9"/>
    <w:rsid w:val="000B12DF"/>
    <w:rsid w:val="000B27E4"/>
    <w:rsid w:val="000B2839"/>
    <w:rsid w:val="000B2F9F"/>
    <w:rsid w:val="000B46D5"/>
    <w:rsid w:val="000B6AFC"/>
    <w:rsid w:val="000B6F19"/>
    <w:rsid w:val="000C05CC"/>
    <w:rsid w:val="000C2B70"/>
    <w:rsid w:val="000C420E"/>
    <w:rsid w:val="000C52FF"/>
    <w:rsid w:val="000C7510"/>
    <w:rsid w:val="000C7607"/>
    <w:rsid w:val="000D03E2"/>
    <w:rsid w:val="000D0522"/>
    <w:rsid w:val="000D08A9"/>
    <w:rsid w:val="000D13A5"/>
    <w:rsid w:val="000D33A1"/>
    <w:rsid w:val="000D3992"/>
    <w:rsid w:val="000D3DE5"/>
    <w:rsid w:val="000D7D9A"/>
    <w:rsid w:val="000D7FE7"/>
    <w:rsid w:val="000E0524"/>
    <w:rsid w:val="000E052D"/>
    <w:rsid w:val="000E11F1"/>
    <w:rsid w:val="000E1EFE"/>
    <w:rsid w:val="000E2361"/>
    <w:rsid w:val="000E3BE7"/>
    <w:rsid w:val="000E7203"/>
    <w:rsid w:val="000F1A7A"/>
    <w:rsid w:val="000F29AC"/>
    <w:rsid w:val="000F2EB5"/>
    <w:rsid w:val="000F3834"/>
    <w:rsid w:val="000F48E6"/>
    <w:rsid w:val="000F59FD"/>
    <w:rsid w:val="000F5D57"/>
    <w:rsid w:val="00100045"/>
    <w:rsid w:val="00100875"/>
    <w:rsid w:val="0010166A"/>
    <w:rsid w:val="0010413E"/>
    <w:rsid w:val="001044F4"/>
    <w:rsid w:val="00105C18"/>
    <w:rsid w:val="00105D82"/>
    <w:rsid w:val="001060D2"/>
    <w:rsid w:val="00106E5D"/>
    <w:rsid w:val="00107412"/>
    <w:rsid w:val="00110E2F"/>
    <w:rsid w:val="00112A58"/>
    <w:rsid w:val="00113359"/>
    <w:rsid w:val="001145D7"/>
    <w:rsid w:val="00114A19"/>
    <w:rsid w:val="0011615D"/>
    <w:rsid w:val="001176DF"/>
    <w:rsid w:val="001212DC"/>
    <w:rsid w:val="00121E09"/>
    <w:rsid w:val="001245D2"/>
    <w:rsid w:val="00124B7D"/>
    <w:rsid w:val="00125D39"/>
    <w:rsid w:val="00126CD6"/>
    <w:rsid w:val="001274FC"/>
    <w:rsid w:val="00130AC3"/>
    <w:rsid w:val="00131DF7"/>
    <w:rsid w:val="0013211A"/>
    <w:rsid w:val="00132773"/>
    <w:rsid w:val="00133662"/>
    <w:rsid w:val="001348BC"/>
    <w:rsid w:val="00135088"/>
    <w:rsid w:val="00135345"/>
    <w:rsid w:val="0013571D"/>
    <w:rsid w:val="001358E4"/>
    <w:rsid w:val="00137913"/>
    <w:rsid w:val="00137FD5"/>
    <w:rsid w:val="001420DF"/>
    <w:rsid w:val="00142DCC"/>
    <w:rsid w:val="00143740"/>
    <w:rsid w:val="00143814"/>
    <w:rsid w:val="00145FA8"/>
    <w:rsid w:val="0014624A"/>
    <w:rsid w:val="001471EA"/>
    <w:rsid w:val="0015153B"/>
    <w:rsid w:val="00152B00"/>
    <w:rsid w:val="00153011"/>
    <w:rsid w:val="00155226"/>
    <w:rsid w:val="0015688A"/>
    <w:rsid w:val="00157120"/>
    <w:rsid w:val="00160612"/>
    <w:rsid w:val="00160CCF"/>
    <w:rsid w:val="001613F3"/>
    <w:rsid w:val="0016165D"/>
    <w:rsid w:val="00163C03"/>
    <w:rsid w:val="00163FB3"/>
    <w:rsid w:val="00164DCA"/>
    <w:rsid w:val="00166805"/>
    <w:rsid w:val="00170E62"/>
    <w:rsid w:val="001712EE"/>
    <w:rsid w:val="00172BC0"/>
    <w:rsid w:val="001736C9"/>
    <w:rsid w:val="00173D77"/>
    <w:rsid w:val="00174441"/>
    <w:rsid w:val="00175678"/>
    <w:rsid w:val="00175A6C"/>
    <w:rsid w:val="00176C6A"/>
    <w:rsid w:val="00180292"/>
    <w:rsid w:val="00180730"/>
    <w:rsid w:val="001821B1"/>
    <w:rsid w:val="001826CC"/>
    <w:rsid w:val="00182DB5"/>
    <w:rsid w:val="001857AE"/>
    <w:rsid w:val="00190503"/>
    <w:rsid w:val="00191E2E"/>
    <w:rsid w:val="0019234C"/>
    <w:rsid w:val="0019290F"/>
    <w:rsid w:val="00196CDB"/>
    <w:rsid w:val="001974BF"/>
    <w:rsid w:val="001A24D5"/>
    <w:rsid w:val="001A2764"/>
    <w:rsid w:val="001A3342"/>
    <w:rsid w:val="001A3A95"/>
    <w:rsid w:val="001A5D75"/>
    <w:rsid w:val="001A6923"/>
    <w:rsid w:val="001A6AF8"/>
    <w:rsid w:val="001A7942"/>
    <w:rsid w:val="001A79D8"/>
    <w:rsid w:val="001A7A7A"/>
    <w:rsid w:val="001B0BAD"/>
    <w:rsid w:val="001B4ADE"/>
    <w:rsid w:val="001B687E"/>
    <w:rsid w:val="001B702D"/>
    <w:rsid w:val="001B7E5C"/>
    <w:rsid w:val="001C0D0A"/>
    <w:rsid w:val="001C24FD"/>
    <w:rsid w:val="001C3A2A"/>
    <w:rsid w:val="001C3A9C"/>
    <w:rsid w:val="001C4EA7"/>
    <w:rsid w:val="001C525E"/>
    <w:rsid w:val="001C6B53"/>
    <w:rsid w:val="001D0128"/>
    <w:rsid w:val="001D0DB1"/>
    <w:rsid w:val="001D2404"/>
    <w:rsid w:val="001D2650"/>
    <w:rsid w:val="001D2AD3"/>
    <w:rsid w:val="001D2BB5"/>
    <w:rsid w:val="001D30E6"/>
    <w:rsid w:val="001D4A51"/>
    <w:rsid w:val="001D506C"/>
    <w:rsid w:val="001D73E4"/>
    <w:rsid w:val="001D7CBD"/>
    <w:rsid w:val="001E20CD"/>
    <w:rsid w:val="001E263D"/>
    <w:rsid w:val="001E2C2A"/>
    <w:rsid w:val="001E423F"/>
    <w:rsid w:val="001E4DED"/>
    <w:rsid w:val="001E6D5B"/>
    <w:rsid w:val="001F070D"/>
    <w:rsid w:val="001F136E"/>
    <w:rsid w:val="001F27A2"/>
    <w:rsid w:val="001F3F60"/>
    <w:rsid w:val="001F4D05"/>
    <w:rsid w:val="001F6107"/>
    <w:rsid w:val="001F68A8"/>
    <w:rsid w:val="001F7A68"/>
    <w:rsid w:val="00200BD2"/>
    <w:rsid w:val="00200D09"/>
    <w:rsid w:val="00201A0C"/>
    <w:rsid w:val="00201A99"/>
    <w:rsid w:val="00201F23"/>
    <w:rsid w:val="00202ABB"/>
    <w:rsid w:val="0020361B"/>
    <w:rsid w:val="00204E18"/>
    <w:rsid w:val="00205042"/>
    <w:rsid w:val="00205956"/>
    <w:rsid w:val="00205FF3"/>
    <w:rsid w:val="002070E3"/>
    <w:rsid w:val="00210CB1"/>
    <w:rsid w:val="00211BD9"/>
    <w:rsid w:val="00213192"/>
    <w:rsid w:val="00214DF2"/>
    <w:rsid w:val="00216351"/>
    <w:rsid w:val="00216FA7"/>
    <w:rsid w:val="00217D0E"/>
    <w:rsid w:val="00221180"/>
    <w:rsid w:val="00222E7F"/>
    <w:rsid w:val="002234E6"/>
    <w:rsid w:val="00224191"/>
    <w:rsid w:val="0022472E"/>
    <w:rsid w:val="00224763"/>
    <w:rsid w:val="00225C9C"/>
    <w:rsid w:val="00226176"/>
    <w:rsid w:val="00230DCB"/>
    <w:rsid w:val="002323CD"/>
    <w:rsid w:val="00235FC3"/>
    <w:rsid w:val="00236B4C"/>
    <w:rsid w:val="00236F1C"/>
    <w:rsid w:val="00237B77"/>
    <w:rsid w:val="00240FFC"/>
    <w:rsid w:val="002410C5"/>
    <w:rsid w:val="002429D7"/>
    <w:rsid w:val="00244617"/>
    <w:rsid w:val="0024513B"/>
    <w:rsid w:val="00245302"/>
    <w:rsid w:val="00246153"/>
    <w:rsid w:val="00246760"/>
    <w:rsid w:val="00246A3A"/>
    <w:rsid w:val="00246B10"/>
    <w:rsid w:val="002514DF"/>
    <w:rsid w:val="0025264C"/>
    <w:rsid w:val="00253403"/>
    <w:rsid w:val="00253824"/>
    <w:rsid w:val="00254431"/>
    <w:rsid w:val="00255B14"/>
    <w:rsid w:val="00255E15"/>
    <w:rsid w:val="00256116"/>
    <w:rsid w:val="0025673E"/>
    <w:rsid w:val="0025785B"/>
    <w:rsid w:val="00260270"/>
    <w:rsid w:val="00260A93"/>
    <w:rsid w:val="00260D44"/>
    <w:rsid w:val="0026218E"/>
    <w:rsid w:val="00262565"/>
    <w:rsid w:val="00262E9C"/>
    <w:rsid w:val="00262F2A"/>
    <w:rsid w:val="00264A07"/>
    <w:rsid w:val="00264DE9"/>
    <w:rsid w:val="00264F8E"/>
    <w:rsid w:val="00265138"/>
    <w:rsid w:val="00266A8F"/>
    <w:rsid w:val="00267439"/>
    <w:rsid w:val="002679BA"/>
    <w:rsid w:val="00272AB7"/>
    <w:rsid w:val="00273167"/>
    <w:rsid w:val="002731F2"/>
    <w:rsid w:val="0027665D"/>
    <w:rsid w:val="0027682E"/>
    <w:rsid w:val="00280105"/>
    <w:rsid w:val="0028298A"/>
    <w:rsid w:val="00282F32"/>
    <w:rsid w:val="00284C09"/>
    <w:rsid w:val="00285525"/>
    <w:rsid w:val="00285DBA"/>
    <w:rsid w:val="00286BBB"/>
    <w:rsid w:val="002906BC"/>
    <w:rsid w:val="00290ABE"/>
    <w:rsid w:val="00290BE4"/>
    <w:rsid w:val="0029298F"/>
    <w:rsid w:val="00292A7D"/>
    <w:rsid w:val="00292ED3"/>
    <w:rsid w:val="00294B03"/>
    <w:rsid w:val="00294E26"/>
    <w:rsid w:val="00295009"/>
    <w:rsid w:val="0029546B"/>
    <w:rsid w:val="00295DA2"/>
    <w:rsid w:val="00296789"/>
    <w:rsid w:val="002968DC"/>
    <w:rsid w:val="00297E85"/>
    <w:rsid w:val="002A013B"/>
    <w:rsid w:val="002A108B"/>
    <w:rsid w:val="002A2358"/>
    <w:rsid w:val="002A3A4C"/>
    <w:rsid w:val="002A43F1"/>
    <w:rsid w:val="002A4647"/>
    <w:rsid w:val="002A4964"/>
    <w:rsid w:val="002A599B"/>
    <w:rsid w:val="002A6868"/>
    <w:rsid w:val="002A7553"/>
    <w:rsid w:val="002A7A95"/>
    <w:rsid w:val="002B1965"/>
    <w:rsid w:val="002B1A42"/>
    <w:rsid w:val="002B2620"/>
    <w:rsid w:val="002B27C7"/>
    <w:rsid w:val="002B312A"/>
    <w:rsid w:val="002B4791"/>
    <w:rsid w:val="002B54DC"/>
    <w:rsid w:val="002B6E96"/>
    <w:rsid w:val="002B7981"/>
    <w:rsid w:val="002C1779"/>
    <w:rsid w:val="002C1F72"/>
    <w:rsid w:val="002C2D9A"/>
    <w:rsid w:val="002C2FFD"/>
    <w:rsid w:val="002C420E"/>
    <w:rsid w:val="002C424E"/>
    <w:rsid w:val="002C5E99"/>
    <w:rsid w:val="002C6B38"/>
    <w:rsid w:val="002C7BF6"/>
    <w:rsid w:val="002D0650"/>
    <w:rsid w:val="002D2F4E"/>
    <w:rsid w:val="002D31E7"/>
    <w:rsid w:val="002D35CB"/>
    <w:rsid w:val="002D4D74"/>
    <w:rsid w:val="002D508E"/>
    <w:rsid w:val="002D53F0"/>
    <w:rsid w:val="002D5A37"/>
    <w:rsid w:val="002D619B"/>
    <w:rsid w:val="002D65F1"/>
    <w:rsid w:val="002D6B23"/>
    <w:rsid w:val="002D723D"/>
    <w:rsid w:val="002D7B51"/>
    <w:rsid w:val="002D7C60"/>
    <w:rsid w:val="002E09FE"/>
    <w:rsid w:val="002E12E0"/>
    <w:rsid w:val="002E2F7C"/>
    <w:rsid w:val="002E3505"/>
    <w:rsid w:val="002E5276"/>
    <w:rsid w:val="002E533D"/>
    <w:rsid w:val="002E5A20"/>
    <w:rsid w:val="002E6068"/>
    <w:rsid w:val="002E65D9"/>
    <w:rsid w:val="002E7886"/>
    <w:rsid w:val="002F2D95"/>
    <w:rsid w:val="002F2FB6"/>
    <w:rsid w:val="002F441F"/>
    <w:rsid w:val="002F4CF4"/>
    <w:rsid w:val="002F5FCB"/>
    <w:rsid w:val="002F79BD"/>
    <w:rsid w:val="002F7A5F"/>
    <w:rsid w:val="00300F0C"/>
    <w:rsid w:val="00301319"/>
    <w:rsid w:val="00301C8C"/>
    <w:rsid w:val="003026E4"/>
    <w:rsid w:val="00302B44"/>
    <w:rsid w:val="0031037D"/>
    <w:rsid w:val="0031057B"/>
    <w:rsid w:val="00310E98"/>
    <w:rsid w:val="003115C8"/>
    <w:rsid w:val="00313AB5"/>
    <w:rsid w:val="003170AD"/>
    <w:rsid w:val="00317B20"/>
    <w:rsid w:val="00321F48"/>
    <w:rsid w:val="00322162"/>
    <w:rsid w:val="00322A1E"/>
    <w:rsid w:val="00323E75"/>
    <w:rsid w:val="00324BDD"/>
    <w:rsid w:val="00326A87"/>
    <w:rsid w:val="003315FE"/>
    <w:rsid w:val="00331844"/>
    <w:rsid w:val="00333754"/>
    <w:rsid w:val="00334F34"/>
    <w:rsid w:val="003363A6"/>
    <w:rsid w:val="00340B9E"/>
    <w:rsid w:val="00341399"/>
    <w:rsid w:val="00341F93"/>
    <w:rsid w:val="003441D9"/>
    <w:rsid w:val="00346116"/>
    <w:rsid w:val="00346AAD"/>
    <w:rsid w:val="003524F9"/>
    <w:rsid w:val="00352FA8"/>
    <w:rsid w:val="00354046"/>
    <w:rsid w:val="00354166"/>
    <w:rsid w:val="00354205"/>
    <w:rsid w:val="00354370"/>
    <w:rsid w:val="00355CCF"/>
    <w:rsid w:val="0035783D"/>
    <w:rsid w:val="0036242A"/>
    <w:rsid w:val="003628EC"/>
    <w:rsid w:val="00362BD9"/>
    <w:rsid w:val="0036323E"/>
    <w:rsid w:val="003632CB"/>
    <w:rsid w:val="00364905"/>
    <w:rsid w:val="003658FD"/>
    <w:rsid w:val="0037078E"/>
    <w:rsid w:val="0037277E"/>
    <w:rsid w:val="00372DD4"/>
    <w:rsid w:val="00372FCA"/>
    <w:rsid w:val="003730A4"/>
    <w:rsid w:val="003731FB"/>
    <w:rsid w:val="003750BD"/>
    <w:rsid w:val="00375C18"/>
    <w:rsid w:val="0037793B"/>
    <w:rsid w:val="00380079"/>
    <w:rsid w:val="00380FB1"/>
    <w:rsid w:val="00381406"/>
    <w:rsid w:val="0038238A"/>
    <w:rsid w:val="00382D12"/>
    <w:rsid w:val="00382FD8"/>
    <w:rsid w:val="00383E00"/>
    <w:rsid w:val="003856F6"/>
    <w:rsid w:val="00385BB6"/>
    <w:rsid w:val="0038648C"/>
    <w:rsid w:val="00390324"/>
    <w:rsid w:val="00390711"/>
    <w:rsid w:val="0039257C"/>
    <w:rsid w:val="00396628"/>
    <w:rsid w:val="00396D35"/>
    <w:rsid w:val="00397654"/>
    <w:rsid w:val="003A11BE"/>
    <w:rsid w:val="003A3A5E"/>
    <w:rsid w:val="003A50FC"/>
    <w:rsid w:val="003A511D"/>
    <w:rsid w:val="003A55EA"/>
    <w:rsid w:val="003A685D"/>
    <w:rsid w:val="003A6D4E"/>
    <w:rsid w:val="003A6EBE"/>
    <w:rsid w:val="003A72E7"/>
    <w:rsid w:val="003A7F59"/>
    <w:rsid w:val="003B07C8"/>
    <w:rsid w:val="003B12FC"/>
    <w:rsid w:val="003B19D6"/>
    <w:rsid w:val="003B34DA"/>
    <w:rsid w:val="003B359A"/>
    <w:rsid w:val="003B3C4B"/>
    <w:rsid w:val="003C16E2"/>
    <w:rsid w:val="003C25AE"/>
    <w:rsid w:val="003C2615"/>
    <w:rsid w:val="003C4848"/>
    <w:rsid w:val="003C4CA7"/>
    <w:rsid w:val="003C6786"/>
    <w:rsid w:val="003D16EE"/>
    <w:rsid w:val="003D1813"/>
    <w:rsid w:val="003D1839"/>
    <w:rsid w:val="003D2BBD"/>
    <w:rsid w:val="003D4B91"/>
    <w:rsid w:val="003D5518"/>
    <w:rsid w:val="003D5E2A"/>
    <w:rsid w:val="003D6943"/>
    <w:rsid w:val="003D6C21"/>
    <w:rsid w:val="003E360B"/>
    <w:rsid w:val="003E3859"/>
    <w:rsid w:val="003E3AB9"/>
    <w:rsid w:val="003E5C95"/>
    <w:rsid w:val="003E6074"/>
    <w:rsid w:val="003E6489"/>
    <w:rsid w:val="003E78A0"/>
    <w:rsid w:val="003E7D04"/>
    <w:rsid w:val="003F1D41"/>
    <w:rsid w:val="003F1E74"/>
    <w:rsid w:val="003F1F88"/>
    <w:rsid w:val="003F2EDD"/>
    <w:rsid w:val="003F4311"/>
    <w:rsid w:val="003F75FE"/>
    <w:rsid w:val="003F786D"/>
    <w:rsid w:val="003F7DFE"/>
    <w:rsid w:val="00400118"/>
    <w:rsid w:val="0040030B"/>
    <w:rsid w:val="0040045D"/>
    <w:rsid w:val="00400532"/>
    <w:rsid w:val="00400B26"/>
    <w:rsid w:val="0040125A"/>
    <w:rsid w:val="0040165A"/>
    <w:rsid w:val="00401FDD"/>
    <w:rsid w:val="0040482C"/>
    <w:rsid w:val="00405CD6"/>
    <w:rsid w:val="0040662E"/>
    <w:rsid w:val="00406846"/>
    <w:rsid w:val="004069F1"/>
    <w:rsid w:val="00406A18"/>
    <w:rsid w:val="00406B8D"/>
    <w:rsid w:val="00407D51"/>
    <w:rsid w:val="004103FE"/>
    <w:rsid w:val="00410A97"/>
    <w:rsid w:val="00410D6C"/>
    <w:rsid w:val="004113D0"/>
    <w:rsid w:val="00413368"/>
    <w:rsid w:val="00414F68"/>
    <w:rsid w:val="00415EB2"/>
    <w:rsid w:val="004169F0"/>
    <w:rsid w:val="004219FE"/>
    <w:rsid w:val="00421BE4"/>
    <w:rsid w:val="00422F9B"/>
    <w:rsid w:val="0042603B"/>
    <w:rsid w:val="004266F4"/>
    <w:rsid w:val="00430593"/>
    <w:rsid w:val="00430F71"/>
    <w:rsid w:val="00431678"/>
    <w:rsid w:val="00431D48"/>
    <w:rsid w:val="00432777"/>
    <w:rsid w:val="00432C13"/>
    <w:rsid w:val="00433444"/>
    <w:rsid w:val="00433B08"/>
    <w:rsid w:val="004372BB"/>
    <w:rsid w:val="00440030"/>
    <w:rsid w:val="0044039E"/>
    <w:rsid w:val="0044050E"/>
    <w:rsid w:val="00446156"/>
    <w:rsid w:val="00446B6A"/>
    <w:rsid w:val="00447145"/>
    <w:rsid w:val="0044725E"/>
    <w:rsid w:val="00450007"/>
    <w:rsid w:val="00451525"/>
    <w:rsid w:val="004517D5"/>
    <w:rsid w:val="00451B6B"/>
    <w:rsid w:val="00452496"/>
    <w:rsid w:val="00452E32"/>
    <w:rsid w:val="004532FB"/>
    <w:rsid w:val="0045424B"/>
    <w:rsid w:val="00454D5A"/>
    <w:rsid w:val="00455783"/>
    <w:rsid w:val="00456833"/>
    <w:rsid w:val="00457141"/>
    <w:rsid w:val="004576C8"/>
    <w:rsid w:val="0046221B"/>
    <w:rsid w:val="0046336D"/>
    <w:rsid w:val="00463633"/>
    <w:rsid w:val="00463FFA"/>
    <w:rsid w:val="00466284"/>
    <w:rsid w:val="00467098"/>
    <w:rsid w:val="00467CDF"/>
    <w:rsid w:val="00470323"/>
    <w:rsid w:val="004733CD"/>
    <w:rsid w:val="00473638"/>
    <w:rsid w:val="00476C7C"/>
    <w:rsid w:val="00480257"/>
    <w:rsid w:val="004808C4"/>
    <w:rsid w:val="00482AFA"/>
    <w:rsid w:val="004834F4"/>
    <w:rsid w:val="00483E77"/>
    <w:rsid w:val="00484053"/>
    <w:rsid w:val="00484687"/>
    <w:rsid w:val="00485343"/>
    <w:rsid w:val="004857BB"/>
    <w:rsid w:val="00486533"/>
    <w:rsid w:val="004869BD"/>
    <w:rsid w:val="00486D16"/>
    <w:rsid w:val="00490391"/>
    <w:rsid w:val="00494216"/>
    <w:rsid w:val="00494370"/>
    <w:rsid w:val="0049519A"/>
    <w:rsid w:val="004955C1"/>
    <w:rsid w:val="00495F62"/>
    <w:rsid w:val="004969ED"/>
    <w:rsid w:val="004A1450"/>
    <w:rsid w:val="004A2876"/>
    <w:rsid w:val="004A43A8"/>
    <w:rsid w:val="004A5503"/>
    <w:rsid w:val="004A637C"/>
    <w:rsid w:val="004A663F"/>
    <w:rsid w:val="004A7225"/>
    <w:rsid w:val="004A7676"/>
    <w:rsid w:val="004B0C9E"/>
    <w:rsid w:val="004B14E2"/>
    <w:rsid w:val="004B2212"/>
    <w:rsid w:val="004B5895"/>
    <w:rsid w:val="004B6BB6"/>
    <w:rsid w:val="004B73E2"/>
    <w:rsid w:val="004C11B8"/>
    <w:rsid w:val="004C1340"/>
    <w:rsid w:val="004C29D1"/>
    <w:rsid w:val="004C3614"/>
    <w:rsid w:val="004C4F2A"/>
    <w:rsid w:val="004C6B62"/>
    <w:rsid w:val="004D029A"/>
    <w:rsid w:val="004D26B9"/>
    <w:rsid w:val="004D390A"/>
    <w:rsid w:val="004D3D9C"/>
    <w:rsid w:val="004D3DB1"/>
    <w:rsid w:val="004D44B3"/>
    <w:rsid w:val="004D6DE2"/>
    <w:rsid w:val="004D7B59"/>
    <w:rsid w:val="004D7D9B"/>
    <w:rsid w:val="004E020C"/>
    <w:rsid w:val="004E09BD"/>
    <w:rsid w:val="004E0DF4"/>
    <w:rsid w:val="004E1F21"/>
    <w:rsid w:val="004E2837"/>
    <w:rsid w:val="004E2D44"/>
    <w:rsid w:val="004E3BF2"/>
    <w:rsid w:val="004E425F"/>
    <w:rsid w:val="004E4B39"/>
    <w:rsid w:val="004E4C29"/>
    <w:rsid w:val="004E5DB2"/>
    <w:rsid w:val="004E68C1"/>
    <w:rsid w:val="004E6F6C"/>
    <w:rsid w:val="004E7C6E"/>
    <w:rsid w:val="004E7EAA"/>
    <w:rsid w:val="004F01C5"/>
    <w:rsid w:val="004F303F"/>
    <w:rsid w:val="004F3683"/>
    <w:rsid w:val="004F47DA"/>
    <w:rsid w:val="004F7ACC"/>
    <w:rsid w:val="005036AD"/>
    <w:rsid w:val="0051077F"/>
    <w:rsid w:val="005113AF"/>
    <w:rsid w:val="00515129"/>
    <w:rsid w:val="00517DFB"/>
    <w:rsid w:val="0052072C"/>
    <w:rsid w:val="00521570"/>
    <w:rsid w:val="005228DB"/>
    <w:rsid w:val="00522D9C"/>
    <w:rsid w:val="00523C2F"/>
    <w:rsid w:val="005246E2"/>
    <w:rsid w:val="00527F71"/>
    <w:rsid w:val="00531E7E"/>
    <w:rsid w:val="00533740"/>
    <w:rsid w:val="00534360"/>
    <w:rsid w:val="005368A1"/>
    <w:rsid w:val="00536FE0"/>
    <w:rsid w:val="00540990"/>
    <w:rsid w:val="00540BE4"/>
    <w:rsid w:val="005418A4"/>
    <w:rsid w:val="00541F05"/>
    <w:rsid w:val="00542920"/>
    <w:rsid w:val="005430FD"/>
    <w:rsid w:val="00543757"/>
    <w:rsid w:val="005457E9"/>
    <w:rsid w:val="00546127"/>
    <w:rsid w:val="00546F14"/>
    <w:rsid w:val="005515E9"/>
    <w:rsid w:val="00553C23"/>
    <w:rsid w:val="005546A6"/>
    <w:rsid w:val="0055705C"/>
    <w:rsid w:val="00557C19"/>
    <w:rsid w:val="005606F1"/>
    <w:rsid w:val="0056083E"/>
    <w:rsid w:val="00560996"/>
    <w:rsid w:val="00560D2E"/>
    <w:rsid w:val="00561AFB"/>
    <w:rsid w:val="00562914"/>
    <w:rsid w:val="0056312B"/>
    <w:rsid w:val="0056474C"/>
    <w:rsid w:val="00564F06"/>
    <w:rsid w:val="00565A5A"/>
    <w:rsid w:val="005675F5"/>
    <w:rsid w:val="00570784"/>
    <w:rsid w:val="005712C1"/>
    <w:rsid w:val="005720C8"/>
    <w:rsid w:val="0057453B"/>
    <w:rsid w:val="00575E8F"/>
    <w:rsid w:val="00577472"/>
    <w:rsid w:val="00577EEF"/>
    <w:rsid w:val="0058083F"/>
    <w:rsid w:val="0058093A"/>
    <w:rsid w:val="005810FF"/>
    <w:rsid w:val="00581971"/>
    <w:rsid w:val="005841D9"/>
    <w:rsid w:val="00585C6F"/>
    <w:rsid w:val="00587321"/>
    <w:rsid w:val="00590A15"/>
    <w:rsid w:val="00590A60"/>
    <w:rsid w:val="005911F8"/>
    <w:rsid w:val="00591BFD"/>
    <w:rsid w:val="00591DF6"/>
    <w:rsid w:val="00593AAA"/>
    <w:rsid w:val="00593C43"/>
    <w:rsid w:val="0059445D"/>
    <w:rsid w:val="00594EEE"/>
    <w:rsid w:val="0059722E"/>
    <w:rsid w:val="00597A83"/>
    <w:rsid w:val="005A036A"/>
    <w:rsid w:val="005A041E"/>
    <w:rsid w:val="005A0D79"/>
    <w:rsid w:val="005A1328"/>
    <w:rsid w:val="005A4363"/>
    <w:rsid w:val="005A44FB"/>
    <w:rsid w:val="005A5E82"/>
    <w:rsid w:val="005B09D5"/>
    <w:rsid w:val="005B224D"/>
    <w:rsid w:val="005B391B"/>
    <w:rsid w:val="005B3B4E"/>
    <w:rsid w:val="005B4121"/>
    <w:rsid w:val="005B4D7B"/>
    <w:rsid w:val="005B5786"/>
    <w:rsid w:val="005B6191"/>
    <w:rsid w:val="005B673C"/>
    <w:rsid w:val="005C0A49"/>
    <w:rsid w:val="005C3043"/>
    <w:rsid w:val="005C4329"/>
    <w:rsid w:val="005C5C3E"/>
    <w:rsid w:val="005C6010"/>
    <w:rsid w:val="005C6780"/>
    <w:rsid w:val="005C6C3C"/>
    <w:rsid w:val="005C7B8E"/>
    <w:rsid w:val="005D00F9"/>
    <w:rsid w:val="005D0E15"/>
    <w:rsid w:val="005D26B4"/>
    <w:rsid w:val="005D27C8"/>
    <w:rsid w:val="005D281A"/>
    <w:rsid w:val="005D5E10"/>
    <w:rsid w:val="005D6801"/>
    <w:rsid w:val="005D69ED"/>
    <w:rsid w:val="005D7A68"/>
    <w:rsid w:val="005E0CDA"/>
    <w:rsid w:val="005E0DE0"/>
    <w:rsid w:val="005E3756"/>
    <w:rsid w:val="005E3BC5"/>
    <w:rsid w:val="005E3C25"/>
    <w:rsid w:val="005E43AD"/>
    <w:rsid w:val="005E5F58"/>
    <w:rsid w:val="005E68E6"/>
    <w:rsid w:val="005E717A"/>
    <w:rsid w:val="005F0D03"/>
    <w:rsid w:val="005F19E9"/>
    <w:rsid w:val="005F268C"/>
    <w:rsid w:val="005F2723"/>
    <w:rsid w:val="005F31A7"/>
    <w:rsid w:val="005F614B"/>
    <w:rsid w:val="005F701C"/>
    <w:rsid w:val="005F766C"/>
    <w:rsid w:val="005F768E"/>
    <w:rsid w:val="006003B5"/>
    <w:rsid w:val="00601A02"/>
    <w:rsid w:val="006041E1"/>
    <w:rsid w:val="00605077"/>
    <w:rsid w:val="006058A4"/>
    <w:rsid w:val="006064C9"/>
    <w:rsid w:val="00610DB2"/>
    <w:rsid w:val="0061338A"/>
    <w:rsid w:val="00613B3D"/>
    <w:rsid w:val="00614BCD"/>
    <w:rsid w:val="00616768"/>
    <w:rsid w:val="006167FA"/>
    <w:rsid w:val="0061785B"/>
    <w:rsid w:val="006178F3"/>
    <w:rsid w:val="00620E4C"/>
    <w:rsid w:val="00621116"/>
    <w:rsid w:val="00623B0F"/>
    <w:rsid w:val="00623E99"/>
    <w:rsid w:val="006274E5"/>
    <w:rsid w:val="00627ACF"/>
    <w:rsid w:val="00627F51"/>
    <w:rsid w:val="00630A7E"/>
    <w:rsid w:val="00630D2E"/>
    <w:rsid w:val="00631547"/>
    <w:rsid w:val="00633E63"/>
    <w:rsid w:val="00634716"/>
    <w:rsid w:val="00635C84"/>
    <w:rsid w:val="00635D76"/>
    <w:rsid w:val="00637312"/>
    <w:rsid w:val="00640B06"/>
    <w:rsid w:val="00641CBF"/>
    <w:rsid w:val="00645715"/>
    <w:rsid w:val="00646BBC"/>
    <w:rsid w:val="00646C06"/>
    <w:rsid w:val="00647638"/>
    <w:rsid w:val="006477A1"/>
    <w:rsid w:val="00650060"/>
    <w:rsid w:val="006509F4"/>
    <w:rsid w:val="00651D83"/>
    <w:rsid w:val="00653DF6"/>
    <w:rsid w:val="006541C5"/>
    <w:rsid w:val="00655532"/>
    <w:rsid w:val="0065736E"/>
    <w:rsid w:val="00661B76"/>
    <w:rsid w:val="00662ADD"/>
    <w:rsid w:val="00664846"/>
    <w:rsid w:val="00665D42"/>
    <w:rsid w:val="006660BB"/>
    <w:rsid w:val="00670A6C"/>
    <w:rsid w:val="00670C77"/>
    <w:rsid w:val="00672DCF"/>
    <w:rsid w:val="00672F75"/>
    <w:rsid w:val="0067444D"/>
    <w:rsid w:val="00675569"/>
    <w:rsid w:val="00676E2B"/>
    <w:rsid w:val="00680FCD"/>
    <w:rsid w:val="006831F9"/>
    <w:rsid w:val="0068384D"/>
    <w:rsid w:val="0068502F"/>
    <w:rsid w:val="0068538D"/>
    <w:rsid w:val="0068637C"/>
    <w:rsid w:val="00687FD1"/>
    <w:rsid w:val="00690614"/>
    <w:rsid w:val="00691C2D"/>
    <w:rsid w:val="00692EEF"/>
    <w:rsid w:val="0069333D"/>
    <w:rsid w:val="00693F6E"/>
    <w:rsid w:val="006954FB"/>
    <w:rsid w:val="00695830"/>
    <w:rsid w:val="006A1845"/>
    <w:rsid w:val="006A2E5D"/>
    <w:rsid w:val="006A36D6"/>
    <w:rsid w:val="006A5E47"/>
    <w:rsid w:val="006A5F06"/>
    <w:rsid w:val="006A6C70"/>
    <w:rsid w:val="006A7149"/>
    <w:rsid w:val="006B0800"/>
    <w:rsid w:val="006B13D2"/>
    <w:rsid w:val="006B1690"/>
    <w:rsid w:val="006B1A8C"/>
    <w:rsid w:val="006B1C38"/>
    <w:rsid w:val="006B4E2C"/>
    <w:rsid w:val="006B6604"/>
    <w:rsid w:val="006B68C6"/>
    <w:rsid w:val="006C0994"/>
    <w:rsid w:val="006C0E82"/>
    <w:rsid w:val="006C1CC5"/>
    <w:rsid w:val="006C28E7"/>
    <w:rsid w:val="006C2E3A"/>
    <w:rsid w:val="006C304F"/>
    <w:rsid w:val="006C4A85"/>
    <w:rsid w:val="006C56BF"/>
    <w:rsid w:val="006C6D03"/>
    <w:rsid w:val="006D04EC"/>
    <w:rsid w:val="006D208A"/>
    <w:rsid w:val="006D2BAE"/>
    <w:rsid w:val="006D32C9"/>
    <w:rsid w:val="006D3A1A"/>
    <w:rsid w:val="006D4803"/>
    <w:rsid w:val="006D48C6"/>
    <w:rsid w:val="006D5C2F"/>
    <w:rsid w:val="006D63C1"/>
    <w:rsid w:val="006D7DCD"/>
    <w:rsid w:val="006D7EA7"/>
    <w:rsid w:val="006E0190"/>
    <w:rsid w:val="006E1368"/>
    <w:rsid w:val="006E20CD"/>
    <w:rsid w:val="006E3769"/>
    <w:rsid w:val="006E4BA1"/>
    <w:rsid w:val="006E4CE6"/>
    <w:rsid w:val="006E622C"/>
    <w:rsid w:val="006E7E1E"/>
    <w:rsid w:val="006E7F84"/>
    <w:rsid w:val="006F0A60"/>
    <w:rsid w:val="006F0E22"/>
    <w:rsid w:val="006F15D1"/>
    <w:rsid w:val="006F29C0"/>
    <w:rsid w:val="006F3664"/>
    <w:rsid w:val="006F45BB"/>
    <w:rsid w:val="006F57D2"/>
    <w:rsid w:val="006F680E"/>
    <w:rsid w:val="00702508"/>
    <w:rsid w:val="00702ECF"/>
    <w:rsid w:val="007030AE"/>
    <w:rsid w:val="00703A24"/>
    <w:rsid w:val="00703A29"/>
    <w:rsid w:val="00703AD4"/>
    <w:rsid w:val="00704B26"/>
    <w:rsid w:val="00704F2C"/>
    <w:rsid w:val="00705084"/>
    <w:rsid w:val="0070667C"/>
    <w:rsid w:val="00706884"/>
    <w:rsid w:val="00707FB2"/>
    <w:rsid w:val="00710385"/>
    <w:rsid w:val="0071069E"/>
    <w:rsid w:val="00710B58"/>
    <w:rsid w:val="007122D9"/>
    <w:rsid w:val="007124C0"/>
    <w:rsid w:val="0071280B"/>
    <w:rsid w:val="007134D4"/>
    <w:rsid w:val="00713A96"/>
    <w:rsid w:val="00716B43"/>
    <w:rsid w:val="0071706C"/>
    <w:rsid w:val="00720C25"/>
    <w:rsid w:val="007212ED"/>
    <w:rsid w:val="007244E6"/>
    <w:rsid w:val="00724CB3"/>
    <w:rsid w:val="007253EC"/>
    <w:rsid w:val="007269B7"/>
    <w:rsid w:val="00730813"/>
    <w:rsid w:val="007308B8"/>
    <w:rsid w:val="007313E0"/>
    <w:rsid w:val="007320D8"/>
    <w:rsid w:val="00732673"/>
    <w:rsid w:val="00732D1E"/>
    <w:rsid w:val="007350C9"/>
    <w:rsid w:val="00735F5C"/>
    <w:rsid w:val="00735FA9"/>
    <w:rsid w:val="00736B1A"/>
    <w:rsid w:val="00740587"/>
    <w:rsid w:val="007416DF"/>
    <w:rsid w:val="00741B7E"/>
    <w:rsid w:val="007422C5"/>
    <w:rsid w:val="007424BA"/>
    <w:rsid w:val="00742FE1"/>
    <w:rsid w:val="007439E1"/>
    <w:rsid w:val="00743FD7"/>
    <w:rsid w:val="0074411E"/>
    <w:rsid w:val="00746E0A"/>
    <w:rsid w:val="00746F22"/>
    <w:rsid w:val="00747645"/>
    <w:rsid w:val="007526F6"/>
    <w:rsid w:val="00752B9E"/>
    <w:rsid w:val="007559E6"/>
    <w:rsid w:val="00755E9B"/>
    <w:rsid w:val="00760425"/>
    <w:rsid w:val="007632F1"/>
    <w:rsid w:val="00763A4B"/>
    <w:rsid w:val="00764EA2"/>
    <w:rsid w:val="00765A83"/>
    <w:rsid w:val="0076640C"/>
    <w:rsid w:val="00766B0F"/>
    <w:rsid w:val="0076719E"/>
    <w:rsid w:val="0077040A"/>
    <w:rsid w:val="007727AA"/>
    <w:rsid w:val="00772DDF"/>
    <w:rsid w:val="00773225"/>
    <w:rsid w:val="00774D31"/>
    <w:rsid w:val="00776D12"/>
    <w:rsid w:val="00776F50"/>
    <w:rsid w:val="00777348"/>
    <w:rsid w:val="00780C19"/>
    <w:rsid w:val="00781EE4"/>
    <w:rsid w:val="0078253C"/>
    <w:rsid w:val="00782667"/>
    <w:rsid w:val="00783098"/>
    <w:rsid w:val="00784DA0"/>
    <w:rsid w:val="00784E6F"/>
    <w:rsid w:val="007933BA"/>
    <w:rsid w:val="00793E98"/>
    <w:rsid w:val="00795C0C"/>
    <w:rsid w:val="007963C9"/>
    <w:rsid w:val="00796708"/>
    <w:rsid w:val="007A1C96"/>
    <w:rsid w:val="007A39C2"/>
    <w:rsid w:val="007A6328"/>
    <w:rsid w:val="007A64D9"/>
    <w:rsid w:val="007A660B"/>
    <w:rsid w:val="007A6FF5"/>
    <w:rsid w:val="007B0CE5"/>
    <w:rsid w:val="007B20B5"/>
    <w:rsid w:val="007B3319"/>
    <w:rsid w:val="007B3692"/>
    <w:rsid w:val="007B3AC4"/>
    <w:rsid w:val="007B40D1"/>
    <w:rsid w:val="007B577E"/>
    <w:rsid w:val="007B5AFF"/>
    <w:rsid w:val="007B5FC1"/>
    <w:rsid w:val="007C0D08"/>
    <w:rsid w:val="007C1304"/>
    <w:rsid w:val="007C22AE"/>
    <w:rsid w:val="007C2AD5"/>
    <w:rsid w:val="007C2FB9"/>
    <w:rsid w:val="007C4745"/>
    <w:rsid w:val="007C53C8"/>
    <w:rsid w:val="007C6562"/>
    <w:rsid w:val="007C78AF"/>
    <w:rsid w:val="007D0180"/>
    <w:rsid w:val="007D1D15"/>
    <w:rsid w:val="007D5031"/>
    <w:rsid w:val="007D573A"/>
    <w:rsid w:val="007D634B"/>
    <w:rsid w:val="007D662C"/>
    <w:rsid w:val="007D7212"/>
    <w:rsid w:val="007D7776"/>
    <w:rsid w:val="007D7F80"/>
    <w:rsid w:val="007E11C3"/>
    <w:rsid w:val="007E3911"/>
    <w:rsid w:val="007E56AE"/>
    <w:rsid w:val="007E5B03"/>
    <w:rsid w:val="007E5FB4"/>
    <w:rsid w:val="007E641C"/>
    <w:rsid w:val="007E6935"/>
    <w:rsid w:val="007E74A6"/>
    <w:rsid w:val="007F25FB"/>
    <w:rsid w:val="007F2725"/>
    <w:rsid w:val="007F3553"/>
    <w:rsid w:val="007F4287"/>
    <w:rsid w:val="007F4841"/>
    <w:rsid w:val="007F5F61"/>
    <w:rsid w:val="007F6570"/>
    <w:rsid w:val="007F65A3"/>
    <w:rsid w:val="007F7E4D"/>
    <w:rsid w:val="00800EEF"/>
    <w:rsid w:val="00802594"/>
    <w:rsid w:val="00805BED"/>
    <w:rsid w:val="00805EA3"/>
    <w:rsid w:val="00807649"/>
    <w:rsid w:val="008101A4"/>
    <w:rsid w:val="0081108C"/>
    <w:rsid w:val="008134C8"/>
    <w:rsid w:val="00814E15"/>
    <w:rsid w:val="0081560B"/>
    <w:rsid w:val="008156D4"/>
    <w:rsid w:val="008210E5"/>
    <w:rsid w:val="008213A6"/>
    <w:rsid w:val="0082349D"/>
    <w:rsid w:val="008244FC"/>
    <w:rsid w:val="008251D2"/>
    <w:rsid w:val="00826875"/>
    <w:rsid w:val="00826C63"/>
    <w:rsid w:val="00830EDF"/>
    <w:rsid w:val="00831297"/>
    <w:rsid w:val="00832300"/>
    <w:rsid w:val="00832352"/>
    <w:rsid w:val="00832979"/>
    <w:rsid w:val="008359F6"/>
    <w:rsid w:val="00835C7E"/>
    <w:rsid w:val="00835F3D"/>
    <w:rsid w:val="00836343"/>
    <w:rsid w:val="00837788"/>
    <w:rsid w:val="00842D30"/>
    <w:rsid w:val="00842EDD"/>
    <w:rsid w:val="0084304C"/>
    <w:rsid w:val="00843EF0"/>
    <w:rsid w:val="00846A6E"/>
    <w:rsid w:val="00846E64"/>
    <w:rsid w:val="00850367"/>
    <w:rsid w:val="00851C9B"/>
    <w:rsid w:val="0085271A"/>
    <w:rsid w:val="00854686"/>
    <w:rsid w:val="00856B7A"/>
    <w:rsid w:val="00857228"/>
    <w:rsid w:val="00860E71"/>
    <w:rsid w:val="00861337"/>
    <w:rsid w:val="00862F3B"/>
    <w:rsid w:val="008634CB"/>
    <w:rsid w:val="00864334"/>
    <w:rsid w:val="00864E55"/>
    <w:rsid w:val="00865ADE"/>
    <w:rsid w:val="008676EC"/>
    <w:rsid w:val="00870855"/>
    <w:rsid w:val="008723A0"/>
    <w:rsid w:val="00872491"/>
    <w:rsid w:val="00872BF7"/>
    <w:rsid w:val="00873F5C"/>
    <w:rsid w:val="0087472B"/>
    <w:rsid w:val="00874B36"/>
    <w:rsid w:val="00874EE9"/>
    <w:rsid w:val="00876EC0"/>
    <w:rsid w:val="008779D6"/>
    <w:rsid w:val="0088029F"/>
    <w:rsid w:val="0088056A"/>
    <w:rsid w:val="008811F1"/>
    <w:rsid w:val="008820C1"/>
    <w:rsid w:val="00882636"/>
    <w:rsid w:val="00882726"/>
    <w:rsid w:val="00883531"/>
    <w:rsid w:val="0088538B"/>
    <w:rsid w:val="0088551C"/>
    <w:rsid w:val="008871DD"/>
    <w:rsid w:val="00890847"/>
    <w:rsid w:val="008919EE"/>
    <w:rsid w:val="00892196"/>
    <w:rsid w:val="00893CF8"/>
    <w:rsid w:val="00896E5E"/>
    <w:rsid w:val="00897716"/>
    <w:rsid w:val="008A1790"/>
    <w:rsid w:val="008A2BA0"/>
    <w:rsid w:val="008A48F4"/>
    <w:rsid w:val="008A4C65"/>
    <w:rsid w:val="008A5179"/>
    <w:rsid w:val="008A53A4"/>
    <w:rsid w:val="008A5C4F"/>
    <w:rsid w:val="008B4204"/>
    <w:rsid w:val="008B5EC8"/>
    <w:rsid w:val="008C2023"/>
    <w:rsid w:val="008C2B8E"/>
    <w:rsid w:val="008C5D60"/>
    <w:rsid w:val="008C6570"/>
    <w:rsid w:val="008C6855"/>
    <w:rsid w:val="008D0A6D"/>
    <w:rsid w:val="008D1A32"/>
    <w:rsid w:val="008D33E6"/>
    <w:rsid w:val="008D3D63"/>
    <w:rsid w:val="008D4957"/>
    <w:rsid w:val="008D7FF2"/>
    <w:rsid w:val="008E00DE"/>
    <w:rsid w:val="008E07C2"/>
    <w:rsid w:val="008E08AE"/>
    <w:rsid w:val="008E14D2"/>
    <w:rsid w:val="008E2F6E"/>
    <w:rsid w:val="008E3407"/>
    <w:rsid w:val="008E347F"/>
    <w:rsid w:val="008E3863"/>
    <w:rsid w:val="008E3C6B"/>
    <w:rsid w:val="008E46C5"/>
    <w:rsid w:val="008E53E5"/>
    <w:rsid w:val="008E5426"/>
    <w:rsid w:val="008E615A"/>
    <w:rsid w:val="008E67E2"/>
    <w:rsid w:val="008E7AF0"/>
    <w:rsid w:val="008E7ECD"/>
    <w:rsid w:val="008F0B48"/>
    <w:rsid w:val="008F1626"/>
    <w:rsid w:val="008F16B4"/>
    <w:rsid w:val="008F27D5"/>
    <w:rsid w:val="008F4F4B"/>
    <w:rsid w:val="008F6E6B"/>
    <w:rsid w:val="0090019B"/>
    <w:rsid w:val="00900272"/>
    <w:rsid w:val="009005D4"/>
    <w:rsid w:val="009012B0"/>
    <w:rsid w:val="00903525"/>
    <w:rsid w:val="009039E4"/>
    <w:rsid w:val="009041A0"/>
    <w:rsid w:val="009042C8"/>
    <w:rsid w:val="009044D8"/>
    <w:rsid w:val="00904E04"/>
    <w:rsid w:val="00905D75"/>
    <w:rsid w:val="009063C6"/>
    <w:rsid w:val="00906809"/>
    <w:rsid w:val="00906F4F"/>
    <w:rsid w:val="0090773C"/>
    <w:rsid w:val="00907F35"/>
    <w:rsid w:val="0091231C"/>
    <w:rsid w:val="0091239A"/>
    <w:rsid w:val="00913239"/>
    <w:rsid w:val="00914445"/>
    <w:rsid w:val="0091619F"/>
    <w:rsid w:val="00920FF2"/>
    <w:rsid w:val="00921D31"/>
    <w:rsid w:val="00921E5E"/>
    <w:rsid w:val="0092358A"/>
    <w:rsid w:val="00923801"/>
    <w:rsid w:val="0092477F"/>
    <w:rsid w:val="00926AB6"/>
    <w:rsid w:val="00931938"/>
    <w:rsid w:val="009330C8"/>
    <w:rsid w:val="00933271"/>
    <w:rsid w:val="009333DD"/>
    <w:rsid w:val="00934586"/>
    <w:rsid w:val="00935A90"/>
    <w:rsid w:val="009367C2"/>
    <w:rsid w:val="00936815"/>
    <w:rsid w:val="009409B3"/>
    <w:rsid w:val="00941AD4"/>
    <w:rsid w:val="00944B98"/>
    <w:rsid w:val="00945CEA"/>
    <w:rsid w:val="00946463"/>
    <w:rsid w:val="0095018A"/>
    <w:rsid w:val="00950786"/>
    <w:rsid w:val="00951D53"/>
    <w:rsid w:val="00953614"/>
    <w:rsid w:val="00953E22"/>
    <w:rsid w:val="00953E56"/>
    <w:rsid w:val="0095564B"/>
    <w:rsid w:val="00956DBA"/>
    <w:rsid w:val="00957012"/>
    <w:rsid w:val="00961D6D"/>
    <w:rsid w:val="00963207"/>
    <w:rsid w:val="009633E8"/>
    <w:rsid w:val="00963D91"/>
    <w:rsid w:val="00963F53"/>
    <w:rsid w:val="009651F0"/>
    <w:rsid w:val="00965DF1"/>
    <w:rsid w:val="00965F5A"/>
    <w:rsid w:val="00970272"/>
    <w:rsid w:val="0097043B"/>
    <w:rsid w:val="00971340"/>
    <w:rsid w:val="0097161B"/>
    <w:rsid w:val="009720E5"/>
    <w:rsid w:val="009722FF"/>
    <w:rsid w:val="00973930"/>
    <w:rsid w:val="00974941"/>
    <w:rsid w:val="00974C5E"/>
    <w:rsid w:val="00975F69"/>
    <w:rsid w:val="00977805"/>
    <w:rsid w:val="00980C1A"/>
    <w:rsid w:val="0098189E"/>
    <w:rsid w:val="00981C89"/>
    <w:rsid w:val="00983713"/>
    <w:rsid w:val="009840D8"/>
    <w:rsid w:val="00984E24"/>
    <w:rsid w:val="00984F8E"/>
    <w:rsid w:val="00986007"/>
    <w:rsid w:val="0099056D"/>
    <w:rsid w:val="009918E2"/>
    <w:rsid w:val="00991CA9"/>
    <w:rsid w:val="00991FD4"/>
    <w:rsid w:val="00992583"/>
    <w:rsid w:val="00995C7D"/>
    <w:rsid w:val="009963D3"/>
    <w:rsid w:val="00996BEF"/>
    <w:rsid w:val="00997A38"/>
    <w:rsid w:val="009A18B7"/>
    <w:rsid w:val="009A228E"/>
    <w:rsid w:val="009A26F6"/>
    <w:rsid w:val="009A2E69"/>
    <w:rsid w:val="009A3685"/>
    <w:rsid w:val="009A3773"/>
    <w:rsid w:val="009A3852"/>
    <w:rsid w:val="009A4A21"/>
    <w:rsid w:val="009B0945"/>
    <w:rsid w:val="009B14F3"/>
    <w:rsid w:val="009B21EF"/>
    <w:rsid w:val="009B2555"/>
    <w:rsid w:val="009B2EA9"/>
    <w:rsid w:val="009B4416"/>
    <w:rsid w:val="009B5F3E"/>
    <w:rsid w:val="009C1182"/>
    <w:rsid w:val="009C42C7"/>
    <w:rsid w:val="009C44FC"/>
    <w:rsid w:val="009C5F5F"/>
    <w:rsid w:val="009C7278"/>
    <w:rsid w:val="009D11E9"/>
    <w:rsid w:val="009D2CE7"/>
    <w:rsid w:val="009D4D32"/>
    <w:rsid w:val="009D4F45"/>
    <w:rsid w:val="009D55EE"/>
    <w:rsid w:val="009D6580"/>
    <w:rsid w:val="009D6CFE"/>
    <w:rsid w:val="009D70BA"/>
    <w:rsid w:val="009E1CA7"/>
    <w:rsid w:val="009E38FA"/>
    <w:rsid w:val="009E5229"/>
    <w:rsid w:val="009F0691"/>
    <w:rsid w:val="009F0F7C"/>
    <w:rsid w:val="009F292C"/>
    <w:rsid w:val="009F59A9"/>
    <w:rsid w:val="009F7176"/>
    <w:rsid w:val="009F7345"/>
    <w:rsid w:val="00A0104C"/>
    <w:rsid w:val="00A01CF7"/>
    <w:rsid w:val="00A01D9B"/>
    <w:rsid w:val="00A02980"/>
    <w:rsid w:val="00A03588"/>
    <w:rsid w:val="00A042A3"/>
    <w:rsid w:val="00A047F1"/>
    <w:rsid w:val="00A04D3A"/>
    <w:rsid w:val="00A05BFF"/>
    <w:rsid w:val="00A05E9F"/>
    <w:rsid w:val="00A10F57"/>
    <w:rsid w:val="00A12F9A"/>
    <w:rsid w:val="00A14602"/>
    <w:rsid w:val="00A15048"/>
    <w:rsid w:val="00A17C0E"/>
    <w:rsid w:val="00A20F17"/>
    <w:rsid w:val="00A21246"/>
    <w:rsid w:val="00A22801"/>
    <w:rsid w:val="00A234A9"/>
    <w:rsid w:val="00A23C79"/>
    <w:rsid w:val="00A257B6"/>
    <w:rsid w:val="00A27E12"/>
    <w:rsid w:val="00A311C1"/>
    <w:rsid w:val="00A32055"/>
    <w:rsid w:val="00A32639"/>
    <w:rsid w:val="00A328F1"/>
    <w:rsid w:val="00A331EE"/>
    <w:rsid w:val="00A3471D"/>
    <w:rsid w:val="00A352C2"/>
    <w:rsid w:val="00A3555F"/>
    <w:rsid w:val="00A374A6"/>
    <w:rsid w:val="00A400EB"/>
    <w:rsid w:val="00A407D8"/>
    <w:rsid w:val="00A4129D"/>
    <w:rsid w:val="00A428B6"/>
    <w:rsid w:val="00A4328A"/>
    <w:rsid w:val="00A439AE"/>
    <w:rsid w:val="00A46E1C"/>
    <w:rsid w:val="00A47A19"/>
    <w:rsid w:val="00A47CDF"/>
    <w:rsid w:val="00A52EF7"/>
    <w:rsid w:val="00A53D90"/>
    <w:rsid w:val="00A56D5A"/>
    <w:rsid w:val="00A57F7B"/>
    <w:rsid w:val="00A57FF0"/>
    <w:rsid w:val="00A60833"/>
    <w:rsid w:val="00A61046"/>
    <w:rsid w:val="00A629F4"/>
    <w:rsid w:val="00A646AB"/>
    <w:rsid w:val="00A6628A"/>
    <w:rsid w:val="00A668BE"/>
    <w:rsid w:val="00A66AFC"/>
    <w:rsid w:val="00A66BA2"/>
    <w:rsid w:val="00A66BFA"/>
    <w:rsid w:val="00A66FB0"/>
    <w:rsid w:val="00A7039E"/>
    <w:rsid w:val="00A70A16"/>
    <w:rsid w:val="00A70A3D"/>
    <w:rsid w:val="00A71A67"/>
    <w:rsid w:val="00A727EA"/>
    <w:rsid w:val="00A732CD"/>
    <w:rsid w:val="00A74CF3"/>
    <w:rsid w:val="00A77911"/>
    <w:rsid w:val="00A77D3B"/>
    <w:rsid w:val="00A77F1A"/>
    <w:rsid w:val="00A80805"/>
    <w:rsid w:val="00A8091D"/>
    <w:rsid w:val="00A80FCA"/>
    <w:rsid w:val="00A81072"/>
    <w:rsid w:val="00A81FE7"/>
    <w:rsid w:val="00A8238F"/>
    <w:rsid w:val="00A830EC"/>
    <w:rsid w:val="00A83A42"/>
    <w:rsid w:val="00A83F8C"/>
    <w:rsid w:val="00A8482F"/>
    <w:rsid w:val="00A862F0"/>
    <w:rsid w:val="00A87273"/>
    <w:rsid w:val="00A87761"/>
    <w:rsid w:val="00A904D5"/>
    <w:rsid w:val="00A90892"/>
    <w:rsid w:val="00A90BC3"/>
    <w:rsid w:val="00A92CFD"/>
    <w:rsid w:val="00A9533A"/>
    <w:rsid w:val="00A956D8"/>
    <w:rsid w:val="00A975A3"/>
    <w:rsid w:val="00A97BEE"/>
    <w:rsid w:val="00AA0386"/>
    <w:rsid w:val="00AA1A21"/>
    <w:rsid w:val="00AA1C43"/>
    <w:rsid w:val="00AA2EBA"/>
    <w:rsid w:val="00AA3D1C"/>
    <w:rsid w:val="00AA3E9E"/>
    <w:rsid w:val="00AA44BD"/>
    <w:rsid w:val="00AA64B3"/>
    <w:rsid w:val="00AA66FB"/>
    <w:rsid w:val="00AA6C99"/>
    <w:rsid w:val="00AA7508"/>
    <w:rsid w:val="00AA767F"/>
    <w:rsid w:val="00AB177D"/>
    <w:rsid w:val="00AB1BDB"/>
    <w:rsid w:val="00AB1D23"/>
    <w:rsid w:val="00AB1FFC"/>
    <w:rsid w:val="00AB2465"/>
    <w:rsid w:val="00AB3F36"/>
    <w:rsid w:val="00AB4C0D"/>
    <w:rsid w:val="00AB7AB0"/>
    <w:rsid w:val="00AC1E6C"/>
    <w:rsid w:val="00AC2285"/>
    <w:rsid w:val="00AC22C4"/>
    <w:rsid w:val="00AC2718"/>
    <w:rsid w:val="00AC3461"/>
    <w:rsid w:val="00AC3BE6"/>
    <w:rsid w:val="00AC62DF"/>
    <w:rsid w:val="00AC68F3"/>
    <w:rsid w:val="00AC7D1E"/>
    <w:rsid w:val="00AD025B"/>
    <w:rsid w:val="00AD0926"/>
    <w:rsid w:val="00AD0B87"/>
    <w:rsid w:val="00AD0B96"/>
    <w:rsid w:val="00AD19C9"/>
    <w:rsid w:val="00AD1DAC"/>
    <w:rsid w:val="00AD4AAF"/>
    <w:rsid w:val="00AD5C9B"/>
    <w:rsid w:val="00AD7DD3"/>
    <w:rsid w:val="00AE04F8"/>
    <w:rsid w:val="00AE1063"/>
    <w:rsid w:val="00AE1A37"/>
    <w:rsid w:val="00AE4115"/>
    <w:rsid w:val="00AE540D"/>
    <w:rsid w:val="00AE6380"/>
    <w:rsid w:val="00AF265E"/>
    <w:rsid w:val="00AF37C4"/>
    <w:rsid w:val="00AF587B"/>
    <w:rsid w:val="00AF69E8"/>
    <w:rsid w:val="00AF6C0F"/>
    <w:rsid w:val="00AF6D40"/>
    <w:rsid w:val="00AF7907"/>
    <w:rsid w:val="00B02714"/>
    <w:rsid w:val="00B02EA2"/>
    <w:rsid w:val="00B031C4"/>
    <w:rsid w:val="00B03D31"/>
    <w:rsid w:val="00B04183"/>
    <w:rsid w:val="00B064EC"/>
    <w:rsid w:val="00B069E3"/>
    <w:rsid w:val="00B073E9"/>
    <w:rsid w:val="00B10366"/>
    <w:rsid w:val="00B1060C"/>
    <w:rsid w:val="00B1072D"/>
    <w:rsid w:val="00B119DC"/>
    <w:rsid w:val="00B127E1"/>
    <w:rsid w:val="00B12E51"/>
    <w:rsid w:val="00B1300D"/>
    <w:rsid w:val="00B137B6"/>
    <w:rsid w:val="00B13BB8"/>
    <w:rsid w:val="00B13CDC"/>
    <w:rsid w:val="00B14D9D"/>
    <w:rsid w:val="00B14E86"/>
    <w:rsid w:val="00B157C6"/>
    <w:rsid w:val="00B16305"/>
    <w:rsid w:val="00B22204"/>
    <w:rsid w:val="00B23398"/>
    <w:rsid w:val="00B24FAF"/>
    <w:rsid w:val="00B27E94"/>
    <w:rsid w:val="00B30101"/>
    <w:rsid w:val="00B306F6"/>
    <w:rsid w:val="00B31850"/>
    <w:rsid w:val="00B3333E"/>
    <w:rsid w:val="00B3635C"/>
    <w:rsid w:val="00B36821"/>
    <w:rsid w:val="00B36AC6"/>
    <w:rsid w:val="00B378B4"/>
    <w:rsid w:val="00B37941"/>
    <w:rsid w:val="00B429B2"/>
    <w:rsid w:val="00B42ABC"/>
    <w:rsid w:val="00B45077"/>
    <w:rsid w:val="00B46401"/>
    <w:rsid w:val="00B46AE9"/>
    <w:rsid w:val="00B503B0"/>
    <w:rsid w:val="00B50AC7"/>
    <w:rsid w:val="00B510DA"/>
    <w:rsid w:val="00B512F3"/>
    <w:rsid w:val="00B54897"/>
    <w:rsid w:val="00B55F72"/>
    <w:rsid w:val="00B573BC"/>
    <w:rsid w:val="00B6038F"/>
    <w:rsid w:val="00B60B93"/>
    <w:rsid w:val="00B621E6"/>
    <w:rsid w:val="00B626E1"/>
    <w:rsid w:val="00B628A5"/>
    <w:rsid w:val="00B64F61"/>
    <w:rsid w:val="00B65167"/>
    <w:rsid w:val="00B65F18"/>
    <w:rsid w:val="00B66878"/>
    <w:rsid w:val="00B677A7"/>
    <w:rsid w:val="00B711FF"/>
    <w:rsid w:val="00B72179"/>
    <w:rsid w:val="00B722FB"/>
    <w:rsid w:val="00B74919"/>
    <w:rsid w:val="00B76D3B"/>
    <w:rsid w:val="00B76EFB"/>
    <w:rsid w:val="00B7772A"/>
    <w:rsid w:val="00B779A5"/>
    <w:rsid w:val="00B77BA5"/>
    <w:rsid w:val="00B80CC8"/>
    <w:rsid w:val="00B8141E"/>
    <w:rsid w:val="00B81DE8"/>
    <w:rsid w:val="00B83AE1"/>
    <w:rsid w:val="00B84220"/>
    <w:rsid w:val="00B84494"/>
    <w:rsid w:val="00B84F46"/>
    <w:rsid w:val="00B855D2"/>
    <w:rsid w:val="00B8618E"/>
    <w:rsid w:val="00B86374"/>
    <w:rsid w:val="00B877DE"/>
    <w:rsid w:val="00B91C3C"/>
    <w:rsid w:val="00B92000"/>
    <w:rsid w:val="00B920D9"/>
    <w:rsid w:val="00B93085"/>
    <w:rsid w:val="00B932DA"/>
    <w:rsid w:val="00B9514D"/>
    <w:rsid w:val="00B978BF"/>
    <w:rsid w:val="00BA17F0"/>
    <w:rsid w:val="00BA2540"/>
    <w:rsid w:val="00BA2C19"/>
    <w:rsid w:val="00BA2F16"/>
    <w:rsid w:val="00BA5613"/>
    <w:rsid w:val="00BA5E79"/>
    <w:rsid w:val="00BA6089"/>
    <w:rsid w:val="00BB0726"/>
    <w:rsid w:val="00BB087E"/>
    <w:rsid w:val="00BB3EDD"/>
    <w:rsid w:val="00BB45B0"/>
    <w:rsid w:val="00BB486D"/>
    <w:rsid w:val="00BB4D77"/>
    <w:rsid w:val="00BB551F"/>
    <w:rsid w:val="00BB5D20"/>
    <w:rsid w:val="00BB5E2E"/>
    <w:rsid w:val="00BB61C2"/>
    <w:rsid w:val="00BC1EF9"/>
    <w:rsid w:val="00BC2933"/>
    <w:rsid w:val="00BC3555"/>
    <w:rsid w:val="00BC3E97"/>
    <w:rsid w:val="00BC3E9B"/>
    <w:rsid w:val="00BC3F7E"/>
    <w:rsid w:val="00BC6566"/>
    <w:rsid w:val="00BC664C"/>
    <w:rsid w:val="00BC6F70"/>
    <w:rsid w:val="00BD1F2A"/>
    <w:rsid w:val="00BD2D9F"/>
    <w:rsid w:val="00BD3A49"/>
    <w:rsid w:val="00BD4427"/>
    <w:rsid w:val="00BD5C73"/>
    <w:rsid w:val="00BE0FCE"/>
    <w:rsid w:val="00BE1A57"/>
    <w:rsid w:val="00BE1D16"/>
    <w:rsid w:val="00BE34E6"/>
    <w:rsid w:val="00BE4183"/>
    <w:rsid w:val="00BE436D"/>
    <w:rsid w:val="00BE61DA"/>
    <w:rsid w:val="00BF17FF"/>
    <w:rsid w:val="00BF1B9F"/>
    <w:rsid w:val="00BF2588"/>
    <w:rsid w:val="00BF281B"/>
    <w:rsid w:val="00BF5382"/>
    <w:rsid w:val="00BF5FFC"/>
    <w:rsid w:val="00BF6221"/>
    <w:rsid w:val="00BF6EBB"/>
    <w:rsid w:val="00BF709F"/>
    <w:rsid w:val="00BF7475"/>
    <w:rsid w:val="00BF75C9"/>
    <w:rsid w:val="00C015A5"/>
    <w:rsid w:val="00C02B5E"/>
    <w:rsid w:val="00C03410"/>
    <w:rsid w:val="00C0383A"/>
    <w:rsid w:val="00C0644B"/>
    <w:rsid w:val="00C06B49"/>
    <w:rsid w:val="00C07330"/>
    <w:rsid w:val="00C107FD"/>
    <w:rsid w:val="00C10DDB"/>
    <w:rsid w:val="00C1146E"/>
    <w:rsid w:val="00C1167A"/>
    <w:rsid w:val="00C122D1"/>
    <w:rsid w:val="00C1287B"/>
    <w:rsid w:val="00C14387"/>
    <w:rsid w:val="00C16067"/>
    <w:rsid w:val="00C168B7"/>
    <w:rsid w:val="00C22ABF"/>
    <w:rsid w:val="00C252C1"/>
    <w:rsid w:val="00C2595F"/>
    <w:rsid w:val="00C25F54"/>
    <w:rsid w:val="00C27077"/>
    <w:rsid w:val="00C27121"/>
    <w:rsid w:val="00C279B1"/>
    <w:rsid w:val="00C30DD5"/>
    <w:rsid w:val="00C31814"/>
    <w:rsid w:val="00C31CB1"/>
    <w:rsid w:val="00C32962"/>
    <w:rsid w:val="00C32C07"/>
    <w:rsid w:val="00C33545"/>
    <w:rsid w:val="00C33B36"/>
    <w:rsid w:val="00C3438C"/>
    <w:rsid w:val="00C34794"/>
    <w:rsid w:val="00C40523"/>
    <w:rsid w:val="00C408ED"/>
    <w:rsid w:val="00C40B15"/>
    <w:rsid w:val="00C41EBE"/>
    <w:rsid w:val="00C42292"/>
    <w:rsid w:val="00C42366"/>
    <w:rsid w:val="00C43B30"/>
    <w:rsid w:val="00C44143"/>
    <w:rsid w:val="00C45B32"/>
    <w:rsid w:val="00C46CBA"/>
    <w:rsid w:val="00C47985"/>
    <w:rsid w:val="00C47D6C"/>
    <w:rsid w:val="00C502D9"/>
    <w:rsid w:val="00C529BC"/>
    <w:rsid w:val="00C52BEC"/>
    <w:rsid w:val="00C56029"/>
    <w:rsid w:val="00C56715"/>
    <w:rsid w:val="00C5680D"/>
    <w:rsid w:val="00C56A2D"/>
    <w:rsid w:val="00C56AF7"/>
    <w:rsid w:val="00C60892"/>
    <w:rsid w:val="00C60E58"/>
    <w:rsid w:val="00C617A8"/>
    <w:rsid w:val="00C625F7"/>
    <w:rsid w:val="00C63073"/>
    <w:rsid w:val="00C67FEC"/>
    <w:rsid w:val="00C70654"/>
    <w:rsid w:val="00C714B8"/>
    <w:rsid w:val="00C75B2E"/>
    <w:rsid w:val="00C760F3"/>
    <w:rsid w:val="00C768AA"/>
    <w:rsid w:val="00C801F1"/>
    <w:rsid w:val="00C8407A"/>
    <w:rsid w:val="00C844D8"/>
    <w:rsid w:val="00C84933"/>
    <w:rsid w:val="00C84EEE"/>
    <w:rsid w:val="00C857D1"/>
    <w:rsid w:val="00C867B8"/>
    <w:rsid w:val="00C87EB4"/>
    <w:rsid w:val="00C906FC"/>
    <w:rsid w:val="00C915E6"/>
    <w:rsid w:val="00C91DC4"/>
    <w:rsid w:val="00C92E8B"/>
    <w:rsid w:val="00C93E6C"/>
    <w:rsid w:val="00C93F33"/>
    <w:rsid w:val="00C94148"/>
    <w:rsid w:val="00C956FB"/>
    <w:rsid w:val="00C96AA2"/>
    <w:rsid w:val="00CA071C"/>
    <w:rsid w:val="00CA073B"/>
    <w:rsid w:val="00CA0B25"/>
    <w:rsid w:val="00CA1AAD"/>
    <w:rsid w:val="00CA1C11"/>
    <w:rsid w:val="00CA3913"/>
    <w:rsid w:val="00CA417E"/>
    <w:rsid w:val="00CA6799"/>
    <w:rsid w:val="00CA6F8D"/>
    <w:rsid w:val="00CA7B14"/>
    <w:rsid w:val="00CB0B2E"/>
    <w:rsid w:val="00CB0DF1"/>
    <w:rsid w:val="00CB19FA"/>
    <w:rsid w:val="00CB3655"/>
    <w:rsid w:val="00CB39A8"/>
    <w:rsid w:val="00CB420C"/>
    <w:rsid w:val="00CB43A1"/>
    <w:rsid w:val="00CB4C97"/>
    <w:rsid w:val="00CB5BF8"/>
    <w:rsid w:val="00CB6C79"/>
    <w:rsid w:val="00CC0EDA"/>
    <w:rsid w:val="00CC23C9"/>
    <w:rsid w:val="00CC23FC"/>
    <w:rsid w:val="00CC2B1F"/>
    <w:rsid w:val="00CC449C"/>
    <w:rsid w:val="00CC4897"/>
    <w:rsid w:val="00CC4C66"/>
    <w:rsid w:val="00CC4EA9"/>
    <w:rsid w:val="00CC5022"/>
    <w:rsid w:val="00CC5F8F"/>
    <w:rsid w:val="00CC5FC1"/>
    <w:rsid w:val="00CC78CD"/>
    <w:rsid w:val="00CC7C38"/>
    <w:rsid w:val="00CD0218"/>
    <w:rsid w:val="00CD04F7"/>
    <w:rsid w:val="00CD2A23"/>
    <w:rsid w:val="00CD3CC8"/>
    <w:rsid w:val="00CD5AB1"/>
    <w:rsid w:val="00CD600B"/>
    <w:rsid w:val="00CD7BDA"/>
    <w:rsid w:val="00CD7E96"/>
    <w:rsid w:val="00CE2352"/>
    <w:rsid w:val="00CE2D70"/>
    <w:rsid w:val="00CE33C4"/>
    <w:rsid w:val="00CE34FA"/>
    <w:rsid w:val="00CE4DE7"/>
    <w:rsid w:val="00CE5007"/>
    <w:rsid w:val="00CE5D4B"/>
    <w:rsid w:val="00CE6519"/>
    <w:rsid w:val="00CE732C"/>
    <w:rsid w:val="00CE771B"/>
    <w:rsid w:val="00CE7D07"/>
    <w:rsid w:val="00CE7EF3"/>
    <w:rsid w:val="00CF1A17"/>
    <w:rsid w:val="00CF1B75"/>
    <w:rsid w:val="00CF2837"/>
    <w:rsid w:val="00CF2A79"/>
    <w:rsid w:val="00CF2AF1"/>
    <w:rsid w:val="00CF38A6"/>
    <w:rsid w:val="00CF42C0"/>
    <w:rsid w:val="00CF4AFB"/>
    <w:rsid w:val="00CF7BC7"/>
    <w:rsid w:val="00D00344"/>
    <w:rsid w:val="00D0079F"/>
    <w:rsid w:val="00D011CE"/>
    <w:rsid w:val="00D02BA2"/>
    <w:rsid w:val="00D02CFB"/>
    <w:rsid w:val="00D02EB4"/>
    <w:rsid w:val="00D03805"/>
    <w:rsid w:val="00D05BD4"/>
    <w:rsid w:val="00D0629D"/>
    <w:rsid w:val="00D0706F"/>
    <w:rsid w:val="00D10DBB"/>
    <w:rsid w:val="00D12E05"/>
    <w:rsid w:val="00D12FC2"/>
    <w:rsid w:val="00D13120"/>
    <w:rsid w:val="00D133A5"/>
    <w:rsid w:val="00D13B99"/>
    <w:rsid w:val="00D14DA5"/>
    <w:rsid w:val="00D15BB6"/>
    <w:rsid w:val="00D20DB1"/>
    <w:rsid w:val="00D214F1"/>
    <w:rsid w:val="00D21CC5"/>
    <w:rsid w:val="00D22010"/>
    <w:rsid w:val="00D23010"/>
    <w:rsid w:val="00D2306B"/>
    <w:rsid w:val="00D24303"/>
    <w:rsid w:val="00D249C8"/>
    <w:rsid w:val="00D25E3D"/>
    <w:rsid w:val="00D3090A"/>
    <w:rsid w:val="00D31441"/>
    <w:rsid w:val="00D33720"/>
    <w:rsid w:val="00D33C84"/>
    <w:rsid w:val="00D3542F"/>
    <w:rsid w:val="00D35CEF"/>
    <w:rsid w:val="00D36184"/>
    <w:rsid w:val="00D36E49"/>
    <w:rsid w:val="00D36E50"/>
    <w:rsid w:val="00D36FCA"/>
    <w:rsid w:val="00D4099A"/>
    <w:rsid w:val="00D45E2F"/>
    <w:rsid w:val="00D46033"/>
    <w:rsid w:val="00D477A6"/>
    <w:rsid w:val="00D51D04"/>
    <w:rsid w:val="00D51E1E"/>
    <w:rsid w:val="00D52A98"/>
    <w:rsid w:val="00D53245"/>
    <w:rsid w:val="00D55418"/>
    <w:rsid w:val="00D57913"/>
    <w:rsid w:val="00D57E83"/>
    <w:rsid w:val="00D60245"/>
    <w:rsid w:val="00D61086"/>
    <w:rsid w:val="00D6258E"/>
    <w:rsid w:val="00D62A25"/>
    <w:rsid w:val="00D62DB7"/>
    <w:rsid w:val="00D64607"/>
    <w:rsid w:val="00D73ACA"/>
    <w:rsid w:val="00D754B0"/>
    <w:rsid w:val="00D759E2"/>
    <w:rsid w:val="00D76EA1"/>
    <w:rsid w:val="00D7704A"/>
    <w:rsid w:val="00D80263"/>
    <w:rsid w:val="00D809B2"/>
    <w:rsid w:val="00D811A0"/>
    <w:rsid w:val="00D82D7D"/>
    <w:rsid w:val="00D83018"/>
    <w:rsid w:val="00D834FE"/>
    <w:rsid w:val="00D84A50"/>
    <w:rsid w:val="00D84EAD"/>
    <w:rsid w:val="00D84EE6"/>
    <w:rsid w:val="00D866F5"/>
    <w:rsid w:val="00D9185B"/>
    <w:rsid w:val="00DA08B9"/>
    <w:rsid w:val="00DA2AD3"/>
    <w:rsid w:val="00DA2CAD"/>
    <w:rsid w:val="00DA41C8"/>
    <w:rsid w:val="00DA4614"/>
    <w:rsid w:val="00DA5F6E"/>
    <w:rsid w:val="00DA6993"/>
    <w:rsid w:val="00DA7533"/>
    <w:rsid w:val="00DA7F4A"/>
    <w:rsid w:val="00DB1239"/>
    <w:rsid w:val="00DB636A"/>
    <w:rsid w:val="00DB67A3"/>
    <w:rsid w:val="00DB6FCA"/>
    <w:rsid w:val="00DC081C"/>
    <w:rsid w:val="00DC1290"/>
    <w:rsid w:val="00DC1CBD"/>
    <w:rsid w:val="00DC61BF"/>
    <w:rsid w:val="00DC76ED"/>
    <w:rsid w:val="00DC7F2A"/>
    <w:rsid w:val="00DD04D4"/>
    <w:rsid w:val="00DD07EC"/>
    <w:rsid w:val="00DD0F0C"/>
    <w:rsid w:val="00DD15B3"/>
    <w:rsid w:val="00DD1680"/>
    <w:rsid w:val="00DD6543"/>
    <w:rsid w:val="00DD692C"/>
    <w:rsid w:val="00DD7720"/>
    <w:rsid w:val="00DD7C9B"/>
    <w:rsid w:val="00DE2183"/>
    <w:rsid w:val="00DE324E"/>
    <w:rsid w:val="00DE46B2"/>
    <w:rsid w:val="00DE5F78"/>
    <w:rsid w:val="00DE6352"/>
    <w:rsid w:val="00DE7467"/>
    <w:rsid w:val="00DF09B4"/>
    <w:rsid w:val="00DF1820"/>
    <w:rsid w:val="00DF1902"/>
    <w:rsid w:val="00DF37ED"/>
    <w:rsid w:val="00DF3CD4"/>
    <w:rsid w:val="00DF43A4"/>
    <w:rsid w:val="00DF4429"/>
    <w:rsid w:val="00DF45CF"/>
    <w:rsid w:val="00DF53F4"/>
    <w:rsid w:val="00E006B9"/>
    <w:rsid w:val="00E0168B"/>
    <w:rsid w:val="00E03871"/>
    <w:rsid w:val="00E06BA3"/>
    <w:rsid w:val="00E06F42"/>
    <w:rsid w:val="00E079BA"/>
    <w:rsid w:val="00E07ADA"/>
    <w:rsid w:val="00E13084"/>
    <w:rsid w:val="00E13583"/>
    <w:rsid w:val="00E14044"/>
    <w:rsid w:val="00E1478F"/>
    <w:rsid w:val="00E153D0"/>
    <w:rsid w:val="00E1547C"/>
    <w:rsid w:val="00E16324"/>
    <w:rsid w:val="00E16894"/>
    <w:rsid w:val="00E17600"/>
    <w:rsid w:val="00E17983"/>
    <w:rsid w:val="00E17DC4"/>
    <w:rsid w:val="00E20E5C"/>
    <w:rsid w:val="00E2134E"/>
    <w:rsid w:val="00E21AF2"/>
    <w:rsid w:val="00E21EA8"/>
    <w:rsid w:val="00E24306"/>
    <w:rsid w:val="00E2674E"/>
    <w:rsid w:val="00E272BD"/>
    <w:rsid w:val="00E30066"/>
    <w:rsid w:val="00E3018B"/>
    <w:rsid w:val="00E31CE6"/>
    <w:rsid w:val="00E33086"/>
    <w:rsid w:val="00E33656"/>
    <w:rsid w:val="00E33D4E"/>
    <w:rsid w:val="00E346F5"/>
    <w:rsid w:val="00E35C48"/>
    <w:rsid w:val="00E3672C"/>
    <w:rsid w:val="00E3706A"/>
    <w:rsid w:val="00E3708B"/>
    <w:rsid w:val="00E40E76"/>
    <w:rsid w:val="00E4123D"/>
    <w:rsid w:val="00E417D4"/>
    <w:rsid w:val="00E41FC7"/>
    <w:rsid w:val="00E4247D"/>
    <w:rsid w:val="00E42E2D"/>
    <w:rsid w:val="00E43463"/>
    <w:rsid w:val="00E434A4"/>
    <w:rsid w:val="00E43B8F"/>
    <w:rsid w:val="00E47295"/>
    <w:rsid w:val="00E47582"/>
    <w:rsid w:val="00E47972"/>
    <w:rsid w:val="00E47E8E"/>
    <w:rsid w:val="00E509F7"/>
    <w:rsid w:val="00E50A2C"/>
    <w:rsid w:val="00E519D9"/>
    <w:rsid w:val="00E51D50"/>
    <w:rsid w:val="00E528E7"/>
    <w:rsid w:val="00E52A1D"/>
    <w:rsid w:val="00E52F5A"/>
    <w:rsid w:val="00E57516"/>
    <w:rsid w:val="00E57927"/>
    <w:rsid w:val="00E608C8"/>
    <w:rsid w:val="00E60F94"/>
    <w:rsid w:val="00E620F2"/>
    <w:rsid w:val="00E6599D"/>
    <w:rsid w:val="00E65D51"/>
    <w:rsid w:val="00E65F75"/>
    <w:rsid w:val="00E6792A"/>
    <w:rsid w:val="00E67D77"/>
    <w:rsid w:val="00E71C90"/>
    <w:rsid w:val="00E71E55"/>
    <w:rsid w:val="00E7457F"/>
    <w:rsid w:val="00E74F59"/>
    <w:rsid w:val="00E75709"/>
    <w:rsid w:val="00E76399"/>
    <w:rsid w:val="00E8022D"/>
    <w:rsid w:val="00E8079F"/>
    <w:rsid w:val="00E82A98"/>
    <w:rsid w:val="00E837E5"/>
    <w:rsid w:val="00E83AEF"/>
    <w:rsid w:val="00E83FAE"/>
    <w:rsid w:val="00E8484F"/>
    <w:rsid w:val="00E85D1E"/>
    <w:rsid w:val="00E926B4"/>
    <w:rsid w:val="00E92758"/>
    <w:rsid w:val="00E92CC4"/>
    <w:rsid w:val="00E931A0"/>
    <w:rsid w:val="00EA0490"/>
    <w:rsid w:val="00EA0BE6"/>
    <w:rsid w:val="00EA1123"/>
    <w:rsid w:val="00EA5A9C"/>
    <w:rsid w:val="00EA7F47"/>
    <w:rsid w:val="00EB036D"/>
    <w:rsid w:val="00EB03AE"/>
    <w:rsid w:val="00EB1A02"/>
    <w:rsid w:val="00EB2F90"/>
    <w:rsid w:val="00EB339E"/>
    <w:rsid w:val="00EB470D"/>
    <w:rsid w:val="00EB4A4C"/>
    <w:rsid w:val="00EB5BDA"/>
    <w:rsid w:val="00EB648D"/>
    <w:rsid w:val="00EB66D1"/>
    <w:rsid w:val="00EB673F"/>
    <w:rsid w:val="00EB699A"/>
    <w:rsid w:val="00EB6C1F"/>
    <w:rsid w:val="00EB749D"/>
    <w:rsid w:val="00EC0EEB"/>
    <w:rsid w:val="00EC2538"/>
    <w:rsid w:val="00EC39DE"/>
    <w:rsid w:val="00EC5B72"/>
    <w:rsid w:val="00EC6379"/>
    <w:rsid w:val="00ED0459"/>
    <w:rsid w:val="00ED06A1"/>
    <w:rsid w:val="00ED2E8F"/>
    <w:rsid w:val="00ED3351"/>
    <w:rsid w:val="00ED37C3"/>
    <w:rsid w:val="00ED4444"/>
    <w:rsid w:val="00ED6F3E"/>
    <w:rsid w:val="00ED701B"/>
    <w:rsid w:val="00ED7178"/>
    <w:rsid w:val="00ED7420"/>
    <w:rsid w:val="00EE019B"/>
    <w:rsid w:val="00EE020D"/>
    <w:rsid w:val="00EE0363"/>
    <w:rsid w:val="00EE0B3E"/>
    <w:rsid w:val="00EE2228"/>
    <w:rsid w:val="00EE250E"/>
    <w:rsid w:val="00EE2978"/>
    <w:rsid w:val="00EE30B4"/>
    <w:rsid w:val="00EE3B82"/>
    <w:rsid w:val="00EE55AC"/>
    <w:rsid w:val="00EE5A99"/>
    <w:rsid w:val="00EF01A4"/>
    <w:rsid w:val="00EF02B2"/>
    <w:rsid w:val="00EF32FE"/>
    <w:rsid w:val="00EF4F6B"/>
    <w:rsid w:val="00EF5D0D"/>
    <w:rsid w:val="00EF5D2A"/>
    <w:rsid w:val="00F0090E"/>
    <w:rsid w:val="00F01C5C"/>
    <w:rsid w:val="00F024D5"/>
    <w:rsid w:val="00F032F8"/>
    <w:rsid w:val="00F0590A"/>
    <w:rsid w:val="00F06F10"/>
    <w:rsid w:val="00F07330"/>
    <w:rsid w:val="00F07591"/>
    <w:rsid w:val="00F13500"/>
    <w:rsid w:val="00F13A80"/>
    <w:rsid w:val="00F146C8"/>
    <w:rsid w:val="00F14993"/>
    <w:rsid w:val="00F17149"/>
    <w:rsid w:val="00F17A36"/>
    <w:rsid w:val="00F17C9F"/>
    <w:rsid w:val="00F2054F"/>
    <w:rsid w:val="00F24A61"/>
    <w:rsid w:val="00F25024"/>
    <w:rsid w:val="00F251ED"/>
    <w:rsid w:val="00F25366"/>
    <w:rsid w:val="00F26C70"/>
    <w:rsid w:val="00F274CF"/>
    <w:rsid w:val="00F27F66"/>
    <w:rsid w:val="00F311B9"/>
    <w:rsid w:val="00F315CE"/>
    <w:rsid w:val="00F315E5"/>
    <w:rsid w:val="00F31D05"/>
    <w:rsid w:val="00F32D23"/>
    <w:rsid w:val="00F341A9"/>
    <w:rsid w:val="00F34326"/>
    <w:rsid w:val="00F34383"/>
    <w:rsid w:val="00F34697"/>
    <w:rsid w:val="00F34BF2"/>
    <w:rsid w:val="00F36CF8"/>
    <w:rsid w:val="00F37291"/>
    <w:rsid w:val="00F37915"/>
    <w:rsid w:val="00F37DB0"/>
    <w:rsid w:val="00F40B7C"/>
    <w:rsid w:val="00F412A1"/>
    <w:rsid w:val="00F4134D"/>
    <w:rsid w:val="00F4143C"/>
    <w:rsid w:val="00F41EE4"/>
    <w:rsid w:val="00F41F68"/>
    <w:rsid w:val="00F4497E"/>
    <w:rsid w:val="00F44C13"/>
    <w:rsid w:val="00F460FF"/>
    <w:rsid w:val="00F47710"/>
    <w:rsid w:val="00F503CD"/>
    <w:rsid w:val="00F514E1"/>
    <w:rsid w:val="00F51A46"/>
    <w:rsid w:val="00F52569"/>
    <w:rsid w:val="00F528E0"/>
    <w:rsid w:val="00F533B4"/>
    <w:rsid w:val="00F5410A"/>
    <w:rsid w:val="00F55B4A"/>
    <w:rsid w:val="00F57B13"/>
    <w:rsid w:val="00F57C86"/>
    <w:rsid w:val="00F61707"/>
    <w:rsid w:val="00F623DE"/>
    <w:rsid w:val="00F64118"/>
    <w:rsid w:val="00F6625E"/>
    <w:rsid w:val="00F665EB"/>
    <w:rsid w:val="00F66DF0"/>
    <w:rsid w:val="00F679C2"/>
    <w:rsid w:val="00F702D4"/>
    <w:rsid w:val="00F7045A"/>
    <w:rsid w:val="00F72C24"/>
    <w:rsid w:val="00F7308D"/>
    <w:rsid w:val="00F74A85"/>
    <w:rsid w:val="00F74D21"/>
    <w:rsid w:val="00F76287"/>
    <w:rsid w:val="00F838E5"/>
    <w:rsid w:val="00F83CEC"/>
    <w:rsid w:val="00F846F2"/>
    <w:rsid w:val="00F85306"/>
    <w:rsid w:val="00F8699D"/>
    <w:rsid w:val="00F86AB9"/>
    <w:rsid w:val="00F86BDE"/>
    <w:rsid w:val="00F87392"/>
    <w:rsid w:val="00F90131"/>
    <w:rsid w:val="00F90520"/>
    <w:rsid w:val="00F9154C"/>
    <w:rsid w:val="00F91924"/>
    <w:rsid w:val="00F92BA3"/>
    <w:rsid w:val="00F93C4F"/>
    <w:rsid w:val="00F93D72"/>
    <w:rsid w:val="00F960A8"/>
    <w:rsid w:val="00F97189"/>
    <w:rsid w:val="00F971E8"/>
    <w:rsid w:val="00F97AF7"/>
    <w:rsid w:val="00FA0B25"/>
    <w:rsid w:val="00FA473E"/>
    <w:rsid w:val="00FA4F3B"/>
    <w:rsid w:val="00FA71EF"/>
    <w:rsid w:val="00FA7954"/>
    <w:rsid w:val="00FA7B36"/>
    <w:rsid w:val="00FA7EAE"/>
    <w:rsid w:val="00FB14F3"/>
    <w:rsid w:val="00FB1B42"/>
    <w:rsid w:val="00FB2C1A"/>
    <w:rsid w:val="00FB3283"/>
    <w:rsid w:val="00FB3EE6"/>
    <w:rsid w:val="00FB6B14"/>
    <w:rsid w:val="00FB7858"/>
    <w:rsid w:val="00FC623F"/>
    <w:rsid w:val="00FC63FD"/>
    <w:rsid w:val="00FC69C7"/>
    <w:rsid w:val="00FD1EE2"/>
    <w:rsid w:val="00FD1FBB"/>
    <w:rsid w:val="00FD2707"/>
    <w:rsid w:val="00FD3407"/>
    <w:rsid w:val="00FD45EB"/>
    <w:rsid w:val="00FD50FA"/>
    <w:rsid w:val="00FD71D4"/>
    <w:rsid w:val="00FE03E6"/>
    <w:rsid w:val="00FE0881"/>
    <w:rsid w:val="00FE1283"/>
    <w:rsid w:val="00FE305E"/>
    <w:rsid w:val="00FE3108"/>
    <w:rsid w:val="00FE3395"/>
    <w:rsid w:val="00FE3F37"/>
    <w:rsid w:val="00FE3F3E"/>
    <w:rsid w:val="00FE4A7B"/>
    <w:rsid w:val="00FE6F45"/>
    <w:rsid w:val="00FF1CC1"/>
    <w:rsid w:val="00FF271A"/>
    <w:rsid w:val="00FF2FA5"/>
    <w:rsid w:val="00FF3AF6"/>
    <w:rsid w:val="00FF483C"/>
    <w:rsid w:val="00FF552B"/>
    <w:rsid w:val="00FF5F51"/>
    <w:rsid w:val="00FF6367"/>
    <w:rsid w:val="00FF6DC3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58563A"/>
  <w15:chartTrackingRefBased/>
  <w15:docId w15:val="{6948C066-98E0-4C70-B89D-B2695F613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2D44"/>
    <w:rPr>
      <w:sz w:val="24"/>
      <w:szCs w:val="24"/>
    </w:rPr>
  </w:style>
  <w:style w:type="paragraph" w:styleId="Ttulo1">
    <w:name w:val="heading 1"/>
    <w:basedOn w:val="Normal"/>
    <w:next w:val="Textoindependiente"/>
    <w:qFormat/>
    <w:rsid w:val="00C93F33"/>
    <w:pPr>
      <w:keepNext/>
      <w:keepLines/>
      <w:numPr>
        <w:numId w:val="1"/>
      </w:numPr>
      <w:shd w:val="pct10" w:color="auto" w:fill="auto"/>
      <w:tabs>
        <w:tab w:val="left" w:pos="360"/>
      </w:tabs>
      <w:spacing w:before="220" w:after="220" w:line="280" w:lineRule="auto"/>
      <w:outlineLvl w:val="0"/>
    </w:pPr>
    <w:rPr>
      <w:b/>
      <w:kern w:val="28"/>
      <w:position w:val="6"/>
      <w:lang w:val="es-ES_tradnl"/>
    </w:rPr>
  </w:style>
  <w:style w:type="paragraph" w:styleId="Ttulo2">
    <w:name w:val="heading 2"/>
    <w:basedOn w:val="Normal"/>
    <w:next w:val="Textoindependiente"/>
    <w:qFormat/>
    <w:rsid w:val="00C93F33"/>
    <w:pPr>
      <w:keepNext/>
      <w:keepLines/>
      <w:numPr>
        <w:ilvl w:val="1"/>
        <w:numId w:val="1"/>
      </w:numPr>
      <w:tabs>
        <w:tab w:val="left" w:pos="1080"/>
      </w:tabs>
      <w:spacing w:before="140" w:line="220" w:lineRule="auto"/>
      <w:outlineLvl w:val="1"/>
    </w:pPr>
    <w:rPr>
      <w:b/>
      <w:spacing w:val="-4"/>
      <w:kern w:val="28"/>
    </w:rPr>
  </w:style>
  <w:style w:type="paragraph" w:styleId="Ttulo3">
    <w:name w:val="heading 3"/>
    <w:basedOn w:val="Normal"/>
    <w:next w:val="Textoindependiente"/>
    <w:qFormat/>
    <w:rsid w:val="00C93F33"/>
    <w:pPr>
      <w:keepNext/>
      <w:keepLines/>
      <w:numPr>
        <w:ilvl w:val="2"/>
        <w:numId w:val="1"/>
      </w:numPr>
      <w:tabs>
        <w:tab w:val="left" w:pos="1800"/>
      </w:tabs>
      <w:spacing w:before="140" w:line="220" w:lineRule="auto"/>
      <w:outlineLvl w:val="2"/>
    </w:pPr>
    <w:rPr>
      <w:spacing w:val="-4"/>
      <w:kern w:val="28"/>
    </w:rPr>
  </w:style>
  <w:style w:type="paragraph" w:styleId="Ttulo4">
    <w:name w:val="heading 4"/>
    <w:basedOn w:val="Normal"/>
    <w:next w:val="Textoindependiente"/>
    <w:qFormat/>
    <w:rsid w:val="00C93F33"/>
    <w:pPr>
      <w:numPr>
        <w:ilvl w:val="3"/>
        <w:numId w:val="1"/>
      </w:numPr>
      <w:tabs>
        <w:tab w:val="left" w:pos="2520"/>
      </w:tabs>
      <w:outlineLvl w:val="3"/>
    </w:pPr>
    <w:rPr>
      <w:b/>
      <w:sz w:val="18"/>
    </w:rPr>
  </w:style>
  <w:style w:type="paragraph" w:styleId="Ttulo5">
    <w:name w:val="heading 5"/>
    <w:basedOn w:val="Normal"/>
    <w:next w:val="Textoindependiente"/>
    <w:qFormat/>
    <w:rsid w:val="00C93F33"/>
    <w:pPr>
      <w:numPr>
        <w:ilvl w:val="4"/>
        <w:numId w:val="1"/>
      </w:numPr>
      <w:tabs>
        <w:tab w:val="left" w:pos="3240"/>
      </w:tabs>
      <w:spacing w:before="220" w:after="220"/>
      <w:outlineLvl w:val="4"/>
    </w:pPr>
    <w:rPr>
      <w:i/>
    </w:rPr>
  </w:style>
  <w:style w:type="paragraph" w:styleId="Ttulo6">
    <w:name w:val="heading 6"/>
    <w:basedOn w:val="Normal"/>
    <w:next w:val="Textoindependiente"/>
    <w:qFormat/>
    <w:rsid w:val="00C93F33"/>
    <w:pPr>
      <w:numPr>
        <w:ilvl w:val="5"/>
        <w:numId w:val="1"/>
      </w:numPr>
      <w:tabs>
        <w:tab w:val="left" w:pos="3960"/>
      </w:tabs>
      <w:outlineLvl w:val="5"/>
    </w:pPr>
    <w:rPr>
      <w:i/>
    </w:rPr>
  </w:style>
  <w:style w:type="paragraph" w:styleId="Ttulo7">
    <w:name w:val="heading 7"/>
    <w:basedOn w:val="Normal"/>
    <w:next w:val="Textoindependiente"/>
    <w:qFormat/>
    <w:rsid w:val="00C93F33"/>
    <w:pPr>
      <w:numPr>
        <w:ilvl w:val="6"/>
        <w:numId w:val="1"/>
      </w:numPr>
      <w:tabs>
        <w:tab w:val="left" w:pos="4680"/>
      </w:tabs>
      <w:outlineLvl w:val="6"/>
    </w:pPr>
  </w:style>
  <w:style w:type="paragraph" w:styleId="Ttulo8">
    <w:name w:val="heading 8"/>
    <w:basedOn w:val="Normal"/>
    <w:next w:val="Textoindependiente"/>
    <w:qFormat/>
    <w:rsid w:val="00C93F33"/>
    <w:pPr>
      <w:numPr>
        <w:ilvl w:val="7"/>
        <w:numId w:val="1"/>
      </w:numPr>
      <w:tabs>
        <w:tab w:val="left" w:pos="5400"/>
      </w:tabs>
      <w:outlineLvl w:val="7"/>
    </w:pPr>
    <w:rPr>
      <w:i/>
      <w:sz w:val="18"/>
    </w:rPr>
  </w:style>
  <w:style w:type="paragraph" w:styleId="Ttulo9">
    <w:name w:val="heading 9"/>
    <w:basedOn w:val="Normal"/>
    <w:next w:val="Textoindependiente"/>
    <w:qFormat/>
    <w:rsid w:val="00C93F33"/>
    <w:pPr>
      <w:numPr>
        <w:ilvl w:val="8"/>
        <w:numId w:val="1"/>
      </w:numPr>
      <w:tabs>
        <w:tab w:val="left" w:pos="6120"/>
      </w:tabs>
      <w:outlineLvl w:val="8"/>
    </w:pPr>
    <w:rPr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93F33"/>
    <w:pPr>
      <w:tabs>
        <w:tab w:val="center" w:pos="4252"/>
        <w:tab w:val="right" w:pos="8504"/>
      </w:tabs>
    </w:pPr>
    <w:rPr>
      <w:lang w:val="x-none" w:eastAsia="x-none"/>
    </w:rPr>
  </w:style>
  <w:style w:type="paragraph" w:styleId="Piedepgina">
    <w:name w:val="footer"/>
    <w:basedOn w:val="Normal"/>
    <w:link w:val="PiedepginaCar"/>
    <w:rsid w:val="00C93F33"/>
    <w:pPr>
      <w:tabs>
        <w:tab w:val="center" w:pos="4252"/>
        <w:tab w:val="right" w:pos="8504"/>
      </w:tabs>
    </w:pPr>
    <w:rPr>
      <w:rFonts w:ascii="Arial" w:hAnsi="Arial"/>
      <w:snapToGrid w:val="0"/>
      <w:sz w:val="22"/>
      <w:szCs w:val="20"/>
    </w:rPr>
  </w:style>
  <w:style w:type="character" w:styleId="Hipervnculo">
    <w:name w:val="Hyperlink"/>
    <w:rsid w:val="00C93F33"/>
    <w:rPr>
      <w:color w:val="0000FF"/>
      <w:u w:val="single"/>
    </w:rPr>
  </w:style>
  <w:style w:type="table" w:styleId="Tablaconcuadrcula">
    <w:name w:val="Table Grid"/>
    <w:basedOn w:val="Tablanormal"/>
    <w:rsid w:val="00C93F33"/>
    <w:pPr>
      <w:widowControl w:val="0"/>
      <w:spacing w:before="120" w:after="120"/>
      <w:ind w:left="107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decaptulo">
    <w:name w:val="Título de capítulo"/>
    <w:basedOn w:val="Normal"/>
    <w:next w:val="Normal"/>
    <w:rsid w:val="00C93F33"/>
    <w:pPr>
      <w:ind w:right="2160"/>
    </w:pPr>
    <w:rPr>
      <w:sz w:val="44"/>
    </w:rPr>
  </w:style>
  <w:style w:type="paragraph" w:styleId="Textoindependiente">
    <w:name w:val="Body Text"/>
    <w:basedOn w:val="Normal"/>
    <w:rsid w:val="00C93F33"/>
  </w:style>
  <w:style w:type="character" w:customStyle="1" w:styleId="PiedepginaCar">
    <w:name w:val="Pie de página Car"/>
    <w:link w:val="Piedepgina"/>
    <w:rsid w:val="00C93F33"/>
    <w:rPr>
      <w:rFonts w:ascii="Arial" w:hAnsi="Arial"/>
      <w:snapToGrid w:val="0"/>
      <w:sz w:val="22"/>
      <w:lang w:val="es-ES" w:eastAsia="es-ES" w:bidi="ar-SA"/>
    </w:rPr>
  </w:style>
  <w:style w:type="paragraph" w:customStyle="1" w:styleId="Normal1">
    <w:name w:val="Normal1"/>
    <w:basedOn w:val="Normal"/>
    <w:link w:val="Normal1Car"/>
    <w:qFormat/>
    <w:rsid w:val="00907F35"/>
    <w:pPr>
      <w:widowControl w:val="0"/>
      <w:spacing w:before="120" w:after="120"/>
      <w:jc w:val="both"/>
    </w:pPr>
    <w:rPr>
      <w:rFonts w:ascii="Verdana" w:hAnsi="Verdana"/>
      <w:snapToGrid w:val="0"/>
      <w:sz w:val="20"/>
      <w:szCs w:val="20"/>
      <w:lang w:val="x-none" w:eastAsia="x-none"/>
    </w:rPr>
  </w:style>
  <w:style w:type="character" w:customStyle="1" w:styleId="Normal1Car">
    <w:name w:val="Normal1 Car"/>
    <w:link w:val="Normal1"/>
    <w:rsid w:val="00907F35"/>
    <w:rPr>
      <w:rFonts w:ascii="Verdana" w:hAnsi="Verdana"/>
      <w:snapToGrid w:val="0"/>
    </w:rPr>
  </w:style>
  <w:style w:type="paragraph" w:customStyle="1" w:styleId="Subtituloraya">
    <w:name w:val="Subtitulo raya"/>
    <w:basedOn w:val="Ttulo"/>
    <w:link w:val="SubtitulorayaCar"/>
    <w:qFormat/>
    <w:rsid w:val="00907F35"/>
    <w:pPr>
      <w:numPr>
        <w:numId w:val="2"/>
      </w:numPr>
      <w:pBdr>
        <w:bottom w:val="single" w:sz="4" w:space="1" w:color="auto"/>
      </w:pBdr>
      <w:spacing w:before="0" w:after="0"/>
      <w:contextualSpacing/>
      <w:jc w:val="both"/>
      <w:outlineLvl w:val="9"/>
    </w:pPr>
    <w:rPr>
      <w:rFonts w:ascii="Verdana" w:hAnsi="Verdana"/>
      <w:b w:val="0"/>
      <w:bCs w:val="0"/>
      <w:spacing w:val="5"/>
      <w:kern w:val="0"/>
      <w:sz w:val="24"/>
      <w:szCs w:val="52"/>
    </w:rPr>
  </w:style>
  <w:style w:type="character" w:customStyle="1" w:styleId="SubtitulorayaCar">
    <w:name w:val="Subtitulo raya Car"/>
    <w:link w:val="Subtituloraya"/>
    <w:rsid w:val="00907F35"/>
    <w:rPr>
      <w:rFonts w:ascii="Verdana" w:hAnsi="Verdana"/>
      <w:spacing w:val="5"/>
      <w:sz w:val="24"/>
      <w:szCs w:val="52"/>
      <w:lang w:val="x-none" w:eastAsia="x-none"/>
    </w:rPr>
  </w:style>
  <w:style w:type="paragraph" w:styleId="Ttulo">
    <w:name w:val="Title"/>
    <w:basedOn w:val="Normal"/>
    <w:next w:val="Normal"/>
    <w:link w:val="TtuloCar"/>
    <w:qFormat/>
    <w:rsid w:val="00907F3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tuloCar">
    <w:name w:val="Título Car"/>
    <w:link w:val="Ttulo"/>
    <w:rsid w:val="00907F3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rrafodelista">
    <w:name w:val="List Paragraph"/>
    <w:basedOn w:val="Normal"/>
    <w:uiPriority w:val="34"/>
    <w:qFormat/>
    <w:rsid w:val="00784DA0"/>
    <w:pPr>
      <w:ind w:left="708"/>
    </w:pPr>
  </w:style>
  <w:style w:type="paragraph" w:styleId="Sangradetextonormal">
    <w:name w:val="Body Text Indent"/>
    <w:basedOn w:val="Normal"/>
    <w:link w:val="SangradetextonormalCar"/>
    <w:uiPriority w:val="99"/>
    <w:unhideWhenUsed/>
    <w:rsid w:val="00A830EC"/>
    <w:pPr>
      <w:spacing w:before="100" w:beforeAutospacing="1" w:after="100" w:afterAutospacing="1"/>
    </w:pPr>
    <w:rPr>
      <w:rFonts w:eastAsia="Calibri"/>
      <w:color w:val="000000"/>
      <w:lang w:val="x-none" w:eastAsia="x-none"/>
    </w:rPr>
  </w:style>
  <w:style w:type="character" w:customStyle="1" w:styleId="SangradetextonormalCar">
    <w:name w:val="Sangría de texto normal Car"/>
    <w:link w:val="Sangradetextonormal"/>
    <w:uiPriority w:val="99"/>
    <w:rsid w:val="00A830EC"/>
    <w:rPr>
      <w:rFonts w:eastAsia="Calibri"/>
      <w:color w:val="000000"/>
      <w:sz w:val="24"/>
      <w:szCs w:val="24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A830EC"/>
    <w:pPr>
      <w:spacing w:before="100" w:beforeAutospacing="1" w:after="100" w:afterAutospacing="1"/>
    </w:pPr>
    <w:rPr>
      <w:rFonts w:eastAsia="Calibri"/>
      <w:color w:val="000000"/>
      <w:lang w:val="x-none" w:eastAsia="x-none"/>
    </w:rPr>
  </w:style>
  <w:style w:type="character" w:customStyle="1" w:styleId="Textoindependiente3Car">
    <w:name w:val="Texto independiente 3 Car"/>
    <w:link w:val="Textoindependiente3"/>
    <w:uiPriority w:val="99"/>
    <w:rsid w:val="00A830EC"/>
    <w:rPr>
      <w:rFonts w:eastAsia="Calibri"/>
      <w:color w:val="000000"/>
      <w:sz w:val="24"/>
      <w:szCs w:val="24"/>
    </w:rPr>
  </w:style>
  <w:style w:type="paragraph" w:customStyle="1" w:styleId="estilo13">
    <w:name w:val="estilo13"/>
    <w:basedOn w:val="Normal"/>
    <w:rsid w:val="00A830EC"/>
    <w:pPr>
      <w:spacing w:before="100" w:beforeAutospacing="1" w:after="100" w:afterAutospacing="1"/>
    </w:pPr>
    <w:rPr>
      <w:rFonts w:eastAsia="Calibri"/>
      <w:color w:val="000000"/>
    </w:rPr>
  </w:style>
  <w:style w:type="paragraph" w:customStyle="1" w:styleId="Standard">
    <w:name w:val="Standard"/>
    <w:rsid w:val="00691C2D"/>
    <w:pPr>
      <w:widowControl w:val="0"/>
      <w:suppressAutoHyphens/>
      <w:autoSpaceDN w:val="0"/>
      <w:textAlignment w:val="baseline"/>
    </w:pPr>
    <w:rPr>
      <w:rFonts w:ascii="Liberation Serif" w:eastAsia="WenQuanYi Micro Hei" w:hAnsi="Liberation Serif" w:cs="Lohit Hindi"/>
      <w:kern w:val="3"/>
      <w:sz w:val="24"/>
      <w:szCs w:val="24"/>
      <w:lang w:eastAsia="zh-CN" w:bidi="hi-IN"/>
    </w:rPr>
  </w:style>
  <w:style w:type="character" w:customStyle="1" w:styleId="EncabezadoCar">
    <w:name w:val="Encabezado Car"/>
    <w:link w:val="Encabezado"/>
    <w:rsid w:val="00FE03E6"/>
    <w:rPr>
      <w:sz w:val="24"/>
      <w:szCs w:val="24"/>
    </w:rPr>
  </w:style>
  <w:style w:type="paragraph" w:customStyle="1" w:styleId="Nivel1">
    <w:name w:val="Nivel1"/>
    <w:qFormat/>
    <w:rsid w:val="00590A15"/>
    <w:pPr>
      <w:numPr>
        <w:numId w:val="3"/>
      </w:numPr>
    </w:pPr>
    <w:rPr>
      <w:rFonts w:ascii="Verdana" w:hAnsi="Verdana"/>
      <w:i/>
      <w:snapToGrid w:val="0"/>
      <w:sz w:val="22"/>
      <w:szCs w:val="22"/>
    </w:rPr>
  </w:style>
  <w:style w:type="character" w:styleId="Mencinsinresolver">
    <w:name w:val="Unresolved Mention"/>
    <w:uiPriority w:val="99"/>
    <w:semiHidden/>
    <w:unhideWhenUsed/>
    <w:rsid w:val="00A956D8"/>
    <w:rPr>
      <w:color w:val="605E5C"/>
      <w:shd w:val="clear" w:color="auto" w:fill="E1DFDD"/>
    </w:rPr>
  </w:style>
  <w:style w:type="character" w:styleId="Hipervnculovisitado">
    <w:name w:val="FollowedHyperlink"/>
    <w:rsid w:val="007E5B03"/>
    <w:rPr>
      <w:color w:val="954F72"/>
      <w:u w:val="single"/>
    </w:rPr>
  </w:style>
  <w:style w:type="paragraph" w:styleId="Continuarlista">
    <w:name w:val="List Continue"/>
    <w:basedOn w:val="Normal"/>
    <w:rsid w:val="00B10366"/>
    <w:pPr>
      <w:spacing w:after="120"/>
      <w:ind w:left="283"/>
      <w:contextualSpacing/>
    </w:pPr>
  </w:style>
  <w:style w:type="paragraph" w:styleId="Subttulo">
    <w:name w:val="Subtitle"/>
    <w:basedOn w:val="Normal"/>
    <w:next w:val="Normal"/>
    <w:link w:val="SubttuloCar"/>
    <w:qFormat/>
    <w:rsid w:val="00B10366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ubttuloCar">
    <w:name w:val="Subtítulo Car"/>
    <w:link w:val="Subttulo"/>
    <w:rsid w:val="00B10366"/>
    <w:rPr>
      <w:rFonts w:ascii="Calibri Light" w:eastAsia="Times New Roman" w:hAnsi="Calibri Light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8E3407"/>
    <w:rPr>
      <w:b/>
      <w:bCs/>
    </w:rPr>
  </w:style>
  <w:style w:type="character" w:styleId="nfasis">
    <w:name w:val="Emphasis"/>
    <w:basedOn w:val="Fuentedeprrafopredeter"/>
    <w:uiPriority w:val="20"/>
    <w:qFormat/>
    <w:rsid w:val="008E3407"/>
    <w:rPr>
      <w:i/>
      <w:iCs/>
    </w:rPr>
  </w:style>
  <w:style w:type="table" w:styleId="Tablaconcuadrcula2-nfasis5">
    <w:name w:val="Grid Table 2 Accent 5"/>
    <w:basedOn w:val="Tablanormal"/>
    <w:uiPriority w:val="47"/>
    <w:rsid w:val="008E3407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laconcuadrcula4-nfasis1">
    <w:name w:val="Grid Table 4 Accent 1"/>
    <w:basedOn w:val="Tablanormal"/>
    <w:uiPriority w:val="49"/>
    <w:rsid w:val="008E3407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xtonotapie">
    <w:name w:val="footnote text"/>
    <w:basedOn w:val="Normal"/>
    <w:link w:val="TextonotapieCar"/>
    <w:rsid w:val="0043277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432777"/>
  </w:style>
  <w:style w:type="character" w:styleId="Refdenotaalpie">
    <w:name w:val="footnote reference"/>
    <w:basedOn w:val="Fuentedeprrafopredeter"/>
    <w:rsid w:val="004327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ompetition-policy.ec.europa.eu/public-consultations/2023-sustainability-agreements-agriculture_e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kantarworldpanel.com/es/grocery-market-share/spain/snapshot/01.01.23/" TargetMode="External"/><Relationship Id="rId2" Type="http://schemas.openxmlformats.org/officeDocument/2006/relationships/hyperlink" Target="https://www.boe.es/doue/2019/111/L00059-00072.pdf" TargetMode="External"/><Relationship Id="rId1" Type="http://schemas.openxmlformats.org/officeDocument/2006/relationships/hyperlink" Target="https://www.mapa.gob.es/es/pac/post-2020/pepac-sfc2021-v12_tcm30-623871.pdf" TargetMode="External"/><Relationship Id="rId4" Type="http://schemas.openxmlformats.org/officeDocument/2006/relationships/hyperlink" Target="https://www.un.org/sustainabledevelopment/es/development-agenda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53af7b8-e78e-4157-8f23-983f83b2ab5f">7RTAK5MKKCJZ-2044882449-683519</_dlc_DocId>
    <_dlc_DocIdUrl xmlns="953af7b8-e78e-4157-8f23-983f83b2ab5f">
      <Url>https://ccae.sharepoint.com/sites/Datos/_layouts/15/DocIdRedir.aspx?ID=7RTAK5MKKCJZ-2044882449-683519</Url>
      <Description>7RTAK5MKKCJZ-2044882449-683519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FB6B18B5BE8D43AE2E26571A6F0F22" ma:contentTypeVersion="13" ma:contentTypeDescription="Crear nuevo documento." ma:contentTypeScope="" ma:versionID="36a0cdbdefe900793733dfda7d97002e">
  <xsd:schema xmlns:xsd="http://www.w3.org/2001/XMLSchema" xmlns:xs="http://www.w3.org/2001/XMLSchema" xmlns:p="http://schemas.microsoft.com/office/2006/metadata/properties" xmlns:ns2="953af7b8-e78e-4157-8f23-983f83b2ab5f" xmlns:ns3="509f998f-63d6-45de-9132-01ed004be691" targetNamespace="http://schemas.microsoft.com/office/2006/metadata/properties" ma:root="true" ma:fieldsID="40f9f9f098427029acddc003078e4d6e" ns2:_="" ns3:_="">
    <xsd:import namespace="953af7b8-e78e-4157-8f23-983f83b2ab5f"/>
    <xsd:import namespace="509f998f-63d6-45de-9132-01ed004be6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3af7b8-e78e-4157-8f23-983f83b2ab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f998f-63d6-45de-9132-01ed004be6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B45F6F-5952-4E6F-839C-ED6FCE058DA6}">
  <ds:schemaRefs>
    <ds:schemaRef ds:uri="http://schemas.microsoft.com/office/2006/metadata/properties"/>
    <ds:schemaRef ds:uri="http://schemas.microsoft.com/office/infopath/2007/PartnerControls"/>
    <ds:schemaRef ds:uri="953af7b8-e78e-4157-8f23-983f83b2ab5f"/>
  </ds:schemaRefs>
</ds:datastoreItem>
</file>

<file path=customXml/itemProps2.xml><?xml version="1.0" encoding="utf-8"?>
<ds:datastoreItem xmlns:ds="http://schemas.openxmlformats.org/officeDocument/2006/customXml" ds:itemID="{B0FD95D1-1067-4EE3-B5CE-EAC5149B4AD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71AEAA2-39AE-47E1-A5F3-4659748161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165472-D0BD-4559-88FC-2488F12CACA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C5EF44B-A6FD-467A-9C83-A7700C0B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3af7b8-e78e-4157-8f23-983f83b2ab5f"/>
    <ds:schemaRef ds:uri="509f998f-63d6-45de-9132-01ed004be6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1828</Words>
  <Characters>10263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Título</vt:lpstr>
    </vt:vector>
  </TitlesOfParts>
  <Company>CCAE</Company>
  <LinksUpToDate>false</LinksUpToDate>
  <CharactersWithSpaces>12067</CharactersWithSpaces>
  <SharedDoc>false</SharedDoc>
  <HLinks>
    <vt:vector size="6" baseType="variant">
      <vt:variant>
        <vt:i4>8060946</vt:i4>
      </vt:variant>
      <vt:variant>
        <vt:i4>3</vt:i4>
      </vt:variant>
      <vt:variant>
        <vt:i4>0</vt:i4>
      </vt:variant>
      <vt:variant>
        <vt:i4>5</vt:i4>
      </vt:variant>
      <vt:variant>
        <vt:lpwstr>mailto:agutierrez@agro-alimentarias.coop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.</dc:creator>
  <cp:keywords/>
  <cp:lastModifiedBy>Alejandro Gutierrez</cp:lastModifiedBy>
  <cp:revision>130</cp:revision>
  <cp:lastPrinted>2021-01-25T15:23:00Z</cp:lastPrinted>
  <dcterms:created xsi:type="dcterms:W3CDTF">2022-07-20T06:53:00Z</dcterms:created>
  <dcterms:modified xsi:type="dcterms:W3CDTF">2023-02-08T10:05:00Z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0x010100CDFB6B18B5BE8D43AE2E26571A6F0F22</vt:lpwstr>
  </property>
  <property fmtid="{D5CDD505-2E9C-101B-9397-08002B2CF9AE}" pid="3" name="_dlc_DocIdItemGuid">
    <vt:lpwstr>789dd4a3-afa5-4e80-af20-46ec2af6aff5</vt:lpwstr>
  </property>
</Properties>
</file>