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10490" w:type="dxa"/>
        <w:tblInd w:w="-1134" w:type="dxa"/>
        <w:tblBorders>
          <w:top w:val="nil"/>
          <w:left w:val="nil"/>
          <w:bottom w:val="nil"/>
          <w:right w:val="nil"/>
          <w:insideH w:val="nil"/>
          <w:insideV w:val="nil"/>
        </w:tblBorders>
        <w:tblLook w:val="04A0" w:firstRow="1" w:lastRow="0" w:firstColumn="1" w:lastColumn="0" w:noHBand="0" w:noVBand="1"/>
      </w:tblPr>
      <w:tblGrid>
        <w:gridCol w:w="4253"/>
        <w:gridCol w:w="3119"/>
        <w:gridCol w:w="3118"/>
      </w:tblGrid>
      <w:tr w:rsidR="00AC6B14" w:rsidRPr="00522E3B" w14:paraId="19C898FF" w14:textId="77777777" w:rsidTr="004E056C">
        <w:trPr>
          <w:trHeight w:val="1556"/>
        </w:trPr>
        <w:tc>
          <w:tcPr>
            <w:tcW w:w="4253" w:type="dxa"/>
          </w:tcPr>
          <w:p w14:paraId="780F4DC4" w14:textId="77777777" w:rsidR="00AC6B14" w:rsidRPr="00522E3B" w:rsidRDefault="00AC6B14" w:rsidP="004E056C">
            <w:pPr>
              <w:tabs>
                <w:tab w:val="right" w:pos="8931"/>
              </w:tabs>
              <w:rPr>
                <w:lang w:val="en-US"/>
              </w:rPr>
            </w:pPr>
            <w:r w:rsidRPr="00522E3B">
              <w:rPr>
                <w:noProof/>
                <w:sz w:val="16"/>
                <w:szCs w:val="16"/>
                <w:lang w:val="en-US"/>
              </w:rPr>
              <w:drawing>
                <wp:inline distT="0" distB="0" distL="0" distR="0" wp14:anchorId="0E853C45" wp14:editId="2865D2DF">
                  <wp:extent cx="2333625" cy="1162050"/>
                  <wp:effectExtent l="0" t="0" r="9525" b="0"/>
                  <wp:docPr id="3" name="Afbeelding 3" descr="Logo Authority for Consumers &amp; Markets (ACM). Markets that work well for people and busine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Logo Authority for Consumers &amp; Markets (ACM). Markets that work well for people and businesses."/>
                          <pic:cNvPicPr preferRelativeResize="0"/>
                        </pic:nvPicPr>
                        <pic:blipFill rotWithShape="1">
                          <a:blip r:embed="rId8" cstate="print">
                            <a:extLst>
                              <a:ext uri="{28A0092B-C50C-407E-A947-70E740481C1C}">
                                <a14:useLocalDpi xmlns:a14="http://schemas.microsoft.com/office/drawing/2010/main" val="0"/>
                              </a:ext>
                            </a:extLst>
                          </a:blip>
                          <a:srcRect l="7775" t="16137" r="5654" b="13557"/>
                          <a:stretch/>
                        </pic:blipFill>
                        <pic:spPr bwMode="auto">
                          <a:xfrm>
                            <a:off x="0" y="0"/>
                            <a:ext cx="2333625" cy="1162050"/>
                          </a:xfrm>
                          <a:prstGeom prst="rect">
                            <a:avLst/>
                          </a:prstGeom>
                          <a:ln>
                            <a:noFill/>
                          </a:ln>
                          <a:extLst>
                            <a:ext uri="{53640926-AAD7-44D8-BBD7-CCE9431645EC}">
                              <a14:shadowObscured xmlns:a14="http://schemas.microsoft.com/office/drawing/2010/main"/>
                            </a:ext>
                          </a:extLst>
                        </pic:spPr>
                      </pic:pic>
                    </a:graphicData>
                  </a:graphic>
                </wp:inline>
              </w:drawing>
            </w:r>
          </w:p>
        </w:tc>
        <w:tc>
          <w:tcPr>
            <w:tcW w:w="3119" w:type="dxa"/>
          </w:tcPr>
          <w:p w14:paraId="7E274AC4" w14:textId="77777777" w:rsidR="00AC6B14" w:rsidRPr="00522E3B" w:rsidRDefault="00AC6B14" w:rsidP="004E056C">
            <w:pPr>
              <w:tabs>
                <w:tab w:val="right" w:pos="8931"/>
              </w:tabs>
              <w:rPr>
                <w:lang w:val="en-US"/>
              </w:rPr>
            </w:pPr>
          </w:p>
          <w:p w14:paraId="446C3711" w14:textId="77777777" w:rsidR="00AC6B14" w:rsidRPr="00522E3B" w:rsidRDefault="00AC6B14" w:rsidP="004E056C">
            <w:pPr>
              <w:tabs>
                <w:tab w:val="right" w:pos="2552"/>
                <w:tab w:val="left" w:pos="2835"/>
              </w:tabs>
              <w:spacing w:line="312" w:lineRule="auto"/>
              <w:rPr>
                <w:color w:val="007FAE"/>
                <w:lang w:val="en-US"/>
              </w:rPr>
            </w:pPr>
            <w:proofErr w:type="spellStart"/>
            <w:r w:rsidRPr="00522E3B">
              <w:rPr>
                <w:color w:val="007FAE"/>
                <w:lang w:val="en-US"/>
              </w:rPr>
              <w:t>Muzenstraat</w:t>
            </w:r>
            <w:proofErr w:type="spellEnd"/>
            <w:r w:rsidRPr="00522E3B">
              <w:rPr>
                <w:color w:val="007FAE"/>
                <w:lang w:val="en-US"/>
              </w:rPr>
              <w:t xml:space="preserve"> 41</w:t>
            </w:r>
          </w:p>
          <w:p w14:paraId="06895661" w14:textId="77777777" w:rsidR="00AC6B14" w:rsidRPr="00522E3B" w:rsidRDefault="00AC6B14" w:rsidP="004E056C">
            <w:pPr>
              <w:tabs>
                <w:tab w:val="right" w:pos="2552"/>
                <w:tab w:val="left" w:pos="2835"/>
              </w:tabs>
              <w:spacing w:line="312" w:lineRule="auto"/>
              <w:rPr>
                <w:color w:val="007FAE"/>
                <w:lang w:val="en-US"/>
              </w:rPr>
            </w:pPr>
            <w:r w:rsidRPr="00522E3B">
              <w:rPr>
                <w:color w:val="007FAE"/>
                <w:lang w:val="en-US"/>
              </w:rPr>
              <w:t>2511 WB  The Hague</w:t>
            </w:r>
          </w:p>
          <w:p w14:paraId="5DC37A7D" w14:textId="77777777" w:rsidR="00AC6B14" w:rsidRPr="00522E3B" w:rsidRDefault="00AC6B14" w:rsidP="004E056C">
            <w:pPr>
              <w:tabs>
                <w:tab w:val="right" w:pos="2552"/>
                <w:tab w:val="left" w:pos="2835"/>
              </w:tabs>
              <w:spacing w:line="312" w:lineRule="auto"/>
              <w:rPr>
                <w:color w:val="007FAE"/>
                <w:lang w:val="en-US"/>
              </w:rPr>
            </w:pPr>
            <w:r w:rsidRPr="00522E3B">
              <w:rPr>
                <w:color w:val="007FAE"/>
                <w:lang w:val="en-US"/>
              </w:rPr>
              <w:t>+31 (0)70 722 20 00</w:t>
            </w:r>
          </w:p>
          <w:p w14:paraId="2F3EF08B" w14:textId="77777777" w:rsidR="00AC6B14" w:rsidRPr="00522E3B" w:rsidRDefault="00DD4394" w:rsidP="004E056C">
            <w:pPr>
              <w:tabs>
                <w:tab w:val="right" w:pos="2552"/>
                <w:tab w:val="left" w:pos="2835"/>
              </w:tabs>
              <w:spacing w:line="312" w:lineRule="auto"/>
              <w:rPr>
                <w:color w:val="007FAE"/>
                <w:lang w:val="en-US"/>
              </w:rPr>
            </w:pPr>
            <w:hyperlink r:id="rId9" w:history="1">
              <w:r w:rsidR="00AC6B14" w:rsidRPr="00522E3B">
                <w:rPr>
                  <w:rStyle w:val="Hyperlink"/>
                  <w:color w:val="007FAE"/>
                  <w:lang w:val="en-US"/>
                </w:rPr>
                <w:t>www.acm.nl</w:t>
              </w:r>
            </w:hyperlink>
          </w:p>
        </w:tc>
        <w:tc>
          <w:tcPr>
            <w:tcW w:w="3118" w:type="dxa"/>
          </w:tcPr>
          <w:p w14:paraId="1C9EC3E3" w14:textId="77777777" w:rsidR="00AC6B14" w:rsidRPr="00522E3B" w:rsidRDefault="00AC6B14" w:rsidP="004E056C">
            <w:pPr>
              <w:tabs>
                <w:tab w:val="right" w:pos="8931"/>
              </w:tabs>
              <w:jc w:val="right"/>
              <w:rPr>
                <w:lang w:val="en-US"/>
              </w:rPr>
            </w:pPr>
          </w:p>
          <w:p w14:paraId="11CDA892" w14:textId="15C5EF2A" w:rsidR="00AC6B14" w:rsidRPr="00522E3B" w:rsidRDefault="00D37DFD" w:rsidP="004E056C">
            <w:pPr>
              <w:jc w:val="right"/>
              <w:rPr>
                <w:b/>
                <w:bCs w:val="0"/>
                <w:sz w:val="34"/>
                <w:szCs w:val="34"/>
                <w:lang w:val="en-US"/>
              </w:rPr>
            </w:pPr>
            <w:r w:rsidRPr="00C33FEF">
              <w:rPr>
                <w:b/>
                <w:bCs w:val="0"/>
                <w:color w:val="007FAE"/>
                <w:sz w:val="34"/>
                <w:szCs w:val="34"/>
                <w:lang w:val="en-GB"/>
              </w:rPr>
              <w:t>Public</w:t>
            </w:r>
          </w:p>
        </w:tc>
      </w:tr>
    </w:tbl>
    <w:p w14:paraId="3FA22BB4" w14:textId="77777777" w:rsidR="00AC6B14" w:rsidRPr="00522E3B" w:rsidRDefault="00AC6B14" w:rsidP="00AC6B14">
      <w:pPr>
        <w:tabs>
          <w:tab w:val="right" w:pos="8931"/>
        </w:tabs>
        <w:ind w:right="-142"/>
        <w:rPr>
          <w:lang w:val="en-US"/>
        </w:rPr>
      </w:pPr>
    </w:p>
    <w:p w14:paraId="4B7373A7" w14:textId="77777777" w:rsidR="00AC6B14" w:rsidRPr="00522E3B" w:rsidRDefault="00AC6B14" w:rsidP="00AC6B14">
      <w:pPr>
        <w:tabs>
          <w:tab w:val="right" w:pos="8931"/>
        </w:tabs>
        <w:ind w:right="-142"/>
        <w:rPr>
          <w:lang w:val="en-US"/>
        </w:rPr>
      </w:pPr>
    </w:p>
    <w:p w14:paraId="2728B0A6" w14:textId="77777777" w:rsidR="00AC6B14" w:rsidRPr="00522E3B" w:rsidRDefault="00AC6B14" w:rsidP="00AC6B14">
      <w:pPr>
        <w:pStyle w:val="Koptekst"/>
        <w:spacing w:line="276" w:lineRule="auto"/>
        <w:rPr>
          <w:lang w:val="en-US"/>
        </w:rPr>
      </w:pPr>
      <w:bookmarkStart w:id="0" w:name="_Toc97631778"/>
      <w:bookmarkStart w:id="1" w:name="_Toc98139759"/>
      <w:bookmarkStart w:id="2" w:name="_Toc98256623"/>
      <w:bookmarkStart w:id="3" w:name="_Toc133237392"/>
      <w:r w:rsidRPr="00522E3B">
        <w:rPr>
          <w:rStyle w:val="TitelChar"/>
          <w:lang w:val="en-US"/>
        </w:rPr>
        <w:t xml:space="preserve">Public consultation on the draft </w:t>
      </w:r>
      <w:bookmarkEnd w:id="0"/>
      <w:bookmarkEnd w:id="1"/>
      <w:bookmarkEnd w:id="2"/>
      <w:r w:rsidRPr="00522E3B">
        <w:rPr>
          <w:rStyle w:val="TitelChar"/>
          <w:lang w:val="en-US"/>
        </w:rPr>
        <w:t>Guidelines on the application of Article 210a of regulation 1308/2013</w:t>
      </w:r>
      <w:bookmarkEnd w:id="3"/>
      <w:r w:rsidRPr="00522E3B">
        <w:rPr>
          <w:lang w:val="en-US"/>
        </w:rPr>
        <w:t xml:space="preserve"> </w:t>
      </w:r>
    </w:p>
    <w:p w14:paraId="5F0DA81E" w14:textId="77777777" w:rsidR="00AC6B14" w:rsidRPr="00522E3B" w:rsidRDefault="00AC6B14" w:rsidP="00AC6B14">
      <w:pPr>
        <w:pStyle w:val="Koptekst"/>
        <w:spacing w:line="276" w:lineRule="auto"/>
        <w:rPr>
          <w:lang w:val="en-US"/>
        </w:rPr>
      </w:pPr>
    </w:p>
    <w:p w14:paraId="29F7829B" w14:textId="77777777" w:rsidR="00AC6B14" w:rsidRPr="00522E3B" w:rsidRDefault="00AC6B14" w:rsidP="00AC6B14">
      <w:pPr>
        <w:pStyle w:val="Ondertitel"/>
        <w:spacing w:line="276" w:lineRule="auto"/>
        <w:rPr>
          <w:lang w:val="en-US"/>
        </w:rPr>
      </w:pPr>
      <w:r w:rsidRPr="00522E3B">
        <w:rPr>
          <w:lang w:val="en-US"/>
        </w:rPr>
        <w:t>Response from the Netherlands Authority for Consumers &amp; Markets</w:t>
      </w:r>
    </w:p>
    <w:p w14:paraId="175A49E1" w14:textId="77777777" w:rsidR="00AC6B14" w:rsidRPr="00522E3B" w:rsidRDefault="00AC6B14" w:rsidP="00AC6B14">
      <w:pPr>
        <w:spacing w:line="276" w:lineRule="auto"/>
        <w:rPr>
          <w:lang w:val="en-US"/>
        </w:rPr>
      </w:pPr>
    </w:p>
    <w:p w14:paraId="7DD100D8" w14:textId="12D92645" w:rsidR="00AC6B14" w:rsidRPr="00522E3B" w:rsidRDefault="00AC6B14" w:rsidP="00AC6B14">
      <w:pPr>
        <w:spacing w:line="276" w:lineRule="auto"/>
        <w:rPr>
          <w:b/>
          <w:bCs w:val="0"/>
          <w:lang w:val="en-US"/>
        </w:rPr>
      </w:pPr>
      <w:r w:rsidRPr="00522E3B">
        <w:rPr>
          <w:b/>
          <w:bCs w:val="0"/>
          <w:lang w:val="en-US"/>
        </w:rPr>
        <w:t>2</w:t>
      </w:r>
      <w:r w:rsidR="00DD4394">
        <w:rPr>
          <w:b/>
          <w:bCs w:val="0"/>
          <w:lang w:val="en-US"/>
        </w:rPr>
        <w:t>4</w:t>
      </w:r>
      <w:r w:rsidRPr="00522E3B">
        <w:rPr>
          <w:b/>
          <w:bCs w:val="0"/>
          <w:lang w:val="en-US"/>
        </w:rPr>
        <w:t xml:space="preserve"> April 2023</w:t>
      </w:r>
    </w:p>
    <w:p w14:paraId="561A62F1" w14:textId="77777777" w:rsidR="00AC6B14" w:rsidRPr="00522E3B" w:rsidRDefault="00AC6B14" w:rsidP="00AC6B14">
      <w:pPr>
        <w:rPr>
          <w:lang w:val="en-US"/>
        </w:rPr>
      </w:pPr>
      <w:r w:rsidRPr="00522E3B">
        <w:rPr>
          <w:lang w:val="en-US"/>
        </w:rPr>
        <w:br w:type="page"/>
      </w:r>
    </w:p>
    <w:p w14:paraId="4D5296C9" w14:textId="77777777" w:rsidR="00AC6B14" w:rsidRPr="00522E3B" w:rsidRDefault="00AC6B14" w:rsidP="00AC6B14">
      <w:pPr>
        <w:pStyle w:val="Kop1"/>
        <w:numPr>
          <w:ilvl w:val="0"/>
          <w:numId w:val="1"/>
        </w:numPr>
        <w:rPr>
          <w:lang w:val="en-US"/>
        </w:rPr>
      </w:pPr>
      <w:bookmarkStart w:id="4" w:name="_Toc133237393"/>
      <w:r w:rsidRPr="00522E3B">
        <w:rPr>
          <w:lang w:val="en-US"/>
        </w:rPr>
        <w:lastRenderedPageBreak/>
        <w:t>Outline</w:t>
      </w:r>
      <w:bookmarkEnd w:id="4"/>
    </w:p>
    <w:p w14:paraId="746F71B0" w14:textId="77777777" w:rsidR="00AC6B14" w:rsidRPr="00522E3B" w:rsidRDefault="00AC6B14" w:rsidP="00AC6B14">
      <w:pPr>
        <w:rPr>
          <w:lang w:val="en-US"/>
        </w:rPr>
      </w:pPr>
    </w:p>
    <w:sdt>
      <w:sdtPr>
        <w:rPr>
          <w:lang w:val="en-US"/>
        </w:rPr>
        <w:id w:val="-1645421949"/>
        <w:docPartObj>
          <w:docPartGallery w:val="Table of Contents"/>
          <w:docPartUnique/>
        </w:docPartObj>
      </w:sdtPr>
      <w:sdtEndPr>
        <w:rPr>
          <w:b/>
        </w:rPr>
      </w:sdtEndPr>
      <w:sdtContent>
        <w:p w14:paraId="72695084" w14:textId="77777777" w:rsidR="00AC6B14" w:rsidRPr="00522E3B" w:rsidRDefault="00AC6B14" w:rsidP="00AC6B14">
          <w:pPr>
            <w:spacing w:line="276" w:lineRule="auto"/>
            <w:rPr>
              <w:lang w:val="en-US"/>
            </w:rPr>
          </w:pPr>
          <w:r w:rsidRPr="00522E3B">
            <w:rPr>
              <w:lang w:val="en-US"/>
            </w:rPr>
            <w:t xml:space="preserve">The outline of ACM’s response is as follows: </w:t>
          </w:r>
          <w:r w:rsidRPr="00522E3B">
            <w:rPr>
              <w:lang w:val="en-US"/>
            </w:rPr>
            <w:br/>
          </w:r>
        </w:p>
        <w:p w14:paraId="6E3F5C46" w14:textId="4DF4963C" w:rsidR="005120F0" w:rsidRDefault="00AC6B14">
          <w:pPr>
            <w:pStyle w:val="Inhopg1"/>
            <w:rPr>
              <w:rFonts w:asciiTheme="minorHAnsi" w:eastAsiaTheme="minorEastAsia" w:hAnsiTheme="minorHAnsi" w:cstheme="minorBidi"/>
              <w:bCs w:val="0"/>
              <w:noProof/>
              <w:sz w:val="22"/>
              <w:szCs w:val="22"/>
            </w:rPr>
          </w:pPr>
          <w:r w:rsidRPr="00522E3B">
            <w:rPr>
              <w:lang w:val="en-US"/>
            </w:rPr>
            <w:fldChar w:fldCharType="begin"/>
          </w:r>
          <w:r w:rsidRPr="00522E3B">
            <w:rPr>
              <w:lang w:val="en-US"/>
            </w:rPr>
            <w:instrText xml:space="preserve"> TOC \o "1-3" \h \z \u </w:instrText>
          </w:r>
          <w:r w:rsidRPr="00522E3B">
            <w:rPr>
              <w:lang w:val="en-US"/>
            </w:rPr>
            <w:fldChar w:fldCharType="separate"/>
          </w:r>
          <w:hyperlink w:anchor="_Toc133237392" w:history="1">
            <w:r w:rsidR="005120F0" w:rsidRPr="00A66142">
              <w:rPr>
                <w:rStyle w:val="Hyperlink"/>
                <w:noProof/>
                <w:lang w:val="en-US"/>
              </w:rPr>
              <w:t>Public consultation on the draft Guidelines on the application of Article 210a of regulation 1308/2013</w:t>
            </w:r>
            <w:r w:rsidR="005120F0">
              <w:rPr>
                <w:noProof/>
                <w:webHidden/>
              </w:rPr>
              <w:tab/>
            </w:r>
            <w:r w:rsidR="005120F0">
              <w:rPr>
                <w:noProof/>
                <w:webHidden/>
              </w:rPr>
              <w:fldChar w:fldCharType="begin"/>
            </w:r>
            <w:r w:rsidR="005120F0">
              <w:rPr>
                <w:noProof/>
                <w:webHidden/>
              </w:rPr>
              <w:instrText xml:space="preserve"> PAGEREF _Toc133237392 \h </w:instrText>
            </w:r>
            <w:r w:rsidR="005120F0">
              <w:rPr>
                <w:noProof/>
                <w:webHidden/>
              </w:rPr>
            </w:r>
            <w:r w:rsidR="005120F0">
              <w:rPr>
                <w:noProof/>
                <w:webHidden/>
              </w:rPr>
              <w:fldChar w:fldCharType="separate"/>
            </w:r>
            <w:r w:rsidR="005120F0">
              <w:rPr>
                <w:noProof/>
                <w:webHidden/>
              </w:rPr>
              <w:t>1</w:t>
            </w:r>
            <w:r w:rsidR="005120F0">
              <w:rPr>
                <w:noProof/>
                <w:webHidden/>
              </w:rPr>
              <w:fldChar w:fldCharType="end"/>
            </w:r>
          </w:hyperlink>
        </w:p>
        <w:p w14:paraId="0FC3DF85" w14:textId="0E3892D6" w:rsidR="005120F0" w:rsidRDefault="00DD4394">
          <w:pPr>
            <w:pStyle w:val="Inhopg1"/>
            <w:tabs>
              <w:tab w:val="left" w:pos="380"/>
            </w:tabs>
            <w:rPr>
              <w:rFonts w:asciiTheme="minorHAnsi" w:eastAsiaTheme="minorEastAsia" w:hAnsiTheme="minorHAnsi" w:cstheme="minorBidi"/>
              <w:bCs w:val="0"/>
              <w:noProof/>
              <w:sz w:val="22"/>
              <w:szCs w:val="22"/>
            </w:rPr>
          </w:pPr>
          <w:hyperlink w:anchor="_Toc133237393" w:history="1">
            <w:r w:rsidR="005120F0" w:rsidRPr="00A66142">
              <w:rPr>
                <w:rStyle w:val="Hyperlink"/>
                <w:noProof/>
                <w:lang w:val="en-US"/>
              </w:rPr>
              <w:t>1</w:t>
            </w:r>
            <w:r w:rsidR="005120F0">
              <w:rPr>
                <w:rFonts w:asciiTheme="minorHAnsi" w:eastAsiaTheme="minorEastAsia" w:hAnsiTheme="minorHAnsi" w:cstheme="minorBidi"/>
                <w:bCs w:val="0"/>
                <w:noProof/>
                <w:sz w:val="22"/>
                <w:szCs w:val="22"/>
              </w:rPr>
              <w:tab/>
            </w:r>
            <w:r w:rsidR="005120F0" w:rsidRPr="00A66142">
              <w:rPr>
                <w:rStyle w:val="Hyperlink"/>
                <w:noProof/>
                <w:lang w:val="en-US"/>
              </w:rPr>
              <w:t>Outline</w:t>
            </w:r>
            <w:r w:rsidR="005120F0">
              <w:rPr>
                <w:noProof/>
                <w:webHidden/>
              </w:rPr>
              <w:tab/>
            </w:r>
            <w:r w:rsidR="005120F0">
              <w:rPr>
                <w:noProof/>
                <w:webHidden/>
              </w:rPr>
              <w:fldChar w:fldCharType="begin"/>
            </w:r>
            <w:r w:rsidR="005120F0">
              <w:rPr>
                <w:noProof/>
                <w:webHidden/>
              </w:rPr>
              <w:instrText xml:space="preserve"> PAGEREF _Toc133237393 \h </w:instrText>
            </w:r>
            <w:r w:rsidR="005120F0">
              <w:rPr>
                <w:noProof/>
                <w:webHidden/>
              </w:rPr>
            </w:r>
            <w:r w:rsidR="005120F0">
              <w:rPr>
                <w:noProof/>
                <w:webHidden/>
              </w:rPr>
              <w:fldChar w:fldCharType="separate"/>
            </w:r>
            <w:r w:rsidR="005120F0">
              <w:rPr>
                <w:noProof/>
                <w:webHidden/>
              </w:rPr>
              <w:t>2</w:t>
            </w:r>
            <w:r w:rsidR="005120F0">
              <w:rPr>
                <w:noProof/>
                <w:webHidden/>
              </w:rPr>
              <w:fldChar w:fldCharType="end"/>
            </w:r>
          </w:hyperlink>
        </w:p>
        <w:p w14:paraId="6862AEFB" w14:textId="028F24A5" w:rsidR="005120F0" w:rsidRDefault="00DD4394">
          <w:pPr>
            <w:pStyle w:val="Inhopg1"/>
            <w:tabs>
              <w:tab w:val="left" w:pos="380"/>
            </w:tabs>
            <w:rPr>
              <w:rFonts w:asciiTheme="minorHAnsi" w:eastAsiaTheme="minorEastAsia" w:hAnsiTheme="minorHAnsi" w:cstheme="minorBidi"/>
              <w:bCs w:val="0"/>
              <w:noProof/>
              <w:sz w:val="22"/>
              <w:szCs w:val="22"/>
            </w:rPr>
          </w:pPr>
          <w:hyperlink w:anchor="_Toc133237394" w:history="1">
            <w:r w:rsidR="005120F0" w:rsidRPr="00A66142">
              <w:rPr>
                <w:rStyle w:val="Hyperlink"/>
                <w:noProof/>
                <w:lang w:val="en-US"/>
              </w:rPr>
              <w:t>2</w:t>
            </w:r>
            <w:r w:rsidR="005120F0">
              <w:rPr>
                <w:rFonts w:asciiTheme="minorHAnsi" w:eastAsiaTheme="minorEastAsia" w:hAnsiTheme="minorHAnsi" w:cstheme="minorBidi"/>
                <w:bCs w:val="0"/>
                <w:noProof/>
                <w:sz w:val="22"/>
                <w:szCs w:val="22"/>
              </w:rPr>
              <w:tab/>
            </w:r>
            <w:r w:rsidR="005120F0" w:rsidRPr="00A66142">
              <w:rPr>
                <w:rStyle w:val="Hyperlink"/>
                <w:noProof/>
                <w:lang w:val="en-US"/>
              </w:rPr>
              <w:t>Intro and summary</w:t>
            </w:r>
            <w:r w:rsidR="005120F0">
              <w:rPr>
                <w:noProof/>
                <w:webHidden/>
              </w:rPr>
              <w:tab/>
            </w:r>
            <w:r w:rsidR="005120F0">
              <w:rPr>
                <w:noProof/>
                <w:webHidden/>
              </w:rPr>
              <w:fldChar w:fldCharType="begin"/>
            </w:r>
            <w:r w:rsidR="005120F0">
              <w:rPr>
                <w:noProof/>
                <w:webHidden/>
              </w:rPr>
              <w:instrText xml:space="preserve"> PAGEREF _Toc133237394 \h </w:instrText>
            </w:r>
            <w:r w:rsidR="005120F0">
              <w:rPr>
                <w:noProof/>
                <w:webHidden/>
              </w:rPr>
            </w:r>
            <w:r w:rsidR="005120F0">
              <w:rPr>
                <w:noProof/>
                <w:webHidden/>
              </w:rPr>
              <w:fldChar w:fldCharType="separate"/>
            </w:r>
            <w:r w:rsidR="005120F0">
              <w:rPr>
                <w:noProof/>
                <w:webHidden/>
              </w:rPr>
              <w:t>3</w:t>
            </w:r>
            <w:r w:rsidR="005120F0">
              <w:rPr>
                <w:noProof/>
                <w:webHidden/>
              </w:rPr>
              <w:fldChar w:fldCharType="end"/>
            </w:r>
          </w:hyperlink>
        </w:p>
        <w:p w14:paraId="2CDFBFD5" w14:textId="7B3EE2D2" w:rsidR="005120F0" w:rsidRDefault="00DD4394">
          <w:pPr>
            <w:pStyle w:val="Inhopg1"/>
            <w:tabs>
              <w:tab w:val="left" w:pos="380"/>
            </w:tabs>
            <w:rPr>
              <w:rFonts w:asciiTheme="minorHAnsi" w:eastAsiaTheme="minorEastAsia" w:hAnsiTheme="minorHAnsi" w:cstheme="minorBidi"/>
              <w:bCs w:val="0"/>
              <w:noProof/>
              <w:sz w:val="22"/>
              <w:szCs w:val="22"/>
            </w:rPr>
          </w:pPr>
          <w:hyperlink w:anchor="_Toc133237395" w:history="1">
            <w:r w:rsidR="005120F0" w:rsidRPr="00A66142">
              <w:rPr>
                <w:rStyle w:val="Hyperlink"/>
                <w:noProof/>
                <w:lang w:val="en-US"/>
              </w:rPr>
              <w:t>3</w:t>
            </w:r>
            <w:r w:rsidR="005120F0">
              <w:rPr>
                <w:rFonts w:asciiTheme="minorHAnsi" w:eastAsiaTheme="minorEastAsia" w:hAnsiTheme="minorHAnsi" w:cstheme="minorBidi"/>
                <w:bCs w:val="0"/>
                <w:noProof/>
                <w:sz w:val="22"/>
                <w:szCs w:val="22"/>
              </w:rPr>
              <w:tab/>
            </w:r>
            <w:r w:rsidR="005120F0" w:rsidRPr="00A66142">
              <w:rPr>
                <w:rStyle w:val="Hyperlink"/>
                <w:noProof/>
                <w:lang w:val="en-US"/>
              </w:rPr>
              <w:t>Submission</w:t>
            </w:r>
            <w:r w:rsidR="005120F0">
              <w:rPr>
                <w:noProof/>
                <w:webHidden/>
              </w:rPr>
              <w:tab/>
            </w:r>
            <w:r w:rsidR="005120F0">
              <w:rPr>
                <w:noProof/>
                <w:webHidden/>
              </w:rPr>
              <w:fldChar w:fldCharType="begin"/>
            </w:r>
            <w:r w:rsidR="005120F0">
              <w:rPr>
                <w:noProof/>
                <w:webHidden/>
              </w:rPr>
              <w:instrText xml:space="preserve"> PAGEREF _Toc133237395 \h </w:instrText>
            </w:r>
            <w:r w:rsidR="005120F0">
              <w:rPr>
                <w:noProof/>
                <w:webHidden/>
              </w:rPr>
            </w:r>
            <w:r w:rsidR="005120F0">
              <w:rPr>
                <w:noProof/>
                <w:webHidden/>
              </w:rPr>
              <w:fldChar w:fldCharType="separate"/>
            </w:r>
            <w:r w:rsidR="005120F0">
              <w:rPr>
                <w:noProof/>
                <w:webHidden/>
              </w:rPr>
              <w:t>3</w:t>
            </w:r>
            <w:r w:rsidR="005120F0">
              <w:rPr>
                <w:noProof/>
                <w:webHidden/>
              </w:rPr>
              <w:fldChar w:fldCharType="end"/>
            </w:r>
          </w:hyperlink>
        </w:p>
        <w:p w14:paraId="1ECF1065" w14:textId="72E64489" w:rsidR="005120F0" w:rsidRDefault="00DD4394">
          <w:pPr>
            <w:pStyle w:val="Inhopg2"/>
            <w:tabs>
              <w:tab w:val="left" w:pos="880"/>
              <w:tab w:val="right" w:leader="dot" w:pos="9062"/>
            </w:tabs>
            <w:rPr>
              <w:rFonts w:asciiTheme="minorHAnsi" w:eastAsiaTheme="minorEastAsia" w:hAnsiTheme="minorHAnsi" w:cstheme="minorBidi"/>
              <w:bCs w:val="0"/>
              <w:noProof/>
              <w:sz w:val="22"/>
              <w:szCs w:val="22"/>
            </w:rPr>
          </w:pPr>
          <w:hyperlink w:anchor="_Toc133237396" w:history="1">
            <w:r w:rsidR="005120F0" w:rsidRPr="00A66142">
              <w:rPr>
                <w:rStyle w:val="Hyperlink"/>
                <w:noProof/>
                <w:lang w:val="en-US"/>
              </w:rPr>
              <w:t>3.1</w:t>
            </w:r>
            <w:r w:rsidR="005120F0">
              <w:rPr>
                <w:rFonts w:asciiTheme="minorHAnsi" w:eastAsiaTheme="minorEastAsia" w:hAnsiTheme="minorHAnsi" w:cstheme="minorBidi"/>
                <w:bCs w:val="0"/>
                <w:noProof/>
                <w:sz w:val="22"/>
                <w:szCs w:val="22"/>
              </w:rPr>
              <w:tab/>
            </w:r>
            <w:r w:rsidR="005120F0" w:rsidRPr="00A66142">
              <w:rPr>
                <w:rStyle w:val="Hyperlink"/>
                <w:noProof/>
                <w:lang w:val="en-US"/>
              </w:rPr>
              <w:t>Legal context of the exclusion</w:t>
            </w:r>
            <w:r w:rsidR="005120F0">
              <w:rPr>
                <w:noProof/>
                <w:webHidden/>
              </w:rPr>
              <w:tab/>
            </w:r>
            <w:r w:rsidR="005120F0">
              <w:rPr>
                <w:noProof/>
                <w:webHidden/>
              </w:rPr>
              <w:fldChar w:fldCharType="begin"/>
            </w:r>
            <w:r w:rsidR="005120F0">
              <w:rPr>
                <w:noProof/>
                <w:webHidden/>
              </w:rPr>
              <w:instrText xml:space="preserve"> PAGEREF _Toc133237396 \h </w:instrText>
            </w:r>
            <w:r w:rsidR="005120F0">
              <w:rPr>
                <w:noProof/>
                <w:webHidden/>
              </w:rPr>
            </w:r>
            <w:r w:rsidR="005120F0">
              <w:rPr>
                <w:noProof/>
                <w:webHidden/>
              </w:rPr>
              <w:fldChar w:fldCharType="separate"/>
            </w:r>
            <w:r w:rsidR="005120F0">
              <w:rPr>
                <w:noProof/>
                <w:webHidden/>
              </w:rPr>
              <w:t>3</w:t>
            </w:r>
            <w:r w:rsidR="005120F0">
              <w:rPr>
                <w:noProof/>
                <w:webHidden/>
              </w:rPr>
              <w:fldChar w:fldCharType="end"/>
            </w:r>
          </w:hyperlink>
        </w:p>
        <w:p w14:paraId="08B4A725" w14:textId="799AD397" w:rsidR="005120F0" w:rsidRDefault="00DD4394">
          <w:pPr>
            <w:pStyle w:val="Inhopg3"/>
            <w:tabs>
              <w:tab w:val="right" w:leader="dot" w:pos="9062"/>
            </w:tabs>
            <w:rPr>
              <w:rFonts w:asciiTheme="minorHAnsi" w:eastAsiaTheme="minorEastAsia" w:hAnsiTheme="minorHAnsi" w:cstheme="minorBidi"/>
              <w:bCs w:val="0"/>
              <w:noProof/>
              <w:sz w:val="22"/>
              <w:szCs w:val="22"/>
            </w:rPr>
          </w:pPr>
          <w:hyperlink w:anchor="_Toc133237397" w:history="1">
            <w:r w:rsidR="005120F0" w:rsidRPr="00A66142">
              <w:rPr>
                <w:rStyle w:val="Hyperlink"/>
                <w:noProof/>
                <w:lang w:val="en-US"/>
              </w:rPr>
              <w:t>Paragraph 18</w:t>
            </w:r>
            <w:r w:rsidR="005120F0">
              <w:rPr>
                <w:noProof/>
                <w:webHidden/>
              </w:rPr>
              <w:tab/>
            </w:r>
            <w:r w:rsidR="005120F0">
              <w:rPr>
                <w:noProof/>
                <w:webHidden/>
              </w:rPr>
              <w:fldChar w:fldCharType="begin"/>
            </w:r>
            <w:r w:rsidR="005120F0">
              <w:rPr>
                <w:noProof/>
                <w:webHidden/>
              </w:rPr>
              <w:instrText xml:space="preserve"> PAGEREF _Toc133237397 \h </w:instrText>
            </w:r>
            <w:r w:rsidR="005120F0">
              <w:rPr>
                <w:noProof/>
                <w:webHidden/>
              </w:rPr>
            </w:r>
            <w:r w:rsidR="005120F0">
              <w:rPr>
                <w:noProof/>
                <w:webHidden/>
              </w:rPr>
              <w:fldChar w:fldCharType="separate"/>
            </w:r>
            <w:r w:rsidR="005120F0">
              <w:rPr>
                <w:noProof/>
                <w:webHidden/>
              </w:rPr>
              <w:t>3</w:t>
            </w:r>
            <w:r w:rsidR="005120F0">
              <w:rPr>
                <w:noProof/>
                <w:webHidden/>
              </w:rPr>
              <w:fldChar w:fldCharType="end"/>
            </w:r>
          </w:hyperlink>
        </w:p>
        <w:p w14:paraId="157CEF9D" w14:textId="1C459F34" w:rsidR="005120F0" w:rsidRDefault="00DD4394">
          <w:pPr>
            <w:pStyle w:val="Inhopg2"/>
            <w:tabs>
              <w:tab w:val="left" w:pos="880"/>
              <w:tab w:val="right" w:leader="dot" w:pos="9062"/>
            </w:tabs>
            <w:rPr>
              <w:rFonts w:asciiTheme="minorHAnsi" w:eastAsiaTheme="minorEastAsia" w:hAnsiTheme="minorHAnsi" w:cstheme="minorBidi"/>
              <w:bCs w:val="0"/>
              <w:noProof/>
              <w:sz w:val="22"/>
              <w:szCs w:val="22"/>
            </w:rPr>
          </w:pPr>
          <w:hyperlink w:anchor="_Toc133237398" w:history="1">
            <w:r w:rsidR="005120F0" w:rsidRPr="00A66142">
              <w:rPr>
                <w:rStyle w:val="Hyperlink"/>
                <w:noProof/>
                <w:lang w:val="en-US"/>
              </w:rPr>
              <w:t>3.2</w:t>
            </w:r>
            <w:r w:rsidR="005120F0">
              <w:rPr>
                <w:rFonts w:asciiTheme="minorHAnsi" w:eastAsiaTheme="minorEastAsia" w:hAnsiTheme="minorHAnsi" w:cstheme="minorBidi"/>
                <w:bCs w:val="0"/>
                <w:noProof/>
                <w:sz w:val="22"/>
                <w:szCs w:val="22"/>
              </w:rPr>
              <w:tab/>
            </w:r>
            <w:r w:rsidR="005120F0" w:rsidRPr="00A66142">
              <w:rPr>
                <w:rStyle w:val="Hyperlink"/>
                <w:noProof/>
                <w:lang w:val="en-US"/>
              </w:rPr>
              <w:t>Personal scope of Article 210a CMO</w:t>
            </w:r>
            <w:r w:rsidR="005120F0">
              <w:rPr>
                <w:noProof/>
                <w:webHidden/>
              </w:rPr>
              <w:tab/>
            </w:r>
            <w:r w:rsidR="005120F0">
              <w:rPr>
                <w:noProof/>
                <w:webHidden/>
              </w:rPr>
              <w:fldChar w:fldCharType="begin"/>
            </w:r>
            <w:r w:rsidR="005120F0">
              <w:rPr>
                <w:noProof/>
                <w:webHidden/>
              </w:rPr>
              <w:instrText xml:space="preserve"> PAGEREF _Toc133237398 \h </w:instrText>
            </w:r>
            <w:r w:rsidR="005120F0">
              <w:rPr>
                <w:noProof/>
                <w:webHidden/>
              </w:rPr>
            </w:r>
            <w:r w:rsidR="005120F0">
              <w:rPr>
                <w:noProof/>
                <w:webHidden/>
              </w:rPr>
              <w:fldChar w:fldCharType="separate"/>
            </w:r>
            <w:r w:rsidR="005120F0">
              <w:rPr>
                <w:noProof/>
                <w:webHidden/>
              </w:rPr>
              <w:t>4</w:t>
            </w:r>
            <w:r w:rsidR="005120F0">
              <w:rPr>
                <w:noProof/>
                <w:webHidden/>
              </w:rPr>
              <w:fldChar w:fldCharType="end"/>
            </w:r>
          </w:hyperlink>
        </w:p>
        <w:p w14:paraId="75012436" w14:textId="34A64EE2" w:rsidR="005120F0" w:rsidRDefault="00DD4394">
          <w:pPr>
            <w:pStyle w:val="Inhopg3"/>
            <w:tabs>
              <w:tab w:val="right" w:leader="dot" w:pos="9062"/>
            </w:tabs>
            <w:rPr>
              <w:rFonts w:asciiTheme="minorHAnsi" w:eastAsiaTheme="minorEastAsia" w:hAnsiTheme="minorHAnsi" w:cstheme="minorBidi"/>
              <w:bCs w:val="0"/>
              <w:noProof/>
              <w:sz w:val="22"/>
              <w:szCs w:val="22"/>
            </w:rPr>
          </w:pPr>
          <w:hyperlink w:anchor="_Toc133237399" w:history="1">
            <w:r w:rsidR="005120F0" w:rsidRPr="00A66142">
              <w:rPr>
                <w:rStyle w:val="Hyperlink"/>
                <w:noProof/>
                <w:lang w:val="en-US"/>
              </w:rPr>
              <w:t>Producers and associations of producers</w:t>
            </w:r>
            <w:r w:rsidR="005120F0">
              <w:rPr>
                <w:noProof/>
                <w:webHidden/>
              </w:rPr>
              <w:tab/>
            </w:r>
            <w:r w:rsidR="005120F0">
              <w:rPr>
                <w:noProof/>
                <w:webHidden/>
              </w:rPr>
              <w:fldChar w:fldCharType="begin"/>
            </w:r>
            <w:r w:rsidR="005120F0">
              <w:rPr>
                <w:noProof/>
                <w:webHidden/>
              </w:rPr>
              <w:instrText xml:space="preserve"> PAGEREF _Toc133237399 \h </w:instrText>
            </w:r>
            <w:r w:rsidR="005120F0">
              <w:rPr>
                <w:noProof/>
                <w:webHidden/>
              </w:rPr>
            </w:r>
            <w:r w:rsidR="005120F0">
              <w:rPr>
                <w:noProof/>
                <w:webHidden/>
              </w:rPr>
              <w:fldChar w:fldCharType="separate"/>
            </w:r>
            <w:r w:rsidR="005120F0">
              <w:rPr>
                <w:noProof/>
                <w:webHidden/>
              </w:rPr>
              <w:t>4</w:t>
            </w:r>
            <w:r w:rsidR="005120F0">
              <w:rPr>
                <w:noProof/>
                <w:webHidden/>
              </w:rPr>
              <w:fldChar w:fldCharType="end"/>
            </w:r>
          </w:hyperlink>
        </w:p>
        <w:p w14:paraId="47D72513" w14:textId="37FA5D0F" w:rsidR="005120F0" w:rsidRDefault="00DD4394">
          <w:pPr>
            <w:pStyle w:val="Inhopg3"/>
            <w:tabs>
              <w:tab w:val="right" w:leader="dot" w:pos="9062"/>
            </w:tabs>
            <w:rPr>
              <w:rFonts w:asciiTheme="minorHAnsi" w:eastAsiaTheme="minorEastAsia" w:hAnsiTheme="minorHAnsi" w:cstheme="minorBidi"/>
              <w:bCs w:val="0"/>
              <w:noProof/>
              <w:sz w:val="22"/>
              <w:szCs w:val="22"/>
            </w:rPr>
          </w:pPr>
          <w:hyperlink w:anchor="_Toc133237400" w:history="1">
            <w:r w:rsidR="005120F0" w:rsidRPr="00A66142">
              <w:rPr>
                <w:rStyle w:val="Hyperlink"/>
                <w:noProof/>
                <w:lang w:val="en-US"/>
              </w:rPr>
              <w:t>Paragraph 33</w:t>
            </w:r>
            <w:r w:rsidR="005120F0">
              <w:rPr>
                <w:noProof/>
                <w:webHidden/>
              </w:rPr>
              <w:tab/>
            </w:r>
            <w:r w:rsidR="005120F0">
              <w:rPr>
                <w:noProof/>
                <w:webHidden/>
              </w:rPr>
              <w:fldChar w:fldCharType="begin"/>
            </w:r>
            <w:r w:rsidR="005120F0">
              <w:rPr>
                <w:noProof/>
                <w:webHidden/>
              </w:rPr>
              <w:instrText xml:space="preserve"> PAGEREF _Toc133237400 \h </w:instrText>
            </w:r>
            <w:r w:rsidR="005120F0">
              <w:rPr>
                <w:noProof/>
                <w:webHidden/>
              </w:rPr>
            </w:r>
            <w:r w:rsidR="005120F0">
              <w:rPr>
                <w:noProof/>
                <w:webHidden/>
              </w:rPr>
              <w:fldChar w:fldCharType="separate"/>
            </w:r>
            <w:r w:rsidR="005120F0">
              <w:rPr>
                <w:noProof/>
                <w:webHidden/>
              </w:rPr>
              <w:t>4</w:t>
            </w:r>
            <w:r w:rsidR="005120F0">
              <w:rPr>
                <w:noProof/>
                <w:webHidden/>
              </w:rPr>
              <w:fldChar w:fldCharType="end"/>
            </w:r>
          </w:hyperlink>
        </w:p>
        <w:p w14:paraId="23B634AD" w14:textId="093EB238" w:rsidR="005120F0" w:rsidRDefault="00DD4394">
          <w:pPr>
            <w:pStyle w:val="Inhopg2"/>
            <w:tabs>
              <w:tab w:val="left" w:pos="880"/>
              <w:tab w:val="right" w:leader="dot" w:pos="9062"/>
            </w:tabs>
            <w:rPr>
              <w:rFonts w:asciiTheme="minorHAnsi" w:eastAsiaTheme="minorEastAsia" w:hAnsiTheme="minorHAnsi" w:cstheme="minorBidi"/>
              <w:bCs w:val="0"/>
              <w:noProof/>
              <w:sz w:val="22"/>
              <w:szCs w:val="22"/>
            </w:rPr>
          </w:pPr>
          <w:hyperlink w:anchor="_Toc133237401" w:history="1">
            <w:r w:rsidR="005120F0" w:rsidRPr="00A66142">
              <w:rPr>
                <w:rStyle w:val="Hyperlink"/>
                <w:noProof/>
                <w:lang w:val="en-US"/>
              </w:rPr>
              <w:t>3.3</w:t>
            </w:r>
            <w:r w:rsidR="005120F0">
              <w:rPr>
                <w:rFonts w:asciiTheme="minorHAnsi" w:eastAsiaTheme="minorEastAsia" w:hAnsiTheme="minorHAnsi" w:cstheme="minorBidi"/>
                <w:bCs w:val="0"/>
                <w:noProof/>
                <w:sz w:val="22"/>
                <w:szCs w:val="22"/>
              </w:rPr>
              <w:tab/>
            </w:r>
            <w:r w:rsidR="005120F0" w:rsidRPr="00A66142">
              <w:rPr>
                <w:rStyle w:val="Hyperlink"/>
                <w:noProof/>
                <w:lang w:val="en-US"/>
              </w:rPr>
              <w:t>Material scope of Article 210a CMO</w:t>
            </w:r>
            <w:r w:rsidR="005120F0">
              <w:rPr>
                <w:noProof/>
                <w:webHidden/>
              </w:rPr>
              <w:tab/>
            </w:r>
            <w:r w:rsidR="005120F0">
              <w:rPr>
                <w:noProof/>
                <w:webHidden/>
              </w:rPr>
              <w:fldChar w:fldCharType="begin"/>
            </w:r>
            <w:r w:rsidR="005120F0">
              <w:rPr>
                <w:noProof/>
                <w:webHidden/>
              </w:rPr>
              <w:instrText xml:space="preserve"> PAGEREF _Toc133237401 \h </w:instrText>
            </w:r>
            <w:r w:rsidR="005120F0">
              <w:rPr>
                <w:noProof/>
                <w:webHidden/>
              </w:rPr>
            </w:r>
            <w:r w:rsidR="005120F0">
              <w:rPr>
                <w:noProof/>
                <w:webHidden/>
              </w:rPr>
              <w:fldChar w:fldCharType="separate"/>
            </w:r>
            <w:r w:rsidR="005120F0">
              <w:rPr>
                <w:noProof/>
                <w:webHidden/>
              </w:rPr>
              <w:t>5</w:t>
            </w:r>
            <w:r w:rsidR="005120F0">
              <w:rPr>
                <w:noProof/>
                <w:webHidden/>
              </w:rPr>
              <w:fldChar w:fldCharType="end"/>
            </w:r>
          </w:hyperlink>
        </w:p>
        <w:p w14:paraId="200FA478" w14:textId="5D2513E1" w:rsidR="005120F0" w:rsidRDefault="00DD4394">
          <w:pPr>
            <w:pStyle w:val="Inhopg3"/>
            <w:tabs>
              <w:tab w:val="right" w:leader="dot" w:pos="9062"/>
            </w:tabs>
            <w:rPr>
              <w:rFonts w:asciiTheme="minorHAnsi" w:eastAsiaTheme="minorEastAsia" w:hAnsiTheme="minorHAnsi" w:cstheme="minorBidi"/>
              <w:bCs w:val="0"/>
              <w:noProof/>
              <w:sz w:val="22"/>
              <w:szCs w:val="22"/>
            </w:rPr>
          </w:pPr>
          <w:hyperlink w:anchor="_Toc133237402" w:history="1">
            <w:r w:rsidR="005120F0" w:rsidRPr="00A66142">
              <w:rPr>
                <w:rStyle w:val="Hyperlink"/>
                <w:noProof/>
                <w:lang w:val="en-US"/>
              </w:rPr>
              <w:t>Example paragraph 37</w:t>
            </w:r>
            <w:r w:rsidR="005120F0">
              <w:rPr>
                <w:noProof/>
                <w:webHidden/>
              </w:rPr>
              <w:tab/>
            </w:r>
            <w:r w:rsidR="005120F0">
              <w:rPr>
                <w:noProof/>
                <w:webHidden/>
              </w:rPr>
              <w:fldChar w:fldCharType="begin"/>
            </w:r>
            <w:r w:rsidR="005120F0">
              <w:rPr>
                <w:noProof/>
                <w:webHidden/>
              </w:rPr>
              <w:instrText xml:space="preserve"> PAGEREF _Toc133237402 \h </w:instrText>
            </w:r>
            <w:r w:rsidR="005120F0">
              <w:rPr>
                <w:noProof/>
                <w:webHidden/>
              </w:rPr>
            </w:r>
            <w:r w:rsidR="005120F0">
              <w:rPr>
                <w:noProof/>
                <w:webHidden/>
              </w:rPr>
              <w:fldChar w:fldCharType="separate"/>
            </w:r>
            <w:r w:rsidR="005120F0">
              <w:rPr>
                <w:noProof/>
                <w:webHidden/>
              </w:rPr>
              <w:t>5</w:t>
            </w:r>
            <w:r w:rsidR="005120F0">
              <w:rPr>
                <w:noProof/>
                <w:webHidden/>
              </w:rPr>
              <w:fldChar w:fldCharType="end"/>
            </w:r>
          </w:hyperlink>
        </w:p>
        <w:p w14:paraId="13255E59" w14:textId="73551D8F" w:rsidR="005120F0" w:rsidRDefault="00DD4394">
          <w:pPr>
            <w:pStyle w:val="Inhopg2"/>
            <w:tabs>
              <w:tab w:val="left" w:pos="880"/>
              <w:tab w:val="right" w:leader="dot" w:pos="9062"/>
            </w:tabs>
            <w:rPr>
              <w:rFonts w:asciiTheme="minorHAnsi" w:eastAsiaTheme="minorEastAsia" w:hAnsiTheme="minorHAnsi" w:cstheme="minorBidi"/>
              <w:bCs w:val="0"/>
              <w:noProof/>
              <w:sz w:val="22"/>
              <w:szCs w:val="22"/>
            </w:rPr>
          </w:pPr>
          <w:hyperlink w:anchor="_Toc133237403" w:history="1">
            <w:r w:rsidR="005120F0" w:rsidRPr="00A66142">
              <w:rPr>
                <w:rStyle w:val="Hyperlink"/>
                <w:noProof/>
                <w:lang w:val="en-US"/>
              </w:rPr>
              <w:t>3.4</w:t>
            </w:r>
            <w:r w:rsidR="005120F0">
              <w:rPr>
                <w:rFonts w:asciiTheme="minorHAnsi" w:eastAsiaTheme="minorEastAsia" w:hAnsiTheme="minorHAnsi" w:cstheme="minorBidi"/>
                <w:bCs w:val="0"/>
                <w:noProof/>
                <w:sz w:val="22"/>
                <w:szCs w:val="22"/>
              </w:rPr>
              <w:tab/>
            </w:r>
            <w:r w:rsidR="005120F0" w:rsidRPr="00A66142">
              <w:rPr>
                <w:rStyle w:val="Hyperlink"/>
                <w:noProof/>
                <w:lang w:val="en-US"/>
              </w:rPr>
              <w:t>Indispensability under article 210a CMO</w:t>
            </w:r>
            <w:r w:rsidR="005120F0">
              <w:rPr>
                <w:noProof/>
                <w:webHidden/>
              </w:rPr>
              <w:tab/>
            </w:r>
            <w:r w:rsidR="005120F0">
              <w:rPr>
                <w:noProof/>
                <w:webHidden/>
              </w:rPr>
              <w:fldChar w:fldCharType="begin"/>
            </w:r>
            <w:r w:rsidR="005120F0">
              <w:rPr>
                <w:noProof/>
                <w:webHidden/>
              </w:rPr>
              <w:instrText xml:space="preserve"> PAGEREF _Toc133237403 \h </w:instrText>
            </w:r>
            <w:r w:rsidR="005120F0">
              <w:rPr>
                <w:noProof/>
                <w:webHidden/>
              </w:rPr>
            </w:r>
            <w:r w:rsidR="005120F0">
              <w:rPr>
                <w:noProof/>
                <w:webHidden/>
              </w:rPr>
              <w:fldChar w:fldCharType="separate"/>
            </w:r>
            <w:r w:rsidR="005120F0">
              <w:rPr>
                <w:noProof/>
                <w:webHidden/>
              </w:rPr>
              <w:t>5</w:t>
            </w:r>
            <w:r w:rsidR="005120F0">
              <w:rPr>
                <w:noProof/>
                <w:webHidden/>
              </w:rPr>
              <w:fldChar w:fldCharType="end"/>
            </w:r>
          </w:hyperlink>
        </w:p>
        <w:p w14:paraId="1BA12C24" w14:textId="670A0A86" w:rsidR="005120F0" w:rsidRDefault="00DD4394">
          <w:pPr>
            <w:pStyle w:val="Inhopg3"/>
            <w:tabs>
              <w:tab w:val="right" w:leader="dot" w:pos="9062"/>
            </w:tabs>
            <w:rPr>
              <w:rFonts w:asciiTheme="minorHAnsi" w:eastAsiaTheme="minorEastAsia" w:hAnsiTheme="minorHAnsi" w:cstheme="minorBidi"/>
              <w:bCs w:val="0"/>
              <w:noProof/>
              <w:sz w:val="22"/>
              <w:szCs w:val="22"/>
            </w:rPr>
          </w:pPr>
          <w:hyperlink w:anchor="_Toc133237404" w:history="1">
            <w:r w:rsidR="005120F0" w:rsidRPr="00A66142">
              <w:rPr>
                <w:rStyle w:val="Hyperlink"/>
                <w:noProof/>
                <w:lang w:val="en-US"/>
              </w:rPr>
              <w:t>General remark</w:t>
            </w:r>
            <w:r w:rsidR="005120F0">
              <w:rPr>
                <w:noProof/>
                <w:webHidden/>
              </w:rPr>
              <w:tab/>
            </w:r>
            <w:r w:rsidR="005120F0">
              <w:rPr>
                <w:noProof/>
                <w:webHidden/>
              </w:rPr>
              <w:fldChar w:fldCharType="begin"/>
            </w:r>
            <w:r w:rsidR="005120F0">
              <w:rPr>
                <w:noProof/>
                <w:webHidden/>
              </w:rPr>
              <w:instrText xml:space="preserve"> PAGEREF _Toc133237404 \h </w:instrText>
            </w:r>
            <w:r w:rsidR="005120F0">
              <w:rPr>
                <w:noProof/>
                <w:webHidden/>
              </w:rPr>
            </w:r>
            <w:r w:rsidR="005120F0">
              <w:rPr>
                <w:noProof/>
                <w:webHidden/>
              </w:rPr>
              <w:fldChar w:fldCharType="separate"/>
            </w:r>
            <w:r w:rsidR="005120F0">
              <w:rPr>
                <w:noProof/>
                <w:webHidden/>
              </w:rPr>
              <w:t>5</w:t>
            </w:r>
            <w:r w:rsidR="005120F0">
              <w:rPr>
                <w:noProof/>
                <w:webHidden/>
              </w:rPr>
              <w:fldChar w:fldCharType="end"/>
            </w:r>
          </w:hyperlink>
        </w:p>
        <w:p w14:paraId="11271036" w14:textId="56AE6BC6" w:rsidR="005120F0" w:rsidRDefault="00DD4394">
          <w:pPr>
            <w:pStyle w:val="Inhopg3"/>
            <w:tabs>
              <w:tab w:val="right" w:leader="dot" w:pos="9062"/>
            </w:tabs>
            <w:rPr>
              <w:rFonts w:asciiTheme="minorHAnsi" w:eastAsiaTheme="minorEastAsia" w:hAnsiTheme="minorHAnsi" w:cstheme="minorBidi"/>
              <w:bCs w:val="0"/>
              <w:noProof/>
              <w:sz w:val="22"/>
              <w:szCs w:val="22"/>
            </w:rPr>
          </w:pPr>
          <w:hyperlink w:anchor="_Toc133237405" w:history="1">
            <w:r w:rsidR="005120F0" w:rsidRPr="00A66142">
              <w:rPr>
                <w:rStyle w:val="Hyperlink"/>
                <w:noProof/>
                <w:lang w:val="en-US"/>
              </w:rPr>
              <w:t>Paragraph 78</w:t>
            </w:r>
            <w:r w:rsidR="005120F0">
              <w:rPr>
                <w:noProof/>
                <w:webHidden/>
              </w:rPr>
              <w:tab/>
            </w:r>
            <w:r w:rsidR="005120F0">
              <w:rPr>
                <w:noProof/>
                <w:webHidden/>
              </w:rPr>
              <w:fldChar w:fldCharType="begin"/>
            </w:r>
            <w:r w:rsidR="005120F0">
              <w:rPr>
                <w:noProof/>
                <w:webHidden/>
              </w:rPr>
              <w:instrText xml:space="preserve"> PAGEREF _Toc133237405 \h </w:instrText>
            </w:r>
            <w:r w:rsidR="005120F0">
              <w:rPr>
                <w:noProof/>
                <w:webHidden/>
              </w:rPr>
            </w:r>
            <w:r w:rsidR="005120F0">
              <w:rPr>
                <w:noProof/>
                <w:webHidden/>
              </w:rPr>
              <w:fldChar w:fldCharType="separate"/>
            </w:r>
            <w:r w:rsidR="005120F0">
              <w:rPr>
                <w:noProof/>
                <w:webHidden/>
              </w:rPr>
              <w:t>5</w:t>
            </w:r>
            <w:r w:rsidR="005120F0">
              <w:rPr>
                <w:noProof/>
                <w:webHidden/>
              </w:rPr>
              <w:fldChar w:fldCharType="end"/>
            </w:r>
          </w:hyperlink>
        </w:p>
        <w:p w14:paraId="22A5A4C3" w14:textId="39CD42F0" w:rsidR="005120F0" w:rsidRDefault="00DD4394">
          <w:pPr>
            <w:pStyle w:val="Inhopg3"/>
            <w:tabs>
              <w:tab w:val="right" w:leader="dot" w:pos="9062"/>
            </w:tabs>
            <w:rPr>
              <w:rFonts w:asciiTheme="minorHAnsi" w:eastAsiaTheme="minorEastAsia" w:hAnsiTheme="minorHAnsi" w:cstheme="minorBidi"/>
              <w:bCs w:val="0"/>
              <w:noProof/>
              <w:sz w:val="22"/>
              <w:szCs w:val="22"/>
            </w:rPr>
          </w:pPr>
          <w:hyperlink w:anchor="_Toc133237406" w:history="1">
            <w:r w:rsidR="005120F0" w:rsidRPr="00A66142">
              <w:rPr>
                <w:rStyle w:val="Hyperlink"/>
                <w:noProof/>
                <w:lang w:val="en-US"/>
              </w:rPr>
              <w:t>Paragraph 83</w:t>
            </w:r>
            <w:r w:rsidR="005120F0">
              <w:rPr>
                <w:noProof/>
                <w:webHidden/>
              </w:rPr>
              <w:tab/>
            </w:r>
            <w:r w:rsidR="005120F0">
              <w:rPr>
                <w:noProof/>
                <w:webHidden/>
              </w:rPr>
              <w:fldChar w:fldCharType="begin"/>
            </w:r>
            <w:r w:rsidR="005120F0">
              <w:rPr>
                <w:noProof/>
                <w:webHidden/>
              </w:rPr>
              <w:instrText xml:space="preserve"> PAGEREF _Toc133237406 \h </w:instrText>
            </w:r>
            <w:r w:rsidR="005120F0">
              <w:rPr>
                <w:noProof/>
                <w:webHidden/>
              </w:rPr>
            </w:r>
            <w:r w:rsidR="005120F0">
              <w:rPr>
                <w:noProof/>
                <w:webHidden/>
              </w:rPr>
              <w:fldChar w:fldCharType="separate"/>
            </w:r>
            <w:r w:rsidR="005120F0">
              <w:rPr>
                <w:noProof/>
                <w:webHidden/>
              </w:rPr>
              <w:t>6</w:t>
            </w:r>
            <w:r w:rsidR="005120F0">
              <w:rPr>
                <w:noProof/>
                <w:webHidden/>
              </w:rPr>
              <w:fldChar w:fldCharType="end"/>
            </w:r>
          </w:hyperlink>
        </w:p>
        <w:p w14:paraId="47AE88B5" w14:textId="0E688485" w:rsidR="005120F0" w:rsidRDefault="00DD4394">
          <w:pPr>
            <w:pStyle w:val="Inhopg3"/>
            <w:tabs>
              <w:tab w:val="right" w:leader="dot" w:pos="9062"/>
            </w:tabs>
            <w:rPr>
              <w:rFonts w:asciiTheme="minorHAnsi" w:eastAsiaTheme="minorEastAsia" w:hAnsiTheme="minorHAnsi" w:cstheme="minorBidi"/>
              <w:bCs w:val="0"/>
              <w:noProof/>
              <w:sz w:val="22"/>
              <w:szCs w:val="22"/>
            </w:rPr>
          </w:pPr>
          <w:hyperlink w:anchor="_Toc133237407" w:history="1">
            <w:r w:rsidR="005120F0" w:rsidRPr="00A66142">
              <w:rPr>
                <w:rStyle w:val="Hyperlink"/>
                <w:noProof/>
                <w:lang w:val="en-US"/>
              </w:rPr>
              <w:t>Paragraph 89</w:t>
            </w:r>
            <w:r w:rsidR="005120F0">
              <w:rPr>
                <w:noProof/>
                <w:webHidden/>
              </w:rPr>
              <w:tab/>
            </w:r>
            <w:r w:rsidR="005120F0">
              <w:rPr>
                <w:noProof/>
                <w:webHidden/>
              </w:rPr>
              <w:fldChar w:fldCharType="begin"/>
            </w:r>
            <w:r w:rsidR="005120F0">
              <w:rPr>
                <w:noProof/>
                <w:webHidden/>
              </w:rPr>
              <w:instrText xml:space="preserve"> PAGEREF _Toc133237407 \h </w:instrText>
            </w:r>
            <w:r w:rsidR="005120F0">
              <w:rPr>
                <w:noProof/>
                <w:webHidden/>
              </w:rPr>
            </w:r>
            <w:r w:rsidR="005120F0">
              <w:rPr>
                <w:noProof/>
                <w:webHidden/>
              </w:rPr>
              <w:fldChar w:fldCharType="separate"/>
            </w:r>
            <w:r w:rsidR="005120F0">
              <w:rPr>
                <w:noProof/>
                <w:webHidden/>
              </w:rPr>
              <w:t>6</w:t>
            </w:r>
            <w:r w:rsidR="005120F0">
              <w:rPr>
                <w:noProof/>
                <w:webHidden/>
              </w:rPr>
              <w:fldChar w:fldCharType="end"/>
            </w:r>
          </w:hyperlink>
        </w:p>
        <w:p w14:paraId="0DBF669E" w14:textId="4C0B37FE" w:rsidR="005120F0" w:rsidRDefault="00DD4394">
          <w:pPr>
            <w:pStyle w:val="Inhopg3"/>
            <w:tabs>
              <w:tab w:val="right" w:leader="dot" w:pos="9062"/>
            </w:tabs>
            <w:rPr>
              <w:rFonts w:asciiTheme="minorHAnsi" w:eastAsiaTheme="minorEastAsia" w:hAnsiTheme="minorHAnsi" w:cstheme="minorBidi"/>
              <w:bCs w:val="0"/>
              <w:noProof/>
              <w:sz w:val="22"/>
              <w:szCs w:val="22"/>
            </w:rPr>
          </w:pPr>
          <w:hyperlink w:anchor="_Toc133237408" w:history="1">
            <w:r w:rsidR="005120F0" w:rsidRPr="00A66142">
              <w:rPr>
                <w:rStyle w:val="Hyperlink"/>
                <w:noProof/>
                <w:lang w:val="en-US"/>
              </w:rPr>
              <w:t>Paragraph 100</w:t>
            </w:r>
            <w:r w:rsidR="005120F0">
              <w:rPr>
                <w:noProof/>
                <w:webHidden/>
              </w:rPr>
              <w:tab/>
            </w:r>
            <w:r w:rsidR="005120F0">
              <w:rPr>
                <w:noProof/>
                <w:webHidden/>
              </w:rPr>
              <w:fldChar w:fldCharType="begin"/>
            </w:r>
            <w:r w:rsidR="005120F0">
              <w:rPr>
                <w:noProof/>
                <w:webHidden/>
              </w:rPr>
              <w:instrText xml:space="preserve"> PAGEREF _Toc133237408 \h </w:instrText>
            </w:r>
            <w:r w:rsidR="005120F0">
              <w:rPr>
                <w:noProof/>
                <w:webHidden/>
              </w:rPr>
            </w:r>
            <w:r w:rsidR="005120F0">
              <w:rPr>
                <w:noProof/>
                <w:webHidden/>
              </w:rPr>
              <w:fldChar w:fldCharType="separate"/>
            </w:r>
            <w:r w:rsidR="005120F0">
              <w:rPr>
                <w:noProof/>
                <w:webHidden/>
              </w:rPr>
              <w:t>6</w:t>
            </w:r>
            <w:r w:rsidR="005120F0">
              <w:rPr>
                <w:noProof/>
                <w:webHidden/>
              </w:rPr>
              <w:fldChar w:fldCharType="end"/>
            </w:r>
          </w:hyperlink>
        </w:p>
        <w:p w14:paraId="02D06D3B" w14:textId="30447344" w:rsidR="005120F0" w:rsidRDefault="00DD4394">
          <w:pPr>
            <w:pStyle w:val="Inhopg2"/>
            <w:tabs>
              <w:tab w:val="left" w:pos="880"/>
              <w:tab w:val="right" w:leader="dot" w:pos="9062"/>
            </w:tabs>
            <w:rPr>
              <w:rFonts w:asciiTheme="minorHAnsi" w:eastAsiaTheme="minorEastAsia" w:hAnsiTheme="minorHAnsi" w:cstheme="minorBidi"/>
              <w:bCs w:val="0"/>
              <w:noProof/>
              <w:sz w:val="22"/>
              <w:szCs w:val="22"/>
            </w:rPr>
          </w:pPr>
          <w:hyperlink w:anchor="_Toc133237409" w:history="1">
            <w:r w:rsidR="005120F0" w:rsidRPr="00A66142">
              <w:rPr>
                <w:rStyle w:val="Hyperlink"/>
                <w:noProof/>
                <w:lang w:val="en-US"/>
              </w:rPr>
              <w:t>3.5</w:t>
            </w:r>
            <w:r w:rsidR="005120F0">
              <w:rPr>
                <w:rFonts w:asciiTheme="minorHAnsi" w:eastAsiaTheme="minorEastAsia" w:hAnsiTheme="minorHAnsi" w:cstheme="minorBidi"/>
                <w:bCs w:val="0"/>
                <w:noProof/>
                <w:sz w:val="22"/>
                <w:szCs w:val="22"/>
              </w:rPr>
              <w:tab/>
            </w:r>
            <w:r w:rsidR="005120F0" w:rsidRPr="00A66142">
              <w:rPr>
                <w:rStyle w:val="Hyperlink"/>
                <w:noProof/>
                <w:lang w:val="en-US"/>
              </w:rPr>
              <w:t>Opinion system under Article 210a CMO</w:t>
            </w:r>
            <w:r w:rsidR="005120F0">
              <w:rPr>
                <w:noProof/>
                <w:webHidden/>
              </w:rPr>
              <w:tab/>
            </w:r>
            <w:r w:rsidR="005120F0">
              <w:rPr>
                <w:noProof/>
                <w:webHidden/>
              </w:rPr>
              <w:fldChar w:fldCharType="begin"/>
            </w:r>
            <w:r w:rsidR="005120F0">
              <w:rPr>
                <w:noProof/>
                <w:webHidden/>
              </w:rPr>
              <w:instrText xml:space="preserve"> PAGEREF _Toc133237409 \h </w:instrText>
            </w:r>
            <w:r w:rsidR="005120F0">
              <w:rPr>
                <w:noProof/>
                <w:webHidden/>
              </w:rPr>
            </w:r>
            <w:r w:rsidR="005120F0">
              <w:rPr>
                <w:noProof/>
                <w:webHidden/>
              </w:rPr>
              <w:fldChar w:fldCharType="separate"/>
            </w:r>
            <w:r w:rsidR="005120F0">
              <w:rPr>
                <w:noProof/>
                <w:webHidden/>
              </w:rPr>
              <w:t>6</w:t>
            </w:r>
            <w:r w:rsidR="005120F0">
              <w:rPr>
                <w:noProof/>
                <w:webHidden/>
              </w:rPr>
              <w:fldChar w:fldCharType="end"/>
            </w:r>
          </w:hyperlink>
        </w:p>
        <w:p w14:paraId="10FB1BE5" w14:textId="25C35D16" w:rsidR="005120F0" w:rsidRDefault="00DD4394">
          <w:pPr>
            <w:pStyle w:val="Inhopg3"/>
            <w:tabs>
              <w:tab w:val="right" w:leader="dot" w:pos="9062"/>
            </w:tabs>
            <w:rPr>
              <w:rFonts w:asciiTheme="minorHAnsi" w:eastAsiaTheme="minorEastAsia" w:hAnsiTheme="minorHAnsi" w:cstheme="minorBidi"/>
              <w:bCs w:val="0"/>
              <w:noProof/>
              <w:sz w:val="22"/>
              <w:szCs w:val="22"/>
            </w:rPr>
          </w:pPr>
          <w:hyperlink w:anchor="_Toc133237410" w:history="1">
            <w:r w:rsidR="005120F0" w:rsidRPr="00A66142">
              <w:rPr>
                <w:rStyle w:val="Hyperlink"/>
                <w:noProof/>
                <w:lang w:val="en-US"/>
              </w:rPr>
              <w:t>Paragraph 146</w:t>
            </w:r>
            <w:r w:rsidR="005120F0">
              <w:rPr>
                <w:noProof/>
                <w:webHidden/>
              </w:rPr>
              <w:tab/>
            </w:r>
            <w:r w:rsidR="005120F0">
              <w:rPr>
                <w:noProof/>
                <w:webHidden/>
              </w:rPr>
              <w:fldChar w:fldCharType="begin"/>
            </w:r>
            <w:r w:rsidR="005120F0">
              <w:rPr>
                <w:noProof/>
                <w:webHidden/>
              </w:rPr>
              <w:instrText xml:space="preserve"> PAGEREF _Toc133237410 \h </w:instrText>
            </w:r>
            <w:r w:rsidR="005120F0">
              <w:rPr>
                <w:noProof/>
                <w:webHidden/>
              </w:rPr>
            </w:r>
            <w:r w:rsidR="005120F0">
              <w:rPr>
                <w:noProof/>
                <w:webHidden/>
              </w:rPr>
              <w:fldChar w:fldCharType="separate"/>
            </w:r>
            <w:r w:rsidR="005120F0">
              <w:rPr>
                <w:noProof/>
                <w:webHidden/>
              </w:rPr>
              <w:t>6</w:t>
            </w:r>
            <w:r w:rsidR="005120F0">
              <w:rPr>
                <w:noProof/>
                <w:webHidden/>
              </w:rPr>
              <w:fldChar w:fldCharType="end"/>
            </w:r>
          </w:hyperlink>
        </w:p>
        <w:p w14:paraId="0C69E129" w14:textId="6CE05574" w:rsidR="005120F0" w:rsidRDefault="00DD4394">
          <w:pPr>
            <w:pStyle w:val="Inhopg2"/>
            <w:tabs>
              <w:tab w:val="left" w:pos="880"/>
              <w:tab w:val="right" w:leader="dot" w:pos="9062"/>
            </w:tabs>
            <w:rPr>
              <w:rFonts w:asciiTheme="minorHAnsi" w:eastAsiaTheme="minorEastAsia" w:hAnsiTheme="minorHAnsi" w:cstheme="minorBidi"/>
              <w:bCs w:val="0"/>
              <w:noProof/>
              <w:sz w:val="22"/>
              <w:szCs w:val="22"/>
            </w:rPr>
          </w:pPr>
          <w:hyperlink w:anchor="_Toc133237411" w:history="1">
            <w:r w:rsidR="005120F0" w:rsidRPr="00A66142">
              <w:rPr>
                <w:rStyle w:val="Hyperlink"/>
                <w:noProof/>
                <w:lang w:val="en-US"/>
              </w:rPr>
              <w:t>3.6</w:t>
            </w:r>
            <w:r w:rsidR="005120F0">
              <w:rPr>
                <w:rFonts w:asciiTheme="minorHAnsi" w:eastAsiaTheme="minorEastAsia" w:hAnsiTheme="minorHAnsi" w:cstheme="minorBidi"/>
                <w:bCs w:val="0"/>
                <w:noProof/>
                <w:sz w:val="22"/>
                <w:szCs w:val="22"/>
              </w:rPr>
              <w:tab/>
            </w:r>
            <w:r w:rsidR="005120F0" w:rsidRPr="00A66142">
              <w:rPr>
                <w:rStyle w:val="Hyperlink"/>
                <w:noProof/>
                <w:lang w:val="en-US"/>
              </w:rPr>
              <w:t>Ex-post intervention by the Commission and national competition authorities under Article 210a (7) CMO</w:t>
            </w:r>
            <w:r w:rsidR="005120F0">
              <w:rPr>
                <w:noProof/>
                <w:webHidden/>
              </w:rPr>
              <w:tab/>
            </w:r>
            <w:r w:rsidR="005120F0">
              <w:rPr>
                <w:noProof/>
                <w:webHidden/>
              </w:rPr>
              <w:fldChar w:fldCharType="begin"/>
            </w:r>
            <w:r w:rsidR="005120F0">
              <w:rPr>
                <w:noProof/>
                <w:webHidden/>
              </w:rPr>
              <w:instrText xml:space="preserve"> PAGEREF _Toc133237411 \h </w:instrText>
            </w:r>
            <w:r w:rsidR="005120F0">
              <w:rPr>
                <w:noProof/>
                <w:webHidden/>
              </w:rPr>
            </w:r>
            <w:r w:rsidR="005120F0">
              <w:rPr>
                <w:noProof/>
                <w:webHidden/>
              </w:rPr>
              <w:fldChar w:fldCharType="separate"/>
            </w:r>
            <w:r w:rsidR="005120F0">
              <w:rPr>
                <w:noProof/>
                <w:webHidden/>
              </w:rPr>
              <w:t>7</w:t>
            </w:r>
            <w:r w:rsidR="005120F0">
              <w:rPr>
                <w:noProof/>
                <w:webHidden/>
              </w:rPr>
              <w:fldChar w:fldCharType="end"/>
            </w:r>
          </w:hyperlink>
        </w:p>
        <w:p w14:paraId="54EF9884" w14:textId="685C1370" w:rsidR="005120F0" w:rsidRDefault="00DD4394">
          <w:pPr>
            <w:pStyle w:val="Inhopg3"/>
            <w:tabs>
              <w:tab w:val="right" w:leader="dot" w:pos="9062"/>
            </w:tabs>
            <w:rPr>
              <w:rFonts w:asciiTheme="minorHAnsi" w:eastAsiaTheme="minorEastAsia" w:hAnsiTheme="minorHAnsi" w:cstheme="minorBidi"/>
              <w:bCs w:val="0"/>
              <w:noProof/>
              <w:sz w:val="22"/>
              <w:szCs w:val="22"/>
            </w:rPr>
          </w:pPr>
          <w:hyperlink w:anchor="_Toc133237412" w:history="1">
            <w:r w:rsidR="005120F0" w:rsidRPr="00A66142">
              <w:rPr>
                <w:rStyle w:val="Hyperlink"/>
                <w:noProof/>
                <w:lang w:val="en-US"/>
              </w:rPr>
              <w:t>General remarks</w:t>
            </w:r>
            <w:r w:rsidR="005120F0">
              <w:rPr>
                <w:noProof/>
                <w:webHidden/>
              </w:rPr>
              <w:tab/>
            </w:r>
            <w:r w:rsidR="005120F0">
              <w:rPr>
                <w:noProof/>
                <w:webHidden/>
              </w:rPr>
              <w:fldChar w:fldCharType="begin"/>
            </w:r>
            <w:r w:rsidR="005120F0">
              <w:rPr>
                <w:noProof/>
                <w:webHidden/>
              </w:rPr>
              <w:instrText xml:space="preserve"> PAGEREF _Toc133237412 \h </w:instrText>
            </w:r>
            <w:r w:rsidR="005120F0">
              <w:rPr>
                <w:noProof/>
                <w:webHidden/>
              </w:rPr>
            </w:r>
            <w:r w:rsidR="005120F0">
              <w:rPr>
                <w:noProof/>
                <w:webHidden/>
              </w:rPr>
              <w:fldChar w:fldCharType="separate"/>
            </w:r>
            <w:r w:rsidR="005120F0">
              <w:rPr>
                <w:noProof/>
                <w:webHidden/>
              </w:rPr>
              <w:t>7</w:t>
            </w:r>
            <w:r w:rsidR="005120F0">
              <w:rPr>
                <w:noProof/>
                <w:webHidden/>
              </w:rPr>
              <w:fldChar w:fldCharType="end"/>
            </w:r>
          </w:hyperlink>
        </w:p>
        <w:p w14:paraId="06BAE9C1" w14:textId="2D9008F1" w:rsidR="005120F0" w:rsidRDefault="00DD4394">
          <w:pPr>
            <w:pStyle w:val="Inhopg3"/>
            <w:tabs>
              <w:tab w:val="right" w:leader="dot" w:pos="9062"/>
            </w:tabs>
            <w:rPr>
              <w:rFonts w:asciiTheme="minorHAnsi" w:eastAsiaTheme="minorEastAsia" w:hAnsiTheme="minorHAnsi" w:cstheme="minorBidi"/>
              <w:bCs w:val="0"/>
              <w:noProof/>
              <w:sz w:val="22"/>
              <w:szCs w:val="22"/>
            </w:rPr>
          </w:pPr>
          <w:hyperlink w:anchor="_Toc133237413" w:history="1">
            <w:r w:rsidR="005120F0" w:rsidRPr="00A66142">
              <w:rPr>
                <w:rStyle w:val="Hyperlink"/>
                <w:noProof/>
                <w:lang w:val="en-US"/>
              </w:rPr>
              <w:t>Paragraph 163</w:t>
            </w:r>
            <w:r w:rsidR="005120F0">
              <w:rPr>
                <w:noProof/>
                <w:webHidden/>
              </w:rPr>
              <w:tab/>
            </w:r>
            <w:r w:rsidR="005120F0">
              <w:rPr>
                <w:noProof/>
                <w:webHidden/>
              </w:rPr>
              <w:fldChar w:fldCharType="begin"/>
            </w:r>
            <w:r w:rsidR="005120F0">
              <w:rPr>
                <w:noProof/>
                <w:webHidden/>
              </w:rPr>
              <w:instrText xml:space="preserve"> PAGEREF _Toc133237413 \h </w:instrText>
            </w:r>
            <w:r w:rsidR="005120F0">
              <w:rPr>
                <w:noProof/>
                <w:webHidden/>
              </w:rPr>
            </w:r>
            <w:r w:rsidR="005120F0">
              <w:rPr>
                <w:noProof/>
                <w:webHidden/>
              </w:rPr>
              <w:fldChar w:fldCharType="separate"/>
            </w:r>
            <w:r w:rsidR="005120F0">
              <w:rPr>
                <w:noProof/>
                <w:webHidden/>
              </w:rPr>
              <w:t>7</w:t>
            </w:r>
            <w:r w:rsidR="005120F0">
              <w:rPr>
                <w:noProof/>
                <w:webHidden/>
              </w:rPr>
              <w:fldChar w:fldCharType="end"/>
            </w:r>
          </w:hyperlink>
        </w:p>
        <w:p w14:paraId="4BA656DF" w14:textId="291FB189" w:rsidR="005120F0" w:rsidRDefault="00DD4394">
          <w:pPr>
            <w:pStyle w:val="Inhopg3"/>
            <w:tabs>
              <w:tab w:val="right" w:leader="dot" w:pos="9062"/>
            </w:tabs>
            <w:rPr>
              <w:rFonts w:asciiTheme="minorHAnsi" w:eastAsiaTheme="minorEastAsia" w:hAnsiTheme="minorHAnsi" w:cstheme="minorBidi"/>
              <w:bCs w:val="0"/>
              <w:noProof/>
              <w:sz w:val="22"/>
              <w:szCs w:val="22"/>
            </w:rPr>
          </w:pPr>
          <w:hyperlink w:anchor="_Toc133237414" w:history="1">
            <w:r w:rsidR="005120F0" w:rsidRPr="00A66142">
              <w:rPr>
                <w:rStyle w:val="Hyperlink"/>
                <w:noProof/>
                <w:lang w:val="en-US"/>
              </w:rPr>
              <w:t>Paragraph 166</w:t>
            </w:r>
            <w:r w:rsidR="005120F0">
              <w:rPr>
                <w:noProof/>
                <w:webHidden/>
              </w:rPr>
              <w:tab/>
            </w:r>
            <w:r w:rsidR="005120F0">
              <w:rPr>
                <w:noProof/>
                <w:webHidden/>
              </w:rPr>
              <w:fldChar w:fldCharType="begin"/>
            </w:r>
            <w:r w:rsidR="005120F0">
              <w:rPr>
                <w:noProof/>
                <w:webHidden/>
              </w:rPr>
              <w:instrText xml:space="preserve"> PAGEREF _Toc133237414 \h </w:instrText>
            </w:r>
            <w:r w:rsidR="005120F0">
              <w:rPr>
                <w:noProof/>
                <w:webHidden/>
              </w:rPr>
            </w:r>
            <w:r w:rsidR="005120F0">
              <w:rPr>
                <w:noProof/>
                <w:webHidden/>
              </w:rPr>
              <w:fldChar w:fldCharType="separate"/>
            </w:r>
            <w:r w:rsidR="005120F0">
              <w:rPr>
                <w:noProof/>
                <w:webHidden/>
              </w:rPr>
              <w:t>7</w:t>
            </w:r>
            <w:r w:rsidR="005120F0">
              <w:rPr>
                <w:noProof/>
                <w:webHidden/>
              </w:rPr>
              <w:fldChar w:fldCharType="end"/>
            </w:r>
          </w:hyperlink>
        </w:p>
        <w:p w14:paraId="475F86F9" w14:textId="6BE5A413" w:rsidR="005120F0" w:rsidRDefault="00DD4394">
          <w:pPr>
            <w:pStyle w:val="Inhopg3"/>
            <w:tabs>
              <w:tab w:val="right" w:leader="dot" w:pos="9062"/>
            </w:tabs>
            <w:rPr>
              <w:rFonts w:asciiTheme="minorHAnsi" w:eastAsiaTheme="minorEastAsia" w:hAnsiTheme="minorHAnsi" w:cstheme="minorBidi"/>
              <w:bCs w:val="0"/>
              <w:noProof/>
              <w:sz w:val="22"/>
              <w:szCs w:val="22"/>
            </w:rPr>
          </w:pPr>
          <w:hyperlink w:anchor="_Toc133237415" w:history="1">
            <w:r w:rsidR="005120F0" w:rsidRPr="00A66142">
              <w:rPr>
                <w:rStyle w:val="Hyperlink"/>
                <w:noProof/>
                <w:lang w:val="en-US"/>
              </w:rPr>
              <w:t>Paragraph 167</w:t>
            </w:r>
            <w:r w:rsidR="005120F0">
              <w:rPr>
                <w:noProof/>
                <w:webHidden/>
              </w:rPr>
              <w:tab/>
            </w:r>
            <w:r w:rsidR="005120F0">
              <w:rPr>
                <w:noProof/>
                <w:webHidden/>
              </w:rPr>
              <w:fldChar w:fldCharType="begin"/>
            </w:r>
            <w:r w:rsidR="005120F0">
              <w:rPr>
                <w:noProof/>
                <w:webHidden/>
              </w:rPr>
              <w:instrText xml:space="preserve"> PAGEREF _Toc133237415 \h </w:instrText>
            </w:r>
            <w:r w:rsidR="005120F0">
              <w:rPr>
                <w:noProof/>
                <w:webHidden/>
              </w:rPr>
            </w:r>
            <w:r w:rsidR="005120F0">
              <w:rPr>
                <w:noProof/>
                <w:webHidden/>
              </w:rPr>
              <w:fldChar w:fldCharType="separate"/>
            </w:r>
            <w:r w:rsidR="005120F0">
              <w:rPr>
                <w:noProof/>
                <w:webHidden/>
              </w:rPr>
              <w:t>8</w:t>
            </w:r>
            <w:r w:rsidR="005120F0">
              <w:rPr>
                <w:noProof/>
                <w:webHidden/>
              </w:rPr>
              <w:fldChar w:fldCharType="end"/>
            </w:r>
          </w:hyperlink>
        </w:p>
        <w:p w14:paraId="36C9CFC1" w14:textId="00842691" w:rsidR="005120F0" w:rsidRDefault="00DD4394">
          <w:pPr>
            <w:pStyle w:val="Inhopg3"/>
            <w:tabs>
              <w:tab w:val="right" w:leader="dot" w:pos="9062"/>
            </w:tabs>
            <w:rPr>
              <w:rFonts w:asciiTheme="minorHAnsi" w:eastAsiaTheme="minorEastAsia" w:hAnsiTheme="minorHAnsi" w:cstheme="minorBidi"/>
              <w:bCs w:val="0"/>
              <w:noProof/>
              <w:sz w:val="22"/>
              <w:szCs w:val="22"/>
            </w:rPr>
          </w:pPr>
          <w:hyperlink w:anchor="_Toc133237416" w:history="1">
            <w:r w:rsidR="005120F0" w:rsidRPr="00A66142">
              <w:rPr>
                <w:rStyle w:val="Hyperlink"/>
                <w:noProof/>
                <w:lang w:val="en-US"/>
              </w:rPr>
              <w:t>Paragraph 169</w:t>
            </w:r>
            <w:r w:rsidR="005120F0">
              <w:rPr>
                <w:noProof/>
                <w:webHidden/>
              </w:rPr>
              <w:tab/>
            </w:r>
            <w:r w:rsidR="005120F0">
              <w:rPr>
                <w:noProof/>
                <w:webHidden/>
              </w:rPr>
              <w:fldChar w:fldCharType="begin"/>
            </w:r>
            <w:r w:rsidR="005120F0">
              <w:rPr>
                <w:noProof/>
                <w:webHidden/>
              </w:rPr>
              <w:instrText xml:space="preserve"> PAGEREF _Toc133237416 \h </w:instrText>
            </w:r>
            <w:r w:rsidR="005120F0">
              <w:rPr>
                <w:noProof/>
                <w:webHidden/>
              </w:rPr>
            </w:r>
            <w:r w:rsidR="005120F0">
              <w:rPr>
                <w:noProof/>
                <w:webHidden/>
              </w:rPr>
              <w:fldChar w:fldCharType="separate"/>
            </w:r>
            <w:r w:rsidR="005120F0">
              <w:rPr>
                <w:noProof/>
                <w:webHidden/>
              </w:rPr>
              <w:t>8</w:t>
            </w:r>
            <w:r w:rsidR="005120F0">
              <w:rPr>
                <w:noProof/>
                <w:webHidden/>
              </w:rPr>
              <w:fldChar w:fldCharType="end"/>
            </w:r>
          </w:hyperlink>
        </w:p>
        <w:p w14:paraId="7733FC05" w14:textId="5667F40E" w:rsidR="005120F0" w:rsidRDefault="00DD4394">
          <w:pPr>
            <w:pStyle w:val="Inhopg3"/>
            <w:tabs>
              <w:tab w:val="right" w:leader="dot" w:pos="9062"/>
            </w:tabs>
            <w:rPr>
              <w:rFonts w:asciiTheme="minorHAnsi" w:eastAsiaTheme="minorEastAsia" w:hAnsiTheme="minorHAnsi" w:cstheme="minorBidi"/>
              <w:bCs w:val="0"/>
              <w:noProof/>
              <w:sz w:val="22"/>
              <w:szCs w:val="22"/>
            </w:rPr>
          </w:pPr>
          <w:hyperlink w:anchor="_Toc133237417" w:history="1">
            <w:r w:rsidR="005120F0" w:rsidRPr="00A66142">
              <w:rPr>
                <w:rStyle w:val="Hyperlink"/>
                <w:noProof/>
                <w:lang w:val="en-US"/>
              </w:rPr>
              <w:t>Paragraph 176</w:t>
            </w:r>
            <w:r w:rsidR="005120F0">
              <w:rPr>
                <w:noProof/>
                <w:webHidden/>
              </w:rPr>
              <w:tab/>
            </w:r>
            <w:r w:rsidR="005120F0">
              <w:rPr>
                <w:noProof/>
                <w:webHidden/>
              </w:rPr>
              <w:fldChar w:fldCharType="begin"/>
            </w:r>
            <w:r w:rsidR="005120F0">
              <w:rPr>
                <w:noProof/>
                <w:webHidden/>
              </w:rPr>
              <w:instrText xml:space="preserve"> PAGEREF _Toc133237417 \h </w:instrText>
            </w:r>
            <w:r w:rsidR="005120F0">
              <w:rPr>
                <w:noProof/>
                <w:webHidden/>
              </w:rPr>
            </w:r>
            <w:r w:rsidR="005120F0">
              <w:rPr>
                <w:noProof/>
                <w:webHidden/>
              </w:rPr>
              <w:fldChar w:fldCharType="separate"/>
            </w:r>
            <w:r w:rsidR="005120F0">
              <w:rPr>
                <w:noProof/>
                <w:webHidden/>
              </w:rPr>
              <w:t>8</w:t>
            </w:r>
            <w:r w:rsidR="005120F0">
              <w:rPr>
                <w:noProof/>
                <w:webHidden/>
              </w:rPr>
              <w:fldChar w:fldCharType="end"/>
            </w:r>
          </w:hyperlink>
        </w:p>
        <w:p w14:paraId="20585503" w14:textId="7298553A" w:rsidR="005120F0" w:rsidRDefault="00DD4394">
          <w:pPr>
            <w:pStyle w:val="Inhopg3"/>
            <w:tabs>
              <w:tab w:val="right" w:leader="dot" w:pos="9062"/>
            </w:tabs>
            <w:rPr>
              <w:rFonts w:asciiTheme="minorHAnsi" w:eastAsiaTheme="minorEastAsia" w:hAnsiTheme="minorHAnsi" w:cstheme="minorBidi"/>
              <w:bCs w:val="0"/>
              <w:noProof/>
              <w:sz w:val="22"/>
              <w:szCs w:val="22"/>
            </w:rPr>
          </w:pPr>
          <w:hyperlink w:anchor="_Toc133237418" w:history="1">
            <w:r w:rsidR="005120F0" w:rsidRPr="00A66142">
              <w:rPr>
                <w:rStyle w:val="Hyperlink"/>
                <w:noProof/>
                <w:lang w:val="en-US"/>
              </w:rPr>
              <w:t>Paragraph 178</w:t>
            </w:r>
            <w:r w:rsidR="005120F0">
              <w:rPr>
                <w:noProof/>
                <w:webHidden/>
              </w:rPr>
              <w:tab/>
            </w:r>
            <w:r w:rsidR="005120F0">
              <w:rPr>
                <w:noProof/>
                <w:webHidden/>
              </w:rPr>
              <w:fldChar w:fldCharType="begin"/>
            </w:r>
            <w:r w:rsidR="005120F0">
              <w:rPr>
                <w:noProof/>
                <w:webHidden/>
              </w:rPr>
              <w:instrText xml:space="preserve"> PAGEREF _Toc133237418 \h </w:instrText>
            </w:r>
            <w:r w:rsidR="005120F0">
              <w:rPr>
                <w:noProof/>
                <w:webHidden/>
              </w:rPr>
            </w:r>
            <w:r w:rsidR="005120F0">
              <w:rPr>
                <w:noProof/>
                <w:webHidden/>
              </w:rPr>
              <w:fldChar w:fldCharType="separate"/>
            </w:r>
            <w:r w:rsidR="005120F0">
              <w:rPr>
                <w:noProof/>
                <w:webHidden/>
              </w:rPr>
              <w:t>9</w:t>
            </w:r>
            <w:r w:rsidR="005120F0">
              <w:rPr>
                <w:noProof/>
                <w:webHidden/>
              </w:rPr>
              <w:fldChar w:fldCharType="end"/>
            </w:r>
          </w:hyperlink>
        </w:p>
        <w:p w14:paraId="77C21E0A" w14:textId="22E631D1" w:rsidR="005120F0" w:rsidRDefault="00DD4394">
          <w:pPr>
            <w:pStyle w:val="Inhopg3"/>
            <w:tabs>
              <w:tab w:val="right" w:leader="dot" w:pos="9062"/>
            </w:tabs>
            <w:rPr>
              <w:rFonts w:asciiTheme="minorHAnsi" w:eastAsiaTheme="minorEastAsia" w:hAnsiTheme="minorHAnsi" w:cstheme="minorBidi"/>
              <w:bCs w:val="0"/>
              <w:noProof/>
              <w:sz w:val="22"/>
              <w:szCs w:val="22"/>
            </w:rPr>
          </w:pPr>
          <w:hyperlink w:anchor="_Toc133237419" w:history="1">
            <w:r w:rsidR="005120F0" w:rsidRPr="00A66142">
              <w:rPr>
                <w:rStyle w:val="Hyperlink"/>
                <w:noProof/>
                <w:lang w:val="en-US"/>
              </w:rPr>
              <w:t>Paragraph 179</w:t>
            </w:r>
            <w:r w:rsidR="005120F0">
              <w:rPr>
                <w:noProof/>
                <w:webHidden/>
              </w:rPr>
              <w:tab/>
            </w:r>
            <w:r w:rsidR="005120F0">
              <w:rPr>
                <w:noProof/>
                <w:webHidden/>
              </w:rPr>
              <w:fldChar w:fldCharType="begin"/>
            </w:r>
            <w:r w:rsidR="005120F0">
              <w:rPr>
                <w:noProof/>
                <w:webHidden/>
              </w:rPr>
              <w:instrText xml:space="preserve"> PAGEREF _Toc133237419 \h </w:instrText>
            </w:r>
            <w:r w:rsidR="005120F0">
              <w:rPr>
                <w:noProof/>
                <w:webHidden/>
              </w:rPr>
            </w:r>
            <w:r w:rsidR="005120F0">
              <w:rPr>
                <w:noProof/>
                <w:webHidden/>
              </w:rPr>
              <w:fldChar w:fldCharType="separate"/>
            </w:r>
            <w:r w:rsidR="005120F0">
              <w:rPr>
                <w:noProof/>
                <w:webHidden/>
              </w:rPr>
              <w:t>9</w:t>
            </w:r>
            <w:r w:rsidR="005120F0">
              <w:rPr>
                <w:noProof/>
                <w:webHidden/>
              </w:rPr>
              <w:fldChar w:fldCharType="end"/>
            </w:r>
          </w:hyperlink>
        </w:p>
        <w:p w14:paraId="6D07708C" w14:textId="62C304E7" w:rsidR="005120F0" w:rsidRDefault="00DD4394">
          <w:pPr>
            <w:pStyle w:val="Inhopg3"/>
            <w:tabs>
              <w:tab w:val="right" w:leader="dot" w:pos="9062"/>
            </w:tabs>
            <w:rPr>
              <w:rFonts w:asciiTheme="minorHAnsi" w:eastAsiaTheme="minorEastAsia" w:hAnsiTheme="minorHAnsi" w:cstheme="minorBidi"/>
              <w:bCs w:val="0"/>
              <w:noProof/>
              <w:sz w:val="22"/>
              <w:szCs w:val="22"/>
            </w:rPr>
          </w:pPr>
          <w:hyperlink w:anchor="_Toc133237420" w:history="1">
            <w:r w:rsidR="005120F0" w:rsidRPr="00A66142">
              <w:rPr>
                <w:rStyle w:val="Hyperlink"/>
                <w:noProof/>
                <w:lang w:val="en-US"/>
              </w:rPr>
              <w:t>Example 2 paragraph 179</w:t>
            </w:r>
            <w:r w:rsidR="005120F0">
              <w:rPr>
                <w:noProof/>
                <w:webHidden/>
              </w:rPr>
              <w:tab/>
            </w:r>
            <w:r w:rsidR="005120F0">
              <w:rPr>
                <w:noProof/>
                <w:webHidden/>
              </w:rPr>
              <w:fldChar w:fldCharType="begin"/>
            </w:r>
            <w:r w:rsidR="005120F0">
              <w:rPr>
                <w:noProof/>
                <w:webHidden/>
              </w:rPr>
              <w:instrText xml:space="preserve"> PAGEREF _Toc133237420 \h </w:instrText>
            </w:r>
            <w:r w:rsidR="005120F0">
              <w:rPr>
                <w:noProof/>
                <w:webHidden/>
              </w:rPr>
            </w:r>
            <w:r w:rsidR="005120F0">
              <w:rPr>
                <w:noProof/>
                <w:webHidden/>
              </w:rPr>
              <w:fldChar w:fldCharType="separate"/>
            </w:r>
            <w:r w:rsidR="005120F0">
              <w:rPr>
                <w:noProof/>
                <w:webHidden/>
              </w:rPr>
              <w:t>9</w:t>
            </w:r>
            <w:r w:rsidR="005120F0">
              <w:rPr>
                <w:noProof/>
                <w:webHidden/>
              </w:rPr>
              <w:fldChar w:fldCharType="end"/>
            </w:r>
          </w:hyperlink>
        </w:p>
        <w:p w14:paraId="6FB66753" w14:textId="5175A212" w:rsidR="00AC6B14" w:rsidRPr="00522E3B" w:rsidRDefault="00AC6B14" w:rsidP="00AC6B14">
          <w:pPr>
            <w:rPr>
              <w:b/>
              <w:lang w:val="en-US"/>
            </w:rPr>
          </w:pPr>
          <w:r w:rsidRPr="00522E3B">
            <w:rPr>
              <w:b/>
              <w:lang w:val="en-US"/>
            </w:rPr>
            <w:fldChar w:fldCharType="end"/>
          </w:r>
        </w:p>
      </w:sdtContent>
    </w:sdt>
    <w:p w14:paraId="43A6C4F4" w14:textId="77777777" w:rsidR="00AC6B14" w:rsidRPr="00522E3B" w:rsidRDefault="00AC6B14" w:rsidP="00AC6B14">
      <w:pPr>
        <w:rPr>
          <w:lang w:val="en-US"/>
        </w:rPr>
      </w:pPr>
      <w:r w:rsidRPr="00522E3B">
        <w:rPr>
          <w:lang w:val="en-US"/>
        </w:rPr>
        <w:br w:type="page"/>
      </w:r>
    </w:p>
    <w:p w14:paraId="6FDE8A65" w14:textId="77777777" w:rsidR="00AC6B14" w:rsidRPr="00522E3B" w:rsidRDefault="00AC6B14" w:rsidP="00AC6B14">
      <w:pPr>
        <w:pStyle w:val="Kop1"/>
        <w:numPr>
          <w:ilvl w:val="0"/>
          <w:numId w:val="1"/>
        </w:numPr>
        <w:rPr>
          <w:lang w:val="en-US"/>
        </w:rPr>
      </w:pPr>
      <w:bookmarkStart w:id="5" w:name="_Toc133237394"/>
      <w:r w:rsidRPr="00522E3B">
        <w:rPr>
          <w:lang w:val="en-US"/>
        </w:rPr>
        <w:lastRenderedPageBreak/>
        <w:t>Intro and summary</w:t>
      </w:r>
      <w:bookmarkEnd w:id="5"/>
    </w:p>
    <w:p w14:paraId="47704904" w14:textId="77777777" w:rsidR="00AC6B14" w:rsidRPr="00522E3B" w:rsidRDefault="00AC6B14" w:rsidP="00AC6B14">
      <w:pPr>
        <w:rPr>
          <w:lang w:val="en-US"/>
        </w:rPr>
      </w:pPr>
    </w:p>
    <w:p w14:paraId="39ADEFE7" w14:textId="4FBF4FBF" w:rsidR="00AC6B14" w:rsidRPr="00522E3B" w:rsidRDefault="00AC6B14" w:rsidP="00AC6B14">
      <w:pPr>
        <w:pStyle w:val="Geenafstand"/>
        <w:rPr>
          <w:rFonts w:eastAsia="Calibri"/>
          <w:lang w:val="en-US"/>
        </w:rPr>
      </w:pPr>
      <w:r w:rsidRPr="00522E3B">
        <w:rPr>
          <w:rFonts w:eastAsia="Calibri"/>
          <w:lang w:val="en-US"/>
        </w:rPr>
        <w:t>In the Netherlands</w:t>
      </w:r>
      <w:r w:rsidRPr="00B3269C">
        <w:rPr>
          <w:rFonts w:eastAsia="Calibri"/>
          <w:lang w:val="en-US"/>
        </w:rPr>
        <w:t>,</w:t>
      </w:r>
      <w:r w:rsidRPr="00522E3B">
        <w:rPr>
          <w:rFonts w:eastAsia="Calibri"/>
          <w:lang w:val="en-US"/>
        </w:rPr>
        <w:t xml:space="preserve"> circular agriculture is an important policy issue for the government, as well as an important issue for society as a whole. To increase the sustainability of the food chain in the Netherlands, the government relies heavily on supplementary self-regulatory initiatives by the agricultural sector and their buyers. The government called upon the business community to take its responsibility and come forward with sustainability initiatives. In the past, competition law stood in the way of collective initiatives or was at least perceived as a barrier for such initiatives. The new Article 210a</w:t>
      </w:r>
      <w:r w:rsidR="007E39B1">
        <w:rPr>
          <w:rFonts w:eastAsia="Calibri"/>
          <w:lang w:val="en-US"/>
        </w:rPr>
        <w:t xml:space="preserve"> of Regulation </w:t>
      </w:r>
      <w:r w:rsidR="00281AC4">
        <w:rPr>
          <w:rFonts w:eastAsia="Calibri"/>
          <w:lang w:val="en-US"/>
        </w:rPr>
        <w:t>1308/2013</w:t>
      </w:r>
      <w:r w:rsidR="00F1366A">
        <w:rPr>
          <w:rFonts w:eastAsia="Calibri"/>
          <w:lang w:val="en-US"/>
        </w:rPr>
        <w:t xml:space="preserve"> (“CMO”), further elaborated on </w:t>
      </w:r>
      <w:r w:rsidRPr="00522E3B">
        <w:rPr>
          <w:rFonts w:eastAsia="Calibri"/>
          <w:lang w:val="en-US"/>
        </w:rPr>
        <w:t xml:space="preserve">in the </w:t>
      </w:r>
      <w:r w:rsidRPr="00522E3B">
        <w:rPr>
          <w:lang w:val="en-US"/>
        </w:rPr>
        <w:t>Commission’s draft Guidelines on the application of the derogation from Article 101 TFEU for sustainability agreements of agricultural producers pursuant to Article 210a of Regulation 1308/2013 (“the Guidelines”)</w:t>
      </w:r>
      <w:r w:rsidRPr="00522E3B">
        <w:rPr>
          <w:rFonts w:eastAsia="Calibri"/>
          <w:lang w:val="en-US"/>
        </w:rPr>
        <w:t xml:space="preserve"> offers opportunities for far-reaching cooperation for this purpose. </w:t>
      </w:r>
    </w:p>
    <w:p w14:paraId="60D93567" w14:textId="77777777" w:rsidR="00AC6B14" w:rsidRPr="00522E3B" w:rsidRDefault="00AC6B14" w:rsidP="00AC6B14">
      <w:pPr>
        <w:pStyle w:val="Geenafstand"/>
        <w:rPr>
          <w:rFonts w:eastAsia="Calibri"/>
          <w:lang w:val="en-US" w:eastAsia="en-US"/>
        </w:rPr>
      </w:pPr>
    </w:p>
    <w:p w14:paraId="07E28B03" w14:textId="47890EAB" w:rsidR="00AC6B14" w:rsidRPr="00522E3B" w:rsidRDefault="00AC6B14" w:rsidP="00AC6B14">
      <w:pPr>
        <w:pStyle w:val="Geenafstand"/>
        <w:rPr>
          <w:rFonts w:eastAsia="Calibri"/>
          <w:lang w:val="en-US"/>
        </w:rPr>
      </w:pPr>
      <w:r w:rsidRPr="00522E3B">
        <w:rPr>
          <w:lang w:val="en-US"/>
        </w:rPr>
        <w:t>The Netherlands Authority for Consumers &amp; Markets (“ACM”) welcomes these Guidelines as well as this opportunity to comment on them as part of the ongoing public consultation</w:t>
      </w:r>
      <w:r w:rsidR="00FF4932">
        <w:rPr>
          <w:lang w:val="en-US"/>
        </w:rPr>
        <w:t>.</w:t>
      </w:r>
      <w:r w:rsidRPr="00522E3B">
        <w:rPr>
          <w:lang w:val="en-US"/>
        </w:rPr>
        <w:t xml:space="preserve"> In general, ACM agrees with the proposed Guidelines. </w:t>
      </w:r>
      <w:r w:rsidRPr="00522E3B">
        <w:rPr>
          <w:rFonts w:eastAsia="Calibri"/>
          <w:lang w:val="en-US"/>
        </w:rPr>
        <w:t>ACM understands that the European Commission intends to create a different, more lenient framework for the application of Article 210a</w:t>
      </w:r>
      <w:r w:rsidR="00F1366A">
        <w:rPr>
          <w:rFonts w:eastAsia="Calibri"/>
          <w:lang w:val="en-US"/>
        </w:rPr>
        <w:t xml:space="preserve"> CMO</w:t>
      </w:r>
      <w:r w:rsidRPr="00522E3B">
        <w:rPr>
          <w:rFonts w:eastAsia="Calibri"/>
          <w:lang w:val="en-US"/>
        </w:rPr>
        <w:t xml:space="preserve"> than in the context of Article 101 (3) TFEU in the light of the importance of attaining certain sustainability standards in the realm of agriculture by 2030. In particular, the opportunity of farmers to agree with each other </w:t>
      </w:r>
      <w:r w:rsidRPr="00472E53">
        <w:rPr>
          <w:rFonts w:eastAsia="Calibri"/>
          <w:i/>
          <w:iCs/>
          <w:lang w:val="en-US"/>
        </w:rPr>
        <w:t>and</w:t>
      </w:r>
      <w:r w:rsidRPr="00522E3B">
        <w:rPr>
          <w:rFonts w:eastAsia="Calibri"/>
          <w:lang w:val="en-US"/>
        </w:rPr>
        <w:t xml:space="preserve"> with their buyers on a compensation for the additional costs of more sustainable practices should be helpful in this respect. Such compensation is an important element for farmers to make the transition towards sustainable production. </w:t>
      </w:r>
      <w:r w:rsidRPr="00522E3B">
        <w:rPr>
          <w:lang w:val="en-US"/>
        </w:rPr>
        <w:t xml:space="preserve">In Chapter </w:t>
      </w:r>
      <w:r w:rsidRPr="00522E3B">
        <w:rPr>
          <w:lang w:val="en-US"/>
        </w:rPr>
        <w:fldChar w:fldCharType="begin"/>
      </w:r>
      <w:r w:rsidRPr="00522E3B">
        <w:rPr>
          <w:lang w:val="en-US"/>
        </w:rPr>
        <w:instrText xml:space="preserve"> REF _Ref132295539 \r \h  \* MERGEFORMAT </w:instrText>
      </w:r>
      <w:r w:rsidRPr="00522E3B">
        <w:rPr>
          <w:lang w:val="en-US"/>
        </w:rPr>
      </w:r>
      <w:r w:rsidRPr="00522E3B">
        <w:rPr>
          <w:lang w:val="en-US"/>
        </w:rPr>
        <w:fldChar w:fldCharType="separate"/>
      </w:r>
      <w:r w:rsidRPr="00522E3B">
        <w:rPr>
          <w:lang w:val="en-US"/>
        </w:rPr>
        <w:t>3</w:t>
      </w:r>
      <w:r w:rsidRPr="00522E3B">
        <w:rPr>
          <w:lang w:val="en-US"/>
        </w:rPr>
        <w:fldChar w:fldCharType="end"/>
      </w:r>
      <w:r w:rsidRPr="00522E3B">
        <w:rPr>
          <w:lang w:val="en-US"/>
        </w:rPr>
        <w:t xml:space="preserve">, ACM will provide detailed comments and suggestions with regard to different parts of the Guidelines. </w:t>
      </w:r>
      <w:r w:rsidRPr="00522E3B">
        <w:rPr>
          <w:rFonts w:eastAsia="Calibri"/>
          <w:lang w:val="en-US"/>
        </w:rPr>
        <w:t>Our main concerns can be summarized as follows:</w:t>
      </w:r>
    </w:p>
    <w:p w14:paraId="18FB965C" w14:textId="77777777" w:rsidR="00AC6B14" w:rsidRPr="00522E3B" w:rsidRDefault="00AC6B14" w:rsidP="00AC6B14">
      <w:pPr>
        <w:rPr>
          <w:lang w:val="en-US"/>
        </w:rPr>
      </w:pPr>
    </w:p>
    <w:p w14:paraId="06C3F79B" w14:textId="552925ED" w:rsidR="00AC6B14" w:rsidRPr="00522E3B" w:rsidRDefault="00AC6B14" w:rsidP="00AC6B14">
      <w:pPr>
        <w:pStyle w:val="Geenafstand"/>
        <w:numPr>
          <w:ilvl w:val="0"/>
          <w:numId w:val="6"/>
        </w:numPr>
        <w:rPr>
          <w:rFonts w:ascii="Times New Roman" w:hAnsi="Times New Roman"/>
          <w:bCs/>
          <w:color w:val="000000"/>
          <w:sz w:val="24"/>
          <w:lang w:val="en-US"/>
        </w:rPr>
      </w:pPr>
      <w:r w:rsidRPr="00522E3B">
        <w:rPr>
          <w:rFonts w:eastAsia="Calibri"/>
          <w:lang w:val="en-US" w:eastAsia="en-US"/>
        </w:rPr>
        <w:t>First, the concept of indispensability, an important condition of Article 210a</w:t>
      </w:r>
      <w:r w:rsidR="00F1366A">
        <w:rPr>
          <w:rFonts w:eastAsia="Calibri"/>
          <w:lang w:val="en-US" w:eastAsia="en-US"/>
        </w:rPr>
        <w:t xml:space="preserve"> CMO</w:t>
      </w:r>
      <w:r w:rsidRPr="00522E3B">
        <w:rPr>
          <w:rFonts w:eastAsia="Calibri"/>
          <w:lang w:val="en-US" w:eastAsia="en-US"/>
        </w:rPr>
        <w:t>, is not clear. ACM appreciates the clarification of the term ‘indispensable’ in the Guidelines. Due to the similar wording of Article 210a</w:t>
      </w:r>
      <w:r w:rsidR="00F1366A">
        <w:rPr>
          <w:rFonts w:eastAsia="Calibri"/>
          <w:lang w:val="en-US" w:eastAsia="en-US"/>
        </w:rPr>
        <w:t xml:space="preserve"> CMO</w:t>
      </w:r>
      <w:r w:rsidRPr="00522E3B">
        <w:rPr>
          <w:rFonts w:eastAsia="Calibri"/>
          <w:lang w:val="en-US" w:eastAsia="en-US"/>
        </w:rPr>
        <w:t xml:space="preserve"> and Article 101 (3) TFEU, this could easily cause confusion. The European Commission clearly states that there are key differences between the articles, as a result of which the standard for indispensability inevitably differs between them. In some places of the guidelines however, it could be questioned if the European Commission in fact maintains a similar interpretation as in Article 101 (3) TFEU. In </w:t>
      </w:r>
      <w:r w:rsidR="002246C7">
        <w:rPr>
          <w:rFonts w:eastAsia="Calibri"/>
          <w:lang w:val="en-US" w:eastAsia="en-US"/>
        </w:rPr>
        <w:t xml:space="preserve">Chapter </w:t>
      </w:r>
      <w:r w:rsidRPr="00522E3B">
        <w:rPr>
          <w:rFonts w:eastAsia="Calibri"/>
          <w:lang w:val="en-US" w:eastAsia="en-US"/>
        </w:rPr>
        <w:t>3.</w:t>
      </w:r>
      <w:r w:rsidR="00E11958">
        <w:rPr>
          <w:rFonts w:eastAsia="Calibri"/>
          <w:lang w:val="en-US" w:eastAsia="en-US"/>
        </w:rPr>
        <w:t>4</w:t>
      </w:r>
      <w:r w:rsidRPr="00522E3B">
        <w:rPr>
          <w:rFonts w:eastAsia="Calibri"/>
          <w:lang w:val="en-US" w:eastAsia="en-US"/>
        </w:rPr>
        <w:t xml:space="preserve">, we mention what parts of the guidelines could be clarified for this purpose. </w:t>
      </w:r>
    </w:p>
    <w:p w14:paraId="26FEA0EB" w14:textId="68A7059B" w:rsidR="00AC6B14" w:rsidRPr="00522E3B" w:rsidRDefault="00AC6B14" w:rsidP="00AC6B14">
      <w:pPr>
        <w:pStyle w:val="Geenafstand"/>
        <w:numPr>
          <w:ilvl w:val="0"/>
          <w:numId w:val="6"/>
        </w:numPr>
        <w:rPr>
          <w:rFonts w:ascii="Times New Roman" w:hAnsi="Times New Roman"/>
          <w:bCs/>
          <w:color w:val="000000"/>
          <w:sz w:val="24"/>
          <w:lang w:val="en-US"/>
        </w:rPr>
      </w:pPr>
      <w:r w:rsidRPr="00522E3B">
        <w:rPr>
          <w:rFonts w:eastAsia="Calibri"/>
          <w:lang w:val="en-US" w:eastAsia="en-US"/>
        </w:rPr>
        <w:t>Second, with regard to the ex-post opportunity for authorities to intervene if competition is excluded from the market or where the objectives of the CAP are jeopardized. The European Commission clearly states that the thresholds for both interventions should be high, that it would otherwise be against the spirit of Article 210a</w:t>
      </w:r>
      <w:r w:rsidR="00F1366A">
        <w:rPr>
          <w:rFonts w:eastAsia="Calibri"/>
          <w:lang w:val="en-US" w:eastAsia="en-US"/>
        </w:rPr>
        <w:t xml:space="preserve"> CMO</w:t>
      </w:r>
      <w:r w:rsidRPr="00522E3B">
        <w:rPr>
          <w:rFonts w:eastAsia="Calibri"/>
          <w:lang w:val="en-US" w:eastAsia="en-US"/>
        </w:rPr>
        <w:t>. In its explanation of this ex-post opportunity of intervention, it is however not that clear. ACM would like to ask the European Commission to make clear in its explanation that this is a truly final procedure for exceptional cases only. ACM fears that this will otherwise unnecessarily restrict the development of sustainability agreements</w:t>
      </w:r>
      <w:r w:rsidRPr="00522E3B">
        <w:rPr>
          <w:rFonts w:cs="Calibri"/>
          <w:bCs/>
          <w:color w:val="000000"/>
          <w:lang w:val="en-US"/>
        </w:rPr>
        <w:t xml:space="preserve">. In </w:t>
      </w:r>
      <w:r w:rsidR="002246C7">
        <w:rPr>
          <w:rFonts w:cs="Calibri"/>
          <w:bCs/>
          <w:color w:val="000000"/>
          <w:lang w:val="en-US"/>
        </w:rPr>
        <w:t xml:space="preserve">Chapter </w:t>
      </w:r>
      <w:r w:rsidRPr="00522E3B">
        <w:rPr>
          <w:rFonts w:cs="Calibri"/>
          <w:bCs/>
          <w:color w:val="000000"/>
          <w:lang w:val="en-US"/>
        </w:rPr>
        <w:t>3.</w:t>
      </w:r>
      <w:r w:rsidR="006E3034">
        <w:rPr>
          <w:rFonts w:cs="Calibri"/>
          <w:bCs/>
          <w:color w:val="000000"/>
          <w:lang w:val="en-US"/>
        </w:rPr>
        <w:t>6</w:t>
      </w:r>
      <w:r w:rsidRPr="00522E3B">
        <w:rPr>
          <w:rFonts w:cs="Calibri"/>
          <w:bCs/>
          <w:color w:val="000000"/>
          <w:lang w:val="en-US"/>
        </w:rPr>
        <w:t xml:space="preserve">, we mention what parts of the Guidelines could be clarified for this purpose. </w:t>
      </w:r>
    </w:p>
    <w:p w14:paraId="11702646" w14:textId="77777777" w:rsidR="00AC6B14" w:rsidRPr="00522E3B" w:rsidRDefault="00AC6B14" w:rsidP="00AC6B14">
      <w:pPr>
        <w:pStyle w:val="Geenafstand"/>
        <w:rPr>
          <w:rFonts w:cs="Calibri"/>
          <w:bCs/>
          <w:color w:val="000000"/>
          <w:lang w:val="en-US"/>
        </w:rPr>
      </w:pPr>
    </w:p>
    <w:p w14:paraId="1679092C" w14:textId="77777777" w:rsidR="00AC6B14" w:rsidRPr="00522E3B" w:rsidRDefault="00AC6B14" w:rsidP="00AC6B14">
      <w:pPr>
        <w:rPr>
          <w:lang w:val="en-US"/>
        </w:rPr>
      </w:pPr>
      <w:r w:rsidRPr="00522E3B">
        <w:rPr>
          <w:lang w:val="en-US"/>
        </w:rPr>
        <w:t>ACM trusts the Commission will give due weight to these suggestions in light of the overall response to the consultation, and looks forward to the final text.</w:t>
      </w:r>
    </w:p>
    <w:p w14:paraId="3C61AA3C" w14:textId="77777777" w:rsidR="00AC6B14" w:rsidRPr="00522E3B" w:rsidRDefault="00AC6B14" w:rsidP="00AC6B14">
      <w:pPr>
        <w:rPr>
          <w:lang w:val="en-US"/>
        </w:rPr>
      </w:pPr>
    </w:p>
    <w:p w14:paraId="09CCA40E" w14:textId="77777777" w:rsidR="00AC6B14" w:rsidRPr="00522E3B" w:rsidRDefault="00AC6B14" w:rsidP="00AC6B14">
      <w:pPr>
        <w:pStyle w:val="Kop1"/>
        <w:numPr>
          <w:ilvl w:val="0"/>
          <w:numId w:val="1"/>
        </w:numPr>
        <w:rPr>
          <w:lang w:val="en-US"/>
        </w:rPr>
      </w:pPr>
      <w:bookmarkStart w:id="6" w:name="_Ref132295539"/>
      <w:bookmarkStart w:id="7" w:name="_Toc133237395"/>
      <w:r w:rsidRPr="00522E3B">
        <w:rPr>
          <w:lang w:val="en-US"/>
        </w:rPr>
        <w:t>Submission</w:t>
      </w:r>
      <w:bookmarkEnd w:id="6"/>
      <w:bookmarkEnd w:id="7"/>
      <w:r w:rsidRPr="00522E3B">
        <w:rPr>
          <w:lang w:val="en-US"/>
        </w:rPr>
        <w:t xml:space="preserve"> </w:t>
      </w:r>
    </w:p>
    <w:p w14:paraId="0ABE61EA" w14:textId="77777777" w:rsidR="00AC6B14" w:rsidRPr="00522E3B" w:rsidRDefault="00AC6B14" w:rsidP="00AC6B14">
      <w:pPr>
        <w:pStyle w:val="Kop2"/>
        <w:numPr>
          <w:ilvl w:val="1"/>
          <w:numId w:val="1"/>
        </w:numPr>
        <w:rPr>
          <w:lang w:val="en-US"/>
        </w:rPr>
      </w:pPr>
      <w:bookmarkStart w:id="8" w:name="_Toc133237396"/>
      <w:r w:rsidRPr="00522E3B">
        <w:rPr>
          <w:lang w:val="en-US"/>
        </w:rPr>
        <w:t>Legal context of the exclusion</w:t>
      </w:r>
      <w:bookmarkEnd w:id="8"/>
    </w:p>
    <w:p w14:paraId="44BF03A8" w14:textId="77777777" w:rsidR="00AC6B14" w:rsidRPr="00522E3B" w:rsidRDefault="00AC6B14" w:rsidP="00AC6B14">
      <w:pPr>
        <w:pStyle w:val="Kop3"/>
        <w:rPr>
          <w:lang w:val="en-US"/>
        </w:rPr>
      </w:pPr>
      <w:bookmarkStart w:id="9" w:name="_Toc133237397"/>
      <w:r w:rsidRPr="00522E3B">
        <w:rPr>
          <w:lang w:val="en-US"/>
        </w:rPr>
        <w:t>Paragraph 18</w:t>
      </w:r>
      <w:bookmarkEnd w:id="9"/>
    </w:p>
    <w:p w14:paraId="6EFC1FF7" w14:textId="2132128A" w:rsidR="00AC6B14" w:rsidRPr="00522E3B" w:rsidRDefault="00AC6B14" w:rsidP="00AC6B14">
      <w:pPr>
        <w:pStyle w:val="Geenafstand"/>
        <w:rPr>
          <w:lang w:val="en-US"/>
        </w:rPr>
      </w:pPr>
      <w:r w:rsidRPr="00522E3B">
        <w:rPr>
          <w:lang w:val="en-US"/>
        </w:rPr>
        <w:t xml:space="preserve">Paragraph 18 refers to the Horizontal Guidelines on the applicability of Article 101 of the Treaty on the Functioning of the European Union to horizontal co-operation agreements, 2011/C 11/01 (“Horizontal </w:t>
      </w:r>
      <w:r w:rsidRPr="00522E3B">
        <w:rPr>
          <w:lang w:val="en-US"/>
        </w:rPr>
        <w:lastRenderedPageBreak/>
        <w:t xml:space="preserve">Guidelines”). Perhaps a specific reference could be made to the new sustainability chapter of the Horizontal Guidelines. </w:t>
      </w:r>
    </w:p>
    <w:p w14:paraId="59634210" w14:textId="77777777" w:rsidR="00AC6B14" w:rsidRPr="00522E3B" w:rsidRDefault="00AC6B14" w:rsidP="00AC6B14">
      <w:pPr>
        <w:rPr>
          <w:lang w:val="en-US"/>
        </w:rPr>
      </w:pPr>
    </w:p>
    <w:p w14:paraId="4FEA390D" w14:textId="5299372A" w:rsidR="00AC6B14" w:rsidRPr="00522E3B" w:rsidRDefault="00AC6B14" w:rsidP="00AC6B14">
      <w:pPr>
        <w:pStyle w:val="Kop2"/>
        <w:numPr>
          <w:ilvl w:val="1"/>
          <w:numId w:val="1"/>
        </w:numPr>
        <w:rPr>
          <w:lang w:val="en-US"/>
        </w:rPr>
      </w:pPr>
      <w:bookmarkStart w:id="10" w:name="_Toc133237398"/>
      <w:r w:rsidRPr="00522E3B">
        <w:rPr>
          <w:lang w:val="en-US"/>
        </w:rPr>
        <w:t>Personal scope of Article 210a</w:t>
      </w:r>
      <w:r w:rsidR="00F1366A">
        <w:rPr>
          <w:lang w:val="en-US"/>
        </w:rPr>
        <w:t xml:space="preserve"> CMO</w:t>
      </w:r>
      <w:bookmarkEnd w:id="10"/>
    </w:p>
    <w:p w14:paraId="679B8E5F" w14:textId="77777777" w:rsidR="00AC6B14" w:rsidRPr="00522E3B" w:rsidRDefault="00AC6B14" w:rsidP="00AC6B14">
      <w:pPr>
        <w:pStyle w:val="Kop3"/>
        <w:rPr>
          <w:lang w:val="en-US"/>
        </w:rPr>
      </w:pPr>
      <w:bookmarkStart w:id="11" w:name="_Toc133237399"/>
      <w:r w:rsidRPr="00522E3B">
        <w:rPr>
          <w:lang w:val="en-US"/>
        </w:rPr>
        <w:t>Producers and associations of producers</w:t>
      </w:r>
      <w:bookmarkEnd w:id="11"/>
    </w:p>
    <w:p w14:paraId="55B1CCDE" w14:textId="494D720C" w:rsidR="00AC6B14" w:rsidRPr="00522E3B" w:rsidRDefault="00AC6B14" w:rsidP="00AC6B14">
      <w:pPr>
        <w:pStyle w:val="Geenafstand"/>
        <w:rPr>
          <w:lang w:val="en-US"/>
        </w:rPr>
      </w:pPr>
      <w:r w:rsidRPr="00522E3B">
        <w:rPr>
          <w:lang w:val="en-US"/>
        </w:rPr>
        <w:t>Section 2.2 of the Guidelines describes the personal scope of Article 210a</w:t>
      </w:r>
      <w:r w:rsidR="00F1366A">
        <w:rPr>
          <w:lang w:val="en-US"/>
        </w:rPr>
        <w:t xml:space="preserve"> </w:t>
      </w:r>
      <w:r w:rsidR="00F1366A">
        <w:rPr>
          <w:rFonts w:eastAsia="Calibri"/>
          <w:lang w:val="en-US" w:eastAsia="en-US"/>
        </w:rPr>
        <w:t>CMO</w:t>
      </w:r>
      <w:r w:rsidRPr="00522E3B">
        <w:rPr>
          <w:lang w:val="en-US"/>
        </w:rPr>
        <w:t>. Paragraph 27 states that at least one producer of agricultural products needs to be party to the agreement:</w:t>
      </w:r>
    </w:p>
    <w:p w14:paraId="210D523E" w14:textId="77777777" w:rsidR="00AC6B14" w:rsidRPr="00522E3B" w:rsidRDefault="00AC6B14" w:rsidP="00AC6B14">
      <w:pPr>
        <w:pStyle w:val="Geenafstand"/>
        <w:rPr>
          <w:lang w:val="en-US"/>
        </w:rPr>
      </w:pPr>
    </w:p>
    <w:p w14:paraId="1718D617" w14:textId="77777777" w:rsidR="00AC6B14" w:rsidRPr="00522E3B" w:rsidRDefault="00AC6B14" w:rsidP="00AC6B14">
      <w:pPr>
        <w:pStyle w:val="Geenafstand"/>
        <w:ind w:left="708"/>
        <w:rPr>
          <w:lang w:val="en-US"/>
        </w:rPr>
      </w:pPr>
      <w:r w:rsidRPr="00522E3B">
        <w:rPr>
          <w:i/>
          <w:iCs/>
          <w:lang w:val="en-US"/>
        </w:rPr>
        <w:t>‘Article 210a applies to sustainability agreements to which at least one producer of agricultural products is party and that are entered into with other producers (horizontal agreements) or with one or more operators at different levels of the food supply chain (vertical agreements), including at the distribution level and including with wholesalers and retailers.’</w:t>
      </w:r>
    </w:p>
    <w:p w14:paraId="2ED9E15C" w14:textId="77777777" w:rsidR="00AC6B14" w:rsidRPr="00522E3B" w:rsidRDefault="00AC6B14" w:rsidP="00AC6B14">
      <w:pPr>
        <w:pStyle w:val="Geenafstand"/>
        <w:rPr>
          <w:lang w:val="en-US"/>
        </w:rPr>
      </w:pPr>
    </w:p>
    <w:p w14:paraId="77A75851" w14:textId="77777777" w:rsidR="00AC6B14" w:rsidRPr="00522E3B" w:rsidRDefault="00AC6B14" w:rsidP="00AC6B14">
      <w:pPr>
        <w:pStyle w:val="Geenafstand"/>
        <w:rPr>
          <w:lang w:val="en-US"/>
        </w:rPr>
      </w:pPr>
      <w:r w:rsidRPr="00522E3B">
        <w:rPr>
          <w:lang w:val="en-US"/>
        </w:rPr>
        <w:t>This is repeated in paragraph 28:</w:t>
      </w:r>
    </w:p>
    <w:p w14:paraId="69F409B8" w14:textId="77777777" w:rsidR="00AC6B14" w:rsidRPr="00522E3B" w:rsidRDefault="00AC6B14" w:rsidP="00AC6B14">
      <w:pPr>
        <w:pStyle w:val="Geenafstand"/>
        <w:rPr>
          <w:lang w:val="en-US"/>
        </w:rPr>
      </w:pPr>
    </w:p>
    <w:p w14:paraId="5225C011" w14:textId="77777777" w:rsidR="00AC6B14" w:rsidRPr="00522E3B" w:rsidRDefault="00AC6B14" w:rsidP="00AC6B14">
      <w:pPr>
        <w:pStyle w:val="Geenafstand"/>
        <w:ind w:left="708"/>
        <w:rPr>
          <w:i/>
          <w:iCs/>
          <w:lang w:val="en-US"/>
        </w:rPr>
      </w:pPr>
      <w:r w:rsidRPr="00522E3B">
        <w:rPr>
          <w:i/>
          <w:iCs/>
          <w:lang w:val="en-US"/>
        </w:rPr>
        <w:t>‘Parties to sustainability agreements must include one or more producers of agricultural products.’</w:t>
      </w:r>
    </w:p>
    <w:p w14:paraId="0D463F6B" w14:textId="77777777" w:rsidR="00AC6B14" w:rsidRPr="00522E3B" w:rsidRDefault="00AC6B14" w:rsidP="00AC6B14">
      <w:pPr>
        <w:pStyle w:val="Geenafstand"/>
        <w:rPr>
          <w:i/>
          <w:iCs/>
          <w:lang w:val="en-US"/>
        </w:rPr>
      </w:pPr>
    </w:p>
    <w:p w14:paraId="5AFBAD48" w14:textId="77777777" w:rsidR="00AC6B14" w:rsidRPr="00522E3B" w:rsidRDefault="00AC6B14" w:rsidP="00AC6B14">
      <w:pPr>
        <w:pStyle w:val="Geenafstand"/>
        <w:rPr>
          <w:lang w:val="en-US"/>
        </w:rPr>
      </w:pPr>
      <w:r w:rsidRPr="00522E3B">
        <w:rPr>
          <w:lang w:val="en-US"/>
        </w:rPr>
        <w:t xml:space="preserve">As well as in paragraph 33: </w:t>
      </w:r>
    </w:p>
    <w:p w14:paraId="043392F4" w14:textId="77777777" w:rsidR="00AC6B14" w:rsidRPr="00522E3B" w:rsidRDefault="00AC6B14" w:rsidP="00AC6B14">
      <w:pPr>
        <w:pStyle w:val="Geenafstand"/>
        <w:rPr>
          <w:lang w:val="en-US"/>
        </w:rPr>
      </w:pPr>
    </w:p>
    <w:p w14:paraId="49994E6A" w14:textId="77777777" w:rsidR="00AC6B14" w:rsidRPr="00522E3B" w:rsidRDefault="00AC6B14" w:rsidP="00AC6B14">
      <w:pPr>
        <w:pStyle w:val="Geenafstand"/>
        <w:ind w:left="708"/>
        <w:rPr>
          <w:lang w:val="en-US"/>
        </w:rPr>
      </w:pPr>
      <w:r w:rsidRPr="00522E3B">
        <w:rPr>
          <w:i/>
          <w:iCs/>
          <w:lang w:val="en-US"/>
        </w:rPr>
        <w:t>‘To be covered by Article 210a(2), a sustainability agreement must have at least one producer as a party. Producers are thus essential parties to sustainability agreements.’</w:t>
      </w:r>
    </w:p>
    <w:p w14:paraId="1962260E" w14:textId="77777777" w:rsidR="00AC6B14" w:rsidRPr="00522E3B" w:rsidRDefault="00AC6B14" w:rsidP="00AC6B14">
      <w:pPr>
        <w:pStyle w:val="Geenafstand"/>
        <w:rPr>
          <w:lang w:val="en-US"/>
        </w:rPr>
      </w:pPr>
    </w:p>
    <w:p w14:paraId="655AAFFD" w14:textId="77777777" w:rsidR="00AC6B14" w:rsidRPr="00522E3B" w:rsidRDefault="00AC6B14" w:rsidP="00AC6B14">
      <w:pPr>
        <w:pStyle w:val="Geenafstand"/>
        <w:rPr>
          <w:lang w:val="en-US"/>
        </w:rPr>
      </w:pPr>
      <w:r w:rsidRPr="00522E3B">
        <w:rPr>
          <w:lang w:val="en-US"/>
        </w:rPr>
        <w:t xml:space="preserve">However, paragraph 29 describes that at least one of the parties to the agreement needs to be a producer </w:t>
      </w:r>
      <w:r w:rsidRPr="00522E3B">
        <w:rPr>
          <w:u w:val="single"/>
          <w:lang w:val="en-US"/>
        </w:rPr>
        <w:t>or an association of producers</w:t>
      </w:r>
      <w:r w:rsidRPr="00522E3B">
        <w:rPr>
          <w:lang w:val="en-US"/>
        </w:rPr>
        <w:t xml:space="preserve">: </w:t>
      </w:r>
    </w:p>
    <w:p w14:paraId="631E72FF" w14:textId="77777777" w:rsidR="00AC6B14" w:rsidRPr="00522E3B" w:rsidRDefault="00AC6B14" w:rsidP="00AC6B14">
      <w:pPr>
        <w:pStyle w:val="Geenafstand"/>
        <w:rPr>
          <w:lang w:val="en-US"/>
        </w:rPr>
      </w:pPr>
    </w:p>
    <w:p w14:paraId="222E84AB" w14:textId="77777777" w:rsidR="00AC6B14" w:rsidRPr="00522E3B" w:rsidRDefault="00AC6B14" w:rsidP="00AC6B14">
      <w:pPr>
        <w:pStyle w:val="Geenafstand"/>
        <w:ind w:left="708"/>
        <w:rPr>
          <w:lang w:val="en-US"/>
        </w:rPr>
      </w:pPr>
      <w:r w:rsidRPr="00522E3B">
        <w:rPr>
          <w:i/>
          <w:iCs/>
          <w:lang w:val="en-US"/>
        </w:rPr>
        <w:t>‘Parties to sustainability agreements may be individual operators and associations or other collective entities involving producers or other undertakings described above – regardless of their legal nature or whether they are formally recognized under EU or national law – if at least one of the parties to the sustainability agreement is a producer or an association of producers. Such collective entities can be, for example, producer organizations (‘POs’), associations of POs or interbranch organizations (‘IBOs’).’</w:t>
      </w:r>
    </w:p>
    <w:p w14:paraId="6DA45A67" w14:textId="77777777" w:rsidR="00AC6B14" w:rsidRPr="00522E3B" w:rsidRDefault="00AC6B14" w:rsidP="00AC6B14">
      <w:pPr>
        <w:pStyle w:val="Geenafstand"/>
        <w:ind w:left="708"/>
        <w:rPr>
          <w:lang w:val="en-US"/>
        </w:rPr>
      </w:pPr>
    </w:p>
    <w:p w14:paraId="552D09CB" w14:textId="10105A98" w:rsidR="00AC6B14" w:rsidRPr="00522E3B" w:rsidRDefault="00AC6B14" w:rsidP="00AC6B14">
      <w:pPr>
        <w:pStyle w:val="Geenafstand"/>
        <w:rPr>
          <w:lang w:val="en-US"/>
        </w:rPr>
      </w:pPr>
      <w:r w:rsidRPr="00522E3B">
        <w:rPr>
          <w:lang w:val="en-US"/>
        </w:rPr>
        <w:t>This is repeated in Annex A – Flowchart of the assessment under Article 210a</w:t>
      </w:r>
      <w:r w:rsidR="00F1366A">
        <w:rPr>
          <w:lang w:val="en-US"/>
        </w:rPr>
        <w:t xml:space="preserve"> </w:t>
      </w:r>
      <w:r w:rsidR="00F1366A">
        <w:rPr>
          <w:rFonts w:eastAsia="Calibri"/>
          <w:lang w:val="en-US" w:eastAsia="en-US"/>
        </w:rPr>
        <w:t>CMO</w:t>
      </w:r>
      <w:r w:rsidRPr="00522E3B">
        <w:rPr>
          <w:lang w:val="en-US"/>
        </w:rPr>
        <w:t>, which mentions the following question with regards to the application of Article 210a</w:t>
      </w:r>
      <w:r w:rsidR="009F2F37">
        <w:rPr>
          <w:lang w:val="en-US"/>
        </w:rPr>
        <w:t xml:space="preserve"> </w:t>
      </w:r>
      <w:r w:rsidR="009F2F37">
        <w:rPr>
          <w:rFonts w:eastAsia="Calibri"/>
          <w:lang w:val="en-US" w:eastAsia="en-US"/>
        </w:rPr>
        <w:t>CMO</w:t>
      </w:r>
      <w:r w:rsidRPr="00522E3B">
        <w:rPr>
          <w:lang w:val="en-US"/>
        </w:rPr>
        <w:t>:</w:t>
      </w:r>
    </w:p>
    <w:p w14:paraId="3BDD8BA2" w14:textId="77777777" w:rsidR="00AC6B14" w:rsidRPr="00522E3B" w:rsidRDefault="00AC6B14" w:rsidP="00AC6B14">
      <w:pPr>
        <w:pStyle w:val="Geenafstand"/>
        <w:rPr>
          <w:lang w:val="en-US"/>
        </w:rPr>
      </w:pPr>
    </w:p>
    <w:p w14:paraId="3D42AC5B" w14:textId="77777777" w:rsidR="00AC6B14" w:rsidRPr="00522E3B" w:rsidRDefault="00AC6B14" w:rsidP="00AC6B14">
      <w:pPr>
        <w:pStyle w:val="Geenafstand"/>
        <w:ind w:left="708"/>
        <w:rPr>
          <w:i/>
          <w:iCs/>
          <w:lang w:val="en-US"/>
        </w:rPr>
      </w:pPr>
      <w:r w:rsidRPr="00522E3B">
        <w:rPr>
          <w:i/>
          <w:iCs/>
          <w:lang w:val="en-US"/>
        </w:rPr>
        <w:t xml:space="preserve">‘Is there at least one producer or producer </w:t>
      </w:r>
      <w:proofErr w:type="spellStart"/>
      <w:r w:rsidRPr="00522E3B">
        <w:rPr>
          <w:i/>
          <w:iCs/>
          <w:lang w:val="en-US"/>
        </w:rPr>
        <w:t>organisation</w:t>
      </w:r>
      <w:proofErr w:type="spellEnd"/>
      <w:r w:rsidRPr="00522E3B">
        <w:rPr>
          <w:i/>
          <w:iCs/>
          <w:lang w:val="en-US"/>
        </w:rPr>
        <w:t xml:space="preserve"> party to the sustainability agreement?’</w:t>
      </w:r>
    </w:p>
    <w:p w14:paraId="41DAE51E" w14:textId="77777777" w:rsidR="00AC6B14" w:rsidRPr="00522E3B" w:rsidRDefault="00AC6B14" w:rsidP="00AC6B14">
      <w:pPr>
        <w:pStyle w:val="Geenafstand"/>
        <w:rPr>
          <w:i/>
          <w:iCs/>
          <w:lang w:val="en-US"/>
        </w:rPr>
      </w:pPr>
    </w:p>
    <w:p w14:paraId="0594835F" w14:textId="77777777" w:rsidR="00AC6B14" w:rsidRPr="00522E3B" w:rsidRDefault="00AC6B14" w:rsidP="00AC6B14">
      <w:pPr>
        <w:pStyle w:val="Geenafstand"/>
        <w:rPr>
          <w:lang w:val="en-US"/>
        </w:rPr>
      </w:pPr>
      <w:r w:rsidRPr="00522E3B">
        <w:rPr>
          <w:lang w:val="en-US"/>
        </w:rPr>
        <w:t>This could cause confusion. ACM would like to suggest making clear whether at least one producer needs to be party to the agreement or whether this might also be an association of producers/producer organization.</w:t>
      </w:r>
    </w:p>
    <w:p w14:paraId="2D809453" w14:textId="77777777" w:rsidR="00AC6B14" w:rsidRPr="00522E3B" w:rsidRDefault="00AC6B14" w:rsidP="00AC6B14">
      <w:pPr>
        <w:pStyle w:val="Kop3"/>
        <w:rPr>
          <w:lang w:val="en-US"/>
        </w:rPr>
      </w:pPr>
      <w:bookmarkStart w:id="12" w:name="_Toc133237400"/>
      <w:r w:rsidRPr="00522E3B">
        <w:rPr>
          <w:lang w:val="en-US"/>
        </w:rPr>
        <w:t>Paragraph 33</w:t>
      </w:r>
      <w:bookmarkEnd w:id="12"/>
    </w:p>
    <w:p w14:paraId="38C71290" w14:textId="77777777" w:rsidR="00AC6B14" w:rsidRPr="00522E3B" w:rsidRDefault="00AC6B14" w:rsidP="00AC6B14">
      <w:pPr>
        <w:rPr>
          <w:lang w:val="en-US"/>
        </w:rPr>
      </w:pPr>
      <w:r w:rsidRPr="00522E3B">
        <w:rPr>
          <w:lang w:val="en-US"/>
        </w:rPr>
        <w:t>Paragraph 33 describes that producers that are parties to the agreement must be involved in the negotiation, adoption and implementation of the standard:</w:t>
      </w:r>
    </w:p>
    <w:p w14:paraId="481FF30E" w14:textId="77777777" w:rsidR="00AC6B14" w:rsidRPr="00522E3B" w:rsidRDefault="00AC6B14" w:rsidP="00AC6B14">
      <w:pPr>
        <w:rPr>
          <w:lang w:val="en-US"/>
        </w:rPr>
      </w:pPr>
    </w:p>
    <w:p w14:paraId="0CBC4AA3" w14:textId="77777777" w:rsidR="00AC6B14" w:rsidRPr="00522E3B" w:rsidRDefault="00AC6B14" w:rsidP="00AC6B14">
      <w:pPr>
        <w:ind w:left="708"/>
        <w:rPr>
          <w:i/>
          <w:iCs/>
          <w:lang w:val="en-US"/>
        </w:rPr>
      </w:pPr>
      <w:r w:rsidRPr="00522E3B">
        <w:rPr>
          <w:i/>
          <w:iCs/>
          <w:lang w:val="en-US"/>
        </w:rPr>
        <w:t>‘To be covered by Article 210a(2), a sustainability agreement must have at least one producer as a party. Producers are thus essential parties to sustainability agreements. Producers that are party to an agreement at the time it is set up must be involved in the negotiation, adoption and implementation of the standard. This does not prevent producers from becoming parties to the agreement at a later stage without having taken part in the negotiation or adoption of the agreement, if there is a concurrence of wills that they be bound by the sustainability agreement.’</w:t>
      </w:r>
    </w:p>
    <w:p w14:paraId="2E880DEE" w14:textId="77777777" w:rsidR="00AC6B14" w:rsidRPr="00522E3B" w:rsidRDefault="00AC6B14" w:rsidP="00AC6B14">
      <w:pPr>
        <w:rPr>
          <w:i/>
          <w:iCs/>
          <w:lang w:val="en-US"/>
        </w:rPr>
      </w:pPr>
    </w:p>
    <w:p w14:paraId="348B3E93" w14:textId="77777777" w:rsidR="00AC6B14" w:rsidRPr="00522E3B" w:rsidRDefault="00AC6B14" w:rsidP="00AC6B14">
      <w:pPr>
        <w:rPr>
          <w:lang w:val="en-US"/>
        </w:rPr>
      </w:pPr>
      <w:r w:rsidRPr="00522E3B">
        <w:rPr>
          <w:lang w:val="en-US"/>
        </w:rPr>
        <w:t xml:space="preserve">ACM wonders at what point (in time) producers need to be involved in the process of negotiation, adoption and implementation of the standard. For example, ACM wonders whether it is possible for other market participants than the producers to come up with an idea for a sustainability standard and negotiate about this before involving producers. In practice, this could help producers enter into sustainability agreements with their buyers. But this might also lead to fewer bargaining powers for the producers if the agreement is almost set in stone. </w:t>
      </w:r>
    </w:p>
    <w:p w14:paraId="5CEC6272" w14:textId="77777777" w:rsidR="00AC6B14" w:rsidRPr="00522E3B" w:rsidRDefault="00AC6B14" w:rsidP="00AC6B14">
      <w:pPr>
        <w:rPr>
          <w:lang w:val="en-US"/>
        </w:rPr>
      </w:pPr>
    </w:p>
    <w:p w14:paraId="73898F78" w14:textId="31487AA1" w:rsidR="00AC6B14" w:rsidRPr="00522E3B" w:rsidRDefault="00AC6B14" w:rsidP="00AC6B14">
      <w:pPr>
        <w:pStyle w:val="Kop2"/>
        <w:numPr>
          <w:ilvl w:val="1"/>
          <w:numId w:val="1"/>
        </w:numPr>
        <w:rPr>
          <w:lang w:val="en-US"/>
        </w:rPr>
      </w:pPr>
      <w:bookmarkStart w:id="13" w:name="_Toc133237401"/>
      <w:r w:rsidRPr="00522E3B">
        <w:rPr>
          <w:lang w:val="en-US"/>
        </w:rPr>
        <w:t>Material scope of Article 210a</w:t>
      </w:r>
      <w:r w:rsidR="00BE6B8D">
        <w:rPr>
          <w:lang w:val="en-US"/>
        </w:rPr>
        <w:t xml:space="preserve"> CMO</w:t>
      </w:r>
      <w:bookmarkEnd w:id="13"/>
    </w:p>
    <w:p w14:paraId="7F51E98C" w14:textId="77777777" w:rsidR="00AC6B14" w:rsidRPr="00522E3B" w:rsidRDefault="00AC6B14" w:rsidP="00AC6B14">
      <w:pPr>
        <w:pStyle w:val="Kop3"/>
        <w:rPr>
          <w:lang w:val="en-US"/>
        </w:rPr>
      </w:pPr>
      <w:bookmarkStart w:id="14" w:name="_Toc133237402"/>
      <w:r w:rsidRPr="00522E3B">
        <w:rPr>
          <w:lang w:val="en-US"/>
        </w:rPr>
        <w:t>Example paragraph 37</w:t>
      </w:r>
      <w:bookmarkEnd w:id="14"/>
    </w:p>
    <w:p w14:paraId="0479A2EA" w14:textId="77777777" w:rsidR="00AC6B14" w:rsidRPr="00522E3B" w:rsidRDefault="00AC6B14" w:rsidP="00AC6B14">
      <w:pPr>
        <w:rPr>
          <w:lang w:val="en-US"/>
        </w:rPr>
      </w:pPr>
      <w:r w:rsidRPr="00522E3B">
        <w:rPr>
          <w:lang w:val="en-US"/>
        </w:rPr>
        <w:t>The example under paragraph 37 is written down as follows:</w:t>
      </w:r>
    </w:p>
    <w:p w14:paraId="496B92A5" w14:textId="77777777" w:rsidR="00AC6B14" w:rsidRPr="00522E3B" w:rsidRDefault="00AC6B14" w:rsidP="00AC6B14">
      <w:pPr>
        <w:rPr>
          <w:lang w:val="en-US"/>
        </w:rPr>
      </w:pPr>
    </w:p>
    <w:p w14:paraId="3EE5A127" w14:textId="77777777" w:rsidR="00AC6B14" w:rsidRPr="00522E3B" w:rsidRDefault="00AC6B14" w:rsidP="00AC6B14">
      <w:pPr>
        <w:ind w:left="708"/>
        <w:rPr>
          <w:i/>
          <w:iCs/>
          <w:lang w:val="en-US"/>
        </w:rPr>
      </w:pPr>
      <w:r w:rsidRPr="00522E3B">
        <w:rPr>
          <w:i/>
          <w:iCs/>
          <w:lang w:val="en-US"/>
        </w:rPr>
        <w:t>‘A sustainability objective could be to reduce the use of pesticides or the prevention of soil erosion. The sustainability standard that the sustainability agreement aims to apply could include setting measurable targets in form of quantitative or qualitative criteria going beyond a mandatory standard (e.g. reducing pesticides by 60% or using a cover crop in winter to avoid soil erosion). The agreement could include specific implementation measures, such as obligations to implement precision farming practices and pest monitoring, to use certain machinery or equipment, to implement risk management tools, or to support the dissemination of technical knowledge (including training, advice, cooperation and knowledge exchange), digital technologies or practices for sustainable management of nutrients.’</w:t>
      </w:r>
    </w:p>
    <w:p w14:paraId="0A642D83" w14:textId="77777777" w:rsidR="00AC6B14" w:rsidRPr="00522E3B" w:rsidRDefault="00AC6B14" w:rsidP="00AC6B14">
      <w:pPr>
        <w:rPr>
          <w:lang w:val="en-US"/>
        </w:rPr>
      </w:pPr>
    </w:p>
    <w:p w14:paraId="587535EB" w14:textId="2F4A4AD1" w:rsidR="00AC6B14" w:rsidRDefault="00AC6B14" w:rsidP="00AC6B14">
      <w:pPr>
        <w:rPr>
          <w:lang w:val="en-US"/>
        </w:rPr>
      </w:pPr>
      <w:r w:rsidRPr="00522E3B">
        <w:rPr>
          <w:lang w:val="en-US"/>
        </w:rPr>
        <w:t xml:space="preserve">ACM wonders whether, in this example but also in general, it should be assessed to what extent the measures relate to the percentage that prevents soil erosion (60%) of only the percentage above the legal standard. The European Commission only allows cooperation that exceeds the legal standard. It could be helpful to show how parties to a sustainability agreement could prove this. </w:t>
      </w:r>
    </w:p>
    <w:p w14:paraId="50250D64" w14:textId="77777777" w:rsidR="00390192" w:rsidRPr="00522E3B" w:rsidRDefault="00390192" w:rsidP="00AC6B14">
      <w:pPr>
        <w:rPr>
          <w:lang w:val="en-US"/>
        </w:rPr>
      </w:pPr>
    </w:p>
    <w:p w14:paraId="23A25A9B" w14:textId="4673FA72" w:rsidR="00AC6B14" w:rsidRPr="00522E3B" w:rsidRDefault="00AC6B14" w:rsidP="00AC6B14">
      <w:pPr>
        <w:pStyle w:val="Kop2"/>
        <w:numPr>
          <w:ilvl w:val="1"/>
          <w:numId w:val="1"/>
        </w:numPr>
        <w:rPr>
          <w:lang w:val="en-US"/>
        </w:rPr>
      </w:pPr>
      <w:bookmarkStart w:id="15" w:name="_Toc133237403"/>
      <w:r w:rsidRPr="00522E3B">
        <w:rPr>
          <w:lang w:val="en-US"/>
        </w:rPr>
        <w:t>Indispensability under article 210a</w:t>
      </w:r>
      <w:r w:rsidR="00BE6B8D">
        <w:rPr>
          <w:lang w:val="en-US"/>
        </w:rPr>
        <w:t xml:space="preserve"> CMO</w:t>
      </w:r>
      <w:bookmarkEnd w:id="15"/>
    </w:p>
    <w:p w14:paraId="267AA4CE" w14:textId="77777777" w:rsidR="00AC6B14" w:rsidRPr="00522E3B" w:rsidRDefault="00AC6B14" w:rsidP="00AC6B14">
      <w:pPr>
        <w:pStyle w:val="Kop3"/>
        <w:rPr>
          <w:lang w:val="en-US"/>
        </w:rPr>
      </w:pPr>
      <w:bookmarkStart w:id="16" w:name="_Toc133237404"/>
      <w:r w:rsidRPr="00522E3B">
        <w:rPr>
          <w:lang w:val="en-US"/>
        </w:rPr>
        <w:t>General remark</w:t>
      </w:r>
      <w:bookmarkEnd w:id="16"/>
    </w:p>
    <w:p w14:paraId="4A114B07" w14:textId="73F8F613" w:rsidR="00AC6B14" w:rsidRPr="00522E3B" w:rsidRDefault="00AC6B14" w:rsidP="00AC6B14">
      <w:pPr>
        <w:rPr>
          <w:lang w:val="en-US"/>
        </w:rPr>
      </w:pPr>
      <w:r w:rsidRPr="00522E3B">
        <w:rPr>
          <w:lang w:val="en-US"/>
        </w:rPr>
        <w:t xml:space="preserve">The European Commission </w:t>
      </w:r>
      <w:r w:rsidRPr="00522E3B">
        <w:rPr>
          <w:rFonts w:eastAsia="Calibri"/>
          <w:lang w:val="en-US" w:eastAsia="en-US"/>
        </w:rPr>
        <w:t>states that there are key differences between articles 210a</w:t>
      </w:r>
      <w:r w:rsidR="009F2F37">
        <w:rPr>
          <w:rFonts w:eastAsia="Calibri"/>
          <w:lang w:val="en-US" w:eastAsia="en-US"/>
        </w:rPr>
        <w:t xml:space="preserve"> CMO</w:t>
      </w:r>
      <w:r w:rsidRPr="00522E3B">
        <w:rPr>
          <w:rFonts w:eastAsia="Calibri"/>
          <w:lang w:val="en-US" w:eastAsia="en-US"/>
        </w:rPr>
        <w:t xml:space="preserve"> and 101 (3) TFEU, as a result of which the standard for indispensability inevitably differs between them. In the explanation of the application, it is not always clear what the differences are.</w:t>
      </w:r>
      <w:r w:rsidRPr="00522E3B">
        <w:rPr>
          <w:lang w:val="en-US"/>
        </w:rPr>
        <w:t xml:space="preserve"> ACM especially wonders what the differences are between the first step of the indispensability test under Article 101 (3) TFEU and under Article 210a</w:t>
      </w:r>
      <w:r w:rsidR="009F2F37">
        <w:rPr>
          <w:lang w:val="en-US"/>
        </w:rPr>
        <w:t xml:space="preserve"> </w:t>
      </w:r>
      <w:r w:rsidR="009F2F37">
        <w:rPr>
          <w:rFonts w:eastAsia="Calibri"/>
          <w:lang w:val="en-US" w:eastAsia="en-US"/>
        </w:rPr>
        <w:t>CMO.</w:t>
      </w:r>
      <w:r w:rsidRPr="00522E3B">
        <w:rPr>
          <w:lang w:val="en-US"/>
        </w:rPr>
        <w:t xml:space="preserve"> </w:t>
      </w:r>
    </w:p>
    <w:p w14:paraId="14781D5E" w14:textId="77777777" w:rsidR="00AC6B14" w:rsidRPr="00522E3B" w:rsidRDefault="00AC6B14" w:rsidP="00AC6B14">
      <w:pPr>
        <w:rPr>
          <w:lang w:val="en-US"/>
        </w:rPr>
      </w:pPr>
    </w:p>
    <w:p w14:paraId="5F0B601C" w14:textId="77777777" w:rsidR="00AC6B14" w:rsidRPr="00522E3B" w:rsidRDefault="00AC6B14" w:rsidP="00AC6B14">
      <w:pPr>
        <w:pStyle w:val="Kop3"/>
        <w:rPr>
          <w:lang w:val="en-US"/>
        </w:rPr>
      </w:pPr>
      <w:bookmarkStart w:id="17" w:name="_Toc133237405"/>
      <w:r w:rsidRPr="00522E3B">
        <w:rPr>
          <w:lang w:val="en-US"/>
        </w:rPr>
        <w:t>Paragraph 78</w:t>
      </w:r>
      <w:bookmarkEnd w:id="17"/>
    </w:p>
    <w:p w14:paraId="5272FE84" w14:textId="77777777" w:rsidR="00AC6B14" w:rsidRPr="00522E3B" w:rsidRDefault="00AC6B14" w:rsidP="00AC6B14">
      <w:pPr>
        <w:rPr>
          <w:lang w:val="en-US"/>
        </w:rPr>
      </w:pPr>
      <w:r w:rsidRPr="00522E3B">
        <w:rPr>
          <w:lang w:val="en-US"/>
        </w:rPr>
        <w:t xml:space="preserve">Paragraph 78 is written down as follows: </w:t>
      </w:r>
    </w:p>
    <w:p w14:paraId="209B00D2" w14:textId="77777777" w:rsidR="00AC6B14" w:rsidRPr="00522E3B" w:rsidRDefault="00AC6B14" w:rsidP="00AC6B14">
      <w:pPr>
        <w:rPr>
          <w:lang w:val="en-US"/>
        </w:rPr>
      </w:pPr>
    </w:p>
    <w:p w14:paraId="757B3D38" w14:textId="77777777" w:rsidR="00AC6B14" w:rsidRPr="00522E3B" w:rsidRDefault="00AC6B14" w:rsidP="00AC6B14">
      <w:pPr>
        <w:ind w:left="708"/>
        <w:rPr>
          <w:i/>
          <w:iCs/>
          <w:lang w:val="en-US"/>
        </w:rPr>
      </w:pPr>
      <w:r w:rsidRPr="00522E3B">
        <w:rPr>
          <w:i/>
          <w:iCs/>
          <w:lang w:val="en-US"/>
        </w:rPr>
        <w:t>‘Finally, the indispensability of restrictions of competition under Article 210a must be assessed in relation to the attainment of the standard specified in the sustainability agreement. Attaining the sustainability standard could mean either producing or trading agricultural products in compliance with the standard.’</w:t>
      </w:r>
    </w:p>
    <w:p w14:paraId="13E891BF" w14:textId="77777777" w:rsidR="00AC6B14" w:rsidRPr="00522E3B" w:rsidRDefault="00AC6B14" w:rsidP="00AC6B14">
      <w:pPr>
        <w:rPr>
          <w:lang w:val="en-US"/>
        </w:rPr>
      </w:pPr>
    </w:p>
    <w:p w14:paraId="5C2BFE5D" w14:textId="77777777" w:rsidR="00AC6B14" w:rsidRPr="00522E3B" w:rsidRDefault="00AC6B14" w:rsidP="00AC6B14">
      <w:pPr>
        <w:rPr>
          <w:lang w:val="en-US"/>
        </w:rPr>
      </w:pPr>
      <w:r w:rsidRPr="00522E3B">
        <w:rPr>
          <w:lang w:val="en-US"/>
        </w:rPr>
        <w:t xml:space="preserve">ACM notes that, in the Dutch translation of paragraph 78, it appears that the assessment should consider the extent to which the standard set in the agreement </w:t>
      </w:r>
      <w:r w:rsidRPr="00522E3B">
        <w:rPr>
          <w:u w:val="single"/>
          <w:lang w:val="en-US"/>
        </w:rPr>
        <w:t>has been achieved</w:t>
      </w:r>
      <w:r w:rsidRPr="00522E3B">
        <w:rPr>
          <w:lang w:val="en-US"/>
        </w:rPr>
        <w:t>.</w:t>
      </w:r>
      <w:r w:rsidRPr="00522E3B">
        <w:rPr>
          <w:rStyle w:val="Voetnootmarkering"/>
          <w:lang w:val="en-US"/>
        </w:rPr>
        <w:footnoteReference w:id="1"/>
      </w:r>
      <w:r w:rsidRPr="00522E3B">
        <w:rPr>
          <w:lang w:val="en-US"/>
        </w:rPr>
        <w:t xml:space="preserve"> ACM wonders whether this is </w:t>
      </w:r>
      <w:r w:rsidRPr="00522E3B">
        <w:rPr>
          <w:lang w:val="en-US"/>
        </w:rPr>
        <w:lastRenderedPageBreak/>
        <w:t>correct, since this can only be observed after the agreement has been effectuated. It could be helpful to specify how this condition should be met.</w:t>
      </w:r>
    </w:p>
    <w:p w14:paraId="1ECA158C" w14:textId="77777777" w:rsidR="00AC6B14" w:rsidRPr="00522E3B" w:rsidRDefault="00AC6B14" w:rsidP="00AC6B14">
      <w:pPr>
        <w:rPr>
          <w:lang w:val="en-US"/>
        </w:rPr>
      </w:pPr>
    </w:p>
    <w:p w14:paraId="49A95494" w14:textId="77777777" w:rsidR="00AC6B14" w:rsidRPr="00522E3B" w:rsidRDefault="00AC6B14" w:rsidP="00AC6B14">
      <w:pPr>
        <w:pStyle w:val="Kop3"/>
        <w:rPr>
          <w:lang w:val="en-US"/>
        </w:rPr>
      </w:pPr>
      <w:bookmarkStart w:id="18" w:name="_Toc133237406"/>
      <w:r w:rsidRPr="00522E3B">
        <w:rPr>
          <w:lang w:val="en-US"/>
        </w:rPr>
        <w:t>Paragraph 83</w:t>
      </w:r>
      <w:bookmarkEnd w:id="18"/>
    </w:p>
    <w:p w14:paraId="001E9EDE" w14:textId="5C64B798" w:rsidR="00AC6B14" w:rsidRPr="00522E3B" w:rsidRDefault="00AC6B14" w:rsidP="00AC6B14">
      <w:pPr>
        <w:rPr>
          <w:lang w:val="en-US"/>
        </w:rPr>
      </w:pPr>
      <w:r w:rsidRPr="00522E3B">
        <w:rPr>
          <w:lang w:val="en-US"/>
        </w:rPr>
        <w:t xml:space="preserve">In paragraph 82, both steps of the indispensability test under Article 101 (3) TFEU are written down. Paragraph 83 describes that Article 210a </w:t>
      </w:r>
      <w:r w:rsidR="009F2F37">
        <w:rPr>
          <w:rFonts w:eastAsia="Calibri"/>
          <w:lang w:val="en-US" w:eastAsia="en-US"/>
        </w:rPr>
        <w:t>CMO</w:t>
      </w:r>
      <w:r w:rsidR="009F2F37" w:rsidRPr="00522E3B">
        <w:rPr>
          <w:lang w:val="en-US"/>
        </w:rPr>
        <w:t xml:space="preserve"> </w:t>
      </w:r>
      <w:r w:rsidRPr="00522E3B">
        <w:rPr>
          <w:lang w:val="en-US"/>
        </w:rPr>
        <w:t xml:space="preserve">also consists of a two-step indispensability test. ACM suggests to describe both steps of the indispensability test of Article 210a </w:t>
      </w:r>
      <w:r w:rsidR="009F2F37">
        <w:rPr>
          <w:rFonts w:eastAsia="Calibri"/>
          <w:lang w:val="en-US" w:eastAsia="en-US"/>
        </w:rPr>
        <w:t>CMO</w:t>
      </w:r>
      <w:r w:rsidR="009F2F37" w:rsidRPr="00522E3B">
        <w:rPr>
          <w:lang w:val="en-US"/>
        </w:rPr>
        <w:t xml:space="preserve"> </w:t>
      </w:r>
      <w:r w:rsidRPr="00522E3B">
        <w:rPr>
          <w:lang w:val="en-US"/>
        </w:rPr>
        <w:t xml:space="preserve">already in paragraph 83. In addition, perhaps it could be clarified in paragraph 83 how both indispensability tests differ from each other.  </w:t>
      </w:r>
    </w:p>
    <w:p w14:paraId="31C149BF" w14:textId="77777777" w:rsidR="00AC6B14" w:rsidRPr="00522E3B" w:rsidRDefault="00AC6B14" w:rsidP="00AC6B14">
      <w:pPr>
        <w:rPr>
          <w:lang w:val="en-US"/>
        </w:rPr>
      </w:pPr>
    </w:p>
    <w:p w14:paraId="5F36E679" w14:textId="77777777" w:rsidR="00AC6B14" w:rsidRPr="00522E3B" w:rsidRDefault="00AC6B14" w:rsidP="00AC6B14">
      <w:pPr>
        <w:pStyle w:val="Kop3"/>
        <w:rPr>
          <w:lang w:val="en-US"/>
        </w:rPr>
      </w:pPr>
      <w:bookmarkStart w:id="19" w:name="_Toc133237407"/>
      <w:r w:rsidRPr="00522E3B">
        <w:rPr>
          <w:lang w:val="en-US"/>
        </w:rPr>
        <w:t>Paragraph 89</w:t>
      </w:r>
      <w:bookmarkEnd w:id="19"/>
    </w:p>
    <w:p w14:paraId="5834A020" w14:textId="77777777" w:rsidR="00AC6B14" w:rsidRPr="00522E3B" w:rsidRDefault="00AC6B14" w:rsidP="00AC6B14">
      <w:pPr>
        <w:rPr>
          <w:lang w:val="en-US"/>
        </w:rPr>
      </w:pPr>
      <w:r w:rsidRPr="00522E3B">
        <w:rPr>
          <w:lang w:val="en-US"/>
        </w:rPr>
        <w:t xml:space="preserve">Paragraph 89 is written down as follows: </w:t>
      </w:r>
    </w:p>
    <w:p w14:paraId="75EFC23D" w14:textId="77777777" w:rsidR="00AC6B14" w:rsidRPr="00522E3B" w:rsidRDefault="00AC6B14" w:rsidP="00AC6B14">
      <w:pPr>
        <w:rPr>
          <w:lang w:val="en-US"/>
        </w:rPr>
      </w:pPr>
    </w:p>
    <w:p w14:paraId="09FB9D78" w14:textId="77777777" w:rsidR="00AC6B14" w:rsidRPr="00522E3B" w:rsidRDefault="00AC6B14" w:rsidP="00AC6B14">
      <w:pPr>
        <w:ind w:left="708"/>
        <w:rPr>
          <w:i/>
          <w:iCs/>
          <w:lang w:val="en-US"/>
        </w:rPr>
      </w:pPr>
      <w:r w:rsidRPr="00522E3B">
        <w:rPr>
          <w:i/>
          <w:iCs/>
          <w:lang w:val="en-US"/>
        </w:rPr>
        <w:t>‘Finally, the indispensability of the restriction needs to be assessed in the actual context in which the sustainability agreement operates, taking into account the structure of the market, the economic risks related to the sustainability agreement and the incentives facing the parties. The more uncertain the attainment of the sustainability standard covered by the agreement, the more likely it is that a restriction of competition may be indispensable to ensure that the standard will be attained.’</w:t>
      </w:r>
    </w:p>
    <w:p w14:paraId="14D4A916" w14:textId="77777777" w:rsidR="00AC6B14" w:rsidRPr="00522E3B" w:rsidRDefault="00AC6B14" w:rsidP="00AC6B14">
      <w:pPr>
        <w:rPr>
          <w:lang w:val="en-US"/>
        </w:rPr>
      </w:pPr>
    </w:p>
    <w:p w14:paraId="3D677614" w14:textId="77777777" w:rsidR="00AC6B14" w:rsidRPr="00522E3B" w:rsidRDefault="00AC6B14" w:rsidP="00AC6B14">
      <w:pPr>
        <w:rPr>
          <w:lang w:val="en-US"/>
        </w:rPr>
      </w:pPr>
      <w:r w:rsidRPr="00522E3B">
        <w:rPr>
          <w:lang w:val="en-US"/>
        </w:rPr>
        <w:t xml:space="preserve">ACM notes that the wording of the last sentence of paragraph 89 could cause confusion. If it is uncertain that the agreed sustainability standard will be attained without the agreement, concluding the agreement and subsequently restricting competition will indeed be more likely to be indispensable. However, if it is uncertain that the agreement will lead to the attainment of the sustainability standard, ACM is of the opinion that a restriction of competition is less likely to be indispensable. Perhaps the last sentence can be clarified to avoid misinterpretation. </w:t>
      </w:r>
    </w:p>
    <w:p w14:paraId="4529A2E0" w14:textId="77777777" w:rsidR="00AC6B14" w:rsidRPr="00522E3B" w:rsidRDefault="00AC6B14" w:rsidP="00AC6B14">
      <w:pPr>
        <w:rPr>
          <w:lang w:val="en-US"/>
        </w:rPr>
      </w:pPr>
    </w:p>
    <w:p w14:paraId="695A3B65" w14:textId="77777777" w:rsidR="00AC6B14" w:rsidRPr="00522E3B" w:rsidRDefault="00AC6B14" w:rsidP="00AC6B14">
      <w:pPr>
        <w:pStyle w:val="Kop3"/>
        <w:rPr>
          <w:lang w:val="en-US"/>
        </w:rPr>
      </w:pPr>
      <w:bookmarkStart w:id="20" w:name="_Toc133237408"/>
      <w:r w:rsidRPr="00522E3B">
        <w:rPr>
          <w:lang w:val="en-US"/>
        </w:rPr>
        <w:t>Paragraph 100</w:t>
      </w:r>
      <w:bookmarkEnd w:id="20"/>
    </w:p>
    <w:p w14:paraId="45A59198" w14:textId="77777777" w:rsidR="00AC6B14" w:rsidRPr="00522E3B" w:rsidRDefault="00AC6B14" w:rsidP="00AC6B14">
      <w:pPr>
        <w:rPr>
          <w:lang w:val="en-US"/>
        </w:rPr>
      </w:pPr>
      <w:r w:rsidRPr="00522E3B">
        <w:rPr>
          <w:lang w:val="en-US"/>
        </w:rPr>
        <w:t xml:space="preserve">Paragraph 100 describes that if there is </w:t>
      </w:r>
      <w:r w:rsidRPr="00522E3B">
        <w:rPr>
          <w:i/>
          <w:iCs/>
          <w:lang w:val="en-US"/>
        </w:rPr>
        <w:t xml:space="preserve">willingness to pay </w:t>
      </w:r>
      <w:r w:rsidRPr="00522E3B">
        <w:rPr>
          <w:lang w:val="en-US"/>
        </w:rPr>
        <w:t xml:space="preserve">on the part of consumers, agreements may be unnecessary because the result can also be achieved individually: </w:t>
      </w:r>
    </w:p>
    <w:p w14:paraId="7BCF5061" w14:textId="77777777" w:rsidR="00AC6B14" w:rsidRPr="00522E3B" w:rsidRDefault="00AC6B14" w:rsidP="00AC6B14">
      <w:pPr>
        <w:rPr>
          <w:lang w:val="en-US"/>
        </w:rPr>
      </w:pPr>
    </w:p>
    <w:p w14:paraId="5B4B831C" w14:textId="77777777" w:rsidR="00AC6B14" w:rsidRPr="00522E3B" w:rsidRDefault="00AC6B14" w:rsidP="00AC6B14">
      <w:pPr>
        <w:ind w:left="708"/>
        <w:rPr>
          <w:i/>
          <w:iCs/>
          <w:lang w:val="en-US"/>
        </w:rPr>
      </w:pPr>
      <w:r w:rsidRPr="00522E3B">
        <w:rPr>
          <w:i/>
          <w:iCs/>
          <w:lang w:val="en-US"/>
        </w:rPr>
        <w:t>‘In some situations, consumers may place greater value on products that are of a more sustainable nature and may be willing to pay a higher price for those products than for less-sustainable alternatives. In such cases, cooperation among operators to attain the sustainability standard may be unnecessary because operators may be able to finance the necessary investments in producing or trading in the more sustainable products by charging higher prices to consumers.’</w:t>
      </w:r>
    </w:p>
    <w:p w14:paraId="7AF1BC55" w14:textId="77777777" w:rsidR="00AC6B14" w:rsidRPr="00522E3B" w:rsidRDefault="00AC6B14" w:rsidP="00AC6B14">
      <w:pPr>
        <w:rPr>
          <w:lang w:val="en-US"/>
        </w:rPr>
      </w:pPr>
    </w:p>
    <w:p w14:paraId="26D3100D" w14:textId="599D4384" w:rsidR="00AC6B14" w:rsidRPr="00522E3B" w:rsidRDefault="00AC6B14" w:rsidP="00AC6B14">
      <w:pPr>
        <w:rPr>
          <w:rFonts w:ascii="Calibri" w:eastAsia="Calibri" w:hAnsi="Calibri"/>
          <w:bCs w:val="0"/>
          <w:sz w:val="22"/>
          <w:szCs w:val="22"/>
          <w:lang w:val="en-US" w:eastAsia="en-US"/>
        </w:rPr>
      </w:pPr>
      <w:r w:rsidRPr="00522E3B">
        <w:rPr>
          <w:lang w:val="en-US"/>
        </w:rPr>
        <w:t xml:space="preserve">ACM understands the idea but is against the reintroduction of the </w:t>
      </w:r>
      <w:r w:rsidRPr="00491B34">
        <w:rPr>
          <w:i/>
          <w:iCs/>
          <w:lang w:val="en-US"/>
        </w:rPr>
        <w:t>willingness</w:t>
      </w:r>
      <w:r w:rsidR="00491B34" w:rsidRPr="00491B34">
        <w:rPr>
          <w:i/>
          <w:iCs/>
          <w:lang w:val="en-US"/>
        </w:rPr>
        <w:t xml:space="preserve"> </w:t>
      </w:r>
      <w:r w:rsidRPr="00491B34">
        <w:rPr>
          <w:i/>
          <w:iCs/>
          <w:lang w:val="en-US"/>
        </w:rPr>
        <w:t>to</w:t>
      </w:r>
      <w:r w:rsidR="00491B34" w:rsidRPr="00491B34">
        <w:rPr>
          <w:i/>
          <w:iCs/>
          <w:lang w:val="en-US"/>
        </w:rPr>
        <w:t xml:space="preserve"> </w:t>
      </w:r>
      <w:r w:rsidRPr="00491B34">
        <w:rPr>
          <w:i/>
          <w:iCs/>
          <w:lang w:val="en-US"/>
        </w:rPr>
        <w:t>pay</w:t>
      </w:r>
      <w:r w:rsidRPr="00522E3B">
        <w:rPr>
          <w:lang w:val="en-US"/>
        </w:rPr>
        <w:t xml:space="preserve"> criterion, which belongs to the criteria of Article 101 (3) TFEU. The reintroduction of this criterion presumes that parties to a sustainability initiative first have to consider the </w:t>
      </w:r>
      <w:r w:rsidRPr="00FE54ED">
        <w:rPr>
          <w:i/>
          <w:iCs/>
          <w:lang w:val="en-US"/>
        </w:rPr>
        <w:t>willingness</w:t>
      </w:r>
      <w:r w:rsidR="00FE54ED" w:rsidRPr="00FE54ED">
        <w:rPr>
          <w:i/>
          <w:iCs/>
          <w:lang w:val="en-US"/>
        </w:rPr>
        <w:t xml:space="preserve"> </w:t>
      </w:r>
      <w:r w:rsidRPr="00FE54ED">
        <w:rPr>
          <w:i/>
          <w:iCs/>
          <w:lang w:val="en-US"/>
        </w:rPr>
        <w:t>to</w:t>
      </w:r>
      <w:r w:rsidR="00FE54ED" w:rsidRPr="00FE54ED">
        <w:rPr>
          <w:i/>
          <w:iCs/>
          <w:lang w:val="en-US"/>
        </w:rPr>
        <w:t xml:space="preserve"> </w:t>
      </w:r>
      <w:r w:rsidRPr="00FE54ED">
        <w:rPr>
          <w:i/>
          <w:iCs/>
          <w:lang w:val="en-US"/>
        </w:rPr>
        <w:t>pay</w:t>
      </w:r>
      <w:r w:rsidRPr="00522E3B">
        <w:rPr>
          <w:lang w:val="en-US"/>
        </w:rPr>
        <w:t xml:space="preserve"> of consumers for a sustainable standard. The problem in the agricultural sector is that consumers often have </w:t>
      </w:r>
      <w:r w:rsidRPr="00FE54ED">
        <w:rPr>
          <w:i/>
          <w:iCs/>
          <w:lang w:val="en-US"/>
        </w:rPr>
        <w:t>no</w:t>
      </w:r>
      <w:r w:rsidRPr="00472E53">
        <w:rPr>
          <w:i/>
          <w:iCs/>
          <w:lang w:val="en-US"/>
        </w:rPr>
        <w:t xml:space="preserve"> </w:t>
      </w:r>
      <w:r w:rsidRPr="00FE54ED">
        <w:rPr>
          <w:i/>
          <w:iCs/>
          <w:lang w:val="en-US"/>
        </w:rPr>
        <w:t>willingness to pay</w:t>
      </w:r>
      <w:r w:rsidRPr="00522E3B">
        <w:rPr>
          <w:lang w:val="en-US"/>
        </w:rPr>
        <w:t xml:space="preserve">, which makes agreements more likely to be necessary than when there actually </w:t>
      </w:r>
      <w:r w:rsidRPr="00472E53">
        <w:rPr>
          <w:i/>
          <w:iCs/>
          <w:lang w:val="en-US"/>
        </w:rPr>
        <w:t>is</w:t>
      </w:r>
      <w:r w:rsidRPr="00522E3B">
        <w:rPr>
          <w:lang w:val="en-US"/>
        </w:rPr>
        <w:t xml:space="preserve"> a </w:t>
      </w:r>
      <w:r w:rsidRPr="00FE54ED">
        <w:rPr>
          <w:i/>
          <w:iCs/>
          <w:lang w:val="en-US"/>
        </w:rPr>
        <w:t>willingness to pay</w:t>
      </w:r>
      <w:r w:rsidRPr="00522E3B">
        <w:rPr>
          <w:lang w:val="en-US"/>
        </w:rPr>
        <w:t>. That is also the reason, as we understood it correctly, why Article 210a</w:t>
      </w:r>
      <w:r w:rsidR="009A1DC4">
        <w:rPr>
          <w:lang w:val="en-US"/>
        </w:rPr>
        <w:t xml:space="preserve"> </w:t>
      </w:r>
      <w:r w:rsidR="009A1DC4">
        <w:rPr>
          <w:rFonts w:eastAsia="Calibri"/>
          <w:lang w:val="en-US" w:eastAsia="en-US"/>
        </w:rPr>
        <w:t>CMO</w:t>
      </w:r>
      <w:r w:rsidRPr="00522E3B">
        <w:rPr>
          <w:lang w:val="en-US"/>
        </w:rPr>
        <w:t xml:space="preserve"> contains a derogation from Article 101 (3) TFEU. </w:t>
      </w:r>
    </w:p>
    <w:p w14:paraId="0A1B9047" w14:textId="77777777" w:rsidR="00AC6B14" w:rsidRPr="00522E3B" w:rsidRDefault="00AC6B14" w:rsidP="00AC6B14">
      <w:pPr>
        <w:rPr>
          <w:lang w:val="en-US"/>
        </w:rPr>
      </w:pPr>
    </w:p>
    <w:p w14:paraId="5E7AA731" w14:textId="5D574A59" w:rsidR="00AC6B14" w:rsidRPr="00522E3B" w:rsidRDefault="00AC6B14" w:rsidP="00AC6B14">
      <w:pPr>
        <w:pStyle w:val="Kop2"/>
        <w:numPr>
          <w:ilvl w:val="1"/>
          <w:numId w:val="1"/>
        </w:numPr>
        <w:rPr>
          <w:lang w:val="en-US"/>
        </w:rPr>
      </w:pPr>
      <w:bookmarkStart w:id="21" w:name="_Toc133237409"/>
      <w:r w:rsidRPr="00522E3B">
        <w:rPr>
          <w:lang w:val="en-US"/>
        </w:rPr>
        <w:t xml:space="preserve">Opinion system under Article 210a </w:t>
      </w:r>
      <w:r w:rsidR="009A1DC4">
        <w:rPr>
          <w:lang w:val="en-US"/>
        </w:rPr>
        <w:t>CMO</w:t>
      </w:r>
      <w:bookmarkEnd w:id="21"/>
    </w:p>
    <w:p w14:paraId="226CF3DF" w14:textId="77777777" w:rsidR="00AC6B14" w:rsidRPr="00522E3B" w:rsidRDefault="00AC6B14" w:rsidP="00AC6B14">
      <w:pPr>
        <w:pStyle w:val="Kop3"/>
        <w:rPr>
          <w:lang w:val="en-US"/>
        </w:rPr>
      </w:pPr>
      <w:bookmarkStart w:id="22" w:name="_Toc133237410"/>
      <w:r w:rsidRPr="00522E3B">
        <w:rPr>
          <w:lang w:val="en-US"/>
        </w:rPr>
        <w:t>Paragraph 146</w:t>
      </w:r>
      <w:bookmarkEnd w:id="22"/>
    </w:p>
    <w:p w14:paraId="48D46929" w14:textId="77777777" w:rsidR="00AC6B14" w:rsidRPr="00522E3B" w:rsidRDefault="00AC6B14" w:rsidP="00AC6B14">
      <w:pPr>
        <w:pStyle w:val="Geenafstand"/>
        <w:rPr>
          <w:lang w:val="en-US"/>
        </w:rPr>
      </w:pPr>
      <w:r w:rsidRPr="00522E3B">
        <w:rPr>
          <w:lang w:val="en-US"/>
        </w:rPr>
        <w:t>Paragraph 146 describes that the Commission may share information with national competition authorities:</w:t>
      </w:r>
    </w:p>
    <w:p w14:paraId="17D317BF" w14:textId="77777777" w:rsidR="00AC6B14" w:rsidRPr="00522E3B" w:rsidRDefault="00AC6B14" w:rsidP="00AC6B14">
      <w:pPr>
        <w:pStyle w:val="Geenafstand"/>
        <w:rPr>
          <w:lang w:val="en-US"/>
        </w:rPr>
      </w:pPr>
    </w:p>
    <w:p w14:paraId="1842C9AA" w14:textId="77777777" w:rsidR="00AC6B14" w:rsidRPr="00522E3B" w:rsidRDefault="00AC6B14" w:rsidP="00AC6B14">
      <w:pPr>
        <w:pStyle w:val="Geenafstand"/>
        <w:ind w:left="708"/>
        <w:rPr>
          <w:i/>
          <w:iCs/>
          <w:lang w:val="en-US"/>
        </w:rPr>
      </w:pPr>
      <w:r w:rsidRPr="00522E3B">
        <w:rPr>
          <w:i/>
          <w:iCs/>
          <w:lang w:val="en-US"/>
        </w:rPr>
        <w:lastRenderedPageBreak/>
        <w:t>‘The Commission may share the information submitted to it with national competition and agricultural authorities or ministries, as appropriate, provided that these authorities and ministries are subject to the obligation to use that information only for the purpose for which it was acquired by the Commission. The Commission may also invite and receive input from those authorities and ministries.’</w:t>
      </w:r>
    </w:p>
    <w:p w14:paraId="553F38FA" w14:textId="77777777" w:rsidR="00AC6B14" w:rsidRPr="00522E3B" w:rsidRDefault="00AC6B14" w:rsidP="00AC6B14">
      <w:pPr>
        <w:pStyle w:val="Geenafstand"/>
        <w:rPr>
          <w:lang w:val="en-US"/>
        </w:rPr>
      </w:pPr>
    </w:p>
    <w:p w14:paraId="7579ADD4" w14:textId="77777777" w:rsidR="00AC6B14" w:rsidRPr="00522E3B" w:rsidRDefault="00AC6B14" w:rsidP="00AC6B14">
      <w:pPr>
        <w:pStyle w:val="Geenafstand"/>
        <w:rPr>
          <w:lang w:val="en-US"/>
        </w:rPr>
      </w:pPr>
      <w:r w:rsidRPr="00522E3B">
        <w:rPr>
          <w:lang w:val="en-US"/>
        </w:rPr>
        <w:t xml:space="preserve">ACM wonders if the Commission could explain in what situations the Commission intends to share information with national competition authorities, as well as for what purpose and what information that might entail.  </w:t>
      </w:r>
    </w:p>
    <w:p w14:paraId="580E8424" w14:textId="77777777" w:rsidR="00AC6B14" w:rsidRPr="00522E3B" w:rsidRDefault="00AC6B14" w:rsidP="00AC6B14">
      <w:pPr>
        <w:pStyle w:val="Geenafstand"/>
        <w:rPr>
          <w:lang w:val="en-US"/>
        </w:rPr>
      </w:pPr>
    </w:p>
    <w:p w14:paraId="3FF04919" w14:textId="31BFECCF" w:rsidR="00AC6B14" w:rsidRPr="00522E3B" w:rsidRDefault="00AC6B14" w:rsidP="00AC6B14">
      <w:pPr>
        <w:pStyle w:val="Kop2"/>
        <w:numPr>
          <w:ilvl w:val="1"/>
          <w:numId w:val="1"/>
        </w:numPr>
        <w:rPr>
          <w:lang w:val="en-US"/>
        </w:rPr>
      </w:pPr>
      <w:bookmarkStart w:id="23" w:name="_Toc133237411"/>
      <w:r w:rsidRPr="00522E3B">
        <w:rPr>
          <w:lang w:val="en-US"/>
        </w:rPr>
        <w:t xml:space="preserve">Ex-post intervention by the Commission and national competition authorities under Article 210a (7) </w:t>
      </w:r>
      <w:r w:rsidR="009A1DC4">
        <w:rPr>
          <w:lang w:val="en-US"/>
        </w:rPr>
        <w:t>CMO</w:t>
      </w:r>
      <w:bookmarkEnd w:id="23"/>
    </w:p>
    <w:p w14:paraId="00310CC4" w14:textId="77777777" w:rsidR="00AC6B14" w:rsidRPr="00522E3B" w:rsidRDefault="00AC6B14" w:rsidP="00AC6B14">
      <w:pPr>
        <w:pStyle w:val="Kop3"/>
        <w:rPr>
          <w:lang w:val="en-US"/>
        </w:rPr>
      </w:pPr>
      <w:bookmarkStart w:id="24" w:name="_Toc133237412"/>
      <w:r w:rsidRPr="00522E3B">
        <w:rPr>
          <w:lang w:val="en-US"/>
        </w:rPr>
        <w:t>General remarks</w:t>
      </w:r>
      <w:bookmarkEnd w:id="24"/>
    </w:p>
    <w:p w14:paraId="74C37605" w14:textId="524C7D12" w:rsidR="00AC6B14" w:rsidRPr="00522E3B" w:rsidRDefault="00AC6B14" w:rsidP="00AC6B14">
      <w:pPr>
        <w:rPr>
          <w:lang w:val="en-US"/>
        </w:rPr>
      </w:pPr>
      <w:r w:rsidRPr="00522E3B">
        <w:rPr>
          <w:lang w:val="en-US"/>
        </w:rPr>
        <w:t>ACM fears that the ex-post intervention mechanism laid down in Article 210a (7)</w:t>
      </w:r>
      <w:r w:rsidR="009A1DC4">
        <w:rPr>
          <w:lang w:val="en-US"/>
        </w:rPr>
        <w:t xml:space="preserve"> </w:t>
      </w:r>
      <w:r w:rsidR="009A1DC4">
        <w:rPr>
          <w:rFonts w:eastAsia="Calibri"/>
          <w:lang w:val="en-US" w:eastAsia="en-US"/>
        </w:rPr>
        <w:t>CMO</w:t>
      </w:r>
      <w:r w:rsidRPr="00522E3B">
        <w:rPr>
          <w:lang w:val="en-US"/>
        </w:rPr>
        <w:t xml:space="preserve"> may create insecurities for market participants. Although the European Commission states that this option should only be used with restraint, the explanation of the ex-post intervention gives ample room for the use of this ex-post intervention option.</w:t>
      </w:r>
    </w:p>
    <w:p w14:paraId="09938E37" w14:textId="77777777" w:rsidR="00AC6B14" w:rsidRPr="00522E3B" w:rsidRDefault="00AC6B14" w:rsidP="00AC6B14">
      <w:pPr>
        <w:rPr>
          <w:lang w:val="en-US"/>
        </w:rPr>
      </w:pPr>
    </w:p>
    <w:p w14:paraId="7CC38129" w14:textId="199DE7DE" w:rsidR="00AC6B14" w:rsidRPr="00522E3B" w:rsidRDefault="00AC6B14" w:rsidP="00AC6B14">
      <w:pPr>
        <w:rPr>
          <w:rFonts w:ascii="Calibri" w:eastAsia="Calibri" w:hAnsi="Calibri"/>
          <w:bCs w:val="0"/>
          <w:sz w:val="22"/>
          <w:szCs w:val="22"/>
          <w:lang w:val="en-US" w:eastAsia="en-US"/>
        </w:rPr>
      </w:pPr>
      <w:r w:rsidRPr="00522E3B">
        <w:rPr>
          <w:lang w:val="en-US"/>
        </w:rPr>
        <w:t xml:space="preserve">Furthermore, ACM interprets the rationale of Article 210a </w:t>
      </w:r>
      <w:r w:rsidR="009A1DC4">
        <w:rPr>
          <w:rFonts w:eastAsia="Calibri"/>
          <w:lang w:val="en-US" w:eastAsia="en-US"/>
        </w:rPr>
        <w:t>CMO</w:t>
      </w:r>
      <w:r w:rsidR="009A1DC4" w:rsidRPr="00522E3B">
        <w:rPr>
          <w:lang w:val="en-US"/>
        </w:rPr>
        <w:t xml:space="preserve"> </w:t>
      </w:r>
      <w:r w:rsidRPr="00522E3B">
        <w:rPr>
          <w:lang w:val="en-US"/>
        </w:rPr>
        <w:t xml:space="preserve">as stimulating sustainability in the agricultural sector. The transition to a sustainable EU food system implies that phasing out non-sustainable or less-sustainable products is inevitable to the process. ACM wonders whether the texts of paragraphs 167 and 173 in particular are in line with the aforementioned rationale. </w:t>
      </w:r>
    </w:p>
    <w:p w14:paraId="733EF009" w14:textId="77777777" w:rsidR="00AC6B14" w:rsidRPr="00522E3B" w:rsidRDefault="00AC6B14" w:rsidP="00AC6B14">
      <w:pPr>
        <w:rPr>
          <w:lang w:val="en-US"/>
        </w:rPr>
      </w:pPr>
    </w:p>
    <w:p w14:paraId="508B8A12" w14:textId="77777777" w:rsidR="00AC6B14" w:rsidRPr="00522E3B" w:rsidRDefault="00AC6B14" w:rsidP="00AC6B14">
      <w:pPr>
        <w:pStyle w:val="Kop3"/>
        <w:rPr>
          <w:lang w:val="en-US"/>
        </w:rPr>
      </w:pPr>
      <w:bookmarkStart w:id="25" w:name="_Toc133237413"/>
      <w:r w:rsidRPr="00522E3B">
        <w:rPr>
          <w:lang w:val="en-US"/>
        </w:rPr>
        <w:t>Paragraph 163</w:t>
      </w:r>
      <w:bookmarkEnd w:id="25"/>
    </w:p>
    <w:p w14:paraId="143CB7AC" w14:textId="77777777" w:rsidR="00AC6B14" w:rsidRPr="00522E3B" w:rsidRDefault="00AC6B14" w:rsidP="00AC6B14">
      <w:pPr>
        <w:rPr>
          <w:lang w:val="en-US"/>
        </w:rPr>
      </w:pPr>
      <w:r w:rsidRPr="00522E3B">
        <w:rPr>
          <w:lang w:val="en-US"/>
        </w:rPr>
        <w:t>Paragraph 163 describes that competition authorities will have the power to intervene with a concluded or implemented agreement:</w:t>
      </w:r>
    </w:p>
    <w:p w14:paraId="785F00DF" w14:textId="77777777" w:rsidR="00AC6B14" w:rsidRPr="00522E3B" w:rsidRDefault="00AC6B14" w:rsidP="00AC6B14">
      <w:pPr>
        <w:rPr>
          <w:lang w:val="en-US"/>
        </w:rPr>
      </w:pPr>
    </w:p>
    <w:p w14:paraId="6FB15E79" w14:textId="77777777" w:rsidR="00AC6B14" w:rsidRPr="00522E3B" w:rsidRDefault="00AC6B14" w:rsidP="00AC6B14">
      <w:pPr>
        <w:ind w:left="708"/>
        <w:rPr>
          <w:i/>
          <w:iCs/>
          <w:lang w:val="en-US"/>
        </w:rPr>
      </w:pPr>
      <w:r w:rsidRPr="00522E3B">
        <w:rPr>
          <w:i/>
          <w:iCs/>
          <w:lang w:val="en-US"/>
        </w:rPr>
        <w:t xml:space="preserve">‘Based on this, Article 210a(7) gives competition authorities the power to intervene where a sustainability agreement, which has been entered into or implemented, </w:t>
      </w:r>
      <w:proofErr w:type="spellStart"/>
      <w:r w:rsidRPr="00522E3B">
        <w:rPr>
          <w:i/>
          <w:iCs/>
          <w:lang w:val="en-US"/>
        </w:rPr>
        <w:t>jeopardises</w:t>
      </w:r>
      <w:proofErr w:type="spellEnd"/>
      <w:r w:rsidRPr="00522E3B">
        <w:rPr>
          <w:i/>
          <w:iCs/>
          <w:lang w:val="en-US"/>
        </w:rPr>
        <w:t xml:space="preserve"> the five objectives set out in Article 39 TFEU.</w:t>
      </w:r>
      <w:r w:rsidRPr="00522E3B">
        <w:rPr>
          <w:lang w:val="en-US"/>
        </w:rPr>
        <w:t xml:space="preserve"> </w:t>
      </w:r>
      <w:r w:rsidRPr="00522E3B">
        <w:rPr>
          <w:i/>
          <w:iCs/>
          <w:lang w:val="en-US"/>
        </w:rPr>
        <w:t xml:space="preserve">When doing so, the relevant competition authority must consider the effect of the sustainability agreement on all five objectives. In some cases, it will be sufficient for one of the five objectives to be </w:t>
      </w:r>
      <w:proofErr w:type="spellStart"/>
      <w:r w:rsidRPr="00522E3B">
        <w:rPr>
          <w:i/>
          <w:iCs/>
          <w:lang w:val="en-US"/>
        </w:rPr>
        <w:t>jeopardised</w:t>
      </w:r>
      <w:proofErr w:type="spellEnd"/>
      <w:r w:rsidRPr="00522E3B">
        <w:rPr>
          <w:i/>
          <w:iCs/>
          <w:lang w:val="en-US"/>
        </w:rPr>
        <w:t xml:space="preserve"> for the objectives set out in Article 39 TFEU to be </w:t>
      </w:r>
      <w:proofErr w:type="spellStart"/>
      <w:r w:rsidRPr="00522E3B">
        <w:rPr>
          <w:i/>
          <w:iCs/>
          <w:lang w:val="en-US"/>
        </w:rPr>
        <w:t>jeopardised</w:t>
      </w:r>
      <w:proofErr w:type="spellEnd"/>
      <w:r w:rsidRPr="00522E3B">
        <w:rPr>
          <w:i/>
          <w:iCs/>
          <w:lang w:val="en-US"/>
        </w:rPr>
        <w:t xml:space="preserve"> within the meaning of Article 210a(7). However, in cases where some objectives may be negatively impacted but other objectives are positively impacted, it will be necessary to reconcile those five objectives.’</w:t>
      </w:r>
    </w:p>
    <w:p w14:paraId="028244B7" w14:textId="77777777" w:rsidR="00AC6B14" w:rsidRPr="00522E3B" w:rsidRDefault="00AC6B14" w:rsidP="00AC6B14">
      <w:pPr>
        <w:rPr>
          <w:lang w:val="en-US"/>
        </w:rPr>
      </w:pPr>
    </w:p>
    <w:p w14:paraId="5A92E497" w14:textId="77777777" w:rsidR="00AC6B14" w:rsidRPr="00522E3B" w:rsidRDefault="00AC6B14" w:rsidP="00AC6B14">
      <w:pPr>
        <w:rPr>
          <w:lang w:val="en-US"/>
        </w:rPr>
      </w:pPr>
      <w:r w:rsidRPr="00522E3B">
        <w:rPr>
          <w:lang w:val="en-US"/>
        </w:rPr>
        <w:t xml:space="preserve">Are authorities obliged to investigate the consequences of an agreement if it possibly jeopardizes Article 39 TFEU? This is a very difficult investigation for an authority to execute. </w:t>
      </w:r>
    </w:p>
    <w:p w14:paraId="505852F8" w14:textId="77777777" w:rsidR="00AC6B14" w:rsidRPr="00522E3B" w:rsidRDefault="00AC6B14" w:rsidP="00AC6B14">
      <w:pPr>
        <w:rPr>
          <w:lang w:val="en-US"/>
        </w:rPr>
      </w:pPr>
    </w:p>
    <w:p w14:paraId="6773C3F7" w14:textId="77777777" w:rsidR="00AC6B14" w:rsidRPr="00522E3B" w:rsidRDefault="00AC6B14" w:rsidP="00AC6B14">
      <w:pPr>
        <w:pStyle w:val="Kop3"/>
        <w:rPr>
          <w:lang w:val="en-US"/>
        </w:rPr>
      </w:pPr>
      <w:bookmarkStart w:id="26" w:name="_Toc133237414"/>
      <w:r w:rsidRPr="00522E3B">
        <w:rPr>
          <w:lang w:val="en-US"/>
        </w:rPr>
        <w:t>Paragraph 166</w:t>
      </w:r>
      <w:bookmarkEnd w:id="26"/>
    </w:p>
    <w:p w14:paraId="5F31CCB2" w14:textId="77777777" w:rsidR="00AC6B14" w:rsidRPr="00522E3B" w:rsidRDefault="00AC6B14" w:rsidP="00AC6B14">
      <w:pPr>
        <w:rPr>
          <w:lang w:val="en-US"/>
        </w:rPr>
      </w:pPr>
      <w:r w:rsidRPr="00522E3B">
        <w:rPr>
          <w:lang w:val="en-US"/>
        </w:rPr>
        <w:t>The example in paragraph 166 is written down as follows:</w:t>
      </w:r>
    </w:p>
    <w:p w14:paraId="1486AD12" w14:textId="77777777" w:rsidR="00AC6B14" w:rsidRPr="00522E3B" w:rsidRDefault="00AC6B14" w:rsidP="00AC6B14">
      <w:pPr>
        <w:rPr>
          <w:lang w:val="en-US"/>
        </w:rPr>
      </w:pPr>
    </w:p>
    <w:p w14:paraId="0DAA4E4E" w14:textId="77777777" w:rsidR="00AC6B14" w:rsidRPr="00522E3B" w:rsidRDefault="00AC6B14" w:rsidP="00AC6B14">
      <w:pPr>
        <w:ind w:left="708"/>
        <w:rPr>
          <w:i/>
          <w:iCs/>
          <w:lang w:val="en-US"/>
        </w:rPr>
      </w:pPr>
      <w:r w:rsidRPr="00522E3B">
        <w:rPr>
          <w:i/>
          <w:iCs/>
          <w:lang w:val="en-US"/>
        </w:rPr>
        <w:t xml:space="preserve">‘Several grain producers, making up 80% of the grain produced in the relevant geographic area, agree to stop selling seeds treated with a certain type of chemical pesticide during the time necessary to modify their production process and to sell off their existing stock of grain. Because the producers account for a large share of seed production, this creates a shortage of inputs for processors that use the grains, and this instability leads to an increase in the price of bread. This would be likely to </w:t>
      </w:r>
      <w:proofErr w:type="spellStart"/>
      <w:r w:rsidRPr="00522E3B">
        <w:rPr>
          <w:i/>
          <w:iCs/>
          <w:lang w:val="en-US"/>
        </w:rPr>
        <w:t>jeopardise</w:t>
      </w:r>
      <w:proofErr w:type="spellEnd"/>
      <w:r w:rsidRPr="00522E3B">
        <w:rPr>
          <w:i/>
          <w:iCs/>
          <w:lang w:val="en-US"/>
        </w:rPr>
        <w:t xml:space="preserve"> the objectives of ensuring the availability of supplies and reasonable prices for consumers.’</w:t>
      </w:r>
    </w:p>
    <w:p w14:paraId="598AB3BE" w14:textId="77777777" w:rsidR="00AC6B14" w:rsidRPr="00522E3B" w:rsidRDefault="00AC6B14" w:rsidP="00AC6B14">
      <w:pPr>
        <w:rPr>
          <w:lang w:val="en-US"/>
        </w:rPr>
      </w:pPr>
    </w:p>
    <w:p w14:paraId="391E5CB6" w14:textId="590B5DEC" w:rsidR="00AC6B14" w:rsidRPr="00522E3B" w:rsidRDefault="00AC6B14" w:rsidP="00AC6B14">
      <w:pPr>
        <w:rPr>
          <w:lang w:val="en-US"/>
        </w:rPr>
      </w:pPr>
      <w:r w:rsidRPr="00522E3B">
        <w:rPr>
          <w:lang w:val="en-US"/>
        </w:rPr>
        <w:t>ACM would like to suggest changing this example as it could be read as that every price increase will jeopardize the objective of reasonable prices for consumers. This is against the idea of the European Commission that the threshold under Article 210a (7)</w:t>
      </w:r>
      <w:r w:rsidR="009A1DC4">
        <w:rPr>
          <w:lang w:val="en-US"/>
        </w:rPr>
        <w:t xml:space="preserve"> </w:t>
      </w:r>
      <w:r w:rsidR="009A1DC4">
        <w:rPr>
          <w:rFonts w:eastAsia="Calibri"/>
          <w:lang w:val="en-US" w:eastAsia="en-US"/>
        </w:rPr>
        <w:t>CMO</w:t>
      </w:r>
      <w:r w:rsidRPr="00522E3B">
        <w:rPr>
          <w:lang w:val="en-US"/>
        </w:rPr>
        <w:t xml:space="preserve"> for jeopardizing the objectives set out in Article 39 TFEU should be high. Could the European Commission make clear at what level a price increase jeopardizes the objective of reasonable prices for consumers within the light of the other objectives of Article 39 TFEU? </w:t>
      </w:r>
    </w:p>
    <w:p w14:paraId="5CD7800B" w14:textId="77777777" w:rsidR="00AC6B14" w:rsidRPr="00522E3B" w:rsidRDefault="00AC6B14" w:rsidP="00AC6B14">
      <w:pPr>
        <w:rPr>
          <w:lang w:val="en-US"/>
        </w:rPr>
      </w:pPr>
    </w:p>
    <w:p w14:paraId="5257FC3D" w14:textId="77777777" w:rsidR="00AC6B14" w:rsidRPr="00522E3B" w:rsidRDefault="00AC6B14" w:rsidP="00AC6B14">
      <w:pPr>
        <w:pStyle w:val="Kop3"/>
        <w:rPr>
          <w:lang w:val="en-US"/>
        </w:rPr>
      </w:pPr>
      <w:bookmarkStart w:id="27" w:name="_Toc133237415"/>
      <w:r w:rsidRPr="00522E3B">
        <w:rPr>
          <w:lang w:val="en-US"/>
        </w:rPr>
        <w:t>Paragraph 167</w:t>
      </w:r>
      <w:bookmarkEnd w:id="27"/>
    </w:p>
    <w:p w14:paraId="14748CA0" w14:textId="77777777" w:rsidR="00AC6B14" w:rsidRPr="00522E3B" w:rsidRDefault="00AC6B14" w:rsidP="00AC6B14">
      <w:pPr>
        <w:rPr>
          <w:lang w:val="en-US"/>
        </w:rPr>
      </w:pPr>
      <w:r w:rsidRPr="00522E3B">
        <w:rPr>
          <w:lang w:val="en-US"/>
        </w:rPr>
        <w:t>Paragraph 167 describes that the threshold for jeopardizing the objectives laid down in Article 39 TFEU should be high.</w:t>
      </w:r>
    </w:p>
    <w:p w14:paraId="56438F25" w14:textId="77777777" w:rsidR="00AC6B14" w:rsidRPr="00522E3B" w:rsidRDefault="00AC6B14" w:rsidP="00AC6B14">
      <w:pPr>
        <w:rPr>
          <w:lang w:val="en-US"/>
        </w:rPr>
      </w:pPr>
    </w:p>
    <w:p w14:paraId="78D7610B" w14:textId="77777777" w:rsidR="00AC6B14" w:rsidRPr="00522E3B" w:rsidRDefault="00AC6B14" w:rsidP="00AC6B14">
      <w:pPr>
        <w:ind w:left="708"/>
        <w:rPr>
          <w:i/>
          <w:iCs/>
          <w:lang w:val="en-US"/>
        </w:rPr>
      </w:pPr>
      <w:r w:rsidRPr="00522E3B">
        <w:rPr>
          <w:i/>
          <w:iCs/>
          <w:lang w:val="en-US"/>
        </w:rPr>
        <w:t xml:space="preserve">‘The threshold under Article 210a(7) for </w:t>
      </w:r>
      <w:proofErr w:type="spellStart"/>
      <w:r w:rsidRPr="00522E3B">
        <w:rPr>
          <w:i/>
          <w:iCs/>
          <w:lang w:val="en-US"/>
        </w:rPr>
        <w:t>jeopardising</w:t>
      </w:r>
      <w:proofErr w:type="spellEnd"/>
      <w:r w:rsidRPr="00522E3B">
        <w:rPr>
          <w:i/>
          <w:iCs/>
          <w:lang w:val="en-US"/>
        </w:rPr>
        <w:t xml:space="preserve"> the objectives set out in Article 39 TFEU should be high. It would be against the spirit of Article 210a and the case law of the Court of Justice of the European Union on the need to reconcile the five CAP objectives if those objectives would be </w:t>
      </w:r>
      <w:proofErr w:type="spellStart"/>
      <w:r w:rsidRPr="00522E3B">
        <w:rPr>
          <w:i/>
          <w:iCs/>
          <w:lang w:val="en-US"/>
        </w:rPr>
        <w:t>jeopardised</w:t>
      </w:r>
      <w:proofErr w:type="spellEnd"/>
      <w:r w:rsidRPr="00522E3B">
        <w:rPr>
          <w:i/>
          <w:iCs/>
          <w:lang w:val="en-US"/>
        </w:rPr>
        <w:t xml:space="preserve"> any time a sustainability agreement has even a slight impact on one of those objectives.’</w:t>
      </w:r>
    </w:p>
    <w:p w14:paraId="79B2E4B2" w14:textId="77777777" w:rsidR="00AC6B14" w:rsidRPr="00522E3B" w:rsidRDefault="00AC6B14" w:rsidP="00AC6B14">
      <w:pPr>
        <w:rPr>
          <w:lang w:val="en-US"/>
        </w:rPr>
      </w:pPr>
    </w:p>
    <w:p w14:paraId="5EFC6AB0" w14:textId="77777777" w:rsidR="00AC6B14" w:rsidRPr="00522E3B" w:rsidRDefault="00AC6B14" w:rsidP="00AC6B14">
      <w:pPr>
        <w:rPr>
          <w:lang w:val="en-US"/>
        </w:rPr>
      </w:pPr>
      <w:r w:rsidRPr="00522E3B">
        <w:rPr>
          <w:lang w:val="en-US"/>
        </w:rPr>
        <w:t xml:space="preserve">Perhaps some clarification could be provided in general on what this ‘high threshold’ entails. </w:t>
      </w:r>
    </w:p>
    <w:p w14:paraId="1495BCAE" w14:textId="77777777" w:rsidR="00AC6B14" w:rsidRPr="00522E3B" w:rsidRDefault="00AC6B14" w:rsidP="00AC6B14">
      <w:pPr>
        <w:rPr>
          <w:lang w:val="en-US"/>
        </w:rPr>
      </w:pPr>
    </w:p>
    <w:p w14:paraId="4F74116A" w14:textId="77777777" w:rsidR="00AC6B14" w:rsidRPr="00522E3B" w:rsidRDefault="00AC6B14" w:rsidP="00AC6B14">
      <w:pPr>
        <w:pStyle w:val="Kop3"/>
        <w:rPr>
          <w:lang w:val="en-US"/>
        </w:rPr>
      </w:pPr>
      <w:bookmarkStart w:id="28" w:name="_Toc133237416"/>
      <w:r w:rsidRPr="00522E3B">
        <w:rPr>
          <w:lang w:val="en-US"/>
        </w:rPr>
        <w:t>Paragraph 169</w:t>
      </w:r>
      <w:bookmarkEnd w:id="28"/>
    </w:p>
    <w:p w14:paraId="32CCDDCF" w14:textId="77777777" w:rsidR="00AC6B14" w:rsidRPr="00522E3B" w:rsidRDefault="00AC6B14" w:rsidP="00AC6B14">
      <w:pPr>
        <w:rPr>
          <w:lang w:val="en-US"/>
        </w:rPr>
      </w:pPr>
      <w:r w:rsidRPr="00522E3B">
        <w:rPr>
          <w:lang w:val="en-US"/>
        </w:rPr>
        <w:t>Paragraph 169 is written down as follows:</w:t>
      </w:r>
    </w:p>
    <w:p w14:paraId="786620EB" w14:textId="77777777" w:rsidR="00AC6B14" w:rsidRPr="00522E3B" w:rsidRDefault="00AC6B14" w:rsidP="00AC6B14">
      <w:pPr>
        <w:rPr>
          <w:lang w:val="en-US"/>
        </w:rPr>
      </w:pPr>
    </w:p>
    <w:p w14:paraId="0109C598" w14:textId="77777777" w:rsidR="00AC6B14" w:rsidRPr="00522E3B" w:rsidRDefault="00AC6B14" w:rsidP="00AC6B14">
      <w:pPr>
        <w:ind w:left="708"/>
        <w:rPr>
          <w:i/>
          <w:iCs/>
          <w:lang w:val="en-US"/>
        </w:rPr>
      </w:pPr>
      <w:r w:rsidRPr="00522E3B">
        <w:rPr>
          <w:i/>
          <w:iCs/>
          <w:lang w:val="en-US"/>
        </w:rPr>
        <w:t>‘</w:t>
      </w:r>
      <w:proofErr w:type="spellStart"/>
      <w:r w:rsidRPr="00522E3B">
        <w:rPr>
          <w:i/>
          <w:iCs/>
          <w:lang w:val="en-US"/>
        </w:rPr>
        <w:t>Jeopardising</w:t>
      </w:r>
      <w:proofErr w:type="spellEnd"/>
      <w:r w:rsidRPr="00522E3B">
        <w:rPr>
          <w:i/>
          <w:iCs/>
          <w:lang w:val="en-US"/>
        </w:rPr>
        <w:t xml:space="preserve"> the objectives set out in Article 39 TFEU is also distinct from the exclusion of competition. An exclusion of competition in some situations may occur without </w:t>
      </w:r>
      <w:proofErr w:type="spellStart"/>
      <w:r w:rsidRPr="00522E3B">
        <w:rPr>
          <w:i/>
          <w:iCs/>
          <w:lang w:val="en-US"/>
        </w:rPr>
        <w:t>jeopardising</w:t>
      </w:r>
      <w:proofErr w:type="spellEnd"/>
      <w:r w:rsidRPr="00522E3B">
        <w:rPr>
          <w:i/>
          <w:iCs/>
          <w:lang w:val="en-US"/>
        </w:rPr>
        <w:t xml:space="preserve"> the objectives set out in Article 39 TFEU. Moreover, those objectives may be </w:t>
      </w:r>
      <w:proofErr w:type="spellStart"/>
      <w:r w:rsidRPr="00522E3B">
        <w:rPr>
          <w:i/>
          <w:iCs/>
          <w:lang w:val="en-US"/>
        </w:rPr>
        <w:t>jeopardised</w:t>
      </w:r>
      <w:proofErr w:type="spellEnd"/>
      <w:r w:rsidRPr="00522E3B">
        <w:rPr>
          <w:i/>
          <w:iCs/>
          <w:lang w:val="en-US"/>
        </w:rPr>
        <w:t xml:space="preserve"> even if competition is not excluded.’</w:t>
      </w:r>
    </w:p>
    <w:p w14:paraId="6EEE132F" w14:textId="77777777" w:rsidR="00AC6B14" w:rsidRPr="00522E3B" w:rsidRDefault="00AC6B14" w:rsidP="00AC6B14">
      <w:pPr>
        <w:rPr>
          <w:lang w:val="en-US"/>
        </w:rPr>
      </w:pPr>
    </w:p>
    <w:p w14:paraId="3E62F068" w14:textId="77777777" w:rsidR="00AC6B14" w:rsidRPr="00522E3B" w:rsidRDefault="00AC6B14" w:rsidP="00AC6B14">
      <w:pPr>
        <w:rPr>
          <w:lang w:val="en-US"/>
        </w:rPr>
      </w:pPr>
      <w:r w:rsidRPr="00522E3B">
        <w:rPr>
          <w:lang w:val="en-US"/>
        </w:rPr>
        <w:t xml:space="preserve">ACM wonders to what extent national competition authorities ought to assess whether the objectives set out in Article 39 TFEU are jeopardized. These objectives touch upon policy issues on which competition authorities are not (or not always) authorized or able to take a position. Furthermore, it would be costly to use competition capacity to assess the five objectives out of Article 39 TFEU, also taking into account that these objectives can also contradict each other. </w:t>
      </w:r>
    </w:p>
    <w:p w14:paraId="74AD8E3C" w14:textId="77777777" w:rsidR="00AC6B14" w:rsidRPr="00522E3B" w:rsidRDefault="00AC6B14" w:rsidP="00AC6B14">
      <w:pPr>
        <w:rPr>
          <w:lang w:val="en-US"/>
        </w:rPr>
      </w:pPr>
    </w:p>
    <w:p w14:paraId="41368670" w14:textId="77777777" w:rsidR="00AC6B14" w:rsidRPr="00522E3B" w:rsidRDefault="00AC6B14" w:rsidP="00AC6B14">
      <w:pPr>
        <w:pStyle w:val="Kop3"/>
        <w:rPr>
          <w:lang w:val="en-US"/>
        </w:rPr>
      </w:pPr>
      <w:bookmarkStart w:id="29" w:name="_Toc133237417"/>
      <w:r w:rsidRPr="00522E3B">
        <w:rPr>
          <w:lang w:val="en-US"/>
        </w:rPr>
        <w:t>Paragraph 176</w:t>
      </w:r>
      <w:bookmarkEnd w:id="29"/>
    </w:p>
    <w:p w14:paraId="63D04D3A" w14:textId="56B8DE4D" w:rsidR="00AC6B14" w:rsidRPr="00522E3B" w:rsidRDefault="00AC6B14" w:rsidP="00AC6B14">
      <w:pPr>
        <w:rPr>
          <w:lang w:val="en-US"/>
        </w:rPr>
      </w:pPr>
      <w:r w:rsidRPr="00522E3B">
        <w:rPr>
          <w:lang w:val="en-US"/>
        </w:rPr>
        <w:t xml:space="preserve">Paragraph 176 describes the role of </w:t>
      </w:r>
      <w:r w:rsidRPr="00522E3B">
        <w:rPr>
          <w:i/>
          <w:iCs/>
          <w:lang w:val="en-US"/>
        </w:rPr>
        <w:t>willingness to pay</w:t>
      </w:r>
      <w:r w:rsidRPr="00522E3B">
        <w:rPr>
          <w:lang w:val="en-US"/>
        </w:rPr>
        <w:t xml:space="preserve"> within Article 210a (7)</w:t>
      </w:r>
      <w:r w:rsidR="009A1DC4">
        <w:rPr>
          <w:lang w:val="en-US"/>
        </w:rPr>
        <w:t xml:space="preserve"> </w:t>
      </w:r>
      <w:r w:rsidR="009A1DC4">
        <w:rPr>
          <w:rFonts w:eastAsia="Calibri"/>
          <w:lang w:val="en-US" w:eastAsia="en-US"/>
        </w:rPr>
        <w:t>CMO</w:t>
      </w:r>
      <w:r w:rsidRPr="00522E3B">
        <w:rPr>
          <w:lang w:val="en-US"/>
        </w:rPr>
        <w:t xml:space="preserve">: </w:t>
      </w:r>
    </w:p>
    <w:p w14:paraId="492FA268" w14:textId="77777777" w:rsidR="00AC6B14" w:rsidRPr="00522E3B" w:rsidRDefault="00AC6B14" w:rsidP="00AC6B14">
      <w:pPr>
        <w:rPr>
          <w:lang w:val="en-US"/>
        </w:rPr>
      </w:pPr>
    </w:p>
    <w:p w14:paraId="43763EAE" w14:textId="77777777" w:rsidR="00AC6B14" w:rsidRPr="00522E3B" w:rsidRDefault="00AC6B14" w:rsidP="00AC6B14">
      <w:pPr>
        <w:ind w:left="708"/>
        <w:rPr>
          <w:i/>
          <w:iCs/>
          <w:lang w:val="en-US"/>
        </w:rPr>
      </w:pPr>
      <w:r w:rsidRPr="00522E3B">
        <w:rPr>
          <w:i/>
          <w:iCs/>
          <w:lang w:val="en-US"/>
        </w:rPr>
        <w:t>‘However, the fact that products that comply with lower sustainability standards are withdrawn from the market does not imply an exclusion of competition within the meaning of Article 210a(7) if the products were withdrawn because consumers increasingly demand more sustainable products. It is therefore necessary to assess whether the exclusion of competition is due to consumer preferences for sustainable products or whether instead the sustainability agreement has forced the withdrawal of a product for which there is substantial unfulfilled consumer demand.’</w:t>
      </w:r>
    </w:p>
    <w:p w14:paraId="2A4F7D51" w14:textId="77777777" w:rsidR="00AC6B14" w:rsidRPr="00522E3B" w:rsidRDefault="00AC6B14" w:rsidP="00AC6B14">
      <w:pPr>
        <w:rPr>
          <w:lang w:val="en-US"/>
        </w:rPr>
      </w:pPr>
    </w:p>
    <w:p w14:paraId="468759AD" w14:textId="54158ABA" w:rsidR="00AC6B14" w:rsidRPr="00522E3B" w:rsidRDefault="00AC6B14" w:rsidP="00AC6B14">
      <w:pPr>
        <w:rPr>
          <w:lang w:val="en-US"/>
        </w:rPr>
      </w:pPr>
      <w:r w:rsidRPr="00522E3B">
        <w:rPr>
          <w:lang w:val="en-US"/>
        </w:rPr>
        <w:t xml:space="preserve">This text implies that, in the situation of phasing out less-sustainable options, when there is no </w:t>
      </w:r>
      <w:r w:rsidRPr="00522E3B">
        <w:rPr>
          <w:i/>
          <w:iCs/>
          <w:lang w:val="en-US"/>
        </w:rPr>
        <w:t>willingness to pay,</w:t>
      </w:r>
      <w:r w:rsidRPr="00522E3B">
        <w:rPr>
          <w:lang w:val="en-US"/>
        </w:rPr>
        <w:t xml:space="preserve"> there might be an exclusion of competition within the meaning of Article 210a (7)</w:t>
      </w:r>
      <w:r w:rsidR="009A1DC4">
        <w:rPr>
          <w:lang w:val="en-US"/>
        </w:rPr>
        <w:t xml:space="preserve"> </w:t>
      </w:r>
      <w:r w:rsidR="009A1DC4">
        <w:rPr>
          <w:rFonts w:eastAsia="Calibri"/>
          <w:lang w:val="en-US" w:eastAsia="en-US"/>
        </w:rPr>
        <w:t>CMO</w:t>
      </w:r>
      <w:r w:rsidRPr="00522E3B">
        <w:rPr>
          <w:lang w:val="en-US"/>
        </w:rPr>
        <w:t>. ACM wonders how this relates to the rationale behind Article 210a</w:t>
      </w:r>
      <w:r w:rsidR="009A1DC4">
        <w:rPr>
          <w:lang w:val="en-US"/>
        </w:rPr>
        <w:t xml:space="preserve"> </w:t>
      </w:r>
      <w:r w:rsidR="009A1DC4">
        <w:rPr>
          <w:rFonts w:eastAsia="Calibri"/>
          <w:lang w:val="en-US" w:eastAsia="en-US"/>
        </w:rPr>
        <w:t>CMO</w:t>
      </w:r>
      <w:r w:rsidRPr="00522E3B">
        <w:rPr>
          <w:lang w:val="en-US"/>
        </w:rPr>
        <w:t xml:space="preserve"> that transitioning to more sustainable products cannot be achieved individually if there is no </w:t>
      </w:r>
      <w:r w:rsidRPr="00522E3B">
        <w:rPr>
          <w:i/>
          <w:iCs/>
          <w:lang w:val="en-US"/>
        </w:rPr>
        <w:t xml:space="preserve">willingness to pay </w:t>
      </w:r>
      <w:r w:rsidRPr="00522E3B">
        <w:rPr>
          <w:lang w:val="en-US"/>
        </w:rPr>
        <w:t xml:space="preserve">and therefore may be concluded in agreement. </w:t>
      </w:r>
    </w:p>
    <w:p w14:paraId="5188261A" w14:textId="77777777" w:rsidR="00AC6B14" w:rsidRPr="00522E3B" w:rsidRDefault="00AC6B14" w:rsidP="00AC6B14">
      <w:pPr>
        <w:rPr>
          <w:lang w:val="en-US"/>
        </w:rPr>
      </w:pPr>
    </w:p>
    <w:p w14:paraId="6F2A8EA1" w14:textId="77777777" w:rsidR="00AC6B14" w:rsidRPr="00522E3B" w:rsidRDefault="00AC6B14" w:rsidP="00AC6B14">
      <w:pPr>
        <w:pStyle w:val="Kop3"/>
        <w:rPr>
          <w:lang w:val="en-US"/>
        </w:rPr>
      </w:pPr>
      <w:bookmarkStart w:id="30" w:name="_Toc133237418"/>
      <w:r w:rsidRPr="00522E3B">
        <w:rPr>
          <w:lang w:val="en-US"/>
        </w:rPr>
        <w:lastRenderedPageBreak/>
        <w:t>Paragraph 178</w:t>
      </w:r>
      <w:bookmarkEnd w:id="30"/>
    </w:p>
    <w:p w14:paraId="4EAEB8DD" w14:textId="77777777" w:rsidR="00AC6B14" w:rsidRPr="00522E3B" w:rsidRDefault="00AC6B14" w:rsidP="00AC6B14">
      <w:pPr>
        <w:rPr>
          <w:lang w:val="en-US"/>
        </w:rPr>
      </w:pPr>
      <w:r w:rsidRPr="00522E3B">
        <w:rPr>
          <w:lang w:val="en-US"/>
        </w:rPr>
        <w:t xml:space="preserve">Paragraph 178 describes a market share indication for the likeliness to exclude competition: </w:t>
      </w:r>
    </w:p>
    <w:p w14:paraId="1FF6D239" w14:textId="77777777" w:rsidR="00AC6B14" w:rsidRPr="00522E3B" w:rsidRDefault="00AC6B14" w:rsidP="00AC6B14">
      <w:pPr>
        <w:rPr>
          <w:lang w:val="en-US"/>
        </w:rPr>
      </w:pPr>
    </w:p>
    <w:p w14:paraId="5AEBA9AD" w14:textId="77777777" w:rsidR="00AC6B14" w:rsidRPr="00522E3B" w:rsidRDefault="00AC6B14" w:rsidP="00AC6B14">
      <w:pPr>
        <w:ind w:left="708"/>
        <w:rPr>
          <w:i/>
          <w:iCs/>
          <w:lang w:val="en-US"/>
        </w:rPr>
      </w:pPr>
      <w:r w:rsidRPr="00522E3B">
        <w:rPr>
          <w:i/>
          <w:iCs/>
          <w:lang w:val="en-US"/>
        </w:rPr>
        <w:t>‘The market coverage of the sustainability agreement is likely to be a factor in deciding whether to intervene under Article 210a(7). Where the combined market shares of the parties to the sustainability agreement do not exceed 15% in the case of horizontal agreements and 30% in the case of vertical agreements, the agreement is unlikely to exclude competition.’</w:t>
      </w:r>
    </w:p>
    <w:p w14:paraId="1DD92AF1" w14:textId="77777777" w:rsidR="00AC6B14" w:rsidRPr="00522E3B" w:rsidRDefault="00AC6B14" w:rsidP="00AC6B14">
      <w:pPr>
        <w:rPr>
          <w:lang w:val="en-US"/>
        </w:rPr>
      </w:pPr>
    </w:p>
    <w:p w14:paraId="2F5111E7" w14:textId="67D5698B" w:rsidR="00AC6B14" w:rsidRPr="00522E3B" w:rsidRDefault="00AC6B14" w:rsidP="00AC6B14">
      <w:pPr>
        <w:rPr>
          <w:lang w:val="en-US"/>
        </w:rPr>
      </w:pPr>
      <w:r w:rsidRPr="00522E3B">
        <w:rPr>
          <w:lang w:val="en-US"/>
        </w:rPr>
        <w:t>Does this mean that, above these percentages, an investigation has to be conducted? ACM wonders whether these percentages are not too low, considering the rationale behind Article 210a</w:t>
      </w:r>
      <w:r w:rsidR="009A1DC4">
        <w:rPr>
          <w:lang w:val="en-US"/>
        </w:rPr>
        <w:t xml:space="preserve"> </w:t>
      </w:r>
      <w:r w:rsidR="009A1DC4">
        <w:rPr>
          <w:rFonts w:eastAsia="Calibri"/>
          <w:lang w:val="en-US" w:eastAsia="en-US"/>
        </w:rPr>
        <w:t>CMO</w:t>
      </w:r>
      <w:r w:rsidRPr="00522E3B">
        <w:rPr>
          <w:lang w:val="en-US"/>
        </w:rPr>
        <w:t xml:space="preserve"> and the fact that this article provides for an exemption for Article 101(3) TFEU</w:t>
      </w:r>
      <w:r w:rsidRPr="00522E3B">
        <w:rPr>
          <w:rStyle w:val="GeenafstandChar"/>
          <w:lang w:val="en-US"/>
        </w:rPr>
        <w:t xml:space="preserve">. This system of (low) percentages is more akin to Article 101 (3) TFEU. ACM believes that, in cases where </w:t>
      </w:r>
      <w:r w:rsidRPr="00522E3B">
        <w:rPr>
          <w:rStyle w:val="GeenafstandChar"/>
          <w:rFonts w:eastAsia="Calibri"/>
          <w:lang w:val="en-US"/>
        </w:rPr>
        <w:t>competition continues to exist on other characteristics, for example product quality, there is no exclusion of competition even when market shares are high.</w:t>
      </w:r>
    </w:p>
    <w:p w14:paraId="5428A727" w14:textId="77777777" w:rsidR="00AC6B14" w:rsidRPr="00522E3B" w:rsidRDefault="00AC6B14" w:rsidP="00AC6B14">
      <w:pPr>
        <w:rPr>
          <w:lang w:val="en-US"/>
        </w:rPr>
      </w:pPr>
    </w:p>
    <w:p w14:paraId="36A17403" w14:textId="77777777" w:rsidR="00AC6B14" w:rsidRPr="00522E3B" w:rsidRDefault="00AC6B14" w:rsidP="00AC6B14">
      <w:pPr>
        <w:pStyle w:val="Kop3"/>
        <w:rPr>
          <w:lang w:val="en-US"/>
        </w:rPr>
      </w:pPr>
      <w:bookmarkStart w:id="31" w:name="_Toc133237419"/>
      <w:r w:rsidRPr="00522E3B">
        <w:rPr>
          <w:lang w:val="en-US"/>
        </w:rPr>
        <w:t>Paragraph 179</w:t>
      </w:r>
      <w:bookmarkEnd w:id="31"/>
    </w:p>
    <w:p w14:paraId="6AEC5FB1" w14:textId="77777777" w:rsidR="00AC6B14" w:rsidRPr="00522E3B" w:rsidRDefault="00AC6B14" w:rsidP="00AC6B14">
      <w:pPr>
        <w:rPr>
          <w:lang w:val="en-US"/>
        </w:rPr>
      </w:pPr>
      <w:r w:rsidRPr="00522E3B">
        <w:rPr>
          <w:lang w:val="en-US"/>
        </w:rPr>
        <w:t xml:space="preserve">Paragraph 179 describes that the assessment of whether sustainability agreements exclude competition should be undertaken on a case-by-case basis: </w:t>
      </w:r>
    </w:p>
    <w:p w14:paraId="092009E2" w14:textId="77777777" w:rsidR="00AC6B14" w:rsidRPr="00522E3B" w:rsidRDefault="00AC6B14" w:rsidP="00AC6B14">
      <w:pPr>
        <w:rPr>
          <w:lang w:val="en-US"/>
        </w:rPr>
      </w:pPr>
    </w:p>
    <w:p w14:paraId="2D27CAE4" w14:textId="77777777" w:rsidR="00AC6B14" w:rsidRPr="00522E3B" w:rsidRDefault="00AC6B14" w:rsidP="00AC6B14">
      <w:pPr>
        <w:ind w:left="708"/>
        <w:rPr>
          <w:i/>
          <w:iCs/>
          <w:lang w:val="en-US"/>
        </w:rPr>
      </w:pPr>
      <w:r w:rsidRPr="00522E3B">
        <w:rPr>
          <w:i/>
          <w:iCs/>
          <w:lang w:val="en-US"/>
        </w:rPr>
        <w:t>‘Where the combined market shares of the parties to the sustainability agreement exceed the above-mentioned thresholds, the assessment of whether a sustainability agreement excludes competition should be undertaken on a case-by-case basis, depending on the extent to which consumer demand is unfulfilled. The mere fact that a sustainability agreement covers the entirety of the market will not in and of itself necessarily lead to an exclusion of competition.’</w:t>
      </w:r>
    </w:p>
    <w:p w14:paraId="6A9F519C" w14:textId="77777777" w:rsidR="00AC6B14" w:rsidRPr="00522E3B" w:rsidRDefault="00AC6B14" w:rsidP="00AC6B14">
      <w:pPr>
        <w:rPr>
          <w:lang w:val="en-US"/>
        </w:rPr>
      </w:pPr>
    </w:p>
    <w:p w14:paraId="7D0AC421" w14:textId="77777777" w:rsidR="00AC6B14" w:rsidRPr="00522E3B" w:rsidRDefault="00AC6B14" w:rsidP="00AC6B14">
      <w:pPr>
        <w:rPr>
          <w:lang w:val="en-US"/>
        </w:rPr>
      </w:pPr>
      <w:r w:rsidRPr="00522E3B">
        <w:rPr>
          <w:lang w:val="en-US"/>
        </w:rPr>
        <w:t xml:space="preserve">ACM would like to suggest the Commission to clarify that this assessment should be executed by competition authorities and not by market participants. </w:t>
      </w:r>
    </w:p>
    <w:p w14:paraId="21132CDD" w14:textId="77777777" w:rsidR="00AC6B14" w:rsidRPr="00522E3B" w:rsidRDefault="00AC6B14" w:rsidP="00AC6B14">
      <w:pPr>
        <w:rPr>
          <w:lang w:val="en-US"/>
        </w:rPr>
      </w:pPr>
    </w:p>
    <w:p w14:paraId="77ACCBF6" w14:textId="77777777" w:rsidR="00AC6B14" w:rsidRPr="00522E3B" w:rsidRDefault="00AC6B14" w:rsidP="00AC6B14">
      <w:pPr>
        <w:pStyle w:val="Kop3"/>
        <w:rPr>
          <w:lang w:val="en-US"/>
        </w:rPr>
      </w:pPr>
      <w:bookmarkStart w:id="32" w:name="_Toc133237420"/>
      <w:r w:rsidRPr="00522E3B">
        <w:rPr>
          <w:lang w:val="en-US"/>
        </w:rPr>
        <w:t>Example 2 paragraph 179</w:t>
      </w:r>
      <w:bookmarkEnd w:id="32"/>
    </w:p>
    <w:p w14:paraId="3B19869E" w14:textId="77777777" w:rsidR="00AC6B14" w:rsidRPr="00522E3B" w:rsidRDefault="00AC6B14" w:rsidP="00AC6B14">
      <w:pPr>
        <w:rPr>
          <w:lang w:val="en-US"/>
        </w:rPr>
      </w:pPr>
      <w:r w:rsidRPr="00522E3B">
        <w:rPr>
          <w:lang w:val="en-US"/>
        </w:rPr>
        <w:t>Example 2 in paragraph 179 is written down as follows:</w:t>
      </w:r>
    </w:p>
    <w:p w14:paraId="5D4E24C0" w14:textId="77777777" w:rsidR="00AC6B14" w:rsidRPr="00522E3B" w:rsidRDefault="00AC6B14" w:rsidP="00AC6B14">
      <w:pPr>
        <w:rPr>
          <w:lang w:val="en-US"/>
        </w:rPr>
      </w:pPr>
    </w:p>
    <w:p w14:paraId="19E4D349" w14:textId="77777777" w:rsidR="00AC6B14" w:rsidRPr="00522E3B" w:rsidRDefault="00AC6B14" w:rsidP="00AC6B14">
      <w:pPr>
        <w:ind w:left="708"/>
        <w:rPr>
          <w:i/>
          <w:iCs/>
          <w:lang w:val="en-US"/>
        </w:rPr>
      </w:pPr>
      <w:r w:rsidRPr="00522E3B">
        <w:rPr>
          <w:i/>
          <w:iCs/>
          <w:lang w:val="en-US"/>
        </w:rPr>
        <w:t>‘Turkey breeders, making up 60% of the market, decide to improve their turkey’s living conditions, by establishing a new animal welfare standard that go beyond what is prescribed by mandatory law. This requires increasing the turkeys’ living space, and installing air renewal and water treatment systems. The new sustainability standard also includes feeding turkeys premium-quality products only. The producers agree to apply a price premium to cover their costs.</w:t>
      </w:r>
    </w:p>
    <w:p w14:paraId="7A8A62D2" w14:textId="77777777" w:rsidR="00AC6B14" w:rsidRPr="00522E3B" w:rsidRDefault="00AC6B14" w:rsidP="00AC6B14">
      <w:pPr>
        <w:ind w:left="708"/>
        <w:rPr>
          <w:i/>
          <w:iCs/>
          <w:lang w:val="en-US"/>
        </w:rPr>
      </w:pPr>
      <w:r w:rsidRPr="00522E3B">
        <w:rPr>
          <w:i/>
          <w:iCs/>
          <w:lang w:val="en-US"/>
        </w:rPr>
        <w:br/>
        <w:t>The price premium is 150% higher than the price of the less sustainable reared turkeys. This increase is indispensable given the extensive extra costs of the new standard. The higher price of sustainable turkeys has the effect of leading producers of non-sustainable turkeys (amounting to 40% of the market) also to increase their price by 60%.</w:t>
      </w:r>
    </w:p>
    <w:p w14:paraId="29FE012F" w14:textId="77777777" w:rsidR="00AC6B14" w:rsidRPr="00522E3B" w:rsidRDefault="00AC6B14" w:rsidP="00AC6B14">
      <w:pPr>
        <w:ind w:left="708"/>
        <w:rPr>
          <w:i/>
          <w:iCs/>
          <w:lang w:val="en-US"/>
        </w:rPr>
      </w:pPr>
      <w:r w:rsidRPr="00522E3B">
        <w:rPr>
          <w:i/>
          <w:iCs/>
          <w:lang w:val="en-US"/>
        </w:rPr>
        <w:br/>
        <w:t>Market studies show that as a result of the agreement, a range from 15 to 20% of the consumers of turkeys declare that they are no longer able to afford non-sustainable turkeys, and are hence prevented from buying any turkey.</w:t>
      </w:r>
    </w:p>
    <w:p w14:paraId="10803B53" w14:textId="77777777" w:rsidR="00AC6B14" w:rsidRPr="00522E3B" w:rsidRDefault="00AC6B14" w:rsidP="00AC6B14">
      <w:pPr>
        <w:ind w:left="708"/>
        <w:rPr>
          <w:i/>
          <w:iCs/>
          <w:lang w:val="en-US"/>
        </w:rPr>
      </w:pPr>
      <w:r w:rsidRPr="00522E3B">
        <w:rPr>
          <w:i/>
          <w:iCs/>
          <w:lang w:val="en-US"/>
        </w:rPr>
        <w:br/>
        <w:t>As a result, consumers that were only willing to pay for the cheaper – and less sustainable alternative – will no longer access turkeys, as they cannot afford the 150% price increase. Such a situation is likely to lead to an intervention by the relevant competition authority.’</w:t>
      </w:r>
    </w:p>
    <w:p w14:paraId="22708B10" w14:textId="77777777" w:rsidR="00AC6B14" w:rsidRPr="00522E3B" w:rsidRDefault="00AC6B14" w:rsidP="00AC6B14">
      <w:pPr>
        <w:rPr>
          <w:lang w:val="en-US"/>
        </w:rPr>
      </w:pPr>
    </w:p>
    <w:p w14:paraId="5293A939" w14:textId="77777777" w:rsidR="00AC6B14" w:rsidRPr="00522E3B" w:rsidRDefault="00AC6B14" w:rsidP="00AC6B14">
      <w:pPr>
        <w:rPr>
          <w:lang w:val="en-US"/>
        </w:rPr>
      </w:pPr>
    </w:p>
    <w:p w14:paraId="05CFC355" w14:textId="77777777" w:rsidR="00AC6B14" w:rsidRPr="00522E3B" w:rsidRDefault="00AC6B14" w:rsidP="00AC6B14">
      <w:pPr>
        <w:rPr>
          <w:lang w:val="en-US"/>
        </w:rPr>
      </w:pPr>
      <w:r w:rsidRPr="00522E3B">
        <w:rPr>
          <w:lang w:val="en-US"/>
        </w:rPr>
        <w:lastRenderedPageBreak/>
        <w:t xml:space="preserve">ACM wonders whether the behavior of non-participating parties should be included in the assessment of whether the sustainability agreement, concluded by other market parties, excludes competition. In other words, ACM wonders whether parties to the sustainability agreement should be held accountable for the behavior of non-participating market participants. </w:t>
      </w:r>
    </w:p>
    <w:p w14:paraId="79F3C8B1" w14:textId="3B76D473" w:rsidR="000C58A0" w:rsidRPr="00AC6B14" w:rsidRDefault="009F6947" w:rsidP="00AC6B14">
      <w:r w:rsidRPr="00AC6B14">
        <w:t xml:space="preserve"> </w:t>
      </w:r>
    </w:p>
    <w:sectPr w:rsidR="000C58A0" w:rsidRPr="00AC6B14" w:rsidSect="00880335">
      <w:headerReference w:type="default" r:id="rId10"/>
      <w:footerReference w:type="default" r:id="rId11"/>
      <w:footerReference w:type="first" r:id="rId12"/>
      <w:pgSz w:w="11906" w:h="16838"/>
      <w:pgMar w:top="142" w:right="1133" w:bottom="1417" w:left="1701"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754F9" w14:textId="77777777" w:rsidR="006B18A6" w:rsidRDefault="006B18A6">
      <w:pPr>
        <w:spacing w:line="240" w:lineRule="auto"/>
      </w:pPr>
      <w:r>
        <w:separator/>
      </w:r>
    </w:p>
  </w:endnote>
  <w:endnote w:type="continuationSeparator" w:id="0">
    <w:p w14:paraId="0AE40187" w14:textId="77777777" w:rsidR="006B18A6" w:rsidRDefault="006B18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IN Alternate">
    <w:altName w:val="Calibri"/>
    <w:panose1 w:val="00000000000000000000"/>
    <w:charset w:val="00"/>
    <w:family w:val="modern"/>
    <w:notTrueType/>
    <w:pitch w:val="variable"/>
    <w:sig w:usb0="800000AF" w:usb1="40002048"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1436D" w14:textId="77777777" w:rsidR="00644379" w:rsidRDefault="00DD4394" w:rsidP="00270916">
    <w:pPr>
      <w:pStyle w:val="Voettekst"/>
      <w:tabs>
        <w:tab w:val="clear" w:pos="4536"/>
        <w:tab w:val="clear" w:pos="9072"/>
        <w:tab w:val="right" w:pos="8931"/>
      </w:tabs>
      <w:ind w:right="-1"/>
      <w:jc w:val="right"/>
    </w:pPr>
    <w:r>
      <w:rPr>
        <w:b/>
        <w:bCs w:val="0"/>
      </w:rPr>
      <w:fldChar w:fldCharType="begin"/>
    </w:r>
    <w:r>
      <w:rPr>
        <w:b/>
      </w:rPr>
      <w:instrText xml:space="preserve">PAGE  \* Arabic  \* </w:instrText>
    </w:r>
    <w:r>
      <w:rPr>
        <w:b/>
      </w:rPr>
      <w:instrText>MERGEFORMAT</w:instrText>
    </w:r>
    <w:r>
      <w:rPr>
        <w:b/>
        <w:bCs w:val="0"/>
      </w:rPr>
      <w:fldChar w:fldCharType="separate"/>
    </w:r>
    <w:r>
      <w:rPr>
        <w:b/>
        <w:bCs w:val="0"/>
      </w:rPr>
      <w:t>2</w:t>
    </w:r>
    <w:r>
      <w:rPr>
        <w:b/>
        <w:bCs w:val="0"/>
      </w:rPr>
      <w:fldChar w:fldCharType="end"/>
    </w:r>
    <w:r>
      <w:rPr>
        <w:b/>
        <w:bCs w:val="0"/>
      </w:rPr>
      <w:t>/</w:t>
    </w:r>
    <w:r>
      <w:rPr>
        <w:b/>
        <w:bCs w:val="0"/>
      </w:rPr>
      <w:fldChar w:fldCharType="begin"/>
    </w:r>
    <w:r>
      <w:rPr>
        <w:b/>
      </w:rPr>
      <w:instrText>NUMPAGES  \* Arabic  \* MERGEFORMAT</w:instrText>
    </w:r>
    <w:r>
      <w:rPr>
        <w:b/>
        <w:bCs w:val="0"/>
      </w:rPr>
      <w:fldChar w:fldCharType="separate"/>
    </w:r>
    <w:r>
      <w:rPr>
        <w:b/>
        <w:bCs w:val="0"/>
      </w:rPr>
      <w:t>2</w:t>
    </w:r>
    <w:r>
      <w:rPr>
        <w:b/>
        <w:bCs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EF260" w14:textId="77777777" w:rsidR="00500C8A" w:rsidRDefault="00DD4394" w:rsidP="009A5D17">
    <w:pPr>
      <w:pStyle w:val="Voettekst"/>
      <w:tabs>
        <w:tab w:val="clear" w:pos="4536"/>
        <w:tab w:val="clear" w:pos="9072"/>
        <w:tab w:val="right" w:pos="8930"/>
      </w:tabs>
      <w:ind w:left="-1134"/>
    </w:pPr>
    <w:r w:rsidRPr="001627F7">
      <w:rPr>
        <w:b/>
        <w:noProof/>
        <w:color w:val="007FAE"/>
      </w:rPr>
      <w:drawing>
        <wp:inline distT="0" distB="0" distL="0" distR="0" wp14:anchorId="1BFC24DE" wp14:editId="331F18CA">
          <wp:extent cx="3199421" cy="171450"/>
          <wp:effectExtent l="0" t="0" r="127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bwMode="auto">
                  <a:xfrm>
                    <a:off x="0" y="0"/>
                    <a:ext cx="3554907" cy="190500"/>
                  </a:xfrm>
                  <a:prstGeom prst="rect">
                    <a:avLst/>
                  </a:prstGeom>
                  <a:ln>
                    <a:noFill/>
                  </a:ln>
                  <a:extLst>
                    <a:ext uri="{53640926-AAD7-44D8-BBD7-CCE9431645EC}">
                      <a14:shadowObscured xmlns:a14="http://schemas.microsoft.com/office/drawing/2010/main"/>
                    </a:ext>
                  </a:extLst>
                </pic:spPr>
              </pic:pic>
            </a:graphicData>
          </a:graphic>
        </wp:inline>
      </w:drawing>
    </w:r>
    <w:r>
      <w:rPr>
        <w:b/>
      </w:rPr>
      <w:tab/>
      <w:t>ACM/UIT/595378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5617F" w14:textId="77777777" w:rsidR="006B18A6" w:rsidRDefault="006B18A6">
      <w:pPr>
        <w:spacing w:line="240" w:lineRule="auto"/>
      </w:pPr>
      <w:r>
        <w:separator/>
      </w:r>
    </w:p>
  </w:footnote>
  <w:footnote w:type="continuationSeparator" w:id="0">
    <w:p w14:paraId="10E53AF8" w14:textId="77777777" w:rsidR="006B18A6" w:rsidRDefault="006B18A6">
      <w:pPr>
        <w:spacing w:line="240" w:lineRule="auto"/>
      </w:pPr>
      <w:r>
        <w:continuationSeparator/>
      </w:r>
    </w:p>
  </w:footnote>
  <w:footnote w:id="1">
    <w:p w14:paraId="4F18D946" w14:textId="77777777" w:rsidR="00AC6B14" w:rsidRPr="00722C0B" w:rsidRDefault="00AC6B14" w:rsidP="00AC6B14">
      <w:pPr>
        <w:pStyle w:val="Voetnoottekst"/>
      </w:pPr>
      <w:r>
        <w:rPr>
          <w:rStyle w:val="Voetnootmarkering"/>
        </w:rPr>
        <w:footnoteRef/>
      </w:r>
      <w:r>
        <w:t xml:space="preserve"> The Dutch translation: </w:t>
      </w:r>
      <w:r w:rsidRPr="00722C0B">
        <w:t>‘</w:t>
      </w:r>
      <w:r w:rsidRPr="00722C0B">
        <w:rPr>
          <w:rStyle w:val="normaltextrun"/>
          <w:i/>
          <w:iCs/>
          <w:shd w:val="clear" w:color="auto" w:fill="FFFFFF"/>
        </w:rPr>
        <w:t>Ten slotte moet bij de beoordeling van de onontbeerlijkheid van de mededingingsbeperkingen in de zin van artikel 210 bis worden bezien in hoeverre de in de duurzaamheidsovereenkomst vastgestelde norm </w:t>
      </w:r>
      <w:r w:rsidRPr="00722C0B">
        <w:rPr>
          <w:rStyle w:val="normaltextrun"/>
          <w:i/>
          <w:iCs/>
          <w:u w:val="single"/>
          <w:shd w:val="clear" w:color="auto" w:fill="FFFFFF"/>
        </w:rPr>
        <w:t>is bereikt</w:t>
      </w:r>
      <w:r w:rsidRPr="00722C0B">
        <w:rPr>
          <w:rStyle w:val="normaltextrun"/>
          <w:u w:val="single"/>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FC4BE" w14:textId="77777777" w:rsidR="009A5D17" w:rsidRPr="009A5D17" w:rsidRDefault="00DD4394" w:rsidP="009A5D17">
    <w:pPr>
      <w:pStyle w:val="Koptekst"/>
      <w:tabs>
        <w:tab w:val="clear" w:pos="4536"/>
      </w:tabs>
      <w:ind w:left="-567"/>
    </w:pPr>
    <w:proofErr w:type="spellStart"/>
    <w:r w:rsidRPr="007A666D">
      <w:rPr>
        <w:b/>
        <w:sz w:val="20"/>
      </w:rPr>
      <w:t>Authority</w:t>
    </w:r>
    <w:proofErr w:type="spellEnd"/>
    <w:r w:rsidRPr="007A666D">
      <w:rPr>
        <w:b/>
        <w:sz w:val="20"/>
      </w:rPr>
      <w:t xml:space="preserve"> </w:t>
    </w:r>
    <w:proofErr w:type="spellStart"/>
    <w:r w:rsidRPr="007A666D">
      <w:rPr>
        <w:b/>
        <w:sz w:val="20"/>
      </w:rPr>
      <w:t>Consumers</w:t>
    </w:r>
    <w:proofErr w:type="spellEnd"/>
    <w:r w:rsidRPr="007A666D">
      <w:rPr>
        <w:b/>
        <w:sz w:val="20"/>
      </w:rPr>
      <w:t xml:space="preserve"> &amp; Markets</w:t>
    </w:r>
  </w:p>
  <w:p w14:paraId="08BB7E66" w14:textId="71EC4083" w:rsidR="00042273" w:rsidRDefault="00DD4394" w:rsidP="00DB7B04">
    <w:pPr>
      <w:tabs>
        <w:tab w:val="right" w:pos="8930"/>
      </w:tabs>
      <w:ind w:left="-567"/>
      <w:rPr>
        <w:sz w:val="20"/>
      </w:rPr>
    </w:pPr>
    <w:r w:rsidRPr="007A666D">
      <w:rPr>
        <w:b/>
        <w:sz w:val="20"/>
      </w:rPr>
      <w:t>Case ID</w:t>
    </w:r>
    <w:r w:rsidRPr="00DB7B04">
      <w:rPr>
        <w:rFonts w:ascii="Times New Roman" w:hAnsi="Times New Roman"/>
        <w:sz w:val="24"/>
        <w:szCs w:val="24"/>
      </w:rPr>
      <w:t xml:space="preserve"> </w:t>
    </w:r>
    <w:r>
      <w:rPr>
        <w:sz w:val="20"/>
      </w:rPr>
      <w:t>ACM/23/182143</w:t>
    </w:r>
    <w:r>
      <w:rPr>
        <w:sz w:val="20"/>
      </w:rPr>
      <w:tab/>
    </w:r>
    <w:r w:rsidR="00A8227D">
      <w:rPr>
        <w:b/>
        <w:bCs w:val="0"/>
        <w:color w:val="007FAE"/>
        <w:sz w:val="34"/>
        <w:szCs w:val="34"/>
        <w:lang w:val="en-US"/>
      </w:rPr>
      <w:t>Public</w:t>
    </w:r>
  </w:p>
  <w:p w14:paraId="1BECCC93" w14:textId="77777777" w:rsidR="00042273" w:rsidRDefault="00DD4394" w:rsidP="00042273">
    <w:pPr>
      <w:pBdr>
        <w:bottom w:val="single" w:sz="6" w:space="1" w:color="auto"/>
      </w:pBdr>
      <w:ind w:left="-567"/>
      <w:rPr>
        <w:sz w:val="20"/>
      </w:rPr>
    </w:pPr>
  </w:p>
  <w:p w14:paraId="6670DBBF" w14:textId="77777777" w:rsidR="004E5A5B" w:rsidRDefault="00DD4394" w:rsidP="0004227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B446A"/>
    <w:multiLevelType w:val="multilevel"/>
    <w:tmpl w:val="1A0A342A"/>
    <w:lvl w:ilvl="0">
      <w:start w:val="1"/>
      <w:numFmt w:val="decimal"/>
      <w:pStyle w:val="Kop1"/>
      <w:lvlText w:val="%1"/>
      <w:lvlJc w:val="left"/>
      <w:pPr>
        <w:tabs>
          <w:tab w:val="num" w:pos="432"/>
        </w:tabs>
        <w:ind w:left="432" w:hanging="432"/>
      </w:pPr>
    </w:lvl>
    <w:lvl w:ilvl="1">
      <w:start w:val="1"/>
      <w:numFmt w:val="decimal"/>
      <w:pStyle w:val="Kop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5B4D5D61"/>
    <w:multiLevelType w:val="hybridMultilevel"/>
    <w:tmpl w:val="42A6368A"/>
    <w:lvl w:ilvl="0" w:tplc="6D02701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8A37B3A"/>
    <w:multiLevelType w:val="hybridMultilevel"/>
    <w:tmpl w:val="0E1A579E"/>
    <w:lvl w:ilvl="0" w:tplc="9B94FC56">
      <w:numFmt w:val="bullet"/>
      <w:lvlText w:val="-"/>
      <w:lvlJc w:val="left"/>
      <w:pPr>
        <w:ind w:left="720" w:hanging="360"/>
      </w:pPr>
      <w:rPr>
        <w:rFonts w:ascii="Arial" w:eastAsia="Calibri" w:hAnsi="Arial" w:cs="Arial" w:hint="default"/>
        <w:color w:val="auto"/>
        <w:sz w:val="19"/>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221552230">
    <w:abstractNumId w:val="0"/>
  </w:num>
  <w:num w:numId="2" w16cid:durableId="290064673">
    <w:abstractNumId w:val="0"/>
  </w:num>
  <w:num w:numId="3" w16cid:durableId="1098135054">
    <w:abstractNumId w:val="0"/>
  </w:num>
  <w:num w:numId="4" w16cid:durableId="762844560">
    <w:abstractNumId w:val="0"/>
  </w:num>
  <w:num w:numId="5" w16cid:durableId="17316160">
    <w:abstractNumId w:val="1"/>
  </w:num>
  <w:num w:numId="6" w16cid:durableId="10261771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PaneFormatFilter w:val="B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BB1"/>
    <w:rsid w:val="00005C13"/>
    <w:rsid w:val="0002078C"/>
    <w:rsid w:val="000233A6"/>
    <w:rsid w:val="00030167"/>
    <w:rsid w:val="000319BF"/>
    <w:rsid w:val="000335B3"/>
    <w:rsid w:val="000551E5"/>
    <w:rsid w:val="00071530"/>
    <w:rsid w:val="000835CD"/>
    <w:rsid w:val="00084E88"/>
    <w:rsid w:val="00090EC7"/>
    <w:rsid w:val="00095C1C"/>
    <w:rsid w:val="000A684F"/>
    <w:rsid w:val="000C447C"/>
    <w:rsid w:val="000C4B55"/>
    <w:rsid w:val="000C58A0"/>
    <w:rsid w:val="000C7276"/>
    <w:rsid w:val="000D24DA"/>
    <w:rsid w:val="000D716F"/>
    <w:rsid w:val="000E06B5"/>
    <w:rsid w:val="000E30EB"/>
    <w:rsid w:val="000E67FD"/>
    <w:rsid w:val="000E6E83"/>
    <w:rsid w:val="000E77BF"/>
    <w:rsid w:val="000F0F57"/>
    <w:rsid w:val="000F2A4A"/>
    <w:rsid w:val="000F4E33"/>
    <w:rsid w:val="00103AEB"/>
    <w:rsid w:val="00105D21"/>
    <w:rsid w:val="00110FCC"/>
    <w:rsid w:val="00120F07"/>
    <w:rsid w:val="00121B90"/>
    <w:rsid w:val="00122244"/>
    <w:rsid w:val="001223B5"/>
    <w:rsid w:val="00124354"/>
    <w:rsid w:val="00126743"/>
    <w:rsid w:val="0013243A"/>
    <w:rsid w:val="001357CB"/>
    <w:rsid w:val="00140EEF"/>
    <w:rsid w:val="0014121F"/>
    <w:rsid w:val="001449D4"/>
    <w:rsid w:val="00157C8B"/>
    <w:rsid w:val="0016055D"/>
    <w:rsid w:val="00163607"/>
    <w:rsid w:val="00165465"/>
    <w:rsid w:val="00174F84"/>
    <w:rsid w:val="001827A7"/>
    <w:rsid w:val="001840F6"/>
    <w:rsid w:val="001901D1"/>
    <w:rsid w:val="00195932"/>
    <w:rsid w:val="001A5031"/>
    <w:rsid w:val="001A5301"/>
    <w:rsid w:val="001A7709"/>
    <w:rsid w:val="001B7D7B"/>
    <w:rsid w:val="001C541A"/>
    <w:rsid w:val="001D780E"/>
    <w:rsid w:val="001E2CAF"/>
    <w:rsid w:val="001E6640"/>
    <w:rsid w:val="0020666F"/>
    <w:rsid w:val="00207124"/>
    <w:rsid w:val="00210B69"/>
    <w:rsid w:val="00216DD4"/>
    <w:rsid w:val="00217F4D"/>
    <w:rsid w:val="002246C7"/>
    <w:rsid w:val="00230137"/>
    <w:rsid w:val="00231790"/>
    <w:rsid w:val="00263AE9"/>
    <w:rsid w:val="00267D6C"/>
    <w:rsid w:val="00281889"/>
    <w:rsid w:val="00281AC4"/>
    <w:rsid w:val="002A0B6F"/>
    <w:rsid w:val="002A2059"/>
    <w:rsid w:val="002B3A1E"/>
    <w:rsid w:val="002C2685"/>
    <w:rsid w:val="002C3E32"/>
    <w:rsid w:val="002C6696"/>
    <w:rsid w:val="002E7C95"/>
    <w:rsid w:val="003035F1"/>
    <w:rsid w:val="00314EFE"/>
    <w:rsid w:val="0031658D"/>
    <w:rsid w:val="0032041D"/>
    <w:rsid w:val="00322C19"/>
    <w:rsid w:val="00344E8F"/>
    <w:rsid w:val="00347855"/>
    <w:rsid w:val="0036201D"/>
    <w:rsid w:val="003643E1"/>
    <w:rsid w:val="00373AE5"/>
    <w:rsid w:val="00376D45"/>
    <w:rsid w:val="0038199B"/>
    <w:rsid w:val="00390192"/>
    <w:rsid w:val="00397FC0"/>
    <w:rsid w:val="003A5977"/>
    <w:rsid w:val="003A6FCE"/>
    <w:rsid w:val="003B1B64"/>
    <w:rsid w:val="003B2C00"/>
    <w:rsid w:val="003B7FA8"/>
    <w:rsid w:val="003C0CD2"/>
    <w:rsid w:val="003C1F9B"/>
    <w:rsid w:val="003D62BB"/>
    <w:rsid w:val="003D65EA"/>
    <w:rsid w:val="003E3C99"/>
    <w:rsid w:val="003E44CD"/>
    <w:rsid w:val="003E5876"/>
    <w:rsid w:val="003E6DA6"/>
    <w:rsid w:val="003F264B"/>
    <w:rsid w:val="00404280"/>
    <w:rsid w:val="004045FB"/>
    <w:rsid w:val="00404E5C"/>
    <w:rsid w:val="0040535A"/>
    <w:rsid w:val="004116A5"/>
    <w:rsid w:val="00420491"/>
    <w:rsid w:val="0042161D"/>
    <w:rsid w:val="004311B0"/>
    <w:rsid w:val="00435316"/>
    <w:rsid w:val="004356EC"/>
    <w:rsid w:val="004431BD"/>
    <w:rsid w:val="0045500F"/>
    <w:rsid w:val="00460221"/>
    <w:rsid w:val="00461BA9"/>
    <w:rsid w:val="0046387D"/>
    <w:rsid w:val="004641CB"/>
    <w:rsid w:val="00464AAE"/>
    <w:rsid w:val="0047282D"/>
    <w:rsid w:val="00474C74"/>
    <w:rsid w:val="00475533"/>
    <w:rsid w:val="00477DE7"/>
    <w:rsid w:val="00483867"/>
    <w:rsid w:val="0048685C"/>
    <w:rsid w:val="00491B34"/>
    <w:rsid w:val="00491FCE"/>
    <w:rsid w:val="0049612D"/>
    <w:rsid w:val="004970C9"/>
    <w:rsid w:val="004A32A1"/>
    <w:rsid w:val="004A3909"/>
    <w:rsid w:val="004A4112"/>
    <w:rsid w:val="004A5D0D"/>
    <w:rsid w:val="004A7A57"/>
    <w:rsid w:val="004B0718"/>
    <w:rsid w:val="004B69BC"/>
    <w:rsid w:val="004C2DCA"/>
    <w:rsid w:val="004C45AC"/>
    <w:rsid w:val="004C4C15"/>
    <w:rsid w:val="004E2316"/>
    <w:rsid w:val="004F574F"/>
    <w:rsid w:val="0050583F"/>
    <w:rsid w:val="005120F0"/>
    <w:rsid w:val="005177DA"/>
    <w:rsid w:val="00523798"/>
    <w:rsid w:val="00523899"/>
    <w:rsid w:val="005239CD"/>
    <w:rsid w:val="00534515"/>
    <w:rsid w:val="00537DFD"/>
    <w:rsid w:val="00542910"/>
    <w:rsid w:val="00543BB6"/>
    <w:rsid w:val="00544ABC"/>
    <w:rsid w:val="0054705A"/>
    <w:rsid w:val="00547A27"/>
    <w:rsid w:val="00561B18"/>
    <w:rsid w:val="00564F00"/>
    <w:rsid w:val="00572B52"/>
    <w:rsid w:val="0057457D"/>
    <w:rsid w:val="00577CDD"/>
    <w:rsid w:val="00583096"/>
    <w:rsid w:val="00593405"/>
    <w:rsid w:val="005977A7"/>
    <w:rsid w:val="005977AF"/>
    <w:rsid w:val="005A0B76"/>
    <w:rsid w:val="005A6B78"/>
    <w:rsid w:val="005A6ED6"/>
    <w:rsid w:val="005B4C01"/>
    <w:rsid w:val="005B5FAC"/>
    <w:rsid w:val="005C47EB"/>
    <w:rsid w:val="005C615D"/>
    <w:rsid w:val="005C656E"/>
    <w:rsid w:val="005D23A5"/>
    <w:rsid w:val="005D706D"/>
    <w:rsid w:val="005E3235"/>
    <w:rsid w:val="005E4107"/>
    <w:rsid w:val="005E6315"/>
    <w:rsid w:val="005F0694"/>
    <w:rsid w:val="005F6990"/>
    <w:rsid w:val="0060016C"/>
    <w:rsid w:val="00611389"/>
    <w:rsid w:val="006121D1"/>
    <w:rsid w:val="00621762"/>
    <w:rsid w:val="006218E6"/>
    <w:rsid w:val="00625EE7"/>
    <w:rsid w:val="00632E21"/>
    <w:rsid w:val="00666C26"/>
    <w:rsid w:val="00671071"/>
    <w:rsid w:val="006755B1"/>
    <w:rsid w:val="00676F62"/>
    <w:rsid w:val="006978E8"/>
    <w:rsid w:val="006B064F"/>
    <w:rsid w:val="006B18A6"/>
    <w:rsid w:val="006B6EDD"/>
    <w:rsid w:val="006C4635"/>
    <w:rsid w:val="006C74A6"/>
    <w:rsid w:val="006D0F05"/>
    <w:rsid w:val="006D2326"/>
    <w:rsid w:val="006E3034"/>
    <w:rsid w:val="006E57A7"/>
    <w:rsid w:val="006E64E9"/>
    <w:rsid w:val="006F2DCD"/>
    <w:rsid w:val="00701B3A"/>
    <w:rsid w:val="00712753"/>
    <w:rsid w:val="00722C0B"/>
    <w:rsid w:val="007278A0"/>
    <w:rsid w:val="0073039D"/>
    <w:rsid w:val="00733781"/>
    <w:rsid w:val="0073721E"/>
    <w:rsid w:val="00742FB5"/>
    <w:rsid w:val="007510DF"/>
    <w:rsid w:val="00754FE2"/>
    <w:rsid w:val="0075605A"/>
    <w:rsid w:val="00756923"/>
    <w:rsid w:val="0078065C"/>
    <w:rsid w:val="00782822"/>
    <w:rsid w:val="0078340F"/>
    <w:rsid w:val="0078490A"/>
    <w:rsid w:val="007A1DE5"/>
    <w:rsid w:val="007B44CC"/>
    <w:rsid w:val="007C21A7"/>
    <w:rsid w:val="007C3601"/>
    <w:rsid w:val="007C5C35"/>
    <w:rsid w:val="007C76D0"/>
    <w:rsid w:val="007E39B1"/>
    <w:rsid w:val="00815956"/>
    <w:rsid w:val="008324CF"/>
    <w:rsid w:val="0083587A"/>
    <w:rsid w:val="008403C5"/>
    <w:rsid w:val="00844357"/>
    <w:rsid w:val="00851C41"/>
    <w:rsid w:val="008570FC"/>
    <w:rsid w:val="008648B4"/>
    <w:rsid w:val="00870897"/>
    <w:rsid w:val="008709D8"/>
    <w:rsid w:val="0087381C"/>
    <w:rsid w:val="00885432"/>
    <w:rsid w:val="00887E85"/>
    <w:rsid w:val="00890150"/>
    <w:rsid w:val="008929DF"/>
    <w:rsid w:val="008976C6"/>
    <w:rsid w:val="008A0A49"/>
    <w:rsid w:val="008B5CC7"/>
    <w:rsid w:val="008E4EA9"/>
    <w:rsid w:val="008F065B"/>
    <w:rsid w:val="008F3388"/>
    <w:rsid w:val="008F3AFF"/>
    <w:rsid w:val="008F7DFD"/>
    <w:rsid w:val="009023D0"/>
    <w:rsid w:val="00905E8D"/>
    <w:rsid w:val="00910EA9"/>
    <w:rsid w:val="00910F59"/>
    <w:rsid w:val="00911467"/>
    <w:rsid w:val="00923918"/>
    <w:rsid w:val="00923BC0"/>
    <w:rsid w:val="009339C1"/>
    <w:rsid w:val="00934446"/>
    <w:rsid w:val="0095240C"/>
    <w:rsid w:val="00954962"/>
    <w:rsid w:val="009579C7"/>
    <w:rsid w:val="00961E6A"/>
    <w:rsid w:val="009633F7"/>
    <w:rsid w:val="0096599D"/>
    <w:rsid w:val="00966E3F"/>
    <w:rsid w:val="00970634"/>
    <w:rsid w:val="00970B26"/>
    <w:rsid w:val="00972231"/>
    <w:rsid w:val="0097671A"/>
    <w:rsid w:val="00984891"/>
    <w:rsid w:val="009863C3"/>
    <w:rsid w:val="00986B19"/>
    <w:rsid w:val="009A1DC4"/>
    <w:rsid w:val="009A6283"/>
    <w:rsid w:val="009B04F1"/>
    <w:rsid w:val="009B4678"/>
    <w:rsid w:val="009B5309"/>
    <w:rsid w:val="009C019D"/>
    <w:rsid w:val="009D00DA"/>
    <w:rsid w:val="009D2370"/>
    <w:rsid w:val="009D521D"/>
    <w:rsid w:val="009F2F37"/>
    <w:rsid w:val="009F6947"/>
    <w:rsid w:val="00A02F78"/>
    <w:rsid w:val="00A03F24"/>
    <w:rsid w:val="00A2341C"/>
    <w:rsid w:val="00A265CE"/>
    <w:rsid w:val="00A30631"/>
    <w:rsid w:val="00A33229"/>
    <w:rsid w:val="00A35EE5"/>
    <w:rsid w:val="00A40B8A"/>
    <w:rsid w:val="00A4419D"/>
    <w:rsid w:val="00A55B81"/>
    <w:rsid w:val="00A62B34"/>
    <w:rsid w:val="00A64C62"/>
    <w:rsid w:val="00A70C97"/>
    <w:rsid w:val="00A7395E"/>
    <w:rsid w:val="00A74127"/>
    <w:rsid w:val="00A77D75"/>
    <w:rsid w:val="00A8227D"/>
    <w:rsid w:val="00A82327"/>
    <w:rsid w:val="00A824A2"/>
    <w:rsid w:val="00A85E91"/>
    <w:rsid w:val="00A97507"/>
    <w:rsid w:val="00AA4C1A"/>
    <w:rsid w:val="00AA5AF1"/>
    <w:rsid w:val="00AB25E0"/>
    <w:rsid w:val="00AC4BA4"/>
    <w:rsid w:val="00AC6B14"/>
    <w:rsid w:val="00AF410F"/>
    <w:rsid w:val="00AF52FE"/>
    <w:rsid w:val="00AF747F"/>
    <w:rsid w:val="00B10C92"/>
    <w:rsid w:val="00B20C5E"/>
    <w:rsid w:val="00B2363B"/>
    <w:rsid w:val="00B33FD7"/>
    <w:rsid w:val="00B40A3B"/>
    <w:rsid w:val="00B40EE1"/>
    <w:rsid w:val="00B4333F"/>
    <w:rsid w:val="00B468BC"/>
    <w:rsid w:val="00B51A3F"/>
    <w:rsid w:val="00B53AA5"/>
    <w:rsid w:val="00B53B68"/>
    <w:rsid w:val="00B53E9D"/>
    <w:rsid w:val="00B55C7D"/>
    <w:rsid w:val="00B55CD9"/>
    <w:rsid w:val="00B60225"/>
    <w:rsid w:val="00B73EE6"/>
    <w:rsid w:val="00B77A5D"/>
    <w:rsid w:val="00B90462"/>
    <w:rsid w:val="00B91D8B"/>
    <w:rsid w:val="00B94E8A"/>
    <w:rsid w:val="00BA2620"/>
    <w:rsid w:val="00BA2F54"/>
    <w:rsid w:val="00BB33AE"/>
    <w:rsid w:val="00BB36FB"/>
    <w:rsid w:val="00BB7426"/>
    <w:rsid w:val="00BC2E92"/>
    <w:rsid w:val="00BD1EAD"/>
    <w:rsid w:val="00BE6B8D"/>
    <w:rsid w:val="00BE770D"/>
    <w:rsid w:val="00BF04CD"/>
    <w:rsid w:val="00BF1D48"/>
    <w:rsid w:val="00BF3378"/>
    <w:rsid w:val="00C00631"/>
    <w:rsid w:val="00C10026"/>
    <w:rsid w:val="00C13510"/>
    <w:rsid w:val="00C136AE"/>
    <w:rsid w:val="00C24BCD"/>
    <w:rsid w:val="00C4072E"/>
    <w:rsid w:val="00C4341F"/>
    <w:rsid w:val="00C51A58"/>
    <w:rsid w:val="00C53D71"/>
    <w:rsid w:val="00C57F03"/>
    <w:rsid w:val="00C6301E"/>
    <w:rsid w:val="00C6365C"/>
    <w:rsid w:val="00C67F2B"/>
    <w:rsid w:val="00C81657"/>
    <w:rsid w:val="00C82EE1"/>
    <w:rsid w:val="00C9165A"/>
    <w:rsid w:val="00C92371"/>
    <w:rsid w:val="00C93900"/>
    <w:rsid w:val="00C96425"/>
    <w:rsid w:val="00C96638"/>
    <w:rsid w:val="00CA1FE8"/>
    <w:rsid w:val="00CA6B69"/>
    <w:rsid w:val="00CA71DF"/>
    <w:rsid w:val="00CA7F0F"/>
    <w:rsid w:val="00CB1988"/>
    <w:rsid w:val="00CC5E91"/>
    <w:rsid w:val="00CD08B2"/>
    <w:rsid w:val="00CD1D22"/>
    <w:rsid w:val="00CE0B2C"/>
    <w:rsid w:val="00CE2799"/>
    <w:rsid w:val="00CE2D59"/>
    <w:rsid w:val="00CE4209"/>
    <w:rsid w:val="00D15604"/>
    <w:rsid w:val="00D17828"/>
    <w:rsid w:val="00D2406A"/>
    <w:rsid w:val="00D27DFC"/>
    <w:rsid w:val="00D35370"/>
    <w:rsid w:val="00D354ED"/>
    <w:rsid w:val="00D357F8"/>
    <w:rsid w:val="00D37087"/>
    <w:rsid w:val="00D37DFD"/>
    <w:rsid w:val="00D405FE"/>
    <w:rsid w:val="00D428CC"/>
    <w:rsid w:val="00D4584E"/>
    <w:rsid w:val="00D468B6"/>
    <w:rsid w:val="00D533FA"/>
    <w:rsid w:val="00D56A00"/>
    <w:rsid w:val="00D65814"/>
    <w:rsid w:val="00D75A85"/>
    <w:rsid w:val="00D77EF3"/>
    <w:rsid w:val="00D918C5"/>
    <w:rsid w:val="00D92FB5"/>
    <w:rsid w:val="00DA2FE0"/>
    <w:rsid w:val="00DA5A6F"/>
    <w:rsid w:val="00DB30E7"/>
    <w:rsid w:val="00DB6F47"/>
    <w:rsid w:val="00DC4A57"/>
    <w:rsid w:val="00DC73F0"/>
    <w:rsid w:val="00DC7E0A"/>
    <w:rsid w:val="00DD3CD8"/>
    <w:rsid w:val="00DD4394"/>
    <w:rsid w:val="00DE411C"/>
    <w:rsid w:val="00DE6522"/>
    <w:rsid w:val="00DF2426"/>
    <w:rsid w:val="00DF73B7"/>
    <w:rsid w:val="00E11958"/>
    <w:rsid w:val="00E11B72"/>
    <w:rsid w:val="00E1665E"/>
    <w:rsid w:val="00E325CC"/>
    <w:rsid w:val="00E34B5F"/>
    <w:rsid w:val="00E36E4C"/>
    <w:rsid w:val="00E467B0"/>
    <w:rsid w:val="00E47EB3"/>
    <w:rsid w:val="00E70B5C"/>
    <w:rsid w:val="00E811EF"/>
    <w:rsid w:val="00E83530"/>
    <w:rsid w:val="00E872C3"/>
    <w:rsid w:val="00E92A9F"/>
    <w:rsid w:val="00EA2710"/>
    <w:rsid w:val="00EA43B2"/>
    <w:rsid w:val="00EA7FED"/>
    <w:rsid w:val="00EC1059"/>
    <w:rsid w:val="00ED60C2"/>
    <w:rsid w:val="00ED6269"/>
    <w:rsid w:val="00ED7182"/>
    <w:rsid w:val="00ED7B73"/>
    <w:rsid w:val="00EE4305"/>
    <w:rsid w:val="00EF666A"/>
    <w:rsid w:val="00EF7B08"/>
    <w:rsid w:val="00F009A3"/>
    <w:rsid w:val="00F1366A"/>
    <w:rsid w:val="00F244EE"/>
    <w:rsid w:val="00F30E78"/>
    <w:rsid w:val="00F352C1"/>
    <w:rsid w:val="00F41589"/>
    <w:rsid w:val="00F5146C"/>
    <w:rsid w:val="00F53699"/>
    <w:rsid w:val="00F5520F"/>
    <w:rsid w:val="00F64D3F"/>
    <w:rsid w:val="00F908A7"/>
    <w:rsid w:val="00F924E3"/>
    <w:rsid w:val="00F94815"/>
    <w:rsid w:val="00FA2F77"/>
    <w:rsid w:val="00FA7D27"/>
    <w:rsid w:val="00FB0B3C"/>
    <w:rsid w:val="00FB36FD"/>
    <w:rsid w:val="00FD0BB1"/>
    <w:rsid w:val="00FD13AE"/>
    <w:rsid w:val="00FD2DF7"/>
    <w:rsid w:val="00FD4B24"/>
    <w:rsid w:val="00FD55CB"/>
    <w:rsid w:val="00FD6512"/>
    <w:rsid w:val="00FE54ED"/>
    <w:rsid w:val="00FF1B87"/>
    <w:rsid w:val="00FF49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49985"/>
  <w15:docId w15:val="{E722E69C-A89F-4A5C-98AA-BA66D5966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en-US" w:bidi="ar-SA"/>
      </w:rPr>
    </w:rPrDefault>
    <w:pPrDefault>
      <w:pPr>
        <w:spacing w:line="260" w:lineRule="atLeast"/>
      </w:pPr>
    </w:pPrDefault>
  </w:docDefaults>
  <w:latentStyles w:defLockedState="0" w:defUIPriority="99" w:defSemiHidden="0" w:defUnhideWhenUsed="0" w:defQFormat="0" w:count="376">
    <w:lsdException w:name="Normal" w:uiPriority="6"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10" w:unhideWhenUsed="1" w:qFormat="1"/>
    <w:lsdException w:name="heading 7" w:semiHidden="1" w:uiPriority="9" w:unhideWhenUsed="1" w:qFormat="1"/>
    <w:lsdException w:name="heading 8" w:semiHidden="1" w:uiPriority="9" w:unhideWhenUsed="1" w:qFormat="1"/>
    <w:lsdException w:name="heading 9" w:semiHidden="1" w:uiPriority="7"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ard">
    <w:name w:val="Normal"/>
    <w:aliases w:val="Alineastijl"/>
    <w:uiPriority w:val="6"/>
    <w:qFormat/>
    <w:rsid w:val="00880335"/>
    <w:rPr>
      <w:rFonts w:ascii="Arial" w:hAnsi="Arial"/>
      <w:bCs/>
      <w:sz w:val="19"/>
      <w:lang w:eastAsia="nl-NL"/>
    </w:rPr>
  </w:style>
  <w:style w:type="paragraph" w:styleId="Kop1">
    <w:name w:val="heading 1"/>
    <w:next w:val="Standaard"/>
    <w:link w:val="Kop1Char"/>
    <w:uiPriority w:val="1"/>
    <w:qFormat/>
    <w:rsid w:val="00A520A0"/>
    <w:pPr>
      <w:keepNext/>
      <w:numPr>
        <w:numId w:val="4"/>
      </w:numPr>
      <w:spacing w:before="240" w:after="60"/>
      <w:outlineLvl w:val="0"/>
    </w:pPr>
    <w:rPr>
      <w:rFonts w:ascii="Arial" w:hAnsi="Arial"/>
      <w:b/>
      <w:bCs/>
      <w:color w:val="007FAE" w:themeColor="accent4"/>
      <w:kern w:val="28"/>
      <w:sz w:val="30"/>
      <w:lang w:eastAsia="nl-NL"/>
    </w:rPr>
  </w:style>
  <w:style w:type="paragraph" w:styleId="Kop2">
    <w:name w:val="heading 2"/>
    <w:basedOn w:val="Standaard"/>
    <w:next w:val="Kop3"/>
    <w:link w:val="Kop2Char"/>
    <w:uiPriority w:val="2"/>
    <w:qFormat/>
    <w:rsid w:val="00A520A0"/>
    <w:pPr>
      <w:keepNext/>
      <w:numPr>
        <w:ilvl w:val="1"/>
        <w:numId w:val="4"/>
      </w:numPr>
      <w:spacing w:before="240" w:after="60" w:line="240" w:lineRule="atLeast"/>
      <w:outlineLvl w:val="1"/>
    </w:pPr>
    <w:rPr>
      <w:b/>
      <w:bCs w:val="0"/>
      <w:color w:val="007FAE" w:themeColor="accent4"/>
      <w:sz w:val="23"/>
    </w:rPr>
  </w:style>
  <w:style w:type="paragraph" w:styleId="Kop3">
    <w:name w:val="heading 3"/>
    <w:basedOn w:val="Standaard"/>
    <w:next w:val="Standaard"/>
    <w:link w:val="Kop3Char"/>
    <w:uiPriority w:val="3"/>
    <w:qFormat/>
    <w:rsid w:val="00A520A0"/>
    <w:pPr>
      <w:keepNext/>
      <w:spacing w:before="240" w:after="60"/>
      <w:ind w:left="720" w:hanging="720"/>
      <w:outlineLvl w:val="2"/>
    </w:pPr>
    <w:rPr>
      <w:b/>
      <w:bCs w:val="0"/>
      <w:color w:val="000000"/>
      <w:sz w:val="21"/>
    </w:rPr>
  </w:style>
  <w:style w:type="paragraph" w:styleId="Kop4">
    <w:name w:val="heading 4"/>
    <w:basedOn w:val="Standaard"/>
    <w:next w:val="Standaard"/>
    <w:link w:val="Kop4Char"/>
    <w:uiPriority w:val="4"/>
    <w:qFormat/>
    <w:rsid w:val="00A520A0"/>
    <w:pPr>
      <w:keepNext/>
      <w:outlineLvl w:val="3"/>
    </w:pPr>
    <w:rPr>
      <w:b/>
      <w:bCs w:val="0"/>
      <w:color w:val="000000"/>
    </w:rPr>
  </w:style>
  <w:style w:type="paragraph" w:styleId="Kop5">
    <w:name w:val="heading 5"/>
    <w:basedOn w:val="Standaard"/>
    <w:next w:val="Standaard"/>
    <w:link w:val="Kop5Char"/>
    <w:uiPriority w:val="5"/>
    <w:qFormat/>
    <w:rsid w:val="00A520A0"/>
    <w:pPr>
      <w:spacing w:before="240" w:after="60"/>
      <w:outlineLvl w:val="4"/>
    </w:pPr>
    <w:rPr>
      <w:bCs w:val="0"/>
      <w:i/>
      <w:color w:val="000000"/>
    </w:rPr>
  </w:style>
  <w:style w:type="paragraph" w:styleId="Kop6">
    <w:name w:val="heading 6"/>
    <w:aliases w:val="Zaaknummer/datum"/>
    <w:basedOn w:val="Standaard"/>
    <w:next w:val="Standaard"/>
    <w:link w:val="Kop6Char"/>
    <w:uiPriority w:val="10"/>
    <w:qFormat/>
    <w:rsid w:val="00A520A0"/>
    <w:pPr>
      <w:spacing w:before="240" w:after="60"/>
      <w:outlineLvl w:val="5"/>
    </w:pPr>
    <w:rPr>
      <w:b/>
      <w:bCs w:val="0"/>
      <w:color w:val="000000"/>
      <w:sz w:val="20"/>
    </w:rPr>
  </w:style>
  <w:style w:type="paragraph" w:styleId="Kop9">
    <w:name w:val="heading 9"/>
    <w:aliases w:val="Type document"/>
    <w:next w:val="Standaard"/>
    <w:link w:val="Kop9Char"/>
    <w:uiPriority w:val="7"/>
    <w:qFormat/>
    <w:rsid w:val="00A520A0"/>
    <w:pPr>
      <w:spacing w:before="240" w:after="60"/>
      <w:outlineLvl w:val="8"/>
    </w:pPr>
    <w:rPr>
      <w:rFonts w:ascii="Arial" w:hAnsi="Arial"/>
      <w:b/>
      <w:bCs/>
      <w:color w:val="E5007D" w:themeColor="text2"/>
      <w:sz w:val="3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1"/>
    <w:rsid w:val="00A520A0"/>
    <w:rPr>
      <w:rFonts w:ascii="Arial" w:hAnsi="Arial"/>
      <w:b/>
      <w:bCs/>
      <w:color w:val="007FAE" w:themeColor="accent4"/>
      <w:kern w:val="28"/>
      <w:sz w:val="30"/>
      <w:lang w:eastAsia="nl-NL"/>
    </w:rPr>
  </w:style>
  <w:style w:type="character" w:customStyle="1" w:styleId="Kop2Char">
    <w:name w:val="Kop 2 Char"/>
    <w:basedOn w:val="Standaardalinea-lettertype"/>
    <w:link w:val="Kop2"/>
    <w:uiPriority w:val="2"/>
    <w:rsid w:val="00A520A0"/>
    <w:rPr>
      <w:rFonts w:ascii="Arial" w:hAnsi="Arial"/>
      <w:b/>
      <w:color w:val="007FAE" w:themeColor="accent4"/>
      <w:sz w:val="23"/>
      <w:lang w:eastAsia="nl-NL"/>
    </w:rPr>
  </w:style>
  <w:style w:type="character" w:customStyle="1" w:styleId="Kop3Char">
    <w:name w:val="Kop 3 Char"/>
    <w:basedOn w:val="Standaardalinea-lettertype"/>
    <w:link w:val="Kop3"/>
    <w:uiPriority w:val="3"/>
    <w:rsid w:val="00A520A0"/>
    <w:rPr>
      <w:rFonts w:ascii="Arial" w:hAnsi="Arial"/>
      <w:b/>
      <w:color w:val="000000"/>
      <w:sz w:val="21"/>
      <w:lang w:eastAsia="nl-NL"/>
    </w:rPr>
  </w:style>
  <w:style w:type="character" w:customStyle="1" w:styleId="Kop4Char">
    <w:name w:val="Kop 4 Char"/>
    <w:basedOn w:val="Standaardalinea-lettertype"/>
    <w:link w:val="Kop4"/>
    <w:uiPriority w:val="4"/>
    <w:rsid w:val="00A520A0"/>
    <w:rPr>
      <w:rFonts w:ascii="Arial" w:hAnsi="Arial"/>
      <w:b/>
      <w:color w:val="000000"/>
      <w:sz w:val="19"/>
      <w:lang w:eastAsia="nl-NL"/>
    </w:rPr>
  </w:style>
  <w:style w:type="character" w:customStyle="1" w:styleId="Kop5Char">
    <w:name w:val="Kop 5 Char"/>
    <w:basedOn w:val="Standaardalinea-lettertype"/>
    <w:link w:val="Kop5"/>
    <w:uiPriority w:val="5"/>
    <w:rsid w:val="00A520A0"/>
    <w:rPr>
      <w:rFonts w:ascii="Arial" w:hAnsi="Arial"/>
      <w:i/>
      <w:color w:val="000000"/>
      <w:sz w:val="19"/>
      <w:lang w:eastAsia="nl-NL"/>
    </w:rPr>
  </w:style>
  <w:style w:type="character" w:customStyle="1" w:styleId="Kop6Char">
    <w:name w:val="Kop 6 Char"/>
    <w:aliases w:val="Zaaknummer/datum Char"/>
    <w:basedOn w:val="Standaardalinea-lettertype"/>
    <w:link w:val="Kop6"/>
    <w:uiPriority w:val="10"/>
    <w:rsid w:val="00A520A0"/>
    <w:rPr>
      <w:rFonts w:ascii="Arial" w:hAnsi="Arial"/>
      <w:b/>
      <w:color w:val="000000"/>
      <w:lang w:eastAsia="nl-NL"/>
    </w:rPr>
  </w:style>
  <w:style w:type="character" w:customStyle="1" w:styleId="Kop9Char">
    <w:name w:val="Kop 9 Char"/>
    <w:aliases w:val="Type document Char"/>
    <w:basedOn w:val="Standaardalinea-lettertype"/>
    <w:link w:val="Kop9"/>
    <w:uiPriority w:val="7"/>
    <w:rsid w:val="00A520A0"/>
    <w:rPr>
      <w:rFonts w:ascii="Arial" w:hAnsi="Arial"/>
      <w:b/>
      <w:bCs/>
      <w:color w:val="E5007D" w:themeColor="text2"/>
      <w:sz w:val="34"/>
      <w:lang w:eastAsia="nl-NL"/>
    </w:rPr>
  </w:style>
  <w:style w:type="paragraph" w:styleId="Titel">
    <w:name w:val="Title"/>
    <w:basedOn w:val="Standaard"/>
    <w:next w:val="Ondertitel"/>
    <w:link w:val="TitelChar"/>
    <w:uiPriority w:val="8"/>
    <w:qFormat/>
    <w:rsid w:val="00A520A0"/>
    <w:pPr>
      <w:spacing w:after="300" w:line="240" w:lineRule="auto"/>
      <w:contextualSpacing/>
      <w:outlineLvl w:val="0"/>
    </w:pPr>
    <w:rPr>
      <w:rFonts w:eastAsiaTheme="majorEastAsia" w:cstheme="majorBidi"/>
      <w:b/>
      <w:color w:val="5F1F7A" w:themeColor="text1"/>
      <w:spacing w:val="5"/>
      <w:kern w:val="28"/>
      <w:sz w:val="72"/>
      <w:szCs w:val="52"/>
    </w:rPr>
  </w:style>
  <w:style w:type="character" w:customStyle="1" w:styleId="TitelChar">
    <w:name w:val="Titel Char"/>
    <w:basedOn w:val="Standaardalinea-lettertype"/>
    <w:link w:val="Titel"/>
    <w:uiPriority w:val="8"/>
    <w:rsid w:val="00A520A0"/>
    <w:rPr>
      <w:rFonts w:ascii="Arial" w:eastAsiaTheme="majorEastAsia" w:hAnsi="Arial" w:cstheme="majorBidi"/>
      <w:b/>
      <w:bCs/>
      <w:color w:val="5F1F7A" w:themeColor="text1"/>
      <w:spacing w:val="5"/>
      <w:kern w:val="28"/>
      <w:sz w:val="72"/>
      <w:szCs w:val="52"/>
      <w:lang w:eastAsia="nl-NL"/>
    </w:rPr>
  </w:style>
  <w:style w:type="paragraph" w:styleId="Ondertitel">
    <w:name w:val="Subtitle"/>
    <w:aliases w:val="Subtitel"/>
    <w:basedOn w:val="Standaard"/>
    <w:next w:val="Kop6"/>
    <w:link w:val="OndertitelChar"/>
    <w:uiPriority w:val="9"/>
    <w:qFormat/>
    <w:rsid w:val="00A520A0"/>
    <w:pPr>
      <w:numPr>
        <w:ilvl w:val="1"/>
      </w:numPr>
    </w:pPr>
    <w:rPr>
      <w:rFonts w:eastAsiaTheme="majorEastAsia" w:cstheme="majorBidi"/>
      <w:iCs/>
      <w:color w:val="5F1F7A" w:themeColor="accent1"/>
      <w:spacing w:val="15"/>
      <w:sz w:val="40"/>
      <w:szCs w:val="24"/>
    </w:rPr>
  </w:style>
  <w:style w:type="character" w:customStyle="1" w:styleId="OndertitelChar">
    <w:name w:val="Ondertitel Char"/>
    <w:aliases w:val="Subtitel Char"/>
    <w:basedOn w:val="Standaardalinea-lettertype"/>
    <w:link w:val="Ondertitel"/>
    <w:uiPriority w:val="9"/>
    <w:rsid w:val="00A520A0"/>
    <w:rPr>
      <w:rFonts w:ascii="Arial" w:eastAsiaTheme="majorEastAsia" w:hAnsi="Arial" w:cstheme="majorBidi"/>
      <w:bCs/>
      <w:iCs/>
      <w:color w:val="5F1F7A" w:themeColor="accent1"/>
      <w:spacing w:val="15"/>
      <w:sz w:val="40"/>
      <w:szCs w:val="24"/>
      <w:lang w:eastAsia="nl-NL"/>
    </w:rPr>
  </w:style>
  <w:style w:type="paragraph" w:styleId="Geenafstand">
    <w:name w:val="No Spacing"/>
    <w:link w:val="GeenafstandChar"/>
    <w:uiPriority w:val="11"/>
    <w:qFormat/>
    <w:rsid w:val="00A520A0"/>
    <w:rPr>
      <w:rFonts w:ascii="Arial" w:hAnsi="Arial"/>
      <w:sz w:val="19"/>
      <w:lang w:eastAsia="nl-NL"/>
    </w:rPr>
  </w:style>
  <w:style w:type="character" w:customStyle="1" w:styleId="GeenafstandChar">
    <w:name w:val="Geen afstand Char"/>
    <w:basedOn w:val="Standaardalinea-lettertype"/>
    <w:link w:val="Geenafstand"/>
    <w:uiPriority w:val="11"/>
    <w:rsid w:val="00A520A0"/>
    <w:rPr>
      <w:rFonts w:ascii="Arial" w:hAnsi="Arial"/>
      <w:sz w:val="19"/>
      <w:lang w:eastAsia="nl-NL"/>
    </w:rPr>
  </w:style>
  <w:style w:type="paragraph" w:customStyle="1" w:styleId="AdresACMinKoptekst">
    <w:name w:val="AdresACM in Koptekst"/>
    <w:basedOn w:val="Standaard"/>
    <w:link w:val="AdresACMinKoptekstChar"/>
    <w:uiPriority w:val="99"/>
    <w:rsid w:val="00A520A0"/>
    <w:pPr>
      <w:spacing w:after="20"/>
    </w:pPr>
    <w:rPr>
      <w:bCs w:val="0"/>
    </w:rPr>
  </w:style>
  <w:style w:type="character" w:customStyle="1" w:styleId="AdresACMinKoptekstChar">
    <w:name w:val="AdresACM in Koptekst Char"/>
    <w:link w:val="AdresACMinKoptekst"/>
    <w:uiPriority w:val="99"/>
    <w:rsid w:val="00A520A0"/>
    <w:rPr>
      <w:rFonts w:ascii="Arial" w:hAnsi="Arial"/>
      <w:sz w:val="19"/>
      <w:lang w:eastAsia="nl-NL"/>
    </w:rPr>
  </w:style>
  <w:style w:type="paragraph" w:customStyle="1" w:styleId="AdresblokACMrechts">
    <w:name w:val="Adresblok ACM rechts"/>
    <w:basedOn w:val="Standaard"/>
    <w:uiPriority w:val="99"/>
    <w:rsid w:val="00A520A0"/>
    <w:pPr>
      <w:framePr w:w="2268" w:h="2268" w:hSpace="142" w:wrap="around" w:vAnchor="page" w:hAnchor="page" w:x="9158" w:y="455"/>
      <w:tabs>
        <w:tab w:val="left" w:pos="720"/>
        <w:tab w:val="left" w:pos="2552"/>
        <w:tab w:val="left" w:pos="4990"/>
        <w:tab w:val="left" w:pos="7343"/>
      </w:tabs>
      <w:spacing w:line="180" w:lineRule="exact"/>
    </w:pPr>
    <w:rPr>
      <w:bCs w:val="0"/>
      <w:sz w:val="16"/>
    </w:rPr>
  </w:style>
  <w:style w:type="paragraph" w:customStyle="1" w:styleId="AdresvensterACM">
    <w:name w:val="Adresvenster ACM"/>
    <w:basedOn w:val="Standaard"/>
    <w:uiPriority w:val="99"/>
    <w:rsid w:val="00A520A0"/>
    <w:pPr>
      <w:framePr w:w="6237" w:h="2268" w:hRule="exact" w:hSpace="142" w:wrap="notBeside" w:vAnchor="page" w:hAnchor="page" w:x="1362" w:y="2553" w:anchorLock="1"/>
    </w:pPr>
    <w:rPr>
      <w:bCs w:val="0"/>
    </w:rPr>
  </w:style>
  <w:style w:type="paragraph" w:styleId="Ballontekst">
    <w:name w:val="Balloon Text"/>
    <w:basedOn w:val="Standaard"/>
    <w:link w:val="BallontekstChar"/>
    <w:uiPriority w:val="99"/>
    <w:semiHidden/>
    <w:unhideWhenUsed/>
    <w:rsid w:val="00A520A0"/>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520A0"/>
    <w:rPr>
      <w:rFonts w:ascii="Tahoma" w:hAnsi="Tahoma" w:cs="Tahoma"/>
      <w:bCs/>
      <w:sz w:val="16"/>
      <w:szCs w:val="16"/>
      <w:lang w:eastAsia="nl-NL"/>
    </w:rPr>
  </w:style>
  <w:style w:type="paragraph" w:styleId="Koptekst">
    <w:name w:val="header"/>
    <w:basedOn w:val="Standaard"/>
    <w:link w:val="KoptekstChar"/>
    <w:uiPriority w:val="99"/>
    <w:unhideWhenUsed/>
    <w:rsid w:val="00A520A0"/>
    <w:pPr>
      <w:tabs>
        <w:tab w:val="center" w:pos="4536"/>
        <w:tab w:val="right" w:pos="9072"/>
      </w:tabs>
    </w:pPr>
  </w:style>
  <w:style w:type="character" w:customStyle="1" w:styleId="KoptekstChar">
    <w:name w:val="Koptekst Char"/>
    <w:basedOn w:val="Standaardalinea-lettertype"/>
    <w:link w:val="Koptekst"/>
    <w:uiPriority w:val="99"/>
    <w:rsid w:val="00A520A0"/>
    <w:rPr>
      <w:rFonts w:ascii="Arial" w:hAnsi="Arial"/>
      <w:bCs/>
      <w:sz w:val="19"/>
      <w:lang w:eastAsia="nl-NL"/>
    </w:rPr>
  </w:style>
  <w:style w:type="table" w:styleId="Lichtelijst">
    <w:name w:val="Light List"/>
    <w:basedOn w:val="Standaardtabel"/>
    <w:uiPriority w:val="61"/>
    <w:rsid w:val="00A520A0"/>
    <w:rPr>
      <w:rFonts w:asciiTheme="minorHAnsi" w:eastAsiaTheme="minorEastAsia" w:hAnsiTheme="minorHAnsi" w:cstheme="minorBidi"/>
      <w:sz w:val="22"/>
      <w:szCs w:val="22"/>
      <w:lang w:eastAsia="nl-NL"/>
    </w:rPr>
    <w:tblPr>
      <w:tblStyleRowBandSize w:val="1"/>
      <w:tblStyleColBandSize w:val="1"/>
      <w:tblBorders>
        <w:top w:val="single" w:sz="8" w:space="0" w:color="5F1F7A" w:themeColor="text1"/>
        <w:left w:val="single" w:sz="8" w:space="0" w:color="5F1F7A" w:themeColor="text1"/>
        <w:bottom w:val="single" w:sz="8" w:space="0" w:color="5F1F7A" w:themeColor="text1"/>
        <w:right w:val="single" w:sz="8" w:space="0" w:color="5F1F7A" w:themeColor="text1"/>
      </w:tblBorders>
    </w:tblPr>
    <w:tblStylePr w:type="firstRow">
      <w:pPr>
        <w:spacing w:before="0" w:after="0" w:line="240" w:lineRule="auto"/>
      </w:pPr>
      <w:rPr>
        <w:b/>
        <w:bCs/>
        <w:color w:val="FFFFFF" w:themeColor="background1"/>
      </w:rPr>
      <w:tblPr/>
      <w:tcPr>
        <w:shd w:val="clear" w:color="auto" w:fill="5F1F7A" w:themeFill="text1"/>
      </w:tcPr>
    </w:tblStylePr>
    <w:tblStylePr w:type="lastRow">
      <w:pPr>
        <w:spacing w:before="0" w:after="0" w:line="240" w:lineRule="auto"/>
      </w:pPr>
      <w:rPr>
        <w:b/>
        <w:bCs/>
      </w:rPr>
      <w:tblPr/>
      <w:tcPr>
        <w:tcBorders>
          <w:top w:val="double" w:sz="6" w:space="0" w:color="5F1F7A" w:themeColor="text1"/>
          <w:left w:val="single" w:sz="8" w:space="0" w:color="5F1F7A" w:themeColor="text1"/>
          <w:bottom w:val="single" w:sz="8" w:space="0" w:color="5F1F7A" w:themeColor="text1"/>
          <w:right w:val="single" w:sz="8" w:space="0" w:color="5F1F7A" w:themeColor="text1"/>
        </w:tcBorders>
      </w:tcPr>
    </w:tblStylePr>
    <w:tblStylePr w:type="firstCol">
      <w:rPr>
        <w:b/>
        <w:bCs/>
      </w:rPr>
    </w:tblStylePr>
    <w:tblStylePr w:type="lastCol">
      <w:rPr>
        <w:b/>
        <w:bCs/>
      </w:rPr>
    </w:tblStylePr>
    <w:tblStylePr w:type="band1Vert">
      <w:tblPr/>
      <w:tcPr>
        <w:tcBorders>
          <w:top w:val="single" w:sz="8" w:space="0" w:color="5F1F7A" w:themeColor="text1"/>
          <w:left w:val="single" w:sz="8" w:space="0" w:color="5F1F7A" w:themeColor="text1"/>
          <w:bottom w:val="single" w:sz="8" w:space="0" w:color="5F1F7A" w:themeColor="text1"/>
          <w:right w:val="single" w:sz="8" w:space="0" w:color="5F1F7A" w:themeColor="text1"/>
        </w:tcBorders>
      </w:tcPr>
    </w:tblStylePr>
    <w:tblStylePr w:type="band1Horz">
      <w:tblPr/>
      <w:tcPr>
        <w:tcBorders>
          <w:top w:val="single" w:sz="8" w:space="0" w:color="5F1F7A" w:themeColor="text1"/>
          <w:left w:val="single" w:sz="8" w:space="0" w:color="5F1F7A" w:themeColor="text1"/>
          <w:bottom w:val="single" w:sz="8" w:space="0" w:color="5F1F7A" w:themeColor="text1"/>
          <w:right w:val="single" w:sz="8" w:space="0" w:color="5F1F7A" w:themeColor="text1"/>
        </w:tcBorders>
      </w:tcPr>
    </w:tblStylePr>
  </w:style>
  <w:style w:type="paragraph" w:customStyle="1" w:styleId="TitelkopACM">
    <w:name w:val="Titelkop ACM"/>
    <w:basedOn w:val="Standaard"/>
    <w:uiPriority w:val="99"/>
    <w:rsid w:val="00A520A0"/>
    <w:pPr>
      <w:spacing w:after="120"/>
    </w:pPr>
    <w:rPr>
      <w:b/>
      <w:bCs w:val="0"/>
      <w:sz w:val="28"/>
    </w:rPr>
  </w:style>
  <w:style w:type="paragraph" w:styleId="Voettekst">
    <w:name w:val="footer"/>
    <w:basedOn w:val="Standaard"/>
    <w:link w:val="VoettekstChar"/>
    <w:uiPriority w:val="99"/>
    <w:unhideWhenUsed/>
    <w:rsid w:val="00880335"/>
    <w:pPr>
      <w:tabs>
        <w:tab w:val="center" w:pos="4536"/>
        <w:tab w:val="right" w:pos="9072"/>
      </w:tabs>
    </w:pPr>
    <w:rPr>
      <w:sz w:val="16"/>
    </w:rPr>
  </w:style>
  <w:style w:type="character" w:customStyle="1" w:styleId="VoettekstChar">
    <w:name w:val="Voettekst Char"/>
    <w:basedOn w:val="Standaardalinea-lettertype"/>
    <w:link w:val="Voettekst"/>
    <w:uiPriority w:val="99"/>
    <w:rsid w:val="00880335"/>
    <w:rPr>
      <w:rFonts w:ascii="Arial" w:hAnsi="Arial"/>
      <w:bCs/>
      <w:sz w:val="16"/>
      <w:lang w:eastAsia="nl-NL"/>
    </w:rPr>
  </w:style>
  <w:style w:type="character" w:styleId="Hyperlink">
    <w:name w:val="Hyperlink"/>
    <w:basedOn w:val="Standaardalinea-lettertype"/>
    <w:uiPriority w:val="99"/>
    <w:unhideWhenUsed/>
    <w:rsid w:val="00644379"/>
    <w:rPr>
      <w:color w:val="007FAE" w:themeColor="hyperlink"/>
      <w:u w:val="single"/>
    </w:rPr>
  </w:style>
  <w:style w:type="paragraph" w:styleId="Voetnoottekst">
    <w:name w:val="footnote text"/>
    <w:basedOn w:val="Standaard"/>
    <w:link w:val="VoetnoottekstChar"/>
    <w:autoRedefine/>
    <w:uiPriority w:val="99"/>
    <w:unhideWhenUsed/>
    <w:rsid w:val="00F94815"/>
    <w:pPr>
      <w:spacing w:line="240" w:lineRule="auto"/>
    </w:pPr>
    <w:rPr>
      <w:sz w:val="16"/>
    </w:rPr>
  </w:style>
  <w:style w:type="character" w:customStyle="1" w:styleId="VoetnoottekstChar">
    <w:name w:val="Voetnoottekst Char"/>
    <w:basedOn w:val="Standaardalinea-lettertype"/>
    <w:link w:val="Voetnoottekst"/>
    <w:uiPriority w:val="99"/>
    <w:rsid w:val="00F94815"/>
    <w:rPr>
      <w:rFonts w:ascii="Arial" w:hAnsi="Arial"/>
      <w:bCs/>
      <w:sz w:val="16"/>
      <w:lang w:eastAsia="nl-NL"/>
    </w:rPr>
  </w:style>
  <w:style w:type="table" w:styleId="Tabelraster">
    <w:name w:val="Table Grid"/>
    <w:basedOn w:val="Standaardtabel"/>
    <w:uiPriority w:val="39"/>
    <w:rsid w:val="00CF4D0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oetnootmarkering">
    <w:name w:val="footnote reference"/>
    <w:basedOn w:val="Standaardalinea-lettertype"/>
    <w:uiPriority w:val="99"/>
    <w:semiHidden/>
    <w:unhideWhenUsed/>
    <w:rsid w:val="00B55C7D"/>
    <w:rPr>
      <w:vertAlign w:val="superscript"/>
    </w:rPr>
  </w:style>
  <w:style w:type="character" w:styleId="Onopgelostemelding">
    <w:name w:val="Unresolved Mention"/>
    <w:basedOn w:val="Standaardalinea-lettertype"/>
    <w:uiPriority w:val="99"/>
    <w:rsid w:val="00E467B0"/>
    <w:rPr>
      <w:color w:val="605E5C"/>
      <w:shd w:val="clear" w:color="auto" w:fill="E1DFDD"/>
    </w:rPr>
  </w:style>
  <w:style w:type="character" w:styleId="Verwijzingopmerking">
    <w:name w:val="annotation reference"/>
    <w:basedOn w:val="Standaardalinea-lettertype"/>
    <w:uiPriority w:val="99"/>
    <w:semiHidden/>
    <w:unhideWhenUsed/>
    <w:rsid w:val="004A32A1"/>
    <w:rPr>
      <w:sz w:val="16"/>
      <w:szCs w:val="16"/>
    </w:rPr>
  </w:style>
  <w:style w:type="paragraph" w:styleId="Tekstopmerking">
    <w:name w:val="annotation text"/>
    <w:basedOn w:val="Standaard"/>
    <w:link w:val="TekstopmerkingChar"/>
    <w:uiPriority w:val="99"/>
    <w:unhideWhenUsed/>
    <w:rsid w:val="004A32A1"/>
    <w:pPr>
      <w:spacing w:line="240" w:lineRule="auto"/>
    </w:pPr>
    <w:rPr>
      <w:sz w:val="20"/>
    </w:rPr>
  </w:style>
  <w:style w:type="character" w:customStyle="1" w:styleId="TekstopmerkingChar">
    <w:name w:val="Tekst opmerking Char"/>
    <w:basedOn w:val="Standaardalinea-lettertype"/>
    <w:link w:val="Tekstopmerking"/>
    <w:uiPriority w:val="99"/>
    <w:rsid w:val="004A32A1"/>
    <w:rPr>
      <w:rFonts w:ascii="Arial" w:hAnsi="Arial"/>
      <w:bCs/>
      <w:lang w:eastAsia="nl-NL"/>
    </w:rPr>
  </w:style>
  <w:style w:type="paragraph" w:styleId="Onderwerpvanopmerking">
    <w:name w:val="annotation subject"/>
    <w:basedOn w:val="Tekstopmerking"/>
    <w:next w:val="Tekstopmerking"/>
    <w:link w:val="OnderwerpvanopmerkingChar"/>
    <w:uiPriority w:val="99"/>
    <w:semiHidden/>
    <w:unhideWhenUsed/>
    <w:rsid w:val="004A32A1"/>
    <w:rPr>
      <w:b/>
    </w:rPr>
  </w:style>
  <w:style w:type="character" w:customStyle="1" w:styleId="OnderwerpvanopmerkingChar">
    <w:name w:val="Onderwerp van opmerking Char"/>
    <w:basedOn w:val="TekstopmerkingChar"/>
    <w:link w:val="Onderwerpvanopmerking"/>
    <w:uiPriority w:val="99"/>
    <w:semiHidden/>
    <w:rsid w:val="004A32A1"/>
    <w:rPr>
      <w:rFonts w:ascii="Arial" w:hAnsi="Arial"/>
      <w:b/>
      <w:bCs/>
      <w:lang w:eastAsia="nl-NL"/>
    </w:rPr>
  </w:style>
  <w:style w:type="paragraph" w:styleId="Kopvaninhoudsopgave">
    <w:name w:val="TOC Heading"/>
    <w:basedOn w:val="Kop1"/>
    <w:next w:val="Standaard"/>
    <w:uiPriority w:val="39"/>
    <w:unhideWhenUsed/>
    <w:qFormat/>
    <w:rsid w:val="00D65814"/>
    <w:pPr>
      <w:keepLines/>
      <w:numPr>
        <w:numId w:val="0"/>
      </w:numPr>
      <w:spacing w:after="0" w:line="259" w:lineRule="auto"/>
      <w:outlineLvl w:val="9"/>
    </w:pPr>
    <w:rPr>
      <w:rFonts w:asciiTheme="majorHAnsi" w:eastAsiaTheme="majorEastAsia" w:hAnsiTheme="majorHAnsi" w:cstheme="majorBidi"/>
      <w:b w:val="0"/>
      <w:bCs w:val="0"/>
      <w:color w:val="46175B" w:themeColor="accent1" w:themeShade="BF"/>
      <w:kern w:val="0"/>
      <w:sz w:val="32"/>
      <w:szCs w:val="32"/>
    </w:rPr>
  </w:style>
  <w:style w:type="paragraph" w:styleId="Inhopg1">
    <w:name w:val="toc 1"/>
    <w:basedOn w:val="Standaard"/>
    <w:next w:val="Standaard"/>
    <w:autoRedefine/>
    <w:uiPriority w:val="39"/>
    <w:unhideWhenUsed/>
    <w:rsid w:val="00FD55CB"/>
    <w:pPr>
      <w:tabs>
        <w:tab w:val="right" w:leader="dot" w:pos="9062"/>
      </w:tabs>
      <w:spacing w:after="100"/>
    </w:pPr>
  </w:style>
  <w:style w:type="paragraph" w:styleId="Inhopg2">
    <w:name w:val="toc 2"/>
    <w:basedOn w:val="Standaard"/>
    <w:next w:val="Standaard"/>
    <w:autoRedefine/>
    <w:uiPriority w:val="39"/>
    <w:unhideWhenUsed/>
    <w:rsid w:val="00D65814"/>
    <w:pPr>
      <w:spacing w:after="100"/>
      <w:ind w:left="190"/>
    </w:pPr>
  </w:style>
  <w:style w:type="paragraph" w:styleId="Inhopg3">
    <w:name w:val="toc 3"/>
    <w:basedOn w:val="Standaard"/>
    <w:next w:val="Standaard"/>
    <w:autoRedefine/>
    <w:uiPriority w:val="39"/>
    <w:unhideWhenUsed/>
    <w:rsid w:val="00D65814"/>
    <w:pPr>
      <w:spacing w:after="100"/>
      <w:ind w:left="380"/>
    </w:pPr>
  </w:style>
  <w:style w:type="character" w:customStyle="1" w:styleId="normaltextrun">
    <w:name w:val="normaltextrun"/>
    <w:basedOn w:val="Standaardalinea-lettertype"/>
    <w:rsid w:val="00625EE7"/>
  </w:style>
  <w:style w:type="paragraph" w:styleId="Revisie">
    <w:name w:val="Revision"/>
    <w:hidden/>
    <w:uiPriority w:val="99"/>
    <w:semiHidden/>
    <w:rsid w:val="003D62BB"/>
    <w:pPr>
      <w:spacing w:line="240" w:lineRule="auto"/>
    </w:pPr>
    <w:rPr>
      <w:rFonts w:ascii="Arial" w:hAnsi="Arial"/>
      <w:bCs/>
      <w:sz w:val="19"/>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037351">
      <w:bodyDiv w:val="1"/>
      <w:marLeft w:val="0"/>
      <w:marRight w:val="0"/>
      <w:marTop w:val="0"/>
      <w:marBottom w:val="0"/>
      <w:divBdr>
        <w:top w:val="none" w:sz="0" w:space="0" w:color="auto"/>
        <w:left w:val="none" w:sz="0" w:space="0" w:color="auto"/>
        <w:bottom w:val="none" w:sz="0" w:space="0" w:color="auto"/>
        <w:right w:val="none" w:sz="0" w:space="0" w:color="auto"/>
      </w:divBdr>
    </w:div>
    <w:div w:id="1327631519">
      <w:bodyDiv w:val="1"/>
      <w:marLeft w:val="0"/>
      <w:marRight w:val="0"/>
      <w:marTop w:val="0"/>
      <w:marBottom w:val="0"/>
      <w:divBdr>
        <w:top w:val="none" w:sz="0" w:space="0" w:color="auto"/>
        <w:left w:val="none" w:sz="0" w:space="0" w:color="auto"/>
        <w:bottom w:val="none" w:sz="0" w:space="0" w:color="auto"/>
        <w:right w:val="none" w:sz="0" w:space="0" w:color="auto"/>
      </w:divBdr>
    </w:div>
    <w:div w:id="2012218773">
      <w:bodyDiv w:val="1"/>
      <w:marLeft w:val="0"/>
      <w:marRight w:val="0"/>
      <w:marTop w:val="0"/>
      <w:marBottom w:val="0"/>
      <w:divBdr>
        <w:top w:val="none" w:sz="0" w:space="0" w:color="auto"/>
        <w:left w:val="none" w:sz="0" w:space="0" w:color="auto"/>
        <w:bottom w:val="none" w:sz="0" w:space="0" w:color="auto"/>
        <w:right w:val="none" w:sz="0" w:space="0" w:color="auto"/>
      </w:divBdr>
    </w:div>
    <w:div w:id="2058116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cm.nl"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ACM Thema Word - test">
  <a:themeElements>
    <a:clrScheme name="ACM Themakleuren Word">
      <a:dk1>
        <a:srgbClr val="5F1F7A"/>
      </a:dk1>
      <a:lt1>
        <a:sysClr val="window" lastClr="FFFFFF"/>
      </a:lt1>
      <a:dk2>
        <a:srgbClr val="E5007D"/>
      </a:dk2>
      <a:lt2>
        <a:srgbClr val="F2F2F2"/>
      </a:lt2>
      <a:accent1>
        <a:srgbClr val="5F1F7A"/>
      </a:accent1>
      <a:accent2>
        <a:srgbClr val="E5007D"/>
      </a:accent2>
      <a:accent3>
        <a:srgbClr val="B2ADC9"/>
      </a:accent3>
      <a:accent4>
        <a:srgbClr val="007FAE"/>
      </a:accent4>
      <a:accent5>
        <a:srgbClr val="FCC800"/>
      </a:accent5>
      <a:accent6>
        <a:srgbClr val="A81A79"/>
      </a:accent6>
      <a:hlink>
        <a:srgbClr val="007FAE"/>
      </a:hlink>
      <a:folHlink>
        <a:srgbClr val="5F1F7A"/>
      </a:folHlink>
    </a:clrScheme>
    <a:fontScheme name="ACM Themafonts Word">
      <a:majorFont>
        <a:latin typeface="DIN Alternate"/>
        <a:ea typeface=""/>
        <a:cs typeface=""/>
      </a:majorFont>
      <a:minorFont>
        <a:latin typeface="Arial"/>
        <a:ea typeface=""/>
        <a:cs typeface=""/>
      </a:minorFont>
    </a:fontScheme>
    <a:fmtScheme name="Hardcover">
      <a:fillStyleLst>
        <a:solidFill>
          <a:schemeClr val="phClr"/>
        </a:solidFill>
        <a:solidFill>
          <a:schemeClr val="phClr">
            <a:tint val="68000"/>
            <a:shade val="94000"/>
            <a:satMod val="300000"/>
            <a:lumMod val="110000"/>
          </a:schemeClr>
        </a:solidFill>
        <a:gradFill rotWithShape="1">
          <a:gsLst>
            <a:gs pos="0">
              <a:schemeClr val="phClr">
                <a:tint val="94000"/>
                <a:satMod val="180000"/>
                <a:lumMod val="98000"/>
              </a:schemeClr>
            </a:gs>
            <a:gs pos="100000">
              <a:schemeClr val="phClr">
                <a:satMod val="130000"/>
              </a:schemeClr>
            </a:gs>
          </a:gsLst>
          <a:lin ang="5160000" scaled="0"/>
        </a:gradFill>
      </a:fillStyleLst>
      <a:lnStyleLst>
        <a:ln w="12700" cap="flat" cmpd="sng" algn="ctr">
          <a:solidFill>
            <a:schemeClr val="phClr">
              <a:shade val="90000"/>
              <a:lumMod val="90000"/>
            </a:schemeClr>
          </a:solidFill>
          <a:prstDash val="solid"/>
        </a:ln>
        <a:ln w="19050" cap="flat" cmpd="sng" algn="ctr">
          <a:solidFill>
            <a:schemeClr val="phClr">
              <a:shade val="75000"/>
              <a:lumMod val="90000"/>
            </a:schemeClr>
          </a:solidFill>
          <a:prstDash val="solid"/>
        </a:ln>
        <a:ln w="25400" cap="flat" cmpd="sng" algn="ctr">
          <a:solidFill>
            <a:schemeClr val="phClr"/>
          </a:solidFill>
          <a:prstDash val="solid"/>
        </a:ln>
      </a:lnStyleLst>
      <a:effectStyleLst>
        <a:effectStyle>
          <a:effectLst>
            <a:outerShdw blurRad="38100" dist="12700" dir="5400000" rotWithShape="0">
              <a:srgbClr val="000000">
                <a:alpha val="15000"/>
              </a:srgbClr>
            </a:outerShdw>
          </a:effectLst>
        </a:effectStyle>
        <a:effectStyle>
          <a:effectLst>
            <a:outerShdw blurRad="50800" dist="25400" dir="5400000" rotWithShape="0">
              <a:srgbClr val="000000">
                <a:alpha val="46000"/>
              </a:srgbClr>
            </a:outerShdw>
          </a:effectLst>
        </a:effectStyle>
        <a:effectStyle>
          <a:effectLst>
            <a:outerShdw blurRad="50800" dist="25400" dir="5400000" rotWithShape="0">
              <a:srgbClr val="000000">
                <a:alpha val="48000"/>
              </a:srgbClr>
            </a:outerShdw>
          </a:effectLst>
          <a:scene3d>
            <a:camera prst="orthographicFront">
              <a:rot lat="0" lon="0" rev="0"/>
            </a:camera>
            <a:lightRig rig="threePt" dir="tl">
              <a:rot lat="0" lon="0" rev="2400000"/>
            </a:lightRig>
          </a:scene3d>
          <a:sp3d>
            <a:bevelT w="254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B22B0-5485-4F30-BF64-04AD6CB1D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3984</Words>
  <Characters>21915</Characters>
  <Application>Microsoft Office Word</Application>
  <DocSecurity>0</DocSecurity>
  <Lines>182</Lines>
  <Paragraphs>51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Autoriteit Consument en Markt (ACM)</dc:creator>
  <cp:lastModifiedBy>Scholten, Cheyenne</cp:lastModifiedBy>
  <cp:revision>3</cp:revision>
  <dcterms:created xsi:type="dcterms:W3CDTF">2023-04-24T12:04:00Z</dcterms:created>
  <dcterms:modified xsi:type="dcterms:W3CDTF">2023-04-24T12:10:00Z</dcterms:modified>
</cp:coreProperties>
</file>