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7B98E4" w14:textId="2A0CCB80" w:rsidR="004A3BBD" w:rsidRPr="00374178" w:rsidRDefault="00F60110" w:rsidP="00EE26A1">
      <w:pPr>
        <w:tabs>
          <w:tab w:val="left" w:pos="6804"/>
        </w:tabs>
        <w:spacing w:line="360" w:lineRule="auto"/>
        <w:rPr>
          <w:rFonts w:ascii="Arial" w:hAnsi="Arial" w:cs="Arial"/>
          <w:sz w:val="20"/>
          <w:szCs w:val="20"/>
        </w:rPr>
      </w:pPr>
      <w:r w:rsidRPr="00374178">
        <w:rPr>
          <w:rFonts w:ascii="Arial" w:hAnsi="Arial" w:cs="Arial"/>
          <w:b/>
          <w:sz w:val="20"/>
          <w:szCs w:val="20"/>
        </w:rPr>
        <w:tab/>
      </w:r>
    </w:p>
    <w:tbl>
      <w:tblPr>
        <w:tblW w:w="9566" w:type="dxa"/>
        <w:tblLayout w:type="fixed"/>
        <w:tblCellMar>
          <w:left w:w="0" w:type="dxa"/>
          <w:right w:w="0" w:type="dxa"/>
        </w:tblCellMar>
        <w:tblLook w:val="0000" w:firstRow="0" w:lastRow="0" w:firstColumn="0" w:lastColumn="0" w:noHBand="0" w:noVBand="0"/>
      </w:tblPr>
      <w:tblGrid>
        <w:gridCol w:w="5141"/>
        <w:gridCol w:w="456"/>
        <w:gridCol w:w="3969"/>
      </w:tblGrid>
      <w:tr w:rsidR="007C1FEB" w:rsidRPr="00174A45" w14:paraId="117E3179" w14:textId="77777777" w:rsidTr="00213594">
        <w:trPr>
          <w:cantSplit/>
          <w:trHeight w:hRule="exact" w:val="2452"/>
        </w:trPr>
        <w:tc>
          <w:tcPr>
            <w:tcW w:w="5141" w:type="dxa"/>
            <w:shd w:val="clear" w:color="auto" w:fill="auto"/>
          </w:tcPr>
          <w:p w14:paraId="2A556ECA" w14:textId="77777777" w:rsidR="007C1FEB" w:rsidRPr="00174A45" w:rsidRDefault="007C1FEB" w:rsidP="00EE26A1">
            <w:pPr>
              <w:spacing w:after="120" w:line="360" w:lineRule="auto"/>
              <w:jc w:val="both"/>
              <w:rPr>
                <w:rFonts w:ascii="Arial" w:hAnsi="Arial" w:cs="Arial"/>
                <w:b/>
                <w:noProof/>
                <w:sz w:val="16"/>
                <w:szCs w:val="20"/>
              </w:rPr>
            </w:pPr>
            <w:r w:rsidRPr="00174A45">
              <w:rPr>
                <w:rFonts w:ascii="Arial" w:hAnsi="Arial" w:cs="Arial"/>
                <w:b/>
                <w:noProof/>
                <w:sz w:val="16"/>
                <w:szCs w:val="20"/>
              </w:rPr>
              <w:t>Wien Energie GmbH</w:t>
            </w:r>
            <w:r w:rsidRPr="00174A45">
              <w:rPr>
                <w:rFonts w:ascii="Arial" w:hAnsi="Arial" w:cs="Arial"/>
                <w:noProof/>
                <w:sz w:val="16"/>
                <w:szCs w:val="20"/>
              </w:rPr>
              <w:t xml:space="preserve"> | PA | 1030 Wien | Postfach 500</w:t>
            </w:r>
            <w:r w:rsidRPr="00174A45">
              <w:rPr>
                <w:rFonts w:ascii="Arial" w:hAnsi="Arial" w:cs="Arial"/>
                <w:b/>
                <w:noProof/>
                <w:sz w:val="16"/>
                <w:szCs w:val="20"/>
              </w:rPr>
              <w:br w:type="page"/>
            </w:r>
          </w:p>
          <w:p w14:paraId="2A87F9E0" w14:textId="1F2167D0" w:rsidR="007C1FEB" w:rsidRDefault="007C1FEB" w:rsidP="00EE26A1">
            <w:pPr>
              <w:tabs>
                <w:tab w:val="left" w:pos="993"/>
              </w:tabs>
              <w:spacing w:line="360" w:lineRule="auto"/>
              <w:rPr>
                <w:rFonts w:ascii="Arial" w:hAnsi="Arial" w:cs="Arial"/>
                <w:sz w:val="18"/>
                <w:szCs w:val="18"/>
                <w:lang w:val="en-GB"/>
              </w:rPr>
            </w:pPr>
            <w:r w:rsidRPr="00C1326F">
              <w:rPr>
                <w:rFonts w:ascii="Arial" w:hAnsi="Arial" w:cs="Arial"/>
                <w:sz w:val="18"/>
                <w:szCs w:val="18"/>
                <w:u w:val="single"/>
                <w:lang w:val="en-GB"/>
              </w:rPr>
              <w:t>Per Mail:</w:t>
            </w:r>
            <w:r w:rsidRPr="00524E8B">
              <w:rPr>
                <w:rFonts w:ascii="Arial" w:hAnsi="Arial" w:cs="Arial"/>
                <w:sz w:val="18"/>
                <w:szCs w:val="18"/>
                <w:lang w:val="en-GB"/>
              </w:rPr>
              <w:t xml:space="preserve"> </w:t>
            </w:r>
          </w:p>
          <w:p w14:paraId="0632D21D" w14:textId="77777777" w:rsidR="00213594" w:rsidRPr="00213594" w:rsidRDefault="00213594" w:rsidP="00213594">
            <w:pPr>
              <w:tabs>
                <w:tab w:val="left" w:pos="993"/>
              </w:tabs>
              <w:spacing w:line="360" w:lineRule="auto"/>
              <w:rPr>
                <w:rFonts w:ascii="Arial" w:hAnsi="Arial" w:cs="Arial"/>
                <w:sz w:val="18"/>
                <w:szCs w:val="18"/>
                <w:lang w:val="en-GB"/>
              </w:rPr>
            </w:pPr>
            <w:r w:rsidRPr="00213594">
              <w:rPr>
                <w:rFonts w:ascii="Arial" w:hAnsi="Arial" w:cs="Arial"/>
                <w:sz w:val="18"/>
                <w:szCs w:val="18"/>
                <w:lang w:val="en-GB"/>
              </w:rPr>
              <w:t>European Commission</w:t>
            </w:r>
          </w:p>
          <w:p w14:paraId="66B36778" w14:textId="77777777" w:rsidR="00213594" w:rsidRPr="00213594" w:rsidRDefault="00213594" w:rsidP="00213594">
            <w:pPr>
              <w:tabs>
                <w:tab w:val="left" w:pos="993"/>
              </w:tabs>
              <w:spacing w:line="360" w:lineRule="auto"/>
              <w:rPr>
                <w:rFonts w:ascii="Arial" w:hAnsi="Arial" w:cs="Arial"/>
                <w:sz w:val="18"/>
                <w:szCs w:val="18"/>
                <w:lang w:val="en-GB"/>
              </w:rPr>
            </w:pPr>
            <w:r w:rsidRPr="00213594">
              <w:rPr>
                <w:rFonts w:ascii="Arial" w:hAnsi="Arial" w:cs="Arial"/>
                <w:sz w:val="18"/>
                <w:szCs w:val="18"/>
                <w:lang w:val="en-GB"/>
              </w:rPr>
              <w:t>Directorate-General for Competition</w:t>
            </w:r>
          </w:p>
          <w:p w14:paraId="0B9544A2" w14:textId="77777777" w:rsidR="00213594" w:rsidRPr="00213594" w:rsidRDefault="00213594" w:rsidP="00213594">
            <w:pPr>
              <w:tabs>
                <w:tab w:val="left" w:pos="993"/>
              </w:tabs>
              <w:spacing w:line="360" w:lineRule="auto"/>
              <w:rPr>
                <w:rFonts w:ascii="Arial" w:hAnsi="Arial" w:cs="Arial"/>
                <w:sz w:val="18"/>
                <w:szCs w:val="18"/>
                <w:lang w:val="en-GB"/>
              </w:rPr>
            </w:pPr>
            <w:r w:rsidRPr="00213594">
              <w:rPr>
                <w:rFonts w:ascii="Arial" w:hAnsi="Arial" w:cs="Arial"/>
                <w:sz w:val="18"/>
                <w:szCs w:val="18"/>
                <w:lang w:val="en-GB"/>
              </w:rPr>
              <w:t>State Aid Registry</w:t>
            </w:r>
          </w:p>
          <w:p w14:paraId="5F986144" w14:textId="1C6AEE5F" w:rsidR="00213594" w:rsidRDefault="00213594" w:rsidP="00213594">
            <w:pPr>
              <w:tabs>
                <w:tab w:val="left" w:pos="993"/>
              </w:tabs>
              <w:spacing w:line="360" w:lineRule="auto"/>
              <w:rPr>
                <w:rFonts w:ascii="Arial" w:hAnsi="Arial" w:cs="Arial"/>
                <w:sz w:val="18"/>
                <w:szCs w:val="18"/>
                <w:lang w:val="en-GB"/>
              </w:rPr>
            </w:pPr>
            <w:r w:rsidRPr="00213594">
              <w:rPr>
                <w:rFonts w:ascii="Arial" w:hAnsi="Arial" w:cs="Arial"/>
                <w:sz w:val="18"/>
                <w:szCs w:val="18"/>
                <w:lang w:val="en-GB"/>
              </w:rPr>
              <w:t>1049 Brussel</w:t>
            </w:r>
            <w:r>
              <w:rPr>
                <w:rFonts w:ascii="Arial" w:hAnsi="Arial" w:cs="Arial"/>
                <w:sz w:val="18"/>
                <w:szCs w:val="18"/>
                <w:lang w:val="en-GB"/>
              </w:rPr>
              <w:t>s</w:t>
            </w:r>
          </w:p>
          <w:p w14:paraId="329CC133" w14:textId="3F2CBC14" w:rsidR="00213594" w:rsidRPr="00213594" w:rsidRDefault="00213594" w:rsidP="00213594">
            <w:pPr>
              <w:tabs>
                <w:tab w:val="left" w:pos="993"/>
              </w:tabs>
              <w:spacing w:line="360" w:lineRule="auto"/>
              <w:rPr>
                <w:rFonts w:ascii="Arial" w:hAnsi="Arial" w:cs="Arial"/>
                <w:sz w:val="18"/>
                <w:szCs w:val="18"/>
                <w:lang w:val="en-GB"/>
              </w:rPr>
            </w:pPr>
            <w:r w:rsidRPr="00213594">
              <w:rPr>
                <w:rFonts w:ascii="Arial" w:hAnsi="Arial" w:cs="Arial"/>
                <w:sz w:val="18"/>
                <w:szCs w:val="18"/>
                <w:lang w:val="en-GB"/>
              </w:rPr>
              <w:t>Pe</w:t>
            </w:r>
            <w:r>
              <w:rPr>
                <w:rFonts w:ascii="Arial" w:hAnsi="Arial" w:cs="Arial"/>
                <w:sz w:val="18"/>
                <w:szCs w:val="18"/>
                <w:lang w:val="en-GB"/>
              </w:rPr>
              <w:t xml:space="preserve">r </w:t>
            </w:r>
            <w:r w:rsidR="00057862" w:rsidRPr="00213594">
              <w:rPr>
                <w:rFonts w:ascii="Arial" w:hAnsi="Arial" w:cs="Arial"/>
                <w:sz w:val="18"/>
                <w:szCs w:val="18"/>
                <w:lang w:val="en-GB"/>
              </w:rPr>
              <w:t>mail:</w:t>
            </w:r>
            <w:r w:rsidRPr="00213594">
              <w:rPr>
                <w:rFonts w:ascii="Arial" w:hAnsi="Arial" w:cs="Arial"/>
                <w:sz w:val="18"/>
                <w:szCs w:val="18"/>
                <w:lang w:val="en-GB"/>
              </w:rPr>
              <w:t xml:space="preserve"> </w:t>
            </w:r>
            <w:hyperlink r:id="rId8" w:history="1">
              <w:r w:rsidRPr="00213594">
                <w:rPr>
                  <w:rFonts w:ascii="Arial" w:hAnsi="Arial" w:cs="Arial"/>
                  <w:color w:val="0000FF"/>
                  <w:sz w:val="18"/>
                  <w:szCs w:val="18"/>
                  <w:u w:val="single"/>
                  <w:lang w:val="en-GB"/>
                </w:rPr>
                <w:t>COMP-CEEAG-CONSULTATION@ec.europa.eu</w:t>
              </w:r>
            </w:hyperlink>
            <w:r w:rsidRPr="00213594">
              <w:rPr>
                <w:rFonts w:ascii="Arial" w:hAnsi="Arial" w:cs="Arial"/>
                <w:color w:val="0000FF"/>
                <w:sz w:val="18"/>
                <w:szCs w:val="16"/>
                <w:u w:val="single"/>
                <w:lang w:val="en-GB"/>
              </w:rPr>
              <w:t xml:space="preserve"> </w:t>
            </w:r>
          </w:p>
          <w:p w14:paraId="3D89CC95" w14:textId="77777777" w:rsidR="007C1FEB" w:rsidRPr="00213594" w:rsidRDefault="007C1FEB" w:rsidP="00EE26A1">
            <w:pPr>
              <w:tabs>
                <w:tab w:val="left" w:pos="993"/>
              </w:tabs>
              <w:spacing w:line="360" w:lineRule="auto"/>
              <w:jc w:val="both"/>
              <w:rPr>
                <w:rFonts w:ascii="Arial" w:hAnsi="Arial" w:cs="Arial"/>
                <w:szCs w:val="20"/>
                <w:lang w:val="en-GB"/>
              </w:rPr>
            </w:pPr>
          </w:p>
        </w:tc>
        <w:tc>
          <w:tcPr>
            <w:tcW w:w="456" w:type="dxa"/>
            <w:shd w:val="clear" w:color="auto" w:fill="auto"/>
          </w:tcPr>
          <w:p w14:paraId="6A7A5189" w14:textId="77777777" w:rsidR="007C1FEB" w:rsidRPr="00213594" w:rsidRDefault="007C1FEB" w:rsidP="00EE26A1">
            <w:pPr>
              <w:spacing w:line="360" w:lineRule="auto"/>
              <w:jc w:val="both"/>
              <w:rPr>
                <w:rFonts w:ascii="Arial" w:hAnsi="Arial" w:cs="Arial"/>
                <w:noProof/>
                <w:sz w:val="14"/>
                <w:szCs w:val="20"/>
                <w:lang w:val="en-GB"/>
              </w:rPr>
            </w:pPr>
          </w:p>
        </w:tc>
        <w:tc>
          <w:tcPr>
            <w:tcW w:w="3969" w:type="dxa"/>
            <w:shd w:val="clear" w:color="auto" w:fill="auto"/>
          </w:tcPr>
          <w:p w14:paraId="7196D3B3" w14:textId="77777777" w:rsidR="007C1FEB" w:rsidRPr="00254998" w:rsidRDefault="007C1FEB" w:rsidP="00EE26A1">
            <w:pPr>
              <w:keepNext/>
              <w:spacing w:line="360" w:lineRule="auto"/>
              <w:ind w:left="113" w:right="-141"/>
              <w:jc w:val="both"/>
              <w:outlineLvl w:val="0"/>
              <w:rPr>
                <w:rFonts w:ascii="Arial" w:hAnsi="Arial" w:cs="Arial"/>
                <w:b/>
                <w:szCs w:val="20"/>
              </w:rPr>
            </w:pPr>
            <w:r w:rsidRPr="00254998">
              <w:rPr>
                <w:rFonts w:ascii="Arial" w:hAnsi="Arial" w:cs="Arial"/>
                <w:b/>
                <w:szCs w:val="20"/>
              </w:rPr>
              <w:t xml:space="preserve">Public Affairs </w:t>
            </w:r>
          </w:p>
          <w:p w14:paraId="42447F8D" w14:textId="77777777" w:rsidR="007C1FEB" w:rsidRPr="00CF78E2" w:rsidRDefault="007C1FEB" w:rsidP="00EE26A1">
            <w:pPr>
              <w:tabs>
                <w:tab w:val="left" w:pos="397"/>
                <w:tab w:val="left" w:pos="964"/>
              </w:tabs>
              <w:spacing w:line="360" w:lineRule="auto"/>
              <w:ind w:left="397" w:right="-141" w:hanging="284"/>
              <w:jc w:val="both"/>
              <w:rPr>
                <w:rFonts w:ascii="Arial" w:hAnsi="Arial" w:cs="Arial"/>
                <w:sz w:val="18"/>
                <w:szCs w:val="16"/>
                <w:lang w:val="fr-BE"/>
              </w:rPr>
            </w:pPr>
            <w:r w:rsidRPr="00254998">
              <w:rPr>
                <w:rFonts w:ascii="Arial" w:hAnsi="Arial" w:cs="Arial"/>
                <w:sz w:val="18"/>
                <w:szCs w:val="16"/>
              </w:rPr>
              <w:t xml:space="preserve">Kontakt: Mbuya Yolande Kyoni, Bakk. </w:t>
            </w:r>
            <w:r w:rsidRPr="00CF78E2">
              <w:rPr>
                <w:rFonts w:ascii="Arial" w:hAnsi="Arial" w:cs="Arial"/>
                <w:sz w:val="18"/>
                <w:szCs w:val="16"/>
                <w:lang w:val="fr-BE"/>
              </w:rPr>
              <w:t>BA MA</w:t>
            </w:r>
          </w:p>
          <w:p w14:paraId="58DE1212" w14:textId="77777777" w:rsidR="007C1FEB" w:rsidRPr="00CF78E2" w:rsidRDefault="007C1FEB" w:rsidP="00EE26A1">
            <w:pPr>
              <w:tabs>
                <w:tab w:val="left" w:pos="629"/>
                <w:tab w:val="left" w:pos="964"/>
              </w:tabs>
              <w:spacing w:line="360" w:lineRule="auto"/>
              <w:ind w:left="397" w:right="-141" w:hanging="284"/>
              <w:jc w:val="both"/>
              <w:rPr>
                <w:rFonts w:ascii="Arial" w:hAnsi="Arial" w:cs="Arial"/>
                <w:sz w:val="18"/>
                <w:szCs w:val="16"/>
                <w:lang w:val="fr-BE"/>
              </w:rPr>
            </w:pPr>
            <w:r w:rsidRPr="00CF78E2">
              <w:rPr>
                <w:rFonts w:ascii="Arial" w:hAnsi="Arial" w:cs="Arial"/>
                <w:sz w:val="18"/>
                <w:szCs w:val="16"/>
                <w:lang w:val="fr-BE"/>
              </w:rPr>
              <w:t>Mobil : +43 (0) 664 623 18 01</w:t>
            </w:r>
          </w:p>
          <w:p w14:paraId="5A68322D" w14:textId="77777777" w:rsidR="007C1FEB" w:rsidRPr="00213594" w:rsidRDefault="007C1FEB" w:rsidP="00EE26A1">
            <w:pPr>
              <w:tabs>
                <w:tab w:val="center" w:pos="1899"/>
              </w:tabs>
              <w:spacing w:line="360" w:lineRule="auto"/>
              <w:ind w:left="397" w:right="-141" w:hanging="284"/>
              <w:jc w:val="both"/>
              <w:rPr>
                <w:rFonts w:ascii="Arial" w:hAnsi="Arial" w:cs="Arial"/>
                <w:sz w:val="18"/>
                <w:szCs w:val="16"/>
                <w:lang w:val="de-AT"/>
              </w:rPr>
            </w:pPr>
            <w:proofErr w:type="gramStart"/>
            <w:r w:rsidRPr="00213594">
              <w:rPr>
                <w:rFonts w:ascii="Arial" w:hAnsi="Arial" w:cs="Arial"/>
                <w:sz w:val="18"/>
                <w:szCs w:val="16"/>
                <w:lang w:val="de-AT"/>
              </w:rPr>
              <w:t>E-Mail :</w:t>
            </w:r>
            <w:proofErr w:type="gramEnd"/>
            <w:r w:rsidRPr="00213594">
              <w:rPr>
                <w:rFonts w:ascii="Arial" w:hAnsi="Arial" w:cs="Arial"/>
                <w:sz w:val="18"/>
                <w:szCs w:val="16"/>
                <w:lang w:val="de-AT"/>
              </w:rPr>
              <w:t xml:space="preserve"> </w:t>
            </w:r>
            <w:hyperlink r:id="rId9" w:history="1">
              <w:r w:rsidRPr="00213594">
                <w:rPr>
                  <w:rFonts w:ascii="Arial" w:hAnsi="Arial" w:cs="Arial"/>
                  <w:color w:val="0000FF"/>
                  <w:sz w:val="18"/>
                  <w:szCs w:val="16"/>
                  <w:u w:val="single"/>
                  <w:lang w:val="de-AT"/>
                </w:rPr>
                <w:t>mbuya.kyoni@wienenergie.at</w:t>
              </w:r>
            </w:hyperlink>
            <w:r w:rsidRPr="00213594">
              <w:rPr>
                <w:rFonts w:ascii="Arial" w:hAnsi="Arial" w:cs="Arial"/>
                <w:sz w:val="18"/>
                <w:szCs w:val="16"/>
                <w:lang w:val="de-AT"/>
              </w:rPr>
              <w:t xml:space="preserve"> </w:t>
            </w:r>
          </w:p>
          <w:p w14:paraId="6A59C8EE" w14:textId="62D84D7C" w:rsidR="007C1FEB" w:rsidRPr="00174A45" w:rsidRDefault="007C1FEB" w:rsidP="00EE26A1">
            <w:pPr>
              <w:tabs>
                <w:tab w:val="left" w:pos="1247"/>
              </w:tabs>
              <w:spacing w:line="360" w:lineRule="auto"/>
              <w:ind w:left="397" w:right="-141" w:hanging="284"/>
              <w:jc w:val="both"/>
              <w:rPr>
                <w:rFonts w:ascii="Arial" w:hAnsi="Arial" w:cs="Arial"/>
                <w:noProof/>
                <w:sz w:val="18"/>
                <w:szCs w:val="16"/>
              </w:rPr>
            </w:pPr>
            <w:r w:rsidRPr="00C936EA">
              <w:rPr>
                <w:rFonts w:ascii="Arial" w:hAnsi="Arial" w:cs="Arial"/>
                <w:sz w:val="18"/>
                <w:szCs w:val="16"/>
                <w:lang w:val="fr-FR"/>
              </w:rPr>
              <w:t>Datum</w:t>
            </w:r>
            <w:r>
              <w:rPr>
                <w:rFonts w:ascii="Arial" w:hAnsi="Arial" w:cs="Arial"/>
                <w:sz w:val="18"/>
                <w:szCs w:val="16"/>
                <w:lang w:val="fr-FR"/>
              </w:rPr>
              <w:t xml:space="preserve"> </w:t>
            </w:r>
            <w:r w:rsidRPr="00C936EA">
              <w:rPr>
                <w:rFonts w:ascii="Arial" w:hAnsi="Arial" w:cs="Arial"/>
                <w:sz w:val="18"/>
                <w:szCs w:val="16"/>
                <w:lang w:val="fr-FR"/>
              </w:rPr>
              <w:t xml:space="preserve">: </w:t>
            </w:r>
            <w:r w:rsidR="00EE26A1">
              <w:rPr>
                <w:rFonts w:ascii="Arial" w:hAnsi="Arial" w:cs="Arial"/>
                <w:sz w:val="18"/>
                <w:szCs w:val="16"/>
                <w:lang w:val="fr-FR"/>
              </w:rPr>
              <w:t>2</w:t>
            </w:r>
            <w:r w:rsidR="00213594">
              <w:rPr>
                <w:rFonts w:ascii="Arial" w:hAnsi="Arial" w:cs="Arial"/>
                <w:sz w:val="18"/>
                <w:szCs w:val="16"/>
                <w:lang w:val="fr-FR"/>
              </w:rPr>
              <w:t>9</w:t>
            </w:r>
            <w:r w:rsidR="00EE26A1">
              <w:rPr>
                <w:rFonts w:ascii="Arial" w:hAnsi="Arial" w:cs="Arial"/>
                <w:sz w:val="18"/>
                <w:szCs w:val="16"/>
                <w:lang w:val="fr-FR"/>
              </w:rPr>
              <w:t>.07.2021</w:t>
            </w:r>
          </w:p>
        </w:tc>
      </w:tr>
    </w:tbl>
    <w:p w14:paraId="0A2EEDA1" w14:textId="741E83AC" w:rsidR="00A70BDC" w:rsidRDefault="00A70BDC" w:rsidP="00EE26A1">
      <w:pPr>
        <w:spacing w:line="360" w:lineRule="auto"/>
        <w:rPr>
          <w:rFonts w:ascii="Arial" w:hAnsi="Arial" w:cs="Arial"/>
          <w:sz w:val="20"/>
          <w:szCs w:val="20"/>
        </w:rPr>
      </w:pPr>
    </w:p>
    <w:p w14:paraId="51AE6494" w14:textId="77777777" w:rsidR="007C1FEB" w:rsidRPr="00374178" w:rsidRDefault="007C1FEB" w:rsidP="00EE26A1">
      <w:pPr>
        <w:spacing w:line="360" w:lineRule="auto"/>
        <w:rPr>
          <w:rFonts w:ascii="Arial" w:hAnsi="Arial" w:cs="Arial"/>
          <w:sz w:val="20"/>
          <w:szCs w:val="20"/>
        </w:rPr>
      </w:pPr>
    </w:p>
    <w:p w14:paraId="164C325C" w14:textId="2D3951C6" w:rsidR="00B825A4" w:rsidRPr="00EE26A1" w:rsidRDefault="009E2598" w:rsidP="00EE26A1">
      <w:pPr>
        <w:pStyle w:val="EH-1"/>
        <w:jc w:val="left"/>
        <w:rPr>
          <w:rFonts w:ascii="Arial" w:hAnsi="Arial" w:cs="Arial"/>
          <w:sz w:val="24"/>
          <w:szCs w:val="24"/>
          <w:u w:val="single"/>
        </w:rPr>
      </w:pPr>
      <w:r w:rsidRPr="00EE26A1">
        <w:rPr>
          <w:rFonts w:ascii="Arial" w:hAnsi="Arial" w:cs="Arial"/>
          <w:sz w:val="24"/>
          <w:szCs w:val="24"/>
          <w:u w:val="single"/>
        </w:rPr>
        <w:t>Stellungnahme</w:t>
      </w:r>
      <w:r w:rsidR="001453BD" w:rsidRPr="00EE26A1">
        <w:rPr>
          <w:rFonts w:ascii="Arial" w:hAnsi="Arial" w:cs="Arial"/>
          <w:sz w:val="24"/>
          <w:szCs w:val="24"/>
          <w:u w:val="single"/>
        </w:rPr>
        <w:t xml:space="preserve"> der Wien ENergie GmbH</w:t>
      </w:r>
      <w:r w:rsidR="00EE26A1" w:rsidRPr="00EE26A1">
        <w:rPr>
          <w:rFonts w:ascii="Arial" w:hAnsi="Arial" w:cs="Arial"/>
          <w:sz w:val="24"/>
          <w:szCs w:val="24"/>
          <w:u w:val="single"/>
        </w:rPr>
        <w:t xml:space="preserve"> </w:t>
      </w:r>
      <w:r w:rsidR="001453BD" w:rsidRPr="00EE26A1">
        <w:rPr>
          <w:rFonts w:ascii="Arial" w:hAnsi="Arial" w:cs="Arial"/>
          <w:sz w:val="24"/>
          <w:szCs w:val="24"/>
          <w:u w:val="single"/>
        </w:rPr>
        <w:t>zum Entwurf der Leitlinien für staatliche Klima-, Umweltschutz- und Energiebeihilfen 202</w:t>
      </w:r>
      <w:r w:rsidR="00E265B5" w:rsidRPr="00EE26A1">
        <w:rPr>
          <w:rFonts w:ascii="Arial" w:hAnsi="Arial" w:cs="Arial"/>
          <w:sz w:val="24"/>
          <w:szCs w:val="24"/>
          <w:u w:val="single"/>
        </w:rPr>
        <w:t>2</w:t>
      </w:r>
    </w:p>
    <w:p w14:paraId="63CCD08A" w14:textId="4BA11135" w:rsidR="00414246" w:rsidRPr="00374178" w:rsidRDefault="00414246" w:rsidP="00EE26A1">
      <w:pPr>
        <w:spacing w:line="360" w:lineRule="auto"/>
        <w:rPr>
          <w:rFonts w:ascii="Arial" w:hAnsi="Arial" w:cs="Arial"/>
          <w:b/>
          <w:color w:val="000000"/>
          <w:sz w:val="22"/>
          <w:szCs w:val="22"/>
          <w:lang w:val="de-AT"/>
        </w:rPr>
      </w:pPr>
      <w:bookmarkStart w:id="0" w:name="_Ref294080768"/>
      <w:bookmarkStart w:id="1" w:name="_Ref294088660"/>
      <w:bookmarkStart w:id="2" w:name="_Toc295340989"/>
    </w:p>
    <w:p w14:paraId="21294887" w14:textId="5376FBE4" w:rsidR="00EE26A1" w:rsidRPr="00EE26A1" w:rsidRDefault="00EE26A1" w:rsidP="00EE26A1">
      <w:pPr>
        <w:spacing w:line="360" w:lineRule="auto"/>
        <w:rPr>
          <w:rFonts w:ascii="Arial" w:hAnsi="Arial" w:cs="Arial"/>
          <w:bCs/>
          <w:color w:val="000000"/>
          <w:sz w:val="22"/>
          <w:szCs w:val="22"/>
          <w:lang w:val="de-AT"/>
        </w:rPr>
      </w:pPr>
      <w:r w:rsidRPr="00EE26A1">
        <w:rPr>
          <w:rFonts w:ascii="Arial" w:hAnsi="Arial" w:cs="Arial"/>
          <w:bCs/>
          <w:color w:val="000000"/>
          <w:sz w:val="22"/>
          <w:szCs w:val="22"/>
          <w:lang w:val="de-AT"/>
        </w:rPr>
        <w:t>Sehr geehrte</w:t>
      </w:r>
      <w:r>
        <w:rPr>
          <w:rFonts w:ascii="Arial" w:hAnsi="Arial" w:cs="Arial"/>
          <w:bCs/>
          <w:color w:val="000000"/>
          <w:sz w:val="22"/>
          <w:szCs w:val="22"/>
          <w:lang w:val="de-AT"/>
        </w:rPr>
        <w:t xml:space="preserve"> Damen und Herren,</w:t>
      </w:r>
    </w:p>
    <w:p w14:paraId="47D02641" w14:textId="77777777" w:rsidR="00EE26A1" w:rsidRPr="00EE26A1" w:rsidRDefault="00EE26A1" w:rsidP="00EE26A1">
      <w:pPr>
        <w:spacing w:line="360" w:lineRule="auto"/>
        <w:rPr>
          <w:rFonts w:ascii="Arial" w:hAnsi="Arial" w:cs="Arial"/>
          <w:bCs/>
          <w:color w:val="000000"/>
          <w:sz w:val="22"/>
          <w:szCs w:val="22"/>
          <w:lang w:val="de-AT"/>
        </w:rPr>
      </w:pPr>
    </w:p>
    <w:p w14:paraId="2B397DB8" w14:textId="2CB97560" w:rsidR="00414246" w:rsidRDefault="00EE26A1" w:rsidP="00EE26A1">
      <w:pPr>
        <w:spacing w:line="360" w:lineRule="auto"/>
        <w:rPr>
          <w:rFonts w:ascii="Arial" w:hAnsi="Arial" w:cs="Arial"/>
          <w:b/>
          <w:color w:val="000000"/>
          <w:sz w:val="22"/>
          <w:szCs w:val="22"/>
          <w:lang w:val="de-AT"/>
        </w:rPr>
      </w:pPr>
      <w:r w:rsidRPr="00EE26A1">
        <w:rPr>
          <w:rFonts w:ascii="Arial" w:hAnsi="Arial" w:cs="Arial"/>
          <w:bCs/>
          <w:color w:val="000000"/>
          <w:sz w:val="22"/>
          <w:szCs w:val="22"/>
          <w:lang w:val="de-AT"/>
        </w:rPr>
        <w:t xml:space="preserve">Wien Energie bedankt sich für die Möglichkeit eine Stellungnahme </w:t>
      </w:r>
      <w:r>
        <w:rPr>
          <w:rFonts w:ascii="Arial" w:hAnsi="Arial" w:cs="Arial"/>
          <w:bCs/>
          <w:color w:val="000000"/>
          <w:sz w:val="22"/>
          <w:szCs w:val="22"/>
          <w:lang w:val="de-AT"/>
        </w:rPr>
        <w:t xml:space="preserve">zum Entwurf der Leitlinien für staatliche Klima-, Umweltschutz- und Energiebeihilfen 2022 </w:t>
      </w:r>
      <w:r w:rsidRPr="00EE26A1">
        <w:rPr>
          <w:rFonts w:ascii="Arial" w:hAnsi="Arial" w:cs="Arial"/>
          <w:bCs/>
          <w:color w:val="000000"/>
          <w:sz w:val="22"/>
          <w:szCs w:val="22"/>
          <w:lang w:val="de-AT"/>
        </w:rPr>
        <w:t xml:space="preserve">abgeben zu dürfen. Anbei übermitteln wir </w:t>
      </w:r>
      <w:r w:rsidR="00213594">
        <w:rPr>
          <w:rFonts w:ascii="Arial" w:hAnsi="Arial" w:cs="Arial"/>
          <w:bCs/>
          <w:color w:val="000000"/>
          <w:sz w:val="22"/>
          <w:szCs w:val="22"/>
          <w:lang w:val="de-AT"/>
        </w:rPr>
        <w:t>unsere Anmerkungen</w:t>
      </w:r>
      <w:r>
        <w:rPr>
          <w:rFonts w:ascii="Arial" w:hAnsi="Arial" w:cs="Arial"/>
          <w:bCs/>
          <w:color w:val="000000"/>
          <w:sz w:val="22"/>
          <w:szCs w:val="22"/>
          <w:lang w:val="de-AT"/>
        </w:rPr>
        <w:t xml:space="preserve">: </w:t>
      </w:r>
    </w:p>
    <w:p w14:paraId="37525FFC" w14:textId="77777777" w:rsidR="00EE26A1" w:rsidRPr="00374178" w:rsidRDefault="00EE26A1" w:rsidP="00EE26A1">
      <w:pPr>
        <w:spacing w:line="360" w:lineRule="auto"/>
        <w:rPr>
          <w:rFonts w:ascii="Arial" w:hAnsi="Arial" w:cs="Arial"/>
          <w:b/>
          <w:color w:val="000000"/>
          <w:sz w:val="22"/>
          <w:szCs w:val="22"/>
          <w:lang w:val="de-AT"/>
        </w:rPr>
      </w:pPr>
    </w:p>
    <w:p w14:paraId="4D870802" w14:textId="47433955" w:rsidR="00636605" w:rsidRPr="00374178" w:rsidRDefault="00414246" w:rsidP="00EE26A1">
      <w:pPr>
        <w:pStyle w:val="Verzeichnis1"/>
        <w:spacing w:line="360" w:lineRule="auto"/>
        <w:rPr>
          <w:rFonts w:ascii="Arial" w:hAnsi="Arial" w:cs="Arial"/>
          <w:b w:val="0"/>
          <w:bCs w:val="0"/>
          <w:lang w:val="de-AT" w:eastAsia="de-AT"/>
        </w:rPr>
      </w:pPr>
      <w:r w:rsidRPr="00374178">
        <w:rPr>
          <w:rFonts w:ascii="Arial" w:hAnsi="Arial" w:cs="Arial"/>
          <w:lang w:val="de-AT"/>
        </w:rPr>
        <w:fldChar w:fldCharType="begin"/>
      </w:r>
      <w:r w:rsidRPr="00374178">
        <w:rPr>
          <w:rFonts w:ascii="Arial" w:hAnsi="Arial" w:cs="Arial"/>
          <w:lang w:val="de-AT"/>
        </w:rPr>
        <w:instrText xml:space="preserve"> TOC \o "1-3" \h \z \t "EH - Ü2;1;EH - Ü3;2;EH - Ü4;3" </w:instrText>
      </w:r>
      <w:r w:rsidRPr="00374178">
        <w:rPr>
          <w:rFonts w:ascii="Arial" w:hAnsi="Arial" w:cs="Arial"/>
          <w:lang w:val="de-AT"/>
        </w:rPr>
        <w:fldChar w:fldCharType="separate"/>
      </w:r>
      <w:hyperlink w:anchor="_Toc77773403" w:history="1">
        <w:r w:rsidR="00636605" w:rsidRPr="00374178">
          <w:rPr>
            <w:rStyle w:val="Hyperlink"/>
            <w:rFonts w:ascii="Arial" w:hAnsi="Arial" w:cs="Arial"/>
          </w:rPr>
          <w:t>1.</w:t>
        </w:r>
        <w:r w:rsidR="00636605" w:rsidRPr="00374178">
          <w:rPr>
            <w:rFonts w:ascii="Arial" w:hAnsi="Arial" w:cs="Arial"/>
            <w:b w:val="0"/>
            <w:bCs w:val="0"/>
            <w:lang w:val="de-AT" w:eastAsia="de-AT"/>
          </w:rPr>
          <w:tab/>
        </w:r>
        <w:r w:rsidR="00636605" w:rsidRPr="00374178">
          <w:rPr>
            <w:rStyle w:val="Hyperlink"/>
            <w:rFonts w:ascii="Arial" w:hAnsi="Arial" w:cs="Arial"/>
          </w:rPr>
          <w:t>Einleitende Bemerkungen</w:t>
        </w:r>
        <w:r w:rsidR="00636605" w:rsidRPr="00374178">
          <w:rPr>
            <w:rFonts w:ascii="Arial" w:hAnsi="Arial" w:cs="Arial"/>
            <w:webHidden/>
          </w:rPr>
          <w:tab/>
        </w:r>
        <w:r w:rsidR="00636605" w:rsidRPr="00374178">
          <w:rPr>
            <w:rFonts w:ascii="Arial" w:hAnsi="Arial" w:cs="Arial"/>
            <w:webHidden/>
          </w:rPr>
          <w:fldChar w:fldCharType="begin"/>
        </w:r>
        <w:r w:rsidR="00636605" w:rsidRPr="00374178">
          <w:rPr>
            <w:rFonts w:ascii="Arial" w:hAnsi="Arial" w:cs="Arial"/>
            <w:webHidden/>
          </w:rPr>
          <w:instrText xml:space="preserve"> PAGEREF _Toc77773403 \h </w:instrText>
        </w:r>
        <w:r w:rsidR="00636605" w:rsidRPr="00374178">
          <w:rPr>
            <w:rFonts w:ascii="Arial" w:hAnsi="Arial" w:cs="Arial"/>
            <w:webHidden/>
          </w:rPr>
        </w:r>
        <w:r w:rsidR="00636605" w:rsidRPr="00374178">
          <w:rPr>
            <w:rFonts w:ascii="Arial" w:hAnsi="Arial" w:cs="Arial"/>
            <w:webHidden/>
          </w:rPr>
          <w:fldChar w:fldCharType="separate"/>
        </w:r>
        <w:r w:rsidR="00057862">
          <w:rPr>
            <w:rFonts w:ascii="Arial" w:hAnsi="Arial" w:cs="Arial"/>
            <w:webHidden/>
          </w:rPr>
          <w:t>2</w:t>
        </w:r>
        <w:r w:rsidR="00636605" w:rsidRPr="00374178">
          <w:rPr>
            <w:rFonts w:ascii="Arial" w:hAnsi="Arial" w:cs="Arial"/>
            <w:webHidden/>
          </w:rPr>
          <w:fldChar w:fldCharType="end"/>
        </w:r>
      </w:hyperlink>
    </w:p>
    <w:p w14:paraId="504B24BE" w14:textId="1C28E679" w:rsidR="00636605" w:rsidRPr="00374178" w:rsidRDefault="00057862" w:rsidP="00EE26A1">
      <w:pPr>
        <w:pStyle w:val="Verzeichnis1"/>
        <w:spacing w:line="360" w:lineRule="auto"/>
        <w:rPr>
          <w:rFonts w:ascii="Arial" w:hAnsi="Arial" w:cs="Arial"/>
          <w:b w:val="0"/>
          <w:bCs w:val="0"/>
          <w:lang w:val="de-AT" w:eastAsia="de-AT"/>
        </w:rPr>
      </w:pPr>
      <w:hyperlink w:anchor="_Toc77773404" w:history="1">
        <w:r w:rsidR="00636605" w:rsidRPr="00374178">
          <w:rPr>
            <w:rStyle w:val="Hyperlink"/>
            <w:rFonts w:ascii="Arial" w:hAnsi="Arial" w:cs="Arial"/>
          </w:rPr>
          <w:t>2.</w:t>
        </w:r>
        <w:r w:rsidR="00636605" w:rsidRPr="00374178">
          <w:rPr>
            <w:rFonts w:ascii="Arial" w:hAnsi="Arial" w:cs="Arial"/>
            <w:b w:val="0"/>
            <w:bCs w:val="0"/>
            <w:lang w:val="de-AT" w:eastAsia="de-AT"/>
          </w:rPr>
          <w:tab/>
        </w:r>
        <w:r w:rsidR="00636605" w:rsidRPr="00374178">
          <w:rPr>
            <w:rStyle w:val="Hyperlink"/>
            <w:rFonts w:ascii="Arial" w:hAnsi="Arial" w:cs="Arial"/>
          </w:rPr>
          <w:t>Inhaltliche Stellungnahme zu einzelnen Aspekten in den Leitlinien</w:t>
        </w:r>
        <w:r w:rsidR="00636605" w:rsidRPr="00374178">
          <w:rPr>
            <w:rFonts w:ascii="Arial" w:hAnsi="Arial" w:cs="Arial"/>
            <w:webHidden/>
          </w:rPr>
          <w:tab/>
        </w:r>
        <w:r w:rsidR="00636605" w:rsidRPr="00374178">
          <w:rPr>
            <w:rFonts w:ascii="Arial" w:hAnsi="Arial" w:cs="Arial"/>
            <w:webHidden/>
          </w:rPr>
          <w:fldChar w:fldCharType="begin"/>
        </w:r>
        <w:r w:rsidR="00636605" w:rsidRPr="00374178">
          <w:rPr>
            <w:rFonts w:ascii="Arial" w:hAnsi="Arial" w:cs="Arial"/>
            <w:webHidden/>
          </w:rPr>
          <w:instrText xml:space="preserve"> PAGEREF _Toc77773404 \h </w:instrText>
        </w:r>
        <w:r w:rsidR="00636605" w:rsidRPr="00374178">
          <w:rPr>
            <w:rFonts w:ascii="Arial" w:hAnsi="Arial" w:cs="Arial"/>
            <w:webHidden/>
          </w:rPr>
        </w:r>
        <w:r w:rsidR="00636605" w:rsidRPr="00374178">
          <w:rPr>
            <w:rFonts w:ascii="Arial" w:hAnsi="Arial" w:cs="Arial"/>
            <w:webHidden/>
          </w:rPr>
          <w:fldChar w:fldCharType="separate"/>
        </w:r>
        <w:r>
          <w:rPr>
            <w:rFonts w:ascii="Arial" w:hAnsi="Arial" w:cs="Arial"/>
            <w:webHidden/>
          </w:rPr>
          <w:t>2</w:t>
        </w:r>
        <w:r w:rsidR="00636605" w:rsidRPr="00374178">
          <w:rPr>
            <w:rFonts w:ascii="Arial" w:hAnsi="Arial" w:cs="Arial"/>
            <w:webHidden/>
          </w:rPr>
          <w:fldChar w:fldCharType="end"/>
        </w:r>
      </w:hyperlink>
    </w:p>
    <w:bookmarkStart w:id="3" w:name="_Hlk78208168"/>
    <w:p w14:paraId="6DCD7C11" w14:textId="756E363A" w:rsidR="00636605" w:rsidRPr="00374178" w:rsidRDefault="00EE26A1" w:rsidP="00EE26A1">
      <w:pPr>
        <w:pStyle w:val="Verzeichnis2"/>
        <w:tabs>
          <w:tab w:val="clear" w:pos="574"/>
          <w:tab w:val="left" w:pos="1843"/>
        </w:tabs>
        <w:spacing w:line="360" w:lineRule="auto"/>
        <w:ind w:left="1134"/>
        <w:rPr>
          <w:rFonts w:ascii="Arial" w:eastAsiaTheme="minorEastAsia" w:hAnsi="Arial" w:cs="Arial"/>
          <w:bCs w:val="0"/>
          <w:noProof/>
          <w:lang w:val="de-AT" w:eastAsia="de-AT"/>
        </w:rPr>
      </w:pPr>
      <w:r>
        <w:fldChar w:fldCharType="begin"/>
      </w:r>
      <w:r>
        <w:instrText xml:space="preserve"> HYPERLINK \l "_Toc77773405" </w:instrText>
      </w:r>
      <w:r>
        <w:fldChar w:fldCharType="separate"/>
      </w:r>
      <w:r w:rsidR="00636605" w:rsidRPr="00374178">
        <w:rPr>
          <w:rStyle w:val="Hyperlink"/>
          <w:rFonts w:ascii="Arial" w:hAnsi="Arial" w:cs="Arial"/>
          <w:noProof/>
        </w:rPr>
        <w:t>2.1</w:t>
      </w:r>
      <w:r w:rsidR="00636605" w:rsidRPr="00374178">
        <w:rPr>
          <w:rFonts w:ascii="Arial" w:eastAsiaTheme="minorEastAsia" w:hAnsi="Arial" w:cs="Arial"/>
          <w:bCs w:val="0"/>
          <w:noProof/>
          <w:lang w:val="de-AT" w:eastAsia="de-AT"/>
        </w:rPr>
        <w:tab/>
      </w:r>
      <w:r w:rsidR="00636605" w:rsidRPr="00374178">
        <w:rPr>
          <w:rStyle w:val="Hyperlink"/>
          <w:rFonts w:ascii="Arial" w:hAnsi="Arial" w:cs="Arial"/>
          <w:noProof/>
        </w:rPr>
        <w:t>Beihilfen zur Verringerung und zum Abbau von Treibhausgasemissionen, u. a. durch Förderung erneuerbarer Energien</w:t>
      </w:r>
      <w:r w:rsidR="00636605" w:rsidRPr="00374178">
        <w:rPr>
          <w:rFonts w:ascii="Arial" w:hAnsi="Arial" w:cs="Arial"/>
          <w:noProof/>
          <w:webHidden/>
        </w:rPr>
        <w:tab/>
      </w:r>
      <w:r w:rsidR="00636605" w:rsidRPr="00374178">
        <w:rPr>
          <w:rFonts w:ascii="Arial" w:hAnsi="Arial" w:cs="Arial"/>
          <w:noProof/>
          <w:webHidden/>
        </w:rPr>
        <w:fldChar w:fldCharType="begin"/>
      </w:r>
      <w:r w:rsidR="00636605" w:rsidRPr="00374178">
        <w:rPr>
          <w:rFonts w:ascii="Arial" w:hAnsi="Arial" w:cs="Arial"/>
          <w:noProof/>
          <w:webHidden/>
        </w:rPr>
        <w:instrText xml:space="preserve"> PAGEREF _Toc77773405 \h </w:instrText>
      </w:r>
      <w:r w:rsidR="00636605" w:rsidRPr="00374178">
        <w:rPr>
          <w:rFonts w:ascii="Arial" w:hAnsi="Arial" w:cs="Arial"/>
          <w:noProof/>
          <w:webHidden/>
        </w:rPr>
      </w:r>
      <w:r w:rsidR="00636605" w:rsidRPr="00374178">
        <w:rPr>
          <w:rFonts w:ascii="Arial" w:hAnsi="Arial" w:cs="Arial"/>
          <w:noProof/>
          <w:webHidden/>
        </w:rPr>
        <w:fldChar w:fldCharType="separate"/>
      </w:r>
      <w:r w:rsidR="00057862">
        <w:rPr>
          <w:rFonts w:ascii="Arial" w:hAnsi="Arial" w:cs="Arial"/>
          <w:noProof/>
          <w:webHidden/>
        </w:rPr>
        <w:t>2</w:t>
      </w:r>
      <w:r w:rsidR="00636605" w:rsidRPr="00374178">
        <w:rPr>
          <w:rFonts w:ascii="Arial" w:hAnsi="Arial" w:cs="Arial"/>
          <w:noProof/>
          <w:webHidden/>
        </w:rPr>
        <w:fldChar w:fldCharType="end"/>
      </w:r>
      <w:r>
        <w:rPr>
          <w:rFonts w:ascii="Arial" w:hAnsi="Arial" w:cs="Arial"/>
          <w:noProof/>
        </w:rPr>
        <w:fldChar w:fldCharType="end"/>
      </w:r>
    </w:p>
    <w:p w14:paraId="7F1D795B" w14:textId="0690B793" w:rsidR="00636605" w:rsidRPr="00374178" w:rsidRDefault="00057862" w:rsidP="00EE26A1">
      <w:pPr>
        <w:pStyle w:val="Verzeichnis2"/>
        <w:tabs>
          <w:tab w:val="clear" w:pos="574"/>
          <w:tab w:val="left" w:pos="1843"/>
        </w:tabs>
        <w:spacing w:line="360" w:lineRule="auto"/>
        <w:ind w:left="1134"/>
        <w:rPr>
          <w:rFonts w:ascii="Arial" w:eastAsiaTheme="minorEastAsia" w:hAnsi="Arial" w:cs="Arial"/>
          <w:bCs w:val="0"/>
          <w:noProof/>
          <w:lang w:val="de-AT" w:eastAsia="de-AT"/>
        </w:rPr>
      </w:pPr>
      <w:hyperlink w:anchor="_Toc77773406" w:history="1">
        <w:r w:rsidR="00636605" w:rsidRPr="00374178">
          <w:rPr>
            <w:rStyle w:val="Hyperlink"/>
            <w:rFonts w:ascii="Arial" w:hAnsi="Arial" w:cs="Arial"/>
            <w:noProof/>
          </w:rPr>
          <w:t>2.2</w:t>
        </w:r>
        <w:r w:rsidR="00636605" w:rsidRPr="00374178">
          <w:rPr>
            <w:rFonts w:ascii="Arial" w:eastAsiaTheme="minorEastAsia" w:hAnsi="Arial" w:cs="Arial"/>
            <w:bCs w:val="0"/>
            <w:noProof/>
            <w:lang w:val="de-AT" w:eastAsia="de-AT"/>
          </w:rPr>
          <w:tab/>
        </w:r>
        <w:r w:rsidR="00636605" w:rsidRPr="00374178">
          <w:rPr>
            <w:rStyle w:val="Hyperlink"/>
            <w:rFonts w:ascii="Arial" w:hAnsi="Arial" w:cs="Arial"/>
            <w:noProof/>
          </w:rPr>
          <w:t>Beihilfen zur Gewährleistung der Stromversorgungssicherheit</w:t>
        </w:r>
        <w:r w:rsidR="00636605" w:rsidRPr="00374178">
          <w:rPr>
            <w:rFonts w:ascii="Arial" w:hAnsi="Arial" w:cs="Arial"/>
            <w:noProof/>
            <w:webHidden/>
          </w:rPr>
          <w:tab/>
        </w:r>
        <w:r w:rsidR="00636605" w:rsidRPr="00374178">
          <w:rPr>
            <w:rFonts w:ascii="Arial" w:hAnsi="Arial" w:cs="Arial"/>
            <w:noProof/>
            <w:webHidden/>
          </w:rPr>
          <w:fldChar w:fldCharType="begin"/>
        </w:r>
        <w:r w:rsidR="00636605" w:rsidRPr="00374178">
          <w:rPr>
            <w:rFonts w:ascii="Arial" w:hAnsi="Arial" w:cs="Arial"/>
            <w:noProof/>
            <w:webHidden/>
          </w:rPr>
          <w:instrText xml:space="preserve"> PAGEREF _Toc77773406 \h </w:instrText>
        </w:r>
        <w:r w:rsidR="00636605" w:rsidRPr="00374178">
          <w:rPr>
            <w:rFonts w:ascii="Arial" w:hAnsi="Arial" w:cs="Arial"/>
            <w:noProof/>
            <w:webHidden/>
          </w:rPr>
        </w:r>
        <w:r w:rsidR="00636605" w:rsidRPr="00374178">
          <w:rPr>
            <w:rFonts w:ascii="Arial" w:hAnsi="Arial" w:cs="Arial"/>
            <w:noProof/>
            <w:webHidden/>
          </w:rPr>
          <w:fldChar w:fldCharType="separate"/>
        </w:r>
        <w:r>
          <w:rPr>
            <w:rFonts w:ascii="Arial" w:hAnsi="Arial" w:cs="Arial"/>
            <w:noProof/>
            <w:webHidden/>
          </w:rPr>
          <w:t>4</w:t>
        </w:r>
        <w:r w:rsidR="00636605" w:rsidRPr="00374178">
          <w:rPr>
            <w:rFonts w:ascii="Arial" w:hAnsi="Arial" w:cs="Arial"/>
            <w:noProof/>
            <w:webHidden/>
          </w:rPr>
          <w:fldChar w:fldCharType="end"/>
        </w:r>
      </w:hyperlink>
    </w:p>
    <w:p w14:paraId="28C58887" w14:textId="2836927D" w:rsidR="00636605" w:rsidRPr="00374178" w:rsidRDefault="00057862" w:rsidP="00EE26A1">
      <w:pPr>
        <w:pStyle w:val="Verzeichnis2"/>
        <w:tabs>
          <w:tab w:val="clear" w:pos="574"/>
          <w:tab w:val="left" w:pos="1843"/>
        </w:tabs>
        <w:spacing w:line="360" w:lineRule="auto"/>
        <w:ind w:left="1134"/>
        <w:rPr>
          <w:rFonts w:ascii="Arial" w:eastAsiaTheme="minorEastAsia" w:hAnsi="Arial" w:cs="Arial"/>
          <w:bCs w:val="0"/>
          <w:noProof/>
          <w:lang w:val="de-AT" w:eastAsia="de-AT"/>
        </w:rPr>
      </w:pPr>
      <w:hyperlink w:anchor="_Toc77773411" w:history="1">
        <w:r w:rsidR="00636605" w:rsidRPr="00374178">
          <w:rPr>
            <w:rStyle w:val="Hyperlink"/>
            <w:rFonts w:ascii="Arial" w:hAnsi="Arial" w:cs="Arial"/>
            <w:noProof/>
          </w:rPr>
          <w:t>2.3</w:t>
        </w:r>
        <w:r w:rsidR="00636605" w:rsidRPr="00374178">
          <w:rPr>
            <w:rFonts w:ascii="Arial" w:eastAsiaTheme="minorEastAsia" w:hAnsi="Arial" w:cs="Arial"/>
            <w:bCs w:val="0"/>
            <w:noProof/>
            <w:lang w:val="de-AT" w:eastAsia="de-AT"/>
          </w:rPr>
          <w:tab/>
        </w:r>
        <w:r w:rsidR="00636605" w:rsidRPr="00374178">
          <w:rPr>
            <w:rStyle w:val="Hyperlink"/>
            <w:rFonts w:ascii="Arial" w:hAnsi="Arial" w:cs="Arial"/>
            <w:noProof/>
          </w:rPr>
          <w:t>Beihilfen für Fernwärme und Fernkälte</w:t>
        </w:r>
        <w:r w:rsidR="00636605" w:rsidRPr="00374178">
          <w:rPr>
            <w:rFonts w:ascii="Arial" w:hAnsi="Arial" w:cs="Arial"/>
            <w:noProof/>
            <w:webHidden/>
          </w:rPr>
          <w:tab/>
        </w:r>
        <w:r w:rsidR="00636605" w:rsidRPr="00374178">
          <w:rPr>
            <w:rFonts w:ascii="Arial" w:hAnsi="Arial" w:cs="Arial"/>
            <w:noProof/>
            <w:webHidden/>
          </w:rPr>
          <w:fldChar w:fldCharType="begin"/>
        </w:r>
        <w:r w:rsidR="00636605" w:rsidRPr="00374178">
          <w:rPr>
            <w:rFonts w:ascii="Arial" w:hAnsi="Arial" w:cs="Arial"/>
            <w:noProof/>
            <w:webHidden/>
          </w:rPr>
          <w:instrText xml:space="preserve"> PAGEREF _Toc77773411 \h </w:instrText>
        </w:r>
        <w:r w:rsidR="00636605" w:rsidRPr="00374178">
          <w:rPr>
            <w:rFonts w:ascii="Arial" w:hAnsi="Arial" w:cs="Arial"/>
            <w:noProof/>
            <w:webHidden/>
          </w:rPr>
        </w:r>
        <w:r w:rsidR="00636605" w:rsidRPr="00374178">
          <w:rPr>
            <w:rFonts w:ascii="Arial" w:hAnsi="Arial" w:cs="Arial"/>
            <w:noProof/>
            <w:webHidden/>
          </w:rPr>
          <w:fldChar w:fldCharType="separate"/>
        </w:r>
        <w:r>
          <w:rPr>
            <w:rFonts w:ascii="Arial" w:hAnsi="Arial" w:cs="Arial"/>
            <w:noProof/>
            <w:webHidden/>
          </w:rPr>
          <w:t>8</w:t>
        </w:r>
        <w:r w:rsidR="00636605" w:rsidRPr="00374178">
          <w:rPr>
            <w:rFonts w:ascii="Arial" w:hAnsi="Arial" w:cs="Arial"/>
            <w:noProof/>
            <w:webHidden/>
          </w:rPr>
          <w:fldChar w:fldCharType="end"/>
        </w:r>
      </w:hyperlink>
    </w:p>
    <w:p w14:paraId="3D136F3F" w14:textId="6B3CE660" w:rsidR="00636605" w:rsidRPr="00374178" w:rsidRDefault="00057862" w:rsidP="00EE26A1">
      <w:pPr>
        <w:pStyle w:val="Verzeichnis2"/>
        <w:tabs>
          <w:tab w:val="clear" w:pos="574"/>
          <w:tab w:val="left" w:pos="1843"/>
        </w:tabs>
        <w:spacing w:line="360" w:lineRule="auto"/>
        <w:ind w:left="1134"/>
        <w:rPr>
          <w:rFonts w:ascii="Arial" w:eastAsiaTheme="minorEastAsia" w:hAnsi="Arial" w:cs="Arial"/>
          <w:bCs w:val="0"/>
          <w:noProof/>
          <w:lang w:val="de-AT" w:eastAsia="de-AT"/>
        </w:rPr>
      </w:pPr>
      <w:hyperlink w:anchor="_Toc77773415" w:history="1">
        <w:r w:rsidR="00636605" w:rsidRPr="00374178">
          <w:rPr>
            <w:rStyle w:val="Hyperlink"/>
            <w:rFonts w:ascii="Arial" w:hAnsi="Arial" w:cs="Arial"/>
            <w:noProof/>
          </w:rPr>
          <w:t>2.4</w:t>
        </w:r>
        <w:r w:rsidR="00636605" w:rsidRPr="00374178">
          <w:rPr>
            <w:rFonts w:ascii="Arial" w:eastAsiaTheme="minorEastAsia" w:hAnsi="Arial" w:cs="Arial"/>
            <w:bCs w:val="0"/>
            <w:noProof/>
            <w:lang w:val="de-AT" w:eastAsia="de-AT"/>
          </w:rPr>
          <w:tab/>
        </w:r>
        <w:r w:rsidR="00636605" w:rsidRPr="00374178">
          <w:rPr>
            <w:rStyle w:val="Hyperlink"/>
            <w:rFonts w:ascii="Arial" w:hAnsi="Arial" w:cs="Arial"/>
            <w:noProof/>
          </w:rPr>
          <w:t>Beihilfen in Form einer Ermäßigung von Steuern oder steuerähnlichen Abgaben</w:t>
        </w:r>
        <w:r w:rsidR="00636605" w:rsidRPr="00374178">
          <w:rPr>
            <w:rFonts w:ascii="Arial" w:hAnsi="Arial" w:cs="Arial"/>
            <w:noProof/>
            <w:webHidden/>
          </w:rPr>
          <w:tab/>
        </w:r>
        <w:r w:rsidR="00636605" w:rsidRPr="00374178">
          <w:rPr>
            <w:rFonts w:ascii="Arial" w:hAnsi="Arial" w:cs="Arial"/>
            <w:noProof/>
            <w:webHidden/>
          </w:rPr>
          <w:fldChar w:fldCharType="begin"/>
        </w:r>
        <w:r w:rsidR="00636605" w:rsidRPr="00374178">
          <w:rPr>
            <w:rFonts w:ascii="Arial" w:hAnsi="Arial" w:cs="Arial"/>
            <w:noProof/>
            <w:webHidden/>
          </w:rPr>
          <w:instrText xml:space="preserve"> PAGEREF _Toc77773415 \h </w:instrText>
        </w:r>
        <w:r w:rsidR="00636605" w:rsidRPr="00374178">
          <w:rPr>
            <w:rFonts w:ascii="Arial" w:hAnsi="Arial" w:cs="Arial"/>
            <w:noProof/>
            <w:webHidden/>
          </w:rPr>
        </w:r>
        <w:r w:rsidR="00636605" w:rsidRPr="00374178">
          <w:rPr>
            <w:rFonts w:ascii="Arial" w:hAnsi="Arial" w:cs="Arial"/>
            <w:noProof/>
            <w:webHidden/>
          </w:rPr>
          <w:fldChar w:fldCharType="separate"/>
        </w:r>
        <w:r>
          <w:rPr>
            <w:rFonts w:ascii="Arial" w:hAnsi="Arial" w:cs="Arial"/>
            <w:noProof/>
            <w:webHidden/>
          </w:rPr>
          <w:t>9</w:t>
        </w:r>
        <w:r w:rsidR="00636605" w:rsidRPr="00374178">
          <w:rPr>
            <w:rFonts w:ascii="Arial" w:hAnsi="Arial" w:cs="Arial"/>
            <w:noProof/>
            <w:webHidden/>
          </w:rPr>
          <w:fldChar w:fldCharType="end"/>
        </w:r>
      </w:hyperlink>
    </w:p>
    <w:bookmarkEnd w:id="3"/>
    <w:p w14:paraId="2D9F9350" w14:textId="5B9D9FE2" w:rsidR="00636605" w:rsidRPr="00374178" w:rsidRDefault="00EE26A1" w:rsidP="00EE26A1">
      <w:pPr>
        <w:pStyle w:val="Verzeichnis1"/>
        <w:spacing w:line="360" w:lineRule="auto"/>
        <w:rPr>
          <w:rFonts w:ascii="Arial" w:hAnsi="Arial" w:cs="Arial"/>
          <w:b w:val="0"/>
          <w:bCs w:val="0"/>
          <w:lang w:val="de-AT" w:eastAsia="de-AT"/>
        </w:rPr>
      </w:pPr>
      <w:r>
        <w:fldChar w:fldCharType="begin"/>
      </w:r>
      <w:r>
        <w:instrText xml:space="preserve"> HYPERLINK \l "_Toc77773416" </w:instrText>
      </w:r>
      <w:r>
        <w:fldChar w:fldCharType="separate"/>
      </w:r>
      <w:r w:rsidR="00636605" w:rsidRPr="00374178">
        <w:rPr>
          <w:rStyle w:val="Hyperlink"/>
          <w:rFonts w:ascii="Arial" w:hAnsi="Arial" w:cs="Arial"/>
        </w:rPr>
        <w:t>3.</w:t>
      </w:r>
      <w:r w:rsidR="00636605" w:rsidRPr="00374178">
        <w:rPr>
          <w:rFonts w:ascii="Arial" w:hAnsi="Arial" w:cs="Arial"/>
          <w:b w:val="0"/>
          <w:bCs w:val="0"/>
          <w:lang w:val="de-AT" w:eastAsia="de-AT"/>
        </w:rPr>
        <w:tab/>
      </w:r>
      <w:r w:rsidR="00636605" w:rsidRPr="00374178">
        <w:rPr>
          <w:rStyle w:val="Hyperlink"/>
          <w:rFonts w:ascii="Arial" w:hAnsi="Arial" w:cs="Arial"/>
        </w:rPr>
        <w:t>Zusammenfassung</w:t>
      </w:r>
      <w:r w:rsidR="00636605" w:rsidRPr="00374178">
        <w:rPr>
          <w:rFonts w:ascii="Arial" w:hAnsi="Arial" w:cs="Arial"/>
          <w:webHidden/>
        </w:rPr>
        <w:tab/>
      </w:r>
      <w:r w:rsidR="00636605" w:rsidRPr="00374178">
        <w:rPr>
          <w:rFonts w:ascii="Arial" w:hAnsi="Arial" w:cs="Arial"/>
          <w:webHidden/>
        </w:rPr>
        <w:fldChar w:fldCharType="begin"/>
      </w:r>
      <w:r w:rsidR="00636605" w:rsidRPr="00374178">
        <w:rPr>
          <w:rFonts w:ascii="Arial" w:hAnsi="Arial" w:cs="Arial"/>
          <w:webHidden/>
        </w:rPr>
        <w:instrText xml:space="preserve"> PAGEREF _Toc77773416 \h </w:instrText>
      </w:r>
      <w:r w:rsidR="00636605" w:rsidRPr="00374178">
        <w:rPr>
          <w:rFonts w:ascii="Arial" w:hAnsi="Arial" w:cs="Arial"/>
          <w:webHidden/>
        </w:rPr>
      </w:r>
      <w:r w:rsidR="00636605" w:rsidRPr="00374178">
        <w:rPr>
          <w:rFonts w:ascii="Arial" w:hAnsi="Arial" w:cs="Arial"/>
          <w:webHidden/>
        </w:rPr>
        <w:fldChar w:fldCharType="separate"/>
      </w:r>
      <w:r w:rsidR="00057862">
        <w:rPr>
          <w:rFonts w:ascii="Arial" w:hAnsi="Arial" w:cs="Arial"/>
          <w:webHidden/>
        </w:rPr>
        <w:t>10</w:t>
      </w:r>
      <w:r w:rsidR="00636605" w:rsidRPr="00374178">
        <w:rPr>
          <w:rFonts w:ascii="Arial" w:hAnsi="Arial" w:cs="Arial"/>
          <w:webHidden/>
        </w:rPr>
        <w:fldChar w:fldCharType="end"/>
      </w:r>
      <w:r>
        <w:rPr>
          <w:rFonts w:ascii="Arial" w:hAnsi="Arial" w:cs="Arial"/>
        </w:rPr>
        <w:fldChar w:fldCharType="end"/>
      </w:r>
    </w:p>
    <w:p w14:paraId="5AB6A7BC" w14:textId="4BC55C0D" w:rsidR="00414246" w:rsidRPr="00374178" w:rsidRDefault="00414246" w:rsidP="00EE26A1">
      <w:pPr>
        <w:pStyle w:val="EH-Text"/>
        <w:spacing w:line="360" w:lineRule="auto"/>
        <w:ind w:left="0"/>
        <w:rPr>
          <w:rFonts w:ascii="Arial" w:hAnsi="Arial" w:cs="Arial"/>
          <w:sz w:val="20"/>
          <w:szCs w:val="20"/>
        </w:rPr>
      </w:pPr>
      <w:r w:rsidRPr="00374178">
        <w:rPr>
          <w:rFonts w:ascii="Arial" w:hAnsi="Arial" w:cs="Arial"/>
          <w:b/>
          <w:sz w:val="22"/>
          <w:szCs w:val="22"/>
          <w:lang w:val="de-AT"/>
        </w:rPr>
        <w:fldChar w:fldCharType="end"/>
      </w:r>
      <w:bookmarkStart w:id="4" w:name="_Toc366400946"/>
    </w:p>
    <w:bookmarkEnd w:id="4"/>
    <w:p w14:paraId="5977FCFA" w14:textId="77777777" w:rsidR="00805B13" w:rsidRPr="00374178" w:rsidRDefault="00805B13" w:rsidP="00EE26A1">
      <w:pPr>
        <w:spacing w:line="360" w:lineRule="auto"/>
        <w:rPr>
          <w:rFonts w:ascii="Arial" w:hAnsi="Arial" w:cs="Arial"/>
          <w:b/>
          <w:bCs/>
          <w:sz w:val="22"/>
          <w:szCs w:val="22"/>
        </w:rPr>
      </w:pPr>
      <w:r w:rsidRPr="00374178">
        <w:rPr>
          <w:rFonts w:ascii="Arial" w:hAnsi="Arial" w:cs="Arial"/>
          <w:sz w:val="22"/>
          <w:szCs w:val="22"/>
        </w:rPr>
        <w:br w:type="page"/>
      </w:r>
    </w:p>
    <w:p w14:paraId="19F1476C" w14:textId="0DAA4DD1" w:rsidR="006E0A4E" w:rsidRPr="00374178" w:rsidRDefault="009E2598" w:rsidP="00EE26A1">
      <w:pPr>
        <w:pStyle w:val="EH-2"/>
        <w:spacing w:after="200" w:line="360" w:lineRule="auto"/>
        <w:ind w:left="709" w:hanging="709"/>
        <w:rPr>
          <w:rFonts w:ascii="Arial" w:hAnsi="Arial" w:cs="Arial"/>
          <w:sz w:val="22"/>
          <w:szCs w:val="22"/>
        </w:rPr>
      </w:pPr>
      <w:bookmarkStart w:id="5" w:name="_Toc77773403"/>
      <w:r w:rsidRPr="00374178">
        <w:rPr>
          <w:rFonts w:ascii="Arial" w:hAnsi="Arial" w:cs="Arial"/>
          <w:sz w:val="22"/>
          <w:szCs w:val="22"/>
        </w:rPr>
        <w:lastRenderedPageBreak/>
        <w:t>Einleitende Bemerkungen</w:t>
      </w:r>
      <w:bookmarkEnd w:id="5"/>
      <w:r w:rsidRPr="00374178">
        <w:rPr>
          <w:rFonts w:ascii="Arial" w:hAnsi="Arial" w:cs="Arial"/>
          <w:sz w:val="22"/>
          <w:szCs w:val="22"/>
        </w:rPr>
        <w:t xml:space="preserve"> </w:t>
      </w:r>
    </w:p>
    <w:p w14:paraId="6C8E6839" w14:textId="12DD1885" w:rsidR="00974B09" w:rsidRPr="00374178" w:rsidRDefault="00A70BDC" w:rsidP="00EE26A1">
      <w:pPr>
        <w:pStyle w:val="EH-Text"/>
        <w:spacing w:after="160" w:line="360" w:lineRule="auto"/>
        <w:rPr>
          <w:rFonts w:ascii="Arial" w:hAnsi="Arial" w:cs="Arial"/>
          <w:sz w:val="22"/>
          <w:szCs w:val="22"/>
          <w:lang w:val="de-AT"/>
        </w:rPr>
      </w:pPr>
      <w:r w:rsidRPr="00374178">
        <w:rPr>
          <w:rFonts w:ascii="Arial" w:hAnsi="Arial" w:cs="Arial"/>
          <w:sz w:val="22"/>
          <w:szCs w:val="22"/>
          <w:lang w:val="de-AT"/>
        </w:rPr>
        <w:t>Die Europäische Kommission</w:t>
      </w:r>
      <w:r w:rsidR="009F00D3" w:rsidRPr="00374178">
        <w:rPr>
          <w:rFonts w:ascii="Arial" w:hAnsi="Arial" w:cs="Arial"/>
          <w:sz w:val="22"/>
          <w:szCs w:val="22"/>
          <w:lang w:val="de-AT"/>
        </w:rPr>
        <w:t xml:space="preserve"> (in der Folge </w:t>
      </w:r>
      <w:r w:rsidR="009F00D3" w:rsidRPr="00374178">
        <w:rPr>
          <w:rFonts w:ascii="Arial" w:hAnsi="Arial" w:cs="Arial"/>
          <w:b/>
          <w:i/>
          <w:sz w:val="22"/>
          <w:szCs w:val="22"/>
          <w:lang w:val="de-AT"/>
        </w:rPr>
        <w:t>Kommission</w:t>
      </w:r>
      <w:r w:rsidR="009F00D3" w:rsidRPr="00374178">
        <w:rPr>
          <w:rFonts w:ascii="Arial" w:hAnsi="Arial" w:cs="Arial"/>
          <w:sz w:val="22"/>
          <w:szCs w:val="22"/>
          <w:lang w:val="de-AT"/>
        </w:rPr>
        <w:t>)</w:t>
      </w:r>
      <w:r w:rsidRPr="00374178">
        <w:rPr>
          <w:rFonts w:ascii="Arial" w:hAnsi="Arial" w:cs="Arial"/>
          <w:sz w:val="22"/>
          <w:szCs w:val="22"/>
          <w:lang w:val="de-AT"/>
        </w:rPr>
        <w:t xml:space="preserve"> hat am 07.06.2021 eine öffentliche Konsultation eingeleitet, in der Interessierten die Möglichkeit </w:t>
      </w:r>
      <w:r w:rsidR="00414CA4" w:rsidRPr="00374178">
        <w:rPr>
          <w:rFonts w:ascii="Arial" w:hAnsi="Arial" w:cs="Arial"/>
          <w:sz w:val="22"/>
          <w:szCs w:val="22"/>
          <w:lang w:val="de-AT"/>
        </w:rPr>
        <w:t>geboten</w:t>
      </w:r>
      <w:r w:rsidRPr="00374178">
        <w:rPr>
          <w:rFonts w:ascii="Arial" w:hAnsi="Arial" w:cs="Arial"/>
          <w:sz w:val="22"/>
          <w:szCs w:val="22"/>
          <w:lang w:val="de-AT"/>
        </w:rPr>
        <w:t xml:space="preserve"> wird, bis zum 02.08.2021 zum Entwurf der </w:t>
      </w:r>
      <w:r w:rsidR="00010310" w:rsidRPr="00374178">
        <w:rPr>
          <w:rFonts w:ascii="Arial" w:hAnsi="Arial" w:cs="Arial"/>
          <w:sz w:val="22"/>
          <w:szCs w:val="22"/>
          <w:lang w:val="de-AT"/>
        </w:rPr>
        <w:t xml:space="preserve">Leitlinien für staatliche Klima-, Umweltschutz- und Energiebeihilfen 2022 </w:t>
      </w:r>
      <w:r w:rsidR="009F00D3" w:rsidRPr="00374178">
        <w:rPr>
          <w:rFonts w:ascii="Arial" w:hAnsi="Arial" w:cs="Arial"/>
          <w:sz w:val="22"/>
          <w:szCs w:val="22"/>
          <w:lang w:val="de-AT"/>
        </w:rPr>
        <w:t xml:space="preserve">(in der Folge </w:t>
      </w:r>
      <w:r w:rsidR="009F00D3" w:rsidRPr="00374178">
        <w:rPr>
          <w:rFonts w:ascii="Arial" w:hAnsi="Arial" w:cs="Arial"/>
          <w:b/>
          <w:i/>
          <w:sz w:val="22"/>
          <w:szCs w:val="22"/>
          <w:lang w:val="de-AT"/>
        </w:rPr>
        <w:t>Leitlinien</w:t>
      </w:r>
      <w:r w:rsidR="009F00D3" w:rsidRPr="00374178">
        <w:rPr>
          <w:rFonts w:ascii="Arial" w:hAnsi="Arial" w:cs="Arial"/>
          <w:sz w:val="22"/>
          <w:szCs w:val="22"/>
          <w:lang w:val="de-AT"/>
        </w:rPr>
        <w:t xml:space="preserve">) </w:t>
      </w:r>
      <w:r w:rsidRPr="00374178">
        <w:rPr>
          <w:rFonts w:ascii="Arial" w:hAnsi="Arial" w:cs="Arial"/>
          <w:sz w:val="22"/>
          <w:szCs w:val="22"/>
          <w:lang w:val="de-AT"/>
        </w:rPr>
        <w:t xml:space="preserve">Stellung zu nehmen. </w:t>
      </w:r>
      <w:r w:rsidR="000F51AD" w:rsidRPr="00374178">
        <w:rPr>
          <w:rFonts w:ascii="Arial" w:hAnsi="Arial" w:cs="Arial"/>
          <w:sz w:val="22"/>
          <w:szCs w:val="22"/>
          <w:lang w:val="de-AT"/>
        </w:rPr>
        <w:t xml:space="preserve">Mithilfe der Leitlinien sollen die ehemaligen Leitlinien für staatliche Umweltschutz- und Energiebeihilfen (in der Folge </w:t>
      </w:r>
      <w:r w:rsidR="000F51AD" w:rsidRPr="00374178">
        <w:rPr>
          <w:rFonts w:ascii="Arial" w:hAnsi="Arial" w:cs="Arial"/>
          <w:b/>
          <w:i/>
          <w:sz w:val="22"/>
          <w:szCs w:val="22"/>
          <w:lang w:val="de-AT"/>
        </w:rPr>
        <w:t>Vorgängerleitlinien</w:t>
      </w:r>
      <w:r w:rsidR="000F51AD" w:rsidRPr="00374178">
        <w:rPr>
          <w:rFonts w:ascii="Arial" w:hAnsi="Arial" w:cs="Arial"/>
          <w:sz w:val="22"/>
          <w:szCs w:val="22"/>
          <w:lang w:val="de-AT"/>
        </w:rPr>
        <w:t xml:space="preserve">) ersetzt werden. </w:t>
      </w:r>
    </w:p>
    <w:p w14:paraId="17C41D9E" w14:textId="7E1657EB" w:rsidR="006B4ACD" w:rsidRPr="00374178" w:rsidRDefault="00010310" w:rsidP="00EE26A1">
      <w:pPr>
        <w:pStyle w:val="EH-Text"/>
        <w:spacing w:after="160" w:line="360" w:lineRule="auto"/>
        <w:rPr>
          <w:rFonts w:ascii="Arial" w:hAnsi="Arial" w:cs="Arial"/>
          <w:sz w:val="22"/>
          <w:szCs w:val="22"/>
          <w:lang w:val="de-AT"/>
        </w:rPr>
      </w:pPr>
      <w:r w:rsidRPr="00374178">
        <w:rPr>
          <w:rFonts w:ascii="Arial" w:hAnsi="Arial" w:cs="Arial"/>
          <w:sz w:val="22"/>
          <w:szCs w:val="22"/>
          <w:lang w:val="de-AT"/>
        </w:rPr>
        <w:t>Wir, die Wien Energie GmbH</w:t>
      </w:r>
      <w:r w:rsidR="000F1A1C" w:rsidRPr="00374178">
        <w:rPr>
          <w:rFonts w:ascii="Arial" w:hAnsi="Arial" w:cs="Arial"/>
          <w:sz w:val="22"/>
          <w:szCs w:val="22"/>
          <w:lang w:val="de-AT"/>
        </w:rPr>
        <w:t xml:space="preserve"> (in der Folge </w:t>
      </w:r>
      <w:r w:rsidR="000F1A1C" w:rsidRPr="00374178">
        <w:rPr>
          <w:rFonts w:ascii="Arial" w:hAnsi="Arial" w:cs="Arial"/>
          <w:b/>
          <w:i/>
          <w:sz w:val="22"/>
          <w:szCs w:val="22"/>
          <w:lang w:val="de-AT"/>
        </w:rPr>
        <w:t>Wien Energie</w:t>
      </w:r>
      <w:r w:rsidR="000F1A1C" w:rsidRPr="00374178">
        <w:rPr>
          <w:rFonts w:ascii="Arial" w:hAnsi="Arial" w:cs="Arial"/>
          <w:sz w:val="22"/>
          <w:szCs w:val="22"/>
          <w:lang w:val="de-AT"/>
        </w:rPr>
        <w:t>)</w:t>
      </w:r>
      <w:r w:rsidRPr="00374178">
        <w:rPr>
          <w:rFonts w:ascii="Arial" w:hAnsi="Arial" w:cs="Arial"/>
          <w:sz w:val="22"/>
          <w:szCs w:val="22"/>
          <w:lang w:val="de-AT"/>
        </w:rPr>
        <w:t>, möchten diese Möglichkeit nutzen und zu einzelnen Aspekten</w:t>
      </w:r>
      <w:r w:rsidR="009F00D3" w:rsidRPr="00374178">
        <w:rPr>
          <w:rFonts w:ascii="Arial" w:hAnsi="Arial" w:cs="Arial"/>
          <w:sz w:val="22"/>
          <w:szCs w:val="22"/>
          <w:lang w:val="de-AT"/>
        </w:rPr>
        <w:t xml:space="preserve"> im Entwurf der Leitlinien Stellung nehmen und </w:t>
      </w:r>
      <w:r w:rsidR="001662BE" w:rsidRPr="00374178">
        <w:rPr>
          <w:rFonts w:ascii="Arial" w:hAnsi="Arial" w:cs="Arial"/>
          <w:sz w:val="22"/>
          <w:szCs w:val="22"/>
          <w:lang w:val="de-AT"/>
        </w:rPr>
        <w:t>dabei vor allem auf die Besonderheiten der betreffenden Märkte</w:t>
      </w:r>
      <w:r w:rsidR="009F00D3" w:rsidRPr="00374178">
        <w:rPr>
          <w:rFonts w:ascii="Arial" w:hAnsi="Arial" w:cs="Arial"/>
          <w:sz w:val="22"/>
          <w:szCs w:val="22"/>
          <w:lang w:val="de-AT"/>
        </w:rPr>
        <w:t xml:space="preserve"> miteinfließen lassen. </w:t>
      </w:r>
    </w:p>
    <w:p w14:paraId="06EF997F" w14:textId="447EB4C4" w:rsidR="00E265B5" w:rsidRPr="00374178" w:rsidRDefault="009F00D3" w:rsidP="00EE26A1">
      <w:pPr>
        <w:pStyle w:val="EH-Text"/>
        <w:spacing w:after="160" w:line="360" w:lineRule="auto"/>
        <w:rPr>
          <w:rFonts w:ascii="Arial" w:hAnsi="Arial" w:cs="Arial"/>
          <w:sz w:val="22"/>
          <w:szCs w:val="22"/>
          <w:lang w:val="de-AT"/>
        </w:rPr>
      </w:pPr>
      <w:r w:rsidRPr="00374178">
        <w:rPr>
          <w:rFonts w:ascii="Arial" w:hAnsi="Arial" w:cs="Arial"/>
          <w:sz w:val="22"/>
          <w:szCs w:val="22"/>
          <w:lang w:val="de-AT"/>
        </w:rPr>
        <w:t>Wien Energie ist der größte regionale Energieanbieter Österreichs und versorgt zwei Millionen Menschen und 230.000 Gewerbe- und Industrieanlagen zuverlässig mit Energie. Die Strom- und Wärmepr</w:t>
      </w:r>
      <w:r w:rsidR="00414CA4" w:rsidRPr="00374178">
        <w:rPr>
          <w:rFonts w:ascii="Arial" w:hAnsi="Arial" w:cs="Arial"/>
          <w:sz w:val="22"/>
          <w:szCs w:val="22"/>
          <w:lang w:val="de-AT"/>
        </w:rPr>
        <w:t>oduktion stammt aus erneuerbaren</w:t>
      </w:r>
      <w:r w:rsidRPr="00374178">
        <w:rPr>
          <w:rFonts w:ascii="Arial" w:hAnsi="Arial" w:cs="Arial"/>
          <w:sz w:val="22"/>
          <w:szCs w:val="22"/>
          <w:lang w:val="de-AT"/>
        </w:rPr>
        <w:t xml:space="preserve"> Energie</w:t>
      </w:r>
      <w:r w:rsidR="00414CA4" w:rsidRPr="00374178">
        <w:rPr>
          <w:rFonts w:ascii="Arial" w:hAnsi="Arial" w:cs="Arial"/>
          <w:sz w:val="22"/>
          <w:szCs w:val="22"/>
          <w:lang w:val="de-AT"/>
        </w:rPr>
        <w:t>quellen</w:t>
      </w:r>
      <w:r w:rsidRPr="00374178">
        <w:rPr>
          <w:rFonts w:ascii="Arial" w:hAnsi="Arial" w:cs="Arial"/>
          <w:sz w:val="22"/>
          <w:szCs w:val="22"/>
          <w:lang w:val="de-AT"/>
        </w:rPr>
        <w:t xml:space="preserve"> wie Sonnen-, Wind- und Wasserkraft sowie Biomasse, Abfallverwertung und Kraft-Wärme-Kopplung. </w:t>
      </w:r>
      <w:r w:rsidR="00E265B5" w:rsidRPr="00374178">
        <w:rPr>
          <w:rFonts w:ascii="Arial" w:hAnsi="Arial" w:cs="Arial"/>
          <w:sz w:val="22"/>
          <w:szCs w:val="22"/>
          <w:lang w:val="de-AT"/>
        </w:rPr>
        <w:t xml:space="preserve">Wien Energie investiert in den nächsten Jahren massiv in Klimaschutz, Versorgungssicherheit und den Ausbau erneuerbarer Energien. Auch für Wien Energie </w:t>
      </w:r>
      <w:r w:rsidR="001662BE" w:rsidRPr="00374178">
        <w:rPr>
          <w:rFonts w:ascii="Arial" w:hAnsi="Arial" w:cs="Arial"/>
          <w:sz w:val="22"/>
          <w:szCs w:val="22"/>
          <w:lang w:val="de-AT"/>
        </w:rPr>
        <w:t xml:space="preserve">haben </w:t>
      </w:r>
      <w:r w:rsidR="00E265B5" w:rsidRPr="00374178">
        <w:rPr>
          <w:rFonts w:ascii="Arial" w:hAnsi="Arial" w:cs="Arial"/>
          <w:sz w:val="22"/>
          <w:szCs w:val="22"/>
          <w:lang w:val="de-AT"/>
        </w:rPr>
        <w:t xml:space="preserve">daher Klima- und Umweltschutz sowie Energie- und Ressourceneffizienz </w:t>
      </w:r>
      <w:r w:rsidR="00414CA4" w:rsidRPr="00374178">
        <w:rPr>
          <w:rFonts w:ascii="Arial" w:hAnsi="Arial" w:cs="Arial"/>
          <w:sz w:val="22"/>
          <w:szCs w:val="22"/>
          <w:lang w:val="de-AT"/>
        </w:rPr>
        <w:t xml:space="preserve">oberste </w:t>
      </w:r>
      <w:r w:rsidR="00E265B5" w:rsidRPr="00374178">
        <w:rPr>
          <w:rFonts w:ascii="Arial" w:hAnsi="Arial" w:cs="Arial"/>
          <w:sz w:val="22"/>
          <w:szCs w:val="22"/>
          <w:lang w:val="de-AT"/>
        </w:rPr>
        <w:t>Priorität.</w:t>
      </w:r>
    </w:p>
    <w:p w14:paraId="674C25F3" w14:textId="25E2D910" w:rsidR="009F00D3" w:rsidRPr="00374178" w:rsidRDefault="009F00D3" w:rsidP="00EE26A1">
      <w:pPr>
        <w:pStyle w:val="EH-Text"/>
        <w:spacing w:after="240" w:line="360" w:lineRule="auto"/>
        <w:rPr>
          <w:rFonts w:ascii="Arial" w:hAnsi="Arial" w:cs="Arial"/>
          <w:sz w:val="22"/>
          <w:szCs w:val="22"/>
          <w:lang w:val="de-AT"/>
        </w:rPr>
      </w:pPr>
      <w:r w:rsidRPr="00374178">
        <w:rPr>
          <w:rFonts w:ascii="Arial" w:hAnsi="Arial" w:cs="Arial"/>
          <w:sz w:val="22"/>
          <w:szCs w:val="22"/>
          <w:lang w:val="de-AT"/>
        </w:rPr>
        <w:t>Mit den Kapazitäten aus ihren KWK-Anlagen nimmt die Wien Energie als Kraftwerksbetreiberin auch an der jüngst von der Kommission zu SA.52263 genehmigten österreichischen Netzreserve zur Gewährleistung der Stromversorgungssicherheit teil.</w:t>
      </w:r>
    </w:p>
    <w:p w14:paraId="59B0F9D5" w14:textId="03A61ACF" w:rsidR="006E0A4E" w:rsidRPr="00374178" w:rsidRDefault="001662BE" w:rsidP="00EE26A1">
      <w:pPr>
        <w:pStyle w:val="EH-2"/>
        <w:spacing w:after="200" w:line="360" w:lineRule="auto"/>
        <w:ind w:left="709" w:hanging="709"/>
        <w:rPr>
          <w:rFonts w:ascii="Arial" w:hAnsi="Arial" w:cs="Arial"/>
          <w:sz w:val="22"/>
          <w:szCs w:val="22"/>
        </w:rPr>
      </w:pPr>
      <w:bookmarkStart w:id="6" w:name="_Toc77773404"/>
      <w:r w:rsidRPr="00374178">
        <w:rPr>
          <w:rFonts w:ascii="Arial" w:hAnsi="Arial" w:cs="Arial"/>
          <w:sz w:val="22"/>
          <w:szCs w:val="22"/>
        </w:rPr>
        <w:t xml:space="preserve">Inhaltliche </w:t>
      </w:r>
      <w:r w:rsidR="009E2598" w:rsidRPr="00374178">
        <w:rPr>
          <w:rFonts w:ascii="Arial" w:hAnsi="Arial" w:cs="Arial"/>
          <w:sz w:val="22"/>
          <w:szCs w:val="22"/>
        </w:rPr>
        <w:t>Stellungnahme zu einzelnen Aspekte</w:t>
      </w:r>
      <w:r w:rsidRPr="00374178">
        <w:rPr>
          <w:rFonts w:ascii="Arial" w:hAnsi="Arial" w:cs="Arial"/>
          <w:sz w:val="22"/>
          <w:szCs w:val="22"/>
        </w:rPr>
        <w:t>n</w:t>
      </w:r>
      <w:r w:rsidR="009E2598" w:rsidRPr="00374178">
        <w:rPr>
          <w:rFonts w:ascii="Arial" w:hAnsi="Arial" w:cs="Arial"/>
          <w:sz w:val="22"/>
          <w:szCs w:val="22"/>
        </w:rPr>
        <w:t xml:space="preserve"> in den Leitlinien</w:t>
      </w:r>
      <w:bookmarkEnd w:id="6"/>
      <w:r w:rsidR="00DF2847" w:rsidRPr="00374178">
        <w:rPr>
          <w:rFonts w:ascii="Arial" w:hAnsi="Arial" w:cs="Arial"/>
          <w:sz w:val="22"/>
          <w:szCs w:val="22"/>
        </w:rPr>
        <w:t xml:space="preserve"> </w:t>
      </w:r>
    </w:p>
    <w:p w14:paraId="27E6CBB7" w14:textId="299B78F9" w:rsidR="001453BD" w:rsidRPr="00374178" w:rsidRDefault="001453BD" w:rsidP="00EE26A1">
      <w:pPr>
        <w:pStyle w:val="EH-3"/>
        <w:spacing w:after="200" w:line="360" w:lineRule="auto"/>
        <w:ind w:left="709" w:hanging="709"/>
        <w:rPr>
          <w:rFonts w:ascii="Arial" w:hAnsi="Arial" w:cs="Arial"/>
          <w:sz w:val="22"/>
          <w:szCs w:val="22"/>
        </w:rPr>
      </w:pPr>
      <w:bookmarkStart w:id="7" w:name="_Toc77773405"/>
      <w:r w:rsidRPr="00374178">
        <w:rPr>
          <w:rFonts w:ascii="Arial" w:hAnsi="Arial" w:cs="Arial"/>
          <w:sz w:val="22"/>
          <w:szCs w:val="22"/>
        </w:rPr>
        <w:t>Beihilfen zur Verringerung und zum Abbau von Treibhausgasemissionen, u. a. durch Förderung erneuerbarer Energien</w:t>
      </w:r>
      <w:bookmarkEnd w:id="7"/>
    </w:p>
    <w:p w14:paraId="605A5431" w14:textId="77777777" w:rsidR="00C27F8E" w:rsidRPr="00374178" w:rsidRDefault="000F51AD" w:rsidP="00EE26A1">
      <w:pPr>
        <w:pStyle w:val="EH-Text"/>
        <w:spacing w:after="160" w:line="360" w:lineRule="auto"/>
        <w:rPr>
          <w:rFonts w:ascii="Arial" w:hAnsi="Arial" w:cs="Arial"/>
          <w:sz w:val="22"/>
          <w:szCs w:val="22"/>
        </w:rPr>
      </w:pPr>
      <w:r w:rsidRPr="00374178">
        <w:rPr>
          <w:rFonts w:ascii="Arial" w:hAnsi="Arial" w:cs="Arial"/>
          <w:sz w:val="22"/>
          <w:szCs w:val="22"/>
        </w:rPr>
        <w:t>Als zentraler Energieversorger einer der umweltfreundlichsten Großstädte weltweit begrüß</w:t>
      </w:r>
      <w:r w:rsidR="00414CA4" w:rsidRPr="00374178">
        <w:rPr>
          <w:rFonts w:ascii="Arial" w:hAnsi="Arial" w:cs="Arial"/>
          <w:sz w:val="22"/>
          <w:szCs w:val="22"/>
        </w:rPr>
        <w:t>t</w:t>
      </w:r>
      <w:r w:rsidRPr="00374178">
        <w:rPr>
          <w:rFonts w:ascii="Arial" w:hAnsi="Arial" w:cs="Arial"/>
          <w:sz w:val="22"/>
          <w:szCs w:val="22"/>
        </w:rPr>
        <w:t xml:space="preserve"> </w:t>
      </w:r>
      <w:r w:rsidR="00414CA4" w:rsidRPr="00374178">
        <w:rPr>
          <w:rFonts w:ascii="Arial" w:hAnsi="Arial" w:cs="Arial"/>
          <w:sz w:val="22"/>
          <w:szCs w:val="22"/>
        </w:rPr>
        <w:t xml:space="preserve">Wien Energie </w:t>
      </w:r>
      <w:r w:rsidRPr="00374178">
        <w:rPr>
          <w:rFonts w:ascii="Arial" w:hAnsi="Arial" w:cs="Arial"/>
          <w:sz w:val="22"/>
          <w:szCs w:val="22"/>
        </w:rPr>
        <w:t xml:space="preserve">es sehr, dass die Förderung erneuerbarer Energien weiterhin einen hohen Stellenwert in den Leitlinien genießt. </w:t>
      </w:r>
      <w:bookmarkStart w:id="8" w:name="_Hlk78204741"/>
      <w:bookmarkStart w:id="9" w:name="_Hlk78205624"/>
      <w:r w:rsidR="00414CA4" w:rsidRPr="00374178">
        <w:rPr>
          <w:rFonts w:ascii="Arial" w:hAnsi="Arial" w:cs="Arial"/>
          <w:sz w:val="22"/>
          <w:szCs w:val="22"/>
        </w:rPr>
        <w:t xml:space="preserve">Besonders positiv fällt auf, </w:t>
      </w:r>
      <w:r w:rsidRPr="00374178">
        <w:rPr>
          <w:rFonts w:ascii="Arial" w:hAnsi="Arial" w:cs="Arial"/>
          <w:sz w:val="22"/>
          <w:szCs w:val="22"/>
        </w:rPr>
        <w:t xml:space="preserve">dass weiterhin auf die komplexen Spezifika des Energiemarktes Rücksicht genommen wird und neben der direkten Förderung der Erzeuger erneuerbarer Energien auch die Unterstützung hocheffizienter </w:t>
      </w:r>
      <w:r w:rsidR="001662BE" w:rsidRPr="00374178">
        <w:rPr>
          <w:rFonts w:ascii="Arial" w:hAnsi="Arial" w:cs="Arial"/>
          <w:sz w:val="22"/>
          <w:szCs w:val="22"/>
        </w:rPr>
        <w:t>KWK-Anlagen</w:t>
      </w:r>
      <w:r w:rsidRPr="00374178">
        <w:rPr>
          <w:rFonts w:ascii="Arial" w:hAnsi="Arial" w:cs="Arial"/>
          <w:sz w:val="22"/>
          <w:szCs w:val="22"/>
        </w:rPr>
        <w:t xml:space="preserve"> Erwähnung findet. </w:t>
      </w:r>
      <w:r w:rsidR="00C27F8E" w:rsidRPr="00374178">
        <w:rPr>
          <w:rFonts w:ascii="Arial" w:hAnsi="Arial" w:cs="Arial"/>
          <w:sz w:val="22"/>
          <w:szCs w:val="22"/>
        </w:rPr>
        <w:t>Damit setzt die Kommission ein deutliches Signal in Richtung einer wirtschaftlichen Betrachtungsweise</w:t>
      </w:r>
      <w:bookmarkEnd w:id="8"/>
      <w:r w:rsidR="00C27F8E" w:rsidRPr="00374178">
        <w:rPr>
          <w:rFonts w:ascii="Arial" w:hAnsi="Arial" w:cs="Arial"/>
          <w:sz w:val="22"/>
          <w:szCs w:val="22"/>
        </w:rPr>
        <w:t>.</w:t>
      </w:r>
    </w:p>
    <w:bookmarkEnd w:id="9"/>
    <w:p w14:paraId="3AA7C075" w14:textId="63ACBA0B" w:rsidR="00C27F8E" w:rsidRPr="00374178" w:rsidRDefault="00C27F8E" w:rsidP="00EE26A1">
      <w:pPr>
        <w:pStyle w:val="EH-Text"/>
        <w:spacing w:after="160" w:line="360" w:lineRule="auto"/>
        <w:rPr>
          <w:rFonts w:ascii="Arial" w:hAnsi="Arial" w:cs="Arial"/>
          <w:sz w:val="22"/>
          <w:szCs w:val="22"/>
        </w:rPr>
      </w:pPr>
      <w:r w:rsidRPr="00374178">
        <w:rPr>
          <w:rFonts w:ascii="Arial" w:hAnsi="Arial" w:cs="Arial"/>
          <w:sz w:val="22"/>
          <w:szCs w:val="22"/>
        </w:rPr>
        <w:t xml:space="preserve">Energiepolitische Projekte sind regelmäßig </w:t>
      </w:r>
      <w:r w:rsidR="005F5AA4" w:rsidRPr="00374178">
        <w:rPr>
          <w:rFonts w:ascii="Arial" w:hAnsi="Arial" w:cs="Arial"/>
          <w:sz w:val="22"/>
          <w:szCs w:val="22"/>
        </w:rPr>
        <w:t xml:space="preserve">von folgenden Merkmalen geprägt: Zum einen von dynamischem Fortschritt im Bereich der Klimaziele der Europäischen Union und ihrer Mitgliedstaaten, was auch einen entsprechenden Effekt auf die Entwicklung und Nutzung erneuerbarer Energiequellen hat – zum anderen aber vom Bedarf einer langfristigen Planung und Amortisationsrechnung über die gesamte Laufzeit des Vorhabens. </w:t>
      </w:r>
      <w:bookmarkStart w:id="10" w:name="_Hlk78205682"/>
      <w:r w:rsidRPr="00374178">
        <w:rPr>
          <w:rFonts w:ascii="Arial" w:hAnsi="Arial" w:cs="Arial"/>
          <w:sz w:val="22"/>
          <w:szCs w:val="22"/>
        </w:rPr>
        <w:t xml:space="preserve">Der derzeitige Entwurf der Leitlinien nimmt aus Sicht von Wien Energie </w:t>
      </w:r>
      <w:r w:rsidR="005F5AA4" w:rsidRPr="00374178">
        <w:rPr>
          <w:rFonts w:ascii="Arial" w:hAnsi="Arial" w:cs="Arial"/>
          <w:sz w:val="22"/>
          <w:szCs w:val="22"/>
        </w:rPr>
        <w:t>darauf nur teilweise</w:t>
      </w:r>
      <w:r w:rsidRPr="00374178">
        <w:rPr>
          <w:rFonts w:ascii="Arial" w:hAnsi="Arial" w:cs="Arial"/>
          <w:sz w:val="22"/>
          <w:szCs w:val="22"/>
        </w:rPr>
        <w:t xml:space="preserve"> Rücksicht</w:t>
      </w:r>
      <w:r w:rsidR="005F5AA4" w:rsidRPr="00374178">
        <w:rPr>
          <w:rFonts w:ascii="Arial" w:hAnsi="Arial" w:cs="Arial"/>
          <w:sz w:val="22"/>
          <w:szCs w:val="22"/>
        </w:rPr>
        <w:t>:</w:t>
      </w:r>
      <w:r w:rsidRPr="00374178">
        <w:rPr>
          <w:rFonts w:ascii="Arial" w:hAnsi="Arial" w:cs="Arial"/>
          <w:sz w:val="22"/>
          <w:szCs w:val="22"/>
        </w:rPr>
        <w:t xml:space="preserve"> </w:t>
      </w:r>
      <w:r w:rsidR="005F5AA4" w:rsidRPr="00374178">
        <w:rPr>
          <w:rFonts w:ascii="Arial" w:hAnsi="Arial" w:cs="Arial"/>
          <w:sz w:val="22"/>
          <w:szCs w:val="22"/>
        </w:rPr>
        <w:t>Zwar ist es zu begrüßen, wenn die bislang vorgesehene starre Höchstgrenze</w:t>
      </w:r>
      <w:r w:rsidRPr="00374178">
        <w:rPr>
          <w:rFonts w:ascii="Arial" w:hAnsi="Arial" w:cs="Arial"/>
          <w:sz w:val="22"/>
          <w:szCs w:val="22"/>
        </w:rPr>
        <w:t xml:space="preserve"> </w:t>
      </w:r>
      <w:r w:rsidR="005F5AA4" w:rsidRPr="00374178">
        <w:rPr>
          <w:rFonts w:ascii="Arial" w:hAnsi="Arial" w:cs="Arial"/>
          <w:sz w:val="22"/>
          <w:szCs w:val="22"/>
        </w:rPr>
        <w:t xml:space="preserve">von 10 Jahren für </w:t>
      </w:r>
      <w:r w:rsidRPr="00374178">
        <w:rPr>
          <w:rFonts w:ascii="Arial" w:hAnsi="Arial" w:cs="Arial"/>
          <w:sz w:val="22"/>
          <w:szCs w:val="22"/>
        </w:rPr>
        <w:t xml:space="preserve">Förderungen </w:t>
      </w:r>
      <w:r w:rsidR="005F5AA4" w:rsidRPr="00374178">
        <w:rPr>
          <w:rFonts w:ascii="Arial" w:hAnsi="Arial" w:cs="Arial"/>
          <w:sz w:val="22"/>
          <w:szCs w:val="22"/>
        </w:rPr>
        <w:t>erneuerbarer Energien entfällt. Allerdings würde es die langfristige Planung und Amortisationsrechnung gefährden, wenn</w:t>
      </w:r>
      <w:r w:rsidRPr="00374178">
        <w:rPr>
          <w:rFonts w:ascii="Arial" w:hAnsi="Arial" w:cs="Arial"/>
          <w:sz w:val="22"/>
          <w:szCs w:val="22"/>
        </w:rPr>
        <w:t xml:space="preserve"> Beihilferegelungen mit einer Laufzeit von über einem Jahr </w:t>
      </w:r>
      <w:r w:rsidR="00AD5875" w:rsidRPr="00374178">
        <w:rPr>
          <w:rFonts w:ascii="Arial" w:hAnsi="Arial" w:cs="Arial"/>
          <w:sz w:val="22"/>
          <w:szCs w:val="22"/>
        </w:rPr>
        <w:t xml:space="preserve">tatsächlich jährlich einer Kosten/Einnahmen-Analyse unterworfen würden, mit dem Ergebnis, dass die Förderung zu jedem Zeitpunkt wieder </w:t>
      </w:r>
      <w:r w:rsidR="000526EF" w:rsidRPr="00374178">
        <w:rPr>
          <w:rFonts w:ascii="Arial" w:hAnsi="Arial" w:cs="Arial"/>
          <w:sz w:val="22"/>
          <w:szCs w:val="22"/>
        </w:rPr>
        <w:t>entfallen</w:t>
      </w:r>
      <w:r w:rsidR="00CE39D7" w:rsidRPr="00374178">
        <w:rPr>
          <w:rFonts w:ascii="Arial" w:hAnsi="Arial" w:cs="Arial"/>
          <w:sz w:val="22"/>
          <w:szCs w:val="22"/>
        </w:rPr>
        <w:t xml:space="preserve"> könnte. </w:t>
      </w:r>
      <w:bookmarkEnd w:id="10"/>
      <w:r w:rsidR="00CE39D7" w:rsidRPr="00374178">
        <w:rPr>
          <w:rFonts w:ascii="Arial" w:hAnsi="Arial" w:cs="Arial"/>
          <w:sz w:val="22"/>
          <w:szCs w:val="22"/>
        </w:rPr>
        <w:t>Ein solch</w:t>
      </w:r>
      <w:r w:rsidR="00AD5875" w:rsidRPr="00374178">
        <w:rPr>
          <w:rFonts w:ascii="Arial" w:hAnsi="Arial" w:cs="Arial"/>
          <w:sz w:val="22"/>
          <w:szCs w:val="22"/>
        </w:rPr>
        <w:t xml:space="preserve"> kurzfristiger Ansatz hätte zweifellos zur Folge, dass Investitionen in erneuerbare Energien nicht oder nur in sehr viel geringerem Ausmaß getätigt würden, wenn nicht gewährleistet ist, dass die in Aussicht gestellte Beihilfe tatsächlich über die gesamte für die Amortisation erforderliche Laufzeit zur Verfügung steht. </w:t>
      </w:r>
    </w:p>
    <w:p w14:paraId="28EC23EF" w14:textId="15FEE865" w:rsidR="00FF46CF" w:rsidRPr="00374178" w:rsidRDefault="00AD5875" w:rsidP="00EE26A1">
      <w:pPr>
        <w:pStyle w:val="EH-Text"/>
        <w:spacing w:after="160" w:line="360" w:lineRule="auto"/>
        <w:rPr>
          <w:rFonts w:ascii="Arial" w:hAnsi="Arial" w:cs="Arial"/>
          <w:sz w:val="22"/>
          <w:szCs w:val="22"/>
        </w:rPr>
      </w:pPr>
      <w:bookmarkStart w:id="11" w:name="_Hlk78205806"/>
      <w:r w:rsidRPr="00374178">
        <w:rPr>
          <w:rFonts w:ascii="Arial" w:hAnsi="Arial" w:cs="Arial"/>
          <w:sz w:val="22"/>
          <w:szCs w:val="22"/>
        </w:rPr>
        <w:t>Dieselbe Überlegung gilt umso mehr für Einzelbeihilfen.</w:t>
      </w:r>
      <w:r w:rsidR="000526EF" w:rsidRPr="00374178">
        <w:rPr>
          <w:rFonts w:ascii="Arial" w:hAnsi="Arial" w:cs="Arial"/>
          <w:sz w:val="22"/>
          <w:szCs w:val="22"/>
        </w:rPr>
        <w:t xml:space="preserve"> </w:t>
      </w:r>
      <w:r w:rsidR="00C27F8E" w:rsidRPr="00374178">
        <w:rPr>
          <w:rFonts w:ascii="Arial" w:hAnsi="Arial" w:cs="Arial"/>
          <w:sz w:val="22"/>
          <w:szCs w:val="22"/>
        </w:rPr>
        <w:t>Es wäre im Zuge eines Großprojektes, welches sich häufig erst in einigen Jahrzehnten amortisieren kann, schlicht lebensfremd, die Erforderlichkeit derartiger Einzelbeihilfen von eine</w:t>
      </w:r>
      <w:r w:rsidRPr="00374178">
        <w:rPr>
          <w:rFonts w:ascii="Arial" w:hAnsi="Arial" w:cs="Arial"/>
          <w:sz w:val="22"/>
          <w:szCs w:val="22"/>
        </w:rPr>
        <w:t>m</w:t>
      </w:r>
      <w:r w:rsidR="00C27F8E" w:rsidRPr="00374178">
        <w:rPr>
          <w:rFonts w:ascii="Arial" w:hAnsi="Arial" w:cs="Arial"/>
          <w:sz w:val="22"/>
          <w:szCs w:val="22"/>
        </w:rPr>
        <w:t xml:space="preserve"> </w:t>
      </w:r>
      <w:r w:rsidRPr="00374178">
        <w:rPr>
          <w:rFonts w:ascii="Arial" w:hAnsi="Arial" w:cs="Arial"/>
          <w:sz w:val="22"/>
          <w:szCs w:val="22"/>
        </w:rPr>
        <w:t>zu jedem Zeitpunkt bestehenden Förderbedarf (</w:t>
      </w:r>
      <w:proofErr w:type="spellStart"/>
      <w:r w:rsidRPr="00374178">
        <w:rPr>
          <w:rFonts w:ascii="Arial" w:hAnsi="Arial" w:cs="Arial"/>
          <w:sz w:val="22"/>
          <w:szCs w:val="22"/>
        </w:rPr>
        <w:t>iSe</w:t>
      </w:r>
      <w:proofErr w:type="spellEnd"/>
      <w:r w:rsidRPr="00374178">
        <w:rPr>
          <w:rFonts w:ascii="Arial" w:hAnsi="Arial" w:cs="Arial"/>
          <w:sz w:val="22"/>
          <w:szCs w:val="22"/>
        </w:rPr>
        <w:t xml:space="preserve"> negativen</w:t>
      </w:r>
      <w:r w:rsidR="00C27F8E" w:rsidRPr="00374178">
        <w:rPr>
          <w:rFonts w:ascii="Arial" w:hAnsi="Arial" w:cs="Arial"/>
          <w:sz w:val="22"/>
          <w:szCs w:val="22"/>
        </w:rPr>
        <w:t xml:space="preserve"> Kosten/Einnahmen-Analyse</w:t>
      </w:r>
      <w:r w:rsidRPr="00374178">
        <w:rPr>
          <w:rFonts w:ascii="Arial" w:hAnsi="Arial" w:cs="Arial"/>
          <w:sz w:val="22"/>
          <w:szCs w:val="22"/>
        </w:rPr>
        <w:t>)</w:t>
      </w:r>
      <w:r w:rsidR="00C27F8E" w:rsidRPr="00374178">
        <w:rPr>
          <w:rFonts w:ascii="Arial" w:hAnsi="Arial" w:cs="Arial"/>
          <w:sz w:val="22"/>
          <w:szCs w:val="22"/>
        </w:rPr>
        <w:t xml:space="preserve"> abhängig zu machen.</w:t>
      </w:r>
      <w:bookmarkEnd w:id="11"/>
      <w:r w:rsidR="003A6982" w:rsidRPr="00374178">
        <w:rPr>
          <w:rFonts w:ascii="Arial" w:hAnsi="Arial" w:cs="Arial"/>
          <w:sz w:val="22"/>
          <w:szCs w:val="22"/>
        </w:rPr>
        <w:t xml:space="preserve"> </w:t>
      </w:r>
      <w:r w:rsidR="00FF46CF" w:rsidRPr="00374178">
        <w:rPr>
          <w:rFonts w:ascii="Arial" w:hAnsi="Arial" w:cs="Arial"/>
          <w:sz w:val="22"/>
          <w:szCs w:val="22"/>
        </w:rPr>
        <w:t xml:space="preserve">Da sich die Kosten/Einnahmen-Situation aufgrund volatiler Energiemärkte jederzeit wieder ändern kann, sollte stattdessen vielmehr eine Endabrechnung zum Ende der Projektlaufzeit erfolgen, bei der die der Förderung zugrundeliegenden Annahmen und Berechnungsgrundlagen der tatsächlichen Entwicklung gegenübergestellt werden. </w:t>
      </w:r>
    </w:p>
    <w:p w14:paraId="508F2BDC" w14:textId="6CFFA833" w:rsidR="00C27F8E" w:rsidRPr="00374178" w:rsidRDefault="00FF46CF" w:rsidP="00EE26A1">
      <w:pPr>
        <w:pStyle w:val="EH-Text"/>
        <w:spacing w:after="160" w:line="360" w:lineRule="auto"/>
        <w:ind w:left="708"/>
        <w:rPr>
          <w:rFonts w:ascii="Arial" w:hAnsi="Arial" w:cs="Arial"/>
          <w:sz w:val="22"/>
          <w:szCs w:val="22"/>
        </w:rPr>
      </w:pPr>
      <w:r w:rsidRPr="00374178">
        <w:rPr>
          <w:rFonts w:ascii="Arial" w:hAnsi="Arial" w:cs="Arial"/>
          <w:sz w:val="22"/>
          <w:szCs w:val="22"/>
        </w:rPr>
        <w:t xml:space="preserve">Auf diese Weise würden Unternehmen Anreize erhalten, </w:t>
      </w:r>
      <w:r w:rsidR="00C27F8E" w:rsidRPr="00374178">
        <w:rPr>
          <w:rFonts w:ascii="Arial" w:hAnsi="Arial" w:cs="Arial"/>
          <w:sz w:val="22"/>
          <w:szCs w:val="22"/>
        </w:rPr>
        <w:t xml:space="preserve">umweltpolitisch sinnvolle </w:t>
      </w:r>
      <w:r w:rsidR="003A6982" w:rsidRPr="00374178">
        <w:rPr>
          <w:rFonts w:ascii="Arial" w:hAnsi="Arial" w:cs="Arial"/>
          <w:sz w:val="22"/>
          <w:szCs w:val="22"/>
        </w:rPr>
        <w:t>Investitionen</w:t>
      </w:r>
      <w:r w:rsidRPr="00374178">
        <w:rPr>
          <w:rFonts w:ascii="Arial" w:hAnsi="Arial" w:cs="Arial"/>
          <w:sz w:val="22"/>
          <w:szCs w:val="22"/>
        </w:rPr>
        <w:t xml:space="preserve"> zu tätigen, und könnte der zuständige Mitgliedstaat dennoch überprüfen, ob und in welchem Umfang die gewährte Förderung </w:t>
      </w:r>
      <w:r w:rsidR="00991494" w:rsidRPr="00374178">
        <w:rPr>
          <w:rFonts w:ascii="Arial" w:hAnsi="Arial" w:cs="Arial"/>
          <w:sz w:val="22"/>
          <w:szCs w:val="22"/>
        </w:rPr>
        <w:t xml:space="preserve">allenfalls </w:t>
      </w:r>
      <w:r w:rsidRPr="00374178">
        <w:rPr>
          <w:rFonts w:ascii="Arial" w:hAnsi="Arial" w:cs="Arial"/>
          <w:sz w:val="22"/>
          <w:szCs w:val="22"/>
        </w:rPr>
        <w:t xml:space="preserve">aufgrund erzielter Mehreinnahmen und </w:t>
      </w:r>
      <w:r w:rsidR="00991494" w:rsidRPr="00374178">
        <w:rPr>
          <w:rFonts w:ascii="Arial" w:hAnsi="Arial" w:cs="Arial"/>
          <w:sz w:val="22"/>
          <w:szCs w:val="22"/>
        </w:rPr>
        <w:t>einer damit verbundenen früheren</w:t>
      </w:r>
      <w:r w:rsidRPr="00374178">
        <w:rPr>
          <w:rFonts w:ascii="Arial" w:hAnsi="Arial" w:cs="Arial"/>
          <w:sz w:val="22"/>
          <w:szCs w:val="22"/>
        </w:rPr>
        <w:t xml:space="preserve"> Amortisation</w:t>
      </w:r>
      <w:r w:rsidR="00991494" w:rsidRPr="00374178">
        <w:rPr>
          <w:rFonts w:ascii="Arial" w:hAnsi="Arial" w:cs="Arial"/>
          <w:sz w:val="22"/>
          <w:szCs w:val="22"/>
        </w:rPr>
        <w:t xml:space="preserve"> der Investition an den Mitgliedstaat zu refundieren ist</w:t>
      </w:r>
      <w:r w:rsidR="00C27F8E" w:rsidRPr="00374178">
        <w:rPr>
          <w:rFonts w:ascii="Arial" w:hAnsi="Arial" w:cs="Arial"/>
          <w:sz w:val="22"/>
          <w:szCs w:val="22"/>
        </w:rPr>
        <w:t xml:space="preserve">. </w:t>
      </w:r>
    </w:p>
    <w:p w14:paraId="4C7CADFD" w14:textId="2074C63D" w:rsidR="001453BD" w:rsidRPr="00374178" w:rsidRDefault="00991494" w:rsidP="00EE26A1">
      <w:pPr>
        <w:pStyle w:val="EH-Text"/>
        <w:spacing w:after="160" w:line="360" w:lineRule="auto"/>
        <w:rPr>
          <w:rFonts w:ascii="Arial" w:hAnsi="Arial" w:cs="Arial"/>
          <w:sz w:val="22"/>
          <w:szCs w:val="22"/>
        </w:rPr>
      </w:pPr>
      <w:r w:rsidRPr="00374178">
        <w:rPr>
          <w:rFonts w:ascii="Arial" w:hAnsi="Arial" w:cs="Arial"/>
          <w:sz w:val="22"/>
          <w:szCs w:val="22"/>
        </w:rPr>
        <w:t xml:space="preserve">Vor diesem Hintergrund </w:t>
      </w:r>
      <w:r w:rsidR="001C07F9" w:rsidRPr="00374178">
        <w:rPr>
          <w:rFonts w:ascii="Arial" w:hAnsi="Arial" w:cs="Arial"/>
          <w:sz w:val="22"/>
          <w:szCs w:val="22"/>
        </w:rPr>
        <w:t xml:space="preserve">kann die </w:t>
      </w:r>
      <w:r w:rsidR="000F51AD" w:rsidRPr="00374178">
        <w:rPr>
          <w:rFonts w:ascii="Arial" w:hAnsi="Arial" w:cs="Arial"/>
          <w:sz w:val="22"/>
          <w:szCs w:val="22"/>
        </w:rPr>
        <w:t xml:space="preserve">Kommission </w:t>
      </w:r>
      <w:r w:rsidR="00FF0A29" w:rsidRPr="00374178">
        <w:rPr>
          <w:rFonts w:ascii="Arial" w:hAnsi="Arial" w:cs="Arial"/>
          <w:sz w:val="22"/>
          <w:szCs w:val="22"/>
        </w:rPr>
        <w:t xml:space="preserve">folgende Ergänzung </w:t>
      </w:r>
      <w:r w:rsidRPr="00374178">
        <w:rPr>
          <w:rFonts w:ascii="Arial" w:hAnsi="Arial" w:cs="Arial"/>
          <w:sz w:val="22"/>
          <w:szCs w:val="22"/>
        </w:rPr>
        <w:t>von</w:t>
      </w:r>
      <w:r w:rsidR="00FF0A29" w:rsidRPr="00374178">
        <w:rPr>
          <w:rFonts w:ascii="Arial" w:hAnsi="Arial" w:cs="Arial"/>
          <w:sz w:val="22"/>
          <w:szCs w:val="22"/>
        </w:rPr>
        <w:t xml:space="preserve"> Fußnote 52 zu </w:t>
      </w:r>
      <w:r w:rsidR="00414CA4" w:rsidRPr="00374178">
        <w:rPr>
          <w:rFonts w:ascii="Arial" w:hAnsi="Arial" w:cs="Arial"/>
          <w:sz w:val="22"/>
          <w:szCs w:val="22"/>
        </w:rPr>
        <w:t>Randnummer</w:t>
      </w:r>
      <w:r w:rsidR="00FF0A29" w:rsidRPr="00374178">
        <w:rPr>
          <w:rFonts w:ascii="Arial" w:hAnsi="Arial" w:cs="Arial"/>
          <w:sz w:val="22"/>
          <w:szCs w:val="22"/>
        </w:rPr>
        <w:t> 80</w:t>
      </w:r>
      <w:r w:rsidR="000F51AD" w:rsidRPr="00374178">
        <w:rPr>
          <w:rFonts w:ascii="Arial" w:hAnsi="Arial" w:cs="Arial"/>
          <w:sz w:val="22"/>
          <w:szCs w:val="22"/>
        </w:rPr>
        <w:t xml:space="preserve"> der Leitlinien </w:t>
      </w:r>
      <w:r w:rsidR="001C07F9" w:rsidRPr="00374178">
        <w:rPr>
          <w:rFonts w:ascii="Arial" w:hAnsi="Arial" w:cs="Arial"/>
          <w:sz w:val="22"/>
          <w:szCs w:val="22"/>
        </w:rPr>
        <w:t xml:space="preserve">nutzen </w:t>
      </w:r>
      <w:r w:rsidR="00FF0A29" w:rsidRPr="00374178">
        <w:rPr>
          <w:rFonts w:ascii="Arial" w:hAnsi="Arial" w:cs="Arial"/>
          <w:sz w:val="22"/>
          <w:szCs w:val="22"/>
        </w:rPr>
        <w:t xml:space="preserve">(Ergänzung durch </w:t>
      </w:r>
      <w:r w:rsidR="00FF0A29" w:rsidRPr="00374178">
        <w:rPr>
          <w:rFonts w:ascii="Arial" w:hAnsi="Arial" w:cs="Arial"/>
          <w:sz w:val="22"/>
          <w:szCs w:val="22"/>
          <w:u w:val="single"/>
        </w:rPr>
        <w:t>Unterstreichung</w:t>
      </w:r>
      <w:r w:rsidR="00FF0A29" w:rsidRPr="00374178">
        <w:rPr>
          <w:rFonts w:ascii="Arial" w:hAnsi="Arial" w:cs="Arial"/>
          <w:sz w:val="22"/>
          <w:szCs w:val="22"/>
        </w:rPr>
        <w:t xml:space="preserve"> hervorgehoben):</w:t>
      </w:r>
    </w:p>
    <w:p w14:paraId="4941820A" w14:textId="0E73B88E" w:rsidR="000F51AD" w:rsidRPr="00374178" w:rsidRDefault="00805B13" w:rsidP="00EE26A1">
      <w:pPr>
        <w:pStyle w:val="EH-Text"/>
        <w:keepNext/>
        <w:spacing w:after="160" w:line="360" w:lineRule="auto"/>
        <w:ind w:left="1134"/>
        <w:contextualSpacing/>
        <w:rPr>
          <w:rFonts w:ascii="Arial" w:hAnsi="Arial" w:cs="Arial"/>
          <w:b/>
          <w:sz w:val="22"/>
          <w:szCs w:val="22"/>
        </w:rPr>
      </w:pPr>
      <w:r w:rsidRPr="00374178">
        <w:rPr>
          <w:rFonts w:ascii="Arial" w:hAnsi="Arial" w:cs="Arial"/>
          <w:b/>
          <w:sz w:val="22"/>
          <w:szCs w:val="22"/>
        </w:rPr>
        <w:t>Randnummer </w:t>
      </w:r>
      <w:r w:rsidR="00036E28" w:rsidRPr="00374178">
        <w:rPr>
          <w:rFonts w:ascii="Arial" w:hAnsi="Arial" w:cs="Arial"/>
          <w:b/>
          <w:sz w:val="22"/>
          <w:szCs w:val="22"/>
        </w:rPr>
        <w:t>80 (Erforderlichkeit der Beihilfe)</w:t>
      </w:r>
    </w:p>
    <w:p w14:paraId="2FAE3487" w14:textId="3CFBF0D6" w:rsidR="00605FE4" w:rsidRPr="00374178" w:rsidRDefault="00E34EB6" w:rsidP="00EE26A1">
      <w:pPr>
        <w:pStyle w:val="EH-Text"/>
        <w:spacing w:after="160" w:line="360" w:lineRule="auto"/>
        <w:ind w:left="1134"/>
        <w:rPr>
          <w:rFonts w:ascii="Arial" w:hAnsi="Arial" w:cs="Arial"/>
          <w:sz w:val="22"/>
          <w:szCs w:val="22"/>
        </w:rPr>
      </w:pPr>
      <w:r w:rsidRPr="00374178">
        <w:rPr>
          <w:rFonts w:ascii="Arial" w:hAnsi="Arial" w:cs="Arial"/>
          <w:sz w:val="22"/>
          <w:szCs w:val="22"/>
          <w:lang w:val="de-AT"/>
        </w:rPr>
        <w:t>"</w:t>
      </w:r>
      <w:r w:rsidR="00036E28" w:rsidRPr="00374178">
        <w:rPr>
          <w:rFonts w:ascii="Arial" w:hAnsi="Arial" w:cs="Arial"/>
          <w:i/>
          <w:sz w:val="22"/>
          <w:szCs w:val="22"/>
          <w:lang w:val="de-AT"/>
        </w:rPr>
        <w:t>Bei Beihilferegelungen mit einer Laufzeit von über einem Jahr sollten die Mitgliedstaaten sich vergewissern, dass die Beihilfe während der gesamten Laufzeit der Regelung erforderlich ist, indem sie ihre Analyse der relevanten Kosten und Einnahmen jährlich bzw. bei Regelungen, bei denen weniger häufig Beihilfen gewährt werden, jeweils vor der Gewährung von Beihilfen aktualisieren, um sicherzustellen, dass für die einzelnen Gruppen potenzieller Empfänger nach wie vor Beihilfen erforderlich sind. Sind für eine Gruppe von Beihilfeempfängern keine Beihilfen mehr erforderlich, so sollte die jeweilige Gruppe gestrichen werden, bevor weitere Beihilfen gewährt werden.</w:t>
      </w:r>
      <w:r w:rsidR="00036E28" w:rsidRPr="00374178">
        <w:rPr>
          <w:rFonts w:ascii="Arial" w:hAnsi="Arial" w:cs="Arial"/>
          <w:i/>
          <w:sz w:val="22"/>
          <w:szCs w:val="22"/>
          <w:vertAlign w:val="superscript"/>
          <w:lang w:val="de-AT"/>
        </w:rPr>
        <w:t>52</w:t>
      </w:r>
      <w:r w:rsidRPr="00374178">
        <w:rPr>
          <w:rFonts w:ascii="Arial" w:hAnsi="Arial" w:cs="Arial"/>
          <w:sz w:val="22"/>
          <w:szCs w:val="22"/>
          <w:lang w:val="de-AT"/>
        </w:rPr>
        <w:t xml:space="preserve">" </w:t>
      </w:r>
    </w:p>
    <w:p w14:paraId="61411F44" w14:textId="395901E2" w:rsidR="00FF0A29" w:rsidRPr="00374178" w:rsidRDefault="00FF0A29" w:rsidP="00EE26A1">
      <w:pPr>
        <w:pStyle w:val="EH-Text"/>
        <w:keepNext/>
        <w:spacing w:after="160" w:line="360" w:lineRule="auto"/>
        <w:ind w:left="1134"/>
        <w:contextualSpacing/>
        <w:rPr>
          <w:rFonts w:ascii="Arial" w:hAnsi="Arial" w:cs="Arial"/>
          <w:b/>
          <w:sz w:val="22"/>
          <w:szCs w:val="22"/>
          <w:lang w:val="de-AT"/>
        </w:rPr>
      </w:pPr>
      <w:r w:rsidRPr="00374178">
        <w:rPr>
          <w:rFonts w:ascii="Arial" w:hAnsi="Arial" w:cs="Arial"/>
          <w:b/>
          <w:sz w:val="22"/>
          <w:szCs w:val="22"/>
          <w:lang w:val="de-AT"/>
        </w:rPr>
        <w:t xml:space="preserve">Vorschlag zur Fußnote 52 zu </w:t>
      </w:r>
      <w:r w:rsidRPr="00374178">
        <w:rPr>
          <w:rFonts w:ascii="Arial" w:hAnsi="Arial" w:cs="Arial"/>
          <w:b/>
          <w:sz w:val="22"/>
          <w:szCs w:val="22"/>
        </w:rPr>
        <w:t>Randnummer</w:t>
      </w:r>
      <w:r w:rsidRPr="00374178">
        <w:rPr>
          <w:rFonts w:ascii="Arial" w:hAnsi="Arial" w:cs="Arial"/>
          <w:b/>
          <w:sz w:val="22"/>
          <w:szCs w:val="22"/>
          <w:lang w:val="de-AT"/>
        </w:rPr>
        <w:t xml:space="preserve"> 80 </w:t>
      </w:r>
    </w:p>
    <w:p w14:paraId="1A596C0A" w14:textId="620063C9" w:rsidR="00FF0A29" w:rsidRPr="00374178" w:rsidRDefault="00FF0A29" w:rsidP="00EE26A1">
      <w:pPr>
        <w:pStyle w:val="EH-Text"/>
        <w:spacing w:after="240" w:line="360" w:lineRule="auto"/>
        <w:ind w:left="1134"/>
        <w:rPr>
          <w:rFonts w:ascii="Arial" w:hAnsi="Arial" w:cs="Arial"/>
          <w:sz w:val="22"/>
          <w:szCs w:val="22"/>
        </w:rPr>
      </w:pPr>
      <w:r w:rsidRPr="00374178">
        <w:rPr>
          <w:rFonts w:ascii="Arial" w:hAnsi="Arial" w:cs="Arial"/>
          <w:sz w:val="22"/>
          <w:szCs w:val="22"/>
        </w:rPr>
        <w:t>"</w:t>
      </w:r>
      <w:r w:rsidRPr="00374178">
        <w:rPr>
          <w:rFonts w:ascii="Arial" w:hAnsi="Arial" w:cs="Arial"/>
          <w:i/>
          <w:sz w:val="22"/>
          <w:szCs w:val="22"/>
        </w:rPr>
        <w:t xml:space="preserve">Dies berührt nicht den Anspruch auf </w:t>
      </w:r>
      <w:r w:rsidR="00991494" w:rsidRPr="00374178">
        <w:rPr>
          <w:rFonts w:ascii="Arial" w:hAnsi="Arial" w:cs="Arial"/>
          <w:i/>
          <w:sz w:val="22"/>
          <w:szCs w:val="22"/>
        </w:rPr>
        <w:t>B</w:t>
      </w:r>
      <w:r w:rsidRPr="00374178">
        <w:rPr>
          <w:rFonts w:ascii="Arial" w:hAnsi="Arial" w:cs="Arial"/>
          <w:i/>
          <w:sz w:val="22"/>
          <w:szCs w:val="22"/>
        </w:rPr>
        <w:t xml:space="preserve">eihilfen, die (z. B. im Rahmen eines 10-Jahres-Vertrags) bereits </w:t>
      </w:r>
      <w:r w:rsidR="00991494" w:rsidRPr="00374178">
        <w:rPr>
          <w:rFonts w:ascii="Arial" w:hAnsi="Arial" w:cs="Arial"/>
          <w:i/>
          <w:sz w:val="22"/>
          <w:szCs w:val="22"/>
          <w:u w:val="single"/>
        </w:rPr>
        <w:t>auf Basis der betreffenden Beihilferegelung</w:t>
      </w:r>
      <w:r w:rsidR="00991494" w:rsidRPr="00374178">
        <w:rPr>
          <w:rFonts w:ascii="Arial" w:hAnsi="Arial" w:cs="Arial"/>
          <w:i/>
          <w:sz w:val="22"/>
          <w:szCs w:val="22"/>
        </w:rPr>
        <w:t xml:space="preserve"> </w:t>
      </w:r>
      <w:r w:rsidRPr="00374178">
        <w:rPr>
          <w:rFonts w:ascii="Arial" w:hAnsi="Arial" w:cs="Arial"/>
          <w:i/>
          <w:sz w:val="22"/>
          <w:szCs w:val="22"/>
        </w:rPr>
        <w:t xml:space="preserve">gewährt wurden. </w:t>
      </w:r>
      <w:r w:rsidR="00991494" w:rsidRPr="00374178">
        <w:rPr>
          <w:rFonts w:ascii="Arial" w:hAnsi="Arial" w:cs="Arial"/>
          <w:i/>
          <w:sz w:val="22"/>
          <w:szCs w:val="22"/>
          <w:u w:val="single"/>
        </w:rPr>
        <w:t xml:space="preserve">Ferner unterliegen auch Einzelbeihilfen, die häufig </w:t>
      </w:r>
      <w:r w:rsidRPr="00374178">
        <w:rPr>
          <w:rFonts w:ascii="Arial" w:hAnsi="Arial" w:cs="Arial"/>
          <w:i/>
          <w:sz w:val="22"/>
          <w:szCs w:val="22"/>
          <w:u w:val="single"/>
        </w:rPr>
        <w:t xml:space="preserve">für </w:t>
      </w:r>
      <w:r w:rsidR="00991494" w:rsidRPr="00374178">
        <w:rPr>
          <w:rFonts w:ascii="Arial" w:hAnsi="Arial" w:cs="Arial"/>
          <w:i/>
          <w:sz w:val="22"/>
          <w:szCs w:val="22"/>
          <w:u w:val="single"/>
        </w:rPr>
        <w:t>größere Investitionen mit einem längeren Betrachtungszeitraum gewährt werden</w:t>
      </w:r>
      <w:r w:rsidRPr="00374178">
        <w:rPr>
          <w:rFonts w:ascii="Arial" w:hAnsi="Arial" w:cs="Arial"/>
          <w:i/>
          <w:sz w:val="22"/>
          <w:szCs w:val="22"/>
          <w:u w:val="single"/>
        </w:rPr>
        <w:t xml:space="preserve">, </w:t>
      </w:r>
      <w:r w:rsidR="00991494" w:rsidRPr="00374178">
        <w:rPr>
          <w:rFonts w:ascii="Arial" w:hAnsi="Arial" w:cs="Arial"/>
          <w:i/>
          <w:sz w:val="22"/>
          <w:szCs w:val="22"/>
          <w:u w:val="single"/>
        </w:rPr>
        <w:t>keiner jährlichen</w:t>
      </w:r>
      <w:r w:rsidRPr="00374178">
        <w:rPr>
          <w:rFonts w:ascii="Arial" w:hAnsi="Arial" w:cs="Arial"/>
          <w:i/>
          <w:sz w:val="22"/>
          <w:szCs w:val="22"/>
          <w:u w:val="single"/>
        </w:rPr>
        <w:t xml:space="preserve"> Kosten/Einnahmen-Analyse nach Randnummer 80.</w:t>
      </w:r>
      <w:r w:rsidRPr="00374178">
        <w:rPr>
          <w:rFonts w:ascii="Arial" w:hAnsi="Arial" w:cs="Arial"/>
          <w:sz w:val="22"/>
          <w:szCs w:val="22"/>
        </w:rPr>
        <w:t>"</w:t>
      </w:r>
    </w:p>
    <w:p w14:paraId="6DA1843E" w14:textId="5FFFB86C" w:rsidR="00036E28" w:rsidRPr="00374178" w:rsidRDefault="00692B7D" w:rsidP="00EE26A1">
      <w:pPr>
        <w:pStyle w:val="EH-Text"/>
        <w:spacing w:after="160" w:line="360" w:lineRule="auto"/>
        <w:rPr>
          <w:rFonts w:ascii="Arial" w:hAnsi="Arial" w:cs="Arial"/>
          <w:sz w:val="22"/>
          <w:szCs w:val="22"/>
        </w:rPr>
      </w:pPr>
      <w:bookmarkStart w:id="12" w:name="_Hlk78206540"/>
      <w:r w:rsidRPr="00374178">
        <w:rPr>
          <w:rFonts w:ascii="Arial" w:hAnsi="Arial" w:cs="Arial"/>
          <w:sz w:val="22"/>
          <w:szCs w:val="22"/>
        </w:rPr>
        <w:t xml:space="preserve">Durch diese Klarstellung </w:t>
      </w:r>
      <w:r w:rsidR="001662BE" w:rsidRPr="00374178">
        <w:rPr>
          <w:rFonts w:ascii="Arial" w:hAnsi="Arial" w:cs="Arial"/>
          <w:sz w:val="22"/>
          <w:szCs w:val="22"/>
        </w:rPr>
        <w:t xml:space="preserve">würde den </w:t>
      </w:r>
      <w:r w:rsidR="00036AD5" w:rsidRPr="00374178">
        <w:rPr>
          <w:rFonts w:ascii="Arial" w:hAnsi="Arial" w:cs="Arial"/>
          <w:sz w:val="22"/>
          <w:szCs w:val="22"/>
        </w:rPr>
        <w:t>Personen, die umfangreiche Investitionen in energiewirtschaftliche</w:t>
      </w:r>
      <w:r w:rsidRPr="00374178">
        <w:rPr>
          <w:rFonts w:ascii="Arial" w:hAnsi="Arial" w:cs="Arial"/>
          <w:sz w:val="22"/>
          <w:szCs w:val="22"/>
        </w:rPr>
        <w:t xml:space="preserve"> Großprojekten mit Bezug zu erneuerbaren Energien </w:t>
      </w:r>
      <w:r w:rsidR="00036AD5" w:rsidRPr="00374178">
        <w:rPr>
          <w:rFonts w:ascii="Arial" w:hAnsi="Arial" w:cs="Arial"/>
          <w:sz w:val="22"/>
          <w:szCs w:val="22"/>
        </w:rPr>
        <w:t xml:space="preserve">tätigen, </w:t>
      </w:r>
      <w:r w:rsidRPr="00374178">
        <w:rPr>
          <w:rFonts w:ascii="Arial" w:hAnsi="Arial" w:cs="Arial"/>
          <w:sz w:val="22"/>
          <w:szCs w:val="22"/>
        </w:rPr>
        <w:t xml:space="preserve">nicht (schon im Vorhinein) die Bürde auferlegt, eine jährliche Kosten/Einnahmenanalyse durchführen zu müssen. Gleichzeitig bleibt es der Kommission natürlich unbenommen, im Zuge der Notifikation der jeweiligen Einzelbeihilfe adäquate Kontroll- und Prüfmechanismen vorzusehen, mit deren Hilfe die Erforderlichkeit der Einzelbeihilfe für deren gesamten Geltungszeitraum überprüft und gewährleistet werden kann. </w:t>
      </w:r>
    </w:p>
    <w:p w14:paraId="756D4C7F" w14:textId="5279DB81" w:rsidR="00466C6B" w:rsidRPr="00374178" w:rsidRDefault="009F00D3" w:rsidP="00EE26A1">
      <w:pPr>
        <w:pStyle w:val="EH-3"/>
        <w:spacing w:after="200" w:line="360" w:lineRule="auto"/>
        <w:ind w:left="709" w:hanging="709"/>
        <w:rPr>
          <w:rFonts w:ascii="Arial" w:hAnsi="Arial" w:cs="Arial"/>
          <w:sz w:val="22"/>
          <w:szCs w:val="22"/>
        </w:rPr>
      </w:pPr>
      <w:bookmarkStart w:id="13" w:name="_Toc77773406"/>
      <w:bookmarkEnd w:id="12"/>
      <w:r w:rsidRPr="00374178">
        <w:rPr>
          <w:rFonts w:ascii="Arial" w:hAnsi="Arial" w:cs="Arial"/>
          <w:sz w:val="22"/>
          <w:szCs w:val="22"/>
        </w:rPr>
        <w:t>Beihilfen zur Gewährleistung der Stromversorgungssicherheit</w:t>
      </w:r>
      <w:bookmarkEnd w:id="13"/>
    </w:p>
    <w:p w14:paraId="0BA4D6CB" w14:textId="4D2A0216" w:rsidR="00E265B5" w:rsidRPr="00374178" w:rsidRDefault="001C07F9" w:rsidP="00EE26A1">
      <w:pPr>
        <w:pStyle w:val="EH-Text"/>
        <w:spacing w:after="160" w:line="360" w:lineRule="auto"/>
        <w:rPr>
          <w:rFonts w:ascii="Arial" w:hAnsi="Arial" w:cs="Arial"/>
          <w:sz w:val="22"/>
          <w:szCs w:val="22"/>
        </w:rPr>
      </w:pPr>
      <w:bookmarkStart w:id="14" w:name="_Hlk78206903"/>
      <w:r w:rsidRPr="00374178">
        <w:rPr>
          <w:rFonts w:ascii="Arial" w:hAnsi="Arial" w:cs="Arial"/>
          <w:sz w:val="22"/>
          <w:szCs w:val="22"/>
        </w:rPr>
        <w:t>Es ist begrüßenswert</w:t>
      </w:r>
      <w:r w:rsidR="00E265B5" w:rsidRPr="00374178">
        <w:rPr>
          <w:rFonts w:ascii="Arial" w:hAnsi="Arial" w:cs="Arial"/>
          <w:sz w:val="22"/>
          <w:szCs w:val="22"/>
        </w:rPr>
        <w:t xml:space="preserve">, dass der Entwurf der Leitlinien </w:t>
      </w:r>
      <w:r w:rsidR="001662BE" w:rsidRPr="00374178">
        <w:rPr>
          <w:rFonts w:ascii="Arial" w:hAnsi="Arial" w:cs="Arial"/>
          <w:sz w:val="22"/>
          <w:szCs w:val="22"/>
        </w:rPr>
        <w:t>betreffend</w:t>
      </w:r>
      <w:r w:rsidR="00E265B5" w:rsidRPr="00374178">
        <w:rPr>
          <w:rFonts w:ascii="Arial" w:hAnsi="Arial" w:cs="Arial"/>
          <w:sz w:val="22"/>
          <w:szCs w:val="22"/>
        </w:rPr>
        <w:t xml:space="preserve"> "</w:t>
      </w:r>
      <w:r w:rsidR="00E265B5" w:rsidRPr="00374178">
        <w:rPr>
          <w:rFonts w:ascii="Arial" w:hAnsi="Arial" w:cs="Arial"/>
          <w:i/>
          <w:sz w:val="22"/>
          <w:szCs w:val="22"/>
        </w:rPr>
        <w:t xml:space="preserve">Beihilfen zur </w:t>
      </w:r>
      <w:bookmarkStart w:id="15" w:name="_Hlk78206880"/>
      <w:r w:rsidR="00E265B5" w:rsidRPr="00374178">
        <w:rPr>
          <w:rFonts w:ascii="Arial" w:hAnsi="Arial" w:cs="Arial"/>
          <w:i/>
          <w:sz w:val="22"/>
          <w:szCs w:val="22"/>
        </w:rPr>
        <w:t>Gewährleistung der Stromversorgungssicherheit</w:t>
      </w:r>
      <w:r w:rsidR="00E265B5" w:rsidRPr="00374178">
        <w:rPr>
          <w:rFonts w:ascii="Arial" w:hAnsi="Arial" w:cs="Arial"/>
          <w:sz w:val="22"/>
          <w:szCs w:val="22"/>
        </w:rPr>
        <w:t xml:space="preserve">" den Anwendungsbereich der geförderten Tätigkeiten nun allgemeiner fasst und in Punkt 4.8.2 Kapazitätsmechanismen, Abschaltregelungen und Netzreserven nennt. Bereits an dieser Stelle sollte jedoch auch die strategische Reserve erwähnt werden, die erst in Punkt 4.8.5 (Vermeidung übermäßiger negativer Auswirkungen auf Wettbewerb und Handel sowie Abwägungsprüfung) behandelt wird, zumal auch diese ein wesentliches Instrument zur Erhörung der Stromversorgungssicherheit darstellt. </w:t>
      </w:r>
    </w:p>
    <w:p w14:paraId="4DD0EC82" w14:textId="61D89BFF" w:rsidR="00E265B5" w:rsidRPr="00374178" w:rsidRDefault="00E265B5" w:rsidP="00EE26A1">
      <w:pPr>
        <w:pStyle w:val="EH-Text"/>
        <w:spacing w:after="160" w:line="360" w:lineRule="auto"/>
        <w:rPr>
          <w:rFonts w:ascii="Arial" w:hAnsi="Arial" w:cs="Arial"/>
          <w:sz w:val="22"/>
          <w:szCs w:val="22"/>
        </w:rPr>
      </w:pPr>
      <w:r w:rsidRPr="00374178">
        <w:rPr>
          <w:rFonts w:ascii="Arial" w:hAnsi="Arial" w:cs="Arial"/>
          <w:sz w:val="22"/>
          <w:szCs w:val="22"/>
        </w:rPr>
        <w:t>Zudem sollte die Bereitstellung der Erzeugungskapazität</w:t>
      </w:r>
      <w:r w:rsidR="00B1036A" w:rsidRPr="00374178">
        <w:rPr>
          <w:rFonts w:ascii="Arial" w:hAnsi="Arial" w:cs="Arial"/>
          <w:sz w:val="22"/>
          <w:szCs w:val="22"/>
        </w:rPr>
        <w:t xml:space="preserve"> weiterhin</w:t>
      </w:r>
      <w:r w:rsidRPr="00374178">
        <w:rPr>
          <w:rFonts w:ascii="Arial" w:hAnsi="Arial" w:cs="Arial"/>
          <w:sz w:val="22"/>
          <w:szCs w:val="22"/>
        </w:rPr>
        <w:t xml:space="preserve"> </w:t>
      </w:r>
      <w:r w:rsidR="00B1036A" w:rsidRPr="00374178">
        <w:rPr>
          <w:rFonts w:ascii="Arial" w:hAnsi="Arial" w:cs="Arial"/>
          <w:sz w:val="22"/>
          <w:szCs w:val="22"/>
        </w:rPr>
        <w:t xml:space="preserve">ausdrücklich </w:t>
      </w:r>
      <w:r w:rsidRPr="00374178">
        <w:rPr>
          <w:rFonts w:ascii="Arial" w:hAnsi="Arial" w:cs="Arial"/>
          <w:sz w:val="22"/>
          <w:szCs w:val="22"/>
        </w:rPr>
        <w:t xml:space="preserve">als geeignetes Mittel zur Gewährleistung der Stromversorgungssicherheit erwähnt werden, wie dies bereits in den </w:t>
      </w:r>
      <w:r w:rsidR="00B1036A" w:rsidRPr="00374178">
        <w:rPr>
          <w:rFonts w:ascii="Arial" w:hAnsi="Arial" w:cs="Arial"/>
          <w:sz w:val="22"/>
          <w:szCs w:val="22"/>
        </w:rPr>
        <w:t>Vorgängerl</w:t>
      </w:r>
      <w:r w:rsidRPr="00374178">
        <w:rPr>
          <w:rFonts w:ascii="Arial" w:hAnsi="Arial" w:cs="Arial"/>
          <w:sz w:val="22"/>
          <w:szCs w:val="22"/>
        </w:rPr>
        <w:t xml:space="preserve">eitlinien der Fall war. Es </w:t>
      </w:r>
      <w:r w:rsidR="00B1036A" w:rsidRPr="00374178">
        <w:rPr>
          <w:rFonts w:ascii="Arial" w:hAnsi="Arial" w:cs="Arial"/>
          <w:sz w:val="22"/>
          <w:szCs w:val="22"/>
        </w:rPr>
        <w:t xml:space="preserve">ist </w:t>
      </w:r>
      <w:r w:rsidRPr="00374178">
        <w:rPr>
          <w:rFonts w:ascii="Arial" w:hAnsi="Arial" w:cs="Arial"/>
          <w:sz w:val="22"/>
          <w:szCs w:val="22"/>
        </w:rPr>
        <w:t>nicht nachvollziehbar, dass in Punkt 4.8.4.2 (Geeignetheit) zunächst darauf verwiesen wird, dass Mitgliedstaaten vorrangig andere Ansätze zur Gewährleistung der Stromversorgungssicherheit prüfen sollen</w:t>
      </w:r>
      <w:r w:rsidR="00B1036A" w:rsidRPr="00374178">
        <w:rPr>
          <w:rFonts w:ascii="Arial" w:hAnsi="Arial" w:cs="Arial"/>
          <w:sz w:val="22"/>
          <w:szCs w:val="22"/>
        </w:rPr>
        <w:t xml:space="preserve">, </w:t>
      </w:r>
      <w:r w:rsidR="001662BE" w:rsidRPr="00374178">
        <w:rPr>
          <w:rFonts w:ascii="Arial" w:hAnsi="Arial" w:cs="Arial"/>
          <w:sz w:val="22"/>
          <w:szCs w:val="22"/>
        </w:rPr>
        <w:t>während</w:t>
      </w:r>
      <w:r w:rsidR="00B1036A" w:rsidRPr="00374178">
        <w:rPr>
          <w:rFonts w:ascii="Arial" w:hAnsi="Arial" w:cs="Arial"/>
          <w:sz w:val="22"/>
          <w:szCs w:val="22"/>
        </w:rPr>
        <w:t xml:space="preserve"> diese erfahrungsgemäß äußerst wirksame Maßnahme keine Erwähnung mehr findet. </w:t>
      </w:r>
      <w:r w:rsidR="002D7331" w:rsidRPr="00374178">
        <w:rPr>
          <w:rFonts w:ascii="Arial" w:hAnsi="Arial" w:cs="Arial"/>
          <w:sz w:val="22"/>
          <w:szCs w:val="22"/>
        </w:rPr>
        <w:t xml:space="preserve">Der </w:t>
      </w:r>
      <w:r w:rsidRPr="00374178">
        <w:rPr>
          <w:rFonts w:ascii="Arial" w:hAnsi="Arial" w:cs="Arial"/>
          <w:sz w:val="22"/>
          <w:szCs w:val="22"/>
        </w:rPr>
        <w:t xml:space="preserve">gänzliche Entfall der Erwähnung der Bereitstellung von Erzeugungskapazität bei der Prüfung der Geeignetheit </w:t>
      </w:r>
      <w:r w:rsidR="002D7331" w:rsidRPr="00374178">
        <w:rPr>
          <w:rFonts w:ascii="Arial" w:hAnsi="Arial" w:cs="Arial"/>
          <w:sz w:val="22"/>
          <w:szCs w:val="22"/>
        </w:rPr>
        <w:t xml:space="preserve">könnte </w:t>
      </w:r>
      <w:r w:rsidR="00B1036A" w:rsidRPr="00374178">
        <w:rPr>
          <w:rFonts w:ascii="Arial" w:hAnsi="Arial" w:cs="Arial"/>
          <w:sz w:val="22"/>
          <w:szCs w:val="22"/>
        </w:rPr>
        <w:t xml:space="preserve">nämlich </w:t>
      </w:r>
      <w:r w:rsidRPr="00374178">
        <w:rPr>
          <w:rFonts w:ascii="Arial" w:hAnsi="Arial" w:cs="Arial"/>
          <w:sz w:val="22"/>
          <w:szCs w:val="22"/>
        </w:rPr>
        <w:t>den Eindruck</w:t>
      </w:r>
      <w:r w:rsidR="002D7331" w:rsidRPr="00374178">
        <w:rPr>
          <w:rFonts w:ascii="Arial" w:hAnsi="Arial" w:cs="Arial"/>
          <w:sz w:val="22"/>
          <w:szCs w:val="22"/>
        </w:rPr>
        <w:t xml:space="preserve"> vermitteln</w:t>
      </w:r>
      <w:r w:rsidRPr="00374178">
        <w:rPr>
          <w:rFonts w:ascii="Arial" w:hAnsi="Arial" w:cs="Arial"/>
          <w:sz w:val="22"/>
          <w:szCs w:val="22"/>
        </w:rPr>
        <w:t>, dass d</w:t>
      </w:r>
      <w:r w:rsidR="00B1036A" w:rsidRPr="00374178">
        <w:rPr>
          <w:rFonts w:ascii="Arial" w:hAnsi="Arial" w:cs="Arial"/>
          <w:sz w:val="22"/>
          <w:szCs w:val="22"/>
        </w:rPr>
        <w:t xml:space="preserve">ieses </w:t>
      </w:r>
      <w:r w:rsidR="002D7331" w:rsidRPr="00374178">
        <w:rPr>
          <w:rFonts w:ascii="Arial" w:hAnsi="Arial" w:cs="Arial"/>
          <w:sz w:val="22"/>
          <w:szCs w:val="22"/>
        </w:rPr>
        <w:t xml:space="preserve">Instrument </w:t>
      </w:r>
      <w:r w:rsidR="00B1036A" w:rsidRPr="00374178">
        <w:rPr>
          <w:rFonts w:ascii="Arial" w:hAnsi="Arial" w:cs="Arial"/>
          <w:sz w:val="22"/>
          <w:szCs w:val="22"/>
        </w:rPr>
        <w:t xml:space="preserve">von der Kommission – entgegen </w:t>
      </w:r>
      <w:r w:rsidR="002D7331" w:rsidRPr="00374178">
        <w:rPr>
          <w:rFonts w:ascii="Arial" w:hAnsi="Arial" w:cs="Arial"/>
          <w:sz w:val="22"/>
          <w:szCs w:val="22"/>
        </w:rPr>
        <w:t>der heutigen Praxis</w:t>
      </w:r>
      <w:r w:rsidR="00B1036A" w:rsidRPr="00374178">
        <w:rPr>
          <w:rFonts w:ascii="Arial" w:hAnsi="Arial" w:cs="Arial"/>
          <w:sz w:val="22"/>
          <w:szCs w:val="22"/>
        </w:rPr>
        <w:t xml:space="preserve"> – </w:t>
      </w:r>
      <w:r w:rsidRPr="00374178">
        <w:rPr>
          <w:rFonts w:ascii="Arial" w:hAnsi="Arial" w:cs="Arial"/>
          <w:sz w:val="22"/>
          <w:szCs w:val="22"/>
        </w:rPr>
        <w:t xml:space="preserve">überhaupt nicht mehr als geeignet angesehen wird. Eine Beihilfe in Form der Vergütung der Bereitstellung der Erzeugungskapazität </w:t>
      </w:r>
      <w:r w:rsidR="00F47C3F" w:rsidRPr="00374178">
        <w:rPr>
          <w:rFonts w:ascii="Arial" w:hAnsi="Arial" w:cs="Arial"/>
          <w:sz w:val="22"/>
          <w:szCs w:val="22"/>
        </w:rPr>
        <w:t xml:space="preserve">wird </w:t>
      </w:r>
      <w:r w:rsidRPr="00374178">
        <w:rPr>
          <w:rFonts w:ascii="Arial" w:hAnsi="Arial" w:cs="Arial"/>
          <w:sz w:val="22"/>
          <w:szCs w:val="22"/>
        </w:rPr>
        <w:t xml:space="preserve">für </w:t>
      </w:r>
      <w:r w:rsidR="00F47C3F" w:rsidRPr="00374178">
        <w:rPr>
          <w:rFonts w:ascii="Arial" w:hAnsi="Arial" w:cs="Arial"/>
          <w:sz w:val="22"/>
          <w:szCs w:val="22"/>
        </w:rPr>
        <w:t xml:space="preserve">die </w:t>
      </w:r>
      <w:r w:rsidRPr="00374178">
        <w:rPr>
          <w:rFonts w:ascii="Arial" w:hAnsi="Arial" w:cs="Arial"/>
          <w:sz w:val="22"/>
          <w:szCs w:val="22"/>
        </w:rPr>
        <w:t xml:space="preserve">Mitgliedstaaten </w:t>
      </w:r>
      <w:r w:rsidR="00F47C3F" w:rsidRPr="00374178">
        <w:rPr>
          <w:rFonts w:ascii="Arial" w:hAnsi="Arial" w:cs="Arial"/>
          <w:sz w:val="22"/>
          <w:szCs w:val="22"/>
        </w:rPr>
        <w:t xml:space="preserve">auf absehbare Zeit auch </w:t>
      </w:r>
      <w:r w:rsidRPr="00374178">
        <w:rPr>
          <w:rFonts w:ascii="Arial" w:hAnsi="Arial" w:cs="Arial"/>
          <w:sz w:val="22"/>
          <w:szCs w:val="22"/>
        </w:rPr>
        <w:t>weiterhin ein notwendiges und unverzichtbares Instrument</w:t>
      </w:r>
      <w:r w:rsidR="00B1036A" w:rsidRPr="00374178">
        <w:rPr>
          <w:rFonts w:ascii="Arial" w:hAnsi="Arial" w:cs="Arial"/>
          <w:sz w:val="22"/>
          <w:szCs w:val="22"/>
        </w:rPr>
        <w:t xml:space="preserve"> zur Gewährleistung der Stromversorgungssicherheit</w:t>
      </w:r>
      <w:r w:rsidR="00F47C3F" w:rsidRPr="00374178">
        <w:rPr>
          <w:rFonts w:ascii="Arial" w:hAnsi="Arial" w:cs="Arial"/>
          <w:sz w:val="22"/>
          <w:szCs w:val="22"/>
        </w:rPr>
        <w:t xml:space="preserve"> sein</w:t>
      </w:r>
      <w:r w:rsidRPr="00374178">
        <w:rPr>
          <w:rFonts w:ascii="Arial" w:hAnsi="Arial" w:cs="Arial"/>
          <w:sz w:val="22"/>
          <w:szCs w:val="22"/>
        </w:rPr>
        <w:t xml:space="preserve">. Dies auch vor dem Hintergrund, dass </w:t>
      </w:r>
      <w:r w:rsidR="00F47C3F" w:rsidRPr="00374178">
        <w:rPr>
          <w:rFonts w:ascii="Arial" w:hAnsi="Arial" w:cs="Arial"/>
          <w:sz w:val="22"/>
          <w:szCs w:val="22"/>
        </w:rPr>
        <w:t xml:space="preserve">einzelne </w:t>
      </w:r>
      <w:r w:rsidRPr="00374178">
        <w:rPr>
          <w:rFonts w:ascii="Arial" w:hAnsi="Arial" w:cs="Arial"/>
          <w:sz w:val="22"/>
          <w:szCs w:val="22"/>
        </w:rPr>
        <w:t>Mitgliedstaaten</w:t>
      </w:r>
      <w:r w:rsidR="00F47C3F" w:rsidRPr="00374178">
        <w:rPr>
          <w:rFonts w:ascii="Arial" w:hAnsi="Arial" w:cs="Arial"/>
          <w:sz w:val="22"/>
          <w:szCs w:val="22"/>
        </w:rPr>
        <w:t xml:space="preserve"> (wie Österreich)</w:t>
      </w:r>
      <w:r w:rsidRPr="00374178">
        <w:rPr>
          <w:rFonts w:ascii="Arial" w:hAnsi="Arial" w:cs="Arial"/>
          <w:sz w:val="22"/>
          <w:szCs w:val="22"/>
        </w:rPr>
        <w:t xml:space="preserve"> für kritische Situationen</w:t>
      </w:r>
      <w:r w:rsidR="00F47C3F" w:rsidRPr="00374178">
        <w:rPr>
          <w:rFonts w:ascii="Arial" w:hAnsi="Arial" w:cs="Arial"/>
          <w:sz w:val="22"/>
          <w:szCs w:val="22"/>
        </w:rPr>
        <w:t xml:space="preserve"> in dem von ihnen </w:t>
      </w:r>
      <w:r w:rsidR="004A1B32" w:rsidRPr="00374178">
        <w:rPr>
          <w:rFonts w:ascii="Arial" w:hAnsi="Arial" w:cs="Arial"/>
          <w:sz w:val="22"/>
          <w:szCs w:val="22"/>
        </w:rPr>
        <w:t>kontrollierten Stromnetz</w:t>
      </w:r>
      <w:r w:rsidRPr="00374178">
        <w:rPr>
          <w:rFonts w:ascii="Arial" w:hAnsi="Arial" w:cs="Arial"/>
          <w:sz w:val="22"/>
          <w:szCs w:val="22"/>
        </w:rPr>
        <w:t xml:space="preserve"> teilweise nicht verantwortlich sind und hier auch keine entsprechenden Vorkehrungen treffen können, wenn etwa durch Ringflüsse oder nicht hinreichend ausgebaute Verbindungsleitungen in angrenzenden Mitgliedstaaten </w:t>
      </w:r>
      <w:r w:rsidR="004A1B32" w:rsidRPr="00374178">
        <w:rPr>
          <w:rFonts w:ascii="Arial" w:hAnsi="Arial" w:cs="Arial"/>
          <w:sz w:val="22"/>
          <w:szCs w:val="22"/>
        </w:rPr>
        <w:t xml:space="preserve">(wie Deutschland) </w:t>
      </w:r>
      <w:r w:rsidRPr="00374178">
        <w:rPr>
          <w:rFonts w:ascii="Arial" w:hAnsi="Arial" w:cs="Arial"/>
          <w:sz w:val="22"/>
          <w:szCs w:val="22"/>
        </w:rPr>
        <w:t>plötzlich das eigene Stromnetz überlastet ist.</w:t>
      </w:r>
      <w:r w:rsidR="00B1036A" w:rsidRPr="00374178">
        <w:rPr>
          <w:rFonts w:ascii="Arial" w:hAnsi="Arial" w:cs="Arial"/>
          <w:sz w:val="22"/>
          <w:szCs w:val="22"/>
        </w:rPr>
        <w:t xml:space="preserve"> </w:t>
      </w:r>
      <w:bookmarkEnd w:id="14"/>
      <w:bookmarkEnd w:id="15"/>
    </w:p>
    <w:p w14:paraId="630E0AFF" w14:textId="5403943E" w:rsidR="00E265B5" w:rsidRPr="00374178" w:rsidRDefault="00E265B5" w:rsidP="00EE26A1">
      <w:pPr>
        <w:pStyle w:val="EH-Text"/>
        <w:spacing w:after="160" w:line="360" w:lineRule="auto"/>
        <w:rPr>
          <w:rFonts w:ascii="Arial" w:hAnsi="Arial" w:cs="Arial"/>
          <w:sz w:val="22"/>
          <w:szCs w:val="22"/>
        </w:rPr>
      </w:pPr>
      <w:r w:rsidRPr="00374178">
        <w:rPr>
          <w:rFonts w:ascii="Arial" w:hAnsi="Arial" w:cs="Arial"/>
          <w:sz w:val="22"/>
          <w:szCs w:val="22"/>
        </w:rPr>
        <w:t xml:space="preserve">Im Speziellen ist auch noch auf </w:t>
      </w:r>
      <w:proofErr w:type="spellStart"/>
      <w:r w:rsidRPr="00374178">
        <w:rPr>
          <w:rFonts w:ascii="Arial" w:hAnsi="Arial" w:cs="Arial"/>
          <w:sz w:val="22"/>
          <w:szCs w:val="22"/>
        </w:rPr>
        <w:t>Rz</w:t>
      </w:r>
      <w:proofErr w:type="spellEnd"/>
      <w:r w:rsidRPr="00374178">
        <w:rPr>
          <w:rFonts w:ascii="Arial" w:hAnsi="Arial" w:cs="Arial"/>
          <w:sz w:val="22"/>
          <w:szCs w:val="22"/>
        </w:rPr>
        <w:t xml:space="preserve"> 321 des Entwurfs der Leitlinien einzugehen, </w:t>
      </w:r>
      <w:r w:rsidR="004A1B32" w:rsidRPr="00374178">
        <w:rPr>
          <w:rFonts w:ascii="Arial" w:hAnsi="Arial" w:cs="Arial"/>
          <w:sz w:val="22"/>
          <w:szCs w:val="22"/>
        </w:rPr>
        <w:t>die</w:t>
      </w:r>
      <w:r w:rsidRPr="00374178">
        <w:rPr>
          <w:rFonts w:ascii="Arial" w:hAnsi="Arial" w:cs="Arial"/>
          <w:sz w:val="22"/>
          <w:szCs w:val="22"/>
        </w:rPr>
        <w:t xml:space="preserve"> nun erstmals zusätzliche kumulative Anforderungen </w:t>
      </w:r>
      <w:r w:rsidR="004A1B32" w:rsidRPr="00374178">
        <w:rPr>
          <w:rFonts w:ascii="Arial" w:hAnsi="Arial" w:cs="Arial"/>
          <w:sz w:val="22"/>
          <w:szCs w:val="22"/>
        </w:rPr>
        <w:t>vorsieht</w:t>
      </w:r>
      <w:r w:rsidRPr="00374178">
        <w:rPr>
          <w:rFonts w:ascii="Arial" w:hAnsi="Arial" w:cs="Arial"/>
          <w:sz w:val="22"/>
          <w:szCs w:val="22"/>
        </w:rPr>
        <w:t xml:space="preserve"> für strategische Reserven und andere Maßnahmen, bei denen Kapazitäten außerhalb</w:t>
      </w:r>
      <w:r w:rsidR="00B1036A" w:rsidRPr="00374178">
        <w:rPr>
          <w:rFonts w:ascii="Arial" w:hAnsi="Arial" w:cs="Arial"/>
          <w:sz w:val="22"/>
          <w:szCs w:val="22"/>
        </w:rPr>
        <w:t xml:space="preserve"> des Marktes vorgehalten werden:</w:t>
      </w:r>
    </w:p>
    <w:p w14:paraId="084D1991" w14:textId="3C54E7A5" w:rsidR="00E265B5" w:rsidRPr="00374178" w:rsidRDefault="00E265B5" w:rsidP="00EE26A1">
      <w:pPr>
        <w:pStyle w:val="EH-Text"/>
        <w:keepNext/>
        <w:spacing w:after="160" w:line="360" w:lineRule="auto"/>
        <w:ind w:left="1134"/>
        <w:contextualSpacing/>
        <w:rPr>
          <w:rFonts w:ascii="Arial" w:hAnsi="Arial" w:cs="Arial"/>
          <w:b/>
          <w:sz w:val="22"/>
          <w:szCs w:val="22"/>
        </w:rPr>
      </w:pPr>
      <w:r w:rsidRPr="00374178">
        <w:rPr>
          <w:rFonts w:ascii="Arial" w:hAnsi="Arial" w:cs="Arial"/>
          <w:b/>
          <w:sz w:val="22"/>
          <w:szCs w:val="22"/>
        </w:rPr>
        <w:t xml:space="preserve">Randnummer 321 </w:t>
      </w:r>
      <w:r w:rsidR="003B76AD" w:rsidRPr="00374178">
        <w:rPr>
          <w:rFonts w:ascii="Arial" w:hAnsi="Arial" w:cs="Arial"/>
          <w:b/>
          <w:sz w:val="22"/>
          <w:szCs w:val="22"/>
        </w:rPr>
        <w:t>(Keine negativen Wettbewerbsauswirkungen)</w:t>
      </w:r>
    </w:p>
    <w:p w14:paraId="6AAE6CC3" w14:textId="0E05AF6C" w:rsidR="00E265B5" w:rsidRPr="00374178" w:rsidRDefault="00EC16EB" w:rsidP="00EE26A1">
      <w:pPr>
        <w:pStyle w:val="EH-Text"/>
        <w:spacing w:after="160" w:line="360" w:lineRule="auto"/>
        <w:ind w:left="1134"/>
        <w:rPr>
          <w:rFonts w:ascii="Arial" w:hAnsi="Arial" w:cs="Arial"/>
          <w:i/>
          <w:sz w:val="22"/>
          <w:szCs w:val="22"/>
          <w:lang w:val="de-AT"/>
        </w:rPr>
      </w:pPr>
      <w:r w:rsidRPr="00374178">
        <w:rPr>
          <w:rFonts w:ascii="Arial" w:hAnsi="Arial" w:cs="Arial"/>
          <w:sz w:val="22"/>
          <w:szCs w:val="22"/>
          <w:lang w:val="de-AT"/>
        </w:rPr>
        <w:t>"</w:t>
      </w:r>
      <w:r w:rsidR="00E265B5" w:rsidRPr="00374178">
        <w:rPr>
          <w:rFonts w:ascii="Arial" w:hAnsi="Arial" w:cs="Arial"/>
          <w:i/>
          <w:sz w:val="22"/>
          <w:szCs w:val="22"/>
          <w:lang w:val="de-AT"/>
        </w:rPr>
        <w:t xml:space="preserve">Um </w:t>
      </w:r>
      <w:r w:rsidR="00E265B5" w:rsidRPr="00374178">
        <w:rPr>
          <w:rFonts w:ascii="Arial" w:hAnsi="Arial" w:cs="Arial"/>
          <w:i/>
          <w:sz w:val="22"/>
          <w:szCs w:val="22"/>
        </w:rPr>
        <w:t>sicherzustellen</w:t>
      </w:r>
      <w:r w:rsidR="00E265B5" w:rsidRPr="00374178">
        <w:rPr>
          <w:rFonts w:ascii="Arial" w:hAnsi="Arial" w:cs="Arial"/>
          <w:i/>
          <w:sz w:val="22"/>
          <w:szCs w:val="22"/>
          <w:lang w:val="de-AT"/>
        </w:rPr>
        <w:t>, dass die Marktpreisbildung nicht verzerrt wird, gelten für strategische Reserven und andere Maßnahmen, bei denen Kapazitäten außerhalb des Marktes vorgehalten werden, folgende zusätzliche kumulative Anforderungen:</w:t>
      </w:r>
    </w:p>
    <w:p w14:paraId="408F6023" w14:textId="00659F62" w:rsidR="00E265B5" w:rsidRPr="00374178" w:rsidRDefault="00E265B5" w:rsidP="00EE26A1">
      <w:pPr>
        <w:pStyle w:val="EH-Text"/>
        <w:spacing w:after="160" w:line="360" w:lineRule="auto"/>
        <w:ind w:left="1134"/>
        <w:rPr>
          <w:rFonts w:ascii="Arial" w:hAnsi="Arial" w:cs="Arial"/>
          <w:i/>
          <w:sz w:val="22"/>
          <w:szCs w:val="22"/>
          <w:lang w:val="de-AT"/>
        </w:rPr>
      </w:pPr>
      <w:r w:rsidRPr="00374178">
        <w:rPr>
          <w:rFonts w:ascii="Arial" w:hAnsi="Arial" w:cs="Arial"/>
          <w:i/>
          <w:sz w:val="22"/>
          <w:szCs w:val="22"/>
          <w:lang w:val="de-AT"/>
        </w:rPr>
        <w:t xml:space="preserve">(a) Die </w:t>
      </w:r>
      <w:r w:rsidRPr="00374178">
        <w:rPr>
          <w:rFonts w:ascii="Arial" w:hAnsi="Arial" w:cs="Arial"/>
          <w:i/>
          <w:sz w:val="22"/>
          <w:szCs w:val="22"/>
        </w:rPr>
        <w:t>Ressourcen</w:t>
      </w:r>
      <w:r w:rsidRPr="00374178">
        <w:rPr>
          <w:rFonts w:ascii="Arial" w:hAnsi="Arial" w:cs="Arial"/>
          <w:i/>
          <w:sz w:val="22"/>
          <w:szCs w:val="22"/>
          <w:lang w:val="de-AT"/>
        </w:rPr>
        <w:t xml:space="preserve"> der Maßnahme dürfen nur dann eingesetzt werden, wenn damit zu rechnen ist, dass die Übertragungsnetzbetreiber ihre Ressourcen zum Systemausgleich ausschöpfen werden, um ein Gleichgewicht zwischen Angebot und Nachfrage herzustellen.</w:t>
      </w:r>
    </w:p>
    <w:p w14:paraId="5767FCC0" w14:textId="2936B06B" w:rsidR="00E265B5" w:rsidRPr="00374178" w:rsidRDefault="00E265B5" w:rsidP="00EE26A1">
      <w:pPr>
        <w:pStyle w:val="EH-Text"/>
        <w:spacing w:after="160" w:line="360" w:lineRule="auto"/>
        <w:ind w:left="1134"/>
        <w:rPr>
          <w:rFonts w:ascii="Arial" w:hAnsi="Arial" w:cs="Arial"/>
          <w:i/>
          <w:sz w:val="22"/>
          <w:szCs w:val="22"/>
          <w:lang w:val="de-AT"/>
        </w:rPr>
      </w:pPr>
      <w:r w:rsidRPr="00374178">
        <w:rPr>
          <w:rFonts w:ascii="Arial" w:hAnsi="Arial" w:cs="Arial"/>
          <w:i/>
          <w:sz w:val="22"/>
          <w:szCs w:val="22"/>
          <w:lang w:val="de-AT"/>
        </w:rPr>
        <w:t xml:space="preserve">(b) </w:t>
      </w:r>
      <w:r w:rsidRPr="00374178">
        <w:rPr>
          <w:rFonts w:ascii="Arial" w:hAnsi="Arial" w:cs="Arial"/>
          <w:i/>
          <w:sz w:val="22"/>
          <w:szCs w:val="22"/>
        </w:rPr>
        <w:t>Während</w:t>
      </w:r>
      <w:r w:rsidRPr="00374178">
        <w:rPr>
          <w:rFonts w:ascii="Arial" w:hAnsi="Arial" w:cs="Arial"/>
          <w:i/>
          <w:sz w:val="22"/>
          <w:szCs w:val="22"/>
          <w:lang w:val="de-AT"/>
        </w:rPr>
        <w:t xml:space="preserve"> Bilanzkreisabrechnungszeitintervallen, in denen es zum Dispatch von Ressourcen der Maßnahme kommt, werden Bilanzkreisabweichungen auf dem Markt mindestens zum Wert der Zahlungsbereitschaft für die Beibehaltung der Stromversorgung oder zu einem Wert oberhalb der technischen Preisgrenze für den Intraday-Handel abgerechnet, wobei jeweils der höhere Wert herangezogen wird.</w:t>
      </w:r>
    </w:p>
    <w:p w14:paraId="4B582A04" w14:textId="77777777" w:rsidR="00E265B5" w:rsidRPr="00374178" w:rsidRDefault="00E265B5" w:rsidP="00EE26A1">
      <w:pPr>
        <w:pStyle w:val="EH-Text"/>
        <w:spacing w:after="160" w:line="360" w:lineRule="auto"/>
        <w:ind w:left="1134"/>
        <w:rPr>
          <w:rFonts w:ascii="Arial" w:hAnsi="Arial" w:cs="Arial"/>
          <w:i/>
          <w:sz w:val="22"/>
          <w:szCs w:val="22"/>
          <w:lang w:val="de-AT"/>
        </w:rPr>
      </w:pPr>
      <w:r w:rsidRPr="00374178">
        <w:rPr>
          <w:rFonts w:ascii="Arial" w:hAnsi="Arial" w:cs="Arial"/>
          <w:i/>
          <w:sz w:val="22"/>
          <w:szCs w:val="22"/>
          <w:lang w:val="de-AT"/>
        </w:rPr>
        <w:t xml:space="preserve">(c) Der </w:t>
      </w:r>
      <w:r w:rsidRPr="00374178">
        <w:rPr>
          <w:rFonts w:ascii="Arial" w:hAnsi="Arial" w:cs="Arial"/>
          <w:i/>
          <w:sz w:val="22"/>
          <w:szCs w:val="22"/>
        </w:rPr>
        <w:t>Output</w:t>
      </w:r>
      <w:r w:rsidRPr="00374178">
        <w:rPr>
          <w:rFonts w:ascii="Arial" w:hAnsi="Arial" w:cs="Arial"/>
          <w:i/>
          <w:sz w:val="22"/>
          <w:szCs w:val="22"/>
          <w:lang w:val="de-AT"/>
        </w:rPr>
        <w:t xml:space="preserve"> der Maßnahme nach dem Dispatch wird den Bilanzkreisverantwortlichen über den Mechanismus zur Abrechnung von Bilanzkreisabweichungen zugerechnet.</w:t>
      </w:r>
    </w:p>
    <w:p w14:paraId="3412F1B3" w14:textId="252DC8AA" w:rsidR="00E265B5" w:rsidRPr="00374178" w:rsidRDefault="00E265B5" w:rsidP="00EE26A1">
      <w:pPr>
        <w:pStyle w:val="EH-Text"/>
        <w:spacing w:after="240" w:line="360" w:lineRule="auto"/>
        <w:ind w:left="1134"/>
        <w:rPr>
          <w:rFonts w:ascii="Arial" w:hAnsi="Arial" w:cs="Arial"/>
          <w:sz w:val="22"/>
          <w:szCs w:val="22"/>
        </w:rPr>
      </w:pPr>
      <w:r w:rsidRPr="00374178">
        <w:rPr>
          <w:rFonts w:ascii="Arial" w:hAnsi="Arial" w:cs="Arial"/>
          <w:i/>
          <w:sz w:val="22"/>
          <w:szCs w:val="22"/>
          <w:lang w:val="de-AT"/>
        </w:rPr>
        <w:t>(d) Die Ressourcen der Maßnahme müssen mindestens während der Vertragslaufzeit außerhalb der Energiemärkte vorgehalten werden</w:t>
      </w:r>
      <w:r w:rsidRPr="00374178">
        <w:rPr>
          <w:rFonts w:ascii="Arial" w:hAnsi="Arial" w:cs="Arial"/>
          <w:sz w:val="22"/>
          <w:szCs w:val="22"/>
          <w:lang w:val="de-AT"/>
        </w:rPr>
        <w:t>.</w:t>
      </w:r>
      <w:r w:rsidR="00EC16EB" w:rsidRPr="00374178">
        <w:rPr>
          <w:rFonts w:ascii="Arial" w:hAnsi="Arial" w:cs="Arial"/>
          <w:sz w:val="22"/>
          <w:szCs w:val="22"/>
          <w:lang w:val="de-AT"/>
        </w:rPr>
        <w:t>"</w:t>
      </w:r>
    </w:p>
    <w:p w14:paraId="531D67F6" w14:textId="4DE56159" w:rsidR="00E265B5" w:rsidRPr="00374178" w:rsidRDefault="00E265B5" w:rsidP="00EE26A1">
      <w:pPr>
        <w:pStyle w:val="EH-Text"/>
        <w:spacing w:after="160" w:line="360" w:lineRule="auto"/>
        <w:rPr>
          <w:rFonts w:ascii="Arial" w:hAnsi="Arial" w:cs="Arial"/>
          <w:sz w:val="22"/>
          <w:szCs w:val="22"/>
          <w:lang w:val="de-AT"/>
        </w:rPr>
      </w:pPr>
      <w:bookmarkStart w:id="16" w:name="_Hlk78207055"/>
      <w:r w:rsidRPr="00374178">
        <w:rPr>
          <w:rFonts w:ascii="Arial" w:hAnsi="Arial" w:cs="Arial"/>
          <w:sz w:val="22"/>
          <w:szCs w:val="22"/>
        </w:rPr>
        <w:t>Die</w:t>
      </w:r>
      <w:r w:rsidRPr="00374178">
        <w:rPr>
          <w:rFonts w:ascii="Arial" w:hAnsi="Arial" w:cs="Arial"/>
          <w:sz w:val="22"/>
          <w:szCs w:val="22"/>
          <w:lang w:val="de-AT"/>
        </w:rPr>
        <w:t xml:space="preserve"> Unterpunkte (a) – (c) stellen nach unserem Verständnis auf </w:t>
      </w:r>
      <w:r w:rsidR="004A1B32" w:rsidRPr="00374178">
        <w:rPr>
          <w:rFonts w:ascii="Arial" w:hAnsi="Arial" w:cs="Arial"/>
          <w:sz w:val="22"/>
          <w:szCs w:val="22"/>
          <w:lang w:val="de-AT"/>
        </w:rPr>
        <w:t xml:space="preserve">den </w:t>
      </w:r>
      <w:r w:rsidRPr="00374178">
        <w:rPr>
          <w:rFonts w:ascii="Arial" w:hAnsi="Arial" w:cs="Arial"/>
          <w:sz w:val="22"/>
          <w:szCs w:val="22"/>
          <w:lang w:val="de-AT"/>
        </w:rPr>
        <w:t>tatsächliche</w:t>
      </w:r>
      <w:r w:rsidR="004A1B32" w:rsidRPr="00374178">
        <w:rPr>
          <w:rFonts w:ascii="Arial" w:hAnsi="Arial" w:cs="Arial"/>
          <w:sz w:val="22"/>
          <w:szCs w:val="22"/>
          <w:lang w:val="de-AT"/>
        </w:rPr>
        <w:t>n</w:t>
      </w:r>
      <w:r w:rsidRPr="00374178">
        <w:rPr>
          <w:rFonts w:ascii="Arial" w:hAnsi="Arial" w:cs="Arial"/>
          <w:sz w:val="22"/>
          <w:szCs w:val="22"/>
          <w:lang w:val="de-AT"/>
        </w:rPr>
        <w:t xml:space="preserve"> Abruf der strategischen Reserve durch den Übertragungsnetzbetreiber ab. Bei den genannten Anforderungen </w:t>
      </w:r>
      <w:r w:rsidR="004A1B32" w:rsidRPr="00374178">
        <w:rPr>
          <w:rFonts w:ascii="Arial" w:hAnsi="Arial" w:cs="Arial"/>
          <w:sz w:val="22"/>
          <w:szCs w:val="22"/>
          <w:lang w:val="de-AT"/>
        </w:rPr>
        <w:t xml:space="preserve">werden jedoch diverse Themenbereiche ohne die gebotene Differenzierung gemeinsam behandelt, </w:t>
      </w:r>
      <w:bookmarkStart w:id="17" w:name="_Hlk78207812"/>
      <w:r w:rsidR="004A1B32" w:rsidRPr="00374178">
        <w:rPr>
          <w:rFonts w:ascii="Arial" w:hAnsi="Arial" w:cs="Arial"/>
          <w:sz w:val="22"/>
          <w:szCs w:val="22"/>
          <w:lang w:val="de-AT"/>
        </w:rPr>
        <w:t>was</w:t>
      </w:r>
      <w:r w:rsidRPr="00374178">
        <w:rPr>
          <w:rFonts w:ascii="Arial" w:hAnsi="Arial" w:cs="Arial"/>
          <w:sz w:val="22"/>
          <w:szCs w:val="22"/>
          <w:lang w:val="de-AT"/>
        </w:rPr>
        <w:t xml:space="preserve"> in der Praxis zu Schwierigkeiten führen könnte</w:t>
      </w:r>
      <w:bookmarkEnd w:id="17"/>
      <w:r w:rsidRPr="00374178">
        <w:rPr>
          <w:rFonts w:ascii="Arial" w:hAnsi="Arial" w:cs="Arial"/>
          <w:sz w:val="22"/>
          <w:szCs w:val="22"/>
          <w:lang w:val="de-AT"/>
        </w:rPr>
        <w:t>.</w:t>
      </w:r>
      <w:bookmarkEnd w:id="16"/>
      <w:r w:rsidRPr="00374178">
        <w:rPr>
          <w:rFonts w:ascii="Arial" w:hAnsi="Arial" w:cs="Arial"/>
          <w:sz w:val="22"/>
          <w:szCs w:val="22"/>
          <w:lang w:val="de-AT"/>
        </w:rPr>
        <w:t xml:space="preserve"> So verlangt etwa Unterpunkt (b) einen Eingriff in den Markt, weil sich der am Markt verrechnete Preis an jenem zu orientieren hat, der für die im Rahmen der strategischen Reserve abgerufenen Menge gezahlt wird. </w:t>
      </w:r>
      <w:r w:rsidR="004A1B32" w:rsidRPr="00374178">
        <w:rPr>
          <w:rFonts w:ascii="Arial" w:hAnsi="Arial" w:cs="Arial"/>
          <w:sz w:val="22"/>
          <w:szCs w:val="22"/>
          <w:lang w:val="de-AT"/>
        </w:rPr>
        <w:t xml:space="preserve">Demzufolge </w:t>
      </w:r>
      <w:r w:rsidRPr="00374178">
        <w:rPr>
          <w:rFonts w:ascii="Arial" w:hAnsi="Arial" w:cs="Arial"/>
          <w:sz w:val="22"/>
          <w:szCs w:val="22"/>
          <w:lang w:val="de-AT"/>
        </w:rPr>
        <w:t xml:space="preserve">müssten </w:t>
      </w:r>
      <w:r w:rsidR="004A1B32" w:rsidRPr="00374178">
        <w:rPr>
          <w:rFonts w:ascii="Arial" w:hAnsi="Arial" w:cs="Arial"/>
          <w:sz w:val="22"/>
          <w:szCs w:val="22"/>
          <w:lang w:val="de-AT"/>
        </w:rPr>
        <w:t xml:space="preserve">also </w:t>
      </w:r>
      <w:r w:rsidRPr="00374178">
        <w:rPr>
          <w:rFonts w:ascii="Arial" w:hAnsi="Arial" w:cs="Arial"/>
          <w:sz w:val="22"/>
          <w:szCs w:val="22"/>
          <w:lang w:val="de-AT"/>
        </w:rPr>
        <w:t xml:space="preserve">für eine Beihilfengewährung auch die Regelungen für die Marktpreisbildung entsprechend angepasst werden. Laut Unterpunkt (c) wird die Maßnahme dem Bilanzkreisverantwortlichen zugerechnet. Dieser Mechanismus betrifft eine völlig andere Ebene, nämliche jene des Bilanzkreisverantwortlichen und dessen Abrechnungsmechanismus. Eine solche Zurechnung ist wiederum </w:t>
      </w:r>
      <w:r w:rsidR="00B1036A" w:rsidRPr="00374178">
        <w:rPr>
          <w:rFonts w:ascii="Arial" w:hAnsi="Arial" w:cs="Arial"/>
          <w:sz w:val="22"/>
          <w:szCs w:val="22"/>
          <w:lang w:val="de-AT"/>
        </w:rPr>
        <w:t xml:space="preserve">insofern </w:t>
      </w:r>
      <w:r w:rsidRPr="00374178">
        <w:rPr>
          <w:rFonts w:ascii="Arial" w:hAnsi="Arial" w:cs="Arial"/>
          <w:sz w:val="22"/>
          <w:szCs w:val="22"/>
          <w:lang w:val="de-AT"/>
        </w:rPr>
        <w:t xml:space="preserve">unzutreffend, </w:t>
      </w:r>
      <w:r w:rsidR="00B1036A" w:rsidRPr="00374178">
        <w:rPr>
          <w:rFonts w:ascii="Arial" w:hAnsi="Arial" w:cs="Arial"/>
          <w:sz w:val="22"/>
          <w:szCs w:val="22"/>
          <w:lang w:val="de-AT"/>
        </w:rPr>
        <w:t xml:space="preserve">als </w:t>
      </w:r>
      <w:r w:rsidRPr="00374178">
        <w:rPr>
          <w:rFonts w:ascii="Arial" w:hAnsi="Arial" w:cs="Arial"/>
          <w:sz w:val="22"/>
          <w:szCs w:val="22"/>
          <w:lang w:val="de-AT"/>
        </w:rPr>
        <w:t xml:space="preserve">die Abrufung der strategischen Reserve </w:t>
      </w:r>
      <w:r w:rsidR="004A1B32" w:rsidRPr="00374178">
        <w:rPr>
          <w:rFonts w:ascii="Arial" w:hAnsi="Arial" w:cs="Arial"/>
          <w:sz w:val="22"/>
          <w:szCs w:val="22"/>
          <w:lang w:val="de-AT"/>
        </w:rPr>
        <w:t>– wie erwähnt – häufig auf Umstände zurückzuführen ist</w:t>
      </w:r>
      <w:r w:rsidRPr="00374178">
        <w:rPr>
          <w:rFonts w:ascii="Arial" w:hAnsi="Arial" w:cs="Arial"/>
          <w:sz w:val="22"/>
          <w:szCs w:val="22"/>
          <w:lang w:val="de-AT"/>
        </w:rPr>
        <w:t xml:space="preserve">, die außerhalb des </w:t>
      </w:r>
      <w:r w:rsidR="004A1B32" w:rsidRPr="00374178">
        <w:rPr>
          <w:rFonts w:ascii="Arial" w:hAnsi="Arial" w:cs="Arial"/>
          <w:sz w:val="22"/>
          <w:szCs w:val="22"/>
          <w:lang w:val="de-AT"/>
        </w:rPr>
        <w:t xml:space="preserve">betreffenden </w:t>
      </w:r>
      <w:r w:rsidRPr="00374178">
        <w:rPr>
          <w:rFonts w:ascii="Arial" w:hAnsi="Arial" w:cs="Arial"/>
          <w:sz w:val="22"/>
          <w:szCs w:val="22"/>
          <w:lang w:val="de-AT"/>
        </w:rPr>
        <w:t xml:space="preserve">Mitgliedstaates </w:t>
      </w:r>
      <w:r w:rsidR="004A1B32" w:rsidRPr="00374178">
        <w:rPr>
          <w:rFonts w:ascii="Arial" w:hAnsi="Arial" w:cs="Arial"/>
          <w:sz w:val="22"/>
          <w:szCs w:val="22"/>
          <w:lang w:val="de-AT"/>
        </w:rPr>
        <w:t>liegen</w:t>
      </w:r>
      <w:r w:rsidRPr="00374178">
        <w:rPr>
          <w:rFonts w:ascii="Arial" w:hAnsi="Arial" w:cs="Arial"/>
          <w:sz w:val="22"/>
          <w:szCs w:val="22"/>
          <w:lang w:val="de-AT"/>
        </w:rPr>
        <w:t>.</w:t>
      </w:r>
      <w:r w:rsidR="000975A1" w:rsidRPr="00374178">
        <w:rPr>
          <w:rFonts w:ascii="Arial" w:hAnsi="Arial" w:cs="Arial"/>
          <w:sz w:val="22"/>
          <w:szCs w:val="22"/>
          <w:lang w:val="de-AT"/>
        </w:rPr>
        <w:t xml:space="preserve"> </w:t>
      </w:r>
    </w:p>
    <w:p w14:paraId="1EEAF57C" w14:textId="7FDE9010" w:rsidR="008D049B" w:rsidRPr="00374178" w:rsidRDefault="00E265B5" w:rsidP="00EE26A1">
      <w:pPr>
        <w:pStyle w:val="EH-Text"/>
        <w:spacing w:after="160" w:line="360" w:lineRule="auto"/>
        <w:rPr>
          <w:rFonts w:ascii="Arial" w:hAnsi="Arial" w:cs="Arial"/>
          <w:sz w:val="22"/>
          <w:szCs w:val="22"/>
          <w:lang w:val="de-AT"/>
        </w:rPr>
      </w:pPr>
      <w:bookmarkStart w:id="18" w:name="_Hlk78207143"/>
      <w:r w:rsidRPr="00374178">
        <w:rPr>
          <w:rFonts w:ascii="Arial" w:hAnsi="Arial" w:cs="Arial"/>
          <w:sz w:val="22"/>
          <w:szCs w:val="22"/>
          <w:lang w:val="de-AT"/>
        </w:rPr>
        <w:t>Zu Unterpunkt (d) wäre hinsichtlich der Wortfolge "</w:t>
      </w:r>
      <w:r w:rsidRPr="00374178">
        <w:rPr>
          <w:rFonts w:ascii="Arial" w:hAnsi="Arial" w:cs="Arial"/>
          <w:i/>
          <w:sz w:val="22"/>
          <w:szCs w:val="22"/>
          <w:lang w:val="de-AT"/>
        </w:rPr>
        <w:t>mindestens während der Vertragslaufzeit</w:t>
      </w:r>
      <w:r w:rsidRPr="00374178">
        <w:rPr>
          <w:rFonts w:ascii="Arial" w:hAnsi="Arial" w:cs="Arial"/>
          <w:sz w:val="22"/>
          <w:szCs w:val="22"/>
          <w:lang w:val="de-AT"/>
        </w:rPr>
        <w:t xml:space="preserve">" eine Klarstellung wünschenswert, </w:t>
      </w:r>
      <w:r w:rsidR="00EC16EB" w:rsidRPr="00374178">
        <w:rPr>
          <w:rFonts w:ascii="Arial" w:hAnsi="Arial" w:cs="Arial"/>
          <w:sz w:val="22"/>
          <w:szCs w:val="22"/>
          <w:lang w:val="de-AT"/>
        </w:rPr>
        <w:t>wonach</w:t>
      </w:r>
      <w:r w:rsidRPr="00374178">
        <w:rPr>
          <w:rFonts w:ascii="Arial" w:hAnsi="Arial" w:cs="Arial"/>
          <w:sz w:val="22"/>
          <w:szCs w:val="22"/>
          <w:lang w:val="de-AT"/>
        </w:rPr>
        <w:t xml:space="preserve"> die Teilnahme der Ressource am Energiemarkt nach der </w:t>
      </w:r>
      <w:r w:rsidR="0087572E" w:rsidRPr="00374178">
        <w:rPr>
          <w:rFonts w:ascii="Arial" w:hAnsi="Arial" w:cs="Arial"/>
          <w:sz w:val="22"/>
          <w:szCs w:val="22"/>
          <w:lang w:val="de-AT"/>
        </w:rPr>
        <w:t xml:space="preserve">vergüteten </w:t>
      </w:r>
      <w:r w:rsidRPr="00374178">
        <w:rPr>
          <w:rFonts w:ascii="Arial" w:hAnsi="Arial" w:cs="Arial"/>
          <w:sz w:val="22"/>
          <w:szCs w:val="22"/>
          <w:lang w:val="de-AT"/>
        </w:rPr>
        <w:t xml:space="preserve">Vertragslaufzeit </w:t>
      </w:r>
      <w:r w:rsidR="0087572E" w:rsidRPr="00374178">
        <w:rPr>
          <w:rFonts w:ascii="Arial" w:hAnsi="Arial" w:cs="Arial"/>
          <w:sz w:val="22"/>
          <w:szCs w:val="22"/>
          <w:lang w:val="de-AT"/>
        </w:rPr>
        <w:t xml:space="preserve">der strategischen Reserve </w:t>
      </w:r>
      <w:r w:rsidRPr="00374178">
        <w:rPr>
          <w:rFonts w:ascii="Arial" w:hAnsi="Arial" w:cs="Arial"/>
          <w:sz w:val="22"/>
          <w:szCs w:val="22"/>
          <w:lang w:val="de-AT"/>
        </w:rPr>
        <w:t>wieder möglich ist.</w:t>
      </w:r>
      <w:r w:rsidR="008D049B" w:rsidRPr="00374178">
        <w:rPr>
          <w:rFonts w:ascii="Arial" w:hAnsi="Arial" w:cs="Arial"/>
          <w:sz w:val="22"/>
          <w:szCs w:val="22"/>
          <w:lang w:val="de-AT"/>
        </w:rPr>
        <w:t xml:space="preserve"> Der derzeitige Text lässt nämlich offen, ob die Teilnahme an der strategischen Reserve auch Betreibern von Kraftwerken offensteht, die nur temporär (</w:t>
      </w:r>
      <w:proofErr w:type="spellStart"/>
      <w:r w:rsidR="008D049B" w:rsidRPr="00374178">
        <w:rPr>
          <w:rFonts w:ascii="Arial" w:hAnsi="Arial" w:cs="Arial"/>
          <w:sz w:val="22"/>
          <w:szCs w:val="22"/>
          <w:lang w:val="de-AT"/>
        </w:rPr>
        <w:t>zB</w:t>
      </w:r>
      <w:proofErr w:type="spellEnd"/>
      <w:r w:rsidR="008D049B" w:rsidRPr="00374178">
        <w:rPr>
          <w:rFonts w:ascii="Arial" w:hAnsi="Arial" w:cs="Arial"/>
          <w:sz w:val="22"/>
          <w:szCs w:val="22"/>
          <w:lang w:val="de-AT"/>
        </w:rPr>
        <w:t xml:space="preserve"> saisonal) stillgelegt werden</w:t>
      </w:r>
      <w:r w:rsidR="0087572E" w:rsidRPr="00374178">
        <w:rPr>
          <w:rFonts w:ascii="Arial" w:hAnsi="Arial" w:cs="Arial"/>
          <w:sz w:val="22"/>
          <w:szCs w:val="22"/>
          <w:lang w:val="de-AT"/>
        </w:rPr>
        <w:t xml:space="preserve"> und in der verbleibenden Zeit aktiv am Markt teilnehmen</w:t>
      </w:r>
      <w:r w:rsidR="008D049B" w:rsidRPr="00374178">
        <w:rPr>
          <w:rFonts w:ascii="Arial" w:hAnsi="Arial" w:cs="Arial"/>
          <w:sz w:val="22"/>
          <w:szCs w:val="22"/>
          <w:lang w:val="de-AT"/>
        </w:rPr>
        <w:t>,</w:t>
      </w:r>
      <w:r w:rsidR="0087572E" w:rsidRPr="00374178">
        <w:rPr>
          <w:rFonts w:ascii="Arial" w:hAnsi="Arial" w:cs="Arial"/>
          <w:sz w:val="22"/>
          <w:szCs w:val="22"/>
          <w:lang w:val="de-AT"/>
        </w:rPr>
        <w:t xml:space="preserve"> </w:t>
      </w:r>
      <w:r w:rsidR="008D049B" w:rsidRPr="00374178">
        <w:rPr>
          <w:rFonts w:ascii="Arial" w:hAnsi="Arial" w:cs="Arial"/>
          <w:sz w:val="22"/>
          <w:szCs w:val="22"/>
          <w:lang w:val="de-AT"/>
        </w:rPr>
        <w:t xml:space="preserve">wie dies </w:t>
      </w:r>
      <w:r w:rsidR="0087572E" w:rsidRPr="00374178">
        <w:rPr>
          <w:rFonts w:ascii="Arial" w:hAnsi="Arial" w:cs="Arial"/>
          <w:sz w:val="22"/>
          <w:szCs w:val="22"/>
          <w:lang w:val="de-AT"/>
        </w:rPr>
        <w:t xml:space="preserve">insbesondere </w:t>
      </w:r>
      <w:r w:rsidR="008D049B" w:rsidRPr="00374178">
        <w:rPr>
          <w:rFonts w:ascii="Arial" w:hAnsi="Arial" w:cs="Arial"/>
          <w:sz w:val="22"/>
          <w:szCs w:val="22"/>
          <w:lang w:val="de-AT"/>
        </w:rPr>
        <w:t xml:space="preserve">bei KWK-Anlagen regelmäßig der Fall ist. Dies könnte in der Praxis zu Auslegungsschwierigkeiten führen, wenn Ressourcen derartiger KWK-Anlagen </w:t>
      </w:r>
      <w:r w:rsidR="00F41681" w:rsidRPr="00374178">
        <w:rPr>
          <w:rFonts w:ascii="Arial" w:hAnsi="Arial" w:cs="Arial"/>
          <w:sz w:val="22"/>
          <w:szCs w:val="22"/>
          <w:lang w:val="de-AT"/>
        </w:rPr>
        <w:t xml:space="preserve">in der </w:t>
      </w:r>
      <w:r w:rsidR="008D049B" w:rsidRPr="00374178">
        <w:rPr>
          <w:rFonts w:ascii="Arial" w:hAnsi="Arial" w:cs="Arial"/>
          <w:sz w:val="22"/>
          <w:szCs w:val="22"/>
          <w:lang w:val="de-AT"/>
        </w:rPr>
        <w:t xml:space="preserve">Sommersaison als strategische </w:t>
      </w:r>
      <w:r w:rsidR="0087572E" w:rsidRPr="00374178">
        <w:rPr>
          <w:rFonts w:ascii="Arial" w:hAnsi="Arial" w:cs="Arial"/>
          <w:sz w:val="22"/>
          <w:szCs w:val="22"/>
          <w:lang w:val="de-AT"/>
        </w:rPr>
        <w:t xml:space="preserve">Reserve </w:t>
      </w:r>
      <w:r w:rsidR="008D049B" w:rsidRPr="00374178">
        <w:rPr>
          <w:rFonts w:ascii="Arial" w:hAnsi="Arial" w:cs="Arial"/>
          <w:sz w:val="22"/>
          <w:szCs w:val="22"/>
          <w:lang w:val="de-AT"/>
        </w:rPr>
        <w:t xml:space="preserve">zur Verfügung stehen, </w:t>
      </w:r>
      <w:r w:rsidR="00F41681" w:rsidRPr="00374178">
        <w:rPr>
          <w:rFonts w:ascii="Arial" w:hAnsi="Arial" w:cs="Arial"/>
          <w:sz w:val="22"/>
          <w:szCs w:val="22"/>
          <w:lang w:val="de-AT"/>
        </w:rPr>
        <w:t xml:space="preserve">in der </w:t>
      </w:r>
      <w:r w:rsidR="008D049B" w:rsidRPr="00374178">
        <w:rPr>
          <w:rFonts w:ascii="Arial" w:hAnsi="Arial" w:cs="Arial"/>
          <w:sz w:val="22"/>
          <w:szCs w:val="22"/>
          <w:lang w:val="de-AT"/>
        </w:rPr>
        <w:t>Wintersaison aber wieder am Markt teilnehmen und für mehrere solche</w:t>
      </w:r>
      <w:r w:rsidR="000975A1" w:rsidRPr="00374178">
        <w:rPr>
          <w:rFonts w:ascii="Arial" w:hAnsi="Arial" w:cs="Arial"/>
          <w:sz w:val="22"/>
          <w:szCs w:val="22"/>
          <w:lang w:val="de-AT"/>
        </w:rPr>
        <w:t>r</w:t>
      </w:r>
      <w:r w:rsidR="008D049B" w:rsidRPr="00374178">
        <w:rPr>
          <w:rFonts w:ascii="Arial" w:hAnsi="Arial" w:cs="Arial"/>
          <w:sz w:val="22"/>
          <w:szCs w:val="22"/>
          <w:lang w:val="de-AT"/>
        </w:rPr>
        <w:t xml:space="preserve"> Zeiträume einen einzigen mehrjährigen Vertrag erhalten, der jedoch nur eine Vergütung für jene Zeiträume vorsieht, in denen es zu einer im Rahmen der strategischen Reserve vergüteten Vorhaltung von Ressourcen außerhalb des Energiemarktes kommt</w:t>
      </w:r>
      <w:r w:rsidR="0087572E" w:rsidRPr="00374178">
        <w:rPr>
          <w:rFonts w:ascii="Arial" w:hAnsi="Arial" w:cs="Arial"/>
          <w:sz w:val="22"/>
          <w:szCs w:val="22"/>
          <w:lang w:val="de-AT"/>
        </w:rPr>
        <w:t xml:space="preserve"> </w:t>
      </w:r>
      <w:bookmarkEnd w:id="18"/>
      <w:r w:rsidR="0087572E" w:rsidRPr="00374178">
        <w:rPr>
          <w:rFonts w:ascii="Arial" w:hAnsi="Arial" w:cs="Arial"/>
          <w:sz w:val="22"/>
          <w:szCs w:val="22"/>
          <w:lang w:val="de-AT"/>
        </w:rPr>
        <w:t>(</w:t>
      </w:r>
      <w:r w:rsidR="00F41681" w:rsidRPr="00374178">
        <w:rPr>
          <w:rFonts w:ascii="Arial" w:hAnsi="Arial" w:cs="Arial"/>
          <w:sz w:val="22"/>
          <w:szCs w:val="22"/>
          <w:lang w:val="de-AT"/>
        </w:rPr>
        <w:t xml:space="preserve">wodurch </w:t>
      </w:r>
      <w:r w:rsidR="0087572E" w:rsidRPr="00374178">
        <w:rPr>
          <w:rFonts w:ascii="Arial" w:hAnsi="Arial" w:cs="Arial"/>
          <w:sz w:val="22"/>
          <w:szCs w:val="22"/>
          <w:lang w:val="de-AT"/>
        </w:rPr>
        <w:t xml:space="preserve">im </w:t>
      </w:r>
      <w:r w:rsidR="00F41681" w:rsidRPr="00374178">
        <w:rPr>
          <w:rFonts w:ascii="Arial" w:hAnsi="Arial" w:cs="Arial"/>
          <w:sz w:val="22"/>
          <w:szCs w:val="22"/>
          <w:lang w:val="de-AT"/>
        </w:rPr>
        <w:t xml:space="preserve">vorgenannten </w:t>
      </w:r>
      <w:r w:rsidR="0087572E" w:rsidRPr="00374178">
        <w:rPr>
          <w:rFonts w:ascii="Arial" w:hAnsi="Arial" w:cs="Arial"/>
          <w:sz w:val="22"/>
          <w:szCs w:val="22"/>
          <w:lang w:val="de-AT"/>
        </w:rPr>
        <w:t xml:space="preserve">Beispiel daher </w:t>
      </w:r>
      <w:r w:rsidR="00F41681" w:rsidRPr="00374178">
        <w:rPr>
          <w:rFonts w:ascii="Arial" w:hAnsi="Arial" w:cs="Arial"/>
          <w:sz w:val="22"/>
          <w:szCs w:val="22"/>
          <w:lang w:val="de-AT"/>
        </w:rPr>
        <w:t xml:space="preserve">selbstverständlich nur </w:t>
      </w:r>
      <w:r w:rsidR="0087572E" w:rsidRPr="00374178">
        <w:rPr>
          <w:rFonts w:ascii="Arial" w:hAnsi="Arial" w:cs="Arial"/>
          <w:sz w:val="22"/>
          <w:szCs w:val="22"/>
          <w:lang w:val="de-AT"/>
        </w:rPr>
        <w:t>die Sommersaison aus der strategischen Reserve vergütet</w:t>
      </w:r>
      <w:r w:rsidR="00F41681" w:rsidRPr="00374178">
        <w:rPr>
          <w:rFonts w:ascii="Arial" w:hAnsi="Arial" w:cs="Arial"/>
          <w:sz w:val="22"/>
          <w:szCs w:val="22"/>
          <w:lang w:val="de-AT"/>
        </w:rPr>
        <w:t xml:space="preserve"> würde</w:t>
      </w:r>
      <w:r w:rsidR="0087572E" w:rsidRPr="00374178">
        <w:rPr>
          <w:rFonts w:ascii="Arial" w:hAnsi="Arial" w:cs="Arial"/>
          <w:sz w:val="22"/>
          <w:szCs w:val="22"/>
          <w:lang w:val="de-AT"/>
        </w:rPr>
        <w:t>)</w:t>
      </w:r>
      <w:r w:rsidR="008D049B" w:rsidRPr="00374178">
        <w:rPr>
          <w:rFonts w:ascii="Arial" w:hAnsi="Arial" w:cs="Arial"/>
          <w:sz w:val="22"/>
          <w:szCs w:val="22"/>
          <w:lang w:val="de-AT"/>
        </w:rPr>
        <w:t xml:space="preserve">. </w:t>
      </w:r>
    </w:p>
    <w:p w14:paraId="68D2F24A" w14:textId="458686BE" w:rsidR="00F41681" w:rsidRPr="00374178" w:rsidRDefault="008D049B" w:rsidP="00EE26A1">
      <w:pPr>
        <w:pStyle w:val="EH-Text"/>
        <w:spacing w:after="160" w:line="360" w:lineRule="auto"/>
        <w:rPr>
          <w:rFonts w:ascii="Arial" w:hAnsi="Arial" w:cs="Arial"/>
          <w:sz w:val="22"/>
          <w:szCs w:val="22"/>
          <w:lang w:val="de-AT"/>
        </w:rPr>
      </w:pPr>
      <w:bookmarkStart w:id="19" w:name="_Hlk78207219"/>
      <w:r w:rsidRPr="00374178">
        <w:rPr>
          <w:rFonts w:ascii="Arial" w:hAnsi="Arial" w:cs="Arial"/>
          <w:sz w:val="22"/>
          <w:szCs w:val="22"/>
          <w:lang w:val="de-AT"/>
        </w:rPr>
        <w:t>Legt man die obengenannte Wortfolge ("</w:t>
      </w:r>
      <w:r w:rsidRPr="00374178">
        <w:rPr>
          <w:rFonts w:ascii="Arial" w:hAnsi="Arial" w:cs="Arial"/>
          <w:i/>
          <w:sz w:val="22"/>
          <w:szCs w:val="22"/>
          <w:lang w:val="de-AT"/>
        </w:rPr>
        <w:t>mindestens während der Vertragslaufzeit</w:t>
      </w:r>
      <w:r w:rsidRPr="00374178">
        <w:rPr>
          <w:rFonts w:ascii="Arial" w:hAnsi="Arial" w:cs="Arial"/>
          <w:sz w:val="22"/>
          <w:szCs w:val="22"/>
          <w:lang w:val="de-AT"/>
        </w:rPr>
        <w:t xml:space="preserve">") </w:t>
      </w:r>
      <w:r w:rsidR="00F41681" w:rsidRPr="00374178">
        <w:rPr>
          <w:rFonts w:ascii="Arial" w:hAnsi="Arial" w:cs="Arial"/>
          <w:sz w:val="22"/>
          <w:szCs w:val="22"/>
          <w:lang w:val="de-AT"/>
        </w:rPr>
        <w:t xml:space="preserve">hingegen </w:t>
      </w:r>
      <w:r w:rsidRPr="00374178">
        <w:rPr>
          <w:rFonts w:ascii="Arial" w:hAnsi="Arial" w:cs="Arial"/>
          <w:sz w:val="22"/>
          <w:szCs w:val="22"/>
          <w:lang w:val="de-AT"/>
        </w:rPr>
        <w:t>streng aus und schließt</w:t>
      </w:r>
      <w:r w:rsidR="0087572E" w:rsidRPr="00374178">
        <w:rPr>
          <w:rFonts w:ascii="Arial" w:hAnsi="Arial" w:cs="Arial"/>
          <w:sz w:val="22"/>
          <w:szCs w:val="22"/>
          <w:lang w:val="de-AT"/>
        </w:rPr>
        <w:t xml:space="preserve"> </w:t>
      </w:r>
      <w:r w:rsidR="00F41681" w:rsidRPr="00374178">
        <w:rPr>
          <w:rFonts w:ascii="Arial" w:hAnsi="Arial" w:cs="Arial"/>
          <w:sz w:val="22"/>
          <w:szCs w:val="22"/>
          <w:lang w:val="de-AT"/>
        </w:rPr>
        <w:t xml:space="preserve">temporär </w:t>
      </w:r>
      <w:r w:rsidRPr="00374178">
        <w:rPr>
          <w:rFonts w:ascii="Arial" w:hAnsi="Arial" w:cs="Arial"/>
          <w:sz w:val="22"/>
          <w:szCs w:val="22"/>
          <w:lang w:val="de-AT"/>
        </w:rPr>
        <w:t>stillgelegte KWK-Anlagen von der strategischen Reserve kategorisch aus, gehen damit</w:t>
      </w:r>
      <w:r w:rsidR="0087572E" w:rsidRPr="00374178">
        <w:rPr>
          <w:rFonts w:ascii="Arial" w:hAnsi="Arial" w:cs="Arial"/>
          <w:sz w:val="22"/>
          <w:szCs w:val="22"/>
          <w:lang w:val="de-AT"/>
        </w:rPr>
        <w:t xml:space="preserve"> </w:t>
      </w:r>
      <w:r w:rsidRPr="00374178">
        <w:rPr>
          <w:rFonts w:ascii="Arial" w:hAnsi="Arial" w:cs="Arial"/>
          <w:sz w:val="22"/>
          <w:szCs w:val="22"/>
          <w:lang w:val="de-AT"/>
        </w:rPr>
        <w:t xml:space="preserve">negative Auswirkungen </w:t>
      </w:r>
      <w:r w:rsidR="0087572E" w:rsidRPr="00374178">
        <w:rPr>
          <w:rFonts w:ascii="Arial" w:hAnsi="Arial" w:cs="Arial"/>
          <w:sz w:val="22"/>
          <w:szCs w:val="22"/>
          <w:lang w:val="de-AT"/>
        </w:rPr>
        <w:t xml:space="preserve">auf den Energiemarkt </w:t>
      </w:r>
      <w:r w:rsidRPr="00374178">
        <w:rPr>
          <w:rFonts w:ascii="Arial" w:hAnsi="Arial" w:cs="Arial"/>
          <w:sz w:val="22"/>
          <w:szCs w:val="22"/>
          <w:lang w:val="de-AT"/>
        </w:rPr>
        <w:t xml:space="preserve">einher: </w:t>
      </w:r>
    </w:p>
    <w:p w14:paraId="11A1B520" w14:textId="77777777" w:rsidR="00F41681" w:rsidRPr="00374178" w:rsidRDefault="008D049B" w:rsidP="00EE26A1">
      <w:pPr>
        <w:pStyle w:val="EH-Text"/>
        <w:numPr>
          <w:ilvl w:val="0"/>
          <w:numId w:val="19"/>
        </w:numPr>
        <w:spacing w:after="160" w:line="360" w:lineRule="auto"/>
        <w:rPr>
          <w:rFonts w:ascii="Arial" w:hAnsi="Arial" w:cs="Arial"/>
          <w:sz w:val="22"/>
          <w:szCs w:val="22"/>
          <w:lang w:val="de-AT"/>
        </w:rPr>
      </w:pPr>
      <w:r w:rsidRPr="00374178">
        <w:rPr>
          <w:rFonts w:ascii="Arial" w:hAnsi="Arial" w:cs="Arial"/>
          <w:sz w:val="22"/>
          <w:szCs w:val="22"/>
          <w:lang w:val="de-AT"/>
        </w:rPr>
        <w:t xml:space="preserve">Zum einen bestünde die Gefahr, dass für die strategische Reserve unzureichend Ressourcen bereitstehen und damit die Versorgungssicherheit gefährdet wird. </w:t>
      </w:r>
    </w:p>
    <w:p w14:paraId="36836D6B" w14:textId="0BC2D982" w:rsidR="00F41681" w:rsidRPr="00374178" w:rsidRDefault="008D049B" w:rsidP="00EE26A1">
      <w:pPr>
        <w:pStyle w:val="EH-Text"/>
        <w:numPr>
          <w:ilvl w:val="0"/>
          <w:numId w:val="19"/>
        </w:numPr>
        <w:spacing w:after="160" w:line="360" w:lineRule="auto"/>
        <w:rPr>
          <w:rFonts w:ascii="Arial" w:hAnsi="Arial" w:cs="Arial"/>
          <w:sz w:val="22"/>
          <w:szCs w:val="22"/>
          <w:lang w:val="de-AT"/>
        </w:rPr>
      </w:pPr>
      <w:r w:rsidRPr="00374178">
        <w:rPr>
          <w:rFonts w:ascii="Arial" w:hAnsi="Arial" w:cs="Arial"/>
          <w:sz w:val="22"/>
          <w:szCs w:val="22"/>
          <w:lang w:val="de-AT"/>
        </w:rPr>
        <w:t xml:space="preserve">Zum anderen </w:t>
      </w:r>
      <w:r w:rsidR="00F41681" w:rsidRPr="00374178">
        <w:rPr>
          <w:rFonts w:ascii="Arial" w:hAnsi="Arial" w:cs="Arial"/>
          <w:sz w:val="22"/>
          <w:szCs w:val="22"/>
          <w:lang w:val="de-AT"/>
        </w:rPr>
        <w:t>würden</w:t>
      </w:r>
      <w:r w:rsidRPr="00374178">
        <w:rPr>
          <w:rFonts w:ascii="Arial" w:hAnsi="Arial" w:cs="Arial"/>
          <w:sz w:val="22"/>
          <w:szCs w:val="22"/>
          <w:lang w:val="de-AT"/>
        </w:rPr>
        <w:t xml:space="preserve"> potentielle Bieter von der Teilnahme an einer Ausschreibung abgehalten, sodass die Zahl der Bieter unter Umständen nicht groß genug wäre, um wirksamen Wettbewerb sicherzustellen.</w:t>
      </w:r>
      <w:r w:rsidR="007D4A85" w:rsidRPr="00374178">
        <w:rPr>
          <w:rFonts w:ascii="Arial" w:hAnsi="Arial" w:cs="Arial"/>
          <w:sz w:val="22"/>
          <w:szCs w:val="22"/>
          <w:lang w:val="de-AT"/>
        </w:rPr>
        <w:t xml:space="preserve"> </w:t>
      </w:r>
    </w:p>
    <w:p w14:paraId="49F471A5" w14:textId="77777777" w:rsidR="00930A4C" w:rsidRPr="00374178" w:rsidRDefault="007D4A85" w:rsidP="00EE26A1">
      <w:pPr>
        <w:pStyle w:val="EH-Text"/>
        <w:spacing w:after="160" w:line="360" w:lineRule="auto"/>
        <w:rPr>
          <w:rFonts w:ascii="Arial" w:hAnsi="Arial" w:cs="Arial"/>
          <w:sz w:val="22"/>
          <w:szCs w:val="22"/>
          <w:lang w:val="de-AT"/>
        </w:rPr>
      </w:pPr>
      <w:r w:rsidRPr="00374178">
        <w:rPr>
          <w:rFonts w:ascii="Arial" w:hAnsi="Arial" w:cs="Arial"/>
          <w:sz w:val="22"/>
          <w:szCs w:val="22"/>
          <w:lang w:val="de-AT"/>
        </w:rPr>
        <w:t xml:space="preserve">Es </w:t>
      </w:r>
      <w:r w:rsidR="00F41681" w:rsidRPr="00374178">
        <w:rPr>
          <w:rFonts w:ascii="Arial" w:hAnsi="Arial" w:cs="Arial"/>
          <w:sz w:val="22"/>
          <w:szCs w:val="22"/>
          <w:lang w:val="de-AT"/>
        </w:rPr>
        <w:t>liegt daher auf der Hand</w:t>
      </w:r>
      <w:r w:rsidRPr="00374178">
        <w:rPr>
          <w:rFonts w:ascii="Arial" w:hAnsi="Arial" w:cs="Arial"/>
          <w:sz w:val="22"/>
          <w:szCs w:val="22"/>
          <w:lang w:val="de-AT"/>
        </w:rPr>
        <w:t>, dass eine strenge Auslegung dieses Erfordernisses der Zielsetzung der Leitlinien zuwide</w:t>
      </w:r>
      <w:r w:rsidR="00F41681" w:rsidRPr="00374178">
        <w:rPr>
          <w:rFonts w:ascii="Arial" w:hAnsi="Arial" w:cs="Arial"/>
          <w:sz w:val="22"/>
          <w:szCs w:val="22"/>
          <w:lang w:val="de-AT"/>
        </w:rPr>
        <w:t>rlaufen würde</w:t>
      </w:r>
      <w:r w:rsidRPr="00374178">
        <w:rPr>
          <w:rFonts w:ascii="Arial" w:hAnsi="Arial" w:cs="Arial"/>
          <w:sz w:val="22"/>
          <w:szCs w:val="22"/>
          <w:lang w:val="de-AT"/>
        </w:rPr>
        <w:t xml:space="preserve">. </w:t>
      </w:r>
    </w:p>
    <w:p w14:paraId="2A2A23DB" w14:textId="1A762039" w:rsidR="00E265B5" w:rsidRPr="00374178" w:rsidRDefault="00930A4C" w:rsidP="00EE26A1">
      <w:pPr>
        <w:pStyle w:val="EH-Text"/>
        <w:spacing w:after="160" w:line="360" w:lineRule="auto"/>
        <w:rPr>
          <w:rFonts w:ascii="Arial" w:hAnsi="Arial" w:cs="Arial"/>
          <w:sz w:val="22"/>
          <w:szCs w:val="22"/>
          <w:lang w:val="de-AT"/>
        </w:rPr>
      </w:pPr>
      <w:bookmarkStart w:id="20" w:name="_Hlk78207305"/>
      <w:bookmarkEnd w:id="19"/>
      <w:r w:rsidRPr="00374178">
        <w:rPr>
          <w:rFonts w:ascii="Arial" w:hAnsi="Arial" w:cs="Arial"/>
          <w:sz w:val="22"/>
          <w:szCs w:val="22"/>
          <w:lang w:val="de-AT"/>
        </w:rPr>
        <w:t>Vielmehr</w:t>
      </w:r>
      <w:r w:rsidR="00F41681" w:rsidRPr="00374178">
        <w:rPr>
          <w:rFonts w:ascii="Arial" w:hAnsi="Arial" w:cs="Arial"/>
          <w:sz w:val="22"/>
          <w:szCs w:val="22"/>
          <w:lang w:val="de-AT"/>
        </w:rPr>
        <w:t xml:space="preserve"> kommt </w:t>
      </w:r>
      <w:r w:rsidRPr="00374178">
        <w:rPr>
          <w:rFonts w:ascii="Arial" w:hAnsi="Arial" w:cs="Arial"/>
          <w:sz w:val="22"/>
          <w:szCs w:val="22"/>
          <w:lang w:val="de-AT"/>
        </w:rPr>
        <w:t>es</w:t>
      </w:r>
      <w:r w:rsidR="00F41681" w:rsidRPr="00374178">
        <w:rPr>
          <w:rFonts w:ascii="Arial" w:hAnsi="Arial" w:cs="Arial"/>
          <w:sz w:val="22"/>
          <w:szCs w:val="22"/>
          <w:lang w:val="de-AT"/>
        </w:rPr>
        <w:t xml:space="preserve"> </w:t>
      </w:r>
      <w:r w:rsidR="00F41681" w:rsidRPr="00374178">
        <w:rPr>
          <w:rFonts w:ascii="Arial" w:hAnsi="Arial" w:cs="Arial"/>
          <w:sz w:val="22"/>
          <w:szCs w:val="22"/>
          <w:u w:val="single"/>
          <w:lang w:val="de-AT"/>
        </w:rPr>
        <w:t>allein</w:t>
      </w:r>
      <w:r w:rsidR="00F41681" w:rsidRPr="00374178">
        <w:rPr>
          <w:rFonts w:ascii="Arial" w:hAnsi="Arial" w:cs="Arial"/>
          <w:sz w:val="22"/>
          <w:szCs w:val="22"/>
          <w:lang w:val="de-AT"/>
        </w:rPr>
        <w:t xml:space="preserve"> darauf an, für welche Zeiträume </w:t>
      </w:r>
      <w:r w:rsidR="00F41681" w:rsidRPr="00374178">
        <w:rPr>
          <w:rFonts w:ascii="Arial" w:hAnsi="Arial" w:cs="Arial"/>
          <w:sz w:val="22"/>
          <w:szCs w:val="22"/>
          <w:u w:val="single"/>
          <w:lang w:val="de-AT"/>
        </w:rPr>
        <w:t>innerhalb</w:t>
      </w:r>
      <w:r w:rsidR="00F41681" w:rsidRPr="00374178">
        <w:rPr>
          <w:rFonts w:ascii="Arial" w:hAnsi="Arial" w:cs="Arial"/>
          <w:sz w:val="22"/>
          <w:szCs w:val="22"/>
          <w:lang w:val="de-AT"/>
        </w:rPr>
        <w:t xml:space="preserve"> einer bestimmten Vertragslaufzeit eine Vergütung aus der str</w:t>
      </w:r>
      <w:r w:rsidRPr="00374178">
        <w:rPr>
          <w:rFonts w:ascii="Arial" w:hAnsi="Arial" w:cs="Arial"/>
          <w:sz w:val="22"/>
          <w:szCs w:val="22"/>
          <w:lang w:val="de-AT"/>
        </w:rPr>
        <w:t>ategischen Reserve gewährt wird:</w:t>
      </w:r>
      <w:r w:rsidR="00F41681" w:rsidRPr="00374178">
        <w:rPr>
          <w:rFonts w:ascii="Arial" w:hAnsi="Arial" w:cs="Arial"/>
          <w:sz w:val="22"/>
          <w:szCs w:val="22"/>
          <w:lang w:val="de-AT"/>
        </w:rPr>
        <w:t xml:space="preserve"> </w:t>
      </w:r>
      <w:r w:rsidRPr="00374178">
        <w:rPr>
          <w:rFonts w:ascii="Arial" w:hAnsi="Arial" w:cs="Arial"/>
          <w:sz w:val="22"/>
          <w:szCs w:val="22"/>
          <w:lang w:val="de-AT"/>
        </w:rPr>
        <w:t>Eine</w:t>
      </w:r>
      <w:r w:rsidR="007D4A85" w:rsidRPr="00374178">
        <w:rPr>
          <w:rFonts w:ascii="Arial" w:hAnsi="Arial" w:cs="Arial"/>
          <w:sz w:val="22"/>
          <w:szCs w:val="22"/>
          <w:lang w:val="de-AT"/>
        </w:rPr>
        <w:t xml:space="preserve"> kostenorientierte Vergütung, die nur für die Dauer der Vorhaltung von Ressourcen außerhalb des Marktes gewährt wird, </w:t>
      </w:r>
      <w:r w:rsidRPr="00374178">
        <w:rPr>
          <w:rFonts w:ascii="Arial" w:hAnsi="Arial" w:cs="Arial"/>
          <w:sz w:val="22"/>
          <w:szCs w:val="22"/>
          <w:lang w:val="de-AT"/>
        </w:rPr>
        <w:t>begründet keine</w:t>
      </w:r>
      <w:r w:rsidR="00866B07" w:rsidRPr="00374178">
        <w:rPr>
          <w:rFonts w:ascii="Arial" w:hAnsi="Arial" w:cs="Arial"/>
          <w:sz w:val="22"/>
          <w:szCs w:val="22"/>
          <w:lang w:val="de-AT"/>
        </w:rPr>
        <w:t>n</w:t>
      </w:r>
      <w:r w:rsidRPr="00374178">
        <w:rPr>
          <w:rFonts w:ascii="Arial" w:hAnsi="Arial" w:cs="Arial"/>
          <w:sz w:val="22"/>
          <w:szCs w:val="22"/>
          <w:lang w:val="de-AT"/>
        </w:rPr>
        <w:t xml:space="preserve"> </w:t>
      </w:r>
      <w:r w:rsidR="0087572E" w:rsidRPr="00374178">
        <w:rPr>
          <w:rFonts w:ascii="Arial" w:hAnsi="Arial" w:cs="Arial"/>
          <w:sz w:val="22"/>
          <w:szCs w:val="22"/>
          <w:lang w:val="de-AT"/>
        </w:rPr>
        <w:t>Wettbewerbsvorteil für den Zeitraum der aktiven</w:t>
      </w:r>
      <w:r w:rsidR="007D4A85" w:rsidRPr="00374178">
        <w:rPr>
          <w:rFonts w:ascii="Arial" w:hAnsi="Arial" w:cs="Arial"/>
          <w:sz w:val="22"/>
          <w:szCs w:val="22"/>
          <w:lang w:val="de-AT"/>
        </w:rPr>
        <w:t xml:space="preserve"> Marktteilnahme. </w:t>
      </w:r>
      <w:r w:rsidR="0087572E" w:rsidRPr="00374178">
        <w:rPr>
          <w:rFonts w:ascii="Arial" w:hAnsi="Arial" w:cs="Arial"/>
          <w:sz w:val="22"/>
          <w:szCs w:val="22"/>
          <w:lang w:val="de-AT"/>
        </w:rPr>
        <w:t xml:space="preserve">In diesem Fall </w:t>
      </w:r>
      <w:r w:rsidR="00E265B5" w:rsidRPr="00374178">
        <w:rPr>
          <w:rFonts w:ascii="Arial" w:hAnsi="Arial" w:cs="Arial"/>
          <w:sz w:val="22"/>
          <w:szCs w:val="22"/>
          <w:lang w:val="de-AT"/>
        </w:rPr>
        <w:t xml:space="preserve">ist eine Marktverzerrung </w:t>
      </w:r>
      <w:r w:rsidRPr="00374178">
        <w:rPr>
          <w:rFonts w:ascii="Arial" w:hAnsi="Arial" w:cs="Arial"/>
          <w:sz w:val="22"/>
          <w:szCs w:val="22"/>
          <w:lang w:val="de-AT"/>
        </w:rPr>
        <w:t xml:space="preserve">auszuschließen </w:t>
      </w:r>
      <w:r w:rsidR="00E265B5" w:rsidRPr="00374178">
        <w:rPr>
          <w:rFonts w:ascii="Arial" w:hAnsi="Arial" w:cs="Arial"/>
          <w:sz w:val="22"/>
          <w:szCs w:val="22"/>
          <w:lang w:val="de-AT"/>
        </w:rPr>
        <w:t xml:space="preserve">und es bestehen </w:t>
      </w:r>
      <w:r w:rsidRPr="00374178">
        <w:rPr>
          <w:rFonts w:ascii="Arial" w:hAnsi="Arial" w:cs="Arial"/>
          <w:sz w:val="22"/>
          <w:szCs w:val="22"/>
          <w:lang w:val="de-AT"/>
        </w:rPr>
        <w:t xml:space="preserve">folglich auch </w:t>
      </w:r>
      <w:r w:rsidR="00E265B5" w:rsidRPr="00374178">
        <w:rPr>
          <w:rFonts w:ascii="Arial" w:hAnsi="Arial" w:cs="Arial"/>
          <w:sz w:val="22"/>
          <w:szCs w:val="22"/>
          <w:lang w:val="de-AT"/>
        </w:rPr>
        <w:t xml:space="preserve">keine negativen Auswirkungen auf den Wettbewerb. </w:t>
      </w:r>
      <w:r w:rsidRPr="00374178">
        <w:rPr>
          <w:rFonts w:ascii="Arial" w:hAnsi="Arial" w:cs="Arial"/>
          <w:sz w:val="22"/>
          <w:szCs w:val="22"/>
          <w:lang w:val="de-AT"/>
        </w:rPr>
        <w:t>Die Kommission hat diese Grundsätze in ihrer Entscheidung zur Genehmigung der österreichischen Netzreserve</w:t>
      </w:r>
      <w:r w:rsidR="0087572E" w:rsidRPr="00374178">
        <w:rPr>
          <w:rFonts w:ascii="Arial" w:hAnsi="Arial" w:cs="Arial"/>
          <w:sz w:val="22"/>
          <w:szCs w:val="22"/>
          <w:lang w:val="de-AT"/>
        </w:rPr>
        <w:t xml:space="preserve"> </w:t>
      </w:r>
      <w:r w:rsidRPr="00374178">
        <w:rPr>
          <w:rFonts w:ascii="Arial" w:hAnsi="Arial" w:cs="Arial"/>
          <w:sz w:val="22"/>
          <w:szCs w:val="22"/>
          <w:lang w:val="de-AT"/>
        </w:rPr>
        <w:t>bereits an</w:t>
      </w:r>
      <w:r w:rsidR="0087572E" w:rsidRPr="00374178">
        <w:rPr>
          <w:rFonts w:ascii="Arial" w:hAnsi="Arial" w:cs="Arial"/>
          <w:sz w:val="22"/>
          <w:szCs w:val="22"/>
          <w:lang w:val="de-AT"/>
        </w:rPr>
        <w:t xml:space="preserve">erkannt, die eine ebensolche temporär-saisonale Stilllegung mit nachfolgender Wiederaufnahme der Markttätigkeit </w:t>
      </w:r>
      <w:r w:rsidRPr="00374178">
        <w:rPr>
          <w:rFonts w:ascii="Arial" w:hAnsi="Arial" w:cs="Arial"/>
          <w:sz w:val="22"/>
          <w:szCs w:val="22"/>
          <w:lang w:val="de-AT"/>
        </w:rPr>
        <w:t>vorsieht</w:t>
      </w:r>
      <w:r w:rsidR="00DC0517" w:rsidRPr="00374178">
        <w:rPr>
          <w:rFonts w:ascii="Arial" w:hAnsi="Arial" w:cs="Arial"/>
          <w:sz w:val="22"/>
          <w:szCs w:val="22"/>
          <w:lang w:val="de-AT"/>
        </w:rPr>
        <w:t xml:space="preserve"> (SA</w:t>
      </w:r>
      <w:r w:rsidR="0087572E" w:rsidRPr="00374178">
        <w:rPr>
          <w:rFonts w:ascii="Arial" w:hAnsi="Arial" w:cs="Arial"/>
          <w:sz w:val="22"/>
          <w:szCs w:val="22"/>
          <w:lang w:val="de-AT"/>
        </w:rPr>
        <w:t>.</w:t>
      </w:r>
      <w:r w:rsidR="00493CAD" w:rsidRPr="00374178">
        <w:rPr>
          <w:rFonts w:ascii="Arial" w:hAnsi="Arial" w:cs="Arial"/>
          <w:sz w:val="22"/>
          <w:szCs w:val="22"/>
          <w:lang w:val="de-AT"/>
        </w:rPr>
        <w:t>52263).</w:t>
      </w:r>
    </w:p>
    <w:p w14:paraId="1CBD334B" w14:textId="2A8CC5F6" w:rsidR="0087572E" w:rsidRPr="00374178" w:rsidRDefault="0087572E" w:rsidP="00EE26A1">
      <w:pPr>
        <w:pStyle w:val="EH-Text"/>
        <w:spacing w:after="160" w:line="360" w:lineRule="auto"/>
        <w:rPr>
          <w:rFonts w:ascii="Arial" w:hAnsi="Arial" w:cs="Arial"/>
          <w:sz w:val="22"/>
          <w:szCs w:val="22"/>
          <w:lang w:val="de-AT"/>
        </w:rPr>
      </w:pPr>
      <w:r w:rsidRPr="00374178">
        <w:rPr>
          <w:rFonts w:ascii="Arial" w:hAnsi="Arial" w:cs="Arial"/>
          <w:sz w:val="22"/>
          <w:szCs w:val="22"/>
          <w:lang w:val="de-AT"/>
        </w:rPr>
        <w:t xml:space="preserve">Es wäre daher wünschenswert, Unterpunkt (d) </w:t>
      </w:r>
      <w:r w:rsidR="00930A4C" w:rsidRPr="00374178">
        <w:rPr>
          <w:rFonts w:ascii="Arial" w:hAnsi="Arial" w:cs="Arial"/>
          <w:sz w:val="22"/>
          <w:szCs w:val="22"/>
          <w:lang w:val="de-AT"/>
        </w:rPr>
        <w:t>dahingehend</w:t>
      </w:r>
      <w:r w:rsidRPr="00374178">
        <w:rPr>
          <w:rFonts w:ascii="Arial" w:hAnsi="Arial" w:cs="Arial"/>
          <w:sz w:val="22"/>
          <w:szCs w:val="22"/>
          <w:lang w:val="de-AT"/>
        </w:rPr>
        <w:t xml:space="preserve"> zu präzisieren, </w:t>
      </w:r>
      <w:r w:rsidR="00930A4C" w:rsidRPr="00374178">
        <w:rPr>
          <w:rFonts w:ascii="Arial" w:hAnsi="Arial" w:cs="Arial"/>
          <w:sz w:val="22"/>
          <w:szCs w:val="22"/>
          <w:lang w:val="de-AT"/>
        </w:rPr>
        <w:t>dass</w:t>
      </w:r>
      <w:r w:rsidRPr="00374178">
        <w:rPr>
          <w:rFonts w:ascii="Arial" w:hAnsi="Arial" w:cs="Arial"/>
          <w:sz w:val="22"/>
          <w:szCs w:val="22"/>
          <w:lang w:val="de-AT"/>
        </w:rPr>
        <w:t xml:space="preserve"> eine Vorhaltung außerhalb des Energiemarktes lediglich dann erforderlich ist, wenn die Ressource in </w:t>
      </w:r>
      <w:r w:rsidR="0036260B" w:rsidRPr="00374178">
        <w:rPr>
          <w:rFonts w:ascii="Arial" w:hAnsi="Arial" w:cs="Arial"/>
          <w:sz w:val="22"/>
          <w:szCs w:val="22"/>
          <w:lang w:val="de-AT"/>
        </w:rPr>
        <w:t>dem betreffenden</w:t>
      </w:r>
      <w:r w:rsidRPr="00374178">
        <w:rPr>
          <w:rFonts w:ascii="Arial" w:hAnsi="Arial" w:cs="Arial"/>
          <w:sz w:val="22"/>
          <w:szCs w:val="22"/>
          <w:lang w:val="de-AT"/>
        </w:rPr>
        <w:t xml:space="preserve"> Zeitraum </w:t>
      </w:r>
      <w:r w:rsidR="0036260B" w:rsidRPr="00374178">
        <w:rPr>
          <w:rFonts w:ascii="Arial" w:hAnsi="Arial" w:cs="Arial"/>
          <w:sz w:val="22"/>
          <w:szCs w:val="22"/>
          <w:lang w:val="de-AT"/>
        </w:rPr>
        <w:t xml:space="preserve">innerhalb der Vertragslaufzeit </w:t>
      </w:r>
      <w:r w:rsidRPr="00374178">
        <w:rPr>
          <w:rFonts w:ascii="Arial" w:hAnsi="Arial" w:cs="Arial"/>
          <w:sz w:val="22"/>
          <w:szCs w:val="22"/>
          <w:lang w:val="de-AT"/>
        </w:rPr>
        <w:t xml:space="preserve">auch eine Vergütung für die Bereithaltung von Kapazität </w:t>
      </w:r>
      <w:r w:rsidR="00B42C3F" w:rsidRPr="00374178">
        <w:rPr>
          <w:rFonts w:ascii="Arial" w:hAnsi="Arial" w:cs="Arial"/>
          <w:sz w:val="22"/>
          <w:szCs w:val="22"/>
          <w:lang w:val="de-AT"/>
        </w:rPr>
        <w:t xml:space="preserve">für die strategische Reserve </w:t>
      </w:r>
      <w:r w:rsidRPr="00374178">
        <w:rPr>
          <w:rFonts w:ascii="Arial" w:hAnsi="Arial" w:cs="Arial"/>
          <w:sz w:val="22"/>
          <w:szCs w:val="22"/>
          <w:lang w:val="de-AT"/>
        </w:rPr>
        <w:t xml:space="preserve">erhält. </w:t>
      </w:r>
      <w:bookmarkEnd w:id="20"/>
      <w:r w:rsidRPr="00374178">
        <w:rPr>
          <w:rFonts w:ascii="Arial" w:hAnsi="Arial" w:cs="Arial"/>
          <w:sz w:val="22"/>
          <w:szCs w:val="22"/>
          <w:lang w:val="de-AT"/>
        </w:rPr>
        <w:t xml:space="preserve">Diese Klarstellung könnte auf die nachfolgende Art in Randnummer 321 der Leitlinien erfolgen (Ergänzung durch </w:t>
      </w:r>
      <w:r w:rsidRPr="00374178">
        <w:rPr>
          <w:rFonts w:ascii="Arial" w:hAnsi="Arial" w:cs="Arial"/>
          <w:sz w:val="22"/>
          <w:szCs w:val="22"/>
          <w:u w:val="single"/>
          <w:lang w:val="de-AT"/>
        </w:rPr>
        <w:t>Unterstreichung</w:t>
      </w:r>
      <w:r w:rsidRPr="00374178">
        <w:rPr>
          <w:rFonts w:ascii="Arial" w:hAnsi="Arial" w:cs="Arial"/>
          <w:sz w:val="22"/>
          <w:szCs w:val="22"/>
          <w:lang w:val="de-AT"/>
        </w:rPr>
        <w:t xml:space="preserve"> hervorgehoben):</w:t>
      </w:r>
    </w:p>
    <w:p w14:paraId="0BE7B6BF" w14:textId="1AEB2499" w:rsidR="003B76AD" w:rsidRPr="00374178" w:rsidRDefault="003B76AD" w:rsidP="00EE26A1">
      <w:pPr>
        <w:pStyle w:val="EH-Text"/>
        <w:keepNext/>
        <w:spacing w:after="160" w:line="360" w:lineRule="auto"/>
        <w:ind w:left="1134"/>
        <w:contextualSpacing/>
        <w:rPr>
          <w:rFonts w:ascii="Arial" w:hAnsi="Arial" w:cs="Arial"/>
          <w:b/>
          <w:sz w:val="22"/>
          <w:szCs w:val="22"/>
        </w:rPr>
      </w:pPr>
      <w:r w:rsidRPr="00374178">
        <w:rPr>
          <w:rFonts w:ascii="Arial" w:hAnsi="Arial" w:cs="Arial"/>
          <w:b/>
          <w:sz w:val="22"/>
          <w:szCs w:val="22"/>
        </w:rPr>
        <w:t>Vorschlag zu Randnummer 321 (Keine negativen Wettbewerbsauswirkungen)</w:t>
      </w:r>
    </w:p>
    <w:p w14:paraId="24C47030" w14:textId="77777777" w:rsidR="004E4201" w:rsidRPr="00374178" w:rsidRDefault="004E4201" w:rsidP="00EE26A1">
      <w:pPr>
        <w:pStyle w:val="EH-Text"/>
        <w:spacing w:after="160" w:line="360" w:lineRule="auto"/>
        <w:ind w:left="1134"/>
        <w:rPr>
          <w:rFonts w:ascii="Arial" w:hAnsi="Arial" w:cs="Arial"/>
          <w:i/>
          <w:sz w:val="22"/>
          <w:szCs w:val="22"/>
          <w:lang w:val="de-AT"/>
        </w:rPr>
      </w:pPr>
      <w:r w:rsidRPr="00374178">
        <w:rPr>
          <w:rFonts w:ascii="Arial" w:hAnsi="Arial" w:cs="Arial"/>
          <w:i/>
          <w:sz w:val="22"/>
          <w:szCs w:val="22"/>
          <w:lang w:val="de-AT"/>
        </w:rPr>
        <w:t>"Um sicherzustellen, dass die Marktpreisbildung nicht verzerrt wird, gelten für strategische Reserven und andere Maßnahmen, bei denen Kapazitäten außerhalb des Marktes vorgehalten werden, folgende zusätzliche kumulative Anforderungen:</w:t>
      </w:r>
    </w:p>
    <w:p w14:paraId="2F670FBC" w14:textId="26DB4010" w:rsidR="004E4201" w:rsidRPr="00374178" w:rsidRDefault="004E4201" w:rsidP="00EE26A1">
      <w:pPr>
        <w:pStyle w:val="EH-Text"/>
        <w:spacing w:after="160" w:line="360" w:lineRule="auto"/>
        <w:ind w:left="1134"/>
        <w:rPr>
          <w:rFonts w:ascii="Arial" w:hAnsi="Arial" w:cs="Arial"/>
          <w:i/>
          <w:sz w:val="22"/>
          <w:szCs w:val="22"/>
          <w:lang w:val="de-AT"/>
        </w:rPr>
      </w:pPr>
      <w:r w:rsidRPr="00374178">
        <w:rPr>
          <w:rFonts w:ascii="Arial" w:hAnsi="Arial" w:cs="Arial"/>
          <w:i/>
          <w:sz w:val="22"/>
          <w:szCs w:val="22"/>
          <w:lang w:val="de-AT"/>
        </w:rPr>
        <w:t>[…]</w:t>
      </w:r>
    </w:p>
    <w:p w14:paraId="4465749A" w14:textId="3821C876" w:rsidR="004E4201" w:rsidRPr="00374178" w:rsidRDefault="004E4201" w:rsidP="00EE26A1">
      <w:pPr>
        <w:pStyle w:val="EH-Text"/>
        <w:spacing w:after="240" w:line="360" w:lineRule="auto"/>
        <w:ind w:left="1134"/>
        <w:rPr>
          <w:rFonts w:ascii="Arial" w:hAnsi="Arial" w:cs="Arial"/>
          <w:sz w:val="22"/>
          <w:szCs w:val="22"/>
        </w:rPr>
      </w:pPr>
      <w:r w:rsidRPr="00374178">
        <w:rPr>
          <w:rFonts w:ascii="Arial" w:hAnsi="Arial" w:cs="Arial"/>
          <w:i/>
          <w:sz w:val="22"/>
          <w:szCs w:val="22"/>
          <w:lang w:val="de-AT"/>
        </w:rPr>
        <w:t xml:space="preserve">(d) Die Ressourcen der Maßnahme müssen mindestens während </w:t>
      </w:r>
      <w:r w:rsidR="0036260B" w:rsidRPr="00374178">
        <w:rPr>
          <w:rFonts w:ascii="Arial" w:hAnsi="Arial" w:cs="Arial"/>
          <w:i/>
          <w:sz w:val="22"/>
          <w:szCs w:val="22"/>
          <w:u w:val="single"/>
          <w:lang w:val="de-AT"/>
        </w:rPr>
        <w:t>jener Zeiträume innerhalb</w:t>
      </w:r>
      <w:r w:rsidR="0036260B" w:rsidRPr="00374178">
        <w:rPr>
          <w:rFonts w:ascii="Arial" w:hAnsi="Arial" w:cs="Arial"/>
          <w:i/>
          <w:sz w:val="22"/>
          <w:szCs w:val="22"/>
          <w:lang w:val="de-AT"/>
        </w:rPr>
        <w:t xml:space="preserve"> </w:t>
      </w:r>
      <w:r w:rsidRPr="00374178">
        <w:rPr>
          <w:rFonts w:ascii="Arial" w:hAnsi="Arial" w:cs="Arial"/>
          <w:i/>
          <w:sz w:val="22"/>
          <w:szCs w:val="22"/>
          <w:lang w:val="de-AT"/>
        </w:rPr>
        <w:t>der Vertragslaufzeit</w:t>
      </w:r>
      <w:r w:rsidRPr="00374178">
        <w:rPr>
          <w:rFonts w:ascii="Arial" w:hAnsi="Arial" w:cs="Arial"/>
          <w:i/>
          <w:sz w:val="22"/>
          <w:szCs w:val="22"/>
          <w:u w:val="single"/>
          <w:lang w:val="de-AT"/>
        </w:rPr>
        <w:t xml:space="preserve">, </w:t>
      </w:r>
      <w:r w:rsidR="004A1B32" w:rsidRPr="00374178">
        <w:rPr>
          <w:rFonts w:ascii="Arial" w:hAnsi="Arial" w:cs="Arial"/>
          <w:i/>
          <w:sz w:val="22"/>
          <w:szCs w:val="22"/>
          <w:u w:val="single"/>
          <w:lang w:val="de-AT"/>
        </w:rPr>
        <w:t>für die sie</w:t>
      </w:r>
      <w:r w:rsidRPr="00374178">
        <w:rPr>
          <w:rFonts w:ascii="Arial" w:hAnsi="Arial" w:cs="Arial"/>
          <w:i/>
          <w:sz w:val="22"/>
          <w:szCs w:val="22"/>
          <w:u w:val="single"/>
          <w:lang w:val="de-AT"/>
        </w:rPr>
        <w:t xml:space="preserve"> eine Vergütung aus der strategischen Reserve erhalten,</w:t>
      </w:r>
      <w:r w:rsidRPr="00374178">
        <w:rPr>
          <w:rFonts w:ascii="Arial" w:hAnsi="Arial" w:cs="Arial"/>
          <w:i/>
          <w:sz w:val="22"/>
          <w:szCs w:val="22"/>
          <w:lang w:val="de-AT"/>
        </w:rPr>
        <w:t xml:space="preserve"> außerhalb der Energiemärkte vorgehalten werden</w:t>
      </w:r>
      <w:r w:rsidRPr="00374178">
        <w:rPr>
          <w:rFonts w:ascii="Arial" w:hAnsi="Arial" w:cs="Arial"/>
          <w:sz w:val="22"/>
          <w:szCs w:val="22"/>
          <w:lang w:val="de-AT"/>
        </w:rPr>
        <w:t>."</w:t>
      </w:r>
    </w:p>
    <w:p w14:paraId="757C27FF" w14:textId="372219A4" w:rsidR="009F00D3" w:rsidRPr="00374178" w:rsidRDefault="001453BD" w:rsidP="00EE26A1">
      <w:pPr>
        <w:pStyle w:val="EH-3"/>
        <w:spacing w:after="200" w:line="360" w:lineRule="auto"/>
        <w:ind w:left="709" w:hanging="709"/>
        <w:rPr>
          <w:rFonts w:ascii="Arial" w:hAnsi="Arial" w:cs="Arial"/>
          <w:sz w:val="22"/>
          <w:szCs w:val="22"/>
        </w:rPr>
      </w:pPr>
      <w:bookmarkStart w:id="21" w:name="_Toc77773385"/>
      <w:bookmarkStart w:id="22" w:name="_Toc77773407"/>
      <w:bookmarkStart w:id="23" w:name="_Toc77773386"/>
      <w:bookmarkStart w:id="24" w:name="_Toc77773408"/>
      <w:bookmarkStart w:id="25" w:name="_Toc77773387"/>
      <w:bookmarkStart w:id="26" w:name="_Toc77773409"/>
      <w:bookmarkStart w:id="27" w:name="_Toc77773388"/>
      <w:bookmarkStart w:id="28" w:name="_Toc77773410"/>
      <w:bookmarkStart w:id="29" w:name="_Toc77773411"/>
      <w:bookmarkEnd w:id="21"/>
      <w:bookmarkEnd w:id="22"/>
      <w:bookmarkEnd w:id="23"/>
      <w:bookmarkEnd w:id="24"/>
      <w:bookmarkEnd w:id="25"/>
      <w:bookmarkEnd w:id="26"/>
      <w:bookmarkEnd w:id="27"/>
      <w:bookmarkEnd w:id="28"/>
      <w:r w:rsidRPr="00374178">
        <w:rPr>
          <w:rFonts w:ascii="Arial" w:hAnsi="Arial" w:cs="Arial"/>
          <w:sz w:val="22"/>
          <w:szCs w:val="22"/>
        </w:rPr>
        <w:t>Beihilfen für Fernwärme und Fernkälte</w:t>
      </w:r>
      <w:bookmarkEnd w:id="29"/>
    </w:p>
    <w:p w14:paraId="22385C58" w14:textId="6D96F69A" w:rsidR="00A56213" w:rsidRPr="00374178" w:rsidRDefault="00F131CA" w:rsidP="00EE26A1">
      <w:pPr>
        <w:pStyle w:val="EH-Text"/>
        <w:spacing w:after="160" w:line="360" w:lineRule="auto"/>
        <w:rPr>
          <w:rFonts w:ascii="Arial" w:hAnsi="Arial" w:cs="Arial"/>
          <w:sz w:val="22"/>
          <w:szCs w:val="22"/>
        </w:rPr>
      </w:pPr>
      <w:r w:rsidRPr="00374178">
        <w:rPr>
          <w:rFonts w:ascii="Arial" w:hAnsi="Arial" w:cs="Arial"/>
          <w:sz w:val="22"/>
          <w:szCs w:val="22"/>
        </w:rPr>
        <w:t>Wien Energie begrüßt</w:t>
      </w:r>
      <w:r w:rsidR="008B3CD8" w:rsidRPr="00374178">
        <w:rPr>
          <w:rFonts w:ascii="Arial" w:hAnsi="Arial" w:cs="Arial"/>
          <w:sz w:val="22"/>
          <w:szCs w:val="22"/>
        </w:rPr>
        <w:t xml:space="preserve"> den </w:t>
      </w:r>
      <w:r w:rsidR="001B3AEE" w:rsidRPr="00374178">
        <w:rPr>
          <w:rFonts w:ascii="Arial" w:hAnsi="Arial" w:cs="Arial"/>
          <w:sz w:val="22"/>
          <w:szCs w:val="22"/>
        </w:rPr>
        <w:t>hohe</w:t>
      </w:r>
      <w:r w:rsidR="008B3CD8" w:rsidRPr="00374178">
        <w:rPr>
          <w:rFonts w:ascii="Arial" w:hAnsi="Arial" w:cs="Arial"/>
          <w:sz w:val="22"/>
          <w:szCs w:val="22"/>
        </w:rPr>
        <w:t>n</w:t>
      </w:r>
      <w:r w:rsidR="001B3AEE" w:rsidRPr="00374178">
        <w:rPr>
          <w:rFonts w:ascii="Arial" w:hAnsi="Arial" w:cs="Arial"/>
          <w:sz w:val="22"/>
          <w:szCs w:val="22"/>
        </w:rPr>
        <w:t xml:space="preserve"> Stelle</w:t>
      </w:r>
      <w:r w:rsidR="008B3CD8" w:rsidRPr="00374178">
        <w:rPr>
          <w:rFonts w:ascii="Arial" w:hAnsi="Arial" w:cs="Arial"/>
          <w:sz w:val="22"/>
          <w:szCs w:val="22"/>
        </w:rPr>
        <w:t>nwert, de</w:t>
      </w:r>
      <w:r w:rsidR="00DC05D5" w:rsidRPr="00374178">
        <w:rPr>
          <w:rFonts w:ascii="Arial" w:hAnsi="Arial" w:cs="Arial"/>
          <w:sz w:val="22"/>
          <w:szCs w:val="22"/>
        </w:rPr>
        <w:t xml:space="preserve">r Beihilfen für </w:t>
      </w:r>
      <w:r w:rsidR="001B3AEE" w:rsidRPr="00374178">
        <w:rPr>
          <w:rFonts w:ascii="Arial" w:hAnsi="Arial" w:cs="Arial"/>
          <w:sz w:val="22"/>
          <w:szCs w:val="22"/>
        </w:rPr>
        <w:t xml:space="preserve">Fernwärme und Fernkälte </w:t>
      </w:r>
      <w:r w:rsidR="00DC05D5" w:rsidRPr="00374178">
        <w:rPr>
          <w:rFonts w:ascii="Arial" w:hAnsi="Arial" w:cs="Arial"/>
          <w:sz w:val="22"/>
          <w:szCs w:val="22"/>
        </w:rPr>
        <w:t xml:space="preserve">in den Leitlinien </w:t>
      </w:r>
      <w:r w:rsidR="001B3AEE" w:rsidRPr="00374178">
        <w:rPr>
          <w:rFonts w:ascii="Arial" w:hAnsi="Arial" w:cs="Arial"/>
          <w:sz w:val="22"/>
          <w:szCs w:val="22"/>
        </w:rPr>
        <w:t>weiterhin beigemessen wird</w:t>
      </w:r>
      <w:r w:rsidR="008B3CD8" w:rsidRPr="00374178">
        <w:rPr>
          <w:rFonts w:ascii="Arial" w:hAnsi="Arial" w:cs="Arial"/>
          <w:sz w:val="22"/>
          <w:szCs w:val="22"/>
        </w:rPr>
        <w:t>.</w:t>
      </w:r>
      <w:r w:rsidR="003231AB" w:rsidRPr="00374178">
        <w:rPr>
          <w:rFonts w:ascii="Arial" w:hAnsi="Arial" w:cs="Arial"/>
          <w:sz w:val="22"/>
          <w:szCs w:val="22"/>
        </w:rPr>
        <w:t xml:space="preserve"> Insbesondere betrifft dies die ökologisch ausgerichtete Zielsetzung der Kommission, die sich in der starken Differenzierung nach verwendeten</w:t>
      </w:r>
      <w:r w:rsidRPr="00374178">
        <w:rPr>
          <w:rFonts w:ascii="Arial" w:hAnsi="Arial" w:cs="Arial"/>
          <w:sz w:val="22"/>
          <w:szCs w:val="22"/>
        </w:rPr>
        <w:t xml:space="preserve"> Brennstoffen äußert. So stimmt</w:t>
      </w:r>
      <w:r w:rsidR="003231AB" w:rsidRPr="00374178">
        <w:rPr>
          <w:rFonts w:ascii="Arial" w:hAnsi="Arial" w:cs="Arial"/>
          <w:sz w:val="22"/>
          <w:szCs w:val="22"/>
        </w:rPr>
        <w:t xml:space="preserve"> </w:t>
      </w:r>
      <w:r w:rsidRPr="00374178">
        <w:rPr>
          <w:rFonts w:ascii="Arial" w:hAnsi="Arial" w:cs="Arial"/>
          <w:sz w:val="22"/>
          <w:szCs w:val="22"/>
        </w:rPr>
        <w:t xml:space="preserve">Wien Energie </w:t>
      </w:r>
      <w:r w:rsidR="003231AB" w:rsidRPr="00374178">
        <w:rPr>
          <w:rFonts w:ascii="Arial" w:hAnsi="Arial" w:cs="Arial"/>
          <w:sz w:val="22"/>
          <w:szCs w:val="22"/>
        </w:rPr>
        <w:t xml:space="preserve">zu, dass die Verwendung fossiler Brennstoffe wie Öl und Diesel lediglich dann förderwürdig </w:t>
      </w:r>
      <w:r w:rsidR="004A1B32" w:rsidRPr="00374178">
        <w:rPr>
          <w:rFonts w:ascii="Arial" w:hAnsi="Arial" w:cs="Arial"/>
          <w:sz w:val="22"/>
          <w:szCs w:val="22"/>
        </w:rPr>
        <w:t>sein sollte</w:t>
      </w:r>
      <w:r w:rsidR="003231AB" w:rsidRPr="00374178">
        <w:rPr>
          <w:rFonts w:ascii="Arial" w:hAnsi="Arial" w:cs="Arial"/>
          <w:sz w:val="22"/>
          <w:szCs w:val="22"/>
        </w:rPr>
        <w:t xml:space="preserve">, wenn damit auch die Modernisierung des Verteilnetzes für erneuerbare Energie vorangetrieben wird. </w:t>
      </w:r>
    </w:p>
    <w:p w14:paraId="3C97D10C" w14:textId="29356E66" w:rsidR="00B42C3F" w:rsidRPr="00374178" w:rsidRDefault="004A1B32" w:rsidP="00EE26A1">
      <w:pPr>
        <w:pStyle w:val="EH-Text"/>
        <w:spacing w:after="160" w:line="360" w:lineRule="auto"/>
        <w:rPr>
          <w:rFonts w:ascii="Arial" w:hAnsi="Arial" w:cs="Arial"/>
          <w:sz w:val="22"/>
          <w:szCs w:val="22"/>
          <w:lang w:val="de-AT"/>
        </w:rPr>
      </w:pPr>
      <w:r w:rsidRPr="00374178">
        <w:rPr>
          <w:rFonts w:ascii="Arial" w:hAnsi="Arial" w:cs="Arial"/>
          <w:sz w:val="22"/>
          <w:szCs w:val="22"/>
        </w:rPr>
        <w:t>Hinsichtlich der</w:t>
      </w:r>
      <w:r w:rsidR="003231AB" w:rsidRPr="00374178">
        <w:rPr>
          <w:rFonts w:ascii="Arial" w:hAnsi="Arial" w:cs="Arial"/>
          <w:sz w:val="22"/>
          <w:szCs w:val="22"/>
        </w:rPr>
        <w:t xml:space="preserve"> zurecht weniger streng behandelten erdgasbasierten Anlagen </w:t>
      </w:r>
      <w:r w:rsidR="00DC05D5" w:rsidRPr="00374178">
        <w:rPr>
          <w:rFonts w:ascii="Arial" w:hAnsi="Arial" w:cs="Arial"/>
          <w:sz w:val="22"/>
          <w:szCs w:val="22"/>
        </w:rPr>
        <w:t>besteht aus Sicht von Wien Energie jedoch Präzisierungsbedarf</w:t>
      </w:r>
      <w:r w:rsidR="003231AB" w:rsidRPr="00374178">
        <w:rPr>
          <w:rFonts w:ascii="Arial" w:hAnsi="Arial" w:cs="Arial"/>
          <w:sz w:val="22"/>
          <w:szCs w:val="22"/>
        </w:rPr>
        <w:t>:</w:t>
      </w:r>
      <w:r w:rsidR="00B42C3F" w:rsidRPr="00374178">
        <w:rPr>
          <w:rFonts w:ascii="Arial" w:hAnsi="Arial" w:cs="Arial"/>
          <w:sz w:val="22"/>
          <w:szCs w:val="22"/>
        </w:rPr>
        <w:t xml:space="preserve"> </w:t>
      </w:r>
      <w:r w:rsidR="00DC05D5" w:rsidRPr="00374178">
        <w:rPr>
          <w:rFonts w:ascii="Arial" w:hAnsi="Arial" w:cs="Arial"/>
          <w:sz w:val="22"/>
          <w:szCs w:val="22"/>
          <w:lang w:val="de-AT"/>
        </w:rPr>
        <w:t>So ist zwar</w:t>
      </w:r>
      <w:r w:rsidR="00B42C3F" w:rsidRPr="00374178">
        <w:rPr>
          <w:rFonts w:ascii="Arial" w:hAnsi="Arial" w:cs="Arial"/>
          <w:sz w:val="22"/>
          <w:szCs w:val="22"/>
          <w:lang w:val="de-AT"/>
        </w:rPr>
        <w:t xml:space="preserve"> </w:t>
      </w:r>
      <w:r w:rsidRPr="00374178">
        <w:rPr>
          <w:rFonts w:ascii="Arial" w:hAnsi="Arial" w:cs="Arial"/>
          <w:sz w:val="22"/>
          <w:szCs w:val="22"/>
          <w:lang w:val="de-AT"/>
        </w:rPr>
        <w:t>nachvollziehbar</w:t>
      </w:r>
      <w:r w:rsidR="00BA2277" w:rsidRPr="00374178">
        <w:rPr>
          <w:rFonts w:ascii="Arial" w:hAnsi="Arial" w:cs="Arial"/>
          <w:sz w:val="22"/>
          <w:szCs w:val="22"/>
          <w:lang w:val="de-AT"/>
        </w:rPr>
        <w:t xml:space="preserve">, </w:t>
      </w:r>
      <w:r w:rsidR="00DC05D5" w:rsidRPr="00374178">
        <w:rPr>
          <w:rFonts w:ascii="Arial" w:hAnsi="Arial" w:cs="Arial"/>
          <w:sz w:val="22"/>
          <w:szCs w:val="22"/>
          <w:lang w:val="de-AT"/>
        </w:rPr>
        <w:t xml:space="preserve">wenn </w:t>
      </w:r>
      <w:r w:rsidR="002270B0" w:rsidRPr="00374178">
        <w:rPr>
          <w:rFonts w:ascii="Arial" w:hAnsi="Arial" w:cs="Arial"/>
          <w:sz w:val="22"/>
          <w:szCs w:val="22"/>
          <w:lang w:val="de-AT"/>
        </w:rPr>
        <w:t xml:space="preserve">Beihilfen für </w:t>
      </w:r>
      <w:r w:rsidR="00BA2277" w:rsidRPr="00374178">
        <w:rPr>
          <w:rFonts w:ascii="Arial" w:hAnsi="Arial" w:cs="Arial"/>
          <w:sz w:val="22"/>
          <w:szCs w:val="22"/>
          <w:lang w:val="de-AT"/>
        </w:rPr>
        <w:t>erdgasbasierte Anlagen</w:t>
      </w:r>
      <w:r w:rsidR="00DC05D5" w:rsidRPr="00374178">
        <w:rPr>
          <w:rFonts w:ascii="Arial" w:hAnsi="Arial" w:cs="Arial"/>
          <w:sz w:val="22"/>
          <w:szCs w:val="22"/>
          <w:lang w:val="de-AT"/>
        </w:rPr>
        <w:t xml:space="preserve"> künftig</w:t>
      </w:r>
      <w:r w:rsidR="00BA2277" w:rsidRPr="00374178">
        <w:rPr>
          <w:rFonts w:ascii="Arial" w:hAnsi="Arial" w:cs="Arial"/>
          <w:sz w:val="22"/>
          <w:szCs w:val="22"/>
          <w:lang w:val="de-AT"/>
        </w:rPr>
        <w:t xml:space="preserve"> einer (im Vergleich zu Erzeugungsanlagen von rein erneuerbaren Energien) verstärkten ökologischen Begründungspflicht unterliegen</w:t>
      </w:r>
      <w:r w:rsidR="00DA2C96" w:rsidRPr="00374178">
        <w:rPr>
          <w:rFonts w:ascii="Arial" w:hAnsi="Arial" w:cs="Arial"/>
          <w:sz w:val="22"/>
          <w:szCs w:val="22"/>
          <w:lang w:val="de-AT"/>
        </w:rPr>
        <w:t xml:space="preserve"> sollten</w:t>
      </w:r>
      <w:r w:rsidR="005E5A48" w:rsidRPr="00374178">
        <w:rPr>
          <w:rFonts w:ascii="Arial" w:hAnsi="Arial" w:cs="Arial"/>
          <w:sz w:val="22"/>
          <w:szCs w:val="22"/>
          <w:lang w:val="de-AT"/>
        </w:rPr>
        <w:t>, weil Erd</w:t>
      </w:r>
      <w:r w:rsidR="00B42C3F" w:rsidRPr="00374178">
        <w:rPr>
          <w:rFonts w:ascii="Arial" w:hAnsi="Arial" w:cs="Arial"/>
          <w:sz w:val="22"/>
          <w:szCs w:val="22"/>
          <w:lang w:val="de-AT"/>
        </w:rPr>
        <w:t xml:space="preserve">gasanlagen im direkten Vergleich mit Anlagen zur Energieerzeugung aus erneuerbaren Energiequellen (etwa Wasserkraft) mit einer </w:t>
      </w:r>
      <w:r w:rsidR="002270B0" w:rsidRPr="00374178">
        <w:rPr>
          <w:rFonts w:ascii="Arial" w:hAnsi="Arial" w:cs="Arial"/>
          <w:sz w:val="22"/>
          <w:szCs w:val="22"/>
          <w:lang w:val="de-AT"/>
        </w:rPr>
        <w:t>größeren</w:t>
      </w:r>
      <w:r w:rsidR="00B42C3F" w:rsidRPr="00374178">
        <w:rPr>
          <w:rFonts w:ascii="Arial" w:hAnsi="Arial" w:cs="Arial"/>
          <w:sz w:val="22"/>
          <w:szCs w:val="22"/>
          <w:lang w:val="de-AT"/>
        </w:rPr>
        <w:t xml:space="preserve"> Umweltbelastung einher</w:t>
      </w:r>
      <w:r w:rsidR="005E5A48" w:rsidRPr="00374178">
        <w:rPr>
          <w:rFonts w:ascii="Arial" w:hAnsi="Arial" w:cs="Arial"/>
          <w:sz w:val="22"/>
          <w:szCs w:val="22"/>
          <w:lang w:val="de-AT"/>
        </w:rPr>
        <w:t>gehen</w:t>
      </w:r>
      <w:r w:rsidR="00B42C3F" w:rsidRPr="00374178">
        <w:rPr>
          <w:rFonts w:ascii="Arial" w:hAnsi="Arial" w:cs="Arial"/>
          <w:sz w:val="22"/>
          <w:szCs w:val="22"/>
          <w:lang w:val="de-AT"/>
        </w:rPr>
        <w:t xml:space="preserve">. </w:t>
      </w:r>
      <w:r w:rsidR="002270B0" w:rsidRPr="00374178">
        <w:rPr>
          <w:rFonts w:ascii="Arial" w:hAnsi="Arial" w:cs="Arial"/>
          <w:sz w:val="22"/>
          <w:szCs w:val="22"/>
          <w:lang w:val="de-AT"/>
        </w:rPr>
        <w:t xml:space="preserve">Allerdings sollte dabei nicht übersehen werden, dass </w:t>
      </w:r>
      <w:r w:rsidR="00BA2277" w:rsidRPr="00374178">
        <w:rPr>
          <w:rFonts w:ascii="Arial" w:hAnsi="Arial" w:cs="Arial"/>
          <w:sz w:val="22"/>
          <w:szCs w:val="22"/>
          <w:lang w:val="de-AT"/>
        </w:rPr>
        <w:t xml:space="preserve">es eine Vielzahl an Szenarien gibt, in denen der Ausbau und die Modernisierung von Erdgasanlagen einen evidenten Beitrag zur Ökologisierung des Energiemarktes </w:t>
      </w:r>
      <w:r w:rsidR="00DA2C96" w:rsidRPr="00374178">
        <w:rPr>
          <w:rFonts w:ascii="Arial" w:hAnsi="Arial" w:cs="Arial"/>
          <w:sz w:val="22"/>
          <w:szCs w:val="22"/>
          <w:lang w:val="de-AT"/>
        </w:rPr>
        <w:t xml:space="preserve">leisten </w:t>
      </w:r>
      <w:r w:rsidR="002270B0" w:rsidRPr="00374178">
        <w:rPr>
          <w:rFonts w:ascii="Arial" w:hAnsi="Arial" w:cs="Arial"/>
          <w:sz w:val="22"/>
          <w:szCs w:val="22"/>
          <w:lang w:val="de-AT"/>
        </w:rPr>
        <w:t xml:space="preserve">können: Dies ist etwa bei </w:t>
      </w:r>
      <w:r w:rsidR="00B42C3F" w:rsidRPr="00374178">
        <w:rPr>
          <w:rFonts w:ascii="Arial" w:hAnsi="Arial" w:cs="Arial"/>
          <w:sz w:val="22"/>
          <w:szCs w:val="22"/>
          <w:lang w:val="de-AT"/>
        </w:rPr>
        <w:t>Erdgasanlagen</w:t>
      </w:r>
      <w:r w:rsidR="002270B0" w:rsidRPr="00374178">
        <w:rPr>
          <w:rFonts w:ascii="Arial" w:hAnsi="Arial" w:cs="Arial"/>
          <w:sz w:val="22"/>
          <w:szCs w:val="22"/>
          <w:lang w:val="de-AT"/>
        </w:rPr>
        <w:t xml:space="preserve"> der Fall</w:t>
      </w:r>
      <w:r w:rsidR="00B42C3F" w:rsidRPr="00374178">
        <w:rPr>
          <w:rFonts w:ascii="Arial" w:hAnsi="Arial" w:cs="Arial"/>
          <w:sz w:val="22"/>
          <w:szCs w:val="22"/>
          <w:lang w:val="de-AT"/>
        </w:rPr>
        <w:t xml:space="preserve">, </w:t>
      </w:r>
      <w:r w:rsidR="005E5A48" w:rsidRPr="00374178">
        <w:rPr>
          <w:rFonts w:ascii="Arial" w:hAnsi="Arial" w:cs="Arial"/>
          <w:sz w:val="22"/>
          <w:szCs w:val="22"/>
          <w:lang w:val="de-AT"/>
        </w:rPr>
        <w:t>deren Einsatz</w:t>
      </w:r>
      <w:r w:rsidR="002270B0" w:rsidRPr="00374178">
        <w:rPr>
          <w:rFonts w:ascii="Arial" w:hAnsi="Arial" w:cs="Arial"/>
          <w:sz w:val="22"/>
          <w:szCs w:val="22"/>
          <w:lang w:val="de-AT"/>
        </w:rPr>
        <w:t xml:space="preserve"> </w:t>
      </w:r>
      <w:r w:rsidR="000F1A1C" w:rsidRPr="00374178">
        <w:rPr>
          <w:rFonts w:ascii="Arial" w:hAnsi="Arial" w:cs="Arial"/>
          <w:sz w:val="22"/>
          <w:szCs w:val="22"/>
          <w:lang w:val="de-AT"/>
        </w:rPr>
        <w:t xml:space="preserve">für </w:t>
      </w:r>
      <w:r w:rsidR="002270B0" w:rsidRPr="00374178">
        <w:rPr>
          <w:rFonts w:ascii="Arial" w:hAnsi="Arial" w:cs="Arial"/>
          <w:sz w:val="22"/>
          <w:szCs w:val="22"/>
          <w:lang w:val="de-AT"/>
        </w:rPr>
        <w:t xml:space="preserve">Zwecke </w:t>
      </w:r>
      <w:r w:rsidR="00866B07" w:rsidRPr="00374178">
        <w:rPr>
          <w:rFonts w:ascii="Arial" w:hAnsi="Arial" w:cs="Arial"/>
          <w:sz w:val="22"/>
          <w:szCs w:val="22"/>
          <w:lang w:val="de-AT"/>
        </w:rPr>
        <w:t>der Fernwärme</w:t>
      </w:r>
      <w:r w:rsidR="005E5A48" w:rsidRPr="00374178">
        <w:rPr>
          <w:rFonts w:ascii="Arial" w:hAnsi="Arial" w:cs="Arial"/>
          <w:sz w:val="22"/>
          <w:szCs w:val="22"/>
          <w:lang w:val="de-AT"/>
        </w:rPr>
        <w:t>erzeugung</w:t>
      </w:r>
      <w:r w:rsidR="00866B07" w:rsidRPr="00374178">
        <w:rPr>
          <w:rFonts w:ascii="Arial" w:hAnsi="Arial" w:cs="Arial"/>
          <w:sz w:val="22"/>
          <w:szCs w:val="22"/>
          <w:lang w:val="de-AT"/>
        </w:rPr>
        <w:t xml:space="preserve"> </w:t>
      </w:r>
      <w:r w:rsidR="005E5A48" w:rsidRPr="00374178">
        <w:rPr>
          <w:rFonts w:ascii="Arial" w:hAnsi="Arial" w:cs="Arial"/>
          <w:sz w:val="22"/>
          <w:szCs w:val="22"/>
          <w:lang w:val="de-AT"/>
        </w:rPr>
        <w:t>ökologisch vorteilhaft</w:t>
      </w:r>
      <w:r w:rsidR="002270B0" w:rsidRPr="00374178">
        <w:rPr>
          <w:rFonts w:ascii="Arial" w:hAnsi="Arial" w:cs="Arial"/>
          <w:sz w:val="22"/>
          <w:szCs w:val="22"/>
          <w:lang w:val="de-AT"/>
        </w:rPr>
        <w:t xml:space="preserve"> (und insoweit auch förderungswürdig)</w:t>
      </w:r>
      <w:r w:rsidR="005E5A48" w:rsidRPr="00374178">
        <w:rPr>
          <w:rFonts w:ascii="Arial" w:hAnsi="Arial" w:cs="Arial"/>
          <w:sz w:val="22"/>
          <w:szCs w:val="22"/>
          <w:lang w:val="de-AT"/>
        </w:rPr>
        <w:t xml:space="preserve"> wäre</w:t>
      </w:r>
      <w:r w:rsidR="002270B0" w:rsidRPr="00374178">
        <w:rPr>
          <w:rFonts w:ascii="Arial" w:hAnsi="Arial" w:cs="Arial"/>
          <w:sz w:val="22"/>
          <w:szCs w:val="22"/>
          <w:lang w:val="de-AT"/>
        </w:rPr>
        <w:t>, wenn dadurch andere Kraftwerke</w:t>
      </w:r>
      <w:r w:rsidR="005E5A48" w:rsidRPr="00374178">
        <w:rPr>
          <w:rFonts w:ascii="Arial" w:hAnsi="Arial" w:cs="Arial"/>
          <w:sz w:val="22"/>
          <w:szCs w:val="22"/>
          <w:lang w:val="de-AT"/>
        </w:rPr>
        <w:t xml:space="preserve"> ersetzt werden können</w:t>
      </w:r>
      <w:r w:rsidR="002270B0" w:rsidRPr="00374178">
        <w:rPr>
          <w:rFonts w:ascii="Arial" w:hAnsi="Arial" w:cs="Arial"/>
          <w:sz w:val="22"/>
          <w:szCs w:val="22"/>
          <w:lang w:val="de-AT"/>
        </w:rPr>
        <w:t xml:space="preserve">, die eine wesentlich schlechtere Energieeffizienz und Umweltbilanz </w:t>
      </w:r>
      <w:r w:rsidR="005E5A48" w:rsidRPr="00374178">
        <w:rPr>
          <w:rFonts w:ascii="Arial" w:hAnsi="Arial" w:cs="Arial"/>
          <w:sz w:val="22"/>
          <w:szCs w:val="22"/>
          <w:lang w:val="de-AT"/>
        </w:rPr>
        <w:t>aufweisen (wie etwa Kraftwerke, die mit Kohle, Öl oder Diesel betrieben werden)</w:t>
      </w:r>
      <w:r w:rsidR="002270B0" w:rsidRPr="00374178">
        <w:rPr>
          <w:rFonts w:ascii="Arial" w:hAnsi="Arial" w:cs="Arial"/>
          <w:sz w:val="22"/>
          <w:szCs w:val="22"/>
          <w:lang w:val="de-AT"/>
        </w:rPr>
        <w:t>. Die Förderung derartiger Erdgasanlagen kann damit – als Zwischenschritt – einen sinnvollen Beitrag zur Ökologisierung des Energiemarktes leisten, indem die Nutzung weit schädlicherer</w:t>
      </w:r>
      <w:r w:rsidR="005E5A48" w:rsidRPr="00374178">
        <w:rPr>
          <w:rFonts w:ascii="Arial" w:hAnsi="Arial" w:cs="Arial"/>
          <w:sz w:val="22"/>
          <w:szCs w:val="22"/>
          <w:lang w:val="de-AT"/>
        </w:rPr>
        <w:t xml:space="preserve"> Energieträger</w:t>
      </w:r>
      <w:r w:rsidR="002270B0" w:rsidRPr="00374178">
        <w:rPr>
          <w:rFonts w:ascii="Arial" w:hAnsi="Arial" w:cs="Arial"/>
          <w:sz w:val="22"/>
          <w:szCs w:val="22"/>
          <w:lang w:val="de-AT"/>
        </w:rPr>
        <w:t xml:space="preserve"> ersetzt wird.</w:t>
      </w:r>
    </w:p>
    <w:p w14:paraId="55682168" w14:textId="73D479C2" w:rsidR="006761D7" w:rsidRPr="00374178" w:rsidRDefault="002270B0" w:rsidP="00EE26A1">
      <w:pPr>
        <w:pStyle w:val="EH-Text"/>
        <w:spacing w:after="160" w:line="360" w:lineRule="auto"/>
        <w:rPr>
          <w:rFonts w:ascii="Arial" w:hAnsi="Arial" w:cs="Arial"/>
          <w:sz w:val="22"/>
          <w:szCs w:val="22"/>
        </w:rPr>
      </w:pPr>
      <w:r w:rsidRPr="00374178">
        <w:rPr>
          <w:rFonts w:ascii="Arial" w:hAnsi="Arial" w:cs="Arial"/>
          <w:sz w:val="22"/>
          <w:szCs w:val="22"/>
          <w:lang w:val="de-AT"/>
        </w:rPr>
        <w:t>D</w:t>
      </w:r>
      <w:r w:rsidR="00B42C3F" w:rsidRPr="00374178">
        <w:rPr>
          <w:rFonts w:ascii="Arial" w:hAnsi="Arial" w:cs="Arial"/>
          <w:sz w:val="22"/>
          <w:szCs w:val="22"/>
          <w:lang w:val="de-AT"/>
        </w:rPr>
        <w:t xml:space="preserve">ies </w:t>
      </w:r>
      <w:r w:rsidRPr="00374178">
        <w:rPr>
          <w:rFonts w:ascii="Arial" w:hAnsi="Arial" w:cs="Arial"/>
          <w:sz w:val="22"/>
          <w:szCs w:val="22"/>
          <w:lang w:val="de-AT"/>
        </w:rPr>
        <w:t xml:space="preserve">sollte </w:t>
      </w:r>
      <w:r w:rsidR="00B42C3F" w:rsidRPr="00374178">
        <w:rPr>
          <w:rFonts w:ascii="Arial" w:hAnsi="Arial" w:cs="Arial"/>
          <w:sz w:val="22"/>
          <w:szCs w:val="22"/>
          <w:lang w:val="de-AT"/>
        </w:rPr>
        <w:t xml:space="preserve">von der </w:t>
      </w:r>
      <w:r w:rsidR="00BA2277" w:rsidRPr="00374178">
        <w:rPr>
          <w:rFonts w:ascii="Arial" w:hAnsi="Arial" w:cs="Arial"/>
          <w:sz w:val="22"/>
          <w:szCs w:val="22"/>
          <w:lang w:val="de-AT"/>
        </w:rPr>
        <w:t>Kommission auch in Randnummer 348 der Leitlinien gebührend berücksichtig</w:t>
      </w:r>
      <w:r w:rsidR="00B42C3F" w:rsidRPr="00374178">
        <w:rPr>
          <w:rFonts w:ascii="Arial" w:hAnsi="Arial" w:cs="Arial"/>
          <w:sz w:val="22"/>
          <w:szCs w:val="22"/>
          <w:lang w:val="de-AT"/>
        </w:rPr>
        <w:t>t werden</w:t>
      </w:r>
      <w:r w:rsidRPr="00374178">
        <w:rPr>
          <w:rFonts w:ascii="Arial" w:hAnsi="Arial" w:cs="Arial"/>
          <w:sz w:val="22"/>
          <w:szCs w:val="22"/>
          <w:lang w:val="de-AT"/>
        </w:rPr>
        <w:t xml:space="preserve"> </w:t>
      </w:r>
      <w:r w:rsidR="00BA2277" w:rsidRPr="00374178">
        <w:rPr>
          <w:rFonts w:ascii="Arial" w:hAnsi="Arial" w:cs="Arial"/>
          <w:sz w:val="22"/>
          <w:szCs w:val="22"/>
        </w:rPr>
        <w:t xml:space="preserve">(Ergänzung durch </w:t>
      </w:r>
      <w:r w:rsidR="00BA2277" w:rsidRPr="00374178">
        <w:rPr>
          <w:rFonts w:ascii="Arial" w:hAnsi="Arial" w:cs="Arial"/>
          <w:sz w:val="22"/>
          <w:szCs w:val="22"/>
          <w:u w:val="single"/>
        </w:rPr>
        <w:t>Unterstreichung</w:t>
      </w:r>
      <w:r w:rsidR="00BA2277" w:rsidRPr="00374178">
        <w:rPr>
          <w:rFonts w:ascii="Arial" w:hAnsi="Arial" w:cs="Arial"/>
          <w:sz w:val="22"/>
          <w:szCs w:val="22"/>
        </w:rPr>
        <w:t xml:space="preserve"> hervorgehoben) </w:t>
      </w:r>
    </w:p>
    <w:p w14:paraId="04CF3B1E" w14:textId="4AEA87D0" w:rsidR="00BA2277" w:rsidRPr="00374178" w:rsidRDefault="00BA2277" w:rsidP="00EE26A1">
      <w:pPr>
        <w:pStyle w:val="EH-Text"/>
        <w:spacing w:after="160" w:line="360" w:lineRule="auto"/>
        <w:ind w:left="1134"/>
        <w:contextualSpacing/>
        <w:rPr>
          <w:rFonts w:ascii="Arial" w:hAnsi="Arial" w:cs="Arial"/>
          <w:b/>
          <w:sz w:val="22"/>
          <w:szCs w:val="22"/>
          <w:lang w:val="de-AT"/>
        </w:rPr>
      </w:pPr>
      <w:r w:rsidRPr="00374178">
        <w:rPr>
          <w:rFonts w:ascii="Arial" w:hAnsi="Arial" w:cs="Arial"/>
          <w:b/>
          <w:sz w:val="22"/>
          <w:szCs w:val="22"/>
        </w:rPr>
        <w:t>Vorschlag zu Randnummer</w:t>
      </w:r>
      <w:r w:rsidRPr="00374178">
        <w:rPr>
          <w:rFonts w:ascii="Arial" w:hAnsi="Arial" w:cs="Arial"/>
          <w:b/>
          <w:sz w:val="22"/>
          <w:szCs w:val="22"/>
          <w:lang w:val="de-AT"/>
        </w:rPr>
        <w:t> 348 (Keine negativen Wettbewerbsauswirkungen)</w:t>
      </w:r>
    </w:p>
    <w:p w14:paraId="1D1BA280" w14:textId="2269016B" w:rsidR="00BA2277" w:rsidRPr="00374178" w:rsidRDefault="00BA2277" w:rsidP="00EE26A1">
      <w:pPr>
        <w:pStyle w:val="EH-Text"/>
        <w:spacing w:after="160" w:line="360" w:lineRule="auto"/>
        <w:ind w:left="1134"/>
        <w:rPr>
          <w:rFonts w:ascii="Arial" w:hAnsi="Arial" w:cs="Arial"/>
          <w:sz w:val="22"/>
          <w:szCs w:val="22"/>
          <w:lang w:val="de-AT"/>
        </w:rPr>
      </w:pPr>
      <w:r w:rsidRPr="00374178">
        <w:rPr>
          <w:rFonts w:ascii="Arial" w:hAnsi="Arial" w:cs="Arial"/>
          <w:sz w:val="22"/>
          <w:szCs w:val="22"/>
          <w:lang w:val="de-AT"/>
        </w:rPr>
        <w:t>"</w:t>
      </w:r>
      <w:r w:rsidRPr="00374178">
        <w:rPr>
          <w:rFonts w:ascii="Arial" w:hAnsi="Arial" w:cs="Arial"/>
          <w:i/>
          <w:sz w:val="22"/>
          <w:szCs w:val="22"/>
          <w:lang w:val="de-AT"/>
        </w:rPr>
        <w:t>Was den Aufbau oder die Modernisierung von Fernwärme- und Fernkälte-Erzeugungsanlagen betrifft, so können Maßnahmen, die Anreize für neue Investitionen in erdgasbasierte Anlagen schaffen, zwar kurzfristig die Treibhausgasemissionen senken, verschärfen längerfristig jedoch im Vergleich zu alternativen Investitionen die negativen externen Umwelteffekte. Solche Investitionen in Erdgas können nur dann als positiv für die Umwelt angesehen werden, wenn die Mitgliedstaaten erläutern, wie sie sicherstellen werden, dass die jeweilige Investition zur Erreichung des Klimaziels der Union für 2030 und des Unionsziels der Klimaneutralität bis 2050 beiträgt</w:t>
      </w:r>
      <w:r w:rsidR="00636605" w:rsidRPr="00374178">
        <w:rPr>
          <w:rFonts w:ascii="Arial" w:hAnsi="Arial" w:cs="Arial"/>
          <w:i/>
          <w:sz w:val="22"/>
          <w:szCs w:val="22"/>
          <w:lang w:val="de-AT"/>
        </w:rPr>
        <w:t xml:space="preserve">. </w:t>
      </w:r>
      <w:r w:rsidR="00636605" w:rsidRPr="00374178">
        <w:rPr>
          <w:rFonts w:ascii="Arial" w:hAnsi="Arial" w:cs="Arial"/>
          <w:i/>
          <w:sz w:val="22"/>
          <w:szCs w:val="22"/>
          <w:u w:val="single"/>
          <w:lang w:val="de-AT"/>
        </w:rPr>
        <w:t xml:space="preserve">Dies kann insbesondere der Fall sein, wenn die Förderung von erdgasbasierten Anlagen die Nutzung von Anlagen, die durch Verbrennung </w:t>
      </w:r>
      <w:r w:rsidR="00782EDE" w:rsidRPr="00374178">
        <w:rPr>
          <w:rFonts w:ascii="Arial" w:hAnsi="Arial" w:cs="Arial"/>
          <w:i/>
          <w:sz w:val="22"/>
          <w:szCs w:val="22"/>
          <w:u w:val="single"/>
          <w:lang w:val="de-AT"/>
        </w:rPr>
        <w:t>der umweltschädlichsten fossilen Brennstoffe wie Steinkohle, Braunkohle, Öl und Diesel</w:t>
      </w:r>
      <w:r w:rsidR="00636605" w:rsidRPr="00374178">
        <w:rPr>
          <w:rFonts w:ascii="Arial" w:hAnsi="Arial" w:cs="Arial"/>
          <w:i/>
          <w:sz w:val="22"/>
          <w:szCs w:val="22"/>
          <w:u w:val="single"/>
          <w:lang w:val="de-AT"/>
        </w:rPr>
        <w:t xml:space="preserve"> Energie gewinnen, reduziert. Die Mitgliedstaaten haben hierzu allerdings auch darzulegen</w:t>
      </w:r>
      <w:r w:rsidRPr="00374178">
        <w:rPr>
          <w:rFonts w:ascii="Arial" w:hAnsi="Arial" w:cs="Arial"/>
          <w:i/>
          <w:sz w:val="22"/>
          <w:szCs w:val="22"/>
          <w:lang w:val="de-AT"/>
        </w:rPr>
        <w:t xml:space="preserve">, wie eine </w:t>
      </w:r>
      <w:r w:rsidR="00636605" w:rsidRPr="00374178">
        <w:rPr>
          <w:rFonts w:ascii="Arial" w:hAnsi="Arial" w:cs="Arial"/>
          <w:i/>
          <w:sz w:val="22"/>
          <w:szCs w:val="22"/>
          <w:u w:val="single"/>
          <w:lang w:val="de-AT"/>
        </w:rPr>
        <w:t>dauerhafte</w:t>
      </w:r>
      <w:r w:rsidR="00636605" w:rsidRPr="00374178">
        <w:rPr>
          <w:rFonts w:ascii="Arial" w:hAnsi="Arial" w:cs="Arial"/>
          <w:i/>
          <w:sz w:val="22"/>
          <w:szCs w:val="22"/>
          <w:lang w:val="de-AT"/>
        </w:rPr>
        <w:t xml:space="preserve"> </w:t>
      </w:r>
      <w:r w:rsidRPr="00374178">
        <w:rPr>
          <w:rFonts w:ascii="Arial" w:hAnsi="Arial" w:cs="Arial"/>
          <w:i/>
          <w:sz w:val="22"/>
          <w:szCs w:val="22"/>
          <w:lang w:val="de-AT"/>
        </w:rPr>
        <w:t>Festlegung auf die Energieerzeugung aus Erdgas oder erdgasbasierte Erzeugungsanlagen vermieden wird. Beispiele für solche Vorkehrungen wären verbindliche Verpflichtungen des Beihilfeempfängers, CCS/CCU umzusetzen, Erdgas durch erneuerbares oder CO2-armes Gas zu ersetzen oder die Anlage innerhalb eines Zeitrahmens, der mit den Klimazielen der Union im Einklang steht, zu schließen.</w:t>
      </w:r>
      <w:r w:rsidRPr="00374178">
        <w:rPr>
          <w:rFonts w:ascii="Arial" w:hAnsi="Arial" w:cs="Arial"/>
          <w:sz w:val="22"/>
          <w:szCs w:val="22"/>
          <w:lang w:val="de-AT"/>
        </w:rPr>
        <w:t xml:space="preserve">" </w:t>
      </w:r>
    </w:p>
    <w:p w14:paraId="06406747" w14:textId="06593CAC" w:rsidR="001453BD" w:rsidRPr="00374178" w:rsidRDefault="001453BD" w:rsidP="00EE26A1">
      <w:pPr>
        <w:pStyle w:val="EH-3"/>
        <w:spacing w:after="200" w:line="360" w:lineRule="auto"/>
        <w:ind w:left="709" w:hanging="709"/>
        <w:rPr>
          <w:rFonts w:ascii="Arial" w:hAnsi="Arial" w:cs="Arial"/>
          <w:sz w:val="22"/>
          <w:szCs w:val="22"/>
        </w:rPr>
      </w:pPr>
      <w:bookmarkStart w:id="30" w:name="_Toc77773390"/>
      <w:bookmarkStart w:id="31" w:name="_Toc77773412"/>
      <w:bookmarkStart w:id="32" w:name="_Toc77773391"/>
      <w:bookmarkStart w:id="33" w:name="_Toc77773413"/>
      <w:bookmarkStart w:id="34" w:name="_Toc77773392"/>
      <w:bookmarkStart w:id="35" w:name="_Toc77773414"/>
      <w:bookmarkStart w:id="36" w:name="_Toc77773415"/>
      <w:bookmarkEnd w:id="30"/>
      <w:bookmarkEnd w:id="31"/>
      <w:bookmarkEnd w:id="32"/>
      <w:bookmarkEnd w:id="33"/>
      <w:bookmarkEnd w:id="34"/>
      <w:bookmarkEnd w:id="35"/>
      <w:r w:rsidRPr="00374178">
        <w:rPr>
          <w:rFonts w:ascii="Arial" w:hAnsi="Arial" w:cs="Arial"/>
          <w:sz w:val="22"/>
          <w:szCs w:val="22"/>
        </w:rPr>
        <w:t>Beihilfen in Form einer Ermäßigung von Steuern oder steuerähnlichen Abgaben</w:t>
      </w:r>
      <w:bookmarkEnd w:id="36"/>
    </w:p>
    <w:p w14:paraId="6355A168" w14:textId="3DF740AE" w:rsidR="001453BD" w:rsidRPr="00374178" w:rsidRDefault="00BA2277" w:rsidP="00EE26A1">
      <w:pPr>
        <w:pStyle w:val="EH-Text"/>
        <w:spacing w:after="160" w:line="360" w:lineRule="auto"/>
        <w:rPr>
          <w:rFonts w:ascii="Arial" w:hAnsi="Arial" w:cs="Arial"/>
          <w:sz w:val="22"/>
          <w:szCs w:val="22"/>
        </w:rPr>
      </w:pPr>
      <w:bookmarkStart w:id="37" w:name="_Hlk78207490"/>
      <w:r w:rsidRPr="00374178">
        <w:rPr>
          <w:rFonts w:ascii="Arial" w:hAnsi="Arial" w:cs="Arial"/>
          <w:sz w:val="22"/>
          <w:szCs w:val="22"/>
        </w:rPr>
        <w:t>Angesichts der bestehenden Entscheidungspraxis der Kommission zu Umweltsteuermäßigungen zugunsten von KWK-Anlagen (siehe etwa SA.49522 – EEG Germany</w:t>
      </w:r>
      <w:r w:rsidR="00B10018" w:rsidRPr="00374178">
        <w:rPr>
          <w:rFonts w:ascii="Arial" w:hAnsi="Arial" w:cs="Arial"/>
          <w:sz w:val="22"/>
          <w:szCs w:val="22"/>
        </w:rPr>
        <w:t xml:space="preserve">) </w:t>
      </w:r>
      <w:r w:rsidR="001C07F9" w:rsidRPr="00374178">
        <w:rPr>
          <w:rFonts w:ascii="Arial" w:hAnsi="Arial" w:cs="Arial"/>
          <w:sz w:val="22"/>
          <w:szCs w:val="22"/>
        </w:rPr>
        <w:t>ist</w:t>
      </w:r>
      <w:r w:rsidR="00DA2C96" w:rsidRPr="00374178">
        <w:rPr>
          <w:rFonts w:ascii="Arial" w:hAnsi="Arial" w:cs="Arial"/>
          <w:sz w:val="22"/>
          <w:szCs w:val="22"/>
        </w:rPr>
        <w:t xml:space="preserve"> </w:t>
      </w:r>
      <w:r w:rsidR="00B10018" w:rsidRPr="00374178">
        <w:rPr>
          <w:rFonts w:ascii="Arial" w:hAnsi="Arial" w:cs="Arial"/>
          <w:sz w:val="22"/>
          <w:szCs w:val="22"/>
        </w:rPr>
        <w:t>die Klarstellung in den Leitlinien betreffend derartige Ermäßigungen positiv</w:t>
      </w:r>
      <w:r w:rsidR="001C07F9" w:rsidRPr="00374178">
        <w:rPr>
          <w:rFonts w:ascii="Arial" w:hAnsi="Arial" w:cs="Arial"/>
          <w:sz w:val="22"/>
          <w:szCs w:val="22"/>
        </w:rPr>
        <w:t xml:space="preserve"> wahrzunehmen</w:t>
      </w:r>
      <w:r w:rsidR="00B10018" w:rsidRPr="00374178">
        <w:rPr>
          <w:rFonts w:ascii="Arial" w:hAnsi="Arial" w:cs="Arial"/>
          <w:sz w:val="22"/>
          <w:szCs w:val="22"/>
        </w:rPr>
        <w:t xml:space="preserve">. Hierzu </w:t>
      </w:r>
      <w:r w:rsidR="0002228F" w:rsidRPr="00374178">
        <w:rPr>
          <w:rFonts w:ascii="Arial" w:hAnsi="Arial" w:cs="Arial"/>
          <w:sz w:val="22"/>
          <w:szCs w:val="22"/>
        </w:rPr>
        <w:t>ist allerdings noch folgendes zu beachten:</w:t>
      </w:r>
    </w:p>
    <w:p w14:paraId="49D962C5" w14:textId="4CE97D56" w:rsidR="00B10018" w:rsidRPr="00374178" w:rsidRDefault="00B10018" w:rsidP="00EE26A1">
      <w:pPr>
        <w:pStyle w:val="EH-Text"/>
        <w:spacing w:after="160" w:line="360" w:lineRule="auto"/>
        <w:rPr>
          <w:rFonts w:ascii="Arial" w:hAnsi="Arial" w:cs="Arial"/>
          <w:sz w:val="22"/>
          <w:szCs w:val="22"/>
        </w:rPr>
      </w:pPr>
      <w:r w:rsidRPr="00374178">
        <w:rPr>
          <w:rFonts w:ascii="Arial" w:hAnsi="Arial" w:cs="Arial"/>
          <w:sz w:val="22"/>
          <w:szCs w:val="22"/>
        </w:rPr>
        <w:t xml:space="preserve">Das Konzept </w:t>
      </w:r>
      <w:r w:rsidR="00DA2C96" w:rsidRPr="00374178">
        <w:rPr>
          <w:rFonts w:ascii="Arial" w:hAnsi="Arial" w:cs="Arial"/>
          <w:sz w:val="22"/>
          <w:szCs w:val="22"/>
        </w:rPr>
        <w:t xml:space="preserve">der Gewährung von </w:t>
      </w:r>
      <w:r w:rsidRPr="00374178">
        <w:rPr>
          <w:rFonts w:ascii="Arial" w:hAnsi="Arial" w:cs="Arial"/>
          <w:sz w:val="22"/>
          <w:szCs w:val="22"/>
        </w:rPr>
        <w:t>(Umwelt)Beihilfe</w:t>
      </w:r>
      <w:r w:rsidR="00DA2C96" w:rsidRPr="00374178">
        <w:rPr>
          <w:rFonts w:ascii="Arial" w:hAnsi="Arial" w:cs="Arial"/>
          <w:sz w:val="22"/>
          <w:szCs w:val="22"/>
        </w:rPr>
        <w:t>n</w:t>
      </w:r>
      <w:r w:rsidRPr="00374178">
        <w:rPr>
          <w:rFonts w:ascii="Arial" w:hAnsi="Arial" w:cs="Arial"/>
          <w:sz w:val="22"/>
          <w:szCs w:val="22"/>
        </w:rPr>
        <w:t xml:space="preserve"> durch Reduktion von (Umwelt)Steuern oder ähnlicher (umweltbezogener) Abgaben ist kein </w:t>
      </w:r>
      <w:r w:rsidR="003C4BDD" w:rsidRPr="00374178">
        <w:rPr>
          <w:rFonts w:ascii="Arial" w:hAnsi="Arial" w:cs="Arial"/>
          <w:sz w:val="22"/>
          <w:szCs w:val="22"/>
        </w:rPr>
        <w:t>ausschließlich</w:t>
      </w:r>
      <w:r w:rsidRPr="00374178">
        <w:rPr>
          <w:rFonts w:ascii="Arial" w:hAnsi="Arial" w:cs="Arial"/>
          <w:sz w:val="22"/>
          <w:szCs w:val="22"/>
        </w:rPr>
        <w:t xml:space="preserve"> beihilferechtliches Thema. Vielmehr spielen in diesem Zusammenhang auch steuerrechtliche Aspekte eine </w:t>
      </w:r>
      <w:r w:rsidR="00DA2C96" w:rsidRPr="00374178">
        <w:rPr>
          <w:rFonts w:ascii="Arial" w:hAnsi="Arial" w:cs="Arial"/>
          <w:sz w:val="22"/>
          <w:szCs w:val="22"/>
        </w:rPr>
        <w:t xml:space="preserve">bedeutende </w:t>
      </w:r>
      <w:r w:rsidRPr="00374178">
        <w:rPr>
          <w:rFonts w:ascii="Arial" w:hAnsi="Arial" w:cs="Arial"/>
          <w:sz w:val="22"/>
          <w:szCs w:val="22"/>
        </w:rPr>
        <w:t xml:space="preserve">Rolle und sind miteinander in Einklang zu bringen. Dies </w:t>
      </w:r>
      <w:r w:rsidR="00DA2C96" w:rsidRPr="00374178">
        <w:rPr>
          <w:rFonts w:ascii="Arial" w:hAnsi="Arial" w:cs="Arial"/>
          <w:sz w:val="22"/>
          <w:szCs w:val="22"/>
        </w:rPr>
        <w:t xml:space="preserve">beginnt </w:t>
      </w:r>
      <w:r w:rsidRPr="00374178">
        <w:rPr>
          <w:rFonts w:ascii="Arial" w:hAnsi="Arial" w:cs="Arial"/>
          <w:sz w:val="22"/>
          <w:szCs w:val="22"/>
        </w:rPr>
        <w:t xml:space="preserve">schon bei der graduellen Unterscheidung zwischen </w:t>
      </w:r>
      <w:r w:rsidR="00DA2C96" w:rsidRPr="00374178">
        <w:rPr>
          <w:rFonts w:ascii="Arial" w:hAnsi="Arial" w:cs="Arial"/>
          <w:sz w:val="22"/>
          <w:szCs w:val="22"/>
        </w:rPr>
        <w:t>selektiven und generellen Steuervorteilen, deren Beurteilung gerade durch Rückvergütungen noch komplexer wird.</w:t>
      </w:r>
      <w:r w:rsidRPr="00374178">
        <w:rPr>
          <w:rFonts w:ascii="Arial" w:hAnsi="Arial" w:cs="Arial"/>
          <w:sz w:val="22"/>
          <w:szCs w:val="22"/>
        </w:rPr>
        <w:t xml:space="preserve"> Bei Qualifikation derartiger Steuermaßnahmen als Beihilfe stellt sich </w:t>
      </w:r>
      <w:r w:rsidR="004E5DE8" w:rsidRPr="00374178">
        <w:rPr>
          <w:rFonts w:ascii="Arial" w:hAnsi="Arial" w:cs="Arial"/>
          <w:sz w:val="22"/>
          <w:szCs w:val="22"/>
        </w:rPr>
        <w:t xml:space="preserve">ferner die Frage, inwieweit die Anmeldeschwellen von Art 4 der Allgemeinen Gruppenfreistellungsverordnung (insb. Art 4 Abs 1 </w:t>
      </w:r>
      <w:proofErr w:type="spellStart"/>
      <w:r w:rsidR="004E5DE8" w:rsidRPr="00374178">
        <w:rPr>
          <w:rFonts w:ascii="Arial" w:hAnsi="Arial" w:cs="Arial"/>
          <w:sz w:val="22"/>
          <w:szCs w:val="22"/>
        </w:rPr>
        <w:t>lit</w:t>
      </w:r>
      <w:proofErr w:type="spellEnd"/>
      <w:r w:rsidR="004E5DE8" w:rsidRPr="00374178">
        <w:rPr>
          <w:rFonts w:ascii="Arial" w:hAnsi="Arial" w:cs="Arial"/>
          <w:sz w:val="22"/>
          <w:szCs w:val="22"/>
        </w:rPr>
        <w:t xml:space="preserve"> s – x AGVO) auf derartige Steuermaßnahmen anzuwenden sind. </w:t>
      </w:r>
    </w:p>
    <w:p w14:paraId="57B76D26" w14:textId="3EEF8C56" w:rsidR="00B10018" w:rsidRPr="00374178" w:rsidRDefault="00B10018" w:rsidP="00EE26A1">
      <w:pPr>
        <w:pStyle w:val="EH-Text"/>
        <w:spacing w:after="160" w:line="360" w:lineRule="auto"/>
        <w:rPr>
          <w:rFonts w:ascii="Arial" w:hAnsi="Arial" w:cs="Arial"/>
          <w:sz w:val="22"/>
          <w:szCs w:val="22"/>
        </w:rPr>
      </w:pPr>
      <w:r w:rsidRPr="00374178">
        <w:rPr>
          <w:rFonts w:ascii="Arial" w:hAnsi="Arial" w:cs="Arial"/>
          <w:sz w:val="22"/>
          <w:szCs w:val="22"/>
        </w:rPr>
        <w:t>Da derartige Ermäßigungen gemäß Art 26 Energiebesteuerungsrichtlinie der Kommission – nicht zuletzt für die Durchführung einer beihilferechtlichen Prüfung – zur Kenntnis zu bringen sind</w:t>
      </w:r>
      <w:r w:rsidR="004E5DE8" w:rsidRPr="00374178">
        <w:rPr>
          <w:rFonts w:ascii="Arial" w:hAnsi="Arial" w:cs="Arial"/>
          <w:sz w:val="22"/>
          <w:szCs w:val="22"/>
        </w:rPr>
        <w:t xml:space="preserve"> und damit stets ein Friktionspunkt mit dem Europäischen Beihilferecht besteht</w:t>
      </w:r>
      <w:r w:rsidRPr="00374178">
        <w:rPr>
          <w:rFonts w:ascii="Arial" w:hAnsi="Arial" w:cs="Arial"/>
          <w:sz w:val="22"/>
          <w:szCs w:val="22"/>
        </w:rPr>
        <w:t>, wären einige klarstellende Ausführungen der Kommission zu den folgenden Punkten wünschenswert:</w:t>
      </w:r>
    </w:p>
    <w:p w14:paraId="2C6FD420" w14:textId="06E79D48" w:rsidR="00B10018" w:rsidRPr="00374178" w:rsidRDefault="00B10018" w:rsidP="00EE26A1">
      <w:pPr>
        <w:pStyle w:val="EH-Text"/>
        <w:numPr>
          <w:ilvl w:val="0"/>
          <w:numId w:val="16"/>
        </w:numPr>
        <w:spacing w:after="160" w:line="360" w:lineRule="auto"/>
        <w:rPr>
          <w:rFonts w:ascii="Arial" w:hAnsi="Arial" w:cs="Arial"/>
          <w:sz w:val="22"/>
          <w:szCs w:val="22"/>
        </w:rPr>
      </w:pPr>
      <w:r w:rsidRPr="00374178">
        <w:rPr>
          <w:rFonts w:ascii="Arial" w:hAnsi="Arial" w:cs="Arial"/>
          <w:sz w:val="22"/>
          <w:szCs w:val="22"/>
        </w:rPr>
        <w:t xml:space="preserve">Darstellung der Kriterien, nach denen allgemeine Umweltsteuermaßnahmen von </w:t>
      </w:r>
      <w:r w:rsidR="00DA2C96" w:rsidRPr="00374178">
        <w:rPr>
          <w:rFonts w:ascii="Arial" w:hAnsi="Arial" w:cs="Arial"/>
          <w:sz w:val="22"/>
          <w:szCs w:val="22"/>
        </w:rPr>
        <w:t>selektiven</w:t>
      </w:r>
      <w:r w:rsidRPr="00374178">
        <w:rPr>
          <w:rFonts w:ascii="Arial" w:hAnsi="Arial" w:cs="Arial"/>
          <w:sz w:val="22"/>
          <w:szCs w:val="22"/>
        </w:rPr>
        <w:t xml:space="preserve"> Umweltsteuermaßnahmen abzugrenzen sind (z.B. Ausgleich eines potentiell selektiven Vorteils einer Maßnahme durch ergänzende Steuern);</w:t>
      </w:r>
    </w:p>
    <w:p w14:paraId="1013F15C" w14:textId="7E89850E" w:rsidR="004E5DE8" w:rsidRPr="00374178" w:rsidRDefault="004E5DE8" w:rsidP="00EE26A1">
      <w:pPr>
        <w:pStyle w:val="EH-Text"/>
        <w:numPr>
          <w:ilvl w:val="0"/>
          <w:numId w:val="16"/>
        </w:numPr>
        <w:spacing w:after="160" w:line="360" w:lineRule="auto"/>
        <w:rPr>
          <w:rFonts w:ascii="Arial" w:hAnsi="Arial" w:cs="Arial"/>
          <w:sz w:val="22"/>
          <w:szCs w:val="22"/>
        </w:rPr>
      </w:pPr>
      <w:r w:rsidRPr="00374178">
        <w:rPr>
          <w:rFonts w:ascii="Arial" w:hAnsi="Arial" w:cs="Arial"/>
          <w:sz w:val="22"/>
          <w:szCs w:val="22"/>
        </w:rPr>
        <w:t xml:space="preserve">Darstellung der Kriterien, </w:t>
      </w:r>
      <w:r w:rsidR="00DA2C96" w:rsidRPr="00374178">
        <w:rPr>
          <w:rFonts w:ascii="Arial" w:hAnsi="Arial" w:cs="Arial"/>
          <w:sz w:val="22"/>
          <w:szCs w:val="22"/>
        </w:rPr>
        <w:t xml:space="preserve">nach denen </w:t>
      </w:r>
      <w:r w:rsidRPr="00374178">
        <w:rPr>
          <w:rFonts w:ascii="Arial" w:hAnsi="Arial" w:cs="Arial"/>
          <w:sz w:val="22"/>
          <w:szCs w:val="22"/>
        </w:rPr>
        <w:t>Beihilfen in Form von Umweltsteuerermäßigungen die Anmeldeschwellen der AGVO unterschreiten (z.B. Maßgabe, ab wann ein Energieeffizienzprojekt vorliegt oder inwieweit eine mittelbare Förderung der Erzeugung von Strom aus erneuerbaren Energiequellen für eine Freistellung ausreicht); und</w:t>
      </w:r>
    </w:p>
    <w:p w14:paraId="73794C6C" w14:textId="0D658363" w:rsidR="00B10018" w:rsidRPr="00374178" w:rsidRDefault="00B10018" w:rsidP="00EE26A1">
      <w:pPr>
        <w:pStyle w:val="EH-Text"/>
        <w:numPr>
          <w:ilvl w:val="0"/>
          <w:numId w:val="16"/>
        </w:numPr>
        <w:spacing w:after="240" w:line="360" w:lineRule="auto"/>
        <w:ind w:left="1066" w:hanging="357"/>
        <w:rPr>
          <w:rFonts w:ascii="Arial" w:hAnsi="Arial" w:cs="Arial"/>
          <w:sz w:val="22"/>
          <w:szCs w:val="22"/>
        </w:rPr>
      </w:pPr>
      <w:r w:rsidRPr="00374178">
        <w:rPr>
          <w:rFonts w:ascii="Arial" w:hAnsi="Arial" w:cs="Arial"/>
          <w:sz w:val="22"/>
          <w:szCs w:val="22"/>
        </w:rPr>
        <w:t>Zusammenspiel der Leitlinien mit der Energiebesteuerungsri</w:t>
      </w:r>
      <w:r w:rsidR="004E5DE8" w:rsidRPr="00374178">
        <w:rPr>
          <w:rFonts w:ascii="Arial" w:hAnsi="Arial" w:cs="Arial"/>
          <w:sz w:val="22"/>
          <w:szCs w:val="22"/>
        </w:rPr>
        <w:t>chtlinie.</w:t>
      </w:r>
    </w:p>
    <w:p w14:paraId="0A6E18E0" w14:textId="75F45E2F" w:rsidR="00CD26B1" w:rsidRPr="00374178" w:rsidRDefault="00CD26B1" w:rsidP="00EE26A1">
      <w:pPr>
        <w:pStyle w:val="EH-2"/>
        <w:spacing w:after="200" w:line="360" w:lineRule="auto"/>
        <w:ind w:left="709" w:hanging="709"/>
        <w:rPr>
          <w:rFonts w:ascii="Arial" w:hAnsi="Arial" w:cs="Arial"/>
          <w:sz w:val="22"/>
          <w:szCs w:val="22"/>
        </w:rPr>
      </w:pPr>
      <w:bookmarkStart w:id="38" w:name="_Toc77773416"/>
      <w:bookmarkEnd w:id="37"/>
      <w:r w:rsidRPr="00374178">
        <w:rPr>
          <w:rFonts w:ascii="Arial" w:hAnsi="Arial" w:cs="Arial"/>
          <w:sz w:val="22"/>
          <w:szCs w:val="22"/>
        </w:rPr>
        <w:t>Zusammenfassung</w:t>
      </w:r>
      <w:bookmarkEnd w:id="38"/>
    </w:p>
    <w:p w14:paraId="1D62CF36" w14:textId="7CC2693C" w:rsidR="005D1C85" w:rsidRPr="00374178" w:rsidRDefault="005D1C85" w:rsidP="00EE26A1">
      <w:pPr>
        <w:pStyle w:val="EH-Text"/>
        <w:spacing w:after="160" w:line="360" w:lineRule="auto"/>
        <w:rPr>
          <w:rFonts w:ascii="Arial" w:hAnsi="Arial" w:cs="Arial"/>
          <w:sz w:val="22"/>
          <w:szCs w:val="22"/>
        </w:rPr>
      </w:pPr>
      <w:r w:rsidRPr="00374178">
        <w:rPr>
          <w:rFonts w:ascii="Arial" w:hAnsi="Arial" w:cs="Arial"/>
          <w:sz w:val="22"/>
          <w:szCs w:val="22"/>
        </w:rPr>
        <w:t xml:space="preserve">Der Kommissionsentwurf der neuen Leitlinien enthält nach Ansicht von Wien Energie durchwegs sinnvolle Ansätze und eine für die Praxis hilfreiche Kodifikation bestehender Entscheidungspraxis. Besonders erfreulich ist </w:t>
      </w:r>
      <w:r w:rsidR="00DA2C96" w:rsidRPr="00374178">
        <w:rPr>
          <w:rFonts w:ascii="Arial" w:hAnsi="Arial" w:cs="Arial"/>
          <w:sz w:val="22"/>
          <w:szCs w:val="22"/>
        </w:rPr>
        <w:t>dabei</w:t>
      </w:r>
      <w:r w:rsidRPr="00374178">
        <w:rPr>
          <w:rFonts w:ascii="Arial" w:hAnsi="Arial" w:cs="Arial"/>
          <w:sz w:val="22"/>
          <w:szCs w:val="22"/>
        </w:rPr>
        <w:t xml:space="preserve">, dass die Kommission auch auf die marktbedingten Besonderheiten im Energiesektor Rücksicht nimmt und auf ein ökologisch sinnvolles Gesamtpaket abstellt. </w:t>
      </w:r>
    </w:p>
    <w:p w14:paraId="4C34C905" w14:textId="127B055F" w:rsidR="005D1C85" w:rsidRPr="00374178" w:rsidRDefault="005D1C85" w:rsidP="00EE26A1">
      <w:pPr>
        <w:pStyle w:val="EH-Text"/>
        <w:spacing w:after="160" w:line="360" w:lineRule="auto"/>
        <w:rPr>
          <w:rFonts w:ascii="Arial" w:hAnsi="Arial" w:cs="Arial"/>
          <w:sz w:val="22"/>
          <w:szCs w:val="22"/>
        </w:rPr>
      </w:pPr>
      <w:r w:rsidRPr="00374178">
        <w:rPr>
          <w:rFonts w:ascii="Arial" w:hAnsi="Arial" w:cs="Arial"/>
          <w:sz w:val="22"/>
          <w:szCs w:val="22"/>
        </w:rPr>
        <w:t xml:space="preserve">Ganz im Geiste dessen wäre es aus Praxissicht noch sinnvoll, </w:t>
      </w:r>
      <w:bookmarkStart w:id="39" w:name="_Hlk78205080"/>
      <w:r w:rsidRPr="00374178">
        <w:rPr>
          <w:rFonts w:ascii="Arial" w:hAnsi="Arial" w:cs="Arial"/>
          <w:sz w:val="22"/>
          <w:szCs w:val="22"/>
        </w:rPr>
        <w:t>im Hinblick auf Beihilfen zur Förderung erneuerbarer Energien weitere Präzisierungen</w:t>
      </w:r>
      <w:r w:rsidR="000526EF" w:rsidRPr="00374178">
        <w:rPr>
          <w:rFonts w:ascii="Arial" w:hAnsi="Arial" w:cs="Arial"/>
          <w:sz w:val="22"/>
          <w:szCs w:val="22"/>
        </w:rPr>
        <w:t xml:space="preserve"> gerade</w:t>
      </w:r>
      <w:r w:rsidRPr="00374178">
        <w:rPr>
          <w:rFonts w:ascii="Arial" w:hAnsi="Arial" w:cs="Arial"/>
          <w:sz w:val="22"/>
          <w:szCs w:val="22"/>
        </w:rPr>
        <w:t xml:space="preserve"> für </w:t>
      </w:r>
      <w:r w:rsidR="00B413DB" w:rsidRPr="00374178">
        <w:rPr>
          <w:rFonts w:ascii="Arial" w:hAnsi="Arial" w:cs="Arial"/>
          <w:sz w:val="22"/>
          <w:szCs w:val="22"/>
        </w:rPr>
        <w:t xml:space="preserve">größere Investitionen </w:t>
      </w:r>
      <w:r w:rsidRPr="00374178">
        <w:rPr>
          <w:rFonts w:ascii="Arial" w:hAnsi="Arial" w:cs="Arial"/>
          <w:sz w:val="22"/>
          <w:szCs w:val="22"/>
        </w:rPr>
        <w:t xml:space="preserve">vorzusehen. Diese amortisieren sich häufig erst nach langen Betrachtungszeiträumen, </w:t>
      </w:r>
      <w:r w:rsidR="00B413DB" w:rsidRPr="00374178">
        <w:rPr>
          <w:rFonts w:ascii="Arial" w:hAnsi="Arial" w:cs="Arial"/>
          <w:sz w:val="22"/>
          <w:szCs w:val="22"/>
        </w:rPr>
        <w:t>sodass</w:t>
      </w:r>
      <w:r w:rsidRPr="00374178">
        <w:rPr>
          <w:rFonts w:ascii="Arial" w:hAnsi="Arial" w:cs="Arial"/>
          <w:sz w:val="22"/>
          <w:szCs w:val="22"/>
        </w:rPr>
        <w:t xml:space="preserve"> die </w:t>
      </w:r>
      <w:r w:rsidR="00B413DB" w:rsidRPr="00374178">
        <w:rPr>
          <w:rFonts w:ascii="Arial" w:hAnsi="Arial" w:cs="Arial"/>
          <w:sz w:val="22"/>
          <w:szCs w:val="22"/>
        </w:rPr>
        <w:t>im aktuellen</w:t>
      </w:r>
      <w:r w:rsidRPr="00374178">
        <w:rPr>
          <w:rFonts w:ascii="Arial" w:hAnsi="Arial" w:cs="Arial"/>
          <w:sz w:val="22"/>
          <w:szCs w:val="22"/>
        </w:rPr>
        <w:t xml:space="preserve"> Entwurf der Leitlinien </w:t>
      </w:r>
      <w:r w:rsidR="00B413DB" w:rsidRPr="00374178">
        <w:rPr>
          <w:rFonts w:ascii="Arial" w:hAnsi="Arial" w:cs="Arial"/>
          <w:sz w:val="22"/>
          <w:szCs w:val="22"/>
        </w:rPr>
        <w:t xml:space="preserve">vorgesehene </w:t>
      </w:r>
      <w:r w:rsidRPr="00374178">
        <w:rPr>
          <w:rFonts w:ascii="Arial" w:hAnsi="Arial" w:cs="Arial"/>
          <w:sz w:val="22"/>
          <w:szCs w:val="22"/>
        </w:rPr>
        <w:t xml:space="preserve">jährliche </w:t>
      </w:r>
      <w:r w:rsidR="0012789D" w:rsidRPr="00374178">
        <w:rPr>
          <w:rFonts w:ascii="Arial" w:hAnsi="Arial" w:cs="Arial"/>
          <w:sz w:val="22"/>
          <w:szCs w:val="22"/>
        </w:rPr>
        <w:t>Prüfung des Förderbedarfs</w:t>
      </w:r>
      <w:r w:rsidRPr="00374178">
        <w:rPr>
          <w:rFonts w:ascii="Arial" w:hAnsi="Arial" w:cs="Arial"/>
          <w:sz w:val="22"/>
          <w:szCs w:val="22"/>
        </w:rPr>
        <w:t xml:space="preserve"> wenig sinnvoll </w:t>
      </w:r>
      <w:r w:rsidR="00B413DB" w:rsidRPr="00374178">
        <w:rPr>
          <w:rFonts w:ascii="Arial" w:hAnsi="Arial" w:cs="Arial"/>
          <w:sz w:val="22"/>
          <w:szCs w:val="22"/>
        </w:rPr>
        <w:t>erscheint</w:t>
      </w:r>
      <w:r w:rsidRPr="00374178">
        <w:rPr>
          <w:rFonts w:ascii="Arial" w:hAnsi="Arial" w:cs="Arial"/>
          <w:sz w:val="22"/>
          <w:szCs w:val="22"/>
        </w:rPr>
        <w:t xml:space="preserve">. Dementsprechend sollten </w:t>
      </w:r>
      <w:r w:rsidR="000F1A1C" w:rsidRPr="00374178">
        <w:rPr>
          <w:rFonts w:ascii="Arial" w:hAnsi="Arial" w:cs="Arial"/>
          <w:sz w:val="22"/>
          <w:szCs w:val="22"/>
        </w:rPr>
        <w:t xml:space="preserve">Beihilfen für </w:t>
      </w:r>
      <w:r w:rsidR="00B413DB" w:rsidRPr="00374178">
        <w:rPr>
          <w:rFonts w:ascii="Arial" w:hAnsi="Arial" w:cs="Arial"/>
          <w:sz w:val="22"/>
          <w:szCs w:val="22"/>
        </w:rPr>
        <w:t xml:space="preserve">größere </w:t>
      </w:r>
      <w:r w:rsidR="000F1A1C" w:rsidRPr="00374178">
        <w:rPr>
          <w:rFonts w:ascii="Arial" w:hAnsi="Arial" w:cs="Arial"/>
          <w:sz w:val="22"/>
          <w:szCs w:val="22"/>
        </w:rPr>
        <w:t xml:space="preserve">Investitionen in erneuerbare Energien </w:t>
      </w:r>
      <w:r w:rsidRPr="00374178">
        <w:rPr>
          <w:rFonts w:ascii="Arial" w:hAnsi="Arial" w:cs="Arial"/>
          <w:sz w:val="22"/>
          <w:szCs w:val="22"/>
        </w:rPr>
        <w:t>nach Ansicht von Wien Energie von dieser Prüfung explizit ausgenommen werden.</w:t>
      </w:r>
    </w:p>
    <w:bookmarkEnd w:id="39"/>
    <w:p w14:paraId="113C9696" w14:textId="7A089B17" w:rsidR="005D1C85" w:rsidRPr="00374178" w:rsidRDefault="005D1C85" w:rsidP="00EE26A1">
      <w:pPr>
        <w:pStyle w:val="EH-Text"/>
        <w:spacing w:after="160" w:line="360" w:lineRule="auto"/>
        <w:rPr>
          <w:rFonts w:ascii="Arial" w:hAnsi="Arial" w:cs="Arial"/>
          <w:sz w:val="22"/>
          <w:szCs w:val="22"/>
        </w:rPr>
      </w:pPr>
      <w:r w:rsidRPr="00374178">
        <w:rPr>
          <w:rFonts w:ascii="Arial" w:hAnsi="Arial" w:cs="Arial"/>
          <w:sz w:val="22"/>
          <w:szCs w:val="22"/>
        </w:rPr>
        <w:t xml:space="preserve">Begrüßenswert ist – </w:t>
      </w:r>
      <w:bookmarkStart w:id="40" w:name="_Hlk78205492"/>
      <w:r w:rsidRPr="00374178">
        <w:rPr>
          <w:rFonts w:ascii="Arial" w:hAnsi="Arial" w:cs="Arial"/>
          <w:sz w:val="22"/>
          <w:szCs w:val="22"/>
        </w:rPr>
        <w:t xml:space="preserve">nicht zuletzt vor dem Hintergrund der jüngst von der Kommission genehmigten österreichischen Netzreserve </w:t>
      </w:r>
      <w:bookmarkEnd w:id="40"/>
      <w:r w:rsidRPr="00374178">
        <w:rPr>
          <w:rFonts w:ascii="Arial" w:hAnsi="Arial" w:cs="Arial"/>
          <w:sz w:val="22"/>
          <w:szCs w:val="22"/>
        </w:rPr>
        <w:t xml:space="preserve">– der Stellenwert, </w:t>
      </w:r>
      <w:r w:rsidR="00DA2C96" w:rsidRPr="00374178">
        <w:rPr>
          <w:rFonts w:ascii="Arial" w:hAnsi="Arial" w:cs="Arial"/>
          <w:sz w:val="22"/>
          <w:szCs w:val="22"/>
        </w:rPr>
        <w:t xml:space="preserve">den die Leitlinien den </w:t>
      </w:r>
      <w:r w:rsidRPr="00374178">
        <w:rPr>
          <w:rFonts w:ascii="Arial" w:hAnsi="Arial" w:cs="Arial"/>
          <w:sz w:val="22"/>
          <w:szCs w:val="22"/>
        </w:rPr>
        <w:t xml:space="preserve">Maßnahmen zur Gewährleistung der Stromversorgungssicherheit </w:t>
      </w:r>
      <w:r w:rsidR="00DA2C96" w:rsidRPr="00374178">
        <w:rPr>
          <w:rFonts w:ascii="Arial" w:hAnsi="Arial" w:cs="Arial"/>
          <w:sz w:val="22"/>
          <w:szCs w:val="22"/>
        </w:rPr>
        <w:t>beimessen</w:t>
      </w:r>
      <w:r w:rsidRPr="00374178">
        <w:rPr>
          <w:rFonts w:ascii="Arial" w:hAnsi="Arial" w:cs="Arial"/>
          <w:sz w:val="22"/>
          <w:szCs w:val="22"/>
        </w:rPr>
        <w:t>. Hier wären nach Ansicht von Wien Energie</w:t>
      </w:r>
      <w:r w:rsidR="00DA2C96" w:rsidRPr="00374178">
        <w:rPr>
          <w:rFonts w:ascii="Arial" w:hAnsi="Arial" w:cs="Arial"/>
          <w:sz w:val="22"/>
          <w:szCs w:val="22"/>
        </w:rPr>
        <w:t xml:space="preserve"> allerdings</w:t>
      </w:r>
      <w:r w:rsidRPr="00374178">
        <w:rPr>
          <w:rFonts w:ascii="Arial" w:hAnsi="Arial" w:cs="Arial"/>
          <w:sz w:val="22"/>
          <w:szCs w:val="22"/>
        </w:rPr>
        <w:t xml:space="preserve"> </w:t>
      </w:r>
      <w:bookmarkStart w:id="41" w:name="_Hlk78205402"/>
      <w:r w:rsidRPr="00374178">
        <w:rPr>
          <w:rFonts w:ascii="Arial" w:hAnsi="Arial" w:cs="Arial"/>
          <w:sz w:val="22"/>
          <w:szCs w:val="22"/>
        </w:rPr>
        <w:t xml:space="preserve">noch einige Präzisierungen im Zusammenhang mit der Vorhaltung derartiger strategischer Reserven außerhalb des Marktes erforderlich. Im derzeitigen Entwurf der Leitlinien werden hierzu diverse Themenbereiche </w:t>
      </w:r>
      <w:r w:rsidR="00DA2C96" w:rsidRPr="00374178">
        <w:rPr>
          <w:rFonts w:ascii="Arial" w:hAnsi="Arial" w:cs="Arial"/>
          <w:sz w:val="22"/>
          <w:szCs w:val="22"/>
        </w:rPr>
        <w:t>ohne die gebotene Differenzierung gemeinsam behandelt</w:t>
      </w:r>
      <w:r w:rsidRPr="00374178">
        <w:rPr>
          <w:rFonts w:ascii="Arial" w:hAnsi="Arial" w:cs="Arial"/>
          <w:sz w:val="22"/>
          <w:szCs w:val="22"/>
        </w:rPr>
        <w:t xml:space="preserve">. </w:t>
      </w:r>
      <w:bookmarkEnd w:id="41"/>
      <w:r w:rsidRPr="00374178">
        <w:rPr>
          <w:rFonts w:ascii="Arial" w:hAnsi="Arial" w:cs="Arial"/>
          <w:sz w:val="22"/>
          <w:szCs w:val="22"/>
        </w:rPr>
        <w:t xml:space="preserve">Insbesondere sollte hierzu klargestellt werden, dass </w:t>
      </w:r>
      <w:r w:rsidR="00DA2C96" w:rsidRPr="00374178">
        <w:rPr>
          <w:rFonts w:ascii="Arial" w:hAnsi="Arial" w:cs="Arial"/>
          <w:sz w:val="22"/>
          <w:szCs w:val="22"/>
        </w:rPr>
        <w:t xml:space="preserve">eine </w:t>
      </w:r>
      <w:r w:rsidRPr="00374178">
        <w:rPr>
          <w:rFonts w:ascii="Arial" w:hAnsi="Arial" w:cs="Arial"/>
          <w:sz w:val="22"/>
          <w:szCs w:val="22"/>
        </w:rPr>
        <w:t xml:space="preserve">Vorhaltung außerhalb des Marktes lediglich für jenen Zeitraum erforderlich ist, in dem auch </w:t>
      </w:r>
      <w:r w:rsidR="000F1A1C" w:rsidRPr="00374178">
        <w:rPr>
          <w:rFonts w:ascii="Arial" w:hAnsi="Arial" w:cs="Arial"/>
          <w:sz w:val="22"/>
          <w:szCs w:val="22"/>
        </w:rPr>
        <w:t xml:space="preserve">eine Vergütung </w:t>
      </w:r>
      <w:r w:rsidRPr="00374178">
        <w:rPr>
          <w:rFonts w:ascii="Arial" w:hAnsi="Arial" w:cs="Arial"/>
          <w:sz w:val="22"/>
          <w:szCs w:val="22"/>
        </w:rPr>
        <w:t>aus der strategischen Reserve bezogen werden.</w:t>
      </w:r>
    </w:p>
    <w:p w14:paraId="2F3EF2FF" w14:textId="0DE47738" w:rsidR="00636605" w:rsidRPr="00374178" w:rsidRDefault="00636605" w:rsidP="00EE26A1">
      <w:pPr>
        <w:pStyle w:val="EH-Text"/>
        <w:spacing w:after="160" w:line="360" w:lineRule="auto"/>
        <w:rPr>
          <w:rFonts w:ascii="Arial" w:hAnsi="Arial" w:cs="Arial"/>
          <w:sz w:val="22"/>
          <w:szCs w:val="22"/>
        </w:rPr>
      </w:pPr>
      <w:r w:rsidRPr="00374178">
        <w:rPr>
          <w:rFonts w:ascii="Arial" w:hAnsi="Arial" w:cs="Arial"/>
          <w:sz w:val="22"/>
          <w:szCs w:val="22"/>
        </w:rPr>
        <w:t xml:space="preserve">Was die Förderung von Anlagen zur Erzeugung von Fernwärme bzw. Fernkälte anbelangt, zeigt die Erfahrung, dass auch die Nutzung von Erdgas zur Energiegewinnung insgesamt ökologisch förderwürdig sein kann. Dies ist insbesondere dann der Fall, wenn Erdgasanlagen die Nutzung von Anlagen zur Verbrennung </w:t>
      </w:r>
      <w:r w:rsidR="00782EDE" w:rsidRPr="00374178">
        <w:rPr>
          <w:rFonts w:ascii="Arial" w:hAnsi="Arial" w:cs="Arial"/>
          <w:sz w:val="22"/>
          <w:szCs w:val="22"/>
          <w:lang w:val="de-AT"/>
        </w:rPr>
        <w:t xml:space="preserve">der umweltschädlichsten fossilen Brennstoffe wie Steinkohle, Braunkohle, Öl und Diesel </w:t>
      </w:r>
      <w:r w:rsidR="005E5A48" w:rsidRPr="00374178">
        <w:rPr>
          <w:rFonts w:ascii="Arial" w:hAnsi="Arial" w:cs="Arial"/>
          <w:sz w:val="22"/>
          <w:szCs w:val="22"/>
        </w:rPr>
        <w:t>ersetzen</w:t>
      </w:r>
      <w:r w:rsidRPr="00374178">
        <w:rPr>
          <w:rFonts w:ascii="Arial" w:hAnsi="Arial" w:cs="Arial"/>
          <w:sz w:val="22"/>
          <w:szCs w:val="22"/>
        </w:rPr>
        <w:t xml:space="preserve">. Dieser umweltpolitisch durchwegs sinnvolle Zwischenschritt sollte im Sinne der Rechtssicherheit auch in den Leitlinien Niederschlag finden. </w:t>
      </w:r>
    </w:p>
    <w:p w14:paraId="62B34742" w14:textId="7688BBEF" w:rsidR="005D1C85" w:rsidRPr="00374178" w:rsidRDefault="00B413DB" w:rsidP="00EE26A1">
      <w:pPr>
        <w:pStyle w:val="EH-Text"/>
        <w:spacing w:after="160" w:line="360" w:lineRule="auto"/>
        <w:rPr>
          <w:rFonts w:ascii="Arial" w:hAnsi="Arial" w:cs="Arial"/>
          <w:sz w:val="22"/>
          <w:szCs w:val="22"/>
        </w:rPr>
      </w:pPr>
      <w:bookmarkStart w:id="42" w:name="_Hlk78205280"/>
      <w:r w:rsidRPr="00374178">
        <w:rPr>
          <w:rFonts w:ascii="Arial" w:hAnsi="Arial" w:cs="Arial"/>
          <w:sz w:val="22"/>
          <w:szCs w:val="22"/>
        </w:rPr>
        <w:t>Hinsichtlich der Behandlung von</w:t>
      </w:r>
      <w:r w:rsidR="005D1C85" w:rsidRPr="00374178">
        <w:rPr>
          <w:rFonts w:ascii="Arial" w:hAnsi="Arial" w:cs="Arial"/>
          <w:sz w:val="22"/>
          <w:szCs w:val="22"/>
        </w:rPr>
        <w:t xml:space="preserve"> (Umwelt)Steuerermäßigungen als Beihilfe </w:t>
      </w:r>
      <w:bookmarkEnd w:id="42"/>
      <w:r w:rsidR="005D1C85" w:rsidRPr="00374178">
        <w:rPr>
          <w:rFonts w:ascii="Arial" w:hAnsi="Arial" w:cs="Arial"/>
          <w:sz w:val="22"/>
          <w:szCs w:val="22"/>
        </w:rPr>
        <w:t xml:space="preserve">stellt erfahrungsgemäß die beihilferechtliche Einordnung von Steuermaßnahmen </w:t>
      </w:r>
      <w:r w:rsidR="005E5A48" w:rsidRPr="00374178">
        <w:rPr>
          <w:rFonts w:ascii="Arial" w:hAnsi="Arial" w:cs="Arial"/>
          <w:sz w:val="22"/>
          <w:szCs w:val="22"/>
        </w:rPr>
        <w:t xml:space="preserve">im Allgemeinen </w:t>
      </w:r>
      <w:r w:rsidR="005D1C85" w:rsidRPr="00374178">
        <w:rPr>
          <w:rFonts w:ascii="Arial" w:hAnsi="Arial" w:cs="Arial"/>
          <w:sz w:val="22"/>
          <w:szCs w:val="22"/>
        </w:rPr>
        <w:t xml:space="preserve">und das Zusammenspiel mit der Energiebesteuerungsrichtlinie im Bereich des Energiesektors </w:t>
      </w:r>
      <w:r w:rsidRPr="00374178">
        <w:rPr>
          <w:rFonts w:ascii="Arial" w:hAnsi="Arial" w:cs="Arial"/>
          <w:sz w:val="22"/>
          <w:szCs w:val="22"/>
        </w:rPr>
        <w:t xml:space="preserve">eine gewisse Herausforderung </w:t>
      </w:r>
      <w:r w:rsidR="005D1C85" w:rsidRPr="00374178">
        <w:rPr>
          <w:rFonts w:ascii="Arial" w:hAnsi="Arial" w:cs="Arial"/>
          <w:sz w:val="22"/>
          <w:szCs w:val="22"/>
        </w:rPr>
        <w:t xml:space="preserve">dar. Auch hierzu wären folglich aus Sicht </w:t>
      </w:r>
      <w:r w:rsidRPr="00374178">
        <w:rPr>
          <w:rFonts w:ascii="Arial" w:hAnsi="Arial" w:cs="Arial"/>
          <w:sz w:val="22"/>
          <w:szCs w:val="22"/>
        </w:rPr>
        <w:t>von</w:t>
      </w:r>
      <w:r w:rsidR="005D1C85" w:rsidRPr="00374178">
        <w:rPr>
          <w:rFonts w:ascii="Arial" w:hAnsi="Arial" w:cs="Arial"/>
          <w:sz w:val="22"/>
          <w:szCs w:val="22"/>
        </w:rPr>
        <w:t xml:space="preserve"> Wien Energie einige klärende Erläuterungen begrüßenswert.</w:t>
      </w:r>
    </w:p>
    <w:p w14:paraId="01A4B9A5" w14:textId="21387CA7" w:rsidR="00CD26B1" w:rsidRPr="00374178" w:rsidRDefault="00CD26B1" w:rsidP="00EE26A1">
      <w:pPr>
        <w:pStyle w:val="EH-Text"/>
        <w:spacing w:after="160" w:line="360" w:lineRule="auto"/>
        <w:rPr>
          <w:rFonts w:ascii="Arial" w:hAnsi="Arial" w:cs="Arial"/>
          <w:sz w:val="22"/>
          <w:szCs w:val="22"/>
        </w:rPr>
      </w:pPr>
    </w:p>
    <w:bookmarkEnd w:id="0"/>
    <w:bookmarkEnd w:id="1"/>
    <w:bookmarkEnd w:id="2"/>
    <w:tbl>
      <w:tblPr>
        <w:tblW w:w="0" w:type="auto"/>
        <w:tblInd w:w="108" w:type="dxa"/>
        <w:tblBorders>
          <w:insideH w:val="single" w:sz="4" w:space="0" w:color="auto"/>
          <w:insideV w:val="single" w:sz="4" w:space="0" w:color="auto"/>
        </w:tblBorders>
        <w:tblLook w:val="01E0" w:firstRow="1" w:lastRow="1" w:firstColumn="1" w:lastColumn="1" w:noHBand="0" w:noVBand="0"/>
      </w:tblPr>
      <w:tblGrid>
        <w:gridCol w:w="4136"/>
        <w:gridCol w:w="236"/>
        <w:gridCol w:w="4592"/>
      </w:tblGrid>
      <w:tr w:rsidR="00EB1C54" w:rsidRPr="00374178" w14:paraId="3638E53A" w14:textId="77777777" w:rsidTr="00401EE1">
        <w:trPr>
          <w:trHeight w:val="462"/>
        </w:trPr>
        <w:tc>
          <w:tcPr>
            <w:tcW w:w="4136" w:type="dxa"/>
            <w:tcBorders>
              <w:right w:val="nil"/>
            </w:tcBorders>
          </w:tcPr>
          <w:p w14:paraId="6D31D884" w14:textId="77777777" w:rsidR="00213594" w:rsidRDefault="00213594" w:rsidP="00EE26A1">
            <w:pPr>
              <w:spacing w:line="360" w:lineRule="auto"/>
              <w:jc w:val="both"/>
              <w:rPr>
                <w:rFonts w:ascii="Arial" w:hAnsi="Arial" w:cs="Arial"/>
                <w:sz w:val="22"/>
                <w:szCs w:val="22"/>
              </w:rPr>
            </w:pPr>
          </w:p>
          <w:p w14:paraId="0229A898" w14:textId="77777777" w:rsidR="00213594" w:rsidRDefault="00213594" w:rsidP="00EE26A1">
            <w:pPr>
              <w:spacing w:line="360" w:lineRule="auto"/>
              <w:jc w:val="both"/>
              <w:rPr>
                <w:rFonts w:ascii="Arial" w:hAnsi="Arial" w:cs="Arial"/>
                <w:sz w:val="22"/>
                <w:szCs w:val="22"/>
              </w:rPr>
            </w:pPr>
          </w:p>
          <w:p w14:paraId="0C72D75E" w14:textId="2C4C3212" w:rsidR="00EB1C54" w:rsidRPr="00374178" w:rsidRDefault="00EB1C54" w:rsidP="00EE26A1">
            <w:pPr>
              <w:spacing w:line="360" w:lineRule="auto"/>
              <w:jc w:val="both"/>
              <w:rPr>
                <w:rFonts w:ascii="Arial" w:hAnsi="Arial" w:cs="Arial"/>
                <w:sz w:val="22"/>
                <w:szCs w:val="22"/>
              </w:rPr>
            </w:pPr>
            <w:r w:rsidRPr="00374178">
              <w:rPr>
                <w:rFonts w:ascii="Arial" w:hAnsi="Arial" w:cs="Arial"/>
                <w:sz w:val="22"/>
                <w:szCs w:val="22"/>
              </w:rPr>
              <w:t xml:space="preserve">Wien, am </w:t>
            </w:r>
            <w:r w:rsidR="00213594">
              <w:rPr>
                <w:rFonts w:ascii="Arial" w:hAnsi="Arial" w:cs="Arial"/>
                <w:sz w:val="22"/>
                <w:szCs w:val="22"/>
                <w:lang w:val="de-AT"/>
              </w:rPr>
              <w:t>29.7.2021</w:t>
            </w:r>
          </w:p>
        </w:tc>
        <w:tc>
          <w:tcPr>
            <w:tcW w:w="236" w:type="dxa"/>
            <w:tcBorders>
              <w:top w:val="nil"/>
              <w:left w:val="nil"/>
              <w:bottom w:val="nil"/>
              <w:right w:val="nil"/>
            </w:tcBorders>
          </w:tcPr>
          <w:p w14:paraId="2CBCD929" w14:textId="77777777" w:rsidR="00EB1C54" w:rsidRPr="00374178" w:rsidRDefault="00EB1C54" w:rsidP="00EE26A1">
            <w:pPr>
              <w:spacing w:line="360" w:lineRule="auto"/>
              <w:jc w:val="both"/>
              <w:rPr>
                <w:rFonts w:ascii="Arial" w:hAnsi="Arial" w:cs="Arial"/>
                <w:sz w:val="22"/>
                <w:szCs w:val="22"/>
              </w:rPr>
            </w:pPr>
          </w:p>
        </w:tc>
        <w:tc>
          <w:tcPr>
            <w:tcW w:w="4592" w:type="dxa"/>
            <w:tcBorders>
              <w:top w:val="nil"/>
              <w:left w:val="nil"/>
              <w:bottom w:val="nil"/>
            </w:tcBorders>
          </w:tcPr>
          <w:p w14:paraId="08FD4028" w14:textId="77777777" w:rsidR="00213594" w:rsidRDefault="00213594" w:rsidP="00EE26A1">
            <w:pPr>
              <w:spacing w:line="360" w:lineRule="auto"/>
              <w:jc w:val="center"/>
              <w:rPr>
                <w:rFonts w:ascii="Arial" w:hAnsi="Arial" w:cs="Arial"/>
                <w:sz w:val="22"/>
                <w:szCs w:val="22"/>
              </w:rPr>
            </w:pPr>
          </w:p>
          <w:p w14:paraId="013AE74C" w14:textId="77777777" w:rsidR="00213594" w:rsidRDefault="00213594" w:rsidP="00EE26A1">
            <w:pPr>
              <w:spacing w:line="360" w:lineRule="auto"/>
              <w:jc w:val="center"/>
              <w:rPr>
                <w:rFonts w:ascii="Arial" w:hAnsi="Arial" w:cs="Arial"/>
                <w:sz w:val="22"/>
                <w:szCs w:val="22"/>
              </w:rPr>
            </w:pPr>
          </w:p>
          <w:p w14:paraId="63E3D395" w14:textId="76930530" w:rsidR="00EB1C54" w:rsidRPr="00374178" w:rsidRDefault="009E2598" w:rsidP="00EE26A1">
            <w:pPr>
              <w:spacing w:line="360" w:lineRule="auto"/>
              <w:jc w:val="center"/>
              <w:rPr>
                <w:rFonts w:ascii="Arial" w:hAnsi="Arial" w:cs="Arial"/>
                <w:sz w:val="22"/>
                <w:szCs w:val="22"/>
              </w:rPr>
            </w:pPr>
            <w:r w:rsidRPr="00374178">
              <w:rPr>
                <w:rFonts w:ascii="Arial" w:hAnsi="Arial" w:cs="Arial"/>
                <w:sz w:val="22"/>
                <w:szCs w:val="22"/>
              </w:rPr>
              <w:t>Wien Energie GmbH</w:t>
            </w:r>
          </w:p>
        </w:tc>
      </w:tr>
    </w:tbl>
    <w:p w14:paraId="3FBEC3B4" w14:textId="77777777" w:rsidR="0099675C" w:rsidRPr="00374178" w:rsidRDefault="0099675C" w:rsidP="00EE26A1">
      <w:pPr>
        <w:pStyle w:val="EH-Text"/>
        <w:spacing w:after="0" w:line="360" w:lineRule="auto"/>
        <w:ind w:left="0"/>
        <w:rPr>
          <w:rFonts w:ascii="Arial" w:hAnsi="Arial" w:cs="Arial"/>
          <w:sz w:val="22"/>
          <w:szCs w:val="22"/>
        </w:rPr>
      </w:pPr>
    </w:p>
    <w:sectPr w:rsidR="0099675C" w:rsidRPr="00374178" w:rsidSect="009573D1">
      <w:headerReference w:type="default" r:id="rId10"/>
      <w:footerReference w:type="default" r:id="rId11"/>
      <w:headerReference w:type="first" r:id="rId12"/>
      <w:footerReference w:type="first" r:id="rId13"/>
      <w:pgSz w:w="11906" w:h="16838"/>
      <w:pgMar w:top="1418" w:right="1417" w:bottom="1702" w:left="1417" w:header="567" w:footer="5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B568E4" w14:textId="77777777" w:rsidR="005E5A48" w:rsidRDefault="005E5A48">
      <w:r>
        <w:separator/>
      </w:r>
    </w:p>
  </w:endnote>
  <w:endnote w:type="continuationSeparator" w:id="0">
    <w:p w14:paraId="11D652A7" w14:textId="77777777" w:rsidR="005E5A48" w:rsidRDefault="005E5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4499F" w14:textId="297E2A20" w:rsidR="005E5A48" w:rsidRPr="001662BE" w:rsidRDefault="005E5A48">
    <w:pPr>
      <w:pStyle w:val="Fuzeile"/>
      <w:jc w:val="right"/>
      <w:rPr>
        <w:rFonts w:ascii="Arial" w:hAnsi="Arial" w:cs="Arial"/>
        <w:sz w:val="22"/>
      </w:rPr>
    </w:pPr>
    <w:r w:rsidRPr="001662BE">
      <w:rPr>
        <w:rFonts w:ascii="Arial" w:hAnsi="Arial" w:cs="Arial"/>
        <w:sz w:val="22"/>
      </w:rPr>
      <w:t xml:space="preserve">Seite </w:t>
    </w:r>
    <w:sdt>
      <w:sdtPr>
        <w:rPr>
          <w:rFonts w:ascii="Arial" w:hAnsi="Arial" w:cs="Arial"/>
          <w:sz w:val="22"/>
        </w:rPr>
        <w:id w:val="1525286665"/>
        <w:docPartObj>
          <w:docPartGallery w:val="Page Numbers (Bottom of Page)"/>
          <w:docPartUnique/>
        </w:docPartObj>
      </w:sdtPr>
      <w:sdtEndPr/>
      <w:sdtContent>
        <w:r w:rsidRPr="001662BE">
          <w:rPr>
            <w:rFonts w:ascii="Arial" w:hAnsi="Arial" w:cs="Arial"/>
            <w:sz w:val="22"/>
          </w:rPr>
          <w:fldChar w:fldCharType="begin"/>
        </w:r>
        <w:r w:rsidRPr="001662BE">
          <w:rPr>
            <w:rFonts w:ascii="Arial" w:hAnsi="Arial" w:cs="Arial"/>
            <w:sz w:val="22"/>
          </w:rPr>
          <w:instrText>PAGE   \* MERGEFORMAT</w:instrText>
        </w:r>
        <w:r w:rsidRPr="001662BE">
          <w:rPr>
            <w:rFonts w:ascii="Arial" w:hAnsi="Arial" w:cs="Arial"/>
            <w:sz w:val="22"/>
          </w:rPr>
          <w:fldChar w:fldCharType="separate"/>
        </w:r>
        <w:r w:rsidR="00374178">
          <w:rPr>
            <w:rFonts w:ascii="Arial" w:hAnsi="Arial" w:cs="Arial"/>
            <w:noProof/>
            <w:sz w:val="22"/>
          </w:rPr>
          <w:t>9</w:t>
        </w:r>
        <w:r w:rsidRPr="001662BE">
          <w:rPr>
            <w:rFonts w:ascii="Arial" w:hAnsi="Arial" w:cs="Arial"/>
            <w:sz w:val="22"/>
          </w:rPr>
          <w:fldChar w:fldCharType="end"/>
        </w:r>
        <w:r w:rsidRPr="001662BE">
          <w:rPr>
            <w:rFonts w:ascii="Arial" w:hAnsi="Arial" w:cs="Arial"/>
            <w:sz w:val="22"/>
          </w:rPr>
          <w:t>/</w:t>
        </w:r>
        <w:r>
          <w:rPr>
            <w:rFonts w:ascii="Arial" w:hAnsi="Arial" w:cs="Arial"/>
            <w:sz w:val="22"/>
          </w:rPr>
          <w:fldChar w:fldCharType="begin"/>
        </w:r>
        <w:r>
          <w:rPr>
            <w:rFonts w:ascii="Arial" w:hAnsi="Arial" w:cs="Arial"/>
            <w:sz w:val="22"/>
          </w:rPr>
          <w:instrText xml:space="preserve"> NUMPAGES  \* MERGEFORMAT </w:instrText>
        </w:r>
        <w:r>
          <w:rPr>
            <w:rFonts w:ascii="Arial" w:hAnsi="Arial" w:cs="Arial"/>
            <w:sz w:val="22"/>
          </w:rPr>
          <w:fldChar w:fldCharType="separate"/>
        </w:r>
        <w:r w:rsidR="00374178">
          <w:rPr>
            <w:rFonts w:ascii="Arial" w:hAnsi="Arial" w:cs="Arial"/>
            <w:noProof/>
            <w:sz w:val="22"/>
          </w:rPr>
          <w:t>9</w:t>
        </w:r>
        <w:r>
          <w:rPr>
            <w:rFonts w:ascii="Arial" w:hAnsi="Arial" w:cs="Arial"/>
            <w:sz w:val="22"/>
          </w:rPr>
          <w:fldChar w:fldCharType="end"/>
        </w:r>
      </w:sdtContent>
    </w:sdt>
  </w:p>
  <w:p w14:paraId="2A44C007" w14:textId="77777777" w:rsidR="005E5A48" w:rsidRPr="001662BE" w:rsidRDefault="005E5A48" w:rsidP="00AC3C28">
    <w:pPr>
      <w:pStyle w:val="Fuzeile"/>
      <w:jc w:val="center"/>
      <w:rPr>
        <w:rFonts w:ascii="Arial" w:hAnsi="Arial" w:cs="Arial"/>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20333" w14:textId="5C2B4148" w:rsidR="005E5A48" w:rsidRPr="001662BE" w:rsidRDefault="005E5A48">
    <w:pPr>
      <w:pStyle w:val="Fuzeile"/>
      <w:jc w:val="right"/>
      <w:rPr>
        <w:rFonts w:ascii="Arial" w:hAnsi="Arial" w:cs="Arial"/>
        <w:sz w:val="22"/>
      </w:rPr>
    </w:pPr>
    <w:r w:rsidRPr="001662BE">
      <w:rPr>
        <w:rFonts w:ascii="Arial" w:hAnsi="Arial" w:cs="Arial"/>
        <w:sz w:val="22"/>
      </w:rPr>
      <w:t>Seite </w:t>
    </w:r>
    <w:sdt>
      <w:sdtPr>
        <w:rPr>
          <w:rFonts w:ascii="Arial" w:hAnsi="Arial" w:cs="Arial"/>
          <w:sz w:val="22"/>
        </w:rPr>
        <w:id w:val="567935742"/>
        <w:docPartObj>
          <w:docPartGallery w:val="Page Numbers (Bottom of Page)"/>
          <w:docPartUnique/>
        </w:docPartObj>
      </w:sdtPr>
      <w:sdtEndPr/>
      <w:sdtContent>
        <w:r w:rsidRPr="001662BE">
          <w:rPr>
            <w:rFonts w:ascii="Arial" w:hAnsi="Arial" w:cs="Arial"/>
            <w:sz w:val="22"/>
          </w:rPr>
          <w:fldChar w:fldCharType="begin"/>
        </w:r>
        <w:r w:rsidRPr="001662BE">
          <w:rPr>
            <w:rFonts w:ascii="Arial" w:hAnsi="Arial" w:cs="Arial"/>
            <w:sz w:val="22"/>
          </w:rPr>
          <w:instrText>PAGE   \* MERGEFORMAT</w:instrText>
        </w:r>
        <w:r w:rsidRPr="001662BE">
          <w:rPr>
            <w:rFonts w:ascii="Arial" w:hAnsi="Arial" w:cs="Arial"/>
            <w:sz w:val="22"/>
          </w:rPr>
          <w:fldChar w:fldCharType="separate"/>
        </w:r>
        <w:r w:rsidR="00374178">
          <w:rPr>
            <w:rFonts w:ascii="Arial" w:hAnsi="Arial" w:cs="Arial"/>
            <w:noProof/>
            <w:sz w:val="22"/>
          </w:rPr>
          <w:t>1</w:t>
        </w:r>
        <w:r w:rsidRPr="001662BE">
          <w:rPr>
            <w:rFonts w:ascii="Arial" w:hAnsi="Arial" w:cs="Arial"/>
            <w:sz w:val="22"/>
          </w:rPr>
          <w:fldChar w:fldCharType="end"/>
        </w:r>
        <w:r w:rsidRPr="001662BE">
          <w:rPr>
            <w:rFonts w:ascii="Arial" w:hAnsi="Arial" w:cs="Arial"/>
            <w:sz w:val="22"/>
          </w:rPr>
          <w:t>/</w:t>
        </w:r>
        <w:r>
          <w:rPr>
            <w:rFonts w:ascii="Arial" w:hAnsi="Arial" w:cs="Arial"/>
            <w:sz w:val="22"/>
          </w:rPr>
          <w:fldChar w:fldCharType="begin"/>
        </w:r>
        <w:r>
          <w:rPr>
            <w:rFonts w:ascii="Arial" w:hAnsi="Arial" w:cs="Arial"/>
            <w:sz w:val="22"/>
          </w:rPr>
          <w:instrText xml:space="preserve"> NUMPAGES   \* MERGEFORMAT </w:instrText>
        </w:r>
        <w:r>
          <w:rPr>
            <w:rFonts w:ascii="Arial" w:hAnsi="Arial" w:cs="Arial"/>
            <w:sz w:val="22"/>
          </w:rPr>
          <w:fldChar w:fldCharType="separate"/>
        </w:r>
        <w:r w:rsidR="00374178">
          <w:rPr>
            <w:rFonts w:ascii="Arial" w:hAnsi="Arial" w:cs="Arial"/>
            <w:noProof/>
            <w:sz w:val="22"/>
          </w:rPr>
          <w:t>9</w:t>
        </w:r>
        <w:r>
          <w:rPr>
            <w:rFonts w:ascii="Arial" w:hAnsi="Arial" w:cs="Arial"/>
            <w:sz w:val="22"/>
          </w:rPr>
          <w:fldChar w:fldCharType="end"/>
        </w:r>
      </w:sdtContent>
    </w:sdt>
  </w:p>
  <w:p w14:paraId="318DBF79" w14:textId="77777777" w:rsidR="005E5A48" w:rsidRPr="00DC2137" w:rsidRDefault="005E5A48">
    <w:pPr>
      <w:pStyle w:val="Fuzeil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39ABD1" w14:textId="77777777" w:rsidR="005E5A48" w:rsidRDefault="005E5A48">
      <w:r>
        <w:separator/>
      </w:r>
    </w:p>
  </w:footnote>
  <w:footnote w:type="continuationSeparator" w:id="0">
    <w:p w14:paraId="75A1F5FA" w14:textId="77777777" w:rsidR="005E5A48" w:rsidRDefault="005E5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FE870" w14:textId="26326431" w:rsidR="00CE4C26" w:rsidRDefault="00EE26A1">
    <w:pPr>
      <w:pStyle w:val="Kopfzeile"/>
    </w:pPr>
    <w:r>
      <w:rPr>
        <w:noProof/>
        <w:lang w:eastAsia="de-AT"/>
      </w:rPr>
      <w:drawing>
        <wp:anchor distT="0" distB="0" distL="114300" distR="114300" simplePos="0" relativeHeight="251661312" behindDoc="1" locked="0" layoutInCell="1" allowOverlap="1" wp14:anchorId="763A7FCB" wp14:editId="6D7E5610">
          <wp:simplePos x="0" y="0"/>
          <wp:positionH relativeFrom="margin">
            <wp:align>right</wp:align>
          </wp:positionH>
          <wp:positionV relativeFrom="paragraph">
            <wp:posOffset>-119573</wp:posOffset>
          </wp:positionV>
          <wp:extent cx="1869440" cy="452755"/>
          <wp:effectExtent l="0" t="0" r="0" b="4445"/>
          <wp:wrapTight wrapText="left">
            <wp:wrapPolygon edited="0">
              <wp:start x="0" y="0"/>
              <wp:lineTo x="0" y="20903"/>
              <wp:lineTo x="21351" y="20903"/>
              <wp:lineTo x="21351" y="0"/>
              <wp:lineTo x="0" y="0"/>
            </wp:wrapPolygon>
          </wp:wrapTight>
          <wp:docPr id="1" name="Grafik 1" descr="http://intranet-wienenergie/iportal/ep/downloadTracker.do/path/media/files/2014/logo_wien%20energie_rahmen_orange_dick_118506.jpg?oid=385486&amp;type=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wienenergie/iportal/ep/downloadTracker.do/path/media/files/2014/logo_wien%20energie_rahmen_orange_dick_118506.jpg?oid=385486&amp;type=pho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9440" cy="4527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71BE4" w14:textId="3D65B6C6" w:rsidR="005E5A48" w:rsidRPr="001662BE" w:rsidRDefault="007C1FEB" w:rsidP="009D6F37">
    <w:pPr>
      <w:pStyle w:val="Kopfzeile"/>
      <w:jc w:val="center"/>
      <w:rPr>
        <w:rFonts w:ascii="Arial" w:hAnsi="Arial" w:cs="Arial"/>
        <w:sz w:val="22"/>
      </w:rPr>
    </w:pPr>
    <w:r>
      <w:rPr>
        <w:noProof/>
        <w:lang w:eastAsia="de-AT"/>
      </w:rPr>
      <w:drawing>
        <wp:anchor distT="0" distB="0" distL="114300" distR="114300" simplePos="0" relativeHeight="251659264" behindDoc="1" locked="0" layoutInCell="1" allowOverlap="1" wp14:anchorId="2E9A0CE9" wp14:editId="66EE08E1">
          <wp:simplePos x="0" y="0"/>
          <wp:positionH relativeFrom="margin">
            <wp:posOffset>3891280</wp:posOffset>
          </wp:positionH>
          <wp:positionV relativeFrom="paragraph">
            <wp:posOffset>-92075</wp:posOffset>
          </wp:positionV>
          <wp:extent cx="1869440" cy="452755"/>
          <wp:effectExtent l="0" t="0" r="0" b="4445"/>
          <wp:wrapTight wrapText="left">
            <wp:wrapPolygon edited="0">
              <wp:start x="0" y="0"/>
              <wp:lineTo x="0" y="20903"/>
              <wp:lineTo x="21351" y="20903"/>
              <wp:lineTo x="21351" y="0"/>
              <wp:lineTo x="0" y="0"/>
            </wp:wrapPolygon>
          </wp:wrapTight>
          <wp:docPr id="2" name="Grafik 2" descr="http://intranet-wienenergie/iportal/ep/downloadTracker.do/path/media/files/2014/logo_wien%20energie_rahmen_orange_dick_118506.jpg?oid=385486&amp;type=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wienenergie/iportal/ep/downloadTracker.do/path/media/files/2014/logo_wien%20energie_rahmen_orange_dick_118506.jpg?oid=385486&amp;type=pho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9440" cy="4527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65D58A" w14:textId="77777777" w:rsidR="005E5A48" w:rsidRPr="001662BE" w:rsidRDefault="005E5A48" w:rsidP="009D6F37">
    <w:pPr>
      <w:pStyle w:val="Kopfzeile"/>
      <w:jc w:val="center"/>
      <w:rPr>
        <w:rFonts w:ascii="Arial" w:hAnsi="Arial" w:cs="Arial"/>
        <w:sz w:val="22"/>
      </w:rPr>
    </w:pPr>
  </w:p>
  <w:p w14:paraId="654CD26B" w14:textId="0881A502" w:rsidR="00CE4C26" w:rsidRPr="00A70BDC" w:rsidRDefault="00CE4C26" w:rsidP="00835A05">
    <w:pPr>
      <w:jc w:val="right"/>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33EB1"/>
    <w:multiLevelType w:val="hybridMultilevel"/>
    <w:tmpl w:val="9B0A37D6"/>
    <w:lvl w:ilvl="0" w:tplc="0C070001">
      <w:start w:val="1"/>
      <w:numFmt w:val="bullet"/>
      <w:lvlText w:val=""/>
      <w:lvlJc w:val="left"/>
      <w:pPr>
        <w:ind w:left="1069" w:hanging="360"/>
      </w:pPr>
      <w:rPr>
        <w:rFonts w:ascii="Symbol" w:hAnsi="Symbol" w:hint="default"/>
      </w:rPr>
    </w:lvl>
    <w:lvl w:ilvl="1" w:tplc="0C070003" w:tentative="1">
      <w:start w:val="1"/>
      <w:numFmt w:val="bullet"/>
      <w:lvlText w:val="o"/>
      <w:lvlJc w:val="left"/>
      <w:pPr>
        <w:ind w:left="1789" w:hanging="360"/>
      </w:pPr>
      <w:rPr>
        <w:rFonts w:ascii="Courier New" w:hAnsi="Courier New" w:cs="Courier New" w:hint="default"/>
      </w:rPr>
    </w:lvl>
    <w:lvl w:ilvl="2" w:tplc="0C070005" w:tentative="1">
      <w:start w:val="1"/>
      <w:numFmt w:val="bullet"/>
      <w:lvlText w:val=""/>
      <w:lvlJc w:val="left"/>
      <w:pPr>
        <w:ind w:left="2509" w:hanging="360"/>
      </w:pPr>
      <w:rPr>
        <w:rFonts w:ascii="Wingdings" w:hAnsi="Wingdings" w:hint="default"/>
      </w:rPr>
    </w:lvl>
    <w:lvl w:ilvl="3" w:tplc="0C070001" w:tentative="1">
      <w:start w:val="1"/>
      <w:numFmt w:val="bullet"/>
      <w:lvlText w:val=""/>
      <w:lvlJc w:val="left"/>
      <w:pPr>
        <w:ind w:left="3229" w:hanging="360"/>
      </w:pPr>
      <w:rPr>
        <w:rFonts w:ascii="Symbol" w:hAnsi="Symbol" w:hint="default"/>
      </w:rPr>
    </w:lvl>
    <w:lvl w:ilvl="4" w:tplc="0C070003" w:tentative="1">
      <w:start w:val="1"/>
      <w:numFmt w:val="bullet"/>
      <w:lvlText w:val="o"/>
      <w:lvlJc w:val="left"/>
      <w:pPr>
        <w:ind w:left="3949" w:hanging="360"/>
      </w:pPr>
      <w:rPr>
        <w:rFonts w:ascii="Courier New" w:hAnsi="Courier New" w:cs="Courier New" w:hint="default"/>
      </w:rPr>
    </w:lvl>
    <w:lvl w:ilvl="5" w:tplc="0C070005" w:tentative="1">
      <w:start w:val="1"/>
      <w:numFmt w:val="bullet"/>
      <w:lvlText w:val=""/>
      <w:lvlJc w:val="left"/>
      <w:pPr>
        <w:ind w:left="4669" w:hanging="360"/>
      </w:pPr>
      <w:rPr>
        <w:rFonts w:ascii="Wingdings" w:hAnsi="Wingdings" w:hint="default"/>
      </w:rPr>
    </w:lvl>
    <w:lvl w:ilvl="6" w:tplc="0C070001" w:tentative="1">
      <w:start w:val="1"/>
      <w:numFmt w:val="bullet"/>
      <w:lvlText w:val=""/>
      <w:lvlJc w:val="left"/>
      <w:pPr>
        <w:ind w:left="5389" w:hanging="360"/>
      </w:pPr>
      <w:rPr>
        <w:rFonts w:ascii="Symbol" w:hAnsi="Symbol" w:hint="default"/>
      </w:rPr>
    </w:lvl>
    <w:lvl w:ilvl="7" w:tplc="0C070003" w:tentative="1">
      <w:start w:val="1"/>
      <w:numFmt w:val="bullet"/>
      <w:lvlText w:val="o"/>
      <w:lvlJc w:val="left"/>
      <w:pPr>
        <w:ind w:left="6109" w:hanging="360"/>
      </w:pPr>
      <w:rPr>
        <w:rFonts w:ascii="Courier New" w:hAnsi="Courier New" w:cs="Courier New" w:hint="default"/>
      </w:rPr>
    </w:lvl>
    <w:lvl w:ilvl="8" w:tplc="0C070005" w:tentative="1">
      <w:start w:val="1"/>
      <w:numFmt w:val="bullet"/>
      <w:lvlText w:val=""/>
      <w:lvlJc w:val="left"/>
      <w:pPr>
        <w:ind w:left="6829" w:hanging="360"/>
      </w:pPr>
      <w:rPr>
        <w:rFonts w:ascii="Wingdings" w:hAnsi="Wingdings" w:hint="default"/>
      </w:rPr>
    </w:lvl>
  </w:abstractNum>
  <w:abstractNum w:abstractNumId="1" w15:restartNumberingAfterBreak="0">
    <w:nsid w:val="129505C7"/>
    <w:multiLevelType w:val="hybridMultilevel"/>
    <w:tmpl w:val="B634587A"/>
    <w:lvl w:ilvl="0" w:tplc="AF20DEA6">
      <w:start w:val="1"/>
      <w:numFmt w:val="lowerRoman"/>
      <w:lvlText w:val="(%1)"/>
      <w:lvlJc w:val="left"/>
      <w:pPr>
        <w:ind w:left="1429" w:hanging="720"/>
      </w:pPr>
      <w:rPr>
        <w:rFonts w:hint="default"/>
        <w:b w:val="0"/>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 w15:restartNumberingAfterBreak="0">
    <w:nsid w:val="205A607C"/>
    <w:multiLevelType w:val="hybridMultilevel"/>
    <w:tmpl w:val="69D6D0A6"/>
    <w:lvl w:ilvl="0" w:tplc="65D63A02">
      <w:start w:val="1"/>
      <w:numFmt w:val="bullet"/>
      <w:lvlText w:val=""/>
      <w:lvlJc w:val="left"/>
      <w:pPr>
        <w:ind w:left="1429" w:hanging="360"/>
      </w:pPr>
      <w:rPr>
        <w:rFonts w:ascii="Symbol" w:hAnsi="Symbol"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3" w15:restartNumberingAfterBreak="0">
    <w:nsid w:val="21B30383"/>
    <w:multiLevelType w:val="hybridMultilevel"/>
    <w:tmpl w:val="E82806E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785"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F9B0C27"/>
    <w:multiLevelType w:val="hybridMultilevel"/>
    <w:tmpl w:val="E5B873DC"/>
    <w:lvl w:ilvl="0" w:tplc="04070001">
      <w:start w:val="1"/>
      <w:numFmt w:val="bullet"/>
      <w:lvlText w:val=""/>
      <w:lvlJc w:val="left"/>
      <w:pPr>
        <w:ind w:left="1069" w:hanging="360"/>
      </w:pPr>
      <w:rPr>
        <w:rFonts w:ascii="Symbol" w:hAnsi="Symbo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start w:val="1"/>
      <w:numFmt w:val="bullet"/>
      <w:lvlText w:val=""/>
      <w:lvlJc w:val="left"/>
      <w:pPr>
        <w:ind w:left="3229" w:hanging="360"/>
      </w:pPr>
      <w:rPr>
        <w:rFonts w:ascii="Symbol" w:hAnsi="Symbol" w:hint="default"/>
      </w:rPr>
    </w:lvl>
    <w:lvl w:ilvl="4" w:tplc="04070003">
      <w:start w:val="1"/>
      <w:numFmt w:val="bullet"/>
      <w:lvlText w:val="o"/>
      <w:lvlJc w:val="left"/>
      <w:pPr>
        <w:ind w:left="3949" w:hanging="360"/>
      </w:pPr>
      <w:rPr>
        <w:rFonts w:ascii="Courier New" w:hAnsi="Courier New" w:cs="Courier New" w:hint="default"/>
      </w:rPr>
    </w:lvl>
    <w:lvl w:ilvl="5" w:tplc="04070005">
      <w:start w:val="1"/>
      <w:numFmt w:val="bullet"/>
      <w:lvlText w:val=""/>
      <w:lvlJc w:val="left"/>
      <w:pPr>
        <w:ind w:left="4669" w:hanging="360"/>
      </w:pPr>
      <w:rPr>
        <w:rFonts w:ascii="Wingdings" w:hAnsi="Wingdings" w:hint="default"/>
      </w:rPr>
    </w:lvl>
    <w:lvl w:ilvl="6" w:tplc="04070001">
      <w:start w:val="1"/>
      <w:numFmt w:val="bullet"/>
      <w:lvlText w:val=""/>
      <w:lvlJc w:val="left"/>
      <w:pPr>
        <w:ind w:left="5389" w:hanging="360"/>
      </w:pPr>
      <w:rPr>
        <w:rFonts w:ascii="Symbol" w:hAnsi="Symbol" w:hint="default"/>
      </w:rPr>
    </w:lvl>
    <w:lvl w:ilvl="7" w:tplc="04070003">
      <w:start w:val="1"/>
      <w:numFmt w:val="bullet"/>
      <w:lvlText w:val="o"/>
      <w:lvlJc w:val="left"/>
      <w:pPr>
        <w:ind w:left="6109" w:hanging="360"/>
      </w:pPr>
      <w:rPr>
        <w:rFonts w:ascii="Courier New" w:hAnsi="Courier New" w:cs="Courier New" w:hint="default"/>
      </w:rPr>
    </w:lvl>
    <w:lvl w:ilvl="8" w:tplc="04070005">
      <w:start w:val="1"/>
      <w:numFmt w:val="bullet"/>
      <w:lvlText w:val=""/>
      <w:lvlJc w:val="left"/>
      <w:pPr>
        <w:ind w:left="6829" w:hanging="360"/>
      </w:pPr>
      <w:rPr>
        <w:rFonts w:ascii="Wingdings" w:hAnsi="Wingdings" w:hint="default"/>
      </w:rPr>
    </w:lvl>
  </w:abstractNum>
  <w:abstractNum w:abstractNumId="5" w15:restartNumberingAfterBreak="0">
    <w:nsid w:val="3E4F2198"/>
    <w:multiLevelType w:val="hybridMultilevel"/>
    <w:tmpl w:val="03C2669A"/>
    <w:lvl w:ilvl="0" w:tplc="A87622B6">
      <w:start w:val="46"/>
      <w:numFmt w:val="bullet"/>
      <w:lvlText w:val=""/>
      <w:lvlJc w:val="left"/>
      <w:pPr>
        <w:ind w:left="1069" w:hanging="360"/>
      </w:pPr>
      <w:rPr>
        <w:rFonts w:ascii="Symbol" w:eastAsia="Times New Roman" w:hAnsi="Symbol" w:cs="Arial" w:hint="default"/>
      </w:rPr>
    </w:lvl>
    <w:lvl w:ilvl="1" w:tplc="0C070003" w:tentative="1">
      <w:start w:val="1"/>
      <w:numFmt w:val="bullet"/>
      <w:lvlText w:val="o"/>
      <w:lvlJc w:val="left"/>
      <w:pPr>
        <w:ind w:left="1789" w:hanging="360"/>
      </w:pPr>
      <w:rPr>
        <w:rFonts w:ascii="Courier New" w:hAnsi="Courier New" w:cs="Courier New" w:hint="default"/>
      </w:rPr>
    </w:lvl>
    <w:lvl w:ilvl="2" w:tplc="0C070005" w:tentative="1">
      <w:start w:val="1"/>
      <w:numFmt w:val="bullet"/>
      <w:lvlText w:val=""/>
      <w:lvlJc w:val="left"/>
      <w:pPr>
        <w:ind w:left="2509" w:hanging="360"/>
      </w:pPr>
      <w:rPr>
        <w:rFonts w:ascii="Wingdings" w:hAnsi="Wingdings" w:hint="default"/>
      </w:rPr>
    </w:lvl>
    <w:lvl w:ilvl="3" w:tplc="0C070001" w:tentative="1">
      <w:start w:val="1"/>
      <w:numFmt w:val="bullet"/>
      <w:lvlText w:val=""/>
      <w:lvlJc w:val="left"/>
      <w:pPr>
        <w:ind w:left="3229" w:hanging="360"/>
      </w:pPr>
      <w:rPr>
        <w:rFonts w:ascii="Symbol" w:hAnsi="Symbol" w:hint="default"/>
      </w:rPr>
    </w:lvl>
    <w:lvl w:ilvl="4" w:tplc="0C070003" w:tentative="1">
      <w:start w:val="1"/>
      <w:numFmt w:val="bullet"/>
      <w:lvlText w:val="o"/>
      <w:lvlJc w:val="left"/>
      <w:pPr>
        <w:ind w:left="3949" w:hanging="360"/>
      </w:pPr>
      <w:rPr>
        <w:rFonts w:ascii="Courier New" w:hAnsi="Courier New" w:cs="Courier New" w:hint="default"/>
      </w:rPr>
    </w:lvl>
    <w:lvl w:ilvl="5" w:tplc="0C070005" w:tentative="1">
      <w:start w:val="1"/>
      <w:numFmt w:val="bullet"/>
      <w:lvlText w:val=""/>
      <w:lvlJc w:val="left"/>
      <w:pPr>
        <w:ind w:left="4669" w:hanging="360"/>
      </w:pPr>
      <w:rPr>
        <w:rFonts w:ascii="Wingdings" w:hAnsi="Wingdings" w:hint="default"/>
      </w:rPr>
    </w:lvl>
    <w:lvl w:ilvl="6" w:tplc="0C070001" w:tentative="1">
      <w:start w:val="1"/>
      <w:numFmt w:val="bullet"/>
      <w:lvlText w:val=""/>
      <w:lvlJc w:val="left"/>
      <w:pPr>
        <w:ind w:left="5389" w:hanging="360"/>
      </w:pPr>
      <w:rPr>
        <w:rFonts w:ascii="Symbol" w:hAnsi="Symbol" w:hint="default"/>
      </w:rPr>
    </w:lvl>
    <w:lvl w:ilvl="7" w:tplc="0C070003" w:tentative="1">
      <w:start w:val="1"/>
      <w:numFmt w:val="bullet"/>
      <w:lvlText w:val="o"/>
      <w:lvlJc w:val="left"/>
      <w:pPr>
        <w:ind w:left="6109" w:hanging="360"/>
      </w:pPr>
      <w:rPr>
        <w:rFonts w:ascii="Courier New" w:hAnsi="Courier New" w:cs="Courier New" w:hint="default"/>
      </w:rPr>
    </w:lvl>
    <w:lvl w:ilvl="8" w:tplc="0C070005" w:tentative="1">
      <w:start w:val="1"/>
      <w:numFmt w:val="bullet"/>
      <w:lvlText w:val=""/>
      <w:lvlJc w:val="left"/>
      <w:pPr>
        <w:ind w:left="6829" w:hanging="360"/>
      </w:pPr>
      <w:rPr>
        <w:rFonts w:ascii="Wingdings" w:hAnsi="Wingdings" w:hint="default"/>
      </w:rPr>
    </w:lvl>
  </w:abstractNum>
  <w:abstractNum w:abstractNumId="6" w15:restartNumberingAfterBreak="0">
    <w:nsid w:val="433A5270"/>
    <w:multiLevelType w:val="multilevel"/>
    <w:tmpl w:val="D6309D42"/>
    <w:lvl w:ilvl="0">
      <w:start w:val="1"/>
      <w:numFmt w:val="decimal"/>
      <w:pStyle w:val="EH-2"/>
      <w:lvlText w:val="%1."/>
      <w:lvlJc w:val="left"/>
      <w:pPr>
        <w:ind w:left="1558" w:hanging="690"/>
      </w:pPr>
      <w:rPr>
        <w:rFonts w:hint="default"/>
      </w:rPr>
    </w:lvl>
    <w:lvl w:ilvl="1">
      <w:start w:val="1"/>
      <w:numFmt w:val="decimal"/>
      <w:pStyle w:val="EH-3"/>
      <w:isLgl/>
      <w:lvlText w:val="%1.%2"/>
      <w:lvlJc w:val="left"/>
      <w:pPr>
        <w:ind w:left="1573" w:hanging="705"/>
      </w:pPr>
      <w:rPr>
        <w:rFonts w:hint="default"/>
      </w:rPr>
    </w:lvl>
    <w:lvl w:ilvl="2">
      <w:start w:val="1"/>
      <w:numFmt w:val="decimal"/>
      <w:pStyle w:val="EH-4"/>
      <w:isLgl/>
      <w:lvlText w:val="%1.%2.%3"/>
      <w:lvlJc w:val="left"/>
      <w:pPr>
        <w:ind w:left="720" w:hanging="720"/>
      </w:pPr>
      <w:rPr>
        <w:rFonts w:hint="default"/>
      </w:rPr>
    </w:lvl>
    <w:lvl w:ilvl="3">
      <w:start w:val="1"/>
      <w:numFmt w:val="decimal"/>
      <w:pStyle w:val="EH-5"/>
      <w:isLgl/>
      <w:lvlText w:val="%1.%2.%3.%4"/>
      <w:lvlJc w:val="left"/>
      <w:pPr>
        <w:ind w:left="1588" w:hanging="720"/>
      </w:pPr>
      <w:rPr>
        <w:rFonts w:ascii="Arial" w:hAnsi="Arial" w:cs="Arial" w:hint="default"/>
        <w:sz w:val="22"/>
        <w:szCs w:val="22"/>
      </w:rPr>
    </w:lvl>
    <w:lvl w:ilvl="4">
      <w:start w:val="1"/>
      <w:numFmt w:val="decimal"/>
      <w:isLgl/>
      <w:lvlText w:val="%1.%2.%3.%4.%5"/>
      <w:lvlJc w:val="left"/>
      <w:pPr>
        <w:ind w:left="1948" w:hanging="1080"/>
      </w:pPr>
      <w:rPr>
        <w:rFonts w:hint="default"/>
      </w:rPr>
    </w:lvl>
    <w:lvl w:ilvl="5">
      <w:start w:val="1"/>
      <w:numFmt w:val="decimal"/>
      <w:isLgl/>
      <w:lvlText w:val="%1.%2.%3.%4.%5.%6"/>
      <w:lvlJc w:val="left"/>
      <w:pPr>
        <w:ind w:left="1948" w:hanging="1080"/>
      </w:pPr>
      <w:rPr>
        <w:rFonts w:hint="default"/>
      </w:rPr>
    </w:lvl>
    <w:lvl w:ilvl="6">
      <w:start w:val="1"/>
      <w:numFmt w:val="decimal"/>
      <w:isLgl/>
      <w:lvlText w:val="%1.%2.%3.%4.%5.%6.%7"/>
      <w:lvlJc w:val="left"/>
      <w:pPr>
        <w:ind w:left="2308" w:hanging="1440"/>
      </w:pPr>
      <w:rPr>
        <w:rFonts w:hint="default"/>
      </w:rPr>
    </w:lvl>
    <w:lvl w:ilvl="7">
      <w:start w:val="1"/>
      <w:numFmt w:val="decimal"/>
      <w:isLgl/>
      <w:lvlText w:val="%1.%2.%3.%4.%5.%6.%7.%8"/>
      <w:lvlJc w:val="left"/>
      <w:pPr>
        <w:ind w:left="2308" w:hanging="1440"/>
      </w:pPr>
      <w:rPr>
        <w:rFonts w:hint="default"/>
      </w:rPr>
    </w:lvl>
    <w:lvl w:ilvl="8">
      <w:start w:val="1"/>
      <w:numFmt w:val="decimal"/>
      <w:isLgl/>
      <w:lvlText w:val="%1.%2.%3.%4.%5.%6.%7.%8.%9"/>
      <w:lvlJc w:val="left"/>
      <w:pPr>
        <w:ind w:left="2668" w:hanging="1800"/>
      </w:pPr>
      <w:rPr>
        <w:rFonts w:hint="default"/>
      </w:rPr>
    </w:lvl>
  </w:abstractNum>
  <w:abstractNum w:abstractNumId="7" w15:restartNumberingAfterBreak="0">
    <w:nsid w:val="4BEA24B2"/>
    <w:multiLevelType w:val="hybridMultilevel"/>
    <w:tmpl w:val="F6A6D4AA"/>
    <w:lvl w:ilvl="0" w:tplc="04070001">
      <w:start w:val="1"/>
      <w:numFmt w:val="bullet"/>
      <w:lvlText w:val=""/>
      <w:lvlJc w:val="left"/>
      <w:pPr>
        <w:ind w:left="1069" w:hanging="360"/>
      </w:pPr>
      <w:rPr>
        <w:rFonts w:ascii="Symbol" w:hAnsi="Symbol" w:hint="default"/>
      </w:rPr>
    </w:lvl>
    <w:lvl w:ilvl="1" w:tplc="04070003">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start w:val="1"/>
      <w:numFmt w:val="bullet"/>
      <w:lvlText w:val=""/>
      <w:lvlJc w:val="left"/>
      <w:pPr>
        <w:ind w:left="3229" w:hanging="360"/>
      </w:pPr>
      <w:rPr>
        <w:rFonts w:ascii="Symbol" w:hAnsi="Symbol" w:hint="default"/>
      </w:rPr>
    </w:lvl>
    <w:lvl w:ilvl="4" w:tplc="04070003">
      <w:start w:val="1"/>
      <w:numFmt w:val="bullet"/>
      <w:lvlText w:val="o"/>
      <w:lvlJc w:val="left"/>
      <w:pPr>
        <w:ind w:left="3949" w:hanging="360"/>
      </w:pPr>
      <w:rPr>
        <w:rFonts w:ascii="Courier New" w:hAnsi="Courier New" w:cs="Courier New" w:hint="default"/>
      </w:rPr>
    </w:lvl>
    <w:lvl w:ilvl="5" w:tplc="04070005">
      <w:start w:val="1"/>
      <w:numFmt w:val="bullet"/>
      <w:lvlText w:val=""/>
      <w:lvlJc w:val="left"/>
      <w:pPr>
        <w:ind w:left="4669" w:hanging="360"/>
      </w:pPr>
      <w:rPr>
        <w:rFonts w:ascii="Wingdings" w:hAnsi="Wingdings" w:hint="default"/>
      </w:rPr>
    </w:lvl>
    <w:lvl w:ilvl="6" w:tplc="04070001">
      <w:start w:val="1"/>
      <w:numFmt w:val="bullet"/>
      <w:lvlText w:val=""/>
      <w:lvlJc w:val="left"/>
      <w:pPr>
        <w:ind w:left="5389" w:hanging="360"/>
      </w:pPr>
      <w:rPr>
        <w:rFonts w:ascii="Symbol" w:hAnsi="Symbol" w:hint="default"/>
      </w:rPr>
    </w:lvl>
    <w:lvl w:ilvl="7" w:tplc="04070003">
      <w:start w:val="1"/>
      <w:numFmt w:val="bullet"/>
      <w:lvlText w:val="o"/>
      <w:lvlJc w:val="left"/>
      <w:pPr>
        <w:ind w:left="6109" w:hanging="360"/>
      </w:pPr>
      <w:rPr>
        <w:rFonts w:ascii="Courier New" w:hAnsi="Courier New" w:cs="Courier New" w:hint="default"/>
      </w:rPr>
    </w:lvl>
    <w:lvl w:ilvl="8" w:tplc="04070005">
      <w:start w:val="1"/>
      <w:numFmt w:val="bullet"/>
      <w:lvlText w:val=""/>
      <w:lvlJc w:val="left"/>
      <w:pPr>
        <w:ind w:left="6829" w:hanging="360"/>
      </w:pPr>
      <w:rPr>
        <w:rFonts w:ascii="Wingdings" w:hAnsi="Wingdings" w:hint="default"/>
      </w:rPr>
    </w:lvl>
  </w:abstractNum>
  <w:num w:numId="1">
    <w:abstractNumId w:val="6"/>
  </w:num>
  <w:num w:numId="2">
    <w:abstractNumId w:val="3"/>
  </w:num>
  <w:num w:numId="3">
    <w:abstractNumId w:val="4"/>
  </w:num>
  <w:num w:numId="4">
    <w:abstractNumId w:val="7"/>
  </w:num>
  <w:num w:numId="5">
    <w:abstractNumId w:val="2"/>
  </w:num>
  <w:num w:numId="6">
    <w:abstractNumId w:val="6"/>
  </w:num>
  <w:num w:numId="7">
    <w:abstractNumId w:val="6"/>
  </w:num>
  <w:num w:numId="8">
    <w:abstractNumId w:val="6"/>
  </w:num>
  <w:num w:numId="9">
    <w:abstractNumId w:val="1"/>
  </w:num>
  <w:num w:numId="10">
    <w:abstractNumId w:val="6"/>
  </w:num>
  <w:num w:numId="11">
    <w:abstractNumId w:val="6"/>
  </w:num>
  <w:num w:numId="12">
    <w:abstractNumId w:val="6"/>
  </w:num>
  <w:num w:numId="13">
    <w:abstractNumId w:val="6"/>
  </w:num>
  <w:num w:numId="14">
    <w:abstractNumId w:val="6"/>
  </w:num>
  <w:num w:numId="15">
    <w:abstractNumId w:val="6"/>
  </w:num>
  <w:num w:numId="16">
    <w:abstractNumId w:val="5"/>
  </w:num>
  <w:num w:numId="17">
    <w:abstractNumId w:val="6"/>
  </w:num>
  <w:num w:numId="18">
    <w:abstractNumId w:val="6"/>
  </w:num>
  <w:num w:numId="1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de-DE" w:vendorID="64" w:dllVersion="6" w:nlCheck="1" w:checkStyle="0"/>
  <w:activeWritingStyle w:appName="MSWord" w:lang="de-A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de-AT" w:vendorID="64" w:dllVersion="0" w:nlCheck="1" w:checkStyle="0"/>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proofState w:spelling="clean" w:grammar="clean"/>
  <w:defaultTabStop w:val="708"/>
  <w:autoHyphenation/>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F37"/>
    <w:rsid w:val="00000F84"/>
    <w:rsid w:val="00001F67"/>
    <w:rsid w:val="00002F2A"/>
    <w:rsid w:val="00005434"/>
    <w:rsid w:val="00006969"/>
    <w:rsid w:val="00006AC2"/>
    <w:rsid w:val="00007C90"/>
    <w:rsid w:val="00010310"/>
    <w:rsid w:val="000106BD"/>
    <w:rsid w:val="00011CAB"/>
    <w:rsid w:val="0002228F"/>
    <w:rsid w:val="0003333F"/>
    <w:rsid w:val="0003642B"/>
    <w:rsid w:val="00036AD5"/>
    <w:rsid w:val="00036E28"/>
    <w:rsid w:val="00041463"/>
    <w:rsid w:val="00041C5E"/>
    <w:rsid w:val="00041DD2"/>
    <w:rsid w:val="0004405C"/>
    <w:rsid w:val="0004645D"/>
    <w:rsid w:val="00052333"/>
    <w:rsid w:val="000526EF"/>
    <w:rsid w:val="00053F82"/>
    <w:rsid w:val="00054624"/>
    <w:rsid w:val="000549B0"/>
    <w:rsid w:val="0005660D"/>
    <w:rsid w:val="00057862"/>
    <w:rsid w:val="00060623"/>
    <w:rsid w:val="000644E8"/>
    <w:rsid w:val="00064F35"/>
    <w:rsid w:val="000707C1"/>
    <w:rsid w:val="0007252C"/>
    <w:rsid w:val="00072698"/>
    <w:rsid w:val="00077633"/>
    <w:rsid w:val="0008146E"/>
    <w:rsid w:val="00081DD4"/>
    <w:rsid w:val="0008243D"/>
    <w:rsid w:val="000861E8"/>
    <w:rsid w:val="00094A4E"/>
    <w:rsid w:val="000975A1"/>
    <w:rsid w:val="000A39D9"/>
    <w:rsid w:val="000B144B"/>
    <w:rsid w:val="000B278D"/>
    <w:rsid w:val="000B3C59"/>
    <w:rsid w:val="000B4A81"/>
    <w:rsid w:val="000B6C24"/>
    <w:rsid w:val="000C30AA"/>
    <w:rsid w:val="000C3EEC"/>
    <w:rsid w:val="000D0BE5"/>
    <w:rsid w:val="000D3EA8"/>
    <w:rsid w:val="000E4255"/>
    <w:rsid w:val="000E5878"/>
    <w:rsid w:val="000E7FCB"/>
    <w:rsid w:val="000F1A1C"/>
    <w:rsid w:val="000F51AD"/>
    <w:rsid w:val="001020AD"/>
    <w:rsid w:val="001032EA"/>
    <w:rsid w:val="00104659"/>
    <w:rsid w:val="00110353"/>
    <w:rsid w:val="00111622"/>
    <w:rsid w:val="001119BC"/>
    <w:rsid w:val="00113E5B"/>
    <w:rsid w:val="00116A7C"/>
    <w:rsid w:val="001219E6"/>
    <w:rsid w:val="001222E4"/>
    <w:rsid w:val="00123A7E"/>
    <w:rsid w:val="00124E52"/>
    <w:rsid w:val="001266E5"/>
    <w:rsid w:val="0012789D"/>
    <w:rsid w:val="00130732"/>
    <w:rsid w:val="00131151"/>
    <w:rsid w:val="001345C6"/>
    <w:rsid w:val="00135BD9"/>
    <w:rsid w:val="0014140D"/>
    <w:rsid w:val="00141C2D"/>
    <w:rsid w:val="001421B3"/>
    <w:rsid w:val="001425E5"/>
    <w:rsid w:val="00142DB4"/>
    <w:rsid w:val="001453BD"/>
    <w:rsid w:val="00145DC8"/>
    <w:rsid w:val="001521D9"/>
    <w:rsid w:val="00152918"/>
    <w:rsid w:val="00155CE0"/>
    <w:rsid w:val="0015621C"/>
    <w:rsid w:val="001578BF"/>
    <w:rsid w:val="00160E50"/>
    <w:rsid w:val="00161D5A"/>
    <w:rsid w:val="001662BE"/>
    <w:rsid w:val="001672A9"/>
    <w:rsid w:val="001703BD"/>
    <w:rsid w:val="0017399B"/>
    <w:rsid w:val="00176425"/>
    <w:rsid w:val="001777E3"/>
    <w:rsid w:val="001819F6"/>
    <w:rsid w:val="001904B1"/>
    <w:rsid w:val="00193152"/>
    <w:rsid w:val="001A0338"/>
    <w:rsid w:val="001A0574"/>
    <w:rsid w:val="001A6320"/>
    <w:rsid w:val="001B0BCB"/>
    <w:rsid w:val="001B1438"/>
    <w:rsid w:val="001B322C"/>
    <w:rsid w:val="001B3AEE"/>
    <w:rsid w:val="001B3EC6"/>
    <w:rsid w:val="001B771A"/>
    <w:rsid w:val="001C07F9"/>
    <w:rsid w:val="001C48A1"/>
    <w:rsid w:val="001C53C4"/>
    <w:rsid w:val="001D3BA0"/>
    <w:rsid w:val="001E0026"/>
    <w:rsid w:val="001E48A5"/>
    <w:rsid w:val="001E6AAF"/>
    <w:rsid w:val="00205BF1"/>
    <w:rsid w:val="00207044"/>
    <w:rsid w:val="00207AA7"/>
    <w:rsid w:val="00210E22"/>
    <w:rsid w:val="00213594"/>
    <w:rsid w:val="00214023"/>
    <w:rsid w:val="00214416"/>
    <w:rsid w:val="00217D43"/>
    <w:rsid w:val="00220E37"/>
    <w:rsid w:val="00221D1B"/>
    <w:rsid w:val="002270B0"/>
    <w:rsid w:val="00227212"/>
    <w:rsid w:val="00227DEC"/>
    <w:rsid w:val="00227EF0"/>
    <w:rsid w:val="00231A97"/>
    <w:rsid w:val="00231CBB"/>
    <w:rsid w:val="00233E47"/>
    <w:rsid w:val="00233E95"/>
    <w:rsid w:val="0023785A"/>
    <w:rsid w:val="00240032"/>
    <w:rsid w:val="002405C0"/>
    <w:rsid w:val="00244D83"/>
    <w:rsid w:val="0024761D"/>
    <w:rsid w:val="00250F5E"/>
    <w:rsid w:val="0025136C"/>
    <w:rsid w:val="002518E2"/>
    <w:rsid w:val="002518F1"/>
    <w:rsid w:val="002537E9"/>
    <w:rsid w:val="0025700C"/>
    <w:rsid w:val="00264147"/>
    <w:rsid w:val="00264351"/>
    <w:rsid w:val="00266735"/>
    <w:rsid w:val="00277916"/>
    <w:rsid w:val="002834A4"/>
    <w:rsid w:val="00286B3B"/>
    <w:rsid w:val="00292022"/>
    <w:rsid w:val="002962A9"/>
    <w:rsid w:val="002A1BC0"/>
    <w:rsid w:val="002A6420"/>
    <w:rsid w:val="002B055A"/>
    <w:rsid w:val="002B1B1D"/>
    <w:rsid w:val="002B4737"/>
    <w:rsid w:val="002C11E4"/>
    <w:rsid w:val="002C4109"/>
    <w:rsid w:val="002C63B2"/>
    <w:rsid w:val="002D2E71"/>
    <w:rsid w:val="002D4EB7"/>
    <w:rsid w:val="002D7331"/>
    <w:rsid w:val="002D7D95"/>
    <w:rsid w:val="002E2034"/>
    <w:rsid w:val="002E3627"/>
    <w:rsid w:val="002E487B"/>
    <w:rsid w:val="002E626F"/>
    <w:rsid w:val="002F2D68"/>
    <w:rsid w:val="002F4906"/>
    <w:rsid w:val="002F7049"/>
    <w:rsid w:val="002F7882"/>
    <w:rsid w:val="003050B3"/>
    <w:rsid w:val="0030581A"/>
    <w:rsid w:val="00307A60"/>
    <w:rsid w:val="00315276"/>
    <w:rsid w:val="00320EFA"/>
    <w:rsid w:val="003231AB"/>
    <w:rsid w:val="00325E39"/>
    <w:rsid w:val="003311EE"/>
    <w:rsid w:val="003356D5"/>
    <w:rsid w:val="003408A1"/>
    <w:rsid w:val="00342EF8"/>
    <w:rsid w:val="00344683"/>
    <w:rsid w:val="00345F4C"/>
    <w:rsid w:val="00346521"/>
    <w:rsid w:val="003510C7"/>
    <w:rsid w:val="00352F8A"/>
    <w:rsid w:val="00353CDA"/>
    <w:rsid w:val="00356B92"/>
    <w:rsid w:val="00360BAD"/>
    <w:rsid w:val="00361A4B"/>
    <w:rsid w:val="0036260B"/>
    <w:rsid w:val="00363B49"/>
    <w:rsid w:val="003644FF"/>
    <w:rsid w:val="00365094"/>
    <w:rsid w:val="0037396C"/>
    <w:rsid w:val="00374178"/>
    <w:rsid w:val="00375DF8"/>
    <w:rsid w:val="003839D6"/>
    <w:rsid w:val="0038574E"/>
    <w:rsid w:val="003917AA"/>
    <w:rsid w:val="003962B2"/>
    <w:rsid w:val="003A317A"/>
    <w:rsid w:val="003A6982"/>
    <w:rsid w:val="003B00A8"/>
    <w:rsid w:val="003B0234"/>
    <w:rsid w:val="003B6B50"/>
    <w:rsid w:val="003B76A6"/>
    <w:rsid w:val="003B76AD"/>
    <w:rsid w:val="003C0D0C"/>
    <w:rsid w:val="003C4BDD"/>
    <w:rsid w:val="003C5E04"/>
    <w:rsid w:val="003D7DD8"/>
    <w:rsid w:val="003E00AC"/>
    <w:rsid w:val="003E41AC"/>
    <w:rsid w:val="003E4946"/>
    <w:rsid w:val="003E6589"/>
    <w:rsid w:val="003F639C"/>
    <w:rsid w:val="003F7B6B"/>
    <w:rsid w:val="00401EE1"/>
    <w:rsid w:val="004062BC"/>
    <w:rsid w:val="00411B05"/>
    <w:rsid w:val="00414246"/>
    <w:rsid w:val="00414CA4"/>
    <w:rsid w:val="00420D99"/>
    <w:rsid w:val="004216F7"/>
    <w:rsid w:val="0042172F"/>
    <w:rsid w:val="0042448B"/>
    <w:rsid w:val="0042489B"/>
    <w:rsid w:val="004268A5"/>
    <w:rsid w:val="00430543"/>
    <w:rsid w:val="00432916"/>
    <w:rsid w:val="00433F49"/>
    <w:rsid w:val="004361D4"/>
    <w:rsid w:val="00441926"/>
    <w:rsid w:val="00442364"/>
    <w:rsid w:val="0044248D"/>
    <w:rsid w:val="00456773"/>
    <w:rsid w:val="0045731F"/>
    <w:rsid w:val="00464C69"/>
    <w:rsid w:val="00465A53"/>
    <w:rsid w:val="00466C6B"/>
    <w:rsid w:val="00467FA3"/>
    <w:rsid w:val="004700E8"/>
    <w:rsid w:val="0047383C"/>
    <w:rsid w:val="00474946"/>
    <w:rsid w:val="0047514A"/>
    <w:rsid w:val="00490EEE"/>
    <w:rsid w:val="004921EB"/>
    <w:rsid w:val="00493CAD"/>
    <w:rsid w:val="004948EC"/>
    <w:rsid w:val="00494E62"/>
    <w:rsid w:val="00495103"/>
    <w:rsid w:val="004957A1"/>
    <w:rsid w:val="004A1B32"/>
    <w:rsid w:val="004A3BBD"/>
    <w:rsid w:val="004A445F"/>
    <w:rsid w:val="004A4E77"/>
    <w:rsid w:val="004B071B"/>
    <w:rsid w:val="004B3C7B"/>
    <w:rsid w:val="004B4F88"/>
    <w:rsid w:val="004B673F"/>
    <w:rsid w:val="004C0D60"/>
    <w:rsid w:val="004C3B8D"/>
    <w:rsid w:val="004C7259"/>
    <w:rsid w:val="004C79F3"/>
    <w:rsid w:val="004D0B77"/>
    <w:rsid w:val="004D6350"/>
    <w:rsid w:val="004D7DA4"/>
    <w:rsid w:val="004E4201"/>
    <w:rsid w:val="004E5DE8"/>
    <w:rsid w:val="004E6030"/>
    <w:rsid w:val="004E74C2"/>
    <w:rsid w:val="004F22DA"/>
    <w:rsid w:val="004F2555"/>
    <w:rsid w:val="004F3732"/>
    <w:rsid w:val="004F536E"/>
    <w:rsid w:val="004F5921"/>
    <w:rsid w:val="004F7CC1"/>
    <w:rsid w:val="004F7EA8"/>
    <w:rsid w:val="00500021"/>
    <w:rsid w:val="00502644"/>
    <w:rsid w:val="005031EC"/>
    <w:rsid w:val="00504E0C"/>
    <w:rsid w:val="005054C5"/>
    <w:rsid w:val="00505CB7"/>
    <w:rsid w:val="00507628"/>
    <w:rsid w:val="0051234B"/>
    <w:rsid w:val="00513129"/>
    <w:rsid w:val="005142F2"/>
    <w:rsid w:val="0051435C"/>
    <w:rsid w:val="00520396"/>
    <w:rsid w:val="005238F5"/>
    <w:rsid w:val="0052722D"/>
    <w:rsid w:val="005309B3"/>
    <w:rsid w:val="00532CD1"/>
    <w:rsid w:val="00533805"/>
    <w:rsid w:val="005338FF"/>
    <w:rsid w:val="0053492E"/>
    <w:rsid w:val="00545BA2"/>
    <w:rsid w:val="0054723A"/>
    <w:rsid w:val="00547CD6"/>
    <w:rsid w:val="00550A98"/>
    <w:rsid w:val="00561C72"/>
    <w:rsid w:val="00561F73"/>
    <w:rsid w:val="005652DC"/>
    <w:rsid w:val="005655AE"/>
    <w:rsid w:val="005701B3"/>
    <w:rsid w:val="00572668"/>
    <w:rsid w:val="00581FF9"/>
    <w:rsid w:val="00582739"/>
    <w:rsid w:val="00583C10"/>
    <w:rsid w:val="0058488F"/>
    <w:rsid w:val="00586007"/>
    <w:rsid w:val="0059494A"/>
    <w:rsid w:val="005968BF"/>
    <w:rsid w:val="005977AA"/>
    <w:rsid w:val="005A4B79"/>
    <w:rsid w:val="005A6389"/>
    <w:rsid w:val="005B5C30"/>
    <w:rsid w:val="005C0198"/>
    <w:rsid w:val="005C01E9"/>
    <w:rsid w:val="005C05DF"/>
    <w:rsid w:val="005C646E"/>
    <w:rsid w:val="005C693A"/>
    <w:rsid w:val="005D148A"/>
    <w:rsid w:val="005D1C85"/>
    <w:rsid w:val="005D76CD"/>
    <w:rsid w:val="005E007A"/>
    <w:rsid w:val="005E2204"/>
    <w:rsid w:val="005E5A48"/>
    <w:rsid w:val="005E602D"/>
    <w:rsid w:val="005E7F2B"/>
    <w:rsid w:val="005F309E"/>
    <w:rsid w:val="005F3A80"/>
    <w:rsid w:val="005F5547"/>
    <w:rsid w:val="005F5AA4"/>
    <w:rsid w:val="00600023"/>
    <w:rsid w:val="00601579"/>
    <w:rsid w:val="00603481"/>
    <w:rsid w:val="00603B8B"/>
    <w:rsid w:val="00603C09"/>
    <w:rsid w:val="00605FE4"/>
    <w:rsid w:val="00610BC3"/>
    <w:rsid w:val="006115EF"/>
    <w:rsid w:val="0061216F"/>
    <w:rsid w:val="00612B18"/>
    <w:rsid w:val="00612F56"/>
    <w:rsid w:val="00622B6A"/>
    <w:rsid w:val="00625F6B"/>
    <w:rsid w:val="006277F9"/>
    <w:rsid w:val="00627CF3"/>
    <w:rsid w:val="00630EE6"/>
    <w:rsid w:val="00630FE8"/>
    <w:rsid w:val="00631237"/>
    <w:rsid w:val="00632E2B"/>
    <w:rsid w:val="0063377E"/>
    <w:rsid w:val="00633B36"/>
    <w:rsid w:val="00636605"/>
    <w:rsid w:val="006401A8"/>
    <w:rsid w:val="006456B8"/>
    <w:rsid w:val="00647F5E"/>
    <w:rsid w:val="00650162"/>
    <w:rsid w:val="00654D59"/>
    <w:rsid w:val="00655233"/>
    <w:rsid w:val="00670864"/>
    <w:rsid w:val="006761D7"/>
    <w:rsid w:val="006776C6"/>
    <w:rsid w:val="006814F9"/>
    <w:rsid w:val="00682152"/>
    <w:rsid w:val="00686F4D"/>
    <w:rsid w:val="00690E29"/>
    <w:rsid w:val="00691018"/>
    <w:rsid w:val="00692B7D"/>
    <w:rsid w:val="00694471"/>
    <w:rsid w:val="0069498B"/>
    <w:rsid w:val="00694C4E"/>
    <w:rsid w:val="00695FB0"/>
    <w:rsid w:val="00697B5F"/>
    <w:rsid w:val="006A087C"/>
    <w:rsid w:val="006B2303"/>
    <w:rsid w:val="006B358A"/>
    <w:rsid w:val="006B4ACD"/>
    <w:rsid w:val="006B5977"/>
    <w:rsid w:val="006B59DE"/>
    <w:rsid w:val="006C0DF4"/>
    <w:rsid w:val="006C156D"/>
    <w:rsid w:val="006C54E2"/>
    <w:rsid w:val="006D17CA"/>
    <w:rsid w:val="006D4008"/>
    <w:rsid w:val="006D7C6C"/>
    <w:rsid w:val="006E0A4E"/>
    <w:rsid w:val="006E4143"/>
    <w:rsid w:val="006E6C92"/>
    <w:rsid w:val="006F574D"/>
    <w:rsid w:val="006F59E5"/>
    <w:rsid w:val="006F7985"/>
    <w:rsid w:val="00702E66"/>
    <w:rsid w:val="007038C3"/>
    <w:rsid w:val="0070675B"/>
    <w:rsid w:val="00712EA6"/>
    <w:rsid w:val="007147FF"/>
    <w:rsid w:val="00722426"/>
    <w:rsid w:val="0072268F"/>
    <w:rsid w:val="007257FC"/>
    <w:rsid w:val="00735E03"/>
    <w:rsid w:val="00737E82"/>
    <w:rsid w:val="00741B90"/>
    <w:rsid w:val="00751CEF"/>
    <w:rsid w:val="0075488E"/>
    <w:rsid w:val="00755FCB"/>
    <w:rsid w:val="00761436"/>
    <w:rsid w:val="00764878"/>
    <w:rsid w:val="007721F2"/>
    <w:rsid w:val="0077708F"/>
    <w:rsid w:val="00782EDE"/>
    <w:rsid w:val="007905D2"/>
    <w:rsid w:val="00791A9A"/>
    <w:rsid w:val="007968D4"/>
    <w:rsid w:val="007A173D"/>
    <w:rsid w:val="007A20AD"/>
    <w:rsid w:val="007A382E"/>
    <w:rsid w:val="007A6729"/>
    <w:rsid w:val="007B0EB9"/>
    <w:rsid w:val="007B1C26"/>
    <w:rsid w:val="007B3ADF"/>
    <w:rsid w:val="007B3FA0"/>
    <w:rsid w:val="007B45B9"/>
    <w:rsid w:val="007B58B9"/>
    <w:rsid w:val="007B6654"/>
    <w:rsid w:val="007B6F0A"/>
    <w:rsid w:val="007C1FEB"/>
    <w:rsid w:val="007C46A3"/>
    <w:rsid w:val="007D129E"/>
    <w:rsid w:val="007D2D02"/>
    <w:rsid w:val="007D40B5"/>
    <w:rsid w:val="007D4A85"/>
    <w:rsid w:val="007D6EF4"/>
    <w:rsid w:val="007D75AB"/>
    <w:rsid w:val="007E3164"/>
    <w:rsid w:val="007E3C19"/>
    <w:rsid w:val="007E47B8"/>
    <w:rsid w:val="007E556D"/>
    <w:rsid w:val="007F360C"/>
    <w:rsid w:val="008044DD"/>
    <w:rsid w:val="00805B13"/>
    <w:rsid w:val="00807179"/>
    <w:rsid w:val="008073CC"/>
    <w:rsid w:val="00810C15"/>
    <w:rsid w:val="008243DC"/>
    <w:rsid w:val="008247A9"/>
    <w:rsid w:val="00826CD3"/>
    <w:rsid w:val="00835A05"/>
    <w:rsid w:val="0083708A"/>
    <w:rsid w:val="008373B9"/>
    <w:rsid w:val="0084221E"/>
    <w:rsid w:val="00843891"/>
    <w:rsid w:val="00854BF1"/>
    <w:rsid w:val="008555A4"/>
    <w:rsid w:val="008569E0"/>
    <w:rsid w:val="00856BCB"/>
    <w:rsid w:val="008577C4"/>
    <w:rsid w:val="00857F3A"/>
    <w:rsid w:val="008601E2"/>
    <w:rsid w:val="00860B29"/>
    <w:rsid w:val="00861EAA"/>
    <w:rsid w:val="0086236F"/>
    <w:rsid w:val="00866B07"/>
    <w:rsid w:val="00867EA8"/>
    <w:rsid w:val="00872887"/>
    <w:rsid w:val="00874A0E"/>
    <w:rsid w:val="0087572E"/>
    <w:rsid w:val="00876185"/>
    <w:rsid w:val="0088120D"/>
    <w:rsid w:val="00884B79"/>
    <w:rsid w:val="0089092D"/>
    <w:rsid w:val="0089181F"/>
    <w:rsid w:val="008933AC"/>
    <w:rsid w:val="008A07D1"/>
    <w:rsid w:val="008A140C"/>
    <w:rsid w:val="008A3F32"/>
    <w:rsid w:val="008B0EF6"/>
    <w:rsid w:val="008B1049"/>
    <w:rsid w:val="008B2FF6"/>
    <w:rsid w:val="008B3CD8"/>
    <w:rsid w:val="008B4219"/>
    <w:rsid w:val="008B727D"/>
    <w:rsid w:val="008B79F7"/>
    <w:rsid w:val="008C7A37"/>
    <w:rsid w:val="008D049B"/>
    <w:rsid w:val="008D3250"/>
    <w:rsid w:val="008D356F"/>
    <w:rsid w:val="008D437F"/>
    <w:rsid w:val="008D461D"/>
    <w:rsid w:val="008D47CB"/>
    <w:rsid w:val="008D505D"/>
    <w:rsid w:val="008D65FD"/>
    <w:rsid w:val="008D6C2A"/>
    <w:rsid w:val="008E1253"/>
    <w:rsid w:val="008E1ED1"/>
    <w:rsid w:val="008E7751"/>
    <w:rsid w:val="008F0AB6"/>
    <w:rsid w:val="008F0E6D"/>
    <w:rsid w:val="008F17F5"/>
    <w:rsid w:val="008F36C3"/>
    <w:rsid w:val="008F7577"/>
    <w:rsid w:val="008F7AD1"/>
    <w:rsid w:val="00901918"/>
    <w:rsid w:val="0090400E"/>
    <w:rsid w:val="00912297"/>
    <w:rsid w:val="009207E4"/>
    <w:rsid w:val="0092256D"/>
    <w:rsid w:val="009236C8"/>
    <w:rsid w:val="00924507"/>
    <w:rsid w:val="009250D5"/>
    <w:rsid w:val="0092659A"/>
    <w:rsid w:val="00930A4C"/>
    <w:rsid w:val="00931148"/>
    <w:rsid w:val="009323C2"/>
    <w:rsid w:val="0093411B"/>
    <w:rsid w:val="00935917"/>
    <w:rsid w:val="009371E9"/>
    <w:rsid w:val="00955FFD"/>
    <w:rsid w:val="00956ED8"/>
    <w:rsid w:val="009573D1"/>
    <w:rsid w:val="0096615D"/>
    <w:rsid w:val="009672F2"/>
    <w:rsid w:val="009717D3"/>
    <w:rsid w:val="00974B09"/>
    <w:rsid w:val="0097621E"/>
    <w:rsid w:val="00981119"/>
    <w:rsid w:val="00982057"/>
    <w:rsid w:val="00982627"/>
    <w:rsid w:val="00991263"/>
    <w:rsid w:val="00991494"/>
    <w:rsid w:val="00991DFF"/>
    <w:rsid w:val="0099357A"/>
    <w:rsid w:val="0099675C"/>
    <w:rsid w:val="009A2EE0"/>
    <w:rsid w:val="009A375D"/>
    <w:rsid w:val="009A3F35"/>
    <w:rsid w:val="009A3FFD"/>
    <w:rsid w:val="009A46F2"/>
    <w:rsid w:val="009A502A"/>
    <w:rsid w:val="009B4AC0"/>
    <w:rsid w:val="009B5692"/>
    <w:rsid w:val="009B611B"/>
    <w:rsid w:val="009C5ABB"/>
    <w:rsid w:val="009C7788"/>
    <w:rsid w:val="009D015F"/>
    <w:rsid w:val="009D14FA"/>
    <w:rsid w:val="009D169F"/>
    <w:rsid w:val="009D6F37"/>
    <w:rsid w:val="009E08F8"/>
    <w:rsid w:val="009E1749"/>
    <w:rsid w:val="009E2598"/>
    <w:rsid w:val="009F00D3"/>
    <w:rsid w:val="009F14E7"/>
    <w:rsid w:val="009F5643"/>
    <w:rsid w:val="009F784C"/>
    <w:rsid w:val="00A025EA"/>
    <w:rsid w:val="00A11A27"/>
    <w:rsid w:val="00A13CAF"/>
    <w:rsid w:val="00A144D5"/>
    <w:rsid w:val="00A15CCA"/>
    <w:rsid w:val="00A23671"/>
    <w:rsid w:val="00A27B03"/>
    <w:rsid w:val="00A33067"/>
    <w:rsid w:val="00A33A09"/>
    <w:rsid w:val="00A33DFE"/>
    <w:rsid w:val="00A42332"/>
    <w:rsid w:val="00A441D2"/>
    <w:rsid w:val="00A473DC"/>
    <w:rsid w:val="00A522FC"/>
    <w:rsid w:val="00A537A0"/>
    <w:rsid w:val="00A56213"/>
    <w:rsid w:val="00A643D0"/>
    <w:rsid w:val="00A70951"/>
    <w:rsid w:val="00A70BDC"/>
    <w:rsid w:val="00A730D9"/>
    <w:rsid w:val="00A745CC"/>
    <w:rsid w:val="00A804DA"/>
    <w:rsid w:val="00A8095A"/>
    <w:rsid w:val="00A81E2A"/>
    <w:rsid w:val="00A82DD6"/>
    <w:rsid w:val="00A861E7"/>
    <w:rsid w:val="00A958D8"/>
    <w:rsid w:val="00AA065E"/>
    <w:rsid w:val="00AA13F0"/>
    <w:rsid w:val="00AA5542"/>
    <w:rsid w:val="00AA5F82"/>
    <w:rsid w:val="00AA64EF"/>
    <w:rsid w:val="00AA74A5"/>
    <w:rsid w:val="00AB09C5"/>
    <w:rsid w:val="00AB131C"/>
    <w:rsid w:val="00AB17C8"/>
    <w:rsid w:val="00AB54F5"/>
    <w:rsid w:val="00AC245D"/>
    <w:rsid w:val="00AC3C28"/>
    <w:rsid w:val="00AC44EF"/>
    <w:rsid w:val="00AC4DBC"/>
    <w:rsid w:val="00AC6854"/>
    <w:rsid w:val="00AD0086"/>
    <w:rsid w:val="00AD55AB"/>
    <w:rsid w:val="00AD5875"/>
    <w:rsid w:val="00AE1BB5"/>
    <w:rsid w:val="00AE4B26"/>
    <w:rsid w:val="00AF0B11"/>
    <w:rsid w:val="00AF2D03"/>
    <w:rsid w:val="00AF366E"/>
    <w:rsid w:val="00AF44F1"/>
    <w:rsid w:val="00AF7C07"/>
    <w:rsid w:val="00B02E8B"/>
    <w:rsid w:val="00B05196"/>
    <w:rsid w:val="00B05773"/>
    <w:rsid w:val="00B07C57"/>
    <w:rsid w:val="00B10018"/>
    <w:rsid w:val="00B1036A"/>
    <w:rsid w:val="00B11F94"/>
    <w:rsid w:val="00B127CA"/>
    <w:rsid w:val="00B21EE0"/>
    <w:rsid w:val="00B221F2"/>
    <w:rsid w:val="00B22F53"/>
    <w:rsid w:val="00B27DA2"/>
    <w:rsid w:val="00B37F2A"/>
    <w:rsid w:val="00B413DB"/>
    <w:rsid w:val="00B42491"/>
    <w:rsid w:val="00B42C3F"/>
    <w:rsid w:val="00B44675"/>
    <w:rsid w:val="00B44D1A"/>
    <w:rsid w:val="00B519F3"/>
    <w:rsid w:val="00B612E2"/>
    <w:rsid w:val="00B6310B"/>
    <w:rsid w:val="00B647BA"/>
    <w:rsid w:val="00B669A0"/>
    <w:rsid w:val="00B6736A"/>
    <w:rsid w:val="00B67C87"/>
    <w:rsid w:val="00B7695D"/>
    <w:rsid w:val="00B825A4"/>
    <w:rsid w:val="00B850A9"/>
    <w:rsid w:val="00B8601B"/>
    <w:rsid w:val="00B928DE"/>
    <w:rsid w:val="00B92F72"/>
    <w:rsid w:val="00B97FC2"/>
    <w:rsid w:val="00BA2144"/>
    <w:rsid w:val="00BA2277"/>
    <w:rsid w:val="00BA41A0"/>
    <w:rsid w:val="00BA5BDE"/>
    <w:rsid w:val="00BB2279"/>
    <w:rsid w:val="00BB5BE8"/>
    <w:rsid w:val="00BC0286"/>
    <w:rsid w:val="00BC760A"/>
    <w:rsid w:val="00BD1974"/>
    <w:rsid w:val="00BD3999"/>
    <w:rsid w:val="00BD7A8E"/>
    <w:rsid w:val="00BE5659"/>
    <w:rsid w:val="00C0297B"/>
    <w:rsid w:val="00C0371C"/>
    <w:rsid w:val="00C043D9"/>
    <w:rsid w:val="00C1688F"/>
    <w:rsid w:val="00C2599B"/>
    <w:rsid w:val="00C26EBC"/>
    <w:rsid w:val="00C27C8B"/>
    <w:rsid w:val="00C27F8E"/>
    <w:rsid w:val="00C350C6"/>
    <w:rsid w:val="00C3792C"/>
    <w:rsid w:val="00C432DE"/>
    <w:rsid w:val="00C44C21"/>
    <w:rsid w:val="00C50ABB"/>
    <w:rsid w:val="00C5183E"/>
    <w:rsid w:val="00C53C26"/>
    <w:rsid w:val="00C61027"/>
    <w:rsid w:val="00C65EDF"/>
    <w:rsid w:val="00C6670B"/>
    <w:rsid w:val="00C731BC"/>
    <w:rsid w:val="00C73922"/>
    <w:rsid w:val="00C8151E"/>
    <w:rsid w:val="00C81616"/>
    <w:rsid w:val="00C86218"/>
    <w:rsid w:val="00CA15DA"/>
    <w:rsid w:val="00CA1728"/>
    <w:rsid w:val="00CA25DC"/>
    <w:rsid w:val="00CB1564"/>
    <w:rsid w:val="00CB6CD3"/>
    <w:rsid w:val="00CB7D22"/>
    <w:rsid w:val="00CD0CBC"/>
    <w:rsid w:val="00CD26B1"/>
    <w:rsid w:val="00CD4292"/>
    <w:rsid w:val="00CD4F7A"/>
    <w:rsid w:val="00CE3457"/>
    <w:rsid w:val="00CE39D7"/>
    <w:rsid w:val="00CE4C26"/>
    <w:rsid w:val="00CE5400"/>
    <w:rsid w:val="00CF2BBF"/>
    <w:rsid w:val="00CF3ACD"/>
    <w:rsid w:val="00CF5524"/>
    <w:rsid w:val="00CF599D"/>
    <w:rsid w:val="00D121E3"/>
    <w:rsid w:val="00D12856"/>
    <w:rsid w:val="00D12BE2"/>
    <w:rsid w:val="00D13373"/>
    <w:rsid w:val="00D13E45"/>
    <w:rsid w:val="00D1414B"/>
    <w:rsid w:val="00D14A42"/>
    <w:rsid w:val="00D17974"/>
    <w:rsid w:val="00D30BFF"/>
    <w:rsid w:val="00D36B42"/>
    <w:rsid w:val="00D36DB2"/>
    <w:rsid w:val="00D37126"/>
    <w:rsid w:val="00D37FD8"/>
    <w:rsid w:val="00D4564D"/>
    <w:rsid w:val="00D45F22"/>
    <w:rsid w:val="00D5041E"/>
    <w:rsid w:val="00D53231"/>
    <w:rsid w:val="00D53891"/>
    <w:rsid w:val="00D53E20"/>
    <w:rsid w:val="00D54781"/>
    <w:rsid w:val="00D549BC"/>
    <w:rsid w:val="00D6231E"/>
    <w:rsid w:val="00D62F6E"/>
    <w:rsid w:val="00D63340"/>
    <w:rsid w:val="00D65912"/>
    <w:rsid w:val="00D65E57"/>
    <w:rsid w:val="00D72292"/>
    <w:rsid w:val="00D8481C"/>
    <w:rsid w:val="00D84E82"/>
    <w:rsid w:val="00D85964"/>
    <w:rsid w:val="00D85C07"/>
    <w:rsid w:val="00D90EE4"/>
    <w:rsid w:val="00D93FC8"/>
    <w:rsid w:val="00D94A03"/>
    <w:rsid w:val="00D95BE0"/>
    <w:rsid w:val="00D96E4C"/>
    <w:rsid w:val="00DA2C96"/>
    <w:rsid w:val="00DA6706"/>
    <w:rsid w:val="00DA7631"/>
    <w:rsid w:val="00DA78D4"/>
    <w:rsid w:val="00DB01BC"/>
    <w:rsid w:val="00DB17C9"/>
    <w:rsid w:val="00DB218E"/>
    <w:rsid w:val="00DB3DFE"/>
    <w:rsid w:val="00DB4630"/>
    <w:rsid w:val="00DB565C"/>
    <w:rsid w:val="00DB656E"/>
    <w:rsid w:val="00DB69EE"/>
    <w:rsid w:val="00DB6A23"/>
    <w:rsid w:val="00DC0517"/>
    <w:rsid w:val="00DC05D5"/>
    <w:rsid w:val="00DC1A67"/>
    <w:rsid w:val="00DC2137"/>
    <w:rsid w:val="00DC301E"/>
    <w:rsid w:val="00DC5149"/>
    <w:rsid w:val="00DC54BE"/>
    <w:rsid w:val="00DD18F8"/>
    <w:rsid w:val="00DD3AF2"/>
    <w:rsid w:val="00DD62A3"/>
    <w:rsid w:val="00DD7478"/>
    <w:rsid w:val="00DE0D05"/>
    <w:rsid w:val="00DE2700"/>
    <w:rsid w:val="00DE3C6F"/>
    <w:rsid w:val="00DE3D66"/>
    <w:rsid w:val="00DE4EDF"/>
    <w:rsid w:val="00DE61D5"/>
    <w:rsid w:val="00DF2847"/>
    <w:rsid w:val="00DF7CCD"/>
    <w:rsid w:val="00E1186B"/>
    <w:rsid w:val="00E151D1"/>
    <w:rsid w:val="00E1641C"/>
    <w:rsid w:val="00E22C12"/>
    <w:rsid w:val="00E265B5"/>
    <w:rsid w:val="00E34EB6"/>
    <w:rsid w:val="00E35317"/>
    <w:rsid w:val="00E434D0"/>
    <w:rsid w:val="00E469BB"/>
    <w:rsid w:val="00E46E29"/>
    <w:rsid w:val="00E47B8E"/>
    <w:rsid w:val="00E5341B"/>
    <w:rsid w:val="00E55BC5"/>
    <w:rsid w:val="00E60B67"/>
    <w:rsid w:val="00E60B92"/>
    <w:rsid w:val="00E6154F"/>
    <w:rsid w:val="00E6381B"/>
    <w:rsid w:val="00E6412C"/>
    <w:rsid w:val="00E64B3A"/>
    <w:rsid w:val="00E667EA"/>
    <w:rsid w:val="00E676DB"/>
    <w:rsid w:val="00E67B26"/>
    <w:rsid w:val="00E67EBF"/>
    <w:rsid w:val="00E73271"/>
    <w:rsid w:val="00E7393C"/>
    <w:rsid w:val="00E77612"/>
    <w:rsid w:val="00E9178C"/>
    <w:rsid w:val="00E975CC"/>
    <w:rsid w:val="00EA01BE"/>
    <w:rsid w:val="00EA60D2"/>
    <w:rsid w:val="00EA63AE"/>
    <w:rsid w:val="00EA6626"/>
    <w:rsid w:val="00EA71BA"/>
    <w:rsid w:val="00EB0C40"/>
    <w:rsid w:val="00EB0C68"/>
    <w:rsid w:val="00EB1C54"/>
    <w:rsid w:val="00EB2787"/>
    <w:rsid w:val="00EB27D5"/>
    <w:rsid w:val="00EC16EB"/>
    <w:rsid w:val="00EC4D45"/>
    <w:rsid w:val="00EC563D"/>
    <w:rsid w:val="00ED62EA"/>
    <w:rsid w:val="00ED70A1"/>
    <w:rsid w:val="00EE26A1"/>
    <w:rsid w:val="00EF0E0D"/>
    <w:rsid w:val="00EF19B1"/>
    <w:rsid w:val="00EF1CF4"/>
    <w:rsid w:val="00EF4B9C"/>
    <w:rsid w:val="00EF5A78"/>
    <w:rsid w:val="00EF5C74"/>
    <w:rsid w:val="00EF7749"/>
    <w:rsid w:val="00F04D20"/>
    <w:rsid w:val="00F131CA"/>
    <w:rsid w:val="00F20629"/>
    <w:rsid w:val="00F22863"/>
    <w:rsid w:val="00F244E7"/>
    <w:rsid w:val="00F25F6F"/>
    <w:rsid w:val="00F315F0"/>
    <w:rsid w:val="00F40290"/>
    <w:rsid w:val="00F41681"/>
    <w:rsid w:val="00F4595C"/>
    <w:rsid w:val="00F47782"/>
    <w:rsid w:val="00F47C3F"/>
    <w:rsid w:val="00F503EC"/>
    <w:rsid w:val="00F540E2"/>
    <w:rsid w:val="00F550C5"/>
    <w:rsid w:val="00F60110"/>
    <w:rsid w:val="00F61B35"/>
    <w:rsid w:val="00F66593"/>
    <w:rsid w:val="00F67959"/>
    <w:rsid w:val="00F72BFD"/>
    <w:rsid w:val="00F754D0"/>
    <w:rsid w:val="00F7613C"/>
    <w:rsid w:val="00F80674"/>
    <w:rsid w:val="00F80827"/>
    <w:rsid w:val="00F825FD"/>
    <w:rsid w:val="00F84026"/>
    <w:rsid w:val="00F87B57"/>
    <w:rsid w:val="00F931CF"/>
    <w:rsid w:val="00F932F0"/>
    <w:rsid w:val="00F9692E"/>
    <w:rsid w:val="00FA46FB"/>
    <w:rsid w:val="00FA716B"/>
    <w:rsid w:val="00FA7FC2"/>
    <w:rsid w:val="00FB3940"/>
    <w:rsid w:val="00FB7A56"/>
    <w:rsid w:val="00FB7F80"/>
    <w:rsid w:val="00FC3C8A"/>
    <w:rsid w:val="00FC6360"/>
    <w:rsid w:val="00FC6E19"/>
    <w:rsid w:val="00FD0DA6"/>
    <w:rsid w:val="00FD75D6"/>
    <w:rsid w:val="00FE25D9"/>
    <w:rsid w:val="00FE591E"/>
    <w:rsid w:val="00FF0A29"/>
    <w:rsid w:val="00FF2C11"/>
    <w:rsid w:val="00FF46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875E95B"/>
  <w15:docId w15:val="{07C05A97-6E94-4499-8D9D-765742D0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D6F37"/>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D6F37"/>
    <w:pPr>
      <w:tabs>
        <w:tab w:val="center" w:pos="4536"/>
        <w:tab w:val="right" w:pos="9072"/>
      </w:tabs>
    </w:pPr>
  </w:style>
  <w:style w:type="character" w:customStyle="1" w:styleId="KopfzeileZchn">
    <w:name w:val="Kopfzeile Zchn"/>
    <w:basedOn w:val="Absatz-Standardschriftart"/>
    <w:link w:val="Kopfzeile"/>
    <w:rsid w:val="009D6F37"/>
    <w:rPr>
      <w:sz w:val="24"/>
      <w:szCs w:val="24"/>
    </w:rPr>
  </w:style>
  <w:style w:type="character" w:styleId="Seitenzahl">
    <w:name w:val="page number"/>
    <w:basedOn w:val="Absatz-Standardschriftart"/>
    <w:rsid w:val="009D6F37"/>
    <w:rPr>
      <w:rFonts w:ascii="Times New Roman" w:hAnsi="Times New Roman" w:cs="Times New Roman"/>
      <w:sz w:val="16"/>
      <w:szCs w:val="16"/>
    </w:rPr>
  </w:style>
  <w:style w:type="paragraph" w:customStyle="1" w:styleId="EH-1">
    <w:name w:val="EH - Ü1"/>
    <w:basedOn w:val="Standard"/>
    <w:link w:val="EH-1Zchn"/>
    <w:qFormat/>
    <w:rsid w:val="00CF3ACD"/>
    <w:pPr>
      <w:tabs>
        <w:tab w:val="left" w:pos="4900"/>
      </w:tabs>
      <w:spacing w:line="360" w:lineRule="auto"/>
      <w:jc w:val="center"/>
    </w:pPr>
    <w:rPr>
      <w:b/>
      <w:bCs/>
      <w:caps/>
      <w:sz w:val="28"/>
      <w:szCs w:val="28"/>
    </w:rPr>
  </w:style>
  <w:style w:type="character" w:customStyle="1" w:styleId="EH-1Zchn">
    <w:name w:val="EH - Ü1 Zchn"/>
    <w:basedOn w:val="Absatz-Standardschriftart"/>
    <w:link w:val="EH-1"/>
    <w:rsid w:val="00CF3ACD"/>
    <w:rPr>
      <w:b/>
      <w:bCs/>
      <w:caps/>
      <w:sz w:val="28"/>
      <w:szCs w:val="28"/>
    </w:rPr>
  </w:style>
  <w:style w:type="paragraph" w:customStyle="1" w:styleId="EH-2">
    <w:name w:val="EH - Ü2"/>
    <w:basedOn w:val="Standard"/>
    <w:link w:val="EH-2Zchn"/>
    <w:qFormat/>
    <w:rsid w:val="00CF3ACD"/>
    <w:pPr>
      <w:keepNext/>
      <w:numPr>
        <w:numId w:val="1"/>
      </w:numPr>
      <w:spacing w:after="320" w:line="320" w:lineRule="atLeast"/>
      <w:jc w:val="both"/>
    </w:pPr>
    <w:rPr>
      <w:b/>
      <w:bCs/>
    </w:rPr>
  </w:style>
  <w:style w:type="character" w:customStyle="1" w:styleId="EH-2Zchn">
    <w:name w:val="EH - Ü2 Zchn"/>
    <w:basedOn w:val="Absatz-Standardschriftart"/>
    <w:link w:val="EH-2"/>
    <w:rsid w:val="00CF3ACD"/>
    <w:rPr>
      <w:b/>
      <w:bCs/>
      <w:sz w:val="24"/>
      <w:szCs w:val="24"/>
    </w:rPr>
  </w:style>
  <w:style w:type="paragraph" w:customStyle="1" w:styleId="EH-Text">
    <w:name w:val="EH - Text"/>
    <w:basedOn w:val="Standard"/>
    <w:link w:val="EH-TextZchn"/>
    <w:qFormat/>
    <w:rsid w:val="00CF3ACD"/>
    <w:pPr>
      <w:spacing w:after="320" w:line="320" w:lineRule="atLeast"/>
      <w:ind w:left="709"/>
      <w:jc w:val="both"/>
    </w:pPr>
  </w:style>
  <w:style w:type="character" w:customStyle="1" w:styleId="EH-TextZchn">
    <w:name w:val="EH - Text Zchn"/>
    <w:basedOn w:val="Absatz-Standardschriftart"/>
    <w:link w:val="EH-Text"/>
    <w:rsid w:val="00CF3ACD"/>
    <w:rPr>
      <w:sz w:val="24"/>
      <w:szCs w:val="24"/>
    </w:rPr>
  </w:style>
  <w:style w:type="paragraph" w:customStyle="1" w:styleId="EH-3">
    <w:name w:val="EH - Ü3"/>
    <w:basedOn w:val="Standard"/>
    <w:link w:val="EH-3Zchn"/>
    <w:qFormat/>
    <w:rsid w:val="00CF3ACD"/>
    <w:pPr>
      <w:keepNext/>
      <w:numPr>
        <w:ilvl w:val="1"/>
        <w:numId w:val="1"/>
      </w:numPr>
      <w:spacing w:after="320" w:line="320" w:lineRule="atLeast"/>
      <w:jc w:val="both"/>
    </w:pPr>
    <w:rPr>
      <w:u w:val="single"/>
    </w:rPr>
  </w:style>
  <w:style w:type="character" w:customStyle="1" w:styleId="EH-3Zchn">
    <w:name w:val="EH - Ü3 Zchn"/>
    <w:basedOn w:val="Absatz-Standardschriftart"/>
    <w:link w:val="EH-3"/>
    <w:rsid w:val="00CF3ACD"/>
    <w:rPr>
      <w:sz w:val="24"/>
      <w:szCs w:val="24"/>
      <w:u w:val="single"/>
    </w:rPr>
  </w:style>
  <w:style w:type="paragraph" w:customStyle="1" w:styleId="EH-4">
    <w:name w:val="EH - Ü4"/>
    <w:basedOn w:val="Standard"/>
    <w:link w:val="EH-4Zchn"/>
    <w:qFormat/>
    <w:rsid w:val="00AC4DBC"/>
    <w:pPr>
      <w:keepNext/>
      <w:numPr>
        <w:ilvl w:val="2"/>
        <w:numId w:val="1"/>
      </w:numPr>
      <w:spacing w:after="320" w:line="320" w:lineRule="atLeast"/>
      <w:jc w:val="both"/>
    </w:pPr>
    <w:rPr>
      <w:i/>
    </w:rPr>
  </w:style>
  <w:style w:type="character" w:customStyle="1" w:styleId="EH-4Zchn">
    <w:name w:val="EH - Ü4 Zchn"/>
    <w:basedOn w:val="Absatz-Standardschriftart"/>
    <w:link w:val="EH-4"/>
    <w:rsid w:val="00AC4DBC"/>
    <w:rPr>
      <w:i/>
      <w:sz w:val="24"/>
      <w:szCs w:val="24"/>
    </w:rPr>
  </w:style>
  <w:style w:type="paragraph" w:customStyle="1" w:styleId="EH-5">
    <w:name w:val="EH - Ü5"/>
    <w:basedOn w:val="Standard"/>
    <w:link w:val="EH-5Zchn"/>
    <w:qFormat/>
    <w:rsid w:val="00CF3ACD"/>
    <w:pPr>
      <w:keepNext/>
      <w:numPr>
        <w:ilvl w:val="3"/>
        <w:numId w:val="1"/>
      </w:numPr>
      <w:spacing w:after="320" w:line="320" w:lineRule="atLeast"/>
      <w:jc w:val="both"/>
    </w:pPr>
  </w:style>
  <w:style w:type="character" w:customStyle="1" w:styleId="EH-5Zchn">
    <w:name w:val="EH - Ü5 Zchn"/>
    <w:basedOn w:val="Absatz-Standardschriftart"/>
    <w:link w:val="EH-5"/>
    <w:rsid w:val="00CF3ACD"/>
    <w:rPr>
      <w:sz w:val="24"/>
      <w:szCs w:val="24"/>
    </w:rPr>
  </w:style>
  <w:style w:type="table" w:styleId="Tabellenraster">
    <w:name w:val="Table Grid"/>
    <w:basedOn w:val="NormaleTabelle"/>
    <w:uiPriority w:val="59"/>
    <w:rsid w:val="00AA64EF"/>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notentext">
    <w:name w:val="footnote text"/>
    <w:basedOn w:val="Standard"/>
    <w:link w:val="FunotentextZchn"/>
    <w:rsid w:val="00B825A4"/>
    <w:pPr>
      <w:jc w:val="both"/>
    </w:pPr>
    <w:rPr>
      <w:sz w:val="20"/>
      <w:szCs w:val="20"/>
    </w:rPr>
  </w:style>
  <w:style w:type="character" w:customStyle="1" w:styleId="FunotentextZchn">
    <w:name w:val="Fußnotentext Zchn"/>
    <w:basedOn w:val="Absatz-Standardschriftart"/>
    <w:link w:val="Funotentext"/>
    <w:rsid w:val="00B825A4"/>
  </w:style>
  <w:style w:type="character" w:styleId="Funotenzeichen">
    <w:name w:val="footnote reference"/>
    <w:basedOn w:val="Absatz-Standardschriftart"/>
    <w:semiHidden/>
    <w:rsid w:val="00B825A4"/>
    <w:rPr>
      <w:rFonts w:ascii="Times New Roman" w:hAnsi="Times New Roman"/>
      <w:vertAlign w:val="superscript"/>
    </w:rPr>
  </w:style>
  <w:style w:type="paragraph" w:styleId="Beschriftung">
    <w:name w:val="caption"/>
    <w:basedOn w:val="Standard"/>
    <w:next w:val="Standard"/>
    <w:uiPriority w:val="35"/>
    <w:unhideWhenUsed/>
    <w:qFormat/>
    <w:rsid w:val="005C693A"/>
    <w:rPr>
      <w:b/>
      <w:bCs/>
      <w:sz w:val="20"/>
      <w:szCs w:val="20"/>
    </w:rPr>
  </w:style>
  <w:style w:type="paragraph" w:styleId="Sprechblasentext">
    <w:name w:val="Balloon Text"/>
    <w:basedOn w:val="Standard"/>
    <w:link w:val="SprechblasentextZchn"/>
    <w:uiPriority w:val="99"/>
    <w:semiHidden/>
    <w:unhideWhenUsed/>
    <w:rsid w:val="00CD42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4292"/>
    <w:rPr>
      <w:rFonts w:ascii="Tahoma" w:hAnsi="Tahoma" w:cs="Tahoma"/>
      <w:sz w:val="16"/>
      <w:szCs w:val="16"/>
    </w:rPr>
  </w:style>
  <w:style w:type="character" w:customStyle="1" w:styleId="neu">
    <w:name w:val="neu"/>
    <w:basedOn w:val="Absatz-Standardschriftart"/>
    <w:rsid w:val="00CA15DA"/>
  </w:style>
  <w:style w:type="paragraph" w:styleId="Fuzeile">
    <w:name w:val="footer"/>
    <w:basedOn w:val="Standard"/>
    <w:link w:val="FuzeileZchn"/>
    <w:uiPriority w:val="99"/>
    <w:unhideWhenUsed/>
    <w:rsid w:val="00AC3C28"/>
    <w:pPr>
      <w:tabs>
        <w:tab w:val="center" w:pos="4536"/>
        <w:tab w:val="right" w:pos="9072"/>
      </w:tabs>
    </w:pPr>
  </w:style>
  <w:style w:type="character" w:customStyle="1" w:styleId="FuzeileZchn">
    <w:name w:val="Fußzeile Zchn"/>
    <w:basedOn w:val="Absatz-Standardschriftart"/>
    <w:link w:val="Fuzeile"/>
    <w:uiPriority w:val="99"/>
    <w:rsid w:val="00AC3C28"/>
    <w:rPr>
      <w:sz w:val="24"/>
      <w:szCs w:val="24"/>
    </w:rPr>
  </w:style>
  <w:style w:type="character" w:styleId="Hyperlink">
    <w:name w:val="Hyperlink"/>
    <w:basedOn w:val="Absatz-Standardschriftart"/>
    <w:uiPriority w:val="99"/>
    <w:unhideWhenUsed/>
    <w:rsid w:val="00B07C57"/>
    <w:rPr>
      <w:strike w:val="0"/>
      <w:dstrike w:val="0"/>
      <w:color w:val="AD2227"/>
      <w:u w:val="none"/>
      <w:effect w:val="none"/>
    </w:rPr>
  </w:style>
  <w:style w:type="character" w:styleId="Fett">
    <w:name w:val="Strong"/>
    <w:basedOn w:val="Absatz-Standardschriftart"/>
    <w:uiPriority w:val="22"/>
    <w:qFormat/>
    <w:rsid w:val="00360BAD"/>
    <w:rPr>
      <w:b/>
      <w:bCs/>
    </w:rPr>
  </w:style>
  <w:style w:type="character" w:styleId="Kommentarzeichen">
    <w:name w:val="annotation reference"/>
    <w:basedOn w:val="Absatz-Standardschriftart"/>
    <w:uiPriority w:val="99"/>
    <w:semiHidden/>
    <w:unhideWhenUsed/>
    <w:rsid w:val="00C432DE"/>
    <w:rPr>
      <w:sz w:val="16"/>
      <w:szCs w:val="16"/>
    </w:rPr>
  </w:style>
  <w:style w:type="paragraph" w:styleId="Kommentartext">
    <w:name w:val="annotation text"/>
    <w:basedOn w:val="Standard"/>
    <w:link w:val="KommentartextZchn"/>
    <w:uiPriority w:val="99"/>
    <w:unhideWhenUsed/>
    <w:rsid w:val="00C432DE"/>
    <w:rPr>
      <w:sz w:val="20"/>
      <w:szCs w:val="20"/>
    </w:rPr>
  </w:style>
  <w:style w:type="character" w:customStyle="1" w:styleId="KommentartextZchn">
    <w:name w:val="Kommentartext Zchn"/>
    <w:basedOn w:val="Absatz-Standardschriftart"/>
    <w:link w:val="Kommentartext"/>
    <w:uiPriority w:val="99"/>
    <w:rsid w:val="00C432DE"/>
  </w:style>
  <w:style w:type="paragraph" w:styleId="Kommentarthema">
    <w:name w:val="annotation subject"/>
    <w:basedOn w:val="Kommentartext"/>
    <w:next w:val="Kommentartext"/>
    <w:link w:val="KommentarthemaZchn"/>
    <w:uiPriority w:val="99"/>
    <w:semiHidden/>
    <w:unhideWhenUsed/>
    <w:rsid w:val="00C432DE"/>
    <w:rPr>
      <w:b/>
      <w:bCs/>
    </w:rPr>
  </w:style>
  <w:style w:type="character" w:customStyle="1" w:styleId="KommentarthemaZchn">
    <w:name w:val="Kommentarthema Zchn"/>
    <w:basedOn w:val="KommentartextZchn"/>
    <w:link w:val="Kommentarthema"/>
    <w:uiPriority w:val="99"/>
    <w:semiHidden/>
    <w:rsid w:val="00C432DE"/>
    <w:rPr>
      <w:b/>
      <w:bCs/>
    </w:rPr>
  </w:style>
  <w:style w:type="paragraph" w:styleId="Listenabsatz">
    <w:name w:val="List Paragraph"/>
    <w:basedOn w:val="Standard"/>
    <w:uiPriority w:val="34"/>
    <w:qFormat/>
    <w:rsid w:val="00561F73"/>
    <w:pPr>
      <w:ind w:left="720"/>
    </w:pPr>
    <w:rPr>
      <w:rFonts w:ascii="Calibri" w:hAnsi="Calibri"/>
      <w:sz w:val="22"/>
      <w:szCs w:val="22"/>
    </w:rPr>
  </w:style>
  <w:style w:type="character" w:customStyle="1" w:styleId="rz-overlay-text">
    <w:name w:val="rz-overlay-text"/>
    <w:basedOn w:val="Absatz-Standardschriftart"/>
    <w:rsid w:val="00AC245D"/>
  </w:style>
  <w:style w:type="character" w:customStyle="1" w:styleId="fett0">
    <w:name w:val="fett"/>
    <w:basedOn w:val="Absatz-Standardschriftart"/>
    <w:rsid w:val="00DB656E"/>
    <w:rPr>
      <w:b/>
      <w:bCs/>
    </w:rPr>
  </w:style>
  <w:style w:type="character" w:styleId="BesuchterLink">
    <w:name w:val="FollowedHyperlink"/>
    <w:basedOn w:val="Absatz-Standardschriftart"/>
    <w:uiPriority w:val="99"/>
    <w:semiHidden/>
    <w:unhideWhenUsed/>
    <w:rsid w:val="00545BA2"/>
    <w:rPr>
      <w:color w:val="800080" w:themeColor="followedHyperlink"/>
      <w:u w:val="single"/>
    </w:rPr>
  </w:style>
  <w:style w:type="paragraph" w:styleId="Verzeichnis1">
    <w:name w:val="toc 1"/>
    <w:basedOn w:val="Standard"/>
    <w:next w:val="Standard"/>
    <w:autoRedefine/>
    <w:uiPriority w:val="39"/>
    <w:unhideWhenUsed/>
    <w:rsid w:val="004E4201"/>
    <w:pPr>
      <w:tabs>
        <w:tab w:val="left" w:pos="574"/>
        <w:tab w:val="right" w:leader="dot" w:pos="9060"/>
      </w:tabs>
      <w:spacing w:before="240" w:after="240"/>
    </w:pPr>
    <w:rPr>
      <w:rFonts w:asciiTheme="majorHAnsi" w:eastAsiaTheme="minorEastAsia" w:hAnsiTheme="majorHAnsi"/>
      <w:b/>
      <w:bCs/>
      <w:noProof/>
      <w:sz w:val="22"/>
      <w:szCs w:val="22"/>
    </w:rPr>
  </w:style>
  <w:style w:type="paragraph" w:styleId="Verzeichnis2">
    <w:name w:val="toc 2"/>
    <w:basedOn w:val="Standard"/>
    <w:next w:val="Standard"/>
    <w:autoRedefine/>
    <w:uiPriority w:val="39"/>
    <w:unhideWhenUsed/>
    <w:rsid w:val="004E4201"/>
    <w:pPr>
      <w:tabs>
        <w:tab w:val="left" w:pos="574"/>
        <w:tab w:val="right" w:leader="dot" w:pos="9062"/>
      </w:tabs>
      <w:spacing w:before="240" w:after="240"/>
      <w:ind w:left="567" w:hanging="567"/>
    </w:pPr>
    <w:rPr>
      <w:bCs/>
      <w:sz w:val="22"/>
      <w:szCs w:val="22"/>
    </w:rPr>
  </w:style>
  <w:style w:type="paragraph" w:styleId="Verzeichnis3">
    <w:name w:val="toc 3"/>
    <w:basedOn w:val="Standard"/>
    <w:next w:val="Standard"/>
    <w:autoRedefine/>
    <w:uiPriority w:val="39"/>
    <w:unhideWhenUsed/>
    <w:rsid w:val="00414246"/>
    <w:pPr>
      <w:tabs>
        <w:tab w:val="left" w:pos="567"/>
        <w:tab w:val="right" w:leader="dot" w:pos="9060"/>
      </w:tabs>
      <w:ind w:left="574" w:hanging="574"/>
    </w:pPr>
    <w:rPr>
      <w:sz w:val="22"/>
      <w:szCs w:val="22"/>
    </w:rPr>
  </w:style>
  <w:style w:type="character" w:styleId="NichtaufgelsteErwhnung">
    <w:name w:val="Unresolved Mention"/>
    <w:basedOn w:val="Absatz-Standardschriftart"/>
    <w:uiPriority w:val="99"/>
    <w:semiHidden/>
    <w:unhideWhenUsed/>
    <w:rsid w:val="002135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001591">
      <w:bodyDiv w:val="1"/>
      <w:marLeft w:val="0"/>
      <w:marRight w:val="0"/>
      <w:marTop w:val="0"/>
      <w:marBottom w:val="0"/>
      <w:divBdr>
        <w:top w:val="none" w:sz="0" w:space="0" w:color="auto"/>
        <w:left w:val="none" w:sz="0" w:space="0" w:color="auto"/>
        <w:bottom w:val="none" w:sz="0" w:space="0" w:color="auto"/>
        <w:right w:val="none" w:sz="0" w:space="0" w:color="auto"/>
      </w:divBdr>
    </w:div>
    <w:div w:id="332492192">
      <w:bodyDiv w:val="1"/>
      <w:marLeft w:val="0"/>
      <w:marRight w:val="0"/>
      <w:marTop w:val="0"/>
      <w:marBottom w:val="0"/>
      <w:divBdr>
        <w:top w:val="none" w:sz="0" w:space="0" w:color="auto"/>
        <w:left w:val="none" w:sz="0" w:space="0" w:color="auto"/>
        <w:bottom w:val="none" w:sz="0" w:space="0" w:color="auto"/>
        <w:right w:val="none" w:sz="0" w:space="0" w:color="auto"/>
      </w:divBdr>
    </w:div>
    <w:div w:id="636841001">
      <w:bodyDiv w:val="1"/>
      <w:marLeft w:val="0"/>
      <w:marRight w:val="0"/>
      <w:marTop w:val="0"/>
      <w:marBottom w:val="0"/>
      <w:divBdr>
        <w:top w:val="none" w:sz="0" w:space="0" w:color="auto"/>
        <w:left w:val="none" w:sz="0" w:space="0" w:color="auto"/>
        <w:bottom w:val="none" w:sz="0" w:space="0" w:color="auto"/>
        <w:right w:val="none" w:sz="0" w:space="0" w:color="auto"/>
      </w:divBdr>
    </w:div>
    <w:div w:id="1232740857">
      <w:bodyDiv w:val="1"/>
      <w:marLeft w:val="0"/>
      <w:marRight w:val="0"/>
      <w:marTop w:val="0"/>
      <w:marBottom w:val="0"/>
      <w:divBdr>
        <w:top w:val="none" w:sz="0" w:space="0" w:color="auto"/>
        <w:left w:val="none" w:sz="0" w:space="0" w:color="auto"/>
        <w:bottom w:val="none" w:sz="0" w:space="0" w:color="auto"/>
        <w:right w:val="none" w:sz="0" w:space="0" w:color="auto"/>
      </w:divBdr>
    </w:div>
    <w:div w:id="1385762137">
      <w:bodyDiv w:val="1"/>
      <w:marLeft w:val="0"/>
      <w:marRight w:val="0"/>
      <w:marTop w:val="0"/>
      <w:marBottom w:val="0"/>
      <w:divBdr>
        <w:top w:val="none" w:sz="0" w:space="0" w:color="auto"/>
        <w:left w:val="none" w:sz="0" w:space="0" w:color="auto"/>
        <w:bottom w:val="none" w:sz="0" w:space="0" w:color="auto"/>
        <w:right w:val="none" w:sz="0" w:space="0" w:color="auto"/>
      </w:divBdr>
      <w:divsChild>
        <w:div w:id="1145898276">
          <w:marLeft w:val="0"/>
          <w:marRight w:val="0"/>
          <w:marTop w:val="50"/>
          <w:marBottom w:val="50"/>
          <w:divBdr>
            <w:top w:val="none" w:sz="0" w:space="0" w:color="auto"/>
            <w:left w:val="none" w:sz="0" w:space="0" w:color="auto"/>
            <w:bottom w:val="none" w:sz="0" w:space="0" w:color="auto"/>
            <w:right w:val="none" w:sz="0" w:space="0" w:color="auto"/>
          </w:divBdr>
          <w:divsChild>
            <w:div w:id="274872239">
              <w:marLeft w:val="0"/>
              <w:marRight w:val="0"/>
              <w:marTop w:val="372"/>
              <w:marBottom w:val="0"/>
              <w:divBdr>
                <w:top w:val="none" w:sz="0" w:space="0" w:color="auto"/>
                <w:left w:val="none" w:sz="0" w:space="0" w:color="auto"/>
                <w:bottom w:val="none" w:sz="0" w:space="0" w:color="auto"/>
                <w:right w:val="none" w:sz="0" w:space="0" w:color="auto"/>
              </w:divBdr>
              <w:divsChild>
                <w:div w:id="909122445">
                  <w:marLeft w:val="0"/>
                  <w:marRight w:val="0"/>
                  <w:marTop w:val="0"/>
                  <w:marBottom w:val="0"/>
                  <w:divBdr>
                    <w:top w:val="none" w:sz="0" w:space="0" w:color="auto"/>
                    <w:left w:val="none" w:sz="0" w:space="0" w:color="auto"/>
                    <w:bottom w:val="none" w:sz="0" w:space="0" w:color="auto"/>
                    <w:right w:val="none" w:sz="0" w:space="0" w:color="auto"/>
                  </w:divBdr>
                  <w:divsChild>
                    <w:div w:id="1320503853">
                      <w:marLeft w:val="0"/>
                      <w:marRight w:val="0"/>
                      <w:marTop w:val="120"/>
                      <w:marBottom w:val="0"/>
                      <w:divBdr>
                        <w:top w:val="single" w:sz="4" w:space="6" w:color="9D9C9C"/>
                        <w:left w:val="single" w:sz="4" w:space="6" w:color="9D9C9C"/>
                        <w:bottom w:val="single" w:sz="4" w:space="6" w:color="9D9C9C"/>
                        <w:right w:val="single" w:sz="4" w:space="6" w:color="9D9C9C"/>
                      </w:divBdr>
                      <w:divsChild>
                        <w:div w:id="164832074">
                          <w:marLeft w:val="0"/>
                          <w:marRight w:val="0"/>
                          <w:marTop w:val="0"/>
                          <w:marBottom w:val="0"/>
                          <w:divBdr>
                            <w:top w:val="none" w:sz="0" w:space="0" w:color="auto"/>
                            <w:left w:val="none" w:sz="0" w:space="0" w:color="auto"/>
                            <w:bottom w:val="none" w:sz="0" w:space="0" w:color="auto"/>
                            <w:right w:val="none" w:sz="0" w:space="0" w:color="auto"/>
                          </w:divBdr>
                          <w:divsChild>
                            <w:div w:id="653460430">
                              <w:marLeft w:val="0"/>
                              <w:marRight w:val="0"/>
                              <w:marTop w:val="240"/>
                              <w:marBottom w:val="0"/>
                              <w:divBdr>
                                <w:top w:val="none" w:sz="0" w:space="0" w:color="auto"/>
                                <w:left w:val="none" w:sz="0" w:space="0" w:color="auto"/>
                                <w:bottom w:val="none" w:sz="0" w:space="0" w:color="auto"/>
                                <w:right w:val="none" w:sz="0" w:space="0" w:color="auto"/>
                              </w:divBdr>
                              <w:divsChild>
                                <w:div w:id="698166690">
                                  <w:marLeft w:val="0"/>
                                  <w:marRight w:val="0"/>
                                  <w:marTop w:val="0"/>
                                  <w:marBottom w:val="0"/>
                                  <w:divBdr>
                                    <w:top w:val="none" w:sz="0" w:space="0" w:color="auto"/>
                                    <w:left w:val="none" w:sz="0" w:space="0" w:color="auto"/>
                                    <w:bottom w:val="none" w:sz="0" w:space="0" w:color="auto"/>
                                    <w:right w:val="none" w:sz="0" w:space="0" w:color="auto"/>
                                  </w:divBdr>
                                  <w:divsChild>
                                    <w:div w:id="105828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1684976">
      <w:bodyDiv w:val="1"/>
      <w:marLeft w:val="0"/>
      <w:marRight w:val="0"/>
      <w:marTop w:val="0"/>
      <w:marBottom w:val="0"/>
      <w:divBdr>
        <w:top w:val="none" w:sz="0" w:space="0" w:color="auto"/>
        <w:left w:val="none" w:sz="0" w:space="0" w:color="auto"/>
        <w:bottom w:val="none" w:sz="0" w:space="0" w:color="auto"/>
        <w:right w:val="none" w:sz="0" w:space="0" w:color="auto"/>
      </w:divBdr>
      <w:divsChild>
        <w:div w:id="1117142556">
          <w:marLeft w:val="0"/>
          <w:marRight w:val="0"/>
          <w:marTop w:val="75"/>
          <w:marBottom w:val="75"/>
          <w:divBdr>
            <w:top w:val="none" w:sz="0" w:space="0" w:color="auto"/>
            <w:left w:val="none" w:sz="0" w:space="0" w:color="auto"/>
            <w:bottom w:val="none" w:sz="0" w:space="0" w:color="auto"/>
            <w:right w:val="none" w:sz="0" w:space="0" w:color="auto"/>
          </w:divBdr>
          <w:divsChild>
            <w:div w:id="1755660714">
              <w:marLeft w:val="0"/>
              <w:marRight w:val="0"/>
              <w:marTop w:val="372"/>
              <w:marBottom w:val="0"/>
              <w:divBdr>
                <w:top w:val="none" w:sz="0" w:space="0" w:color="auto"/>
                <w:left w:val="none" w:sz="0" w:space="0" w:color="auto"/>
                <w:bottom w:val="none" w:sz="0" w:space="0" w:color="auto"/>
                <w:right w:val="none" w:sz="0" w:space="0" w:color="auto"/>
              </w:divBdr>
              <w:divsChild>
                <w:div w:id="650866024">
                  <w:marLeft w:val="0"/>
                  <w:marRight w:val="0"/>
                  <w:marTop w:val="0"/>
                  <w:marBottom w:val="0"/>
                  <w:divBdr>
                    <w:top w:val="none" w:sz="0" w:space="0" w:color="auto"/>
                    <w:left w:val="none" w:sz="0" w:space="0" w:color="auto"/>
                    <w:bottom w:val="none" w:sz="0" w:space="0" w:color="auto"/>
                    <w:right w:val="none" w:sz="0" w:space="0" w:color="auto"/>
                  </w:divBdr>
                  <w:divsChild>
                    <w:div w:id="1385641789">
                      <w:marLeft w:val="0"/>
                      <w:marRight w:val="0"/>
                      <w:marTop w:val="120"/>
                      <w:marBottom w:val="0"/>
                      <w:divBdr>
                        <w:top w:val="single" w:sz="6" w:space="6" w:color="9D9C9C"/>
                        <w:left w:val="single" w:sz="6" w:space="6" w:color="9D9C9C"/>
                        <w:bottom w:val="single" w:sz="6" w:space="6" w:color="9D9C9C"/>
                        <w:right w:val="single" w:sz="6" w:space="6" w:color="9D9C9C"/>
                      </w:divBdr>
                      <w:divsChild>
                        <w:div w:id="1375078312">
                          <w:marLeft w:val="0"/>
                          <w:marRight w:val="0"/>
                          <w:marTop w:val="0"/>
                          <w:marBottom w:val="0"/>
                          <w:divBdr>
                            <w:top w:val="none" w:sz="0" w:space="0" w:color="auto"/>
                            <w:left w:val="none" w:sz="0" w:space="0" w:color="auto"/>
                            <w:bottom w:val="none" w:sz="0" w:space="0" w:color="auto"/>
                            <w:right w:val="none" w:sz="0" w:space="0" w:color="auto"/>
                          </w:divBdr>
                          <w:divsChild>
                            <w:div w:id="387996340">
                              <w:marLeft w:val="0"/>
                              <w:marRight w:val="0"/>
                              <w:marTop w:val="240"/>
                              <w:marBottom w:val="0"/>
                              <w:divBdr>
                                <w:top w:val="none" w:sz="0" w:space="0" w:color="auto"/>
                                <w:left w:val="none" w:sz="0" w:space="0" w:color="auto"/>
                                <w:bottom w:val="none" w:sz="0" w:space="0" w:color="auto"/>
                                <w:right w:val="none" w:sz="0" w:space="0" w:color="auto"/>
                              </w:divBdr>
                              <w:divsChild>
                                <w:div w:id="786508643">
                                  <w:marLeft w:val="0"/>
                                  <w:marRight w:val="0"/>
                                  <w:marTop w:val="0"/>
                                  <w:marBottom w:val="0"/>
                                  <w:divBdr>
                                    <w:top w:val="none" w:sz="0" w:space="0" w:color="auto"/>
                                    <w:left w:val="none" w:sz="0" w:space="0" w:color="auto"/>
                                    <w:bottom w:val="none" w:sz="0" w:space="0" w:color="auto"/>
                                    <w:right w:val="none" w:sz="0" w:space="0" w:color="auto"/>
                                  </w:divBdr>
                                  <w:divsChild>
                                    <w:div w:id="120961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2551338">
      <w:bodyDiv w:val="1"/>
      <w:marLeft w:val="0"/>
      <w:marRight w:val="0"/>
      <w:marTop w:val="0"/>
      <w:marBottom w:val="0"/>
      <w:divBdr>
        <w:top w:val="none" w:sz="0" w:space="0" w:color="auto"/>
        <w:left w:val="none" w:sz="0" w:space="0" w:color="auto"/>
        <w:bottom w:val="none" w:sz="0" w:space="0" w:color="auto"/>
        <w:right w:val="none" w:sz="0" w:space="0" w:color="auto"/>
      </w:divBdr>
    </w:div>
    <w:div w:id="197054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P-CEEAG-CONSULTATION@ec.europa.eu"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buya.kyoni@wienenergie.a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D7855E997C7CD547BAA84FB5C436F0EB" ma:contentTypeVersion="5" ma:contentTypeDescription="Upload a any type of Document to this Document Library, Tag and Categorize." ma:contentTypeScope="" ma:versionID="9da1a9b8db38812dd4845d0202193013">
  <xsd:schema xmlns:xsd="http://www.w3.org/2001/XMLSchema" xmlns:xs="http://www.w3.org/2001/XMLSchema" xmlns:p="http://schemas.microsoft.com/office/2006/metadata/properties" xmlns:ns1="7cc652c1-0fd7-41eb-a014-c51c51780a7a" targetNamespace="http://schemas.microsoft.com/office/2006/metadata/properties" ma:root="true" ma:fieldsID="d4e861f33666f41124d7fe3faad0c1db" ns1:_="">
    <xsd:import namespace="7cc652c1-0fd7-41eb-a014-c51c51780a7a"/>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b19f75d238cc47e1b22517c8f1caea47" minOccurs="0"/>
                <xsd:element ref="ns1:TaxCatchAll" minOccurs="0"/>
                <xsd:element ref="ns1:TaxCatchAllLabel" minOccurs="0"/>
                <xsd:element ref="ns1:h9a1eb4c7bd54efca9d2a6b83ebb485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c652c1-0fd7-41eb-a014-c51c51780a7a"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b19f75d238cc47e1b22517c8f1caea47" ma:index="6" nillable="true" ma:taxonomy="true" ma:internalName="b19f75d238cc47e1b22517c8f1caea47" ma:taxonomyFieldName="documentGeneralTags" ma:displayName="General Tags" ma:fieldId="{b19f75d2-38cc-47e1-b225-17c8f1caea4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437298f6-1c1b-4d51-8c63-a2307b44d2d3}" ma:internalName="TaxCatchAll" ma:showField="CatchAllData"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437298f6-1c1b-4d51-8c63-a2307b44d2d3}" ma:internalName="TaxCatchAllLabel" ma:readOnly="true" ma:showField="CatchAllDataLabel"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h9a1eb4c7bd54efca9d2a6b83ebb485f" ma:index="10" nillable="true" ma:taxonomy="true" ma:internalName="h9a1eb4c7bd54efca9d2a6b83ebb485f" ma:taxonomyFieldName="documentCaseTags" ma:displayName="Case Tags" ma:fieldId="{19a1eb4c-7bd5-4efc-a9d2-a6b83ebb485f}" ma:taxonomyMulti="true" ma:sspId="0b3cc5dc-dc2a-4346-9392-57628a0b46cb" ma:termSetId="a063f2db-454f-4e18-b57e-ebf5c79ba29f"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7cc652c1-0fd7-41eb-a014-c51c51780a7a">COMPCOLLAB-832284309-1837</_dlc_DocId>
    <_dlc_DocIdUrl xmlns="7cc652c1-0fd7-41eb-a014-c51c51780a7a">
      <Url>https://compcollab.ec.europa.eu/cases/HT.5371/_layouts/15/DocIdRedir.aspx?ID=COMPCOLLAB-832284309-1837</Url>
      <Description>COMPCOLLAB-832284309-1837</Description>
    </_dlc_DocIdUrl>
    <documentSummary xmlns="7cc652c1-0fd7-41eb-a014-c51c51780a7a" xsi:nil="true"/>
    <b19f75d238cc47e1b22517c8f1caea47 xmlns="7cc652c1-0fd7-41eb-a014-c51c51780a7a">
      <Terms xmlns="http://schemas.microsoft.com/office/infopath/2007/PartnerControls"/>
    </b19f75d238cc47e1b22517c8f1caea47>
    <TaxCatchAll xmlns="7cc652c1-0fd7-41eb-a014-c51c51780a7a"/>
    <documentTitle xmlns="7cc652c1-0fd7-41eb-a014-c51c51780a7a" xsi:nil="true"/>
    <documentFollowUp xmlns="7cc652c1-0fd7-41eb-a014-c51c51780a7a" xsi:nil="true"/>
    <h9a1eb4c7bd54efca9d2a6b83ebb485f xmlns="7cc652c1-0fd7-41eb-a014-c51c51780a7a">
      <Terms xmlns="http://schemas.microsoft.com/office/infopath/2007/PartnerControls"/>
    </h9a1eb4c7bd54efca9d2a6b83ebb485f>
  </documentManagement>
</p:properties>
</file>

<file path=customXml/itemProps1.xml><?xml version="1.0" encoding="utf-8"?>
<ds:datastoreItem xmlns:ds="http://schemas.openxmlformats.org/officeDocument/2006/customXml" ds:itemID="{7638D5B7-9624-40E4-92AB-FD6959695FBD}">
  <ds:schemaRefs>
    <ds:schemaRef ds:uri="http://schemas.openxmlformats.org/officeDocument/2006/bibliography"/>
  </ds:schemaRefs>
</ds:datastoreItem>
</file>

<file path=customXml/itemProps2.xml><?xml version="1.0" encoding="utf-8"?>
<ds:datastoreItem xmlns:ds="http://schemas.openxmlformats.org/officeDocument/2006/customXml" ds:itemID="{B28B591A-2817-456C-8367-29168A304F5C}"/>
</file>

<file path=customXml/itemProps3.xml><?xml version="1.0" encoding="utf-8"?>
<ds:datastoreItem xmlns:ds="http://schemas.openxmlformats.org/officeDocument/2006/customXml" ds:itemID="{ACEE2A3B-686A-4C40-8EB3-DD48B52084AD}"/>
</file>

<file path=customXml/itemProps4.xml><?xml version="1.0" encoding="utf-8"?>
<ds:datastoreItem xmlns:ds="http://schemas.openxmlformats.org/officeDocument/2006/customXml" ds:itemID="{4529096E-2412-484D-8EEA-953CF00B37E4}"/>
</file>

<file path=docProps/app.xml><?xml version="1.0" encoding="utf-8"?>
<Properties xmlns="http://schemas.openxmlformats.org/officeDocument/2006/extended-properties" xmlns:vt="http://schemas.openxmlformats.org/officeDocument/2006/docPropsVTypes">
  <Template>Normal</Template>
  <TotalTime>0</TotalTime>
  <Pages>11</Pages>
  <Words>3404</Words>
  <Characters>21451</Characters>
  <Application>Microsoft Office Word</Application>
  <DocSecurity>0</DocSecurity>
  <Lines>178</Lines>
  <Paragraphs>49</Paragraphs>
  <ScaleCrop>false</ScaleCrop>
  <HeadingPairs>
    <vt:vector size="2" baseType="variant">
      <vt:variant>
        <vt:lpstr>Titel</vt:lpstr>
      </vt:variant>
      <vt:variant>
        <vt:i4>1</vt:i4>
      </vt:variant>
    </vt:vector>
  </HeadingPairs>
  <TitlesOfParts>
    <vt:vector size="1" baseType="lpstr">
      <vt:lpstr/>
    </vt:vector>
  </TitlesOfParts>
  <Company>Eisenberger &amp; Herzog Rechtsanwalts GmbH</Company>
  <LinksUpToDate>false</LinksUpToDate>
  <CharactersWithSpaces>24806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Kyoni Mbuya Yolande</cp:lastModifiedBy>
  <cp:revision>2</cp:revision>
  <cp:lastPrinted>2021-07-26T08:07:00Z</cp:lastPrinted>
  <dcterms:created xsi:type="dcterms:W3CDTF">2021-07-29T10:51:00Z</dcterms:created>
  <dcterms:modified xsi:type="dcterms:W3CDTF">2021-07-29T10:51:00Z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6b624cd0-8c50-4d31-8a30-57ddd582d907</vt:lpwstr>
  </property>
  <property fmtid="{D5CDD505-2E9C-101B-9397-08002B2CF9AE}" pid="3" name="ContentTypeId">
    <vt:lpwstr>0x01010400988603A364794F7AA753E65AAE73280500D7855E997C7CD547BAA84FB5C436F0EB</vt:lpwstr>
  </property>
</Properties>
</file>