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2EEDA1" w14:textId="4A370B73" w:rsidR="00A70BDC" w:rsidRPr="008D716D" w:rsidRDefault="00F60110" w:rsidP="008D716D">
      <w:pPr>
        <w:tabs>
          <w:tab w:val="left" w:pos="6804"/>
        </w:tabs>
        <w:spacing w:line="360" w:lineRule="auto"/>
        <w:rPr>
          <w:rFonts w:asciiTheme="minorHAnsi" w:hAnsiTheme="minorHAnsi" w:cstheme="minorHAnsi"/>
          <w:sz w:val="22"/>
          <w:szCs w:val="22"/>
        </w:rPr>
      </w:pPr>
      <w:r w:rsidRPr="008D716D">
        <w:rPr>
          <w:rFonts w:asciiTheme="minorHAnsi" w:hAnsiTheme="minorHAnsi" w:cstheme="minorHAnsi"/>
          <w:b/>
          <w:sz w:val="22"/>
          <w:szCs w:val="22"/>
        </w:rPr>
        <w:tab/>
      </w:r>
    </w:p>
    <w:p w14:paraId="1BD9F990" w14:textId="5F2D3336" w:rsidR="001662BE" w:rsidRPr="008D716D" w:rsidRDefault="009E2598" w:rsidP="00FF79DE">
      <w:pPr>
        <w:pStyle w:val="EH-1"/>
        <w:rPr>
          <w:rFonts w:asciiTheme="minorHAnsi" w:hAnsiTheme="minorHAnsi" w:cstheme="minorHAnsi"/>
          <w:u w:val="single"/>
        </w:rPr>
      </w:pPr>
      <w:r w:rsidRPr="008D716D">
        <w:rPr>
          <w:rFonts w:asciiTheme="minorHAnsi" w:hAnsiTheme="minorHAnsi" w:cstheme="minorHAnsi"/>
          <w:u w:val="single"/>
        </w:rPr>
        <w:t>Stellungnahme</w:t>
      </w:r>
      <w:r w:rsidR="001453BD" w:rsidRPr="008D716D">
        <w:rPr>
          <w:rFonts w:asciiTheme="minorHAnsi" w:hAnsiTheme="minorHAnsi" w:cstheme="minorHAnsi"/>
          <w:u w:val="single"/>
        </w:rPr>
        <w:t xml:space="preserve"> </w:t>
      </w:r>
      <w:r w:rsidR="00E84B11" w:rsidRPr="008D716D">
        <w:rPr>
          <w:rFonts w:asciiTheme="minorHAnsi" w:hAnsiTheme="minorHAnsi" w:cstheme="minorHAnsi"/>
          <w:u w:val="single"/>
        </w:rPr>
        <w:t>DES Wiener Stadtwerke Konzerns</w:t>
      </w:r>
    </w:p>
    <w:p w14:paraId="1CBD5BF4" w14:textId="09A381C8" w:rsidR="00833564" w:rsidRDefault="001453BD" w:rsidP="008D716D">
      <w:pPr>
        <w:pStyle w:val="EH-1"/>
        <w:rPr>
          <w:rFonts w:asciiTheme="minorHAnsi" w:hAnsiTheme="minorHAnsi" w:cstheme="minorHAnsi"/>
          <w:u w:val="single"/>
        </w:rPr>
      </w:pPr>
      <w:r w:rsidRPr="008D716D">
        <w:rPr>
          <w:rFonts w:asciiTheme="minorHAnsi" w:hAnsiTheme="minorHAnsi" w:cstheme="minorHAnsi"/>
          <w:u w:val="single"/>
        </w:rPr>
        <w:t>zum Entwurf der Leitlinien für staatliche Klima-, Umweltschutz- und Energiebeihilfen 202</w:t>
      </w:r>
      <w:r w:rsidR="00E265B5" w:rsidRPr="008D716D">
        <w:rPr>
          <w:rFonts w:asciiTheme="minorHAnsi" w:hAnsiTheme="minorHAnsi" w:cstheme="minorHAnsi"/>
          <w:u w:val="single"/>
        </w:rPr>
        <w:t>2</w:t>
      </w:r>
      <w:bookmarkStart w:id="0" w:name="_Ref294080768"/>
      <w:bookmarkStart w:id="1" w:name="_Ref294088660"/>
      <w:bookmarkStart w:id="2" w:name="_Toc295340989"/>
    </w:p>
    <w:p w14:paraId="60B685D5" w14:textId="77777777" w:rsidR="008D716D" w:rsidRPr="008D716D" w:rsidRDefault="008D716D" w:rsidP="008D716D">
      <w:pPr>
        <w:pStyle w:val="EH-1"/>
        <w:rPr>
          <w:rFonts w:asciiTheme="minorHAnsi" w:hAnsiTheme="minorHAnsi" w:cstheme="minorHAnsi"/>
          <w:u w:val="single"/>
        </w:rPr>
      </w:pPr>
    </w:p>
    <w:p w14:paraId="6C8E6839" w14:textId="7A9762FC" w:rsidR="00974B09" w:rsidRPr="008D716D" w:rsidRDefault="00A70BDC" w:rsidP="00FF79DE">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t>Die Europäische Kommission</w:t>
      </w:r>
      <w:r w:rsidR="009F00D3" w:rsidRPr="008D716D">
        <w:rPr>
          <w:rFonts w:asciiTheme="minorHAnsi" w:hAnsiTheme="minorHAnsi" w:cstheme="minorHAnsi"/>
          <w:lang w:val="de-AT"/>
        </w:rPr>
        <w:t xml:space="preserve"> (in der Folge </w:t>
      </w:r>
      <w:r w:rsidR="009F00D3" w:rsidRPr="008D716D">
        <w:rPr>
          <w:rFonts w:asciiTheme="minorHAnsi" w:hAnsiTheme="minorHAnsi" w:cstheme="minorHAnsi"/>
          <w:b/>
          <w:i/>
          <w:lang w:val="de-AT"/>
        </w:rPr>
        <w:t>Kommission</w:t>
      </w:r>
      <w:r w:rsidR="009F00D3" w:rsidRPr="008D716D">
        <w:rPr>
          <w:rFonts w:asciiTheme="minorHAnsi" w:hAnsiTheme="minorHAnsi" w:cstheme="minorHAnsi"/>
          <w:lang w:val="de-AT"/>
        </w:rPr>
        <w:t>)</w:t>
      </w:r>
      <w:r w:rsidRPr="008D716D">
        <w:rPr>
          <w:rFonts w:asciiTheme="minorHAnsi" w:hAnsiTheme="minorHAnsi" w:cstheme="minorHAnsi"/>
          <w:lang w:val="de-AT"/>
        </w:rPr>
        <w:t xml:space="preserve"> hat am 07.06.2021 eine öffentliche Konsultation eingeleitet, in der Interessierten die Möglichkeit </w:t>
      </w:r>
      <w:r w:rsidR="00414CA4" w:rsidRPr="008D716D">
        <w:rPr>
          <w:rFonts w:asciiTheme="minorHAnsi" w:hAnsiTheme="minorHAnsi" w:cstheme="minorHAnsi"/>
          <w:lang w:val="de-AT"/>
        </w:rPr>
        <w:t>geboten</w:t>
      </w:r>
      <w:r w:rsidRPr="008D716D">
        <w:rPr>
          <w:rFonts w:asciiTheme="minorHAnsi" w:hAnsiTheme="minorHAnsi" w:cstheme="minorHAnsi"/>
          <w:lang w:val="de-AT"/>
        </w:rPr>
        <w:t xml:space="preserve"> wird, bis zum 02.08.2021 zum Entwurf der </w:t>
      </w:r>
      <w:r w:rsidR="00010310" w:rsidRPr="008D716D">
        <w:rPr>
          <w:rFonts w:asciiTheme="minorHAnsi" w:hAnsiTheme="minorHAnsi" w:cstheme="minorHAnsi"/>
          <w:lang w:val="de-AT"/>
        </w:rPr>
        <w:t xml:space="preserve">Leitlinien für staatliche Klima-, Umweltschutz- und Energiebeihilfen 2022 </w:t>
      </w:r>
      <w:r w:rsidR="009F00D3" w:rsidRPr="008D716D">
        <w:rPr>
          <w:rFonts w:asciiTheme="minorHAnsi" w:hAnsiTheme="minorHAnsi" w:cstheme="minorHAnsi"/>
          <w:lang w:val="de-AT"/>
        </w:rPr>
        <w:t xml:space="preserve">(in der Folge </w:t>
      </w:r>
      <w:r w:rsidR="009F00D3" w:rsidRPr="008D716D">
        <w:rPr>
          <w:rFonts w:asciiTheme="minorHAnsi" w:hAnsiTheme="minorHAnsi" w:cstheme="minorHAnsi"/>
          <w:b/>
          <w:i/>
          <w:lang w:val="de-AT"/>
        </w:rPr>
        <w:t>Leitlinien</w:t>
      </w:r>
      <w:r w:rsidR="009F00D3" w:rsidRPr="008D716D">
        <w:rPr>
          <w:rFonts w:asciiTheme="minorHAnsi" w:hAnsiTheme="minorHAnsi" w:cstheme="minorHAnsi"/>
          <w:lang w:val="de-AT"/>
        </w:rPr>
        <w:t xml:space="preserve">) </w:t>
      </w:r>
      <w:r w:rsidRPr="008D716D">
        <w:rPr>
          <w:rFonts w:asciiTheme="minorHAnsi" w:hAnsiTheme="minorHAnsi" w:cstheme="minorHAnsi"/>
          <w:lang w:val="de-AT"/>
        </w:rPr>
        <w:t xml:space="preserve">Stellung zu nehmen. </w:t>
      </w:r>
      <w:r w:rsidR="000F51AD" w:rsidRPr="008D716D">
        <w:rPr>
          <w:rFonts w:asciiTheme="minorHAnsi" w:hAnsiTheme="minorHAnsi" w:cstheme="minorHAnsi"/>
          <w:lang w:val="de-AT"/>
        </w:rPr>
        <w:t xml:space="preserve">Mithilfe der Leitlinien sollen die ehemaligen Leitlinien für staatliche Umweltschutz- und Energiebeihilfen (in der Folge </w:t>
      </w:r>
      <w:r w:rsidR="000F51AD" w:rsidRPr="008D716D">
        <w:rPr>
          <w:rFonts w:asciiTheme="minorHAnsi" w:hAnsiTheme="minorHAnsi" w:cstheme="minorHAnsi"/>
          <w:b/>
          <w:i/>
          <w:lang w:val="de-AT"/>
        </w:rPr>
        <w:t>Vorgängerleitlinien</w:t>
      </w:r>
      <w:r w:rsidR="000F51AD" w:rsidRPr="008D716D">
        <w:rPr>
          <w:rFonts w:asciiTheme="minorHAnsi" w:hAnsiTheme="minorHAnsi" w:cstheme="minorHAnsi"/>
          <w:lang w:val="de-AT"/>
        </w:rPr>
        <w:t xml:space="preserve">) ersetzt werden. </w:t>
      </w:r>
    </w:p>
    <w:p w14:paraId="50958648" w14:textId="72826D67" w:rsidR="00CE3FA5" w:rsidRPr="008D716D" w:rsidRDefault="00CE3FA5" w:rsidP="00FF79DE">
      <w:pPr>
        <w:pStyle w:val="EH-Text"/>
        <w:spacing w:after="240" w:line="360" w:lineRule="auto"/>
        <w:ind w:left="0"/>
        <w:rPr>
          <w:rFonts w:asciiTheme="minorHAnsi" w:hAnsiTheme="minorHAnsi" w:cstheme="minorHAnsi"/>
          <w:lang w:val="de-AT"/>
        </w:rPr>
      </w:pPr>
      <w:r w:rsidRPr="008D716D">
        <w:rPr>
          <w:rFonts w:asciiTheme="minorHAnsi" w:hAnsiTheme="minorHAnsi" w:cstheme="minorHAnsi"/>
          <w:lang w:val="de-AT"/>
        </w:rPr>
        <w:t xml:space="preserve">Der Wiener Stadtwerke Konzern begrüßt die Absicht der Kommission die Leitlinien für staatliche Beihilfen für Klima-, Umweltschutz und Energie zu revidieren. Der Übergang zu einem grüneren Wirtschaftssystem erfordert enorme finanzielle Ressourcen. Allein im Energiesektor sind nach Schätzungen der EU jährlich mehr als 350 Mrd. EUR an zusätzlichen Investitionen erforderlich, um die Ziele für 2030 zu erreichen. Dies erfordert eine rasche Aufnahme öffentlicher und privater Investitionen in umweltfreundliche Technologien bzw. Übergangstechnologien. Ein schnelleres und unbürokratischeres Vorgehen bei der Prüfung und Genehmigung von staatlichen Beihilfen für diese notwendigen Investitionen wird daher begrüßt. </w:t>
      </w:r>
    </w:p>
    <w:p w14:paraId="62F77E79" w14:textId="77777777" w:rsidR="00833564" w:rsidRPr="008D716D" w:rsidRDefault="00833564" w:rsidP="00FF79DE">
      <w:pPr>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theme="minorHAnsi"/>
          <w:b/>
          <w:sz w:val="28"/>
          <w:szCs w:val="28"/>
        </w:rPr>
      </w:pPr>
      <w:r w:rsidRPr="008D716D">
        <w:rPr>
          <w:rFonts w:asciiTheme="minorHAnsi" w:hAnsiTheme="minorHAnsi" w:cstheme="minorHAnsi"/>
          <w:b/>
          <w:sz w:val="28"/>
          <w:szCs w:val="28"/>
        </w:rPr>
        <w:t>Einleitende Bemerkungen</w:t>
      </w:r>
    </w:p>
    <w:p w14:paraId="114E0EB8" w14:textId="77777777" w:rsidR="00833564" w:rsidRPr="008D716D" w:rsidRDefault="00833564" w:rsidP="00FF79DE">
      <w:pPr>
        <w:pStyle w:val="EH-Text"/>
        <w:spacing w:after="160" w:line="360" w:lineRule="auto"/>
        <w:ind w:left="0"/>
        <w:rPr>
          <w:rFonts w:asciiTheme="minorHAnsi" w:hAnsiTheme="minorHAnsi" w:cstheme="minorHAnsi"/>
          <w:lang w:val="de-AT"/>
        </w:rPr>
      </w:pPr>
    </w:p>
    <w:p w14:paraId="138A5EDC" w14:textId="77598CCB" w:rsidR="00833564" w:rsidRPr="008D716D" w:rsidRDefault="00833564"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Der Kommissionsentwurf der neuen Leitlinien enthält nach Ansicht des Wiener Stadtwerke Konzerns durchwegs sinnvolle Ansätze und eine für die Praxis hilfreiche Kodifikation bestehender Entscheidungspraxis. Besonders erfreulich ist dabei, dass die Kommission auch auf die marktbedingten Besonderheiten im Energiesektor Rücksicht nimmt und auf ein ökologisch sinnvolles Gesamtpaket abstellt. </w:t>
      </w:r>
    </w:p>
    <w:p w14:paraId="7F085601" w14:textId="773389A5" w:rsidR="00833564" w:rsidRPr="008D716D" w:rsidRDefault="00833564" w:rsidP="00FF79DE">
      <w:pPr>
        <w:pStyle w:val="EH-Text"/>
        <w:numPr>
          <w:ilvl w:val="0"/>
          <w:numId w:val="21"/>
        </w:numPr>
        <w:spacing w:after="160" w:line="360" w:lineRule="auto"/>
        <w:rPr>
          <w:rFonts w:asciiTheme="minorHAnsi" w:hAnsiTheme="minorHAnsi" w:cstheme="minorHAnsi"/>
        </w:rPr>
      </w:pPr>
      <w:r w:rsidRPr="008D716D">
        <w:rPr>
          <w:rFonts w:asciiTheme="minorHAnsi" w:hAnsiTheme="minorHAnsi" w:cstheme="minorHAnsi"/>
        </w:rPr>
        <w:lastRenderedPageBreak/>
        <w:t xml:space="preserve">Ganz im Geiste dessen wäre es aus Praxissicht noch sinnvoll, im Hinblick auf Beihilfen zur Förderung erneuerbarer Energien weitere Präzisierungen gerade für größere Investitionen vorzusehen. Diese amortisieren sich häufig erst nach langen Betrachtungszeiträumen, sodass die im aktuellen Entwurf der Leitlinien vorgesehene jährliche Prüfung des Förderbedarfs wenig sinnvoll erscheint. Dementsprechend sollten Beihilfen für größere Investitionen in erneuerbare Energien nach Ansicht </w:t>
      </w:r>
      <w:r w:rsidR="0052385C" w:rsidRPr="008D716D">
        <w:rPr>
          <w:rFonts w:asciiTheme="minorHAnsi" w:hAnsiTheme="minorHAnsi" w:cstheme="minorHAnsi"/>
        </w:rPr>
        <w:t>des Wiener Stadtwerke Konzerns</w:t>
      </w:r>
      <w:r w:rsidRPr="008D716D">
        <w:rPr>
          <w:rFonts w:asciiTheme="minorHAnsi" w:hAnsiTheme="minorHAnsi" w:cstheme="minorHAnsi"/>
        </w:rPr>
        <w:t xml:space="preserve"> von dieser Prüfung explizit ausgenommen werden.</w:t>
      </w:r>
    </w:p>
    <w:p w14:paraId="745BCD31" w14:textId="1B9A2F24" w:rsidR="00833564" w:rsidRPr="008D716D" w:rsidRDefault="00833564" w:rsidP="00FF79DE">
      <w:pPr>
        <w:pStyle w:val="EH-Text"/>
        <w:numPr>
          <w:ilvl w:val="0"/>
          <w:numId w:val="21"/>
        </w:numPr>
        <w:spacing w:after="160" w:line="360" w:lineRule="auto"/>
        <w:rPr>
          <w:rFonts w:asciiTheme="minorHAnsi" w:hAnsiTheme="minorHAnsi" w:cstheme="minorHAnsi"/>
        </w:rPr>
      </w:pPr>
      <w:r w:rsidRPr="008D716D">
        <w:rPr>
          <w:rFonts w:asciiTheme="minorHAnsi" w:hAnsiTheme="minorHAnsi" w:cstheme="minorHAnsi"/>
        </w:rPr>
        <w:t>Um diese Prozesse zu beschleunigen, braucht es weniger Bürokratie und den Abbau langwieriger Genehmigungsprozesse sowie mehr Spielraum in Bezug auf die Kriterien. Leider scheint dies nicht in allen Bereichen des Leitlinienentwurfs</w:t>
      </w:r>
      <w:r w:rsidR="00DF59AE" w:rsidRPr="008D716D">
        <w:rPr>
          <w:rFonts w:asciiTheme="minorHAnsi" w:hAnsiTheme="minorHAnsi" w:cstheme="minorHAnsi"/>
        </w:rPr>
        <w:t xml:space="preserve"> Eingang gefunden zu haben</w:t>
      </w:r>
      <w:r w:rsidRPr="008D716D">
        <w:rPr>
          <w:rFonts w:asciiTheme="minorHAnsi" w:hAnsiTheme="minorHAnsi" w:cstheme="minorHAnsi"/>
        </w:rPr>
        <w:t>. Ein Beispiel für möglicherweise neue bürokratische Hürden ist die Einführung einer obligatorischen öffentlichen Anhörung und die Verpflichtung zu wettbewerblichen Ausschreibungsverfahren für alle Fördermittel zur Reduzierung von Treibhausgasemissionen</w:t>
      </w:r>
      <w:r w:rsidR="00DF59AE" w:rsidRPr="008D716D">
        <w:rPr>
          <w:rFonts w:asciiTheme="minorHAnsi" w:hAnsiTheme="minorHAnsi" w:cstheme="minorHAnsi"/>
        </w:rPr>
        <w:t xml:space="preserve">. </w:t>
      </w:r>
      <w:r w:rsidR="009B51AC" w:rsidRPr="008D716D">
        <w:rPr>
          <w:rFonts w:asciiTheme="minorHAnsi" w:hAnsiTheme="minorHAnsi" w:cstheme="minorHAnsi"/>
        </w:rPr>
        <w:t>Der konkrete Ablauf dieser Bieterverfahren bleibt uns unklar – u.a. auch beim Kauf sauberer Fahrzeuge. Hier bedarf es Präzisierungen. Generell halten wir die Verpflichtung zu obligatorischen zusätzlichen öffentlichen Konsultationen für kontraproduktiv, da sie den Prozess verzögern. Ausschreibungsverfahren sind nicht für alle Sektoren und Investitionen geeignet.</w:t>
      </w:r>
    </w:p>
    <w:p w14:paraId="26BC7CB4" w14:textId="2766BD2F" w:rsidR="00500224" w:rsidRPr="008D716D" w:rsidRDefault="00500224" w:rsidP="00FF79DE">
      <w:pPr>
        <w:pStyle w:val="EH-Text"/>
        <w:numPr>
          <w:ilvl w:val="0"/>
          <w:numId w:val="21"/>
        </w:numPr>
        <w:spacing w:after="160" w:line="360" w:lineRule="auto"/>
        <w:rPr>
          <w:rFonts w:asciiTheme="minorHAnsi" w:hAnsiTheme="minorHAnsi" w:cstheme="minorHAnsi"/>
        </w:rPr>
      </w:pPr>
      <w:r w:rsidRPr="008D716D">
        <w:rPr>
          <w:rFonts w:asciiTheme="minorHAnsi" w:hAnsiTheme="minorHAnsi" w:cstheme="minorHAnsi"/>
        </w:rPr>
        <w:t xml:space="preserve">Die Unterscheidung zwischen schädlichen fossilen Brennstoffen, nämlich Öl und Kohle auf der einen und Gas auf der anderen Seite, wird geschätzt. Wir begrüßen, dass Brückentechnologien wie Gasanwendungen explizit erwähnt und anerkannt werden, da ohne diese Technologien ein reibungsloser Übergang zu einem grüneren Energiesystem nicht möglich sein wird. Es wird </w:t>
      </w:r>
      <w:r w:rsidR="0052385C" w:rsidRPr="008D716D">
        <w:rPr>
          <w:rFonts w:asciiTheme="minorHAnsi" w:hAnsiTheme="minorHAnsi" w:cstheme="minorHAnsi"/>
        </w:rPr>
        <w:t>begrüßt</w:t>
      </w:r>
      <w:r w:rsidRPr="008D716D">
        <w:rPr>
          <w:rFonts w:asciiTheme="minorHAnsi" w:hAnsiTheme="minorHAnsi" w:cstheme="minorHAnsi"/>
        </w:rPr>
        <w:t xml:space="preserve">, dass Investitionen in die Gasinfrastruktur für staatliche Beihilfen in Betracht gezogen werden können, wenn die Mitgliedstaaten nachweisen, dass Lock-in - Effekte vermieden werden und der Weg in Richtung der Klimaziele nicht gefährdet wird. </w:t>
      </w:r>
    </w:p>
    <w:p w14:paraId="1635E391" w14:textId="6C203E4E" w:rsidR="00D43E2E" w:rsidRPr="008D716D" w:rsidRDefault="00D43E2E" w:rsidP="00FF79DE">
      <w:pPr>
        <w:pStyle w:val="EH-Text"/>
        <w:numPr>
          <w:ilvl w:val="0"/>
          <w:numId w:val="21"/>
        </w:numPr>
        <w:spacing w:after="160" w:line="360" w:lineRule="auto"/>
        <w:rPr>
          <w:rFonts w:asciiTheme="minorHAnsi" w:hAnsiTheme="minorHAnsi" w:cstheme="minorHAnsi"/>
        </w:rPr>
      </w:pPr>
      <w:r w:rsidRPr="008D716D">
        <w:rPr>
          <w:rFonts w:asciiTheme="minorHAnsi" w:hAnsiTheme="minorHAnsi" w:cstheme="minorHAnsi"/>
        </w:rPr>
        <w:t>Eine Verknüpfung der Leitlinien mit den Kriterien für nachhaltige Anlagen in der Taxonomie-Verordnung (2020/852/EU) sollte vermieden werden, da einige der delegierten Rechtsakte erst Mitte 2022 veröffentlicht werden. Darüber hinaus sind einige der tech</w:t>
      </w:r>
      <w:r w:rsidRPr="008D716D">
        <w:rPr>
          <w:rFonts w:asciiTheme="minorHAnsi" w:hAnsiTheme="minorHAnsi" w:cstheme="minorHAnsi"/>
        </w:rPr>
        <w:lastRenderedPageBreak/>
        <w:t>nischen Screening-Kriterien für die „</w:t>
      </w:r>
      <w:r w:rsidRPr="008D716D">
        <w:rPr>
          <w:rFonts w:asciiTheme="minorHAnsi" w:hAnsiTheme="minorHAnsi" w:cstheme="minorHAnsi"/>
          <w:i/>
          <w:iCs/>
        </w:rPr>
        <w:t>do no significant harm</w:t>
      </w:r>
      <w:r w:rsidRPr="008D716D">
        <w:rPr>
          <w:rFonts w:asciiTheme="minorHAnsi" w:hAnsiTheme="minorHAnsi" w:cstheme="minorHAnsi"/>
        </w:rPr>
        <w:t>“ Kriterien unverhältnismäßig streng und die Details für Übergangstechnologien sind noch nicht geklärt. Daher sollte klargestellt werden, dass die „</w:t>
      </w:r>
      <w:r w:rsidRPr="008D716D">
        <w:rPr>
          <w:rFonts w:asciiTheme="minorHAnsi" w:hAnsiTheme="minorHAnsi" w:cstheme="minorHAnsi"/>
          <w:i/>
          <w:iCs/>
        </w:rPr>
        <w:t>do no significant harm</w:t>
      </w:r>
      <w:r w:rsidRPr="008D716D">
        <w:rPr>
          <w:rFonts w:asciiTheme="minorHAnsi" w:hAnsiTheme="minorHAnsi" w:cstheme="minorHAnsi"/>
        </w:rPr>
        <w:t>“ Kriterien für die Beurteilung der Umwelteinwirkungen herangezogen werden können, sie sollten</w:t>
      </w:r>
      <w:r w:rsidR="0052385C" w:rsidRPr="008D716D">
        <w:rPr>
          <w:rFonts w:asciiTheme="minorHAnsi" w:hAnsiTheme="minorHAnsi" w:cstheme="minorHAnsi"/>
        </w:rPr>
        <w:t xml:space="preserve"> allerdings</w:t>
      </w:r>
      <w:r w:rsidRPr="008D716D">
        <w:rPr>
          <w:rFonts w:asciiTheme="minorHAnsi" w:hAnsiTheme="minorHAnsi" w:cstheme="minorHAnsi"/>
        </w:rPr>
        <w:t xml:space="preserve"> nicht für die Genehmigung staatlicher Beihilfen entscheidend sein.</w:t>
      </w:r>
    </w:p>
    <w:p w14:paraId="036966BA" w14:textId="75F57798" w:rsidR="00833564" w:rsidRPr="008D716D" w:rsidRDefault="00833564" w:rsidP="00FF79DE">
      <w:pPr>
        <w:pStyle w:val="EH-Text"/>
        <w:numPr>
          <w:ilvl w:val="0"/>
          <w:numId w:val="21"/>
        </w:numPr>
        <w:spacing w:after="160" w:line="360" w:lineRule="auto"/>
        <w:rPr>
          <w:rFonts w:asciiTheme="minorHAnsi" w:hAnsiTheme="minorHAnsi" w:cstheme="minorHAnsi"/>
        </w:rPr>
      </w:pPr>
      <w:r w:rsidRPr="008D716D">
        <w:rPr>
          <w:rFonts w:asciiTheme="minorHAnsi" w:hAnsiTheme="minorHAnsi" w:cstheme="minorHAnsi"/>
        </w:rPr>
        <w:t xml:space="preserve">Begrüßenswert ist – nicht zuletzt vor dem Hintergrund der jüngst von der Kommission genehmigten österreichischen Netzreserve – der Stellenwert, den die Leitlinien den Maßnahmen zur Gewährleistung der Stromversorgungssicherheit beimessen. Hier wären </w:t>
      </w:r>
      <w:r w:rsidR="008E49CF">
        <w:rPr>
          <w:rFonts w:asciiTheme="minorHAnsi" w:hAnsiTheme="minorHAnsi" w:cstheme="minorHAnsi"/>
        </w:rPr>
        <w:t>aus unserer Sicht</w:t>
      </w:r>
      <w:r w:rsidRPr="008D716D">
        <w:rPr>
          <w:rFonts w:asciiTheme="minorHAnsi" w:hAnsiTheme="minorHAnsi" w:cstheme="minorHAnsi"/>
        </w:rPr>
        <w:t xml:space="preserve"> allerdings noch einige Präzisierungen im Zusammenhang mit der Vorhaltung derartiger strategischer Reserven außerhalb des Marktes erforderlich. Im derzeitigen Entwurf der Leitlinien werden hierzu diverse Themenbereiche ohne die gebotene Differenzierung gemeinsam behandelt. Insbesondere sollte hierzu klargestellt werden, dass eine Vorhaltung außerhalb des Marktes lediglich für jenen Zeitraum erforderlich ist, in dem auch eine Vergütung aus der strategischen Reserve bezogen </w:t>
      </w:r>
      <w:r w:rsidR="0052385C" w:rsidRPr="008D716D">
        <w:rPr>
          <w:rFonts w:asciiTheme="minorHAnsi" w:hAnsiTheme="minorHAnsi" w:cstheme="minorHAnsi"/>
        </w:rPr>
        <w:t>wird</w:t>
      </w:r>
      <w:r w:rsidRPr="008D716D">
        <w:rPr>
          <w:rFonts w:asciiTheme="minorHAnsi" w:hAnsiTheme="minorHAnsi" w:cstheme="minorHAnsi"/>
        </w:rPr>
        <w:t>.</w:t>
      </w:r>
    </w:p>
    <w:p w14:paraId="022B0B29" w14:textId="38E0A127" w:rsidR="002E33C6" w:rsidRPr="008D716D" w:rsidRDefault="002E33C6" w:rsidP="00FF79DE">
      <w:pPr>
        <w:pStyle w:val="EH-Text"/>
        <w:numPr>
          <w:ilvl w:val="0"/>
          <w:numId w:val="21"/>
        </w:numPr>
        <w:spacing w:after="160" w:line="360" w:lineRule="auto"/>
        <w:rPr>
          <w:rFonts w:asciiTheme="minorHAnsi" w:hAnsiTheme="minorHAnsi" w:cstheme="minorHAnsi"/>
        </w:rPr>
      </w:pPr>
      <w:r w:rsidRPr="008D716D">
        <w:rPr>
          <w:rFonts w:asciiTheme="minorHAnsi" w:hAnsiTheme="minorHAnsi" w:cstheme="minorHAnsi"/>
        </w:rPr>
        <w:t xml:space="preserve">Smart Grids im Strom- und Gassektor werden für die Erreichung der Ziele des European Green Deal von entscheidender Bedeutung sein, daher begrüßen wir ihre ausdrückliche Erwähnung in den Leitlinien. Gleiches gilt für die Erwähnung von „Verteilernetzen zur lokalen Verteilung von Wasserstoff“ im entsprechenden Abschnitt. </w:t>
      </w:r>
    </w:p>
    <w:p w14:paraId="267ECFC1" w14:textId="77777777" w:rsidR="00833564" w:rsidRPr="008D716D" w:rsidRDefault="00833564" w:rsidP="00FF79DE">
      <w:pPr>
        <w:pStyle w:val="EH-Text"/>
        <w:numPr>
          <w:ilvl w:val="0"/>
          <w:numId w:val="21"/>
        </w:numPr>
        <w:spacing w:after="160" w:line="360" w:lineRule="auto"/>
        <w:rPr>
          <w:rFonts w:asciiTheme="minorHAnsi" w:hAnsiTheme="minorHAnsi" w:cstheme="minorHAnsi"/>
        </w:rPr>
      </w:pPr>
      <w:r w:rsidRPr="008D716D">
        <w:rPr>
          <w:rFonts w:asciiTheme="minorHAnsi" w:hAnsiTheme="minorHAnsi" w:cstheme="minorHAnsi"/>
        </w:rPr>
        <w:t xml:space="preserve">Was die Förderung von Anlagen zur Erzeugung von Fernwärme bzw. Fernkälte anbelangt, zeigt die Erfahrung, dass auch die Nutzung von Erdgas zur Energiegewinnung insgesamt ökologisch förderwürdig sein kann. Dies ist insbesondere dann der Fall, wenn Erdgasanlagen die Nutzung von Anlagen zur Verbrennung </w:t>
      </w:r>
      <w:r w:rsidRPr="008D716D">
        <w:rPr>
          <w:rFonts w:asciiTheme="minorHAnsi" w:hAnsiTheme="minorHAnsi" w:cstheme="minorHAnsi"/>
          <w:lang w:val="de-AT"/>
        </w:rPr>
        <w:t xml:space="preserve">der umweltschädlichsten fossilen Brennstoffe wie Steinkohle, Braunkohle, Öl und Diesel </w:t>
      </w:r>
      <w:r w:rsidRPr="008D716D">
        <w:rPr>
          <w:rFonts w:asciiTheme="minorHAnsi" w:hAnsiTheme="minorHAnsi" w:cstheme="minorHAnsi"/>
        </w:rPr>
        <w:t xml:space="preserve">ersetzen. Dieser umweltpolitisch durchwegs sinnvolle Zwischenschritt sollte im Sinne der Rechtssicherheit auch in den Leitlinien Niederschlag finden. </w:t>
      </w:r>
    </w:p>
    <w:p w14:paraId="09265AF2" w14:textId="24C07FD7" w:rsidR="004C4EB8" w:rsidRDefault="00833564" w:rsidP="00FF79DE">
      <w:pPr>
        <w:pStyle w:val="EH-Text"/>
        <w:numPr>
          <w:ilvl w:val="0"/>
          <w:numId w:val="21"/>
        </w:numPr>
        <w:spacing w:after="160" w:line="360" w:lineRule="auto"/>
        <w:rPr>
          <w:rFonts w:asciiTheme="minorHAnsi" w:hAnsiTheme="minorHAnsi" w:cstheme="minorHAnsi"/>
        </w:rPr>
      </w:pPr>
      <w:r w:rsidRPr="008D716D">
        <w:rPr>
          <w:rFonts w:asciiTheme="minorHAnsi" w:hAnsiTheme="minorHAnsi" w:cstheme="minorHAnsi"/>
        </w:rPr>
        <w:t xml:space="preserve">Hinsichtlich der Behandlung von (Umwelt)Steuerermäßigungen als Beihilfe stellt erfahrungsgemäß die beihilferechtliche Einordnung von Steuermaßnahmen im Allgemeinen und das Zusammenspiel mit der Energiebesteuerungsrichtlinie im Bereich des </w:t>
      </w:r>
      <w:r w:rsidRPr="008D716D">
        <w:rPr>
          <w:rFonts w:asciiTheme="minorHAnsi" w:hAnsiTheme="minorHAnsi" w:cstheme="minorHAnsi"/>
        </w:rPr>
        <w:lastRenderedPageBreak/>
        <w:t xml:space="preserve">Energiesektors eine gewisse Herausforderung dar. Auch hierzu wären folglich aus </w:t>
      </w:r>
      <w:r w:rsidR="008E49CF">
        <w:rPr>
          <w:rFonts w:asciiTheme="minorHAnsi" w:hAnsiTheme="minorHAnsi" w:cstheme="minorHAnsi"/>
        </w:rPr>
        <w:t xml:space="preserve">unserer </w:t>
      </w:r>
      <w:r w:rsidRPr="008D716D">
        <w:rPr>
          <w:rFonts w:asciiTheme="minorHAnsi" w:hAnsiTheme="minorHAnsi" w:cstheme="minorHAnsi"/>
        </w:rPr>
        <w:t>Sicht einige klärende Erläuterungen begrüßenswert.</w:t>
      </w:r>
    </w:p>
    <w:p w14:paraId="5D836375" w14:textId="6593114A" w:rsidR="00833564" w:rsidRPr="008D716D" w:rsidRDefault="004C4EB8" w:rsidP="004C4EB8">
      <w:pPr>
        <w:rPr>
          <w:rFonts w:asciiTheme="minorHAnsi" w:hAnsiTheme="minorHAnsi" w:cstheme="minorHAnsi"/>
        </w:rPr>
      </w:pPr>
      <w:r>
        <w:rPr>
          <w:rFonts w:asciiTheme="minorHAnsi" w:hAnsiTheme="minorHAnsi" w:cstheme="minorHAnsi"/>
        </w:rPr>
        <w:br w:type="page"/>
      </w:r>
    </w:p>
    <w:p w14:paraId="277D639A" w14:textId="317DE12F" w:rsidR="00833564" w:rsidRPr="008D716D" w:rsidRDefault="00833564" w:rsidP="00FF79DE">
      <w:pPr>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theme="minorHAnsi"/>
          <w:b/>
          <w:sz w:val="28"/>
          <w:szCs w:val="28"/>
        </w:rPr>
      </w:pPr>
      <w:r w:rsidRPr="008D716D">
        <w:rPr>
          <w:rFonts w:asciiTheme="minorHAnsi" w:hAnsiTheme="minorHAnsi" w:cstheme="minorHAnsi"/>
          <w:b/>
          <w:sz w:val="28"/>
          <w:szCs w:val="28"/>
        </w:rPr>
        <w:lastRenderedPageBreak/>
        <w:t>Inhaltliche Stellungnahme zu einzelnen Aspekten in den Leitlinien</w:t>
      </w:r>
    </w:p>
    <w:p w14:paraId="0E120CBF" w14:textId="77777777" w:rsidR="00833564" w:rsidRPr="008D716D" w:rsidRDefault="00833564" w:rsidP="00FF79DE">
      <w:pPr>
        <w:pStyle w:val="EH-3"/>
        <w:numPr>
          <w:ilvl w:val="0"/>
          <w:numId w:val="0"/>
        </w:numPr>
        <w:spacing w:after="200" w:line="360" w:lineRule="auto"/>
        <w:rPr>
          <w:rFonts w:asciiTheme="minorHAnsi" w:hAnsiTheme="minorHAnsi" w:cstheme="minorHAnsi"/>
        </w:rPr>
      </w:pPr>
      <w:bookmarkStart w:id="3" w:name="_Toc77773405"/>
    </w:p>
    <w:p w14:paraId="27E6CBB7" w14:textId="7010D698" w:rsidR="001453BD" w:rsidRPr="008D716D" w:rsidRDefault="002E33C6" w:rsidP="008D716D">
      <w:pPr>
        <w:pStyle w:val="EH-3"/>
        <w:numPr>
          <w:ilvl w:val="0"/>
          <w:numId w:val="24"/>
        </w:numPr>
        <w:spacing w:after="200" w:line="360" w:lineRule="auto"/>
        <w:rPr>
          <w:rFonts w:asciiTheme="minorHAnsi" w:hAnsiTheme="minorHAnsi" w:cstheme="minorHAnsi"/>
          <w:b/>
          <w:bCs/>
        </w:rPr>
      </w:pPr>
      <w:r w:rsidRPr="008D716D">
        <w:rPr>
          <w:rFonts w:asciiTheme="minorHAnsi" w:hAnsiTheme="minorHAnsi" w:cstheme="minorHAnsi"/>
          <w:b/>
          <w:bCs/>
        </w:rPr>
        <w:t xml:space="preserve">Ad. 4.1: </w:t>
      </w:r>
      <w:r w:rsidR="001453BD" w:rsidRPr="008D716D">
        <w:rPr>
          <w:rFonts w:asciiTheme="minorHAnsi" w:hAnsiTheme="minorHAnsi" w:cstheme="minorHAnsi"/>
          <w:b/>
          <w:bCs/>
        </w:rPr>
        <w:t>Beihilfen zur Verringerung und zum Abbau von Treibhausgasemissionen, u. a. durch</w:t>
      </w:r>
      <w:r w:rsidR="008D716D">
        <w:rPr>
          <w:rFonts w:asciiTheme="minorHAnsi" w:hAnsiTheme="minorHAnsi" w:cstheme="minorHAnsi"/>
          <w:b/>
          <w:bCs/>
        </w:rPr>
        <w:t xml:space="preserve"> die</w:t>
      </w:r>
      <w:r w:rsidR="001453BD" w:rsidRPr="008D716D">
        <w:rPr>
          <w:rFonts w:asciiTheme="minorHAnsi" w:hAnsiTheme="minorHAnsi" w:cstheme="minorHAnsi"/>
          <w:b/>
          <w:bCs/>
        </w:rPr>
        <w:t xml:space="preserve"> Förderung erneuerbarer Energien</w:t>
      </w:r>
      <w:bookmarkEnd w:id="3"/>
    </w:p>
    <w:p w14:paraId="605A5431" w14:textId="16822560" w:rsidR="00C27F8E" w:rsidRPr="008D716D" w:rsidRDefault="005E61BF"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Der Wiener Stadtwerke Konzern begrüßt </w:t>
      </w:r>
      <w:r w:rsidR="000F51AD" w:rsidRPr="008D716D">
        <w:rPr>
          <w:rFonts w:asciiTheme="minorHAnsi" w:hAnsiTheme="minorHAnsi" w:cstheme="minorHAnsi"/>
        </w:rPr>
        <w:t xml:space="preserve">es sehr, dass die Förderung erneuerbarer Energien weiterhin einen hohen Stellenwert in den Leitlinien genießt. </w:t>
      </w:r>
      <w:r w:rsidR="00414CA4" w:rsidRPr="008D716D">
        <w:rPr>
          <w:rFonts w:asciiTheme="minorHAnsi" w:hAnsiTheme="minorHAnsi" w:cstheme="minorHAnsi"/>
        </w:rPr>
        <w:t xml:space="preserve">Besonders positiv fällt auf, </w:t>
      </w:r>
      <w:r w:rsidR="000F51AD" w:rsidRPr="008D716D">
        <w:rPr>
          <w:rFonts w:asciiTheme="minorHAnsi" w:hAnsiTheme="minorHAnsi" w:cstheme="minorHAnsi"/>
        </w:rPr>
        <w:t xml:space="preserve">dass weiterhin auf die komplexen Spezifika des Energiemarktes Rücksicht genommen wird und neben der direkten Förderung der Erzeuger erneuerbarer Energien auch die Unterstützung hocheffizienter </w:t>
      </w:r>
      <w:r w:rsidR="001662BE" w:rsidRPr="008D716D">
        <w:rPr>
          <w:rFonts w:asciiTheme="minorHAnsi" w:hAnsiTheme="minorHAnsi" w:cstheme="minorHAnsi"/>
        </w:rPr>
        <w:t>KWK-Anlagen</w:t>
      </w:r>
      <w:r w:rsidR="000F51AD" w:rsidRPr="008D716D">
        <w:rPr>
          <w:rFonts w:asciiTheme="minorHAnsi" w:hAnsiTheme="minorHAnsi" w:cstheme="minorHAnsi"/>
        </w:rPr>
        <w:t xml:space="preserve"> Erwähnung findet. </w:t>
      </w:r>
      <w:r w:rsidR="00C27F8E" w:rsidRPr="008D716D">
        <w:rPr>
          <w:rFonts w:asciiTheme="minorHAnsi" w:hAnsiTheme="minorHAnsi" w:cstheme="minorHAnsi"/>
        </w:rPr>
        <w:t>Damit setzt die Kommission ein deutliches Signal in Richtung einer wirtschaftlichen Betrachtungsweise.</w:t>
      </w:r>
    </w:p>
    <w:p w14:paraId="3AA7C075" w14:textId="583A3012" w:rsidR="00C27F8E" w:rsidRPr="008D716D" w:rsidRDefault="00C27F8E"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Energiepolitische Projekte sind regelmäßig </w:t>
      </w:r>
      <w:r w:rsidR="005F5AA4" w:rsidRPr="008D716D">
        <w:rPr>
          <w:rFonts w:asciiTheme="minorHAnsi" w:hAnsiTheme="minorHAnsi" w:cstheme="minorHAnsi"/>
        </w:rPr>
        <w:t xml:space="preserve">von folgenden Merkmalen geprägt: Zum einen von dynamischem Fortschritt im Bereich der Klimaziele der Europäischen Union und ihrer Mitgliedstaaten, was auch einen entsprechenden Effekt auf die Entwicklung und Nutzung erneuerbarer Energiequellen hat – zum anderen aber vom Bedarf einer langfristigen Planung und Amortisationsrechnung über die gesamte Laufzeit des Vorhabens. </w:t>
      </w:r>
      <w:r w:rsidRPr="008D716D">
        <w:rPr>
          <w:rFonts w:asciiTheme="minorHAnsi" w:hAnsiTheme="minorHAnsi" w:cstheme="minorHAnsi"/>
        </w:rPr>
        <w:t xml:space="preserve">Der derzeitige Entwurf der Leitlinien nimmt aus </w:t>
      </w:r>
      <w:r w:rsidR="008E49CF">
        <w:rPr>
          <w:rFonts w:asciiTheme="minorHAnsi" w:hAnsiTheme="minorHAnsi" w:cstheme="minorHAnsi"/>
        </w:rPr>
        <w:t xml:space="preserve">unserer </w:t>
      </w:r>
      <w:r w:rsidRPr="008D716D">
        <w:rPr>
          <w:rFonts w:asciiTheme="minorHAnsi" w:hAnsiTheme="minorHAnsi" w:cstheme="minorHAnsi"/>
        </w:rPr>
        <w:t xml:space="preserve">Sicht </w:t>
      </w:r>
      <w:r w:rsidR="005F5AA4" w:rsidRPr="008D716D">
        <w:rPr>
          <w:rFonts w:asciiTheme="minorHAnsi" w:hAnsiTheme="minorHAnsi" w:cstheme="minorHAnsi"/>
        </w:rPr>
        <w:t>darauf nur teilweise</w:t>
      </w:r>
      <w:r w:rsidRPr="008D716D">
        <w:rPr>
          <w:rFonts w:asciiTheme="minorHAnsi" w:hAnsiTheme="minorHAnsi" w:cstheme="minorHAnsi"/>
        </w:rPr>
        <w:t xml:space="preserve"> Rücksicht</w:t>
      </w:r>
      <w:r w:rsidR="005F5AA4" w:rsidRPr="008D716D">
        <w:rPr>
          <w:rFonts w:asciiTheme="minorHAnsi" w:hAnsiTheme="minorHAnsi" w:cstheme="minorHAnsi"/>
        </w:rPr>
        <w:t>:</w:t>
      </w:r>
      <w:r w:rsidRPr="008D716D">
        <w:rPr>
          <w:rFonts w:asciiTheme="minorHAnsi" w:hAnsiTheme="minorHAnsi" w:cstheme="minorHAnsi"/>
        </w:rPr>
        <w:t xml:space="preserve"> </w:t>
      </w:r>
      <w:r w:rsidR="005F5AA4" w:rsidRPr="008D716D">
        <w:rPr>
          <w:rFonts w:asciiTheme="minorHAnsi" w:hAnsiTheme="minorHAnsi" w:cstheme="minorHAnsi"/>
        </w:rPr>
        <w:t>Zwar ist es zu begrüßen, wenn die bislang vorgesehene starre Höchstgrenze</w:t>
      </w:r>
      <w:r w:rsidRPr="008D716D">
        <w:rPr>
          <w:rFonts w:asciiTheme="minorHAnsi" w:hAnsiTheme="minorHAnsi" w:cstheme="minorHAnsi"/>
        </w:rPr>
        <w:t xml:space="preserve"> </w:t>
      </w:r>
      <w:r w:rsidR="005F5AA4" w:rsidRPr="008D716D">
        <w:rPr>
          <w:rFonts w:asciiTheme="minorHAnsi" w:hAnsiTheme="minorHAnsi" w:cstheme="minorHAnsi"/>
        </w:rPr>
        <w:t xml:space="preserve">von 10 Jahren für </w:t>
      </w:r>
      <w:r w:rsidRPr="008D716D">
        <w:rPr>
          <w:rFonts w:asciiTheme="minorHAnsi" w:hAnsiTheme="minorHAnsi" w:cstheme="minorHAnsi"/>
        </w:rPr>
        <w:t xml:space="preserve">Förderungen </w:t>
      </w:r>
      <w:r w:rsidR="005F5AA4" w:rsidRPr="008D716D">
        <w:rPr>
          <w:rFonts w:asciiTheme="minorHAnsi" w:hAnsiTheme="minorHAnsi" w:cstheme="minorHAnsi"/>
        </w:rPr>
        <w:t>erneuerbarer Energien entfällt. Allerdings würde es die langfristige Planung und Amortisationsrechnung gefährden, wenn</w:t>
      </w:r>
      <w:r w:rsidRPr="008D716D">
        <w:rPr>
          <w:rFonts w:asciiTheme="minorHAnsi" w:hAnsiTheme="minorHAnsi" w:cstheme="minorHAnsi"/>
        </w:rPr>
        <w:t xml:space="preserve"> Beihilferegelungen mit einer Laufzeit von über einem Jahr </w:t>
      </w:r>
      <w:r w:rsidR="00AD5875" w:rsidRPr="008D716D">
        <w:rPr>
          <w:rFonts w:asciiTheme="minorHAnsi" w:hAnsiTheme="minorHAnsi" w:cstheme="minorHAnsi"/>
        </w:rPr>
        <w:t xml:space="preserve">tatsächlich jährlich einer Kosten/Einnahmen-Analyse unterworfen würden, mit dem Ergebnis, dass die Förderung zu jedem Zeitpunkt wieder </w:t>
      </w:r>
      <w:r w:rsidR="000526EF" w:rsidRPr="008D716D">
        <w:rPr>
          <w:rFonts w:asciiTheme="minorHAnsi" w:hAnsiTheme="minorHAnsi" w:cstheme="minorHAnsi"/>
        </w:rPr>
        <w:t>entfallen</w:t>
      </w:r>
      <w:r w:rsidR="00CE39D7" w:rsidRPr="008D716D">
        <w:rPr>
          <w:rFonts w:asciiTheme="minorHAnsi" w:hAnsiTheme="minorHAnsi" w:cstheme="minorHAnsi"/>
        </w:rPr>
        <w:t xml:space="preserve"> könnte. Ein solch</w:t>
      </w:r>
      <w:r w:rsidR="00AD5875" w:rsidRPr="008D716D">
        <w:rPr>
          <w:rFonts w:asciiTheme="minorHAnsi" w:hAnsiTheme="minorHAnsi" w:cstheme="minorHAnsi"/>
        </w:rPr>
        <w:t xml:space="preserve"> kurzfristiger Ansatz hätte zweifellos zur Folge, dass Investitionen in erneuerbare Energien nicht oder nur in sehr viel geringerem Ausmaß getätigt würden, wenn nicht gewährleistet ist, dass die in Aussicht gestellte Beihilfe tatsächlich über die gesamte für die Amortisation erforderliche Laufzeit zur Verfügung steht. </w:t>
      </w:r>
    </w:p>
    <w:p w14:paraId="28EC23EF" w14:textId="15FEE865" w:rsidR="00FF46CF" w:rsidRPr="008D716D" w:rsidRDefault="00AD5875"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Dieselbe Überlegung gilt umso mehr für Einzelbeihilfen.</w:t>
      </w:r>
      <w:r w:rsidR="000526EF" w:rsidRPr="008D716D">
        <w:rPr>
          <w:rFonts w:asciiTheme="minorHAnsi" w:hAnsiTheme="minorHAnsi" w:cstheme="minorHAnsi"/>
        </w:rPr>
        <w:t xml:space="preserve"> </w:t>
      </w:r>
      <w:r w:rsidR="00C27F8E" w:rsidRPr="008D716D">
        <w:rPr>
          <w:rFonts w:asciiTheme="minorHAnsi" w:hAnsiTheme="minorHAnsi" w:cstheme="minorHAnsi"/>
        </w:rPr>
        <w:t>Es wäre im Zuge eines Großprojektes, welches sich häufig erst in einigen Jahrzehnten amortisieren kann, schlicht lebensfremd, die Erforderlichkeit derartiger Einzelbeihilfen von eine</w:t>
      </w:r>
      <w:r w:rsidRPr="008D716D">
        <w:rPr>
          <w:rFonts w:asciiTheme="minorHAnsi" w:hAnsiTheme="minorHAnsi" w:cstheme="minorHAnsi"/>
        </w:rPr>
        <w:t>m</w:t>
      </w:r>
      <w:r w:rsidR="00C27F8E" w:rsidRPr="008D716D">
        <w:rPr>
          <w:rFonts w:asciiTheme="minorHAnsi" w:hAnsiTheme="minorHAnsi" w:cstheme="minorHAnsi"/>
        </w:rPr>
        <w:t xml:space="preserve"> </w:t>
      </w:r>
      <w:r w:rsidRPr="008D716D">
        <w:rPr>
          <w:rFonts w:asciiTheme="minorHAnsi" w:hAnsiTheme="minorHAnsi" w:cstheme="minorHAnsi"/>
        </w:rPr>
        <w:t>zu jedem Zeitpunkt bestehenden Förder</w:t>
      </w:r>
      <w:r w:rsidRPr="008D716D">
        <w:rPr>
          <w:rFonts w:asciiTheme="minorHAnsi" w:hAnsiTheme="minorHAnsi" w:cstheme="minorHAnsi"/>
        </w:rPr>
        <w:lastRenderedPageBreak/>
        <w:t>bedarf (iSe negativen</w:t>
      </w:r>
      <w:r w:rsidR="00C27F8E" w:rsidRPr="008D716D">
        <w:rPr>
          <w:rFonts w:asciiTheme="minorHAnsi" w:hAnsiTheme="minorHAnsi" w:cstheme="minorHAnsi"/>
        </w:rPr>
        <w:t xml:space="preserve"> Kosten/Einnahmen-Analyse</w:t>
      </w:r>
      <w:r w:rsidRPr="008D716D">
        <w:rPr>
          <w:rFonts w:asciiTheme="minorHAnsi" w:hAnsiTheme="minorHAnsi" w:cstheme="minorHAnsi"/>
        </w:rPr>
        <w:t>)</w:t>
      </w:r>
      <w:r w:rsidR="00C27F8E" w:rsidRPr="008D716D">
        <w:rPr>
          <w:rFonts w:asciiTheme="minorHAnsi" w:hAnsiTheme="minorHAnsi" w:cstheme="minorHAnsi"/>
        </w:rPr>
        <w:t xml:space="preserve"> abhängig zu machen.</w:t>
      </w:r>
      <w:r w:rsidR="003A6982" w:rsidRPr="008D716D">
        <w:rPr>
          <w:rFonts w:asciiTheme="minorHAnsi" w:hAnsiTheme="minorHAnsi" w:cstheme="minorHAnsi"/>
        </w:rPr>
        <w:t xml:space="preserve"> </w:t>
      </w:r>
      <w:r w:rsidR="00FF46CF" w:rsidRPr="008D716D">
        <w:rPr>
          <w:rFonts w:asciiTheme="minorHAnsi" w:hAnsiTheme="minorHAnsi" w:cstheme="minorHAnsi"/>
        </w:rPr>
        <w:t xml:space="preserve">Da sich die Kosten/Einnahmen-Situation aufgrund volatiler Energiemärkte jederzeit wieder ändern kann, sollte stattdessen vielmehr eine Endabrechnung zum Ende der Projektlaufzeit erfolgen, bei der die der Förderung zugrundeliegenden Annahmen und Berechnungsgrundlagen der tatsächlichen Entwicklung gegenübergestellt werden. </w:t>
      </w:r>
    </w:p>
    <w:p w14:paraId="508F2BDC" w14:textId="6CFFA833" w:rsidR="00C27F8E" w:rsidRPr="008D716D" w:rsidRDefault="00FF46CF"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Auf diese Weise würden Unternehmen Anreize erhalten, </w:t>
      </w:r>
      <w:r w:rsidR="00C27F8E" w:rsidRPr="008D716D">
        <w:rPr>
          <w:rFonts w:asciiTheme="minorHAnsi" w:hAnsiTheme="minorHAnsi" w:cstheme="minorHAnsi"/>
        </w:rPr>
        <w:t xml:space="preserve">umweltpolitisch sinnvolle </w:t>
      </w:r>
      <w:r w:rsidR="003A6982" w:rsidRPr="008D716D">
        <w:rPr>
          <w:rFonts w:asciiTheme="minorHAnsi" w:hAnsiTheme="minorHAnsi" w:cstheme="minorHAnsi"/>
        </w:rPr>
        <w:t>Investitionen</w:t>
      </w:r>
      <w:r w:rsidRPr="008D716D">
        <w:rPr>
          <w:rFonts w:asciiTheme="minorHAnsi" w:hAnsiTheme="minorHAnsi" w:cstheme="minorHAnsi"/>
        </w:rPr>
        <w:t xml:space="preserve"> zu tätigen, und könnte der zuständige Mitgliedstaat dennoch überprüfen, ob und in welchem Umfang die gewährte Förderung </w:t>
      </w:r>
      <w:r w:rsidR="00991494" w:rsidRPr="008D716D">
        <w:rPr>
          <w:rFonts w:asciiTheme="minorHAnsi" w:hAnsiTheme="minorHAnsi" w:cstheme="minorHAnsi"/>
        </w:rPr>
        <w:t xml:space="preserve">allenfalls </w:t>
      </w:r>
      <w:r w:rsidRPr="008D716D">
        <w:rPr>
          <w:rFonts w:asciiTheme="minorHAnsi" w:hAnsiTheme="minorHAnsi" w:cstheme="minorHAnsi"/>
        </w:rPr>
        <w:t xml:space="preserve">aufgrund erzielter Mehreinnahmen und </w:t>
      </w:r>
      <w:r w:rsidR="00991494" w:rsidRPr="008D716D">
        <w:rPr>
          <w:rFonts w:asciiTheme="minorHAnsi" w:hAnsiTheme="minorHAnsi" w:cstheme="minorHAnsi"/>
        </w:rPr>
        <w:t>einer damit verbundenen früheren</w:t>
      </w:r>
      <w:r w:rsidRPr="008D716D">
        <w:rPr>
          <w:rFonts w:asciiTheme="minorHAnsi" w:hAnsiTheme="minorHAnsi" w:cstheme="minorHAnsi"/>
        </w:rPr>
        <w:t xml:space="preserve"> Amortisation</w:t>
      </w:r>
      <w:r w:rsidR="00991494" w:rsidRPr="008D716D">
        <w:rPr>
          <w:rFonts w:asciiTheme="minorHAnsi" w:hAnsiTheme="minorHAnsi" w:cstheme="minorHAnsi"/>
        </w:rPr>
        <w:t xml:space="preserve"> der Investition an den Mitgliedstaat zu refundieren ist</w:t>
      </w:r>
      <w:r w:rsidR="00C27F8E" w:rsidRPr="008D716D">
        <w:rPr>
          <w:rFonts w:asciiTheme="minorHAnsi" w:hAnsiTheme="minorHAnsi" w:cstheme="minorHAnsi"/>
        </w:rPr>
        <w:t xml:space="preserve">. </w:t>
      </w:r>
    </w:p>
    <w:p w14:paraId="4C7CADFD" w14:textId="2074C63D" w:rsidR="001453BD" w:rsidRPr="008D716D" w:rsidRDefault="00991494"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Vor diesem Hintergrund </w:t>
      </w:r>
      <w:r w:rsidR="001C07F9" w:rsidRPr="008D716D">
        <w:rPr>
          <w:rFonts w:asciiTheme="minorHAnsi" w:hAnsiTheme="minorHAnsi" w:cstheme="minorHAnsi"/>
        </w:rPr>
        <w:t xml:space="preserve">kann die </w:t>
      </w:r>
      <w:r w:rsidR="000F51AD" w:rsidRPr="008D716D">
        <w:rPr>
          <w:rFonts w:asciiTheme="minorHAnsi" w:hAnsiTheme="minorHAnsi" w:cstheme="minorHAnsi"/>
        </w:rPr>
        <w:t xml:space="preserve">Kommission </w:t>
      </w:r>
      <w:r w:rsidR="00FF0A29" w:rsidRPr="008D716D">
        <w:rPr>
          <w:rFonts w:asciiTheme="minorHAnsi" w:hAnsiTheme="minorHAnsi" w:cstheme="minorHAnsi"/>
        </w:rPr>
        <w:t xml:space="preserve">folgende Ergänzung </w:t>
      </w:r>
      <w:r w:rsidRPr="008D716D">
        <w:rPr>
          <w:rFonts w:asciiTheme="minorHAnsi" w:hAnsiTheme="minorHAnsi" w:cstheme="minorHAnsi"/>
        </w:rPr>
        <w:t>von</w:t>
      </w:r>
      <w:r w:rsidR="00FF0A29" w:rsidRPr="008D716D">
        <w:rPr>
          <w:rFonts w:asciiTheme="minorHAnsi" w:hAnsiTheme="minorHAnsi" w:cstheme="minorHAnsi"/>
        </w:rPr>
        <w:t xml:space="preserve"> Fußnote 52 zu </w:t>
      </w:r>
      <w:r w:rsidR="00414CA4" w:rsidRPr="008D716D">
        <w:rPr>
          <w:rFonts w:asciiTheme="minorHAnsi" w:hAnsiTheme="minorHAnsi" w:cstheme="minorHAnsi"/>
        </w:rPr>
        <w:t>Randnummer</w:t>
      </w:r>
      <w:r w:rsidR="00FF0A29" w:rsidRPr="008D716D">
        <w:rPr>
          <w:rFonts w:asciiTheme="minorHAnsi" w:hAnsiTheme="minorHAnsi" w:cstheme="minorHAnsi"/>
        </w:rPr>
        <w:t> 80</w:t>
      </w:r>
      <w:r w:rsidR="000F51AD" w:rsidRPr="008D716D">
        <w:rPr>
          <w:rFonts w:asciiTheme="minorHAnsi" w:hAnsiTheme="minorHAnsi" w:cstheme="minorHAnsi"/>
        </w:rPr>
        <w:t xml:space="preserve"> der Leitlinien </w:t>
      </w:r>
      <w:r w:rsidR="001C07F9" w:rsidRPr="008D716D">
        <w:rPr>
          <w:rFonts w:asciiTheme="minorHAnsi" w:hAnsiTheme="minorHAnsi" w:cstheme="minorHAnsi"/>
        </w:rPr>
        <w:t xml:space="preserve">nutzen </w:t>
      </w:r>
      <w:r w:rsidR="00FF0A29" w:rsidRPr="008D716D">
        <w:rPr>
          <w:rFonts w:asciiTheme="minorHAnsi" w:hAnsiTheme="minorHAnsi" w:cstheme="minorHAnsi"/>
        </w:rPr>
        <w:t xml:space="preserve">(Ergänzung durch </w:t>
      </w:r>
      <w:r w:rsidR="00FF0A29" w:rsidRPr="008D716D">
        <w:rPr>
          <w:rFonts w:asciiTheme="minorHAnsi" w:hAnsiTheme="minorHAnsi" w:cstheme="minorHAnsi"/>
          <w:u w:val="single"/>
        </w:rPr>
        <w:t>Unterstreichung</w:t>
      </w:r>
      <w:r w:rsidR="00FF0A29" w:rsidRPr="008D716D">
        <w:rPr>
          <w:rFonts w:asciiTheme="minorHAnsi" w:hAnsiTheme="minorHAnsi" w:cstheme="minorHAnsi"/>
        </w:rPr>
        <w:t xml:space="preserve"> hervorgehoben):</w:t>
      </w:r>
    </w:p>
    <w:p w14:paraId="4941820A" w14:textId="0E73B88E" w:rsidR="000F51AD" w:rsidRPr="008D716D" w:rsidRDefault="00805B13" w:rsidP="00FF79DE">
      <w:pPr>
        <w:pStyle w:val="EH-Text"/>
        <w:keepNext/>
        <w:spacing w:after="160" w:line="360" w:lineRule="auto"/>
        <w:contextualSpacing/>
        <w:rPr>
          <w:rFonts w:asciiTheme="minorHAnsi" w:hAnsiTheme="minorHAnsi" w:cstheme="minorHAnsi"/>
          <w:b/>
        </w:rPr>
      </w:pPr>
      <w:r w:rsidRPr="008D716D">
        <w:rPr>
          <w:rFonts w:asciiTheme="minorHAnsi" w:hAnsiTheme="minorHAnsi" w:cstheme="minorHAnsi"/>
          <w:b/>
        </w:rPr>
        <w:t>Randnummer </w:t>
      </w:r>
      <w:r w:rsidR="00036E28" w:rsidRPr="008D716D">
        <w:rPr>
          <w:rFonts w:asciiTheme="minorHAnsi" w:hAnsiTheme="minorHAnsi" w:cstheme="minorHAnsi"/>
          <w:b/>
        </w:rPr>
        <w:t>80 (Erforderlichkeit der Beihilfe)</w:t>
      </w:r>
    </w:p>
    <w:p w14:paraId="2FAE3487" w14:textId="3CFBF0D6" w:rsidR="00605FE4" w:rsidRPr="008D716D" w:rsidRDefault="00E34EB6" w:rsidP="00FF79DE">
      <w:pPr>
        <w:pStyle w:val="EH-Text"/>
        <w:spacing w:after="160" w:line="360" w:lineRule="auto"/>
        <w:rPr>
          <w:rFonts w:asciiTheme="minorHAnsi" w:hAnsiTheme="minorHAnsi" w:cstheme="minorHAnsi"/>
        </w:rPr>
      </w:pPr>
      <w:r w:rsidRPr="008D716D">
        <w:rPr>
          <w:rFonts w:asciiTheme="minorHAnsi" w:hAnsiTheme="minorHAnsi" w:cstheme="minorHAnsi"/>
          <w:lang w:val="de-AT"/>
        </w:rPr>
        <w:t>"</w:t>
      </w:r>
      <w:r w:rsidR="00036E28" w:rsidRPr="008D716D">
        <w:rPr>
          <w:rFonts w:asciiTheme="minorHAnsi" w:hAnsiTheme="minorHAnsi" w:cstheme="minorHAnsi"/>
          <w:i/>
          <w:lang w:val="de-AT"/>
        </w:rPr>
        <w:t>Bei Beihilferegelungen mit einer Laufzeit von über einem Jahr sollten die Mitgliedstaaten sich vergewissern, dass die Beihilfe während der gesamten Laufzeit der Regelung erforderlich ist, indem sie ihre Analyse der relevanten Kosten und Einnahmen jährlich bzw. bei Regelungen, bei denen weniger häufig Beihilfen gewährt werden, jeweils vor der Gewährung von Beihilfen aktualisieren, um sicherzustellen, dass für die einzelnen Gruppen potenzieller Empfänger nach wie vor Beihilfen erforderlich sind. Sind für eine Gruppe von Beihilfeempfängern keine Beihilfen mehr erforderlich, so sollte die jeweilige Gruppe gestrichen werden, bevor weitere Beihilfen gewährt werden.</w:t>
      </w:r>
      <w:r w:rsidR="00036E28" w:rsidRPr="008D716D">
        <w:rPr>
          <w:rFonts w:asciiTheme="minorHAnsi" w:hAnsiTheme="minorHAnsi" w:cstheme="minorHAnsi"/>
          <w:i/>
          <w:vertAlign w:val="superscript"/>
          <w:lang w:val="de-AT"/>
        </w:rPr>
        <w:t>52</w:t>
      </w:r>
      <w:r w:rsidRPr="008D716D">
        <w:rPr>
          <w:rFonts w:asciiTheme="minorHAnsi" w:hAnsiTheme="minorHAnsi" w:cstheme="minorHAnsi"/>
          <w:lang w:val="de-AT"/>
        </w:rPr>
        <w:t xml:space="preserve">" </w:t>
      </w:r>
    </w:p>
    <w:p w14:paraId="61411F44" w14:textId="395901E2" w:rsidR="00FF0A29" w:rsidRPr="008D716D" w:rsidRDefault="00FF0A29" w:rsidP="00FF79DE">
      <w:pPr>
        <w:pStyle w:val="EH-Text"/>
        <w:keepNext/>
        <w:spacing w:after="160" w:line="360" w:lineRule="auto"/>
        <w:contextualSpacing/>
        <w:rPr>
          <w:rFonts w:asciiTheme="minorHAnsi" w:hAnsiTheme="minorHAnsi" w:cstheme="minorHAnsi"/>
          <w:b/>
          <w:lang w:val="de-AT"/>
        </w:rPr>
      </w:pPr>
      <w:r w:rsidRPr="008D716D">
        <w:rPr>
          <w:rFonts w:asciiTheme="minorHAnsi" w:hAnsiTheme="minorHAnsi" w:cstheme="minorHAnsi"/>
          <w:b/>
          <w:lang w:val="de-AT"/>
        </w:rPr>
        <w:t xml:space="preserve">Vorschlag zur Fußnote 52 zu </w:t>
      </w:r>
      <w:r w:rsidRPr="008D716D">
        <w:rPr>
          <w:rFonts w:asciiTheme="minorHAnsi" w:hAnsiTheme="minorHAnsi" w:cstheme="minorHAnsi"/>
          <w:b/>
        </w:rPr>
        <w:t>Randnummer</w:t>
      </w:r>
      <w:r w:rsidRPr="008D716D">
        <w:rPr>
          <w:rFonts w:asciiTheme="minorHAnsi" w:hAnsiTheme="minorHAnsi" w:cstheme="minorHAnsi"/>
          <w:b/>
          <w:lang w:val="de-AT"/>
        </w:rPr>
        <w:t xml:space="preserve"> 80 </w:t>
      </w:r>
    </w:p>
    <w:p w14:paraId="1A596C0A" w14:textId="620063C9" w:rsidR="00FF0A29" w:rsidRPr="008D716D" w:rsidRDefault="00FF0A29" w:rsidP="00FF79DE">
      <w:pPr>
        <w:pStyle w:val="EH-Text"/>
        <w:spacing w:after="240" w:line="360" w:lineRule="auto"/>
        <w:rPr>
          <w:rFonts w:asciiTheme="minorHAnsi" w:hAnsiTheme="minorHAnsi" w:cstheme="minorHAnsi"/>
        </w:rPr>
      </w:pPr>
      <w:r w:rsidRPr="008D716D">
        <w:rPr>
          <w:rFonts w:asciiTheme="minorHAnsi" w:hAnsiTheme="minorHAnsi" w:cstheme="minorHAnsi"/>
        </w:rPr>
        <w:t>"</w:t>
      </w:r>
      <w:r w:rsidRPr="008D716D">
        <w:rPr>
          <w:rFonts w:asciiTheme="minorHAnsi" w:hAnsiTheme="minorHAnsi" w:cstheme="minorHAnsi"/>
          <w:i/>
        </w:rPr>
        <w:t xml:space="preserve">Dies berührt nicht den Anspruch auf </w:t>
      </w:r>
      <w:r w:rsidR="00991494" w:rsidRPr="008D716D">
        <w:rPr>
          <w:rFonts w:asciiTheme="minorHAnsi" w:hAnsiTheme="minorHAnsi" w:cstheme="minorHAnsi"/>
          <w:i/>
        </w:rPr>
        <w:t>B</w:t>
      </w:r>
      <w:r w:rsidRPr="008D716D">
        <w:rPr>
          <w:rFonts w:asciiTheme="minorHAnsi" w:hAnsiTheme="minorHAnsi" w:cstheme="minorHAnsi"/>
          <w:i/>
        </w:rPr>
        <w:t xml:space="preserve">eihilfen, die (z. B. im Rahmen eines 10-Jahres-Vertrags) bereits </w:t>
      </w:r>
      <w:r w:rsidR="00991494" w:rsidRPr="008D716D">
        <w:rPr>
          <w:rFonts w:asciiTheme="minorHAnsi" w:hAnsiTheme="minorHAnsi" w:cstheme="minorHAnsi"/>
          <w:i/>
          <w:u w:val="single"/>
        </w:rPr>
        <w:t>auf Basis der betreffenden Beihilferegelung</w:t>
      </w:r>
      <w:r w:rsidR="00991494" w:rsidRPr="008D716D">
        <w:rPr>
          <w:rFonts w:asciiTheme="minorHAnsi" w:hAnsiTheme="minorHAnsi" w:cstheme="minorHAnsi"/>
          <w:i/>
        </w:rPr>
        <w:t xml:space="preserve"> </w:t>
      </w:r>
      <w:r w:rsidRPr="008D716D">
        <w:rPr>
          <w:rFonts w:asciiTheme="minorHAnsi" w:hAnsiTheme="minorHAnsi" w:cstheme="minorHAnsi"/>
          <w:i/>
        </w:rPr>
        <w:t xml:space="preserve">gewährt wurden. </w:t>
      </w:r>
      <w:r w:rsidR="00991494" w:rsidRPr="008D716D">
        <w:rPr>
          <w:rFonts w:asciiTheme="minorHAnsi" w:hAnsiTheme="minorHAnsi" w:cstheme="minorHAnsi"/>
          <w:i/>
          <w:u w:val="single"/>
        </w:rPr>
        <w:t xml:space="preserve">Ferner unterliegen auch Einzelbeihilfen, die häufig </w:t>
      </w:r>
      <w:r w:rsidRPr="008D716D">
        <w:rPr>
          <w:rFonts w:asciiTheme="minorHAnsi" w:hAnsiTheme="minorHAnsi" w:cstheme="minorHAnsi"/>
          <w:i/>
          <w:u w:val="single"/>
        </w:rPr>
        <w:t xml:space="preserve">für </w:t>
      </w:r>
      <w:r w:rsidR="00991494" w:rsidRPr="008D716D">
        <w:rPr>
          <w:rFonts w:asciiTheme="minorHAnsi" w:hAnsiTheme="minorHAnsi" w:cstheme="minorHAnsi"/>
          <w:i/>
          <w:u w:val="single"/>
        </w:rPr>
        <w:t>größere Investitionen mit einem längeren Betrachtungszeitraum gewährt werden</w:t>
      </w:r>
      <w:r w:rsidRPr="008D716D">
        <w:rPr>
          <w:rFonts w:asciiTheme="minorHAnsi" w:hAnsiTheme="minorHAnsi" w:cstheme="minorHAnsi"/>
          <w:i/>
          <w:u w:val="single"/>
        </w:rPr>
        <w:t xml:space="preserve">, </w:t>
      </w:r>
      <w:r w:rsidR="00991494" w:rsidRPr="008D716D">
        <w:rPr>
          <w:rFonts w:asciiTheme="minorHAnsi" w:hAnsiTheme="minorHAnsi" w:cstheme="minorHAnsi"/>
          <w:i/>
          <w:u w:val="single"/>
        </w:rPr>
        <w:t>keiner jährlichen</w:t>
      </w:r>
      <w:r w:rsidRPr="008D716D">
        <w:rPr>
          <w:rFonts w:asciiTheme="minorHAnsi" w:hAnsiTheme="minorHAnsi" w:cstheme="minorHAnsi"/>
          <w:i/>
          <w:u w:val="single"/>
        </w:rPr>
        <w:t xml:space="preserve"> Kosten/Einnahmen-Analyse nach Randnummer 80.</w:t>
      </w:r>
      <w:r w:rsidRPr="008D716D">
        <w:rPr>
          <w:rFonts w:asciiTheme="minorHAnsi" w:hAnsiTheme="minorHAnsi" w:cstheme="minorHAnsi"/>
        </w:rPr>
        <w:t>"</w:t>
      </w:r>
    </w:p>
    <w:p w14:paraId="6DA1843E" w14:textId="2D4254B5" w:rsidR="00036E28" w:rsidRPr="008D716D" w:rsidRDefault="00692B7D"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lastRenderedPageBreak/>
        <w:t xml:space="preserve">Durch diese Klarstellung </w:t>
      </w:r>
      <w:r w:rsidR="001662BE" w:rsidRPr="008D716D">
        <w:rPr>
          <w:rFonts w:asciiTheme="minorHAnsi" w:hAnsiTheme="minorHAnsi" w:cstheme="minorHAnsi"/>
        </w:rPr>
        <w:t xml:space="preserve">würde den </w:t>
      </w:r>
      <w:r w:rsidR="00036AD5" w:rsidRPr="008D716D">
        <w:rPr>
          <w:rFonts w:asciiTheme="minorHAnsi" w:hAnsiTheme="minorHAnsi" w:cstheme="minorHAnsi"/>
        </w:rPr>
        <w:t>Personen, die umfangreiche Investitionen in energiewirtschaftliche</w:t>
      </w:r>
      <w:r w:rsidRPr="008D716D">
        <w:rPr>
          <w:rFonts w:asciiTheme="minorHAnsi" w:hAnsiTheme="minorHAnsi" w:cstheme="minorHAnsi"/>
        </w:rPr>
        <w:t xml:space="preserve"> Großprojekten mit Bezug zu erneuerbaren Energien </w:t>
      </w:r>
      <w:r w:rsidR="00036AD5" w:rsidRPr="008D716D">
        <w:rPr>
          <w:rFonts w:asciiTheme="minorHAnsi" w:hAnsiTheme="minorHAnsi" w:cstheme="minorHAnsi"/>
        </w:rPr>
        <w:t xml:space="preserve">tätigen, </w:t>
      </w:r>
      <w:r w:rsidRPr="008D716D">
        <w:rPr>
          <w:rFonts w:asciiTheme="minorHAnsi" w:hAnsiTheme="minorHAnsi" w:cstheme="minorHAnsi"/>
        </w:rPr>
        <w:t xml:space="preserve">nicht (schon im Vorhinein) die Bürde auferlegt, eine jährliche Kosten/Einnahmenanalyse durchführen zu müssen. Gleichzeitig bleibt es der Kommission natürlich unbenommen, im Zuge der Notifikation der jeweiligen Einzelbeihilfe adäquate Kontroll- und Prüfmechanismen vorzusehen, mit deren Hilfe die Erforderlichkeit der Einzelbeihilfe für deren gesamten Geltungszeitraum überprüft und gewährleistet werden kann. </w:t>
      </w:r>
    </w:p>
    <w:p w14:paraId="64B871C1" w14:textId="0262DD1E" w:rsidR="002E33C6" w:rsidRPr="008D716D" w:rsidRDefault="002E33C6" w:rsidP="008D716D">
      <w:pPr>
        <w:pStyle w:val="EH-Text"/>
        <w:numPr>
          <w:ilvl w:val="0"/>
          <w:numId w:val="24"/>
        </w:numPr>
        <w:spacing w:after="160" w:line="360" w:lineRule="auto"/>
        <w:rPr>
          <w:rFonts w:asciiTheme="minorHAnsi" w:hAnsiTheme="minorHAnsi" w:cstheme="minorHAnsi"/>
          <w:b/>
          <w:bCs/>
          <w:u w:val="single"/>
        </w:rPr>
      </w:pPr>
      <w:r w:rsidRPr="008D716D">
        <w:rPr>
          <w:rFonts w:asciiTheme="minorHAnsi" w:hAnsiTheme="minorHAnsi" w:cstheme="minorHAnsi"/>
          <w:b/>
          <w:bCs/>
          <w:u w:val="single"/>
        </w:rPr>
        <w:t>Ad. 4.3. Beihilfen für saubere Mobilität</w:t>
      </w:r>
    </w:p>
    <w:p w14:paraId="34E66272" w14:textId="3BFF4D67" w:rsidR="002E33C6" w:rsidRPr="008D716D" w:rsidRDefault="002E33C6"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Öffentliche Verkehrsmittel </w:t>
      </w:r>
      <w:r w:rsidR="0052385C" w:rsidRPr="008D716D">
        <w:rPr>
          <w:rFonts w:asciiTheme="minorHAnsi" w:hAnsiTheme="minorHAnsi" w:cstheme="minorHAnsi"/>
        </w:rPr>
        <w:t xml:space="preserve">und eine ideale Elektromobilitätsstrategie für Städte und ihre Agglomerationen </w:t>
      </w:r>
      <w:r w:rsidRPr="008D716D">
        <w:rPr>
          <w:rFonts w:asciiTheme="minorHAnsi" w:hAnsiTheme="minorHAnsi" w:cstheme="minorHAnsi"/>
        </w:rPr>
        <w:t xml:space="preserve">sind die beste Möglichkeit den Verkehr zu dekarbonisieren. Leider litten diese nachhaltigen Verkehrsträger stark während der COVID-19 – Pandemie, hauptsächlich durch einen Rückgang der Passagierzahlen sowie hohen Verlusten in Fahrgeldeinnahmen. Ohne Unterstützung wird eine Fortsetzung und Erweiterung qualitativ hochwertiger öffentlicher Verkehrsmittel einschließlich Investitionen in sauberere – und derzeit noch teure </w:t>
      </w:r>
      <w:r w:rsidR="009425C2">
        <w:rPr>
          <w:rFonts w:asciiTheme="minorHAnsi" w:hAnsiTheme="minorHAnsi" w:cstheme="minorHAnsi"/>
        </w:rPr>
        <w:t>–</w:t>
      </w:r>
      <w:r w:rsidRPr="008D716D">
        <w:rPr>
          <w:rFonts w:asciiTheme="minorHAnsi" w:hAnsiTheme="minorHAnsi" w:cstheme="minorHAnsi"/>
        </w:rPr>
        <w:t xml:space="preserve"> Fahrzeug</w:t>
      </w:r>
      <w:r w:rsidR="009425C2">
        <w:rPr>
          <w:rFonts w:asciiTheme="minorHAnsi" w:hAnsiTheme="minorHAnsi" w:cstheme="minorHAnsi"/>
        </w:rPr>
        <w:t xml:space="preserve"> </w:t>
      </w:r>
      <w:r w:rsidRPr="008D716D">
        <w:rPr>
          <w:rFonts w:asciiTheme="minorHAnsi" w:hAnsiTheme="minorHAnsi" w:cstheme="minorHAnsi"/>
        </w:rPr>
        <w:t xml:space="preserve">nicht möglich sein. Im Interesse der Erreichung der 2030 - Klimaziele </w:t>
      </w:r>
      <w:r w:rsidR="00D43186" w:rsidRPr="008D716D">
        <w:rPr>
          <w:rFonts w:asciiTheme="minorHAnsi" w:hAnsiTheme="minorHAnsi" w:cstheme="minorHAnsi"/>
        </w:rPr>
        <w:t xml:space="preserve">werden </w:t>
      </w:r>
      <w:r w:rsidRPr="008D716D">
        <w:rPr>
          <w:rFonts w:asciiTheme="minorHAnsi" w:hAnsiTheme="minorHAnsi" w:cstheme="minorHAnsi"/>
        </w:rPr>
        <w:t xml:space="preserve">mehr </w:t>
      </w:r>
      <w:r w:rsidR="00D43186" w:rsidRPr="008D716D">
        <w:rPr>
          <w:rFonts w:asciiTheme="minorHAnsi" w:hAnsiTheme="minorHAnsi" w:cstheme="minorHAnsi"/>
        </w:rPr>
        <w:t xml:space="preserve">Mittel für den </w:t>
      </w:r>
      <w:r w:rsidRPr="008D716D">
        <w:rPr>
          <w:rFonts w:asciiTheme="minorHAnsi" w:hAnsiTheme="minorHAnsi" w:cstheme="minorHAnsi"/>
        </w:rPr>
        <w:t>öffentlichen Verkehr und Regionalbahndienste erforderlich</w:t>
      </w:r>
      <w:r w:rsidR="00D43186" w:rsidRPr="008D716D">
        <w:rPr>
          <w:rFonts w:asciiTheme="minorHAnsi" w:hAnsiTheme="minorHAnsi" w:cstheme="minorHAnsi"/>
        </w:rPr>
        <w:t xml:space="preserve"> sein</w:t>
      </w:r>
      <w:r w:rsidRPr="008D716D">
        <w:rPr>
          <w:rFonts w:asciiTheme="minorHAnsi" w:hAnsiTheme="minorHAnsi" w:cstheme="minorHAnsi"/>
        </w:rPr>
        <w:t>, die in den Leitlinien für staatliche Beihilfen gesichert werden müssen.</w:t>
      </w:r>
    </w:p>
    <w:p w14:paraId="4F840088" w14:textId="116E8757" w:rsidR="002E33C6" w:rsidRPr="008D716D" w:rsidRDefault="002E33C6"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Leider </w:t>
      </w:r>
      <w:r w:rsidR="00320EB3" w:rsidRPr="008D716D">
        <w:rPr>
          <w:rFonts w:asciiTheme="minorHAnsi" w:hAnsiTheme="minorHAnsi" w:cstheme="minorHAnsi"/>
        </w:rPr>
        <w:t>wurden</w:t>
      </w:r>
      <w:r w:rsidRPr="008D716D">
        <w:rPr>
          <w:rFonts w:asciiTheme="minorHAnsi" w:hAnsiTheme="minorHAnsi" w:cstheme="minorHAnsi"/>
        </w:rPr>
        <w:t xml:space="preserve"> die Mängel der </w:t>
      </w:r>
      <w:r w:rsidR="00320EB3" w:rsidRPr="008D716D">
        <w:rPr>
          <w:rFonts w:asciiTheme="minorHAnsi" w:hAnsiTheme="minorHAnsi" w:cstheme="minorHAnsi"/>
        </w:rPr>
        <w:t>Vorgängerleitlinien v</w:t>
      </w:r>
      <w:r w:rsidRPr="008D716D">
        <w:rPr>
          <w:rFonts w:asciiTheme="minorHAnsi" w:hAnsiTheme="minorHAnsi" w:cstheme="minorHAnsi"/>
        </w:rPr>
        <w:t xml:space="preserve">ererbt und </w:t>
      </w:r>
      <w:r w:rsidR="00320EB3" w:rsidRPr="008D716D">
        <w:rPr>
          <w:rFonts w:asciiTheme="minorHAnsi" w:hAnsiTheme="minorHAnsi" w:cstheme="minorHAnsi"/>
        </w:rPr>
        <w:t>im</w:t>
      </w:r>
      <w:r w:rsidRPr="008D716D">
        <w:rPr>
          <w:rFonts w:asciiTheme="minorHAnsi" w:hAnsiTheme="minorHAnsi" w:cstheme="minorHAnsi"/>
        </w:rPr>
        <w:t xml:space="preserve"> Entwurf der überarbeiteten Leitlinien heißt es immer noch, dass Unterstützung nicht gewährt </w:t>
      </w:r>
      <w:r w:rsidR="00320EB3" w:rsidRPr="008D716D">
        <w:rPr>
          <w:rFonts w:asciiTheme="minorHAnsi" w:hAnsiTheme="minorHAnsi" w:cstheme="minorHAnsi"/>
        </w:rPr>
        <w:t>wird</w:t>
      </w:r>
      <w:r w:rsidRPr="008D716D">
        <w:rPr>
          <w:rFonts w:asciiTheme="minorHAnsi" w:hAnsiTheme="minorHAnsi" w:cstheme="minorHAnsi"/>
        </w:rPr>
        <w:t xml:space="preserve">, wenn Investitionen </w:t>
      </w:r>
      <w:r w:rsidR="00320EB3" w:rsidRPr="008D716D">
        <w:rPr>
          <w:rFonts w:asciiTheme="minorHAnsi" w:hAnsiTheme="minorHAnsi" w:cstheme="minorHAnsi"/>
        </w:rPr>
        <w:t>getätigt werden,</w:t>
      </w:r>
      <w:r w:rsidRPr="008D716D">
        <w:rPr>
          <w:rFonts w:asciiTheme="minorHAnsi" w:hAnsiTheme="minorHAnsi" w:cstheme="minorHAnsi"/>
        </w:rPr>
        <w:t xml:space="preserve"> um sicherzustellen</w:t>
      </w:r>
      <w:r w:rsidR="00320EB3" w:rsidRPr="008D716D">
        <w:rPr>
          <w:rFonts w:asciiTheme="minorHAnsi" w:hAnsiTheme="minorHAnsi" w:cstheme="minorHAnsi"/>
        </w:rPr>
        <w:t xml:space="preserve">, </w:t>
      </w:r>
      <w:r w:rsidRPr="008D716D">
        <w:rPr>
          <w:rFonts w:asciiTheme="minorHAnsi" w:hAnsiTheme="minorHAnsi" w:cstheme="minorHAnsi"/>
        </w:rPr>
        <w:t xml:space="preserve">dass die Unternehmen </w:t>
      </w:r>
      <w:r w:rsidR="00320EB3" w:rsidRPr="008D716D">
        <w:rPr>
          <w:rFonts w:asciiTheme="minorHAnsi" w:hAnsiTheme="minorHAnsi" w:cstheme="minorHAnsi"/>
        </w:rPr>
        <w:t>bereits verabschiedeten Standards</w:t>
      </w:r>
      <w:r w:rsidRPr="008D716D">
        <w:rPr>
          <w:rFonts w:asciiTheme="minorHAnsi" w:hAnsiTheme="minorHAnsi" w:cstheme="minorHAnsi"/>
        </w:rPr>
        <w:t xml:space="preserve"> </w:t>
      </w:r>
      <w:r w:rsidR="00320EB3" w:rsidRPr="008D716D">
        <w:rPr>
          <w:rFonts w:asciiTheme="minorHAnsi" w:hAnsiTheme="minorHAnsi" w:cstheme="minorHAnsi"/>
        </w:rPr>
        <w:t>entsprechen</w:t>
      </w:r>
      <w:r w:rsidRPr="008D716D">
        <w:rPr>
          <w:rFonts w:asciiTheme="minorHAnsi" w:hAnsiTheme="minorHAnsi" w:cstheme="minorHAnsi"/>
        </w:rPr>
        <w:t xml:space="preserve">. Bei </w:t>
      </w:r>
      <w:r w:rsidR="00320EB3" w:rsidRPr="008D716D">
        <w:rPr>
          <w:rFonts w:asciiTheme="minorHAnsi" w:hAnsiTheme="minorHAnsi" w:cstheme="minorHAnsi"/>
        </w:rPr>
        <w:t xml:space="preserve">Punkt </w:t>
      </w:r>
      <w:r w:rsidRPr="008D716D">
        <w:rPr>
          <w:rFonts w:asciiTheme="minorHAnsi" w:hAnsiTheme="minorHAnsi" w:cstheme="minorHAnsi"/>
        </w:rPr>
        <w:t>Nr. 31 des Leitlinienentwurfs heißt es eindeutig: „</w:t>
      </w:r>
      <w:r w:rsidR="00320EB3" w:rsidRPr="008D716D">
        <w:rPr>
          <w:rFonts w:asciiTheme="minorHAnsi" w:hAnsiTheme="minorHAnsi" w:cstheme="minorHAnsi"/>
          <w:i/>
          <w:iCs/>
        </w:rPr>
        <w:t>Als</w:t>
      </w:r>
      <w:r w:rsidRPr="008D716D">
        <w:rPr>
          <w:rFonts w:asciiTheme="minorHAnsi" w:hAnsiTheme="minorHAnsi" w:cstheme="minorHAnsi"/>
          <w:i/>
          <w:iCs/>
        </w:rPr>
        <w:t xml:space="preserve"> </w:t>
      </w:r>
      <w:r w:rsidR="00320EB3" w:rsidRPr="008D716D">
        <w:rPr>
          <w:rFonts w:asciiTheme="minorHAnsi" w:hAnsiTheme="minorHAnsi" w:cstheme="minorHAnsi"/>
          <w:i/>
          <w:iCs/>
        </w:rPr>
        <w:t>allgemeine Regel</w:t>
      </w:r>
      <w:r w:rsidRPr="008D716D">
        <w:rPr>
          <w:rFonts w:asciiTheme="minorHAnsi" w:hAnsiTheme="minorHAnsi" w:cstheme="minorHAnsi"/>
          <w:i/>
          <w:iCs/>
        </w:rPr>
        <w:t xml:space="preserve"> können nur Beihilfen, die über die Unionsnormen hinausgehen, einen Anreizeffekt haben</w:t>
      </w:r>
      <w:r w:rsidRPr="008D716D">
        <w:rPr>
          <w:rFonts w:asciiTheme="minorHAnsi" w:hAnsiTheme="minorHAnsi" w:cstheme="minorHAnsi"/>
        </w:rPr>
        <w:t>“. Aufgrund der folgenden Aspekte ist nicht klar</w:t>
      </w:r>
      <w:r w:rsidR="00320EB3" w:rsidRPr="008D716D">
        <w:rPr>
          <w:rFonts w:asciiTheme="minorHAnsi" w:hAnsiTheme="minorHAnsi" w:cstheme="minorHAnsi"/>
        </w:rPr>
        <w:t>, was diese Aussage</w:t>
      </w:r>
      <w:r w:rsidRPr="008D716D">
        <w:rPr>
          <w:rFonts w:asciiTheme="minorHAnsi" w:hAnsiTheme="minorHAnsi" w:cstheme="minorHAnsi"/>
        </w:rPr>
        <w:t xml:space="preserve"> für den Kauf von </w:t>
      </w:r>
      <w:r w:rsidR="00320EB3" w:rsidRPr="008D716D">
        <w:rPr>
          <w:rFonts w:asciiTheme="minorHAnsi" w:hAnsiTheme="minorHAnsi" w:cstheme="minorHAnsi"/>
        </w:rPr>
        <w:t>Null-Emissionsf</w:t>
      </w:r>
      <w:r w:rsidRPr="008D716D">
        <w:rPr>
          <w:rFonts w:asciiTheme="minorHAnsi" w:hAnsiTheme="minorHAnsi" w:cstheme="minorHAnsi"/>
        </w:rPr>
        <w:t xml:space="preserve">ahrzeugen </w:t>
      </w:r>
      <w:r w:rsidR="00320EB3" w:rsidRPr="008D716D">
        <w:rPr>
          <w:rFonts w:asciiTheme="minorHAnsi" w:hAnsiTheme="minorHAnsi" w:cstheme="minorHAnsi"/>
        </w:rPr>
        <w:t>durch</w:t>
      </w:r>
      <w:r w:rsidRPr="008D716D">
        <w:rPr>
          <w:rFonts w:asciiTheme="minorHAnsi" w:hAnsiTheme="minorHAnsi" w:cstheme="minorHAnsi"/>
        </w:rPr>
        <w:t xml:space="preserve"> öffentliche Verkehrsunternehmen</w:t>
      </w:r>
      <w:r w:rsidR="00480C9A">
        <w:rPr>
          <w:rFonts w:asciiTheme="minorHAnsi" w:hAnsiTheme="minorHAnsi" w:cstheme="minorHAnsi"/>
        </w:rPr>
        <w:t xml:space="preserve"> bedeutet</w:t>
      </w:r>
      <w:r w:rsidRPr="008D716D">
        <w:rPr>
          <w:rFonts w:asciiTheme="minorHAnsi" w:hAnsiTheme="minorHAnsi" w:cstheme="minorHAnsi"/>
        </w:rPr>
        <w:t>, da sie die Rechtmäßigkeit de</w:t>
      </w:r>
      <w:r w:rsidR="00320EB3" w:rsidRPr="008D716D">
        <w:rPr>
          <w:rFonts w:asciiTheme="minorHAnsi" w:hAnsiTheme="minorHAnsi" w:cstheme="minorHAnsi"/>
        </w:rPr>
        <w:t>r</w:t>
      </w:r>
      <w:r w:rsidRPr="008D716D">
        <w:rPr>
          <w:rFonts w:asciiTheme="minorHAnsi" w:hAnsiTheme="minorHAnsi" w:cstheme="minorHAnsi"/>
        </w:rPr>
        <w:t xml:space="preserve"> Förderung in Frage stellt</w:t>
      </w:r>
      <w:r w:rsidR="00320EB3" w:rsidRPr="008D716D">
        <w:rPr>
          <w:rFonts w:asciiTheme="minorHAnsi" w:hAnsiTheme="minorHAnsi" w:cstheme="minorHAnsi"/>
        </w:rPr>
        <w:t>:</w:t>
      </w:r>
    </w:p>
    <w:p w14:paraId="641B606F" w14:textId="5925D280" w:rsidR="0024140C" w:rsidRPr="008D716D" w:rsidRDefault="0024140C" w:rsidP="00FF79DE">
      <w:pPr>
        <w:pStyle w:val="EH-Text"/>
        <w:numPr>
          <w:ilvl w:val="0"/>
          <w:numId w:val="22"/>
        </w:numPr>
        <w:spacing w:after="160" w:line="360" w:lineRule="auto"/>
        <w:rPr>
          <w:rFonts w:asciiTheme="minorHAnsi" w:hAnsiTheme="minorHAnsi" w:cstheme="minorHAnsi"/>
        </w:rPr>
      </w:pPr>
      <w:r w:rsidRPr="008D716D">
        <w:rPr>
          <w:rFonts w:asciiTheme="minorHAnsi" w:hAnsiTheme="minorHAnsi" w:cstheme="minorHAnsi"/>
        </w:rPr>
        <w:t xml:space="preserve">Die </w:t>
      </w:r>
      <w:r w:rsidR="00F57651" w:rsidRPr="008D716D">
        <w:rPr>
          <w:rFonts w:asciiTheme="minorHAnsi" w:hAnsiTheme="minorHAnsi" w:cstheme="minorHAnsi"/>
        </w:rPr>
        <w:t xml:space="preserve">Richtlinie zur Förderung sauberer und energieeffizienter Fahrzeuge (CVD) </w:t>
      </w:r>
      <w:r w:rsidRPr="008D716D">
        <w:rPr>
          <w:rFonts w:asciiTheme="minorHAnsi" w:hAnsiTheme="minorHAnsi" w:cstheme="minorHAnsi"/>
        </w:rPr>
        <w:t xml:space="preserve">(EU 2019/1161) </w:t>
      </w:r>
      <w:r w:rsidR="00F57651" w:rsidRPr="008D716D">
        <w:rPr>
          <w:rFonts w:asciiTheme="minorHAnsi" w:hAnsiTheme="minorHAnsi" w:cstheme="minorHAnsi"/>
        </w:rPr>
        <w:t>legt</w:t>
      </w:r>
      <w:r w:rsidRPr="008D716D">
        <w:rPr>
          <w:rFonts w:asciiTheme="minorHAnsi" w:hAnsiTheme="minorHAnsi" w:cstheme="minorHAnsi"/>
        </w:rPr>
        <w:t xml:space="preserve"> hohe Ziele für den Kauf von emissionsfreien Fahrzeugen </w:t>
      </w:r>
      <w:r w:rsidR="00480C9A">
        <w:rPr>
          <w:rFonts w:asciiTheme="minorHAnsi" w:hAnsiTheme="minorHAnsi" w:cstheme="minorHAnsi"/>
        </w:rPr>
        <w:t>im</w:t>
      </w:r>
      <w:r w:rsidRPr="008D716D">
        <w:rPr>
          <w:rFonts w:asciiTheme="minorHAnsi" w:hAnsiTheme="minorHAnsi" w:cstheme="minorHAnsi"/>
        </w:rPr>
        <w:t xml:space="preserve"> öffentlichen Auftragswesen </w:t>
      </w:r>
      <w:r w:rsidR="00F57651" w:rsidRPr="008D716D">
        <w:rPr>
          <w:rFonts w:asciiTheme="minorHAnsi" w:hAnsiTheme="minorHAnsi" w:cstheme="minorHAnsi"/>
        </w:rPr>
        <w:t>fest</w:t>
      </w:r>
      <w:r w:rsidRPr="008D716D">
        <w:rPr>
          <w:rFonts w:asciiTheme="minorHAnsi" w:hAnsiTheme="minorHAnsi" w:cstheme="minorHAnsi"/>
        </w:rPr>
        <w:t xml:space="preserve">. Bei den Verhandlungen </w:t>
      </w:r>
      <w:r w:rsidR="00F57651" w:rsidRPr="008D716D">
        <w:rPr>
          <w:rFonts w:asciiTheme="minorHAnsi" w:hAnsiTheme="minorHAnsi" w:cstheme="minorHAnsi"/>
        </w:rPr>
        <w:t>zur</w:t>
      </w:r>
      <w:r w:rsidRPr="008D716D">
        <w:rPr>
          <w:rFonts w:asciiTheme="minorHAnsi" w:hAnsiTheme="minorHAnsi" w:cstheme="minorHAnsi"/>
        </w:rPr>
        <w:t xml:space="preserve"> CVD wurde zugesichert, dass </w:t>
      </w:r>
      <w:r w:rsidR="00480C9A">
        <w:rPr>
          <w:rFonts w:asciiTheme="minorHAnsi" w:hAnsiTheme="minorHAnsi" w:cstheme="minorHAnsi"/>
        </w:rPr>
        <w:t>es</w:t>
      </w:r>
      <w:r w:rsidR="00480C9A" w:rsidRPr="008D716D">
        <w:rPr>
          <w:rFonts w:asciiTheme="minorHAnsi" w:hAnsiTheme="minorHAnsi" w:cstheme="minorHAnsi"/>
        </w:rPr>
        <w:t xml:space="preserve"> </w:t>
      </w:r>
      <w:r w:rsidRPr="008D716D">
        <w:rPr>
          <w:rFonts w:asciiTheme="minorHAnsi" w:hAnsiTheme="minorHAnsi" w:cstheme="minorHAnsi"/>
        </w:rPr>
        <w:t>Förderung</w:t>
      </w:r>
      <w:r w:rsidR="00480C9A">
        <w:rPr>
          <w:rFonts w:asciiTheme="minorHAnsi" w:hAnsiTheme="minorHAnsi" w:cstheme="minorHAnsi"/>
        </w:rPr>
        <w:t>en geben wird, die</w:t>
      </w:r>
      <w:r w:rsidRPr="008D716D">
        <w:rPr>
          <w:rFonts w:asciiTheme="minorHAnsi" w:hAnsiTheme="minorHAnsi" w:cstheme="minorHAnsi"/>
        </w:rPr>
        <w:t xml:space="preserve"> dazu beitr</w:t>
      </w:r>
      <w:r w:rsidR="00480C9A">
        <w:rPr>
          <w:rFonts w:asciiTheme="minorHAnsi" w:hAnsiTheme="minorHAnsi" w:cstheme="minorHAnsi"/>
        </w:rPr>
        <w:t>agen</w:t>
      </w:r>
      <w:r w:rsidRPr="008D716D">
        <w:rPr>
          <w:rFonts w:asciiTheme="minorHAnsi" w:hAnsiTheme="minorHAnsi" w:cstheme="minorHAnsi"/>
        </w:rPr>
        <w:t xml:space="preserve">, die hohen Mehrkosten für den Kauf emissionsfreier Fahrzeuge einzudämmen – </w:t>
      </w:r>
      <w:r w:rsidR="00F57651" w:rsidRPr="008D716D">
        <w:rPr>
          <w:rFonts w:asciiTheme="minorHAnsi" w:hAnsiTheme="minorHAnsi" w:cstheme="minorHAnsi"/>
        </w:rPr>
        <w:t>a</w:t>
      </w:r>
      <w:r w:rsidRPr="008D716D">
        <w:rPr>
          <w:rFonts w:asciiTheme="minorHAnsi" w:hAnsiTheme="minorHAnsi" w:cstheme="minorHAnsi"/>
        </w:rPr>
        <w:t xml:space="preserve">uch weil nur bestimmte Unternehmen diesen </w:t>
      </w:r>
      <w:r w:rsidRPr="008D716D">
        <w:rPr>
          <w:rFonts w:asciiTheme="minorHAnsi" w:hAnsiTheme="minorHAnsi" w:cstheme="minorHAnsi"/>
        </w:rPr>
        <w:lastRenderedPageBreak/>
        <w:t>EU-Regeln unterliegen. Wichtig ist, dass ÖPNV-Betreiber bei der Finanzierung zusätzlicher Investitionen durch die Einführung grüner Alternativen im ÖPNV (z</w:t>
      </w:r>
      <w:r w:rsidR="00F57651" w:rsidRPr="008D716D">
        <w:rPr>
          <w:rFonts w:asciiTheme="minorHAnsi" w:hAnsiTheme="minorHAnsi" w:cstheme="minorHAnsi"/>
        </w:rPr>
        <w:t>.</w:t>
      </w:r>
      <w:r w:rsidRPr="008D716D">
        <w:rPr>
          <w:rFonts w:asciiTheme="minorHAnsi" w:hAnsiTheme="minorHAnsi" w:cstheme="minorHAnsi"/>
        </w:rPr>
        <w:t>B</w:t>
      </w:r>
      <w:r w:rsidR="00F57651" w:rsidRPr="008D716D">
        <w:rPr>
          <w:rFonts w:asciiTheme="minorHAnsi" w:hAnsiTheme="minorHAnsi" w:cstheme="minorHAnsi"/>
        </w:rPr>
        <w:t>.</w:t>
      </w:r>
      <w:r w:rsidRPr="008D716D">
        <w:rPr>
          <w:rFonts w:asciiTheme="minorHAnsi" w:hAnsiTheme="minorHAnsi" w:cstheme="minorHAnsi"/>
        </w:rPr>
        <w:t xml:space="preserve"> Ersatz von Dieselbussen durch Wasserstoff- oder Elektrobusse) unterstützt werden.</w:t>
      </w:r>
    </w:p>
    <w:p w14:paraId="1AAAF384" w14:textId="11E058BF" w:rsidR="0024140C" w:rsidRPr="008D716D" w:rsidRDefault="0024140C" w:rsidP="00FF79DE">
      <w:pPr>
        <w:pStyle w:val="EH-Text"/>
        <w:numPr>
          <w:ilvl w:val="0"/>
          <w:numId w:val="22"/>
        </w:numPr>
        <w:spacing w:after="160" w:line="360" w:lineRule="auto"/>
        <w:rPr>
          <w:rFonts w:asciiTheme="minorHAnsi" w:hAnsiTheme="minorHAnsi" w:cstheme="minorHAnsi"/>
        </w:rPr>
      </w:pPr>
      <w:r w:rsidRPr="008D716D">
        <w:rPr>
          <w:rFonts w:asciiTheme="minorHAnsi" w:hAnsiTheme="minorHAnsi" w:cstheme="minorHAnsi"/>
        </w:rPr>
        <w:t xml:space="preserve">Erwägungsgrund 26 der revidierten CVD </w:t>
      </w:r>
      <w:r w:rsidR="00F57651" w:rsidRPr="008D716D">
        <w:rPr>
          <w:rFonts w:asciiTheme="minorHAnsi" w:hAnsiTheme="minorHAnsi" w:cstheme="minorHAnsi"/>
        </w:rPr>
        <w:t>besagt</w:t>
      </w:r>
      <w:r w:rsidR="005F7627">
        <w:rPr>
          <w:rFonts w:asciiTheme="minorHAnsi" w:hAnsiTheme="minorHAnsi" w:cstheme="minorHAnsi"/>
        </w:rPr>
        <w:t xml:space="preserve">: </w:t>
      </w:r>
      <w:r w:rsidRPr="008D716D">
        <w:rPr>
          <w:rFonts w:asciiTheme="minorHAnsi" w:hAnsiTheme="minorHAnsi" w:cstheme="minorHAnsi"/>
        </w:rPr>
        <w:t>"</w:t>
      </w:r>
      <w:r w:rsidR="008063E4" w:rsidRPr="008D716D">
        <w:rPr>
          <w:rFonts w:asciiTheme="minorHAnsi" w:hAnsiTheme="minorHAnsi" w:cstheme="minorHAnsi"/>
        </w:rPr>
        <w:t>W</w:t>
      </w:r>
      <w:r w:rsidRPr="008D716D">
        <w:rPr>
          <w:rFonts w:asciiTheme="minorHAnsi" w:hAnsiTheme="minorHAnsi" w:cstheme="minorHAnsi"/>
          <w:i/>
          <w:iCs/>
        </w:rPr>
        <w:t xml:space="preserve">eitere Unterstützung für die Markteinführung sauberer Fahrzeuge und ihrer Infrastruktur </w:t>
      </w:r>
      <w:r w:rsidR="008063E4" w:rsidRPr="008D716D">
        <w:rPr>
          <w:rFonts w:asciiTheme="minorHAnsi" w:hAnsiTheme="minorHAnsi" w:cstheme="minorHAnsi"/>
          <w:i/>
          <w:iCs/>
        </w:rPr>
        <w:t xml:space="preserve">kann </w:t>
      </w:r>
      <w:r w:rsidRPr="008D716D">
        <w:rPr>
          <w:rFonts w:asciiTheme="minorHAnsi" w:hAnsiTheme="minorHAnsi" w:cstheme="minorHAnsi"/>
          <w:i/>
          <w:iCs/>
        </w:rPr>
        <w:t xml:space="preserve">durch </w:t>
      </w:r>
      <w:r w:rsidR="008063E4" w:rsidRPr="008D716D">
        <w:rPr>
          <w:rFonts w:asciiTheme="minorHAnsi" w:hAnsiTheme="minorHAnsi" w:cstheme="minorHAnsi"/>
          <w:i/>
          <w:iCs/>
        </w:rPr>
        <w:t xml:space="preserve">die </w:t>
      </w:r>
      <w:r w:rsidRPr="008D716D">
        <w:rPr>
          <w:rFonts w:asciiTheme="minorHAnsi" w:hAnsiTheme="minorHAnsi" w:cstheme="minorHAnsi"/>
          <w:i/>
          <w:iCs/>
        </w:rPr>
        <w:t>Bereitstellung gezielte</w:t>
      </w:r>
      <w:r w:rsidR="008063E4" w:rsidRPr="008D716D">
        <w:rPr>
          <w:rFonts w:asciiTheme="minorHAnsi" w:hAnsiTheme="minorHAnsi" w:cstheme="minorHAnsi"/>
          <w:i/>
          <w:iCs/>
        </w:rPr>
        <w:t>r</w:t>
      </w:r>
      <w:r w:rsidRPr="008D716D">
        <w:rPr>
          <w:rFonts w:asciiTheme="minorHAnsi" w:hAnsiTheme="minorHAnsi" w:cstheme="minorHAnsi"/>
          <w:i/>
          <w:iCs/>
        </w:rPr>
        <w:t xml:space="preserve"> öffentliche</w:t>
      </w:r>
      <w:r w:rsidR="008063E4" w:rsidRPr="008D716D">
        <w:rPr>
          <w:rFonts w:asciiTheme="minorHAnsi" w:hAnsiTheme="minorHAnsi" w:cstheme="minorHAnsi"/>
          <w:i/>
          <w:iCs/>
        </w:rPr>
        <w:t>r</w:t>
      </w:r>
      <w:r w:rsidRPr="008D716D">
        <w:rPr>
          <w:rFonts w:asciiTheme="minorHAnsi" w:hAnsiTheme="minorHAnsi" w:cstheme="minorHAnsi"/>
          <w:i/>
          <w:iCs/>
        </w:rPr>
        <w:t xml:space="preserve"> Fördermaßnahmen auf nationaler und Unionsebene erreicht werden. Zu diesen Maßnahmen gehören der verstärkte Einsatz von Unionsmitteln zur Unterstützung der Erneuerung öffentlicher Verkehrsflotten sowie ein besserer Wissensaustausch und eine Abstimmung der Auftragsvergabe, um Maßnahmen in einem Umfang zu ermöglichen, </w:t>
      </w:r>
      <w:r w:rsidR="008063E4" w:rsidRPr="008D716D">
        <w:rPr>
          <w:rFonts w:asciiTheme="minorHAnsi" w:hAnsiTheme="minorHAnsi" w:cstheme="minorHAnsi"/>
          <w:i/>
          <w:iCs/>
        </w:rPr>
        <w:t>die</w:t>
      </w:r>
      <w:r w:rsidRPr="008D716D">
        <w:rPr>
          <w:rFonts w:asciiTheme="minorHAnsi" w:hAnsiTheme="minorHAnsi" w:cstheme="minorHAnsi"/>
          <w:i/>
          <w:iCs/>
        </w:rPr>
        <w:t xml:space="preserve"> Kostensenkungen und Marktwirkungen ermöglich</w:t>
      </w:r>
      <w:r w:rsidR="008063E4" w:rsidRPr="008D716D">
        <w:rPr>
          <w:rFonts w:asciiTheme="minorHAnsi" w:hAnsiTheme="minorHAnsi" w:cstheme="minorHAnsi"/>
          <w:i/>
          <w:iCs/>
        </w:rPr>
        <w:t>en</w:t>
      </w:r>
      <w:r w:rsidRPr="008D716D">
        <w:rPr>
          <w:rFonts w:asciiTheme="minorHAnsi" w:hAnsiTheme="minorHAnsi" w:cstheme="minorHAnsi"/>
          <w:i/>
          <w:iCs/>
        </w:rPr>
        <w:t>.“</w:t>
      </w:r>
      <w:r w:rsidRPr="008D716D">
        <w:rPr>
          <w:rFonts w:asciiTheme="minorHAnsi" w:hAnsiTheme="minorHAnsi" w:cstheme="minorHAnsi"/>
        </w:rPr>
        <w:t xml:space="preserve"> In diesem Erwägungsgrund wird aber auch auf die Leitlinien für staatliche Umweltschutz- und Energiebeihilfen 2014-2020 verwiesen.</w:t>
      </w:r>
    </w:p>
    <w:p w14:paraId="3A94C192" w14:textId="5F37BF51" w:rsidR="0024140C" w:rsidRPr="008D716D" w:rsidRDefault="0024140C" w:rsidP="00FF79DE">
      <w:pPr>
        <w:pStyle w:val="EH-Text"/>
        <w:numPr>
          <w:ilvl w:val="0"/>
          <w:numId w:val="22"/>
        </w:numPr>
        <w:spacing w:after="160" w:line="360" w:lineRule="auto"/>
        <w:rPr>
          <w:rFonts w:asciiTheme="minorHAnsi" w:hAnsiTheme="minorHAnsi" w:cstheme="minorHAnsi"/>
        </w:rPr>
      </w:pPr>
      <w:r w:rsidRPr="008D716D">
        <w:rPr>
          <w:rFonts w:asciiTheme="minorHAnsi" w:hAnsiTheme="minorHAnsi" w:cstheme="minorHAnsi"/>
        </w:rPr>
        <w:t>Unter 4.3.1. des Leitlinienentwurfs räumt die Europäische Kommission selbst ein, dass „</w:t>
      </w:r>
      <w:r w:rsidRPr="008D716D">
        <w:rPr>
          <w:rFonts w:asciiTheme="minorHAnsi" w:hAnsiTheme="minorHAnsi" w:cstheme="minorHAnsi"/>
          <w:i/>
          <w:iCs/>
        </w:rPr>
        <w:t>trotz bestehender Politiken bestimmte Marktbarrieren und Marktversagen möglicherweise nicht angegangen werden können, einschließlich der Erschwinglichkeit sauberer Transportfahrzeuge im Vergleich zu konventionellen Fahrzeugen […]</w:t>
      </w:r>
      <w:r w:rsidRPr="008D716D">
        <w:rPr>
          <w:rFonts w:asciiTheme="minorHAnsi" w:hAnsiTheme="minorHAnsi" w:cstheme="minorHAnsi"/>
        </w:rPr>
        <w:t>“ und dass „</w:t>
      </w:r>
      <w:r w:rsidRPr="008D716D">
        <w:rPr>
          <w:rFonts w:asciiTheme="minorHAnsi" w:hAnsiTheme="minorHAnsi" w:cstheme="minorHAnsi"/>
          <w:i/>
          <w:iCs/>
        </w:rPr>
        <w:t xml:space="preserve">Mitgliedstaaten daher </w:t>
      </w:r>
      <w:r w:rsidR="00480C9A">
        <w:rPr>
          <w:rFonts w:asciiTheme="minorHAnsi" w:hAnsiTheme="minorHAnsi" w:cstheme="minorHAnsi"/>
          <w:i/>
          <w:iCs/>
        </w:rPr>
        <w:t xml:space="preserve">Beihilfen </w:t>
      </w:r>
      <w:r w:rsidRPr="008D716D">
        <w:rPr>
          <w:rFonts w:asciiTheme="minorHAnsi" w:hAnsiTheme="minorHAnsi" w:cstheme="minorHAnsi"/>
          <w:i/>
          <w:iCs/>
        </w:rPr>
        <w:t xml:space="preserve">zur Behebung dieses verbleibenden Marktversagens </w:t>
      </w:r>
      <w:r w:rsidR="008063E4" w:rsidRPr="008D716D">
        <w:rPr>
          <w:rFonts w:asciiTheme="minorHAnsi" w:hAnsiTheme="minorHAnsi" w:cstheme="minorHAnsi"/>
          <w:i/>
          <w:iCs/>
        </w:rPr>
        <w:t xml:space="preserve">gewähren können und </w:t>
      </w:r>
      <w:r w:rsidRPr="008D716D">
        <w:rPr>
          <w:rFonts w:asciiTheme="minorHAnsi" w:hAnsiTheme="minorHAnsi" w:cstheme="minorHAnsi"/>
          <w:i/>
          <w:iCs/>
        </w:rPr>
        <w:t>die Entwicklung des Sektors</w:t>
      </w:r>
      <w:r w:rsidR="008063E4" w:rsidRPr="008D716D">
        <w:rPr>
          <w:rFonts w:asciiTheme="minorHAnsi" w:hAnsiTheme="minorHAnsi" w:cstheme="minorHAnsi"/>
          <w:i/>
          <w:iCs/>
        </w:rPr>
        <w:t xml:space="preserve"> für eine</w:t>
      </w:r>
      <w:r w:rsidRPr="008D716D">
        <w:rPr>
          <w:rFonts w:asciiTheme="minorHAnsi" w:hAnsiTheme="minorHAnsi" w:cstheme="minorHAnsi"/>
          <w:i/>
          <w:iCs/>
        </w:rPr>
        <w:t xml:space="preserve"> saubere Mobilität</w:t>
      </w:r>
      <w:r w:rsidR="008063E4" w:rsidRPr="008D716D">
        <w:rPr>
          <w:rFonts w:asciiTheme="minorHAnsi" w:hAnsiTheme="minorHAnsi" w:cstheme="minorHAnsi"/>
          <w:i/>
          <w:iCs/>
        </w:rPr>
        <w:t xml:space="preserve"> unterstützen können</w:t>
      </w:r>
      <w:r w:rsidRPr="008D716D">
        <w:rPr>
          <w:rFonts w:asciiTheme="minorHAnsi" w:hAnsiTheme="minorHAnsi" w:cstheme="minorHAnsi"/>
          <w:i/>
          <w:iCs/>
        </w:rPr>
        <w:t>“.</w:t>
      </w:r>
      <w:r w:rsidRPr="008D716D">
        <w:rPr>
          <w:rFonts w:asciiTheme="minorHAnsi" w:hAnsiTheme="minorHAnsi" w:cstheme="minorHAnsi"/>
        </w:rPr>
        <w:t xml:space="preserve"> (Nr. 139) </w:t>
      </w:r>
      <w:r w:rsidR="008063E4" w:rsidRPr="008D716D">
        <w:rPr>
          <w:rFonts w:asciiTheme="minorHAnsi" w:hAnsiTheme="minorHAnsi" w:cstheme="minorHAnsi"/>
        </w:rPr>
        <w:t>Das</w:t>
      </w:r>
      <w:r w:rsidRPr="008D716D">
        <w:rPr>
          <w:rFonts w:asciiTheme="minorHAnsi" w:hAnsiTheme="minorHAnsi" w:cstheme="minorHAnsi"/>
        </w:rPr>
        <w:t xml:space="preserve"> Kapitel stellt jedoch ganz klar dar, dass die im </w:t>
      </w:r>
      <w:r w:rsidR="00480C9A">
        <w:rPr>
          <w:rFonts w:asciiTheme="minorHAnsi" w:hAnsiTheme="minorHAnsi" w:cstheme="minorHAnsi"/>
        </w:rPr>
        <w:t>hier</w:t>
      </w:r>
      <w:r w:rsidR="00480C9A" w:rsidRPr="008D716D">
        <w:rPr>
          <w:rFonts w:asciiTheme="minorHAnsi" w:hAnsiTheme="minorHAnsi" w:cstheme="minorHAnsi"/>
        </w:rPr>
        <w:t xml:space="preserve"> </w:t>
      </w:r>
      <w:r w:rsidRPr="008D716D">
        <w:rPr>
          <w:rFonts w:asciiTheme="minorHAnsi" w:hAnsiTheme="minorHAnsi" w:cstheme="minorHAnsi"/>
        </w:rPr>
        <w:t>beschriebenen Kriterien zusätzlich zu den in Abschnitt 3.1.2 genannten Bedingungen (Nr. 142) zu erfüllen sind</w:t>
      </w:r>
      <w:r w:rsidR="0052385C" w:rsidRPr="008D716D">
        <w:rPr>
          <w:rFonts w:asciiTheme="minorHAnsi" w:hAnsiTheme="minorHAnsi" w:cstheme="minorHAnsi"/>
        </w:rPr>
        <w:t xml:space="preserve"> </w:t>
      </w:r>
      <w:r w:rsidRPr="008D716D">
        <w:rPr>
          <w:rFonts w:asciiTheme="minorHAnsi" w:hAnsiTheme="minorHAnsi" w:cstheme="minorHAnsi"/>
        </w:rPr>
        <w:t>(Anreizwirkung).</w:t>
      </w:r>
    </w:p>
    <w:p w14:paraId="3219D478" w14:textId="33F1555E" w:rsidR="0024140C" w:rsidRPr="004012DB" w:rsidRDefault="001C3BF9" w:rsidP="00605960">
      <w:pPr>
        <w:pStyle w:val="EH-Text"/>
        <w:numPr>
          <w:ilvl w:val="0"/>
          <w:numId w:val="22"/>
        </w:numPr>
        <w:spacing w:after="160" w:line="360" w:lineRule="auto"/>
        <w:ind w:left="0"/>
        <w:rPr>
          <w:rFonts w:asciiTheme="minorHAnsi" w:hAnsiTheme="minorHAnsi" w:cstheme="minorHAnsi"/>
        </w:rPr>
      </w:pPr>
      <w:r w:rsidRPr="004012DB">
        <w:rPr>
          <w:rFonts w:asciiTheme="minorHAnsi" w:hAnsiTheme="minorHAnsi" w:cstheme="minorHAnsi"/>
        </w:rPr>
        <w:t xml:space="preserve">Aus unserer Sicht kann </w:t>
      </w:r>
      <w:r w:rsidR="0024140C" w:rsidRPr="004012DB">
        <w:rPr>
          <w:rFonts w:asciiTheme="minorHAnsi" w:hAnsiTheme="minorHAnsi" w:cstheme="minorHAnsi"/>
        </w:rPr>
        <w:t>der Wortlaut von N</w:t>
      </w:r>
      <w:r w:rsidRPr="004012DB">
        <w:rPr>
          <w:rFonts w:asciiTheme="minorHAnsi" w:hAnsiTheme="minorHAnsi" w:cstheme="minorHAnsi"/>
        </w:rPr>
        <w:t>r</w:t>
      </w:r>
      <w:r w:rsidR="0024140C" w:rsidRPr="004012DB">
        <w:rPr>
          <w:rFonts w:asciiTheme="minorHAnsi" w:hAnsiTheme="minorHAnsi" w:cstheme="minorHAnsi"/>
        </w:rPr>
        <w:t>. 31 de</w:t>
      </w:r>
      <w:r w:rsidRPr="004012DB">
        <w:rPr>
          <w:rFonts w:asciiTheme="minorHAnsi" w:hAnsiTheme="minorHAnsi" w:cstheme="minorHAnsi"/>
        </w:rPr>
        <w:t>s</w:t>
      </w:r>
      <w:r w:rsidR="0024140C" w:rsidRPr="004012DB">
        <w:rPr>
          <w:rFonts w:asciiTheme="minorHAnsi" w:hAnsiTheme="minorHAnsi" w:cstheme="minorHAnsi"/>
        </w:rPr>
        <w:t xml:space="preserve"> Entwurf</w:t>
      </w:r>
      <w:r w:rsidRPr="004012DB">
        <w:rPr>
          <w:rFonts w:asciiTheme="minorHAnsi" w:hAnsiTheme="minorHAnsi" w:cstheme="minorHAnsi"/>
        </w:rPr>
        <w:t>s</w:t>
      </w:r>
      <w:r w:rsidR="0024140C" w:rsidRPr="004012DB">
        <w:rPr>
          <w:rFonts w:asciiTheme="minorHAnsi" w:hAnsiTheme="minorHAnsi" w:cstheme="minorHAnsi"/>
        </w:rPr>
        <w:t xml:space="preserve"> der Leitlinien nicht zu einer Situation führen</w:t>
      </w:r>
      <w:r w:rsidRPr="004012DB">
        <w:rPr>
          <w:rFonts w:asciiTheme="minorHAnsi" w:hAnsiTheme="minorHAnsi" w:cstheme="minorHAnsi"/>
        </w:rPr>
        <w:t xml:space="preserve">, bei </w:t>
      </w:r>
      <w:r w:rsidR="0052385C" w:rsidRPr="004012DB">
        <w:rPr>
          <w:rFonts w:asciiTheme="minorHAnsi" w:hAnsiTheme="minorHAnsi" w:cstheme="minorHAnsi"/>
        </w:rPr>
        <w:t xml:space="preserve">der </w:t>
      </w:r>
      <w:r w:rsidRPr="004012DB">
        <w:rPr>
          <w:rFonts w:asciiTheme="minorHAnsi" w:hAnsiTheme="minorHAnsi" w:cstheme="minorHAnsi"/>
        </w:rPr>
        <w:t>Betreiber öffentlicher</w:t>
      </w:r>
      <w:r w:rsidR="0024140C" w:rsidRPr="004012DB">
        <w:rPr>
          <w:rFonts w:asciiTheme="minorHAnsi" w:hAnsiTheme="minorHAnsi" w:cstheme="minorHAnsi"/>
        </w:rPr>
        <w:t xml:space="preserve"> Verkehrsunternehmen</w:t>
      </w:r>
      <w:r w:rsidR="004012DB" w:rsidRPr="004012DB">
        <w:rPr>
          <w:rFonts w:asciiTheme="minorHAnsi" w:hAnsiTheme="minorHAnsi" w:cstheme="minorHAnsi"/>
        </w:rPr>
        <w:t>, die</w:t>
      </w:r>
      <w:r w:rsidR="0024140C" w:rsidRPr="004012DB">
        <w:rPr>
          <w:rFonts w:asciiTheme="minorHAnsi" w:hAnsiTheme="minorHAnsi" w:cstheme="minorHAnsi"/>
        </w:rPr>
        <w:t xml:space="preserve"> im Rahmen der CVD dazu verpflichtet</w:t>
      </w:r>
      <w:r w:rsidRPr="004012DB">
        <w:rPr>
          <w:rFonts w:asciiTheme="minorHAnsi" w:hAnsiTheme="minorHAnsi" w:cstheme="minorHAnsi"/>
        </w:rPr>
        <w:t xml:space="preserve"> </w:t>
      </w:r>
      <w:r w:rsidR="008F142C" w:rsidRPr="004012DB">
        <w:rPr>
          <w:rFonts w:asciiTheme="minorHAnsi" w:hAnsiTheme="minorHAnsi" w:cstheme="minorHAnsi"/>
        </w:rPr>
        <w:t>werden,</w:t>
      </w:r>
      <w:r w:rsidRPr="004012DB">
        <w:rPr>
          <w:rFonts w:asciiTheme="minorHAnsi" w:hAnsiTheme="minorHAnsi" w:cstheme="minorHAnsi"/>
        </w:rPr>
        <w:t xml:space="preserve"> </w:t>
      </w:r>
      <w:r w:rsidR="0024140C" w:rsidRPr="00605960">
        <w:rPr>
          <w:rFonts w:asciiTheme="minorHAnsi" w:hAnsiTheme="minorHAnsi" w:cstheme="minorHAnsi"/>
        </w:rPr>
        <w:t xml:space="preserve">emissionsfreie Fahrzeuge </w:t>
      </w:r>
      <w:r w:rsidRPr="00605960">
        <w:rPr>
          <w:rFonts w:asciiTheme="minorHAnsi" w:hAnsiTheme="minorHAnsi" w:cstheme="minorHAnsi"/>
        </w:rPr>
        <w:t>zu erwerben</w:t>
      </w:r>
      <w:r w:rsidR="008F142C">
        <w:rPr>
          <w:rFonts w:asciiTheme="minorHAnsi" w:hAnsiTheme="minorHAnsi" w:cstheme="minorHAnsi"/>
        </w:rPr>
        <w:t xml:space="preserve">, </w:t>
      </w:r>
      <w:r w:rsidRPr="004012DB">
        <w:rPr>
          <w:rFonts w:asciiTheme="minorHAnsi" w:hAnsiTheme="minorHAnsi" w:cstheme="minorHAnsi"/>
        </w:rPr>
        <w:t>keine</w:t>
      </w:r>
      <w:r w:rsidR="0024140C" w:rsidRPr="004012DB">
        <w:rPr>
          <w:rFonts w:asciiTheme="minorHAnsi" w:hAnsiTheme="minorHAnsi" w:cstheme="minorHAnsi"/>
        </w:rPr>
        <w:t xml:space="preserve"> </w:t>
      </w:r>
      <w:r w:rsidR="004012DB" w:rsidRPr="004012DB">
        <w:rPr>
          <w:rFonts w:asciiTheme="minorHAnsi" w:hAnsiTheme="minorHAnsi" w:cstheme="minorHAnsi"/>
        </w:rPr>
        <w:t xml:space="preserve">Förderungen </w:t>
      </w:r>
      <w:r w:rsidR="0024140C" w:rsidRPr="004012DB">
        <w:rPr>
          <w:rFonts w:asciiTheme="minorHAnsi" w:hAnsiTheme="minorHAnsi" w:cstheme="minorHAnsi"/>
        </w:rPr>
        <w:t xml:space="preserve">für den Kauf </w:t>
      </w:r>
      <w:r w:rsidR="004012DB" w:rsidRPr="004012DB">
        <w:rPr>
          <w:rFonts w:asciiTheme="minorHAnsi" w:hAnsiTheme="minorHAnsi" w:cstheme="minorHAnsi"/>
        </w:rPr>
        <w:t>diese</w:t>
      </w:r>
      <w:r w:rsidR="00605960">
        <w:rPr>
          <w:rFonts w:asciiTheme="minorHAnsi" w:hAnsiTheme="minorHAnsi" w:cstheme="minorHAnsi"/>
        </w:rPr>
        <w:t>r</w:t>
      </w:r>
      <w:r w:rsidR="004012DB" w:rsidRPr="00605960">
        <w:rPr>
          <w:rFonts w:asciiTheme="minorHAnsi" w:hAnsiTheme="minorHAnsi" w:cstheme="minorHAnsi"/>
        </w:rPr>
        <w:t xml:space="preserve"> </w:t>
      </w:r>
      <w:r w:rsidR="0024140C" w:rsidRPr="00605960">
        <w:rPr>
          <w:rFonts w:asciiTheme="minorHAnsi" w:hAnsiTheme="minorHAnsi" w:cstheme="minorHAnsi"/>
        </w:rPr>
        <w:t>umweltfreundliche</w:t>
      </w:r>
      <w:r w:rsidR="004012DB" w:rsidRPr="00605960">
        <w:rPr>
          <w:rFonts w:asciiTheme="minorHAnsi" w:hAnsiTheme="minorHAnsi" w:cstheme="minorHAnsi"/>
        </w:rPr>
        <w:t>n</w:t>
      </w:r>
      <w:r w:rsidR="0024140C" w:rsidRPr="004012DB">
        <w:rPr>
          <w:rFonts w:asciiTheme="minorHAnsi" w:hAnsiTheme="minorHAnsi" w:cstheme="minorHAnsi"/>
        </w:rPr>
        <w:t xml:space="preserve"> Fahrzeuge erhalten</w:t>
      </w:r>
      <w:r w:rsidRPr="004012DB">
        <w:rPr>
          <w:rFonts w:asciiTheme="minorHAnsi" w:hAnsiTheme="minorHAnsi" w:cstheme="minorHAnsi"/>
        </w:rPr>
        <w:t xml:space="preserve"> können.</w:t>
      </w:r>
      <w:r w:rsidR="0024140C" w:rsidRPr="004012DB">
        <w:rPr>
          <w:rFonts w:asciiTheme="minorHAnsi" w:hAnsiTheme="minorHAnsi" w:cstheme="minorHAnsi"/>
        </w:rPr>
        <w:t xml:space="preserve"> </w:t>
      </w:r>
      <w:r w:rsidR="00605960">
        <w:rPr>
          <w:rFonts w:asciiTheme="minorHAnsi" w:hAnsiTheme="minorHAnsi" w:cstheme="minorHAnsi"/>
        </w:rPr>
        <w:t>Eine Abänderung des</w:t>
      </w:r>
      <w:r w:rsidR="00AF6D79" w:rsidRPr="004012DB">
        <w:rPr>
          <w:rFonts w:asciiTheme="minorHAnsi" w:hAnsiTheme="minorHAnsi" w:cstheme="minorHAnsi"/>
        </w:rPr>
        <w:t xml:space="preserve"> Wortlaut</w:t>
      </w:r>
      <w:r w:rsidR="00605960">
        <w:rPr>
          <w:rFonts w:asciiTheme="minorHAnsi" w:hAnsiTheme="minorHAnsi" w:cstheme="minorHAnsi"/>
        </w:rPr>
        <w:t>s</w:t>
      </w:r>
      <w:r w:rsidR="00AF6D79" w:rsidRPr="004012DB">
        <w:rPr>
          <w:rFonts w:asciiTheme="minorHAnsi" w:hAnsiTheme="minorHAnsi" w:cstheme="minorHAnsi"/>
        </w:rPr>
        <w:t xml:space="preserve"> in Bezug auf den Anreizeffekt</w:t>
      </w:r>
      <w:r w:rsidR="00605960">
        <w:rPr>
          <w:rFonts w:asciiTheme="minorHAnsi" w:hAnsiTheme="minorHAnsi" w:cstheme="minorHAnsi"/>
        </w:rPr>
        <w:t xml:space="preserve"> dahingehend, </w:t>
      </w:r>
      <w:r w:rsidR="008F142C">
        <w:rPr>
          <w:rFonts w:asciiTheme="minorHAnsi" w:hAnsiTheme="minorHAnsi" w:cstheme="minorHAnsi"/>
        </w:rPr>
        <w:t xml:space="preserve">dass </w:t>
      </w:r>
      <w:r w:rsidR="008F142C" w:rsidRPr="004012DB">
        <w:rPr>
          <w:rFonts w:asciiTheme="minorHAnsi" w:hAnsiTheme="minorHAnsi" w:cstheme="minorHAnsi"/>
        </w:rPr>
        <w:t>Betreiber</w:t>
      </w:r>
      <w:r w:rsidR="00AF6D79" w:rsidRPr="004012DB">
        <w:rPr>
          <w:rFonts w:asciiTheme="minorHAnsi" w:hAnsiTheme="minorHAnsi" w:cstheme="minorHAnsi"/>
        </w:rPr>
        <w:t xml:space="preserve"> öffentlicher Verkehrsmittel, die in Null-Emissionsfahrzeuge investieren, staatliche Beihilfen / Finanzierung für diese wichtigen Investitionen erhalten werden können</w:t>
      </w:r>
      <w:r w:rsidR="00605960">
        <w:rPr>
          <w:rFonts w:asciiTheme="minorHAnsi" w:hAnsiTheme="minorHAnsi" w:cstheme="minorHAnsi"/>
        </w:rPr>
        <w:t xml:space="preserve">, unabhängig davon, ob sie lediglich die Unionsnormen erfüllen oder </w:t>
      </w:r>
      <w:r w:rsidR="008F142C">
        <w:rPr>
          <w:rFonts w:asciiTheme="minorHAnsi" w:hAnsiTheme="minorHAnsi" w:cstheme="minorHAnsi"/>
        </w:rPr>
        <w:t>darüberhinausgehende</w:t>
      </w:r>
      <w:r w:rsidR="00605960">
        <w:rPr>
          <w:rFonts w:asciiTheme="minorHAnsi" w:hAnsiTheme="minorHAnsi" w:cstheme="minorHAnsi"/>
        </w:rPr>
        <w:t xml:space="preserve"> Investitionen tätigen, wird essenziell sein.</w:t>
      </w:r>
      <w:r w:rsidR="00AF6D79" w:rsidRPr="004012DB">
        <w:rPr>
          <w:rFonts w:asciiTheme="minorHAnsi" w:hAnsiTheme="minorHAnsi" w:cstheme="minorHAnsi"/>
        </w:rPr>
        <w:t xml:space="preserve"> </w:t>
      </w:r>
      <w:r w:rsidR="00605960">
        <w:rPr>
          <w:rFonts w:asciiTheme="minorHAnsi" w:hAnsiTheme="minorHAnsi" w:cstheme="minorHAnsi"/>
        </w:rPr>
        <w:t>Dies ist</w:t>
      </w:r>
      <w:r w:rsidR="00AF6D79" w:rsidRPr="004012DB">
        <w:rPr>
          <w:rFonts w:asciiTheme="minorHAnsi" w:hAnsiTheme="minorHAnsi" w:cstheme="minorHAnsi"/>
        </w:rPr>
        <w:t xml:space="preserve"> unverzichtbar, um die EU - Klimaziele zu erreichen. </w:t>
      </w:r>
    </w:p>
    <w:p w14:paraId="58F3462D" w14:textId="1A1A73BA" w:rsidR="00FF79DE" w:rsidRPr="008D716D" w:rsidRDefault="00FF79DE"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lastRenderedPageBreak/>
        <w:t>Kapitel 4.3.2. unterscheidet zudem nicht zwischen der Förderung von Lade- oder Betankungsinfrastruktur zur Nutzung durch Dritte oder zur (internen) Nutzung der Infrastruktur zur Betankung des öffentlichen Verkehrs (E-/H</w:t>
      </w:r>
      <w:r w:rsidRPr="008D716D">
        <w:rPr>
          <w:rFonts w:asciiTheme="minorHAnsi" w:hAnsiTheme="minorHAnsi" w:cstheme="minorHAnsi"/>
          <w:vertAlign w:val="subscript"/>
        </w:rPr>
        <w:t>2</w:t>
      </w:r>
      <w:r w:rsidRPr="008D716D">
        <w:rPr>
          <w:rFonts w:asciiTheme="minorHAnsi" w:hAnsiTheme="minorHAnsi" w:cstheme="minorHAnsi"/>
        </w:rPr>
        <w:t xml:space="preserve">-Busse). Eine Unterscheidung in 4.3.2. ist notwendig, da nicht alle Anforderungen an eine öffentlich zugängliche E-Ladeinfrastruktur für den Bau von Ladestationen für ÖPNV-Betreiber notwendig / geeignet sind. </w:t>
      </w:r>
      <w:r w:rsidR="004012DB">
        <w:rPr>
          <w:rFonts w:asciiTheme="minorHAnsi" w:hAnsiTheme="minorHAnsi" w:cstheme="minorHAnsi"/>
        </w:rPr>
        <w:t>Auch e</w:t>
      </w:r>
      <w:r w:rsidRPr="008D716D">
        <w:rPr>
          <w:rFonts w:asciiTheme="minorHAnsi" w:hAnsiTheme="minorHAnsi" w:cstheme="minorHAnsi"/>
        </w:rPr>
        <w:t>ine obligatorische öffentliche Konsultation bzw. ein Ausschreibungsverfahren erscheint uns für die Finanzierung der Lade- bzw. Betankungsinfrastruktur für ÖPNV Betreiber als nicht zweckmäßig. An dieser Stelle muss eine Unterscheidung erfolgen.</w:t>
      </w:r>
    </w:p>
    <w:p w14:paraId="51FF484A" w14:textId="130F78BE" w:rsidR="009B2234" w:rsidRPr="008D716D" w:rsidRDefault="009B2234"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Es bedarf auch einer Klärung des Anwendungsbereichs in Bezug auf die Leitlinien für staatliche Beihilfen für Eisenbahnunternehmen. Unter Punkt Nr. 165 verpflichtet die EU-Kommission Bahnbetreiber dem Markt mindestens drei Monate lang emissionsfreie, nicht mehr genutzte Schienenfahrzeuge zur Verfügung zu stellen. Die Rückstellung als solche ist nicht problematisch, aber es fehlt eine Klarstellung, dass die Verschrottung der Fahrzeuge ebenso zulässig ist, wenn kein Verkäufer gefunden wurde. </w:t>
      </w:r>
    </w:p>
    <w:p w14:paraId="1841B60E" w14:textId="66B950EE" w:rsidR="00117F76" w:rsidRPr="008D716D" w:rsidRDefault="00117F76" w:rsidP="00117F76">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Im Gegensatz zu den Vorgängerleitlinien definiert dieser Entwurf nicht klar den Anwendungsbereich der Leitlinien für staatliche Beihilfen besonders für Eisenbahnunternehmen (2008/C 184/07). In Bezug auf ihren Anwendungsbereich heißt es in den </w:t>
      </w:r>
      <w:r w:rsidR="00D205B5">
        <w:rPr>
          <w:rFonts w:asciiTheme="minorHAnsi" w:hAnsiTheme="minorHAnsi" w:cstheme="minorHAnsi"/>
        </w:rPr>
        <w:t>Vorgängerleitlinien</w:t>
      </w:r>
      <w:r w:rsidRPr="008D716D">
        <w:rPr>
          <w:rFonts w:asciiTheme="minorHAnsi" w:hAnsiTheme="minorHAnsi" w:cstheme="minorHAnsi"/>
        </w:rPr>
        <w:t>: „</w:t>
      </w:r>
      <w:r w:rsidRPr="008D716D">
        <w:rPr>
          <w:rFonts w:asciiTheme="minorHAnsi" w:hAnsiTheme="minorHAnsi" w:cstheme="minorHAnsi"/>
          <w:i/>
          <w:iCs/>
        </w:rPr>
        <w:t>Sie gelten daher auch für die Sektoren, die besonderen Unionsvorschriften für staatliche Beihilfen unterliegen (Verkehr (10), Kohle, Land- und Forstwirtschaft sowie Fischerei und Aquakultur), es sei denn, es gelten solche besonderen Vorschriften, die etwas anderes vorsehen</w:t>
      </w:r>
      <w:r w:rsidRPr="008D716D">
        <w:rPr>
          <w:rFonts w:asciiTheme="minorHAnsi" w:hAnsiTheme="minorHAnsi" w:cstheme="minorHAnsi"/>
        </w:rPr>
        <w:t>“. In Fußnote 10 wird klargestellt:</w:t>
      </w:r>
    </w:p>
    <w:p w14:paraId="2BF1F20E" w14:textId="273AE267" w:rsidR="00117F76" w:rsidRPr="008D716D" w:rsidRDefault="00117F76" w:rsidP="00117F76">
      <w:pPr>
        <w:pStyle w:val="EH-Text"/>
        <w:spacing w:after="160" w:line="360" w:lineRule="auto"/>
        <w:rPr>
          <w:rFonts w:asciiTheme="minorHAnsi" w:hAnsiTheme="minorHAnsi" w:cstheme="minorHAnsi"/>
        </w:rPr>
      </w:pPr>
      <w:r w:rsidRPr="008D716D">
        <w:rPr>
          <w:rFonts w:asciiTheme="minorHAnsi" w:hAnsiTheme="minorHAnsi" w:cstheme="minorHAnsi"/>
        </w:rPr>
        <w:t>„</w:t>
      </w:r>
      <w:r w:rsidRPr="008D716D">
        <w:rPr>
          <w:rFonts w:asciiTheme="minorHAnsi" w:hAnsiTheme="minorHAnsi" w:cstheme="minorHAnsi"/>
          <w:i/>
          <w:iCs/>
        </w:rPr>
        <w:t>Diese Leitlinien gelten insbesondere unbeschadet der Gemeinschaftlichen Leitlinien für staatliche Beihilfen an Eisenbahnunternehmen (ABl. C 184 vom 22.7.2008, S. 13). Die Leitlinien für Eisenbahnunternehmen sehen verschiedene Formen von Beihilfen vor, einschließlich Beihilfen zur Verringerung der externen Kosten des Schienenverkehrs. Diese Beihilfen fallen unter Abschnitt 6.3 der Eisenbahnleitlinien und sollen dem Umstand Rechnung tragen, dass der Schienenverkehr es ermöglicht, im Vergleich zu konkurrierenden Verkehrsträgern externe Kosten zu vermeiden. Sofern alle Bedingungen von Ab</w:t>
      </w:r>
      <w:r w:rsidRPr="008D716D">
        <w:rPr>
          <w:rFonts w:asciiTheme="minorHAnsi" w:hAnsiTheme="minorHAnsi" w:cstheme="minorHAnsi"/>
          <w:i/>
          <w:iCs/>
        </w:rPr>
        <w:lastRenderedPageBreak/>
        <w:t>schnitt 6.3 der Eisenbahnleitlinien erfüllt sind und die Beihilfe ohne Diskriminierung gewährt wird, können die Mitgliedstaaten Beihilfen zur Reduzierung externer Kosten gewähren.“</w:t>
      </w:r>
    </w:p>
    <w:p w14:paraId="5397C758" w14:textId="7085B516" w:rsidR="00117F76" w:rsidRPr="008D716D" w:rsidRDefault="00117F76" w:rsidP="00117F76">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Aus Gründen der Klarheit sollte diese Formulierung von den </w:t>
      </w:r>
      <w:r w:rsidR="00D205B5">
        <w:rPr>
          <w:rFonts w:asciiTheme="minorHAnsi" w:hAnsiTheme="minorHAnsi" w:cstheme="minorHAnsi"/>
        </w:rPr>
        <w:t>Vorgängerleitlinien</w:t>
      </w:r>
      <w:r w:rsidRPr="008D716D">
        <w:rPr>
          <w:rFonts w:asciiTheme="minorHAnsi" w:hAnsiTheme="minorHAnsi" w:cstheme="minorHAnsi"/>
        </w:rPr>
        <w:t xml:space="preserve"> übernommen und in die neue Fassung mit aufgenommen werden. Es ist wichtig, dass Investitionen in die Eisenbahn bzw. Eisenbahninfrastruktur </w:t>
      </w:r>
      <w:r w:rsidR="0052385C" w:rsidRPr="008D716D">
        <w:rPr>
          <w:rFonts w:asciiTheme="minorHAnsi" w:hAnsiTheme="minorHAnsi" w:cstheme="minorHAnsi"/>
        </w:rPr>
        <w:t xml:space="preserve">durch </w:t>
      </w:r>
      <w:r w:rsidRPr="008D716D">
        <w:rPr>
          <w:rFonts w:asciiTheme="minorHAnsi" w:hAnsiTheme="minorHAnsi" w:cstheme="minorHAnsi"/>
        </w:rPr>
        <w:t xml:space="preserve">staatliche Beihilfen gemäß den Leitlinien für staatliche Beihilfen für Eisenbahnunternehmen </w:t>
      </w:r>
      <w:r w:rsidR="0052385C" w:rsidRPr="008D716D">
        <w:rPr>
          <w:rFonts w:asciiTheme="minorHAnsi" w:hAnsiTheme="minorHAnsi" w:cstheme="minorHAnsi"/>
        </w:rPr>
        <w:t>gestützt werden</w:t>
      </w:r>
      <w:r w:rsidRPr="008D716D">
        <w:rPr>
          <w:rFonts w:asciiTheme="minorHAnsi" w:hAnsiTheme="minorHAnsi" w:cstheme="minorHAnsi"/>
        </w:rPr>
        <w:t xml:space="preserve"> können.</w:t>
      </w:r>
    </w:p>
    <w:p w14:paraId="5B023CC4" w14:textId="77777777" w:rsidR="0024140C" w:rsidRPr="008D716D" w:rsidRDefault="0024140C" w:rsidP="008D716D">
      <w:pPr>
        <w:pStyle w:val="EH-3"/>
        <w:numPr>
          <w:ilvl w:val="0"/>
          <w:numId w:val="25"/>
        </w:numPr>
        <w:spacing w:after="200" w:line="360" w:lineRule="auto"/>
        <w:rPr>
          <w:rFonts w:asciiTheme="minorHAnsi" w:hAnsiTheme="minorHAnsi" w:cstheme="minorHAnsi"/>
          <w:b/>
          <w:bCs/>
        </w:rPr>
      </w:pPr>
      <w:bookmarkStart w:id="4" w:name="_Toc77773415"/>
      <w:r w:rsidRPr="008D716D">
        <w:rPr>
          <w:rFonts w:asciiTheme="minorHAnsi" w:hAnsiTheme="minorHAnsi" w:cstheme="minorHAnsi"/>
          <w:b/>
          <w:bCs/>
        </w:rPr>
        <w:t>Ad. 4.7. Beihilfen in Form einer Ermäßigung von Steuern oder steuerähnlichen Abgaben</w:t>
      </w:r>
      <w:bookmarkEnd w:id="4"/>
    </w:p>
    <w:p w14:paraId="7FE222EF" w14:textId="77777777" w:rsidR="0024140C" w:rsidRPr="008D716D" w:rsidRDefault="0024140C"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Angesichts der bestehenden Entscheidungspraxis der Kommission zu Umweltsteuermäßigungen zugunsten von KWK-Anlagen (siehe etwa SA.49522 – EEG Germany) ist die Klarstellung in den Leitlinien betreffend derartige Ermäßigungen positiv wahrzunehmen. Hierzu ist allerdings noch folgendes zu beachten:</w:t>
      </w:r>
    </w:p>
    <w:p w14:paraId="21633512" w14:textId="77777777" w:rsidR="0024140C" w:rsidRPr="008D716D" w:rsidRDefault="0024140C"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Das Konzept der Gewährung von (Umwelt)Beihilfen durch Reduktion von (Umwelt)Steuern oder ähnlicher (umweltbezogener) Abgaben ist kein ausschließlich beihilferechtliches Thema. Vielmehr spielen in diesem Zusammenhang auch steuerrechtliche Aspekte eine bedeutende Rolle und sind miteinander in Einklang zu bringen. Dies beginnt schon bei der graduellen Unterscheidung zwischen selektiven und generellen Steuervorteilen, deren Beurteilung gerade durch Rückvergütungen noch komplexer wird. Bei Qualifikation derartiger Steuermaßnahmen als Beihilfe stellt sich ferner die Frage, inwieweit die Anmeldeschwellen von Art 4 der Allgemeinen Gruppenfreistellungsverordnung (insb. Art 4 Abs 1 lit s – x AGVO) auf derartige Steuermaßnahmen anzuwenden sind. </w:t>
      </w:r>
    </w:p>
    <w:p w14:paraId="75F7ABF5" w14:textId="77777777" w:rsidR="0024140C" w:rsidRPr="008D716D" w:rsidRDefault="0024140C"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Da derartige Ermäßigungen gemäß Art 26 Energiebesteuerungsrichtlinie der Kommission – nicht zuletzt für die Durchführung einer beihilferechtlichen Prüfung – zur Kenntnis zu bringen sind und damit stets ein Friktionspunkt mit dem Europäischen Beihilferecht besteht, wären einige klarstellende Ausführungen der Kommission zu den folgenden Punkten wünschenswert:</w:t>
      </w:r>
    </w:p>
    <w:p w14:paraId="398CCD97" w14:textId="3754E760" w:rsidR="0024140C" w:rsidRPr="008D716D" w:rsidRDefault="0024140C" w:rsidP="008D716D">
      <w:pPr>
        <w:pStyle w:val="EH-Text"/>
        <w:numPr>
          <w:ilvl w:val="0"/>
          <w:numId w:val="26"/>
        </w:numPr>
        <w:spacing w:after="160" w:line="360" w:lineRule="auto"/>
        <w:rPr>
          <w:rFonts w:asciiTheme="minorHAnsi" w:hAnsiTheme="minorHAnsi" w:cstheme="minorHAnsi"/>
        </w:rPr>
      </w:pPr>
      <w:r w:rsidRPr="008D716D">
        <w:rPr>
          <w:rFonts w:asciiTheme="minorHAnsi" w:hAnsiTheme="minorHAnsi" w:cstheme="minorHAnsi"/>
        </w:rPr>
        <w:lastRenderedPageBreak/>
        <w:t xml:space="preserve">Darstellung der Kriterien, nach denen allgemeine Umweltsteuermaßnahmen von selektiven Umweltsteuermaßnahmen abzugrenzen sind (z.B. Ausgleich eines </w:t>
      </w:r>
      <w:r w:rsidR="008D716D" w:rsidRPr="008D716D">
        <w:rPr>
          <w:rFonts w:asciiTheme="minorHAnsi" w:hAnsiTheme="minorHAnsi" w:cstheme="minorHAnsi"/>
        </w:rPr>
        <w:t>potenziell</w:t>
      </w:r>
      <w:r w:rsidRPr="008D716D">
        <w:rPr>
          <w:rFonts w:asciiTheme="minorHAnsi" w:hAnsiTheme="minorHAnsi" w:cstheme="minorHAnsi"/>
        </w:rPr>
        <w:t xml:space="preserve"> selektiven Vorteils einer Maßnahme durch ergänzende Steuern);</w:t>
      </w:r>
    </w:p>
    <w:p w14:paraId="598000D8" w14:textId="77777777" w:rsidR="005E61BF" w:rsidRPr="008D716D" w:rsidRDefault="0024140C" w:rsidP="008D716D">
      <w:pPr>
        <w:pStyle w:val="EH-Text"/>
        <w:numPr>
          <w:ilvl w:val="0"/>
          <w:numId w:val="26"/>
        </w:numPr>
        <w:spacing w:after="160" w:line="360" w:lineRule="auto"/>
        <w:rPr>
          <w:rFonts w:asciiTheme="minorHAnsi" w:hAnsiTheme="minorHAnsi" w:cstheme="minorHAnsi"/>
        </w:rPr>
      </w:pPr>
      <w:r w:rsidRPr="008D716D">
        <w:rPr>
          <w:rFonts w:asciiTheme="minorHAnsi" w:hAnsiTheme="minorHAnsi" w:cstheme="minorHAnsi"/>
        </w:rPr>
        <w:t>Darstellung der Kriterien, nach denen Beihilfen in Form von Umweltsteuerermäßigungen die Anmeldeschwellen der AGVO unterschreiten (z.B. Maßgabe, ab wann ein Energieeffizienzprojekt vorliegt oder inwieweit eine mittelbare Förderung der Erzeugung von Strom aus erneuerbaren Energiequellen für eine Freistellung ausreicht); und</w:t>
      </w:r>
    </w:p>
    <w:p w14:paraId="680D6C98" w14:textId="00809C99" w:rsidR="0024140C" w:rsidRPr="008D716D" w:rsidRDefault="0024140C" w:rsidP="008D716D">
      <w:pPr>
        <w:pStyle w:val="EH-Text"/>
        <w:numPr>
          <w:ilvl w:val="0"/>
          <w:numId w:val="26"/>
        </w:numPr>
        <w:spacing w:after="160" w:line="360" w:lineRule="auto"/>
        <w:rPr>
          <w:rFonts w:asciiTheme="minorHAnsi" w:hAnsiTheme="minorHAnsi" w:cstheme="minorHAnsi"/>
        </w:rPr>
      </w:pPr>
      <w:r w:rsidRPr="008D716D">
        <w:rPr>
          <w:rFonts w:asciiTheme="minorHAnsi" w:hAnsiTheme="minorHAnsi" w:cstheme="minorHAnsi"/>
        </w:rPr>
        <w:t>Zusammenspiel der Leitlinien mit der Energiebesteuerungsrichtlinie.</w:t>
      </w:r>
    </w:p>
    <w:p w14:paraId="756D4C7F" w14:textId="27CFF9F1" w:rsidR="00466C6B" w:rsidRPr="008D716D" w:rsidRDefault="0024140C" w:rsidP="008D716D">
      <w:pPr>
        <w:pStyle w:val="EH-3"/>
        <w:numPr>
          <w:ilvl w:val="0"/>
          <w:numId w:val="25"/>
        </w:numPr>
        <w:spacing w:after="200" w:line="360" w:lineRule="auto"/>
        <w:rPr>
          <w:rFonts w:asciiTheme="minorHAnsi" w:hAnsiTheme="minorHAnsi" w:cstheme="minorHAnsi"/>
          <w:b/>
          <w:bCs/>
        </w:rPr>
      </w:pPr>
      <w:bookmarkStart w:id="5" w:name="_Toc77773406"/>
      <w:r w:rsidRPr="008D716D">
        <w:rPr>
          <w:rFonts w:asciiTheme="minorHAnsi" w:hAnsiTheme="minorHAnsi" w:cstheme="minorHAnsi"/>
          <w:b/>
          <w:bCs/>
        </w:rPr>
        <w:t xml:space="preserve">Ad. 4.8. </w:t>
      </w:r>
      <w:r w:rsidR="009F00D3" w:rsidRPr="008D716D">
        <w:rPr>
          <w:rFonts w:asciiTheme="minorHAnsi" w:hAnsiTheme="minorHAnsi" w:cstheme="minorHAnsi"/>
          <w:b/>
          <w:bCs/>
        </w:rPr>
        <w:t>Beihilfen zur Gewährleistung der Stromversorgungssicherheit</w:t>
      </w:r>
      <w:bookmarkEnd w:id="5"/>
    </w:p>
    <w:p w14:paraId="0BA4D6CB" w14:textId="701325C9" w:rsidR="00E265B5" w:rsidRPr="008D716D" w:rsidRDefault="001C07F9"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Es ist begrüßenswert</w:t>
      </w:r>
      <w:r w:rsidR="00E265B5" w:rsidRPr="008D716D">
        <w:rPr>
          <w:rFonts w:asciiTheme="minorHAnsi" w:hAnsiTheme="minorHAnsi" w:cstheme="minorHAnsi"/>
        </w:rPr>
        <w:t xml:space="preserve">, dass der Entwurf der Leitlinien </w:t>
      </w:r>
      <w:r w:rsidR="001662BE" w:rsidRPr="008D716D">
        <w:rPr>
          <w:rFonts w:asciiTheme="minorHAnsi" w:hAnsiTheme="minorHAnsi" w:cstheme="minorHAnsi"/>
        </w:rPr>
        <w:t>betreffend</w:t>
      </w:r>
      <w:r w:rsidR="00E265B5" w:rsidRPr="008D716D">
        <w:rPr>
          <w:rFonts w:asciiTheme="minorHAnsi" w:hAnsiTheme="minorHAnsi" w:cstheme="minorHAnsi"/>
        </w:rPr>
        <w:t xml:space="preserve"> "</w:t>
      </w:r>
      <w:r w:rsidR="00E265B5" w:rsidRPr="008D716D">
        <w:rPr>
          <w:rFonts w:asciiTheme="minorHAnsi" w:hAnsiTheme="minorHAnsi" w:cstheme="minorHAnsi"/>
          <w:i/>
        </w:rPr>
        <w:t>Beihilfen zur Gewährleistung der Stromversorgungssicherheit</w:t>
      </w:r>
      <w:r w:rsidR="00E265B5" w:rsidRPr="008D716D">
        <w:rPr>
          <w:rFonts w:asciiTheme="minorHAnsi" w:hAnsiTheme="minorHAnsi" w:cstheme="minorHAnsi"/>
        </w:rPr>
        <w:t>" den Anwendungsbereich der geförderten Tätigkeiten nun allgemeiner fasst und in Punkt 4.8.2 Kapazitätsmechanismen, Abschaltregelungen und Netzreserven nennt. Bereits an dieser Stelle sollte jedoch auch die strategische Reserve erwähnt werden, die erst in Punkt 4.8.5 (Vermeidung übermäßiger negativer Auswirkungen auf Wettbewerb und Handel sowie Abwägungsprüfung) behandelt wird, zumal auch diese ein wesentliches Instrument zur Erhö</w:t>
      </w:r>
      <w:r w:rsidR="004457EE" w:rsidRPr="008D716D">
        <w:rPr>
          <w:rFonts w:asciiTheme="minorHAnsi" w:hAnsiTheme="minorHAnsi" w:cstheme="minorHAnsi"/>
        </w:rPr>
        <w:t>h</w:t>
      </w:r>
      <w:r w:rsidR="00E265B5" w:rsidRPr="008D716D">
        <w:rPr>
          <w:rFonts w:asciiTheme="minorHAnsi" w:hAnsiTheme="minorHAnsi" w:cstheme="minorHAnsi"/>
        </w:rPr>
        <w:t xml:space="preserve">ung der Stromversorgungssicherheit darstellt. </w:t>
      </w:r>
    </w:p>
    <w:p w14:paraId="4DD0EC82" w14:textId="29EA8305" w:rsidR="00E265B5" w:rsidRPr="008D716D" w:rsidRDefault="00E265B5"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Zudem sollte die Bereitstellung der Erzeugungskapazität</w:t>
      </w:r>
      <w:r w:rsidR="00B1036A" w:rsidRPr="008D716D">
        <w:rPr>
          <w:rFonts w:asciiTheme="minorHAnsi" w:hAnsiTheme="minorHAnsi" w:cstheme="minorHAnsi"/>
        </w:rPr>
        <w:t xml:space="preserve"> weiterhin</w:t>
      </w:r>
      <w:r w:rsidRPr="008D716D">
        <w:rPr>
          <w:rFonts w:asciiTheme="minorHAnsi" w:hAnsiTheme="minorHAnsi" w:cstheme="minorHAnsi"/>
        </w:rPr>
        <w:t xml:space="preserve"> </w:t>
      </w:r>
      <w:r w:rsidR="00B1036A" w:rsidRPr="008D716D">
        <w:rPr>
          <w:rFonts w:asciiTheme="minorHAnsi" w:hAnsiTheme="minorHAnsi" w:cstheme="minorHAnsi"/>
        </w:rPr>
        <w:t xml:space="preserve">ausdrücklich </w:t>
      </w:r>
      <w:r w:rsidRPr="008D716D">
        <w:rPr>
          <w:rFonts w:asciiTheme="minorHAnsi" w:hAnsiTheme="minorHAnsi" w:cstheme="minorHAnsi"/>
        </w:rPr>
        <w:t xml:space="preserve">als geeignetes Mittel zur Gewährleistung der Stromversorgungssicherheit erwähnt werden, wie dies bereits in den </w:t>
      </w:r>
      <w:r w:rsidR="00B1036A" w:rsidRPr="008D716D">
        <w:rPr>
          <w:rFonts w:asciiTheme="minorHAnsi" w:hAnsiTheme="minorHAnsi" w:cstheme="minorHAnsi"/>
        </w:rPr>
        <w:t>Vorgängerl</w:t>
      </w:r>
      <w:r w:rsidRPr="008D716D">
        <w:rPr>
          <w:rFonts w:asciiTheme="minorHAnsi" w:hAnsiTheme="minorHAnsi" w:cstheme="minorHAnsi"/>
        </w:rPr>
        <w:t xml:space="preserve">eitlinien der Fall war. Es </w:t>
      </w:r>
      <w:r w:rsidR="00B1036A" w:rsidRPr="008D716D">
        <w:rPr>
          <w:rFonts w:asciiTheme="minorHAnsi" w:hAnsiTheme="minorHAnsi" w:cstheme="minorHAnsi"/>
        </w:rPr>
        <w:t xml:space="preserve">ist </w:t>
      </w:r>
      <w:r w:rsidRPr="008D716D">
        <w:rPr>
          <w:rFonts w:asciiTheme="minorHAnsi" w:hAnsiTheme="minorHAnsi" w:cstheme="minorHAnsi"/>
        </w:rPr>
        <w:t>nicht nachvollziehbar, dass in Punkt 4.8.4.2 (Geeignetheit) zunächst darauf verwiesen wird, dass Mitgliedstaaten vorrangig andere Ansätze zur Gewährleistung der Stromversorgungssicherheit prüfen sollen</w:t>
      </w:r>
      <w:r w:rsidR="00B1036A" w:rsidRPr="008D716D">
        <w:rPr>
          <w:rFonts w:asciiTheme="minorHAnsi" w:hAnsiTheme="minorHAnsi" w:cstheme="minorHAnsi"/>
        </w:rPr>
        <w:t xml:space="preserve">, </w:t>
      </w:r>
      <w:r w:rsidR="001662BE" w:rsidRPr="008D716D">
        <w:rPr>
          <w:rFonts w:asciiTheme="minorHAnsi" w:hAnsiTheme="minorHAnsi" w:cstheme="minorHAnsi"/>
        </w:rPr>
        <w:t>während</w:t>
      </w:r>
      <w:r w:rsidR="00B1036A" w:rsidRPr="008D716D">
        <w:rPr>
          <w:rFonts w:asciiTheme="minorHAnsi" w:hAnsiTheme="minorHAnsi" w:cstheme="minorHAnsi"/>
        </w:rPr>
        <w:t xml:space="preserve"> diese erfahrungsgemäß äußerst wirksame Maßnahme keine Erwähnung mehr findet. </w:t>
      </w:r>
      <w:r w:rsidR="002D7331" w:rsidRPr="008D716D">
        <w:rPr>
          <w:rFonts w:asciiTheme="minorHAnsi" w:hAnsiTheme="minorHAnsi" w:cstheme="minorHAnsi"/>
        </w:rPr>
        <w:t xml:space="preserve">Der </w:t>
      </w:r>
      <w:r w:rsidRPr="008D716D">
        <w:rPr>
          <w:rFonts w:asciiTheme="minorHAnsi" w:hAnsiTheme="minorHAnsi" w:cstheme="minorHAnsi"/>
        </w:rPr>
        <w:t xml:space="preserve">gänzliche Entfall der Erwähnung der Bereitstellung von Erzeugungskapazität bei der Prüfung der </w:t>
      </w:r>
      <w:r w:rsidR="004457EE" w:rsidRPr="008D716D">
        <w:rPr>
          <w:rFonts w:asciiTheme="minorHAnsi" w:hAnsiTheme="minorHAnsi" w:cstheme="minorHAnsi"/>
        </w:rPr>
        <w:t>Eignung</w:t>
      </w:r>
      <w:r w:rsidRPr="008D716D">
        <w:rPr>
          <w:rFonts w:asciiTheme="minorHAnsi" w:hAnsiTheme="minorHAnsi" w:cstheme="minorHAnsi"/>
        </w:rPr>
        <w:t xml:space="preserve"> </w:t>
      </w:r>
      <w:r w:rsidR="002D7331" w:rsidRPr="008D716D">
        <w:rPr>
          <w:rFonts w:asciiTheme="minorHAnsi" w:hAnsiTheme="minorHAnsi" w:cstheme="minorHAnsi"/>
        </w:rPr>
        <w:t xml:space="preserve">könnte </w:t>
      </w:r>
      <w:r w:rsidR="00B1036A" w:rsidRPr="008D716D">
        <w:rPr>
          <w:rFonts w:asciiTheme="minorHAnsi" w:hAnsiTheme="minorHAnsi" w:cstheme="minorHAnsi"/>
        </w:rPr>
        <w:t xml:space="preserve">nämlich </w:t>
      </w:r>
      <w:r w:rsidRPr="008D716D">
        <w:rPr>
          <w:rFonts w:asciiTheme="minorHAnsi" w:hAnsiTheme="minorHAnsi" w:cstheme="minorHAnsi"/>
        </w:rPr>
        <w:t>den Eindruck</w:t>
      </w:r>
      <w:r w:rsidR="002D7331" w:rsidRPr="008D716D">
        <w:rPr>
          <w:rFonts w:asciiTheme="minorHAnsi" w:hAnsiTheme="minorHAnsi" w:cstheme="minorHAnsi"/>
        </w:rPr>
        <w:t xml:space="preserve"> vermitteln</w:t>
      </w:r>
      <w:r w:rsidRPr="008D716D">
        <w:rPr>
          <w:rFonts w:asciiTheme="minorHAnsi" w:hAnsiTheme="minorHAnsi" w:cstheme="minorHAnsi"/>
        </w:rPr>
        <w:t>, dass d</w:t>
      </w:r>
      <w:r w:rsidR="00B1036A" w:rsidRPr="008D716D">
        <w:rPr>
          <w:rFonts w:asciiTheme="minorHAnsi" w:hAnsiTheme="minorHAnsi" w:cstheme="minorHAnsi"/>
        </w:rPr>
        <w:t xml:space="preserve">ieses </w:t>
      </w:r>
      <w:r w:rsidR="002D7331" w:rsidRPr="008D716D">
        <w:rPr>
          <w:rFonts w:asciiTheme="minorHAnsi" w:hAnsiTheme="minorHAnsi" w:cstheme="minorHAnsi"/>
        </w:rPr>
        <w:t xml:space="preserve">Instrument </w:t>
      </w:r>
      <w:r w:rsidR="00B1036A" w:rsidRPr="008D716D">
        <w:rPr>
          <w:rFonts w:asciiTheme="minorHAnsi" w:hAnsiTheme="minorHAnsi" w:cstheme="minorHAnsi"/>
        </w:rPr>
        <w:t xml:space="preserve">von der Kommission – entgegen </w:t>
      </w:r>
      <w:r w:rsidR="002D7331" w:rsidRPr="008D716D">
        <w:rPr>
          <w:rFonts w:asciiTheme="minorHAnsi" w:hAnsiTheme="minorHAnsi" w:cstheme="minorHAnsi"/>
        </w:rPr>
        <w:t>der heutigen Praxis</w:t>
      </w:r>
      <w:r w:rsidR="00B1036A" w:rsidRPr="008D716D">
        <w:rPr>
          <w:rFonts w:asciiTheme="minorHAnsi" w:hAnsiTheme="minorHAnsi" w:cstheme="minorHAnsi"/>
        </w:rPr>
        <w:t xml:space="preserve"> – </w:t>
      </w:r>
      <w:r w:rsidRPr="008D716D">
        <w:rPr>
          <w:rFonts w:asciiTheme="minorHAnsi" w:hAnsiTheme="minorHAnsi" w:cstheme="minorHAnsi"/>
        </w:rPr>
        <w:t xml:space="preserve">überhaupt nicht mehr als geeignet angesehen wird. Eine Beihilfe in Form der Vergütung der Bereitstellung der Erzeugungskapazität </w:t>
      </w:r>
      <w:r w:rsidR="00F47C3F" w:rsidRPr="008D716D">
        <w:rPr>
          <w:rFonts w:asciiTheme="minorHAnsi" w:hAnsiTheme="minorHAnsi" w:cstheme="minorHAnsi"/>
        </w:rPr>
        <w:t xml:space="preserve">wird </w:t>
      </w:r>
      <w:r w:rsidRPr="008D716D">
        <w:rPr>
          <w:rFonts w:asciiTheme="minorHAnsi" w:hAnsiTheme="minorHAnsi" w:cstheme="minorHAnsi"/>
        </w:rPr>
        <w:t xml:space="preserve">für </w:t>
      </w:r>
      <w:r w:rsidR="00F47C3F" w:rsidRPr="008D716D">
        <w:rPr>
          <w:rFonts w:asciiTheme="minorHAnsi" w:hAnsiTheme="minorHAnsi" w:cstheme="minorHAnsi"/>
        </w:rPr>
        <w:t xml:space="preserve">die </w:t>
      </w:r>
      <w:r w:rsidRPr="008D716D">
        <w:rPr>
          <w:rFonts w:asciiTheme="minorHAnsi" w:hAnsiTheme="minorHAnsi" w:cstheme="minorHAnsi"/>
        </w:rPr>
        <w:t xml:space="preserve">Mitgliedstaaten </w:t>
      </w:r>
      <w:r w:rsidR="00F47C3F" w:rsidRPr="008D716D">
        <w:rPr>
          <w:rFonts w:asciiTheme="minorHAnsi" w:hAnsiTheme="minorHAnsi" w:cstheme="minorHAnsi"/>
        </w:rPr>
        <w:t xml:space="preserve">auf absehbare Zeit auch </w:t>
      </w:r>
      <w:r w:rsidRPr="008D716D">
        <w:rPr>
          <w:rFonts w:asciiTheme="minorHAnsi" w:hAnsiTheme="minorHAnsi" w:cstheme="minorHAnsi"/>
        </w:rPr>
        <w:t>weiterhin ein notwendiges und unverzichtbares Instrument</w:t>
      </w:r>
      <w:r w:rsidR="00B1036A" w:rsidRPr="008D716D">
        <w:rPr>
          <w:rFonts w:asciiTheme="minorHAnsi" w:hAnsiTheme="minorHAnsi" w:cstheme="minorHAnsi"/>
        </w:rPr>
        <w:t xml:space="preserve"> zur Gewährleistung </w:t>
      </w:r>
      <w:r w:rsidR="00B1036A" w:rsidRPr="008D716D">
        <w:rPr>
          <w:rFonts w:asciiTheme="minorHAnsi" w:hAnsiTheme="minorHAnsi" w:cstheme="minorHAnsi"/>
        </w:rPr>
        <w:lastRenderedPageBreak/>
        <w:t>der Stromversorgungssicherheit</w:t>
      </w:r>
      <w:r w:rsidR="00F47C3F" w:rsidRPr="008D716D">
        <w:rPr>
          <w:rFonts w:asciiTheme="minorHAnsi" w:hAnsiTheme="minorHAnsi" w:cstheme="minorHAnsi"/>
        </w:rPr>
        <w:t xml:space="preserve"> sein</w:t>
      </w:r>
      <w:r w:rsidRPr="008D716D">
        <w:rPr>
          <w:rFonts w:asciiTheme="minorHAnsi" w:hAnsiTheme="minorHAnsi" w:cstheme="minorHAnsi"/>
        </w:rPr>
        <w:t xml:space="preserve">. Dies auch vor dem Hintergrund, dass </w:t>
      </w:r>
      <w:r w:rsidR="00F47C3F" w:rsidRPr="008D716D">
        <w:rPr>
          <w:rFonts w:asciiTheme="minorHAnsi" w:hAnsiTheme="minorHAnsi" w:cstheme="minorHAnsi"/>
        </w:rPr>
        <w:t xml:space="preserve">einzelne </w:t>
      </w:r>
      <w:r w:rsidRPr="008D716D">
        <w:rPr>
          <w:rFonts w:asciiTheme="minorHAnsi" w:hAnsiTheme="minorHAnsi" w:cstheme="minorHAnsi"/>
        </w:rPr>
        <w:t>Mitgliedstaaten</w:t>
      </w:r>
      <w:r w:rsidR="00F47C3F" w:rsidRPr="008D716D">
        <w:rPr>
          <w:rFonts w:asciiTheme="minorHAnsi" w:hAnsiTheme="minorHAnsi" w:cstheme="minorHAnsi"/>
        </w:rPr>
        <w:t xml:space="preserve"> (wie Österreich)</w:t>
      </w:r>
      <w:r w:rsidRPr="008D716D">
        <w:rPr>
          <w:rFonts w:asciiTheme="minorHAnsi" w:hAnsiTheme="minorHAnsi" w:cstheme="minorHAnsi"/>
        </w:rPr>
        <w:t xml:space="preserve"> für kritische Situationen</w:t>
      </w:r>
      <w:r w:rsidR="00F47C3F" w:rsidRPr="008D716D">
        <w:rPr>
          <w:rFonts w:asciiTheme="minorHAnsi" w:hAnsiTheme="minorHAnsi" w:cstheme="minorHAnsi"/>
        </w:rPr>
        <w:t xml:space="preserve"> in dem von ihnen </w:t>
      </w:r>
      <w:r w:rsidR="004A1B32" w:rsidRPr="008D716D">
        <w:rPr>
          <w:rFonts w:asciiTheme="minorHAnsi" w:hAnsiTheme="minorHAnsi" w:cstheme="minorHAnsi"/>
        </w:rPr>
        <w:t>kontrollierten Stromnetz</w:t>
      </w:r>
      <w:r w:rsidRPr="008D716D">
        <w:rPr>
          <w:rFonts w:asciiTheme="minorHAnsi" w:hAnsiTheme="minorHAnsi" w:cstheme="minorHAnsi"/>
        </w:rPr>
        <w:t xml:space="preserve"> teilweise nicht verantwortlich sind und hier auch keine entsprechenden Vorkehrungen treffen können, wenn etwa durch Ringflüsse oder nicht hinreichend ausgebaute Verbindungsleitungen in angrenzenden Mitgliedstaaten </w:t>
      </w:r>
      <w:r w:rsidR="004A1B32" w:rsidRPr="008D716D">
        <w:rPr>
          <w:rFonts w:asciiTheme="minorHAnsi" w:hAnsiTheme="minorHAnsi" w:cstheme="minorHAnsi"/>
        </w:rPr>
        <w:t xml:space="preserve">(wie Deutschland) </w:t>
      </w:r>
      <w:r w:rsidRPr="008D716D">
        <w:rPr>
          <w:rFonts w:asciiTheme="minorHAnsi" w:hAnsiTheme="minorHAnsi" w:cstheme="minorHAnsi"/>
        </w:rPr>
        <w:t>plötzlich das eigene Stromnetz überlastet ist</w:t>
      </w:r>
      <w:r w:rsidR="00B1036A" w:rsidRPr="008D716D">
        <w:rPr>
          <w:rFonts w:asciiTheme="minorHAnsi" w:hAnsiTheme="minorHAnsi" w:cstheme="minorHAnsi"/>
        </w:rPr>
        <w:t>.</w:t>
      </w:r>
    </w:p>
    <w:p w14:paraId="630E0AFF" w14:textId="64A91B5A" w:rsidR="00E265B5" w:rsidRPr="008D716D" w:rsidRDefault="00E265B5"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 xml:space="preserve">Im Speziellen ist auch noch auf </w:t>
      </w:r>
      <w:r w:rsidR="00FF79DE" w:rsidRPr="008D716D">
        <w:rPr>
          <w:rFonts w:asciiTheme="minorHAnsi" w:hAnsiTheme="minorHAnsi" w:cstheme="minorHAnsi"/>
        </w:rPr>
        <w:t>Randnummer</w:t>
      </w:r>
      <w:r w:rsidRPr="008D716D">
        <w:rPr>
          <w:rFonts w:asciiTheme="minorHAnsi" w:hAnsiTheme="minorHAnsi" w:cstheme="minorHAnsi"/>
        </w:rPr>
        <w:t xml:space="preserve"> 321 des Entwurfs der Leitlinien einzugehen, </w:t>
      </w:r>
      <w:r w:rsidR="004A1B32" w:rsidRPr="008D716D">
        <w:rPr>
          <w:rFonts w:asciiTheme="minorHAnsi" w:hAnsiTheme="minorHAnsi" w:cstheme="minorHAnsi"/>
        </w:rPr>
        <w:t>die</w:t>
      </w:r>
      <w:r w:rsidRPr="008D716D">
        <w:rPr>
          <w:rFonts w:asciiTheme="minorHAnsi" w:hAnsiTheme="minorHAnsi" w:cstheme="minorHAnsi"/>
        </w:rPr>
        <w:t xml:space="preserve"> nun erstmals zusätzliche kumulative Anforderungen </w:t>
      </w:r>
      <w:r w:rsidR="004A1B32" w:rsidRPr="008D716D">
        <w:rPr>
          <w:rFonts w:asciiTheme="minorHAnsi" w:hAnsiTheme="minorHAnsi" w:cstheme="minorHAnsi"/>
        </w:rPr>
        <w:t>vorsieht</w:t>
      </w:r>
      <w:r w:rsidRPr="008D716D">
        <w:rPr>
          <w:rFonts w:asciiTheme="minorHAnsi" w:hAnsiTheme="minorHAnsi" w:cstheme="minorHAnsi"/>
        </w:rPr>
        <w:t xml:space="preserve"> für strategische Reserven und andere Maßnahmen, bei denen Kapazitäten außerhalb</w:t>
      </w:r>
      <w:r w:rsidR="00B1036A" w:rsidRPr="008D716D">
        <w:rPr>
          <w:rFonts w:asciiTheme="minorHAnsi" w:hAnsiTheme="minorHAnsi" w:cstheme="minorHAnsi"/>
        </w:rPr>
        <w:t xml:space="preserve"> des Marktes vorgehalten werden:</w:t>
      </w:r>
    </w:p>
    <w:p w14:paraId="084D1991" w14:textId="3C54E7A5" w:rsidR="00E265B5" w:rsidRPr="008D716D" w:rsidRDefault="00E265B5" w:rsidP="00FF79DE">
      <w:pPr>
        <w:pStyle w:val="EH-Text"/>
        <w:keepNext/>
        <w:spacing w:after="160" w:line="360" w:lineRule="auto"/>
        <w:contextualSpacing/>
        <w:rPr>
          <w:rFonts w:asciiTheme="minorHAnsi" w:hAnsiTheme="minorHAnsi" w:cstheme="minorHAnsi"/>
          <w:b/>
        </w:rPr>
      </w:pPr>
      <w:r w:rsidRPr="008D716D">
        <w:rPr>
          <w:rFonts w:asciiTheme="minorHAnsi" w:hAnsiTheme="minorHAnsi" w:cstheme="minorHAnsi"/>
          <w:b/>
        </w:rPr>
        <w:t xml:space="preserve">Randnummer 321 </w:t>
      </w:r>
      <w:r w:rsidR="003B76AD" w:rsidRPr="008D716D">
        <w:rPr>
          <w:rFonts w:asciiTheme="minorHAnsi" w:hAnsiTheme="minorHAnsi" w:cstheme="minorHAnsi"/>
          <w:b/>
        </w:rPr>
        <w:t>(Keine negativen Wettbewerbsauswirkungen)</w:t>
      </w:r>
    </w:p>
    <w:p w14:paraId="6AAE6CC3" w14:textId="0E05AF6C" w:rsidR="00E265B5" w:rsidRPr="008D716D" w:rsidRDefault="00EC16EB" w:rsidP="00FF79DE">
      <w:pPr>
        <w:pStyle w:val="EH-Text"/>
        <w:spacing w:after="160" w:line="360" w:lineRule="auto"/>
        <w:rPr>
          <w:rFonts w:asciiTheme="minorHAnsi" w:hAnsiTheme="minorHAnsi" w:cstheme="minorHAnsi"/>
          <w:i/>
          <w:lang w:val="de-AT"/>
        </w:rPr>
      </w:pPr>
      <w:r w:rsidRPr="008D716D">
        <w:rPr>
          <w:rFonts w:asciiTheme="minorHAnsi" w:hAnsiTheme="minorHAnsi" w:cstheme="minorHAnsi"/>
          <w:lang w:val="de-AT"/>
        </w:rPr>
        <w:t>"</w:t>
      </w:r>
      <w:r w:rsidR="00E265B5" w:rsidRPr="008D716D">
        <w:rPr>
          <w:rFonts w:asciiTheme="minorHAnsi" w:hAnsiTheme="minorHAnsi" w:cstheme="minorHAnsi"/>
          <w:i/>
          <w:lang w:val="de-AT"/>
        </w:rPr>
        <w:t xml:space="preserve">Um </w:t>
      </w:r>
      <w:r w:rsidR="00E265B5" w:rsidRPr="008D716D">
        <w:rPr>
          <w:rFonts w:asciiTheme="minorHAnsi" w:hAnsiTheme="minorHAnsi" w:cstheme="minorHAnsi"/>
          <w:i/>
        </w:rPr>
        <w:t>sicherzustellen</w:t>
      </w:r>
      <w:r w:rsidR="00E265B5" w:rsidRPr="008D716D">
        <w:rPr>
          <w:rFonts w:asciiTheme="minorHAnsi" w:hAnsiTheme="minorHAnsi" w:cstheme="minorHAnsi"/>
          <w:i/>
          <w:lang w:val="de-AT"/>
        </w:rPr>
        <w:t>, dass die Marktpreisbildung nicht verzerrt wird, gelten für strategische Reserven und andere Maßnahmen, bei denen Kapazitäten außerhalb des Marktes vorgehalten werden, folgende zusätzliche kumulative Anforderungen:</w:t>
      </w:r>
    </w:p>
    <w:p w14:paraId="408F6023" w14:textId="00659F62" w:rsidR="00E265B5" w:rsidRPr="008D716D" w:rsidRDefault="00E265B5" w:rsidP="00FF79DE">
      <w:pPr>
        <w:pStyle w:val="EH-Text"/>
        <w:spacing w:after="160" w:line="360" w:lineRule="auto"/>
        <w:rPr>
          <w:rFonts w:asciiTheme="minorHAnsi" w:hAnsiTheme="minorHAnsi" w:cstheme="minorHAnsi"/>
          <w:i/>
          <w:lang w:val="de-AT"/>
        </w:rPr>
      </w:pPr>
      <w:r w:rsidRPr="008D716D">
        <w:rPr>
          <w:rFonts w:asciiTheme="minorHAnsi" w:hAnsiTheme="minorHAnsi" w:cstheme="minorHAnsi"/>
          <w:i/>
          <w:lang w:val="de-AT"/>
        </w:rPr>
        <w:t xml:space="preserve">(a) Die </w:t>
      </w:r>
      <w:r w:rsidRPr="008D716D">
        <w:rPr>
          <w:rFonts w:asciiTheme="minorHAnsi" w:hAnsiTheme="minorHAnsi" w:cstheme="minorHAnsi"/>
          <w:i/>
        </w:rPr>
        <w:t>Ressourcen</w:t>
      </w:r>
      <w:r w:rsidRPr="008D716D">
        <w:rPr>
          <w:rFonts w:asciiTheme="minorHAnsi" w:hAnsiTheme="minorHAnsi" w:cstheme="minorHAnsi"/>
          <w:i/>
          <w:lang w:val="de-AT"/>
        </w:rPr>
        <w:t xml:space="preserve"> der Maßnahme dürfen nur dann eingesetzt werden, wenn damit zu rechnen ist, dass die Übertragungsnetzbetreiber ihre Ressourcen zum Systemausgleich ausschöpfen werden, um ein Gleichgewicht zwischen Angebot und Nachfrage herzustellen.</w:t>
      </w:r>
    </w:p>
    <w:p w14:paraId="5767FCC0" w14:textId="2936B06B" w:rsidR="00E265B5" w:rsidRPr="008D716D" w:rsidRDefault="00E265B5" w:rsidP="00FF79DE">
      <w:pPr>
        <w:pStyle w:val="EH-Text"/>
        <w:spacing w:after="160" w:line="360" w:lineRule="auto"/>
        <w:rPr>
          <w:rFonts w:asciiTheme="minorHAnsi" w:hAnsiTheme="minorHAnsi" w:cstheme="minorHAnsi"/>
          <w:i/>
          <w:lang w:val="de-AT"/>
        </w:rPr>
      </w:pPr>
      <w:r w:rsidRPr="008D716D">
        <w:rPr>
          <w:rFonts w:asciiTheme="minorHAnsi" w:hAnsiTheme="minorHAnsi" w:cstheme="minorHAnsi"/>
          <w:i/>
          <w:lang w:val="de-AT"/>
        </w:rPr>
        <w:t xml:space="preserve">(b) </w:t>
      </w:r>
      <w:r w:rsidRPr="008D716D">
        <w:rPr>
          <w:rFonts w:asciiTheme="minorHAnsi" w:hAnsiTheme="minorHAnsi" w:cstheme="minorHAnsi"/>
          <w:i/>
        </w:rPr>
        <w:t>Während</w:t>
      </w:r>
      <w:r w:rsidRPr="008D716D">
        <w:rPr>
          <w:rFonts w:asciiTheme="minorHAnsi" w:hAnsiTheme="minorHAnsi" w:cstheme="minorHAnsi"/>
          <w:i/>
          <w:lang w:val="de-AT"/>
        </w:rPr>
        <w:t xml:space="preserve"> Bilanzkreisabrechnungszeitintervallen, in denen es zum Dispatch von Ressourcen der Maßnahme kommt, werden Bilanzkreisabweichungen auf dem Markt mindestens zum Wert der Zahlungsbereitschaft für die Beibehaltung der Stromversorgung oder zu einem Wert oberhalb der technischen Preisgrenze für den Intraday-Handel abgerechnet, wobei jeweils der höhere Wert herangezogen wird.</w:t>
      </w:r>
    </w:p>
    <w:p w14:paraId="4B582A04" w14:textId="77777777" w:rsidR="00E265B5" w:rsidRPr="008D716D" w:rsidRDefault="00E265B5" w:rsidP="00FF79DE">
      <w:pPr>
        <w:pStyle w:val="EH-Text"/>
        <w:spacing w:after="160" w:line="360" w:lineRule="auto"/>
        <w:rPr>
          <w:rFonts w:asciiTheme="minorHAnsi" w:hAnsiTheme="minorHAnsi" w:cstheme="minorHAnsi"/>
          <w:i/>
          <w:lang w:val="de-AT"/>
        </w:rPr>
      </w:pPr>
      <w:r w:rsidRPr="008D716D">
        <w:rPr>
          <w:rFonts w:asciiTheme="minorHAnsi" w:hAnsiTheme="minorHAnsi" w:cstheme="minorHAnsi"/>
          <w:i/>
          <w:lang w:val="de-AT"/>
        </w:rPr>
        <w:t xml:space="preserve">(c) Der </w:t>
      </w:r>
      <w:r w:rsidRPr="008D716D">
        <w:rPr>
          <w:rFonts w:asciiTheme="minorHAnsi" w:hAnsiTheme="minorHAnsi" w:cstheme="minorHAnsi"/>
          <w:i/>
        </w:rPr>
        <w:t>Output</w:t>
      </w:r>
      <w:r w:rsidRPr="008D716D">
        <w:rPr>
          <w:rFonts w:asciiTheme="minorHAnsi" w:hAnsiTheme="minorHAnsi" w:cstheme="minorHAnsi"/>
          <w:i/>
          <w:lang w:val="de-AT"/>
        </w:rPr>
        <w:t xml:space="preserve"> der Maßnahme nach dem Dispatch wird den Bilanzkreisverantwortlichen über den Mechanismus zur Abrechnung von Bilanzkreisabweichungen zugerechnet.</w:t>
      </w:r>
    </w:p>
    <w:p w14:paraId="3412F1B3" w14:textId="252DC8AA" w:rsidR="00E265B5" w:rsidRPr="008D716D" w:rsidRDefault="00E265B5" w:rsidP="00FF79DE">
      <w:pPr>
        <w:pStyle w:val="EH-Text"/>
        <w:spacing w:after="240" w:line="360" w:lineRule="auto"/>
        <w:rPr>
          <w:rFonts w:asciiTheme="minorHAnsi" w:hAnsiTheme="minorHAnsi" w:cstheme="minorHAnsi"/>
        </w:rPr>
      </w:pPr>
      <w:r w:rsidRPr="008D716D">
        <w:rPr>
          <w:rFonts w:asciiTheme="minorHAnsi" w:hAnsiTheme="minorHAnsi" w:cstheme="minorHAnsi"/>
          <w:i/>
          <w:lang w:val="de-AT"/>
        </w:rPr>
        <w:t>(d) Die Ressourcen der Maßnahme müssen mindestens während der Vertragslaufzeit außerhalb der Energiemärkte vorgehalten werden</w:t>
      </w:r>
      <w:r w:rsidRPr="008D716D">
        <w:rPr>
          <w:rFonts w:asciiTheme="minorHAnsi" w:hAnsiTheme="minorHAnsi" w:cstheme="minorHAnsi"/>
          <w:lang w:val="de-AT"/>
        </w:rPr>
        <w:t>.</w:t>
      </w:r>
      <w:r w:rsidR="00EC16EB" w:rsidRPr="008D716D">
        <w:rPr>
          <w:rFonts w:asciiTheme="minorHAnsi" w:hAnsiTheme="minorHAnsi" w:cstheme="minorHAnsi"/>
          <w:lang w:val="de-AT"/>
        </w:rPr>
        <w:t>"</w:t>
      </w:r>
    </w:p>
    <w:p w14:paraId="531D67F6" w14:textId="00166527" w:rsidR="00E265B5" w:rsidRPr="008D716D" w:rsidRDefault="00E265B5" w:rsidP="00FF79DE">
      <w:pPr>
        <w:pStyle w:val="EH-Text"/>
        <w:spacing w:after="160" w:line="360" w:lineRule="auto"/>
        <w:ind w:left="0"/>
        <w:rPr>
          <w:rFonts w:asciiTheme="minorHAnsi" w:hAnsiTheme="minorHAnsi" w:cstheme="minorHAnsi"/>
          <w:lang w:val="de-AT"/>
        </w:rPr>
      </w:pPr>
      <w:r w:rsidRPr="008D716D">
        <w:rPr>
          <w:rFonts w:asciiTheme="minorHAnsi" w:hAnsiTheme="minorHAnsi" w:cstheme="minorHAnsi"/>
        </w:rPr>
        <w:lastRenderedPageBreak/>
        <w:t>Die</w:t>
      </w:r>
      <w:r w:rsidRPr="008D716D">
        <w:rPr>
          <w:rFonts w:asciiTheme="minorHAnsi" w:hAnsiTheme="minorHAnsi" w:cstheme="minorHAnsi"/>
          <w:lang w:val="de-AT"/>
        </w:rPr>
        <w:t xml:space="preserve"> Unterpunkte (a) – (c) stellen nach unserem Verständnis auf </w:t>
      </w:r>
      <w:r w:rsidR="004A1B32" w:rsidRPr="008D716D">
        <w:rPr>
          <w:rFonts w:asciiTheme="minorHAnsi" w:hAnsiTheme="minorHAnsi" w:cstheme="minorHAnsi"/>
          <w:lang w:val="de-AT"/>
        </w:rPr>
        <w:t xml:space="preserve">den </w:t>
      </w:r>
      <w:r w:rsidRPr="008D716D">
        <w:rPr>
          <w:rFonts w:asciiTheme="minorHAnsi" w:hAnsiTheme="minorHAnsi" w:cstheme="minorHAnsi"/>
          <w:lang w:val="de-AT"/>
        </w:rPr>
        <w:t>tatsächliche</w:t>
      </w:r>
      <w:r w:rsidR="004A1B32" w:rsidRPr="008D716D">
        <w:rPr>
          <w:rFonts w:asciiTheme="minorHAnsi" w:hAnsiTheme="minorHAnsi" w:cstheme="minorHAnsi"/>
          <w:lang w:val="de-AT"/>
        </w:rPr>
        <w:t>n</w:t>
      </w:r>
      <w:r w:rsidRPr="008D716D">
        <w:rPr>
          <w:rFonts w:asciiTheme="minorHAnsi" w:hAnsiTheme="minorHAnsi" w:cstheme="minorHAnsi"/>
          <w:lang w:val="de-AT"/>
        </w:rPr>
        <w:t xml:space="preserve"> Abruf der strategischen Reserve durch den Übertragungsnetzbetreiber ab. Bei den genannten Anforderungen </w:t>
      </w:r>
      <w:r w:rsidR="004A1B32" w:rsidRPr="008D716D">
        <w:rPr>
          <w:rFonts w:asciiTheme="minorHAnsi" w:hAnsiTheme="minorHAnsi" w:cstheme="minorHAnsi"/>
          <w:lang w:val="de-AT"/>
        </w:rPr>
        <w:t>werden jedoch diverse Themenbereiche ohne die gebotene Differenzierung gemeinsam behandelt, was</w:t>
      </w:r>
      <w:r w:rsidRPr="008D716D">
        <w:rPr>
          <w:rFonts w:asciiTheme="minorHAnsi" w:hAnsiTheme="minorHAnsi" w:cstheme="minorHAnsi"/>
          <w:lang w:val="de-AT"/>
        </w:rPr>
        <w:t xml:space="preserve"> in der Praxis zu Schwierigkeiten führen könnte. So verlangt etwa Unterpunkt (b) einen Eingriff in den Markt, weil sich der am Markt verrechnete Preis an jenem zu orientieren hat, der für die im Rahmen der strategischen Reserve abgerufenen Menge gezahlt wird. </w:t>
      </w:r>
      <w:r w:rsidR="004A1B32" w:rsidRPr="008D716D">
        <w:rPr>
          <w:rFonts w:asciiTheme="minorHAnsi" w:hAnsiTheme="minorHAnsi" w:cstheme="minorHAnsi"/>
          <w:lang w:val="de-AT"/>
        </w:rPr>
        <w:t xml:space="preserve">Demzufolge </w:t>
      </w:r>
      <w:r w:rsidRPr="008D716D">
        <w:rPr>
          <w:rFonts w:asciiTheme="minorHAnsi" w:hAnsiTheme="minorHAnsi" w:cstheme="minorHAnsi"/>
          <w:lang w:val="de-AT"/>
        </w:rPr>
        <w:t xml:space="preserve">müssten </w:t>
      </w:r>
      <w:r w:rsidR="004A1B32" w:rsidRPr="008D716D">
        <w:rPr>
          <w:rFonts w:asciiTheme="minorHAnsi" w:hAnsiTheme="minorHAnsi" w:cstheme="minorHAnsi"/>
          <w:lang w:val="de-AT"/>
        </w:rPr>
        <w:t xml:space="preserve">also </w:t>
      </w:r>
      <w:r w:rsidRPr="008D716D">
        <w:rPr>
          <w:rFonts w:asciiTheme="minorHAnsi" w:hAnsiTheme="minorHAnsi" w:cstheme="minorHAnsi"/>
          <w:lang w:val="de-AT"/>
        </w:rPr>
        <w:t xml:space="preserve">für eine Beihilfengewährung auch die Regelungen für die Marktpreisbildung entsprechend angepasst werden. Laut Unterpunkt (c) wird die Maßnahme dem Bilanzkreisverantwortlichen zugerechnet. Dieser Mechanismus betrifft eine völlig andere Ebene, nämliche jene des Bilanzkreisverantwortlichen und dessen Abrechnungsmechanismus. Eine solche Zurechnung ist wiederum </w:t>
      </w:r>
      <w:r w:rsidR="00B1036A" w:rsidRPr="008D716D">
        <w:rPr>
          <w:rFonts w:asciiTheme="minorHAnsi" w:hAnsiTheme="minorHAnsi" w:cstheme="minorHAnsi"/>
          <w:lang w:val="de-AT"/>
        </w:rPr>
        <w:t xml:space="preserve">insofern </w:t>
      </w:r>
      <w:r w:rsidRPr="008D716D">
        <w:rPr>
          <w:rFonts w:asciiTheme="minorHAnsi" w:hAnsiTheme="minorHAnsi" w:cstheme="minorHAnsi"/>
          <w:lang w:val="de-AT"/>
        </w:rPr>
        <w:t xml:space="preserve">unzutreffend, </w:t>
      </w:r>
      <w:r w:rsidR="00B1036A" w:rsidRPr="008D716D">
        <w:rPr>
          <w:rFonts w:asciiTheme="minorHAnsi" w:hAnsiTheme="minorHAnsi" w:cstheme="minorHAnsi"/>
          <w:lang w:val="de-AT"/>
        </w:rPr>
        <w:t xml:space="preserve">als </w:t>
      </w:r>
      <w:r w:rsidRPr="008D716D">
        <w:rPr>
          <w:rFonts w:asciiTheme="minorHAnsi" w:hAnsiTheme="minorHAnsi" w:cstheme="minorHAnsi"/>
          <w:lang w:val="de-AT"/>
        </w:rPr>
        <w:t xml:space="preserve">die Abrufung der strategischen Reserve </w:t>
      </w:r>
      <w:r w:rsidR="004A1B32" w:rsidRPr="008D716D">
        <w:rPr>
          <w:rFonts w:asciiTheme="minorHAnsi" w:hAnsiTheme="minorHAnsi" w:cstheme="minorHAnsi"/>
          <w:lang w:val="de-AT"/>
        </w:rPr>
        <w:t>– wie erwähnt – häufig auf Umstände zurückzuführen ist</w:t>
      </w:r>
      <w:r w:rsidRPr="008D716D">
        <w:rPr>
          <w:rFonts w:asciiTheme="minorHAnsi" w:hAnsiTheme="minorHAnsi" w:cstheme="minorHAnsi"/>
          <w:lang w:val="de-AT"/>
        </w:rPr>
        <w:t xml:space="preserve">, die außerhalb des </w:t>
      </w:r>
      <w:r w:rsidR="004457EE" w:rsidRPr="008D716D">
        <w:rPr>
          <w:rFonts w:asciiTheme="minorHAnsi" w:hAnsiTheme="minorHAnsi" w:cstheme="minorHAnsi"/>
          <w:lang w:val="de-AT"/>
        </w:rPr>
        <w:t xml:space="preserve">Einflussbereichs des </w:t>
      </w:r>
      <w:r w:rsidR="004A1B32" w:rsidRPr="008D716D">
        <w:rPr>
          <w:rFonts w:asciiTheme="minorHAnsi" w:hAnsiTheme="minorHAnsi" w:cstheme="minorHAnsi"/>
          <w:lang w:val="de-AT"/>
        </w:rPr>
        <w:t xml:space="preserve">betreffenden </w:t>
      </w:r>
      <w:r w:rsidRPr="008D716D">
        <w:rPr>
          <w:rFonts w:asciiTheme="minorHAnsi" w:hAnsiTheme="minorHAnsi" w:cstheme="minorHAnsi"/>
          <w:lang w:val="de-AT"/>
        </w:rPr>
        <w:t xml:space="preserve">Mitgliedstaates </w:t>
      </w:r>
      <w:r w:rsidR="004A1B32" w:rsidRPr="008D716D">
        <w:rPr>
          <w:rFonts w:asciiTheme="minorHAnsi" w:hAnsiTheme="minorHAnsi" w:cstheme="minorHAnsi"/>
          <w:lang w:val="de-AT"/>
        </w:rPr>
        <w:t>liegen</w:t>
      </w:r>
      <w:r w:rsidRPr="008D716D">
        <w:rPr>
          <w:rFonts w:asciiTheme="minorHAnsi" w:hAnsiTheme="minorHAnsi" w:cstheme="minorHAnsi"/>
          <w:lang w:val="de-AT"/>
        </w:rPr>
        <w:t>.</w:t>
      </w:r>
      <w:r w:rsidR="000975A1" w:rsidRPr="008D716D">
        <w:rPr>
          <w:rFonts w:asciiTheme="minorHAnsi" w:hAnsiTheme="minorHAnsi" w:cstheme="minorHAnsi"/>
          <w:lang w:val="de-AT"/>
        </w:rPr>
        <w:t xml:space="preserve"> </w:t>
      </w:r>
    </w:p>
    <w:p w14:paraId="1EEAF57C" w14:textId="3BDB57C3" w:rsidR="008D049B" w:rsidRPr="008D716D" w:rsidRDefault="00E265B5" w:rsidP="00FF79DE">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t>Zu Unterpunkt (d) wäre hinsichtlich der Wortfolge "</w:t>
      </w:r>
      <w:r w:rsidRPr="008D716D">
        <w:rPr>
          <w:rFonts w:asciiTheme="minorHAnsi" w:hAnsiTheme="minorHAnsi" w:cstheme="minorHAnsi"/>
          <w:i/>
          <w:lang w:val="de-AT"/>
        </w:rPr>
        <w:t>mindestens während der Vertragslaufzeit</w:t>
      </w:r>
      <w:r w:rsidRPr="008D716D">
        <w:rPr>
          <w:rFonts w:asciiTheme="minorHAnsi" w:hAnsiTheme="minorHAnsi" w:cstheme="minorHAnsi"/>
          <w:lang w:val="de-AT"/>
        </w:rPr>
        <w:t xml:space="preserve">" eine Klarstellung wünschenswert, </w:t>
      </w:r>
      <w:r w:rsidR="00EC16EB" w:rsidRPr="008D716D">
        <w:rPr>
          <w:rFonts w:asciiTheme="minorHAnsi" w:hAnsiTheme="minorHAnsi" w:cstheme="minorHAnsi"/>
          <w:lang w:val="de-AT"/>
        </w:rPr>
        <w:t>wonach</w:t>
      </w:r>
      <w:r w:rsidRPr="008D716D">
        <w:rPr>
          <w:rFonts w:asciiTheme="minorHAnsi" w:hAnsiTheme="minorHAnsi" w:cstheme="minorHAnsi"/>
          <w:lang w:val="de-AT"/>
        </w:rPr>
        <w:t xml:space="preserve"> die Teilnahme der Ressource am Energiemarkt nach der </w:t>
      </w:r>
      <w:r w:rsidR="0087572E" w:rsidRPr="008D716D">
        <w:rPr>
          <w:rFonts w:asciiTheme="minorHAnsi" w:hAnsiTheme="minorHAnsi" w:cstheme="minorHAnsi"/>
          <w:lang w:val="de-AT"/>
        </w:rPr>
        <w:t xml:space="preserve">vergüteten </w:t>
      </w:r>
      <w:r w:rsidRPr="008D716D">
        <w:rPr>
          <w:rFonts w:asciiTheme="minorHAnsi" w:hAnsiTheme="minorHAnsi" w:cstheme="minorHAnsi"/>
          <w:lang w:val="de-AT"/>
        </w:rPr>
        <w:t xml:space="preserve">Vertragslaufzeit </w:t>
      </w:r>
      <w:r w:rsidR="0087572E" w:rsidRPr="008D716D">
        <w:rPr>
          <w:rFonts w:asciiTheme="minorHAnsi" w:hAnsiTheme="minorHAnsi" w:cstheme="minorHAnsi"/>
          <w:lang w:val="de-AT"/>
        </w:rPr>
        <w:t xml:space="preserve">der strategischen Reserve </w:t>
      </w:r>
      <w:r w:rsidRPr="008D716D">
        <w:rPr>
          <w:rFonts w:asciiTheme="minorHAnsi" w:hAnsiTheme="minorHAnsi" w:cstheme="minorHAnsi"/>
          <w:lang w:val="de-AT"/>
        </w:rPr>
        <w:t>wieder möglich ist.</w:t>
      </w:r>
      <w:r w:rsidR="008D049B" w:rsidRPr="008D716D">
        <w:rPr>
          <w:rFonts w:asciiTheme="minorHAnsi" w:hAnsiTheme="minorHAnsi" w:cstheme="minorHAnsi"/>
          <w:lang w:val="de-AT"/>
        </w:rPr>
        <w:t xml:space="preserve"> Der derzeitige Text lässt nämlich offen, ob die Teilnahme an der strategischen Reserve auch Betreibern von Kraftwerken offensteht, die nur temporär (z</w:t>
      </w:r>
      <w:r w:rsidR="004457EE" w:rsidRPr="008D716D">
        <w:rPr>
          <w:rFonts w:asciiTheme="minorHAnsi" w:hAnsiTheme="minorHAnsi" w:cstheme="minorHAnsi"/>
          <w:lang w:val="de-AT"/>
        </w:rPr>
        <w:t>.B.</w:t>
      </w:r>
      <w:r w:rsidR="008D049B" w:rsidRPr="008D716D">
        <w:rPr>
          <w:rFonts w:asciiTheme="minorHAnsi" w:hAnsiTheme="minorHAnsi" w:cstheme="minorHAnsi"/>
          <w:lang w:val="de-AT"/>
        </w:rPr>
        <w:t xml:space="preserve"> saisonal) stillgelegt werden</w:t>
      </w:r>
      <w:r w:rsidR="0087572E" w:rsidRPr="008D716D">
        <w:rPr>
          <w:rFonts w:asciiTheme="minorHAnsi" w:hAnsiTheme="minorHAnsi" w:cstheme="minorHAnsi"/>
          <w:lang w:val="de-AT"/>
        </w:rPr>
        <w:t xml:space="preserve"> und in der verbleibenden Zeit aktiv am Markt teilnehmen</w:t>
      </w:r>
      <w:r w:rsidR="008D049B" w:rsidRPr="008D716D">
        <w:rPr>
          <w:rFonts w:asciiTheme="minorHAnsi" w:hAnsiTheme="minorHAnsi" w:cstheme="minorHAnsi"/>
          <w:lang w:val="de-AT"/>
        </w:rPr>
        <w:t>,</w:t>
      </w:r>
      <w:r w:rsidR="0087572E" w:rsidRPr="008D716D">
        <w:rPr>
          <w:rFonts w:asciiTheme="minorHAnsi" w:hAnsiTheme="minorHAnsi" w:cstheme="minorHAnsi"/>
          <w:lang w:val="de-AT"/>
        </w:rPr>
        <w:t xml:space="preserve"> </w:t>
      </w:r>
      <w:r w:rsidR="008D049B" w:rsidRPr="008D716D">
        <w:rPr>
          <w:rFonts w:asciiTheme="minorHAnsi" w:hAnsiTheme="minorHAnsi" w:cstheme="minorHAnsi"/>
          <w:lang w:val="de-AT"/>
        </w:rPr>
        <w:t xml:space="preserve">wie dies </w:t>
      </w:r>
      <w:r w:rsidR="0087572E" w:rsidRPr="008D716D">
        <w:rPr>
          <w:rFonts w:asciiTheme="minorHAnsi" w:hAnsiTheme="minorHAnsi" w:cstheme="minorHAnsi"/>
          <w:lang w:val="de-AT"/>
        </w:rPr>
        <w:t xml:space="preserve">insbesondere </w:t>
      </w:r>
      <w:r w:rsidR="008D049B" w:rsidRPr="008D716D">
        <w:rPr>
          <w:rFonts w:asciiTheme="minorHAnsi" w:hAnsiTheme="minorHAnsi" w:cstheme="minorHAnsi"/>
          <w:lang w:val="de-AT"/>
        </w:rPr>
        <w:t xml:space="preserve">bei KWK-Anlagen regelmäßig der Fall ist. Dies könnte in der Praxis zu Auslegungsschwierigkeiten führen, wenn Ressourcen derartiger KWK-Anlagen </w:t>
      </w:r>
      <w:r w:rsidR="00F41681" w:rsidRPr="008D716D">
        <w:rPr>
          <w:rFonts w:asciiTheme="minorHAnsi" w:hAnsiTheme="minorHAnsi" w:cstheme="minorHAnsi"/>
          <w:lang w:val="de-AT"/>
        </w:rPr>
        <w:t xml:space="preserve">in der </w:t>
      </w:r>
      <w:r w:rsidR="008D049B" w:rsidRPr="008D716D">
        <w:rPr>
          <w:rFonts w:asciiTheme="minorHAnsi" w:hAnsiTheme="minorHAnsi" w:cstheme="minorHAnsi"/>
          <w:lang w:val="de-AT"/>
        </w:rPr>
        <w:t xml:space="preserve">Sommersaison als strategische </w:t>
      </w:r>
      <w:r w:rsidR="0087572E" w:rsidRPr="008D716D">
        <w:rPr>
          <w:rFonts w:asciiTheme="minorHAnsi" w:hAnsiTheme="minorHAnsi" w:cstheme="minorHAnsi"/>
          <w:lang w:val="de-AT"/>
        </w:rPr>
        <w:t xml:space="preserve">Reserve </w:t>
      </w:r>
      <w:r w:rsidR="008D049B" w:rsidRPr="008D716D">
        <w:rPr>
          <w:rFonts w:asciiTheme="minorHAnsi" w:hAnsiTheme="minorHAnsi" w:cstheme="minorHAnsi"/>
          <w:lang w:val="de-AT"/>
        </w:rPr>
        <w:t xml:space="preserve">zur Verfügung stehen, </w:t>
      </w:r>
      <w:r w:rsidR="00F41681" w:rsidRPr="008D716D">
        <w:rPr>
          <w:rFonts w:asciiTheme="minorHAnsi" w:hAnsiTheme="minorHAnsi" w:cstheme="minorHAnsi"/>
          <w:lang w:val="de-AT"/>
        </w:rPr>
        <w:t xml:space="preserve">in der </w:t>
      </w:r>
      <w:r w:rsidR="008D049B" w:rsidRPr="008D716D">
        <w:rPr>
          <w:rFonts w:asciiTheme="minorHAnsi" w:hAnsiTheme="minorHAnsi" w:cstheme="minorHAnsi"/>
          <w:lang w:val="de-AT"/>
        </w:rPr>
        <w:t>Wintersaison aber wieder am Markt teilnehmen und für mehrere solche</w:t>
      </w:r>
      <w:r w:rsidR="000975A1" w:rsidRPr="008D716D">
        <w:rPr>
          <w:rFonts w:asciiTheme="minorHAnsi" w:hAnsiTheme="minorHAnsi" w:cstheme="minorHAnsi"/>
          <w:lang w:val="de-AT"/>
        </w:rPr>
        <w:t>r</w:t>
      </w:r>
      <w:r w:rsidR="008D049B" w:rsidRPr="008D716D">
        <w:rPr>
          <w:rFonts w:asciiTheme="minorHAnsi" w:hAnsiTheme="minorHAnsi" w:cstheme="minorHAnsi"/>
          <w:lang w:val="de-AT"/>
        </w:rPr>
        <w:t xml:space="preserve"> Zeiträume einen einzigen mehrjährigen Vertrag erhalten, der jedoch nur eine Vergütung für jene Zeiträume vorsieht, in denen es zu einer im Rahmen der strategischen Reserve vergüteten Vorhaltung von Ressourcen außerhalb des Energiemarktes kommt</w:t>
      </w:r>
      <w:r w:rsidR="0087572E" w:rsidRPr="008D716D">
        <w:rPr>
          <w:rFonts w:asciiTheme="minorHAnsi" w:hAnsiTheme="minorHAnsi" w:cstheme="minorHAnsi"/>
          <w:lang w:val="de-AT"/>
        </w:rPr>
        <w:t xml:space="preserve"> (</w:t>
      </w:r>
      <w:r w:rsidR="00F41681" w:rsidRPr="008D716D">
        <w:rPr>
          <w:rFonts w:asciiTheme="minorHAnsi" w:hAnsiTheme="minorHAnsi" w:cstheme="minorHAnsi"/>
          <w:lang w:val="de-AT"/>
        </w:rPr>
        <w:t xml:space="preserve">wodurch </w:t>
      </w:r>
      <w:r w:rsidR="0087572E" w:rsidRPr="008D716D">
        <w:rPr>
          <w:rFonts w:asciiTheme="minorHAnsi" w:hAnsiTheme="minorHAnsi" w:cstheme="minorHAnsi"/>
          <w:lang w:val="de-AT"/>
        </w:rPr>
        <w:t xml:space="preserve">im </w:t>
      </w:r>
      <w:r w:rsidR="00F41681" w:rsidRPr="008D716D">
        <w:rPr>
          <w:rFonts w:asciiTheme="minorHAnsi" w:hAnsiTheme="minorHAnsi" w:cstheme="minorHAnsi"/>
          <w:lang w:val="de-AT"/>
        </w:rPr>
        <w:t xml:space="preserve">vorgenannten </w:t>
      </w:r>
      <w:r w:rsidR="0087572E" w:rsidRPr="008D716D">
        <w:rPr>
          <w:rFonts w:asciiTheme="minorHAnsi" w:hAnsiTheme="minorHAnsi" w:cstheme="minorHAnsi"/>
          <w:lang w:val="de-AT"/>
        </w:rPr>
        <w:t xml:space="preserve">Beispiel daher </w:t>
      </w:r>
      <w:r w:rsidR="00F41681" w:rsidRPr="008D716D">
        <w:rPr>
          <w:rFonts w:asciiTheme="minorHAnsi" w:hAnsiTheme="minorHAnsi" w:cstheme="minorHAnsi"/>
          <w:lang w:val="de-AT"/>
        </w:rPr>
        <w:t xml:space="preserve">selbstverständlich nur </w:t>
      </w:r>
      <w:r w:rsidR="0087572E" w:rsidRPr="008D716D">
        <w:rPr>
          <w:rFonts w:asciiTheme="minorHAnsi" w:hAnsiTheme="minorHAnsi" w:cstheme="minorHAnsi"/>
          <w:lang w:val="de-AT"/>
        </w:rPr>
        <w:t>die Sommersaison aus der strategischen Reserve vergütet</w:t>
      </w:r>
      <w:r w:rsidR="00F41681" w:rsidRPr="008D716D">
        <w:rPr>
          <w:rFonts w:asciiTheme="minorHAnsi" w:hAnsiTheme="minorHAnsi" w:cstheme="minorHAnsi"/>
          <w:lang w:val="de-AT"/>
        </w:rPr>
        <w:t xml:space="preserve"> würde</w:t>
      </w:r>
      <w:r w:rsidR="0087572E" w:rsidRPr="008D716D">
        <w:rPr>
          <w:rFonts w:asciiTheme="minorHAnsi" w:hAnsiTheme="minorHAnsi" w:cstheme="minorHAnsi"/>
          <w:lang w:val="de-AT"/>
        </w:rPr>
        <w:t>)</w:t>
      </w:r>
      <w:r w:rsidR="008D049B" w:rsidRPr="008D716D">
        <w:rPr>
          <w:rFonts w:asciiTheme="minorHAnsi" w:hAnsiTheme="minorHAnsi" w:cstheme="minorHAnsi"/>
          <w:lang w:val="de-AT"/>
        </w:rPr>
        <w:t xml:space="preserve">. </w:t>
      </w:r>
    </w:p>
    <w:p w14:paraId="68D2F24A" w14:textId="0E79CA4D" w:rsidR="00F41681" w:rsidRPr="008D716D" w:rsidRDefault="008D049B" w:rsidP="00FF79DE">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t>Legt man die obengenannte Wortfolge ("</w:t>
      </w:r>
      <w:r w:rsidRPr="008D716D">
        <w:rPr>
          <w:rFonts w:asciiTheme="minorHAnsi" w:hAnsiTheme="minorHAnsi" w:cstheme="minorHAnsi"/>
          <w:i/>
          <w:lang w:val="de-AT"/>
        </w:rPr>
        <w:t>mindestens während der Vertragslaufzeit</w:t>
      </w:r>
      <w:r w:rsidRPr="008D716D">
        <w:rPr>
          <w:rFonts w:asciiTheme="minorHAnsi" w:hAnsiTheme="minorHAnsi" w:cstheme="minorHAnsi"/>
          <w:lang w:val="de-AT"/>
        </w:rPr>
        <w:t xml:space="preserve">") </w:t>
      </w:r>
      <w:r w:rsidR="00F41681" w:rsidRPr="008D716D">
        <w:rPr>
          <w:rFonts w:asciiTheme="minorHAnsi" w:hAnsiTheme="minorHAnsi" w:cstheme="minorHAnsi"/>
          <w:lang w:val="de-AT"/>
        </w:rPr>
        <w:t xml:space="preserve">hingegen </w:t>
      </w:r>
      <w:r w:rsidRPr="008D716D">
        <w:rPr>
          <w:rFonts w:asciiTheme="minorHAnsi" w:hAnsiTheme="minorHAnsi" w:cstheme="minorHAnsi"/>
          <w:lang w:val="de-AT"/>
        </w:rPr>
        <w:t>streng aus und schließt</w:t>
      </w:r>
      <w:r w:rsidR="0087572E" w:rsidRPr="008D716D">
        <w:rPr>
          <w:rFonts w:asciiTheme="minorHAnsi" w:hAnsiTheme="minorHAnsi" w:cstheme="minorHAnsi"/>
          <w:lang w:val="de-AT"/>
        </w:rPr>
        <w:t xml:space="preserve"> </w:t>
      </w:r>
      <w:r w:rsidR="00F41681" w:rsidRPr="008D716D">
        <w:rPr>
          <w:rFonts w:asciiTheme="minorHAnsi" w:hAnsiTheme="minorHAnsi" w:cstheme="minorHAnsi"/>
          <w:lang w:val="de-AT"/>
        </w:rPr>
        <w:t xml:space="preserve">temporär </w:t>
      </w:r>
      <w:r w:rsidRPr="008D716D">
        <w:rPr>
          <w:rFonts w:asciiTheme="minorHAnsi" w:hAnsiTheme="minorHAnsi" w:cstheme="minorHAnsi"/>
          <w:lang w:val="de-AT"/>
        </w:rPr>
        <w:t>stillgelegte KWK-Anlagen von der strategischen Reserve kategorisch aus, gehen damit</w:t>
      </w:r>
      <w:r w:rsidR="0087572E" w:rsidRPr="008D716D">
        <w:rPr>
          <w:rFonts w:asciiTheme="minorHAnsi" w:hAnsiTheme="minorHAnsi" w:cstheme="minorHAnsi"/>
          <w:lang w:val="de-AT"/>
        </w:rPr>
        <w:t xml:space="preserve"> </w:t>
      </w:r>
      <w:r w:rsidRPr="008D716D">
        <w:rPr>
          <w:rFonts w:asciiTheme="minorHAnsi" w:hAnsiTheme="minorHAnsi" w:cstheme="minorHAnsi"/>
          <w:lang w:val="de-AT"/>
        </w:rPr>
        <w:t xml:space="preserve">negative Auswirkungen </w:t>
      </w:r>
      <w:r w:rsidR="0087572E" w:rsidRPr="008D716D">
        <w:rPr>
          <w:rFonts w:asciiTheme="minorHAnsi" w:hAnsiTheme="minorHAnsi" w:cstheme="minorHAnsi"/>
          <w:lang w:val="de-AT"/>
        </w:rPr>
        <w:t>auf de</w:t>
      </w:r>
      <w:r w:rsidR="004457EE" w:rsidRPr="008D716D">
        <w:rPr>
          <w:rFonts w:asciiTheme="minorHAnsi" w:hAnsiTheme="minorHAnsi" w:cstheme="minorHAnsi"/>
          <w:lang w:val="de-AT"/>
        </w:rPr>
        <w:t>m</w:t>
      </w:r>
      <w:r w:rsidR="0087572E" w:rsidRPr="008D716D">
        <w:rPr>
          <w:rFonts w:asciiTheme="minorHAnsi" w:hAnsiTheme="minorHAnsi" w:cstheme="minorHAnsi"/>
          <w:lang w:val="de-AT"/>
        </w:rPr>
        <w:t xml:space="preserve"> Energiemarkt </w:t>
      </w:r>
      <w:r w:rsidRPr="008D716D">
        <w:rPr>
          <w:rFonts w:asciiTheme="minorHAnsi" w:hAnsiTheme="minorHAnsi" w:cstheme="minorHAnsi"/>
          <w:lang w:val="de-AT"/>
        </w:rPr>
        <w:t xml:space="preserve">einher: </w:t>
      </w:r>
    </w:p>
    <w:p w14:paraId="11A1B520" w14:textId="77777777" w:rsidR="00F41681" w:rsidRPr="008D716D" w:rsidRDefault="008D049B" w:rsidP="00FF79DE">
      <w:pPr>
        <w:pStyle w:val="EH-Text"/>
        <w:numPr>
          <w:ilvl w:val="0"/>
          <w:numId w:val="19"/>
        </w:numPr>
        <w:spacing w:after="160" w:line="360" w:lineRule="auto"/>
        <w:rPr>
          <w:rFonts w:asciiTheme="minorHAnsi" w:hAnsiTheme="minorHAnsi" w:cstheme="minorHAnsi"/>
          <w:lang w:val="de-AT"/>
        </w:rPr>
      </w:pPr>
      <w:r w:rsidRPr="008D716D">
        <w:rPr>
          <w:rFonts w:asciiTheme="minorHAnsi" w:hAnsiTheme="minorHAnsi" w:cstheme="minorHAnsi"/>
          <w:lang w:val="de-AT"/>
        </w:rPr>
        <w:lastRenderedPageBreak/>
        <w:t xml:space="preserve">Zum einen bestünde die Gefahr, dass für die strategische Reserve unzureichend Ressourcen bereitstehen und damit die Versorgungssicherheit gefährdet wird. </w:t>
      </w:r>
    </w:p>
    <w:p w14:paraId="36836D6B" w14:textId="0BC2D982" w:rsidR="00F41681" w:rsidRPr="008D716D" w:rsidRDefault="008D049B" w:rsidP="00FF79DE">
      <w:pPr>
        <w:pStyle w:val="EH-Text"/>
        <w:numPr>
          <w:ilvl w:val="0"/>
          <w:numId w:val="19"/>
        </w:numPr>
        <w:spacing w:after="160" w:line="360" w:lineRule="auto"/>
        <w:rPr>
          <w:rFonts w:asciiTheme="minorHAnsi" w:hAnsiTheme="minorHAnsi" w:cstheme="minorHAnsi"/>
          <w:lang w:val="de-AT"/>
        </w:rPr>
      </w:pPr>
      <w:r w:rsidRPr="008D716D">
        <w:rPr>
          <w:rFonts w:asciiTheme="minorHAnsi" w:hAnsiTheme="minorHAnsi" w:cstheme="minorHAnsi"/>
          <w:lang w:val="de-AT"/>
        </w:rPr>
        <w:t xml:space="preserve">Zum anderen </w:t>
      </w:r>
      <w:r w:rsidR="00F41681" w:rsidRPr="008D716D">
        <w:rPr>
          <w:rFonts w:asciiTheme="minorHAnsi" w:hAnsiTheme="minorHAnsi" w:cstheme="minorHAnsi"/>
          <w:lang w:val="de-AT"/>
        </w:rPr>
        <w:t>würden</w:t>
      </w:r>
      <w:r w:rsidRPr="008D716D">
        <w:rPr>
          <w:rFonts w:asciiTheme="minorHAnsi" w:hAnsiTheme="minorHAnsi" w:cstheme="minorHAnsi"/>
          <w:lang w:val="de-AT"/>
        </w:rPr>
        <w:t xml:space="preserve"> potentielle Bieter von der Teilnahme an einer Ausschreibung abgehalten, sodass die Zahl der Bieter unter Umständen nicht groß genug wäre, um wirksamen Wettbewerb sicherzustellen.</w:t>
      </w:r>
      <w:r w:rsidR="007D4A85" w:rsidRPr="008D716D">
        <w:rPr>
          <w:rFonts w:asciiTheme="minorHAnsi" w:hAnsiTheme="minorHAnsi" w:cstheme="minorHAnsi"/>
          <w:lang w:val="de-AT"/>
        </w:rPr>
        <w:t xml:space="preserve"> </w:t>
      </w:r>
    </w:p>
    <w:p w14:paraId="49F471A5" w14:textId="77777777" w:rsidR="00930A4C" w:rsidRPr="008D716D" w:rsidRDefault="007D4A85" w:rsidP="00FF79DE">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t xml:space="preserve">Es </w:t>
      </w:r>
      <w:r w:rsidR="00F41681" w:rsidRPr="008D716D">
        <w:rPr>
          <w:rFonts w:asciiTheme="minorHAnsi" w:hAnsiTheme="minorHAnsi" w:cstheme="minorHAnsi"/>
          <w:lang w:val="de-AT"/>
        </w:rPr>
        <w:t>liegt daher auf der Hand</w:t>
      </w:r>
      <w:r w:rsidRPr="008D716D">
        <w:rPr>
          <w:rFonts w:asciiTheme="minorHAnsi" w:hAnsiTheme="minorHAnsi" w:cstheme="minorHAnsi"/>
          <w:lang w:val="de-AT"/>
        </w:rPr>
        <w:t>, dass eine strenge Auslegung dieses Erfordernisses der Zielsetzung der Leitlinien zuwide</w:t>
      </w:r>
      <w:r w:rsidR="00F41681" w:rsidRPr="008D716D">
        <w:rPr>
          <w:rFonts w:asciiTheme="minorHAnsi" w:hAnsiTheme="minorHAnsi" w:cstheme="minorHAnsi"/>
          <w:lang w:val="de-AT"/>
        </w:rPr>
        <w:t>rlaufen würde</w:t>
      </w:r>
      <w:r w:rsidRPr="008D716D">
        <w:rPr>
          <w:rFonts w:asciiTheme="minorHAnsi" w:hAnsiTheme="minorHAnsi" w:cstheme="minorHAnsi"/>
          <w:lang w:val="de-AT"/>
        </w:rPr>
        <w:t xml:space="preserve">. </w:t>
      </w:r>
    </w:p>
    <w:p w14:paraId="2A2A23DB" w14:textId="3E3C7F76" w:rsidR="00E265B5" w:rsidRPr="008D716D" w:rsidRDefault="00930A4C" w:rsidP="00FF79DE">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t>Vielmehr</w:t>
      </w:r>
      <w:r w:rsidR="00F41681" w:rsidRPr="008D716D">
        <w:rPr>
          <w:rFonts w:asciiTheme="minorHAnsi" w:hAnsiTheme="minorHAnsi" w:cstheme="minorHAnsi"/>
          <w:lang w:val="de-AT"/>
        </w:rPr>
        <w:t xml:space="preserve"> kommt </w:t>
      </w:r>
      <w:r w:rsidRPr="008D716D">
        <w:rPr>
          <w:rFonts w:asciiTheme="minorHAnsi" w:hAnsiTheme="minorHAnsi" w:cstheme="minorHAnsi"/>
          <w:lang w:val="de-AT"/>
        </w:rPr>
        <w:t>es</w:t>
      </w:r>
      <w:r w:rsidR="00F41681" w:rsidRPr="008D716D">
        <w:rPr>
          <w:rFonts w:asciiTheme="minorHAnsi" w:hAnsiTheme="minorHAnsi" w:cstheme="minorHAnsi"/>
          <w:lang w:val="de-AT"/>
        </w:rPr>
        <w:t xml:space="preserve"> </w:t>
      </w:r>
      <w:r w:rsidR="00F41681" w:rsidRPr="008D716D">
        <w:rPr>
          <w:rFonts w:asciiTheme="minorHAnsi" w:hAnsiTheme="minorHAnsi" w:cstheme="minorHAnsi"/>
          <w:u w:val="single"/>
          <w:lang w:val="de-AT"/>
        </w:rPr>
        <w:t>allein</w:t>
      </w:r>
      <w:r w:rsidR="00F41681" w:rsidRPr="008D716D">
        <w:rPr>
          <w:rFonts w:asciiTheme="minorHAnsi" w:hAnsiTheme="minorHAnsi" w:cstheme="minorHAnsi"/>
          <w:lang w:val="de-AT"/>
        </w:rPr>
        <w:t xml:space="preserve"> darauf an, für welche Zeiträume </w:t>
      </w:r>
      <w:r w:rsidR="00F41681" w:rsidRPr="008D716D">
        <w:rPr>
          <w:rFonts w:asciiTheme="minorHAnsi" w:hAnsiTheme="minorHAnsi" w:cstheme="minorHAnsi"/>
          <w:u w:val="single"/>
          <w:lang w:val="de-AT"/>
        </w:rPr>
        <w:t>innerhalb</w:t>
      </w:r>
      <w:r w:rsidR="00F41681" w:rsidRPr="008D716D">
        <w:rPr>
          <w:rFonts w:asciiTheme="minorHAnsi" w:hAnsiTheme="minorHAnsi" w:cstheme="minorHAnsi"/>
          <w:lang w:val="de-AT"/>
        </w:rPr>
        <w:t xml:space="preserve"> einer bestimmten Vertragslaufzeit eine Vergütung aus der str</w:t>
      </w:r>
      <w:r w:rsidRPr="008D716D">
        <w:rPr>
          <w:rFonts w:asciiTheme="minorHAnsi" w:hAnsiTheme="minorHAnsi" w:cstheme="minorHAnsi"/>
          <w:lang w:val="de-AT"/>
        </w:rPr>
        <w:t>ategischen Reserve gewährt wird:</w:t>
      </w:r>
      <w:r w:rsidR="00F41681" w:rsidRPr="008D716D">
        <w:rPr>
          <w:rFonts w:asciiTheme="minorHAnsi" w:hAnsiTheme="minorHAnsi" w:cstheme="minorHAnsi"/>
          <w:lang w:val="de-AT"/>
        </w:rPr>
        <w:t xml:space="preserve"> </w:t>
      </w:r>
      <w:r w:rsidRPr="008D716D">
        <w:rPr>
          <w:rFonts w:asciiTheme="minorHAnsi" w:hAnsiTheme="minorHAnsi" w:cstheme="minorHAnsi"/>
          <w:lang w:val="de-AT"/>
        </w:rPr>
        <w:t>Eine</w:t>
      </w:r>
      <w:r w:rsidR="007D4A85" w:rsidRPr="008D716D">
        <w:rPr>
          <w:rFonts w:asciiTheme="minorHAnsi" w:hAnsiTheme="minorHAnsi" w:cstheme="minorHAnsi"/>
          <w:lang w:val="de-AT"/>
        </w:rPr>
        <w:t xml:space="preserve"> kostenorientierte Vergütung, die nur für die Dauer der Vorhaltung von Ressourcen außerhalb des Marktes gewährt wird, </w:t>
      </w:r>
      <w:r w:rsidRPr="008D716D">
        <w:rPr>
          <w:rFonts w:asciiTheme="minorHAnsi" w:hAnsiTheme="minorHAnsi" w:cstheme="minorHAnsi"/>
          <w:lang w:val="de-AT"/>
        </w:rPr>
        <w:t>begründet keine</w:t>
      </w:r>
      <w:r w:rsidR="00866B07" w:rsidRPr="008D716D">
        <w:rPr>
          <w:rFonts w:asciiTheme="minorHAnsi" w:hAnsiTheme="minorHAnsi" w:cstheme="minorHAnsi"/>
          <w:lang w:val="de-AT"/>
        </w:rPr>
        <w:t>n</w:t>
      </w:r>
      <w:r w:rsidRPr="008D716D">
        <w:rPr>
          <w:rFonts w:asciiTheme="minorHAnsi" w:hAnsiTheme="minorHAnsi" w:cstheme="minorHAnsi"/>
          <w:lang w:val="de-AT"/>
        </w:rPr>
        <w:t xml:space="preserve"> </w:t>
      </w:r>
      <w:r w:rsidR="0087572E" w:rsidRPr="008D716D">
        <w:rPr>
          <w:rFonts w:asciiTheme="minorHAnsi" w:hAnsiTheme="minorHAnsi" w:cstheme="minorHAnsi"/>
          <w:lang w:val="de-AT"/>
        </w:rPr>
        <w:t>Wettbewerbsvorteil für den Zeitraum der aktiven</w:t>
      </w:r>
      <w:r w:rsidR="007D4A85" w:rsidRPr="008D716D">
        <w:rPr>
          <w:rFonts w:asciiTheme="minorHAnsi" w:hAnsiTheme="minorHAnsi" w:cstheme="minorHAnsi"/>
          <w:lang w:val="de-AT"/>
        </w:rPr>
        <w:t xml:space="preserve"> Marktteilnahme. </w:t>
      </w:r>
      <w:r w:rsidR="0087572E" w:rsidRPr="008D716D">
        <w:rPr>
          <w:rFonts w:asciiTheme="minorHAnsi" w:hAnsiTheme="minorHAnsi" w:cstheme="minorHAnsi"/>
          <w:lang w:val="de-AT"/>
        </w:rPr>
        <w:t xml:space="preserve">In diesem Fall </w:t>
      </w:r>
      <w:r w:rsidR="00E265B5" w:rsidRPr="008D716D">
        <w:rPr>
          <w:rFonts w:asciiTheme="minorHAnsi" w:hAnsiTheme="minorHAnsi" w:cstheme="minorHAnsi"/>
          <w:lang w:val="de-AT"/>
        </w:rPr>
        <w:t xml:space="preserve">ist eine Marktverzerrung </w:t>
      </w:r>
      <w:r w:rsidRPr="008D716D">
        <w:rPr>
          <w:rFonts w:asciiTheme="minorHAnsi" w:hAnsiTheme="minorHAnsi" w:cstheme="minorHAnsi"/>
          <w:lang w:val="de-AT"/>
        </w:rPr>
        <w:t xml:space="preserve">auszuschließen </w:t>
      </w:r>
      <w:r w:rsidR="00E265B5" w:rsidRPr="008D716D">
        <w:rPr>
          <w:rFonts w:asciiTheme="minorHAnsi" w:hAnsiTheme="minorHAnsi" w:cstheme="minorHAnsi"/>
          <w:lang w:val="de-AT"/>
        </w:rPr>
        <w:t xml:space="preserve">und es bestehen </w:t>
      </w:r>
      <w:r w:rsidRPr="008D716D">
        <w:rPr>
          <w:rFonts w:asciiTheme="minorHAnsi" w:hAnsiTheme="minorHAnsi" w:cstheme="minorHAnsi"/>
          <w:lang w:val="de-AT"/>
        </w:rPr>
        <w:t xml:space="preserve">folglich auch </w:t>
      </w:r>
      <w:r w:rsidR="00E265B5" w:rsidRPr="008D716D">
        <w:rPr>
          <w:rFonts w:asciiTheme="minorHAnsi" w:hAnsiTheme="minorHAnsi" w:cstheme="minorHAnsi"/>
          <w:lang w:val="de-AT"/>
        </w:rPr>
        <w:t xml:space="preserve">keine negativen Auswirkungen auf den Wettbewerb. </w:t>
      </w:r>
      <w:r w:rsidRPr="008D716D">
        <w:rPr>
          <w:rFonts w:asciiTheme="minorHAnsi" w:hAnsiTheme="minorHAnsi" w:cstheme="minorHAnsi"/>
          <w:lang w:val="de-AT"/>
        </w:rPr>
        <w:t>Die Kommission hat diese Grundsätze in ihrer Entscheidung zur Genehmigung der österreichischen Netzreserve</w:t>
      </w:r>
      <w:r w:rsidR="0087572E" w:rsidRPr="008D716D">
        <w:rPr>
          <w:rFonts w:asciiTheme="minorHAnsi" w:hAnsiTheme="minorHAnsi" w:cstheme="minorHAnsi"/>
          <w:lang w:val="de-AT"/>
        </w:rPr>
        <w:t xml:space="preserve"> </w:t>
      </w:r>
      <w:r w:rsidRPr="008D716D">
        <w:rPr>
          <w:rFonts w:asciiTheme="minorHAnsi" w:hAnsiTheme="minorHAnsi" w:cstheme="minorHAnsi"/>
          <w:lang w:val="de-AT"/>
        </w:rPr>
        <w:t>bereits an</w:t>
      </w:r>
      <w:r w:rsidR="0087572E" w:rsidRPr="008D716D">
        <w:rPr>
          <w:rFonts w:asciiTheme="minorHAnsi" w:hAnsiTheme="minorHAnsi" w:cstheme="minorHAnsi"/>
          <w:lang w:val="de-AT"/>
        </w:rPr>
        <w:t xml:space="preserve">erkannt, die eine ebensolche temporär-saisonale Stilllegung mit nachfolgender Wiederaufnahme der Markttätigkeit </w:t>
      </w:r>
      <w:r w:rsidRPr="008D716D">
        <w:rPr>
          <w:rFonts w:asciiTheme="minorHAnsi" w:hAnsiTheme="minorHAnsi" w:cstheme="minorHAnsi"/>
          <w:lang w:val="de-AT"/>
        </w:rPr>
        <w:t>vorsieht</w:t>
      </w:r>
      <w:r w:rsidR="00DC0517" w:rsidRPr="008D716D">
        <w:rPr>
          <w:rFonts w:asciiTheme="minorHAnsi" w:hAnsiTheme="minorHAnsi" w:cstheme="minorHAnsi"/>
          <w:lang w:val="de-AT"/>
        </w:rPr>
        <w:t xml:space="preserve"> (SA</w:t>
      </w:r>
      <w:r w:rsidR="0087572E" w:rsidRPr="008D716D">
        <w:rPr>
          <w:rFonts w:asciiTheme="minorHAnsi" w:hAnsiTheme="minorHAnsi" w:cstheme="minorHAnsi"/>
          <w:lang w:val="de-AT"/>
        </w:rPr>
        <w:t>.</w:t>
      </w:r>
      <w:r w:rsidR="00493CAD" w:rsidRPr="008D716D">
        <w:rPr>
          <w:rFonts w:asciiTheme="minorHAnsi" w:hAnsiTheme="minorHAnsi" w:cstheme="minorHAnsi"/>
          <w:lang w:val="de-AT"/>
        </w:rPr>
        <w:t>52263)</w:t>
      </w:r>
      <w:r w:rsidR="00D205B5">
        <w:rPr>
          <w:rStyle w:val="Funotenzeichen"/>
          <w:rFonts w:cstheme="minorHAnsi"/>
          <w:lang w:val="de-AT"/>
        </w:rPr>
        <w:footnoteReference w:id="1"/>
      </w:r>
      <w:r w:rsidR="00493CAD" w:rsidRPr="008D716D">
        <w:rPr>
          <w:rFonts w:asciiTheme="minorHAnsi" w:hAnsiTheme="minorHAnsi" w:cstheme="minorHAnsi"/>
          <w:lang w:val="de-AT"/>
        </w:rPr>
        <w:t>.</w:t>
      </w:r>
      <w:r w:rsidR="00700B9B" w:rsidRPr="008D716D">
        <w:rPr>
          <w:rFonts w:asciiTheme="minorHAnsi" w:hAnsiTheme="minorHAnsi" w:cstheme="minorHAnsi"/>
          <w:sz w:val="28"/>
          <w:szCs w:val="28"/>
        </w:rPr>
        <w:t xml:space="preserve"> </w:t>
      </w:r>
    </w:p>
    <w:p w14:paraId="1CBD334B" w14:textId="2A8CC5F6" w:rsidR="0087572E" w:rsidRPr="008D716D" w:rsidRDefault="0087572E" w:rsidP="00FF79DE">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t xml:space="preserve">Es wäre daher wünschenswert, Unterpunkt (d) </w:t>
      </w:r>
      <w:r w:rsidR="00930A4C" w:rsidRPr="008D716D">
        <w:rPr>
          <w:rFonts w:asciiTheme="minorHAnsi" w:hAnsiTheme="minorHAnsi" w:cstheme="minorHAnsi"/>
          <w:lang w:val="de-AT"/>
        </w:rPr>
        <w:t>dahingehend</w:t>
      </w:r>
      <w:r w:rsidRPr="008D716D">
        <w:rPr>
          <w:rFonts w:asciiTheme="minorHAnsi" w:hAnsiTheme="minorHAnsi" w:cstheme="minorHAnsi"/>
          <w:lang w:val="de-AT"/>
        </w:rPr>
        <w:t xml:space="preserve"> zu präzisieren, </w:t>
      </w:r>
      <w:r w:rsidR="00930A4C" w:rsidRPr="008D716D">
        <w:rPr>
          <w:rFonts w:asciiTheme="minorHAnsi" w:hAnsiTheme="minorHAnsi" w:cstheme="minorHAnsi"/>
          <w:lang w:val="de-AT"/>
        </w:rPr>
        <w:t>dass</w:t>
      </w:r>
      <w:r w:rsidRPr="008D716D">
        <w:rPr>
          <w:rFonts w:asciiTheme="minorHAnsi" w:hAnsiTheme="minorHAnsi" w:cstheme="minorHAnsi"/>
          <w:lang w:val="de-AT"/>
        </w:rPr>
        <w:t xml:space="preserve"> eine Vorhaltung außerhalb des Energiemarktes lediglich dann erforderlich ist, wenn die Ressource in </w:t>
      </w:r>
      <w:r w:rsidR="0036260B" w:rsidRPr="008D716D">
        <w:rPr>
          <w:rFonts w:asciiTheme="minorHAnsi" w:hAnsiTheme="minorHAnsi" w:cstheme="minorHAnsi"/>
          <w:lang w:val="de-AT"/>
        </w:rPr>
        <w:t>dem betreffenden</w:t>
      </w:r>
      <w:r w:rsidRPr="008D716D">
        <w:rPr>
          <w:rFonts w:asciiTheme="minorHAnsi" w:hAnsiTheme="minorHAnsi" w:cstheme="minorHAnsi"/>
          <w:lang w:val="de-AT"/>
        </w:rPr>
        <w:t xml:space="preserve"> Zeitraum </w:t>
      </w:r>
      <w:r w:rsidR="0036260B" w:rsidRPr="008D716D">
        <w:rPr>
          <w:rFonts w:asciiTheme="minorHAnsi" w:hAnsiTheme="minorHAnsi" w:cstheme="minorHAnsi"/>
          <w:lang w:val="de-AT"/>
        </w:rPr>
        <w:t xml:space="preserve">innerhalb der Vertragslaufzeit </w:t>
      </w:r>
      <w:r w:rsidRPr="008D716D">
        <w:rPr>
          <w:rFonts w:asciiTheme="minorHAnsi" w:hAnsiTheme="minorHAnsi" w:cstheme="minorHAnsi"/>
          <w:lang w:val="de-AT"/>
        </w:rPr>
        <w:t xml:space="preserve">auch eine Vergütung für die Bereithaltung von Kapazität </w:t>
      </w:r>
      <w:r w:rsidR="00B42C3F" w:rsidRPr="008D716D">
        <w:rPr>
          <w:rFonts w:asciiTheme="minorHAnsi" w:hAnsiTheme="minorHAnsi" w:cstheme="minorHAnsi"/>
          <w:lang w:val="de-AT"/>
        </w:rPr>
        <w:t xml:space="preserve">für die strategische Reserve </w:t>
      </w:r>
      <w:r w:rsidRPr="008D716D">
        <w:rPr>
          <w:rFonts w:asciiTheme="minorHAnsi" w:hAnsiTheme="minorHAnsi" w:cstheme="minorHAnsi"/>
          <w:lang w:val="de-AT"/>
        </w:rPr>
        <w:t xml:space="preserve">erhält. Diese Klarstellung könnte auf die nachfolgende Art in Randnummer 321 der Leitlinien erfolgen (Ergänzung durch </w:t>
      </w:r>
      <w:r w:rsidRPr="008D716D">
        <w:rPr>
          <w:rFonts w:asciiTheme="minorHAnsi" w:hAnsiTheme="minorHAnsi" w:cstheme="minorHAnsi"/>
          <w:u w:val="single"/>
          <w:lang w:val="de-AT"/>
        </w:rPr>
        <w:t>Unterstreichung</w:t>
      </w:r>
      <w:r w:rsidRPr="008D716D">
        <w:rPr>
          <w:rFonts w:asciiTheme="minorHAnsi" w:hAnsiTheme="minorHAnsi" w:cstheme="minorHAnsi"/>
          <w:lang w:val="de-AT"/>
        </w:rPr>
        <w:t xml:space="preserve"> hervorgehoben):</w:t>
      </w:r>
    </w:p>
    <w:p w14:paraId="0BE7B6BF" w14:textId="1AEB2499" w:rsidR="003B76AD" w:rsidRPr="008D716D" w:rsidRDefault="003B76AD" w:rsidP="00FF79DE">
      <w:pPr>
        <w:pStyle w:val="EH-Text"/>
        <w:keepNext/>
        <w:spacing w:after="160" w:line="360" w:lineRule="auto"/>
        <w:contextualSpacing/>
        <w:rPr>
          <w:rFonts w:asciiTheme="minorHAnsi" w:hAnsiTheme="minorHAnsi" w:cstheme="minorHAnsi"/>
          <w:b/>
        </w:rPr>
      </w:pPr>
      <w:r w:rsidRPr="008D716D">
        <w:rPr>
          <w:rFonts w:asciiTheme="minorHAnsi" w:hAnsiTheme="minorHAnsi" w:cstheme="minorHAnsi"/>
          <w:b/>
        </w:rPr>
        <w:t>Vorschlag zu Randnummer 321 (Keine negativen Wettbewerbsauswirkungen)</w:t>
      </w:r>
    </w:p>
    <w:p w14:paraId="24C47030" w14:textId="77777777" w:rsidR="004E4201" w:rsidRPr="008D716D" w:rsidRDefault="004E4201" w:rsidP="00FF79DE">
      <w:pPr>
        <w:pStyle w:val="EH-Text"/>
        <w:spacing w:after="160" w:line="360" w:lineRule="auto"/>
        <w:rPr>
          <w:rFonts w:asciiTheme="minorHAnsi" w:hAnsiTheme="minorHAnsi" w:cstheme="minorHAnsi"/>
          <w:i/>
          <w:lang w:val="de-AT"/>
        </w:rPr>
      </w:pPr>
      <w:r w:rsidRPr="008D716D">
        <w:rPr>
          <w:rFonts w:asciiTheme="minorHAnsi" w:hAnsiTheme="minorHAnsi" w:cstheme="minorHAnsi"/>
          <w:i/>
          <w:lang w:val="de-AT"/>
        </w:rPr>
        <w:t>"Um sicherzustellen, dass die Marktpreisbildung nicht verzerrt wird, gelten für strategische Reserven und andere Maßnahmen, bei denen Kapazitäten außerhalb des Marktes vorgehalten werden, folgende zusätzliche kumulative Anforderungen:</w:t>
      </w:r>
    </w:p>
    <w:p w14:paraId="2F670FBC" w14:textId="26DB4010" w:rsidR="004E4201" w:rsidRPr="008D716D" w:rsidRDefault="004E4201" w:rsidP="00FF79DE">
      <w:pPr>
        <w:pStyle w:val="EH-Text"/>
        <w:spacing w:after="160" w:line="360" w:lineRule="auto"/>
        <w:rPr>
          <w:rFonts w:asciiTheme="minorHAnsi" w:hAnsiTheme="minorHAnsi" w:cstheme="minorHAnsi"/>
          <w:i/>
          <w:lang w:val="de-AT"/>
        </w:rPr>
      </w:pPr>
      <w:r w:rsidRPr="008D716D">
        <w:rPr>
          <w:rFonts w:asciiTheme="minorHAnsi" w:hAnsiTheme="minorHAnsi" w:cstheme="minorHAnsi"/>
          <w:i/>
          <w:lang w:val="de-AT"/>
        </w:rPr>
        <w:lastRenderedPageBreak/>
        <w:t>[…]</w:t>
      </w:r>
    </w:p>
    <w:p w14:paraId="4465749A" w14:textId="57A0AF12" w:rsidR="004E4201" w:rsidRPr="008D716D" w:rsidRDefault="004E4201" w:rsidP="00FF79DE">
      <w:pPr>
        <w:pStyle w:val="EH-Text"/>
        <w:spacing w:after="240" w:line="360" w:lineRule="auto"/>
        <w:rPr>
          <w:rFonts w:asciiTheme="minorHAnsi" w:hAnsiTheme="minorHAnsi" w:cstheme="minorHAnsi"/>
          <w:lang w:val="de-AT"/>
        </w:rPr>
      </w:pPr>
      <w:r w:rsidRPr="008D716D">
        <w:rPr>
          <w:rFonts w:asciiTheme="minorHAnsi" w:hAnsiTheme="minorHAnsi" w:cstheme="minorHAnsi"/>
          <w:i/>
          <w:lang w:val="de-AT"/>
        </w:rPr>
        <w:t xml:space="preserve">(d) Die Ressourcen der Maßnahme müssen mindestens während </w:t>
      </w:r>
      <w:r w:rsidR="0036260B" w:rsidRPr="008D716D">
        <w:rPr>
          <w:rFonts w:asciiTheme="minorHAnsi" w:hAnsiTheme="minorHAnsi" w:cstheme="minorHAnsi"/>
          <w:i/>
          <w:u w:val="single"/>
          <w:lang w:val="de-AT"/>
        </w:rPr>
        <w:t>jener Zeiträume innerhalb</w:t>
      </w:r>
      <w:r w:rsidR="0036260B" w:rsidRPr="008D716D">
        <w:rPr>
          <w:rFonts w:asciiTheme="minorHAnsi" w:hAnsiTheme="minorHAnsi" w:cstheme="minorHAnsi"/>
          <w:i/>
          <w:lang w:val="de-AT"/>
        </w:rPr>
        <w:t xml:space="preserve"> </w:t>
      </w:r>
      <w:r w:rsidRPr="008D716D">
        <w:rPr>
          <w:rFonts w:asciiTheme="minorHAnsi" w:hAnsiTheme="minorHAnsi" w:cstheme="minorHAnsi"/>
          <w:i/>
          <w:lang w:val="de-AT"/>
        </w:rPr>
        <w:t>der Vertragslaufzeit</w:t>
      </w:r>
      <w:r w:rsidRPr="008D716D">
        <w:rPr>
          <w:rFonts w:asciiTheme="minorHAnsi" w:hAnsiTheme="minorHAnsi" w:cstheme="minorHAnsi"/>
          <w:i/>
          <w:u w:val="single"/>
          <w:lang w:val="de-AT"/>
        </w:rPr>
        <w:t xml:space="preserve">, </w:t>
      </w:r>
      <w:r w:rsidR="004A1B32" w:rsidRPr="008D716D">
        <w:rPr>
          <w:rFonts w:asciiTheme="minorHAnsi" w:hAnsiTheme="minorHAnsi" w:cstheme="minorHAnsi"/>
          <w:i/>
          <w:u w:val="single"/>
          <w:lang w:val="de-AT"/>
        </w:rPr>
        <w:t>für die sie</w:t>
      </w:r>
      <w:r w:rsidRPr="008D716D">
        <w:rPr>
          <w:rFonts w:asciiTheme="minorHAnsi" w:hAnsiTheme="minorHAnsi" w:cstheme="minorHAnsi"/>
          <w:i/>
          <w:u w:val="single"/>
          <w:lang w:val="de-AT"/>
        </w:rPr>
        <w:t xml:space="preserve"> eine Vergütung aus der strategischen Reserve erhalten,</w:t>
      </w:r>
      <w:r w:rsidRPr="008D716D">
        <w:rPr>
          <w:rFonts w:asciiTheme="minorHAnsi" w:hAnsiTheme="minorHAnsi" w:cstheme="minorHAnsi"/>
          <w:i/>
          <w:lang w:val="de-AT"/>
        </w:rPr>
        <w:t xml:space="preserve"> außerhalb der Energiemärkte vorgehalten werden</w:t>
      </w:r>
      <w:r w:rsidRPr="008D716D">
        <w:rPr>
          <w:rFonts w:asciiTheme="minorHAnsi" w:hAnsiTheme="minorHAnsi" w:cstheme="minorHAnsi"/>
          <w:lang w:val="de-AT"/>
        </w:rPr>
        <w:t>."</w:t>
      </w:r>
    </w:p>
    <w:p w14:paraId="4A693CE6" w14:textId="7E6C146A" w:rsidR="00F93D08" w:rsidRPr="008D716D" w:rsidRDefault="00F93D08" w:rsidP="008D716D">
      <w:pPr>
        <w:pStyle w:val="EH-3"/>
        <w:numPr>
          <w:ilvl w:val="0"/>
          <w:numId w:val="27"/>
        </w:numPr>
        <w:spacing w:after="200" w:line="360" w:lineRule="auto"/>
        <w:rPr>
          <w:rFonts w:asciiTheme="minorHAnsi" w:hAnsiTheme="minorHAnsi" w:cstheme="minorHAnsi"/>
          <w:b/>
          <w:bCs/>
        </w:rPr>
      </w:pPr>
      <w:r w:rsidRPr="008D716D">
        <w:rPr>
          <w:rFonts w:asciiTheme="minorHAnsi" w:hAnsiTheme="minorHAnsi" w:cstheme="minorHAnsi"/>
          <w:b/>
          <w:bCs/>
        </w:rPr>
        <w:t>Ad. 4.9 Beihilfen für die Energieinfrastruktur</w:t>
      </w:r>
    </w:p>
    <w:p w14:paraId="24B9A24A" w14:textId="44D46FD3" w:rsidR="00F93D08" w:rsidRPr="008D716D" w:rsidRDefault="00F93D08" w:rsidP="00F93D08">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t xml:space="preserve">Der Wiener Stadtwerke Konzern </w:t>
      </w:r>
      <w:r w:rsidR="00B77129" w:rsidRPr="008D716D">
        <w:rPr>
          <w:rFonts w:asciiTheme="minorHAnsi" w:hAnsiTheme="minorHAnsi" w:cstheme="minorHAnsi"/>
          <w:lang w:val="de-AT"/>
        </w:rPr>
        <w:t>begrüßt</w:t>
      </w:r>
      <w:r w:rsidRPr="008D716D">
        <w:rPr>
          <w:rFonts w:asciiTheme="minorHAnsi" w:hAnsiTheme="minorHAnsi" w:cstheme="minorHAnsi"/>
          <w:lang w:val="de-AT"/>
        </w:rPr>
        <w:t xml:space="preserve"> das Kapitel über </w:t>
      </w:r>
      <w:r w:rsidR="0052385C" w:rsidRPr="008D716D">
        <w:rPr>
          <w:rFonts w:asciiTheme="minorHAnsi" w:hAnsiTheme="minorHAnsi" w:cstheme="minorHAnsi"/>
          <w:lang w:val="de-AT"/>
        </w:rPr>
        <w:t>Beihilfen für die</w:t>
      </w:r>
      <w:r w:rsidRPr="008D716D">
        <w:rPr>
          <w:rFonts w:asciiTheme="minorHAnsi" w:hAnsiTheme="minorHAnsi" w:cstheme="minorHAnsi"/>
          <w:lang w:val="de-AT"/>
        </w:rPr>
        <w:t> Energieinfrastruktur, da alle Netze - Strom, Gas, Fernwärme und Fernkälte - entscheidende Faktoren sind, um einen zuverlässigen und erschwinglichen Übergang zu einem grüneren Energiesystem zu realisieren. Investitionen in die Nach</w:t>
      </w:r>
      <w:r w:rsidR="004457EE" w:rsidRPr="008D716D">
        <w:rPr>
          <w:rFonts w:asciiTheme="minorHAnsi" w:hAnsiTheme="minorHAnsi" w:cstheme="minorHAnsi"/>
          <w:lang w:val="de-AT"/>
        </w:rPr>
        <w:t>- bzw. Umrüstung des</w:t>
      </w:r>
      <w:r w:rsidRPr="008D716D">
        <w:rPr>
          <w:rFonts w:asciiTheme="minorHAnsi" w:hAnsiTheme="minorHAnsi" w:cstheme="minorHAnsi"/>
          <w:lang w:val="de-AT"/>
        </w:rPr>
        <w:t xml:space="preserve"> Gasnetz</w:t>
      </w:r>
      <w:r w:rsidR="004457EE" w:rsidRPr="008D716D">
        <w:rPr>
          <w:rFonts w:asciiTheme="minorHAnsi" w:hAnsiTheme="minorHAnsi" w:cstheme="minorHAnsi"/>
          <w:lang w:val="de-AT"/>
        </w:rPr>
        <w:t>es</w:t>
      </w:r>
      <w:r w:rsidRPr="008D716D">
        <w:rPr>
          <w:rFonts w:asciiTheme="minorHAnsi" w:hAnsiTheme="minorHAnsi" w:cstheme="minorHAnsi"/>
          <w:lang w:val="de-AT"/>
        </w:rPr>
        <w:t xml:space="preserve"> (H</w:t>
      </w:r>
      <w:r w:rsidRPr="008D716D">
        <w:rPr>
          <w:rFonts w:asciiTheme="minorHAnsi" w:hAnsiTheme="minorHAnsi" w:cstheme="minorHAnsi"/>
          <w:vertAlign w:val="subscript"/>
          <w:lang w:val="de-AT"/>
        </w:rPr>
        <w:t>2</w:t>
      </w:r>
      <w:r w:rsidRPr="008D716D">
        <w:rPr>
          <w:rFonts w:asciiTheme="minorHAnsi" w:hAnsiTheme="minorHAnsi" w:cstheme="minorHAnsi"/>
          <w:lang w:val="de-AT"/>
        </w:rPr>
        <w:t>-Readiness) tragen dazu bei das Gasnetz zu dekarbonisieren und verhindern Lock-in-Effekte. Neben Wasserstoff spielt auch Biomethan bei der Dekarbonisierung des Netzes eine wichtige Rolle und sollte gefördert werden. Auch hier besteht Klärungsbedarf.</w:t>
      </w:r>
    </w:p>
    <w:p w14:paraId="0093BDFD" w14:textId="162F39D3" w:rsidR="00F93D08" w:rsidRPr="008D716D" w:rsidRDefault="00F93D08" w:rsidP="00F93D08">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t xml:space="preserve">Der Erfolg der Energiewende wird zu großen Teilen von der Entwicklung der Verteilnetzbetreiber abhängen. Nur wenn die </w:t>
      </w:r>
      <w:r w:rsidR="008D716D" w:rsidRPr="008D716D">
        <w:rPr>
          <w:rFonts w:asciiTheme="minorHAnsi" w:hAnsiTheme="minorHAnsi" w:cstheme="minorHAnsi"/>
          <w:lang w:val="de-AT"/>
        </w:rPr>
        <w:t>Verteilnetzbetreiber</w:t>
      </w:r>
      <w:r w:rsidRPr="008D716D">
        <w:rPr>
          <w:rFonts w:asciiTheme="minorHAnsi" w:hAnsiTheme="minorHAnsi" w:cstheme="minorHAnsi"/>
          <w:lang w:val="de-AT"/>
        </w:rPr>
        <w:t xml:space="preserve"> weiter expandieren und sich zu Smart Grids entwickeln, können die Vorteile der Sektorintegration und des nachfrageseitigen Managements/der Flexibilität voll ausgeschöpft werden. </w:t>
      </w:r>
      <w:r w:rsidR="00141F18">
        <w:rPr>
          <w:rFonts w:asciiTheme="minorHAnsi" w:hAnsiTheme="minorHAnsi" w:cstheme="minorHAnsi"/>
          <w:lang w:val="de-AT"/>
        </w:rPr>
        <w:t xml:space="preserve">Eine </w:t>
      </w:r>
      <w:hyperlink r:id="rId8" w:history="1">
        <w:r w:rsidR="00141F18" w:rsidRPr="00141F18">
          <w:rPr>
            <w:rStyle w:val="Hyperlink"/>
            <w:rFonts w:asciiTheme="minorHAnsi" w:hAnsiTheme="minorHAnsi" w:cstheme="minorHAnsi"/>
            <w:lang w:val="de-AT"/>
          </w:rPr>
          <w:t>Studie von EURELECTRIC</w:t>
        </w:r>
      </w:hyperlink>
      <w:r w:rsidRPr="008D716D">
        <w:rPr>
          <w:rFonts w:asciiTheme="minorHAnsi" w:hAnsiTheme="minorHAnsi" w:cstheme="minorHAnsi"/>
          <w:lang w:val="de-AT"/>
        </w:rPr>
        <w:t xml:space="preserve"> </w:t>
      </w:r>
      <w:r w:rsidR="00141F18">
        <w:rPr>
          <w:rFonts w:asciiTheme="minorHAnsi" w:hAnsiTheme="minorHAnsi" w:cstheme="minorHAnsi"/>
          <w:lang w:val="de-AT"/>
        </w:rPr>
        <w:t>schätzt, dass</w:t>
      </w:r>
      <w:r w:rsidRPr="008D716D">
        <w:rPr>
          <w:rFonts w:asciiTheme="minorHAnsi" w:hAnsiTheme="minorHAnsi" w:cstheme="minorHAnsi"/>
          <w:lang w:val="de-AT"/>
        </w:rPr>
        <w:t xml:space="preserve"> </w:t>
      </w:r>
      <w:r w:rsidR="00B77129" w:rsidRPr="008D716D">
        <w:rPr>
          <w:rFonts w:asciiTheme="minorHAnsi" w:hAnsiTheme="minorHAnsi" w:cstheme="minorHAnsi"/>
          <w:lang w:val="de-AT"/>
        </w:rPr>
        <w:t>V</w:t>
      </w:r>
      <w:r w:rsidRPr="008D716D">
        <w:rPr>
          <w:rFonts w:asciiTheme="minorHAnsi" w:hAnsiTheme="minorHAnsi" w:cstheme="minorHAnsi"/>
          <w:lang w:val="de-AT"/>
        </w:rPr>
        <w:t xml:space="preserve">erteilnetzbetreiber bis 2030 einen Investitionsbedarf von 375-425 Mrd. EUR haben, was einem Anstieg von 50-70 % im Vergleich zum letzten Jahrzehnt entspricht. Es liegt auf der Hand, dass die </w:t>
      </w:r>
      <w:r w:rsidR="008D716D" w:rsidRPr="008D716D">
        <w:rPr>
          <w:rFonts w:asciiTheme="minorHAnsi" w:hAnsiTheme="minorHAnsi" w:cstheme="minorHAnsi"/>
          <w:lang w:val="de-AT"/>
        </w:rPr>
        <w:t>Verteilnetzbetreiber</w:t>
      </w:r>
      <w:r w:rsidRPr="008D716D">
        <w:rPr>
          <w:rFonts w:asciiTheme="minorHAnsi" w:hAnsiTheme="minorHAnsi" w:cstheme="minorHAnsi"/>
          <w:lang w:val="de-AT"/>
        </w:rPr>
        <w:t xml:space="preserve"> mehr </w:t>
      </w:r>
      <w:r w:rsidR="00B77129" w:rsidRPr="008D716D">
        <w:rPr>
          <w:rFonts w:asciiTheme="minorHAnsi" w:hAnsiTheme="minorHAnsi" w:cstheme="minorHAnsi"/>
          <w:lang w:val="de-AT"/>
        </w:rPr>
        <w:t>in Innovationen investieren</w:t>
      </w:r>
      <w:r w:rsidRPr="008D716D">
        <w:rPr>
          <w:rFonts w:asciiTheme="minorHAnsi" w:hAnsiTheme="minorHAnsi" w:cstheme="minorHAnsi"/>
          <w:lang w:val="de-AT"/>
        </w:rPr>
        <w:t xml:space="preserve"> müssen, was kostspielig ist.</w:t>
      </w:r>
    </w:p>
    <w:p w14:paraId="3EEC4E5E" w14:textId="08C7BEE2" w:rsidR="00F93D08" w:rsidRPr="008D716D" w:rsidRDefault="00B77129" w:rsidP="00F93D08">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t>Verteilnetzbetreiber</w:t>
      </w:r>
      <w:r w:rsidR="00F93D08" w:rsidRPr="008D716D">
        <w:rPr>
          <w:rFonts w:asciiTheme="minorHAnsi" w:hAnsiTheme="minorHAnsi" w:cstheme="minorHAnsi"/>
          <w:lang w:val="de-AT"/>
        </w:rPr>
        <w:t xml:space="preserve"> sind natürliche Monopole, also regulierte Unternehmen, die vor der Herausforderung stehen, Innovationen im Rahmen eines Regulierungsregimes zu schaffen, das sie hauptsächlich für ihren „</w:t>
      </w:r>
      <w:r w:rsidR="00F93D08" w:rsidRPr="008D716D">
        <w:rPr>
          <w:rFonts w:asciiTheme="minorHAnsi" w:hAnsiTheme="minorHAnsi" w:cstheme="minorHAnsi"/>
          <w:i/>
          <w:iCs/>
          <w:lang w:val="de-AT"/>
        </w:rPr>
        <w:t>business as usual</w:t>
      </w:r>
      <w:r w:rsidR="00F93D08" w:rsidRPr="008D716D">
        <w:rPr>
          <w:rFonts w:asciiTheme="minorHAnsi" w:hAnsiTheme="minorHAnsi" w:cstheme="minorHAnsi"/>
          <w:lang w:val="de-AT"/>
        </w:rPr>
        <w:t xml:space="preserve">“-Betrieb motiviert. Insofern wird </w:t>
      </w:r>
      <w:r w:rsidRPr="008D716D">
        <w:rPr>
          <w:rFonts w:asciiTheme="minorHAnsi" w:hAnsiTheme="minorHAnsi" w:cstheme="minorHAnsi"/>
          <w:lang w:val="de-AT"/>
        </w:rPr>
        <w:t xml:space="preserve">Nr. 336 </w:t>
      </w:r>
      <w:r w:rsidR="00F93D08" w:rsidRPr="008D716D">
        <w:rPr>
          <w:rFonts w:asciiTheme="minorHAnsi" w:hAnsiTheme="minorHAnsi" w:cstheme="minorHAnsi"/>
          <w:lang w:val="de-AT"/>
        </w:rPr>
        <w:t xml:space="preserve">in Frage gestellt, wonach die Finanzierung über Nutzertarife „die notwendigen Investitionen unter Wahrung der Nutzerrechte sicherstellt“. Wir glauben, dass für den Aufbau von </w:t>
      </w:r>
      <w:r w:rsidR="008D716D" w:rsidRPr="008D716D">
        <w:rPr>
          <w:rFonts w:asciiTheme="minorHAnsi" w:hAnsiTheme="minorHAnsi" w:cstheme="minorHAnsi"/>
          <w:lang w:val="de-AT"/>
        </w:rPr>
        <w:t>Verteilnetzbetreibern</w:t>
      </w:r>
      <w:r w:rsidR="00F93D08" w:rsidRPr="008D716D">
        <w:rPr>
          <w:rFonts w:asciiTheme="minorHAnsi" w:hAnsiTheme="minorHAnsi" w:cstheme="minorHAnsi"/>
          <w:lang w:val="de-AT"/>
        </w:rPr>
        <w:t xml:space="preserve"> mehr Geld für innovative Projekte – auch aus Drittmitteln – notwendig sein </w:t>
      </w:r>
      <w:r w:rsidRPr="008D716D">
        <w:rPr>
          <w:rFonts w:asciiTheme="minorHAnsi" w:hAnsiTheme="minorHAnsi" w:cstheme="minorHAnsi"/>
          <w:lang w:val="de-AT"/>
        </w:rPr>
        <w:t>werden</w:t>
      </w:r>
      <w:r w:rsidR="00F93D08" w:rsidRPr="008D716D">
        <w:rPr>
          <w:rFonts w:asciiTheme="minorHAnsi" w:hAnsiTheme="minorHAnsi" w:cstheme="minorHAnsi"/>
          <w:lang w:val="de-AT"/>
        </w:rPr>
        <w:t>. </w:t>
      </w:r>
      <w:r w:rsidR="008D716D" w:rsidRPr="008D716D">
        <w:rPr>
          <w:rFonts w:asciiTheme="minorHAnsi" w:hAnsiTheme="minorHAnsi" w:cstheme="minorHAnsi"/>
          <w:lang w:val="de-AT"/>
        </w:rPr>
        <w:t>Verteilnetzbetreiber</w:t>
      </w:r>
      <w:r w:rsidR="00F93D08" w:rsidRPr="008D716D">
        <w:rPr>
          <w:rFonts w:asciiTheme="minorHAnsi" w:hAnsiTheme="minorHAnsi" w:cstheme="minorHAnsi"/>
          <w:lang w:val="de-AT"/>
        </w:rPr>
        <w:t xml:space="preserve"> stehen an vorderster Front beim Übergang zu einem stärker dezentralisierten und dekarbonisierten Energiesystem. Dies zeigt sich daran, dass mehr als 70 % aller erneuerbaren Energien an das Verteilnetz angeschlossen sind.</w:t>
      </w:r>
    </w:p>
    <w:p w14:paraId="13581328" w14:textId="4188A48F" w:rsidR="00F93D08" w:rsidRPr="008D716D" w:rsidRDefault="00F93D08" w:rsidP="00700B9B">
      <w:pPr>
        <w:pStyle w:val="EH-Text"/>
        <w:spacing w:after="160" w:line="360" w:lineRule="auto"/>
        <w:ind w:left="0"/>
        <w:rPr>
          <w:rFonts w:asciiTheme="minorHAnsi" w:hAnsiTheme="minorHAnsi" w:cstheme="minorHAnsi"/>
          <w:lang w:val="de-AT"/>
        </w:rPr>
      </w:pPr>
      <w:r w:rsidRPr="008D716D">
        <w:rPr>
          <w:rFonts w:asciiTheme="minorHAnsi" w:hAnsiTheme="minorHAnsi" w:cstheme="minorHAnsi"/>
          <w:lang w:val="de-AT"/>
        </w:rPr>
        <w:lastRenderedPageBreak/>
        <w:t xml:space="preserve">Bei der Fremdfinanzierung stehen </w:t>
      </w:r>
      <w:r w:rsidR="004457EE" w:rsidRPr="008D716D">
        <w:rPr>
          <w:rFonts w:asciiTheme="minorHAnsi" w:hAnsiTheme="minorHAnsi" w:cstheme="minorHAnsi"/>
          <w:lang w:val="de-AT"/>
        </w:rPr>
        <w:t>Verteilnetzbetreiber</w:t>
      </w:r>
      <w:r w:rsidRPr="008D716D">
        <w:rPr>
          <w:rFonts w:asciiTheme="minorHAnsi" w:hAnsiTheme="minorHAnsi" w:cstheme="minorHAnsi"/>
          <w:lang w:val="de-AT"/>
        </w:rPr>
        <w:t xml:space="preserve"> vor dem Problem, dass die Regulierungsbehörde ihre Einnahmen voraussichtlich um die Summe der extern </w:t>
      </w:r>
      <w:r w:rsidR="004457EE" w:rsidRPr="008D716D">
        <w:rPr>
          <w:rFonts w:asciiTheme="minorHAnsi" w:hAnsiTheme="minorHAnsi" w:cstheme="minorHAnsi"/>
          <w:lang w:val="de-AT"/>
        </w:rPr>
        <w:t>eingenommenen</w:t>
      </w:r>
      <w:r w:rsidRPr="008D716D">
        <w:rPr>
          <w:rFonts w:asciiTheme="minorHAnsi" w:hAnsiTheme="minorHAnsi" w:cstheme="minorHAnsi"/>
          <w:lang w:val="de-AT"/>
        </w:rPr>
        <w:t xml:space="preserve"> Gelder kürzen wird. Infolgedessen wird die Beantragung von Drittmitteln für innovative Projekte höchstwahrscheinlich in einem Nullsummenspiel enden, so dass </w:t>
      </w:r>
      <w:r w:rsidR="008D716D" w:rsidRPr="008D716D">
        <w:rPr>
          <w:rFonts w:asciiTheme="minorHAnsi" w:hAnsiTheme="minorHAnsi" w:cstheme="minorHAnsi"/>
          <w:lang w:val="de-AT"/>
        </w:rPr>
        <w:t>Verteilnetzbetreiber</w:t>
      </w:r>
      <w:r w:rsidRPr="008D716D">
        <w:rPr>
          <w:rFonts w:asciiTheme="minorHAnsi" w:hAnsiTheme="minorHAnsi" w:cstheme="minorHAnsi"/>
          <w:lang w:val="de-AT"/>
        </w:rPr>
        <w:t xml:space="preserve"> keinen Anreiz haben, Mittel zu beantragen. Wenn jedoch solch externe </w:t>
      </w:r>
      <w:r w:rsidR="00B02EFC" w:rsidRPr="008D716D">
        <w:rPr>
          <w:rFonts w:asciiTheme="minorHAnsi" w:hAnsiTheme="minorHAnsi" w:cstheme="minorHAnsi"/>
          <w:lang w:val="de-AT"/>
        </w:rPr>
        <w:t>Mittel</w:t>
      </w:r>
      <w:r w:rsidRPr="008D716D">
        <w:rPr>
          <w:rFonts w:asciiTheme="minorHAnsi" w:hAnsiTheme="minorHAnsi" w:cstheme="minorHAnsi"/>
          <w:lang w:val="de-AT"/>
        </w:rPr>
        <w:t xml:space="preserve"> in der Anreizregulierung </w:t>
      </w:r>
      <w:r w:rsidR="00B02EFC" w:rsidRPr="008D716D">
        <w:rPr>
          <w:rFonts w:asciiTheme="minorHAnsi" w:hAnsiTheme="minorHAnsi" w:cstheme="minorHAnsi"/>
          <w:lang w:val="de-AT"/>
        </w:rPr>
        <w:t xml:space="preserve">nicht berücksichtigt </w:t>
      </w:r>
      <w:r w:rsidR="0052385C" w:rsidRPr="008D716D">
        <w:rPr>
          <w:rFonts w:asciiTheme="minorHAnsi" w:hAnsiTheme="minorHAnsi" w:cstheme="minorHAnsi"/>
          <w:lang w:val="de-AT"/>
        </w:rPr>
        <w:t>werden würden, könnten</w:t>
      </w:r>
      <w:r w:rsidRPr="008D716D">
        <w:rPr>
          <w:rFonts w:asciiTheme="minorHAnsi" w:hAnsiTheme="minorHAnsi" w:cstheme="minorHAnsi"/>
          <w:lang w:val="de-AT"/>
        </w:rPr>
        <w:t xml:space="preserve"> DSOs </w:t>
      </w:r>
      <w:r w:rsidR="00B02EFC" w:rsidRPr="008D716D">
        <w:rPr>
          <w:rFonts w:asciiTheme="minorHAnsi" w:hAnsiTheme="minorHAnsi" w:cstheme="minorHAnsi"/>
          <w:lang w:val="de-AT"/>
        </w:rPr>
        <w:t>alle</w:t>
      </w:r>
      <w:r w:rsidRPr="008D716D">
        <w:rPr>
          <w:rFonts w:asciiTheme="minorHAnsi" w:hAnsiTheme="minorHAnsi" w:cstheme="minorHAnsi"/>
          <w:lang w:val="de-AT"/>
        </w:rPr>
        <w:t xml:space="preserve"> zusätzlichen Mittel in innovative Projekte </w:t>
      </w:r>
      <w:r w:rsidR="00B02EFC" w:rsidRPr="008D716D">
        <w:rPr>
          <w:rFonts w:asciiTheme="minorHAnsi" w:hAnsiTheme="minorHAnsi" w:cstheme="minorHAnsi"/>
          <w:lang w:val="de-AT"/>
        </w:rPr>
        <w:t xml:space="preserve">reinvestieren. Dies </w:t>
      </w:r>
      <w:r w:rsidRPr="008D716D">
        <w:rPr>
          <w:rFonts w:asciiTheme="minorHAnsi" w:hAnsiTheme="minorHAnsi" w:cstheme="minorHAnsi"/>
          <w:lang w:val="de-AT"/>
        </w:rPr>
        <w:t>könnte auf lange Sicht zu positiven Effekten für die Endkunden über niedrigere Tarife</w:t>
      </w:r>
      <w:r w:rsidR="00B02EFC" w:rsidRPr="008D716D">
        <w:rPr>
          <w:rFonts w:asciiTheme="minorHAnsi" w:hAnsiTheme="minorHAnsi" w:cstheme="minorHAnsi"/>
          <w:lang w:val="de-AT"/>
        </w:rPr>
        <w:t xml:space="preserve"> führen</w:t>
      </w:r>
      <w:r w:rsidRPr="008D716D">
        <w:rPr>
          <w:rFonts w:asciiTheme="minorHAnsi" w:hAnsiTheme="minorHAnsi" w:cstheme="minorHAnsi"/>
          <w:lang w:val="de-AT"/>
        </w:rPr>
        <w:t xml:space="preserve">. Daher sollte diese Grauzone angegangen werden, um es </w:t>
      </w:r>
      <w:r w:rsidR="008D716D" w:rsidRPr="008D716D">
        <w:rPr>
          <w:rFonts w:asciiTheme="minorHAnsi" w:hAnsiTheme="minorHAnsi" w:cstheme="minorHAnsi"/>
          <w:lang w:val="de-AT"/>
        </w:rPr>
        <w:t>Verteilnetzbetreibern</w:t>
      </w:r>
      <w:r w:rsidRPr="008D716D">
        <w:rPr>
          <w:rFonts w:asciiTheme="minorHAnsi" w:hAnsiTheme="minorHAnsi" w:cstheme="minorHAnsi"/>
          <w:lang w:val="de-AT"/>
        </w:rPr>
        <w:t xml:space="preserve"> zu erleichtern, staatliche Innovationsbeihilfen zu erhalten und so zu den Zielen des Green Deals beizutragen</w:t>
      </w:r>
      <w:r w:rsidR="00B02EFC" w:rsidRPr="008D716D">
        <w:rPr>
          <w:rFonts w:asciiTheme="minorHAnsi" w:hAnsiTheme="minorHAnsi" w:cstheme="minorHAnsi"/>
          <w:lang w:val="de-AT"/>
        </w:rPr>
        <w:t xml:space="preserve">. </w:t>
      </w:r>
    </w:p>
    <w:p w14:paraId="757C27FF" w14:textId="220A8A9E" w:rsidR="009F00D3" w:rsidRPr="008D716D" w:rsidRDefault="0024140C" w:rsidP="008D716D">
      <w:pPr>
        <w:pStyle w:val="EH-3"/>
        <w:numPr>
          <w:ilvl w:val="0"/>
          <w:numId w:val="27"/>
        </w:numPr>
        <w:spacing w:after="200" w:line="360" w:lineRule="auto"/>
        <w:rPr>
          <w:rFonts w:asciiTheme="minorHAnsi" w:hAnsiTheme="minorHAnsi" w:cstheme="minorHAnsi"/>
          <w:b/>
          <w:bCs/>
        </w:rPr>
      </w:pPr>
      <w:bookmarkStart w:id="6" w:name="_Toc77773385"/>
      <w:bookmarkStart w:id="7" w:name="_Toc77773407"/>
      <w:bookmarkStart w:id="8" w:name="_Toc77773386"/>
      <w:bookmarkStart w:id="9" w:name="_Toc77773408"/>
      <w:bookmarkStart w:id="10" w:name="_Toc77773387"/>
      <w:bookmarkStart w:id="11" w:name="_Toc77773409"/>
      <w:bookmarkStart w:id="12" w:name="_Toc77773388"/>
      <w:bookmarkStart w:id="13" w:name="_Toc77773410"/>
      <w:bookmarkStart w:id="14" w:name="_Toc77773411"/>
      <w:bookmarkEnd w:id="6"/>
      <w:bookmarkEnd w:id="7"/>
      <w:bookmarkEnd w:id="8"/>
      <w:bookmarkEnd w:id="9"/>
      <w:bookmarkEnd w:id="10"/>
      <w:bookmarkEnd w:id="11"/>
      <w:bookmarkEnd w:id="12"/>
      <w:bookmarkEnd w:id="13"/>
      <w:r w:rsidRPr="008D716D">
        <w:rPr>
          <w:rFonts w:asciiTheme="minorHAnsi" w:hAnsiTheme="minorHAnsi" w:cstheme="minorHAnsi"/>
          <w:b/>
          <w:bCs/>
        </w:rPr>
        <w:t xml:space="preserve">Ad. 4.10. </w:t>
      </w:r>
      <w:r w:rsidR="001453BD" w:rsidRPr="008D716D">
        <w:rPr>
          <w:rFonts w:asciiTheme="minorHAnsi" w:hAnsiTheme="minorHAnsi" w:cstheme="minorHAnsi"/>
          <w:b/>
          <w:bCs/>
        </w:rPr>
        <w:t>Beihilfen für Fernwärme und Fernkälte</w:t>
      </w:r>
      <w:bookmarkEnd w:id="14"/>
    </w:p>
    <w:p w14:paraId="22385C58" w14:textId="0403D67D" w:rsidR="00A56213" w:rsidRPr="008D716D" w:rsidRDefault="004457EE" w:rsidP="00FF79DE">
      <w:pPr>
        <w:pStyle w:val="EH-Text"/>
        <w:spacing w:after="160" w:line="360" w:lineRule="auto"/>
        <w:ind w:left="0"/>
        <w:rPr>
          <w:rFonts w:asciiTheme="minorHAnsi" w:hAnsiTheme="minorHAnsi" w:cstheme="minorHAnsi"/>
        </w:rPr>
      </w:pPr>
      <w:r w:rsidRPr="008D716D">
        <w:rPr>
          <w:rFonts w:asciiTheme="minorHAnsi" w:hAnsiTheme="minorHAnsi" w:cstheme="minorHAnsi"/>
        </w:rPr>
        <w:t>Der Konzern</w:t>
      </w:r>
      <w:r w:rsidR="00F131CA" w:rsidRPr="008D716D">
        <w:rPr>
          <w:rFonts w:asciiTheme="minorHAnsi" w:hAnsiTheme="minorHAnsi" w:cstheme="minorHAnsi"/>
        </w:rPr>
        <w:t xml:space="preserve"> begrüßt</w:t>
      </w:r>
      <w:r w:rsidR="008B3CD8" w:rsidRPr="008D716D">
        <w:rPr>
          <w:rFonts w:asciiTheme="minorHAnsi" w:hAnsiTheme="minorHAnsi" w:cstheme="minorHAnsi"/>
        </w:rPr>
        <w:t xml:space="preserve"> den </w:t>
      </w:r>
      <w:r w:rsidR="001B3AEE" w:rsidRPr="008D716D">
        <w:rPr>
          <w:rFonts w:asciiTheme="minorHAnsi" w:hAnsiTheme="minorHAnsi" w:cstheme="minorHAnsi"/>
        </w:rPr>
        <w:t>hohe</w:t>
      </w:r>
      <w:r w:rsidR="008B3CD8" w:rsidRPr="008D716D">
        <w:rPr>
          <w:rFonts w:asciiTheme="minorHAnsi" w:hAnsiTheme="minorHAnsi" w:cstheme="minorHAnsi"/>
        </w:rPr>
        <w:t>n</w:t>
      </w:r>
      <w:r w:rsidR="001B3AEE" w:rsidRPr="008D716D">
        <w:rPr>
          <w:rFonts w:asciiTheme="minorHAnsi" w:hAnsiTheme="minorHAnsi" w:cstheme="minorHAnsi"/>
        </w:rPr>
        <w:t xml:space="preserve"> Stelle</w:t>
      </w:r>
      <w:r w:rsidR="008B3CD8" w:rsidRPr="008D716D">
        <w:rPr>
          <w:rFonts w:asciiTheme="minorHAnsi" w:hAnsiTheme="minorHAnsi" w:cstheme="minorHAnsi"/>
        </w:rPr>
        <w:t>nwert, de</w:t>
      </w:r>
      <w:r w:rsidR="00DC05D5" w:rsidRPr="008D716D">
        <w:rPr>
          <w:rFonts w:asciiTheme="minorHAnsi" w:hAnsiTheme="minorHAnsi" w:cstheme="minorHAnsi"/>
        </w:rPr>
        <w:t xml:space="preserve">r Beihilfen für </w:t>
      </w:r>
      <w:r w:rsidR="001B3AEE" w:rsidRPr="008D716D">
        <w:rPr>
          <w:rFonts w:asciiTheme="minorHAnsi" w:hAnsiTheme="minorHAnsi" w:cstheme="minorHAnsi"/>
        </w:rPr>
        <w:t xml:space="preserve">Fernwärme und Fernkälte </w:t>
      </w:r>
      <w:r w:rsidR="00DC05D5" w:rsidRPr="008D716D">
        <w:rPr>
          <w:rFonts w:asciiTheme="minorHAnsi" w:hAnsiTheme="minorHAnsi" w:cstheme="minorHAnsi"/>
        </w:rPr>
        <w:t xml:space="preserve">in den Leitlinien </w:t>
      </w:r>
      <w:r w:rsidR="001B3AEE" w:rsidRPr="008D716D">
        <w:rPr>
          <w:rFonts w:asciiTheme="minorHAnsi" w:hAnsiTheme="minorHAnsi" w:cstheme="minorHAnsi"/>
        </w:rPr>
        <w:t>weiterhin beigemessen wird</w:t>
      </w:r>
      <w:r w:rsidR="008B3CD8" w:rsidRPr="008D716D">
        <w:rPr>
          <w:rFonts w:asciiTheme="minorHAnsi" w:hAnsiTheme="minorHAnsi" w:cstheme="minorHAnsi"/>
        </w:rPr>
        <w:t>.</w:t>
      </w:r>
      <w:r w:rsidR="003231AB" w:rsidRPr="008D716D">
        <w:rPr>
          <w:rFonts w:asciiTheme="minorHAnsi" w:hAnsiTheme="minorHAnsi" w:cstheme="minorHAnsi"/>
        </w:rPr>
        <w:t xml:space="preserve"> Insbesondere betrifft dies die ökologisch ausgerichtete Zielsetzung der Kommission, die sich in der starken Differenzierung nach verwendeten</w:t>
      </w:r>
      <w:r w:rsidR="00F131CA" w:rsidRPr="008D716D">
        <w:rPr>
          <w:rFonts w:asciiTheme="minorHAnsi" w:hAnsiTheme="minorHAnsi" w:cstheme="minorHAnsi"/>
        </w:rPr>
        <w:t xml:space="preserve"> Brennstoffen äußert. So </w:t>
      </w:r>
      <w:r w:rsidRPr="008D716D">
        <w:rPr>
          <w:rFonts w:asciiTheme="minorHAnsi" w:hAnsiTheme="minorHAnsi" w:cstheme="minorHAnsi"/>
        </w:rPr>
        <w:t>stimmen wir</w:t>
      </w:r>
      <w:r w:rsidR="00F131CA" w:rsidRPr="008D716D">
        <w:rPr>
          <w:rFonts w:asciiTheme="minorHAnsi" w:hAnsiTheme="minorHAnsi" w:cstheme="minorHAnsi"/>
        </w:rPr>
        <w:t xml:space="preserve"> </w:t>
      </w:r>
      <w:r w:rsidR="003231AB" w:rsidRPr="008D716D">
        <w:rPr>
          <w:rFonts w:asciiTheme="minorHAnsi" w:hAnsiTheme="minorHAnsi" w:cstheme="minorHAnsi"/>
        </w:rPr>
        <w:t xml:space="preserve">zu, dass die Verwendung fossiler Brennstoffe wie Öl und Diesel lediglich dann förderwürdig </w:t>
      </w:r>
      <w:r w:rsidR="004A1B32" w:rsidRPr="008D716D">
        <w:rPr>
          <w:rFonts w:asciiTheme="minorHAnsi" w:hAnsiTheme="minorHAnsi" w:cstheme="minorHAnsi"/>
        </w:rPr>
        <w:t>sein sollte</w:t>
      </w:r>
      <w:r w:rsidR="003231AB" w:rsidRPr="008D716D">
        <w:rPr>
          <w:rFonts w:asciiTheme="minorHAnsi" w:hAnsiTheme="minorHAnsi" w:cstheme="minorHAnsi"/>
        </w:rPr>
        <w:t xml:space="preserve">, wenn damit auch die Modernisierung des Verteilnetzes für erneuerbare Energie vorangetrieben wird. </w:t>
      </w:r>
    </w:p>
    <w:p w14:paraId="3C97D10C" w14:textId="4FAEF550" w:rsidR="00B42C3F" w:rsidRPr="008D716D" w:rsidRDefault="004A1B32" w:rsidP="00FF79DE">
      <w:pPr>
        <w:pStyle w:val="EH-Text"/>
        <w:spacing w:after="160" w:line="360" w:lineRule="auto"/>
        <w:ind w:left="0"/>
        <w:rPr>
          <w:rFonts w:asciiTheme="minorHAnsi" w:hAnsiTheme="minorHAnsi" w:cstheme="minorHAnsi"/>
          <w:lang w:val="de-AT"/>
        </w:rPr>
      </w:pPr>
      <w:r w:rsidRPr="008D716D">
        <w:rPr>
          <w:rFonts w:asciiTheme="minorHAnsi" w:hAnsiTheme="minorHAnsi" w:cstheme="minorHAnsi"/>
        </w:rPr>
        <w:t>Hinsichtlich der</w:t>
      </w:r>
      <w:r w:rsidR="003231AB" w:rsidRPr="008D716D">
        <w:rPr>
          <w:rFonts w:asciiTheme="minorHAnsi" w:hAnsiTheme="minorHAnsi" w:cstheme="minorHAnsi"/>
        </w:rPr>
        <w:t xml:space="preserve"> zurecht weniger streng behandelten erdgasbasierten Anlagen </w:t>
      </w:r>
      <w:r w:rsidR="00DC05D5" w:rsidRPr="008D716D">
        <w:rPr>
          <w:rFonts w:asciiTheme="minorHAnsi" w:hAnsiTheme="minorHAnsi" w:cstheme="minorHAnsi"/>
        </w:rPr>
        <w:t xml:space="preserve">besteht aus Sicht </w:t>
      </w:r>
      <w:r w:rsidR="004457EE" w:rsidRPr="008D716D">
        <w:rPr>
          <w:rFonts w:asciiTheme="minorHAnsi" w:hAnsiTheme="minorHAnsi" w:cstheme="minorHAnsi"/>
        </w:rPr>
        <w:t>des Stadtwerke Konzerns</w:t>
      </w:r>
      <w:r w:rsidR="00DC05D5" w:rsidRPr="008D716D">
        <w:rPr>
          <w:rFonts w:asciiTheme="minorHAnsi" w:hAnsiTheme="minorHAnsi" w:cstheme="minorHAnsi"/>
        </w:rPr>
        <w:t xml:space="preserve"> jedoch Präzisierungsbedarf</w:t>
      </w:r>
      <w:r w:rsidR="004457EE" w:rsidRPr="008D716D">
        <w:rPr>
          <w:rFonts w:asciiTheme="minorHAnsi" w:hAnsiTheme="minorHAnsi" w:cstheme="minorHAnsi"/>
        </w:rPr>
        <w:t>.</w:t>
      </w:r>
      <w:r w:rsidR="00B42C3F" w:rsidRPr="008D716D">
        <w:rPr>
          <w:rFonts w:asciiTheme="minorHAnsi" w:hAnsiTheme="minorHAnsi" w:cstheme="minorHAnsi"/>
        </w:rPr>
        <w:t xml:space="preserve"> </w:t>
      </w:r>
      <w:r w:rsidR="00DC05D5" w:rsidRPr="008D716D">
        <w:rPr>
          <w:rFonts w:asciiTheme="minorHAnsi" w:hAnsiTheme="minorHAnsi" w:cstheme="minorHAnsi"/>
          <w:lang w:val="de-AT"/>
        </w:rPr>
        <w:t>So ist zwar</w:t>
      </w:r>
      <w:r w:rsidR="00B42C3F" w:rsidRPr="008D716D">
        <w:rPr>
          <w:rFonts w:asciiTheme="minorHAnsi" w:hAnsiTheme="minorHAnsi" w:cstheme="minorHAnsi"/>
          <w:lang w:val="de-AT"/>
        </w:rPr>
        <w:t xml:space="preserve"> </w:t>
      </w:r>
      <w:r w:rsidRPr="008D716D">
        <w:rPr>
          <w:rFonts w:asciiTheme="minorHAnsi" w:hAnsiTheme="minorHAnsi" w:cstheme="minorHAnsi"/>
          <w:lang w:val="de-AT"/>
        </w:rPr>
        <w:t>nachvollziehbar</w:t>
      </w:r>
      <w:r w:rsidR="00BA2277" w:rsidRPr="008D716D">
        <w:rPr>
          <w:rFonts w:asciiTheme="minorHAnsi" w:hAnsiTheme="minorHAnsi" w:cstheme="minorHAnsi"/>
          <w:lang w:val="de-AT"/>
        </w:rPr>
        <w:t xml:space="preserve">, </w:t>
      </w:r>
      <w:r w:rsidR="00DC05D5" w:rsidRPr="008D716D">
        <w:rPr>
          <w:rFonts w:asciiTheme="minorHAnsi" w:hAnsiTheme="minorHAnsi" w:cstheme="minorHAnsi"/>
          <w:lang w:val="de-AT"/>
        </w:rPr>
        <w:t xml:space="preserve">wenn </w:t>
      </w:r>
      <w:r w:rsidR="002270B0" w:rsidRPr="008D716D">
        <w:rPr>
          <w:rFonts w:asciiTheme="minorHAnsi" w:hAnsiTheme="minorHAnsi" w:cstheme="minorHAnsi"/>
          <w:lang w:val="de-AT"/>
        </w:rPr>
        <w:t xml:space="preserve">Beihilfen für </w:t>
      </w:r>
      <w:r w:rsidR="00BA2277" w:rsidRPr="008D716D">
        <w:rPr>
          <w:rFonts w:asciiTheme="minorHAnsi" w:hAnsiTheme="minorHAnsi" w:cstheme="minorHAnsi"/>
          <w:lang w:val="de-AT"/>
        </w:rPr>
        <w:t>erdgasbasierte Anlagen</w:t>
      </w:r>
      <w:r w:rsidR="00DC05D5" w:rsidRPr="008D716D">
        <w:rPr>
          <w:rFonts w:asciiTheme="minorHAnsi" w:hAnsiTheme="minorHAnsi" w:cstheme="minorHAnsi"/>
          <w:lang w:val="de-AT"/>
        </w:rPr>
        <w:t xml:space="preserve"> künftig</w:t>
      </w:r>
      <w:r w:rsidR="00BA2277" w:rsidRPr="008D716D">
        <w:rPr>
          <w:rFonts w:asciiTheme="minorHAnsi" w:hAnsiTheme="minorHAnsi" w:cstheme="minorHAnsi"/>
          <w:lang w:val="de-AT"/>
        </w:rPr>
        <w:t xml:space="preserve"> einer (im Vergleich zu Erzeugungsanlagen von rein erneuerbaren Energien) verstärkten ökologischen Begründungspflicht unterliegen</w:t>
      </w:r>
      <w:r w:rsidR="00DA2C96" w:rsidRPr="008D716D">
        <w:rPr>
          <w:rFonts w:asciiTheme="minorHAnsi" w:hAnsiTheme="minorHAnsi" w:cstheme="minorHAnsi"/>
          <w:lang w:val="de-AT"/>
        </w:rPr>
        <w:t xml:space="preserve"> sollten</w:t>
      </w:r>
      <w:r w:rsidR="005E5A48" w:rsidRPr="008D716D">
        <w:rPr>
          <w:rFonts w:asciiTheme="minorHAnsi" w:hAnsiTheme="minorHAnsi" w:cstheme="minorHAnsi"/>
          <w:lang w:val="de-AT"/>
        </w:rPr>
        <w:t>, weil Erd</w:t>
      </w:r>
      <w:r w:rsidR="00B42C3F" w:rsidRPr="008D716D">
        <w:rPr>
          <w:rFonts w:asciiTheme="minorHAnsi" w:hAnsiTheme="minorHAnsi" w:cstheme="minorHAnsi"/>
          <w:lang w:val="de-AT"/>
        </w:rPr>
        <w:t xml:space="preserve">gasanlagen im direkten Vergleich mit Anlagen zur Energieerzeugung aus erneuerbaren Energiequellen (etwa Wasserkraft) mit einer </w:t>
      </w:r>
      <w:r w:rsidR="002270B0" w:rsidRPr="008D716D">
        <w:rPr>
          <w:rFonts w:asciiTheme="minorHAnsi" w:hAnsiTheme="minorHAnsi" w:cstheme="minorHAnsi"/>
          <w:lang w:val="de-AT"/>
        </w:rPr>
        <w:t>größeren</w:t>
      </w:r>
      <w:r w:rsidR="00B42C3F" w:rsidRPr="008D716D">
        <w:rPr>
          <w:rFonts w:asciiTheme="minorHAnsi" w:hAnsiTheme="minorHAnsi" w:cstheme="minorHAnsi"/>
          <w:lang w:val="de-AT"/>
        </w:rPr>
        <w:t xml:space="preserve"> Umweltbelastung einher</w:t>
      </w:r>
      <w:r w:rsidR="005E5A48" w:rsidRPr="008D716D">
        <w:rPr>
          <w:rFonts w:asciiTheme="minorHAnsi" w:hAnsiTheme="minorHAnsi" w:cstheme="minorHAnsi"/>
          <w:lang w:val="de-AT"/>
        </w:rPr>
        <w:t>gehen</w:t>
      </w:r>
      <w:r w:rsidR="00B42C3F" w:rsidRPr="008D716D">
        <w:rPr>
          <w:rFonts w:asciiTheme="minorHAnsi" w:hAnsiTheme="minorHAnsi" w:cstheme="minorHAnsi"/>
          <w:lang w:val="de-AT"/>
        </w:rPr>
        <w:t xml:space="preserve">. </w:t>
      </w:r>
      <w:r w:rsidR="002270B0" w:rsidRPr="008D716D">
        <w:rPr>
          <w:rFonts w:asciiTheme="minorHAnsi" w:hAnsiTheme="minorHAnsi" w:cstheme="minorHAnsi"/>
          <w:lang w:val="de-AT"/>
        </w:rPr>
        <w:t xml:space="preserve">Allerdings sollte dabei nicht übersehen werden, dass </w:t>
      </w:r>
      <w:r w:rsidR="00BA2277" w:rsidRPr="008D716D">
        <w:rPr>
          <w:rFonts w:asciiTheme="minorHAnsi" w:hAnsiTheme="minorHAnsi" w:cstheme="minorHAnsi"/>
          <w:lang w:val="de-AT"/>
        </w:rPr>
        <w:t xml:space="preserve">es eine Vielzahl an Szenarien gibt, in denen der Ausbau und die Modernisierung von Erdgasanlagen einen evidenten Beitrag zur Ökologisierung des Energiemarktes </w:t>
      </w:r>
      <w:r w:rsidR="00DA2C96" w:rsidRPr="008D716D">
        <w:rPr>
          <w:rFonts w:asciiTheme="minorHAnsi" w:hAnsiTheme="minorHAnsi" w:cstheme="minorHAnsi"/>
          <w:lang w:val="de-AT"/>
        </w:rPr>
        <w:t xml:space="preserve">leisten </w:t>
      </w:r>
      <w:r w:rsidR="002270B0" w:rsidRPr="008D716D">
        <w:rPr>
          <w:rFonts w:asciiTheme="minorHAnsi" w:hAnsiTheme="minorHAnsi" w:cstheme="minorHAnsi"/>
          <w:lang w:val="de-AT"/>
        </w:rPr>
        <w:t xml:space="preserve">können: Dies ist etwa bei </w:t>
      </w:r>
      <w:r w:rsidR="00B42C3F" w:rsidRPr="008D716D">
        <w:rPr>
          <w:rFonts w:asciiTheme="minorHAnsi" w:hAnsiTheme="minorHAnsi" w:cstheme="minorHAnsi"/>
          <w:lang w:val="de-AT"/>
        </w:rPr>
        <w:t>Erdgasanlagen</w:t>
      </w:r>
      <w:r w:rsidR="002270B0" w:rsidRPr="008D716D">
        <w:rPr>
          <w:rFonts w:asciiTheme="minorHAnsi" w:hAnsiTheme="minorHAnsi" w:cstheme="minorHAnsi"/>
          <w:lang w:val="de-AT"/>
        </w:rPr>
        <w:t xml:space="preserve"> der Fall</w:t>
      </w:r>
      <w:r w:rsidR="00B42C3F" w:rsidRPr="008D716D">
        <w:rPr>
          <w:rFonts w:asciiTheme="minorHAnsi" w:hAnsiTheme="minorHAnsi" w:cstheme="minorHAnsi"/>
          <w:lang w:val="de-AT"/>
        </w:rPr>
        <w:t xml:space="preserve">, </w:t>
      </w:r>
      <w:r w:rsidR="005E5A48" w:rsidRPr="008D716D">
        <w:rPr>
          <w:rFonts w:asciiTheme="minorHAnsi" w:hAnsiTheme="minorHAnsi" w:cstheme="minorHAnsi"/>
          <w:lang w:val="de-AT"/>
        </w:rPr>
        <w:t>deren Einsatz</w:t>
      </w:r>
      <w:r w:rsidR="002270B0" w:rsidRPr="008D716D">
        <w:rPr>
          <w:rFonts w:asciiTheme="minorHAnsi" w:hAnsiTheme="minorHAnsi" w:cstheme="minorHAnsi"/>
          <w:lang w:val="de-AT"/>
        </w:rPr>
        <w:t xml:space="preserve"> </w:t>
      </w:r>
      <w:r w:rsidR="000F1A1C" w:rsidRPr="008D716D">
        <w:rPr>
          <w:rFonts w:asciiTheme="minorHAnsi" w:hAnsiTheme="minorHAnsi" w:cstheme="minorHAnsi"/>
          <w:lang w:val="de-AT"/>
        </w:rPr>
        <w:t xml:space="preserve">für </w:t>
      </w:r>
      <w:r w:rsidR="002270B0" w:rsidRPr="008D716D">
        <w:rPr>
          <w:rFonts w:asciiTheme="minorHAnsi" w:hAnsiTheme="minorHAnsi" w:cstheme="minorHAnsi"/>
          <w:lang w:val="de-AT"/>
        </w:rPr>
        <w:t xml:space="preserve">Zwecke </w:t>
      </w:r>
      <w:r w:rsidR="00866B07" w:rsidRPr="008D716D">
        <w:rPr>
          <w:rFonts w:asciiTheme="minorHAnsi" w:hAnsiTheme="minorHAnsi" w:cstheme="minorHAnsi"/>
          <w:lang w:val="de-AT"/>
        </w:rPr>
        <w:t>der Fernwärme</w:t>
      </w:r>
      <w:r w:rsidR="005E5A48" w:rsidRPr="008D716D">
        <w:rPr>
          <w:rFonts w:asciiTheme="minorHAnsi" w:hAnsiTheme="minorHAnsi" w:cstheme="minorHAnsi"/>
          <w:lang w:val="de-AT"/>
        </w:rPr>
        <w:t>erzeugung</w:t>
      </w:r>
      <w:r w:rsidR="00866B07" w:rsidRPr="008D716D">
        <w:rPr>
          <w:rFonts w:asciiTheme="minorHAnsi" w:hAnsiTheme="minorHAnsi" w:cstheme="minorHAnsi"/>
          <w:lang w:val="de-AT"/>
        </w:rPr>
        <w:t xml:space="preserve"> </w:t>
      </w:r>
      <w:r w:rsidR="005E5A48" w:rsidRPr="008D716D">
        <w:rPr>
          <w:rFonts w:asciiTheme="minorHAnsi" w:hAnsiTheme="minorHAnsi" w:cstheme="minorHAnsi"/>
          <w:lang w:val="de-AT"/>
        </w:rPr>
        <w:t>ökologisch vorteilhaft</w:t>
      </w:r>
      <w:r w:rsidR="002270B0" w:rsidRPr="008D716D">
        <w:rPr>
          <w:rFonts w:asciiTheme="minorHAnsi" w:hAnsiTheme="minorHAnsi" w:cstheme="minorHAnsi"/>
          <w:lang w:val="de-AT"/>
        </w:rPr>
        <w:t xml:space="preserve"> (und insoweit auch förderungswürdig)</w:t>
      </w:r>
      <w:r w:rsidR="005E5A48" w:rsidRPr="008D716D">
        <w:rPr>
          <w:rFonts w:asciiTheme="minorHAnsi" w:hAnsiTheme="minorHAnsi" w:cstheme="minorHAnsi"/>
          <w:lang w:val="de-AT"/>
        </w:rPr>
        <w:t xml:space="preserve"> wäre</w:t>
      </w:r>
      <w:r w:rsidR="002270B0" w:rsidRPr="008D716D">
        <w:rPr>
          <w:rFonts w:asciiTheme="minorHAnsi" w:hAnsiTheme="minorHAnsi" w:cstheme="minorHAnsi"/>
          <w:lang w:val="de-AT"/>
        </w:rPr>
        <w:t>, wenn dadurch andere Kraftwerke</w:t>
      </w:r>
      <w:r w:rsidR="005E5A48" w:rsidRPr="008D716D">
        <w:rPr>
          <w:rFonts w:asciiTheme="minorHAnsi" w:hAnsiTheme="minorHAnsi" w:cstheme="minorHAnsi"/>
          <w:lang w:val="de-AT"/>
        </w:rPr>
        <w:t xml:space="preserve"> ersetzt werden können</w:t>
      </w:r>
      <w:r w:rsidR="002270B0" w:rsidRPr="008D716D">
        <w:rPr>
          <w:rFonts w:asciiTheme="minorHAnsi" w:hAnsiTheme="minorHAnsi" w:cstheme="minorHAnsi"/>
          <w:lang w:val="de-AT"/>
        </w:rPr>
        <w:t xml:space="preserve">, die eine wesentlich schlechtere Energieeffizienz und Umweltbilanz </w:t>
      </w:r>
      <w:r w:rsidR="005E5A48" w:rsidRPr="008D716D">
        <w:rPr>
          <w:rFonts w:asciiTheme="minorHAnsi" w:hAnsiTheme="minorHAnsi" w:cstheme="minorHAnsi"/>
          <w:lang w:val="de-AT"/>
        </w:rPr>
        <w:t>aufweisen (wie etwa Kraftwerke, die mit Kohle, Öl oder Diesel betrieben werden)</w:t>
      </w:r>
      <w:r w:rsidR="002270B0" w:rsidRPr="008D716D">
        <w:rPr>
          <w:rFonts w:asciiTheme="minorHAnsi" w:hAnsiTheme="minorHAnsi" w:cstheme="minorHAnsi"/>
          <w:lang w:val="de-AT"/>
        </w:rPr>
        <w:t xml:space="preserve">. Die Förderung derartiger Erdgasanlagen kann </w:t>
      </w:r>
      <w:r w:rsidR="002270B0" w:rsidRPr="008D716D">
        <w:rPr>
          <w:rFonts w:asciiTheme="minorHAnsi" w:hAnsiTheme="minorHAnsi" w:cstheme="minorHAnsi"/>
          <w:lang w:val="de-AT"/>
        </w:rPr>
        <w:lastRenderedPageBreak/>
        <w:t>damit – als Zwischenschritt – einen sinnvollen Beitrag zur Ökologisierung des Energiemarktes leisten, indem die Nutzung weit schädlicherer</w:t>
      </w:r>
      <w:r w:rsidR="005E5A48" w:rsidRPr="008D716D">
        <w:rPr>
          <w:rFonts w:asciiTheme="minorHAnsi" w:hAnsiTheme="minorHAnsi" w:cstheme="minorHAnsi"/>
          <w:lang w:val="de-AT"/>
        </w:rPr>
        <w:t xml:space="preserve"> Energieträger</w:t>
      </w:r>
      <w:r w:rsidR="002270B0" w:rsidRPr="008D716D">
        <w:rPr>
          <w:rFonts w:asciiTheme="minorHAnsi" w:hAnsiTheme="minorHAnsi" w:cstheme="minorHAnsi"/>
          <w:lang w:val="de-AT"/>
        </w:rPr>
        <w:t xml:space="preserve"> ersetzt wird.</w:t>
      </w:r>
    </w:p>
    <w:p w14:paraId="55682168" w14:textId="2A9F5E09" w:rsidR="006761D7" w:rsidRPr="008D716D" w:rsidRDefault="002270B0" w:rsidP="00FF79DE">
      <w:pPr>
        <w:pStyle w:val="EH-Text"/>
        <w:spacing w:after="160" w:line="360" w:lineRule="auto"/>
        <w:ind w:left="0"/>
        <w:rPr>
          <w:rFonts w:asciiTheme="minorHAnsi" w:hAnsiTheme="minorHAnsi" w:cstheme="minorHAnsi"/>
        </w:rPr>
      </w:pPr>
      <w:r w:rsidRPr="008D716D">
        <w:rPr>
          <w:rFonts w:asciiTheme="minorHAnsi" w:hAnsiTheme="minorHAnsi" w:cstheme="minorHAnsi"/>
          <w:lang w:val="de-AT"/>
        </w:rPr>
        <w:t>D</w:t>
      </w:r>
      <w:r w:rsidR="00B42C3F" w:rsidRPr="008D716D">
        <w:rPr>
          <w:rFonts w:asciiTheme="minorHAnsi" w:hAnsiTheme="minorHAnsi" w:cstheme="minorHAnsi"/>
          <w:lang w:val="de-AT"/>
        </w:rPr>
        <w:t xml:space="preserve">ies </w:t>
      </w:r>
      <w:r w:rsidRPr="008D716D">
        <w:rPr>
          <w:rFonts w:asciiTheme="minorHAnsi" w:hAnsiTheme="minorHAnsi" w:cstheme="minorHAnsi"/>
          <w:lang w:val="de-AT"/>
        </w:rPr>
        <w:t xml:space="preserve">sollte </w:t>
      </w:r>
      <w:r w:rsidR="00B42C3F" w:rsidRPr="008D716D">
        <w:rPr>
          <w:rFonts w:asciiTheme="minorHAnsi" w:hAnsiTheme="minorHAnsi" w:cstheme="minorHAnsi"/>
          <w:lang w:val="de-AT"/>
        </w:rPr>
        <w:t xml:space="preserve">von der </w:t>
      </w:r>
      <w:r w:rsidR="00BA2277" w:rsidRPr="008D716D">
        <w:rPr>
          <w:rFonts w:asciiTheme="minorHAnsi" w:hAnsiTheme="minorHAnsi" w:cstheme="minorHAnsi"/>
          <w:lang w:val="de-AT"/>
        </w:rPr>
        <w:t>Kommission auch in Randnummer 348 der Leitlinien gebührend berücksichtig</w:t>
      </w:r>
      <w:r w:rsidR="00B42C3F" w:rsidRPr="008D716D">
        <w:rPr>
          <w:rFonts w:asciiTheme="minorHAnsi" w:hAnsiTheme="minorHAnsi" w:cstheme="minorHAnsi"/>
          <w:lang w:val="de-AT"/>
        </w:rPr>
        <w:t>t werden</w:t>
      </w:r>
      <w:r w:rsidRPr="008D716D">
        <w:rPr>
          <w:rFonts w:asciiTheme="minorHAnsi" w:hAnsiTheme="minorHAnsi" w:cstheme="minorHAnsi"/>
          <w:lang w:val="de-AT"/>
        </w:rPr>
        <w:t xml:space="preserve"> </w:t>
      </w:r>
      <w:r w:rsidR="00BA2277" w:rsidRPr="008D716D">
        <w:rPr>
          <w:rFonts w:asciiTheme="minorHAnsi" w:hAnsiTheme="minorHAnsi" w:cstheme="minorHAnsi"/>
        </w:rPr>
        <w:t xml:space="preserve">(Ergänzung durch </w:t>
      </w:r>
      <w:r w:rsidR="00BA2277" w:rsidRPr="008D716D">
        <w:rPr>
          <w:rFonts w:asciiTheme="minorHAnsi" w:hAnsiTheme="minorHAnsi" w:cstheme="minorHAnsi"/>
          <w:u w:val="single"/>
        </w:rPr>
        <w:t>Unterstreichung</w:t>
      </w:r>
      <w:r w:rsidR="00BA2277" w:rsidRPr="008D716D">
        <w:rPr>
          <w:rFonts w:asciiTheme="minorHAnsi" w:hAnsiTheme="minorHAnsi" w:cstheme="minorHAnsi"/>
        </w:rPr>
        <w:t xml:space="preserve"> hervorgehoben)</w:t>
      </w:r>
      <w:r w:rsidR="005E61BF" w:rsidRPr="008D716D">
        <w:rPr>
          <w:rFonts w:asciiTheme="minorHAnsi" w:hAnsiTheme="minorHAnsi" w:cstheme="minorHAnsi"/>
        </w:rPr>
        <w:t>:</w:t>
      </w:r>
    </w:p>
    <w:p w14:paraId="04CF3B1E" w14:textId="4AEA87D0" w:rsidR="00BA2277" w:rsidRPr="008D716D" w:rsidRDefault="00BA2277" w:rsidP="00FF79DE">
      <w:pPr>
        <w:pStyle w:val="EH-Text"/>
        <w:spacing w:after="160" w:line="360" w:lineRule="auto"/>
        <w:contextualSpacing/>
        <w:rPr>
          <w:rFonts w:asciiTheme="minorHAnsi" w:hAnsiTheme="minorHAnsi" w:cstheme="minorHAnsi"/>
          <w:b/>
          <w:lang w:val="de-AT"/>
        </w:rPr>
      </w:pPr>
      <w:r w:rsidRPr="008D716D">
        <w:rPr>
          <w:rFonts w:asciiTheme="minorHAnsi" w:hAnsiTheme="minorHAnsi" w:cstheme="minorHAnsi"/>
          <w:b/>
        </w:rPr>
        <w:t>Vorschlag zu Randnummer</w:t>
      </w:r>
      <w:r w:rsidRPr="008D716D">
        <w:rPr>
          <w:rFonts w:asciiTheme="minorHAnsi" w:hAnsiTheme="minorHAnsi" w:cstheme="minorHAnsi"/>
          <w:b/>
          <w:lang w:val="de-AT"/>
        </w:rPr>
        <w:t> 348 (Keine negativen Wettbewerbsauswirkungen)</w:t>
      </w:r>
    </w:p>
    <w:p w14:paraId="39D26605" w14:textId="7CAD8209" w:rsidR="00F93D08" w:rsidRPr="008D716D" w:rsidRDefault="00BA2277" w:rsidP="009B51AC">
      <w:pPr>
        <w:pStyle w:val="EH-Text"/>
        <w:spacing w:after="160" w:line="360" w:lineRule="auto"/>
        <w:rPr>
          <w:rFonts w:asciiTheme="minorHAnsi" w:hAnsiTheme="minorHAnsi" w:cstheme="minorHAnsi"/>
          <w:lang w:val="de-AT"/>
        </w:rPr>
      </w:pPr>
      <w:r w:rsidRPr="008D716D">
        <w:rPr>
          <w:rFonts w:asciiTheme="minorHAnsi" w:hAnsiTheme="minorHAnsi" w:cstheme="minorHAnsi"/>
          <w:lang w:val="de-AT"/>
        </w:rPr>
        <w:t>"</w:t>
      </w:r>
      <w:r w:rsidRPr="008D716D">
        <w:rPr>
          <w:rFonts w:asciiTheme="minorHAnsi" w:hAnsiTheme="minorHAnsi" w:cstheme="minorHAnsi"/>
          <w:i/>
          <w:lang w:val="de-AT"/>
        </w:rPr>
        <w:t>Was den Aufbau oder die Modernisierung von Fernwärme- und Fernkälte-Erzeugungsanlagen betrifft, so können Maßnahmen, die Anreize für neue Investitionen in erdgasbasierte Anlagen schaffen, zwar kurzfristig die Treibhausgasemissionen senken, verschärfen längerfristig jedoch im Vergleich zu alternativen Investitionen die negativen externen Umwelteffekte. Solche Investitionen in Erdgas können nur dann als positiv für die Umwelt angesehen werden, wenn die Mitgliedstaaten erläutern, wie sie sicherstellen werden, dass die jeweilige Investition zur Erreichung des Klimaziels der Union für 2030 und des Unionsziels der Klimaneutralität bis 2050 beiträgt</w:t>
      </w:r>
      <w:r w:rsidR="00636605" w:rsidRPr="008D716D">
        <w:rPr>
          <w:rFonts w:asciiTheme="minorHAnsi" w:hAnsiTheme="minorHAnsi" w:cstheme="minorHAnsi"/>
          <w:i/>
          <w:lang w:val="de-AT"/>
        </w:rPr>
        <w:t xml:space="preserve">. </w:t>
      </w:r>
      <w:r w:rsidR="00636605" w:rsidRPr="008D716D">
        <w:rPr>
          <w:rFonts w:asciiTheme="minorHAnsi" w:hAnsiTheme="minorHAnsi" w:cstheme="minorHAnsi"/>
          <w:i/>
          <w:u w:val="single"/>
          <w:lang w:val="de-AT"/>
        </w:rPr>
        <w:t xml:space="preserve">Dies kann insbesondere der Fall sein, wenn die Förderung von erdgasbasierten Anlagen die Nutzung von Anlagen, die durch Verbrennung </w:t>
      </w:r>
      <w:r w:rsidR="00782EDE" w:rsidRPr="008D716D">
        <w:rPr>
          <w:rFonts w:asciiTheme="minorHAnsi" w:hAnsiTheme="minorHAnsi" w:cstheme="minorHAnsi"/>
          <w:i/>
          <w:u w:val="single"/>
          <w:lang w:val="de-AT"/>
        </w:rPr>
        <w:t>der umweltschädlichsten fossilen Brennstoffe wie Steinkohle, Braunkohle, Öl und Diesel</w:t>
      </w:r>
      <w:r w:rsidR="00636605" w:rsidRPr="008D716D">
        <w:rPr>
          <w:rFonts w:asciiTheme="minorHAnsi" w:hAnsiTheme="minorHAnsi" w:cstheme="minorHAnsi"/>
          <w:i/>
          <w:u w:val="single"/>
          <w:lang w:val="de-AT"/>
        </w:rPr>
        <w:t xml:space="preserve"> Energie gewinnen, reduziert. Die Mitgliedstaaten haben hierzu allerdings auch darzulegen</w:t>
      </w:r>
      <w:r w:rsidRPr="008D716D">
        <w:rPr>
          <w:rFonts w:asciiTheme="minorHAnsi" w:hAnsiTheme="minorHAnsi" w:cstheme="minorHAnsi"/>
          <w:i/>
          <w:lang w:val="de-AT"/>
        </w:rPr>
        <w:t xml:space="preserve">, wie eine </w:t>
      </w:r>
      <w:r w:rsidR="00636605" w:rsidRPr="008D716D">
        <w:rPr>
          <w:rFonts w:asciiTheme="minorHAnsi" w:hAnsiTheme="minorHAnsi" w:cstheme="minorHAnsi"/>
          <w:i/>
          <w:u w:val="single"/>
          <w:lang w:val="de-AT"/>
        </w:rPr>
        <w:t>dauerhafte</w:t>
      </w:r>
      <w:r w:rsidR="00636605" w:rsidRPr="008D716D">
        <w:rPr>
          <w:rFonts w:asciiTheme="minorHAnsi" w:hAnsiTheme="minorHAnsi" w:cstheme="minorHAnsi"/>
          <w:i/>
          <w:lang w:val="de-AT"/>
        </w:rPr>
        <w:t xml:space="preserve"> </w:t>
      </w:r>
      <w:r w:rsidRPr="008D716D">
        <w:rPr>
          <w:rFonts w:asciiTheme="minorHAnsi" w:hAnsiTheme="minorHAnsi" w:cstheme="minorHAnsi"/>
          <w:i/>
          <w:lang w:val="de-AT"/>
        </w:rPr>
        <w:t>Festlegung auf die Energieerzeugung aus Erdgas oder erdgasbasierte Erzeugungsanlagen vermieden wird. Beispiele für solche Vorkehrungen wären verbindliche Verpflichtungen des Beihilfeempfängers, CCS/CCU umzusetzen, Erdgas durch erneuerbares oder CO2-armes Gas zu ersetzen oder die Anlage innerhalb eines Zeitrahmens, der mit den Klimazielen der Union im Einklang steht, zu schließen.</w:t>
      </w:r>
      <w:r w:rsidRPr="008D716D">
        <w:rPr>
          <w:rFonts w:asciiTheme="minorHAnsi" w:hAnsiTheme="minorHAnsi" w:cstheme="minorHAnsi"/>
          <w:lang w:val="de-AT"/>
        </w:rPr>
        <w:t xml:space="preserve">" </w:t>
      </w:r>
    </w:p>
    <w:p w14:paraId="73794C6C" w14:textId="4DCC28FE" w:rsidR="00B10018" w:rsidRPr="008D716D" w:rsidRDefault="00B10018" w:rsidP="00FF79DE">
      <w:pPr>
        <w:pStyle w:val="EH-Text"/>
        <w:spacing w:after="240" w:line="360" w:lineRule="auto"/>
        <w:ind w:left="0"/>
        <w:rPr>
          <w:rFonts w:asciiTheme="minorHAnsi" w:hAnsiTheme="minorHAnsi" w:cstheme="minorHAnsi"/>
        </w:rPr>
      </w:pPr>
      <w:bookmarkStart w:id="15" w:name="_Toc77773390"/>
      <w:bookmarkStart w:id="16" w:name="_Toc77773412"/>
      <w:bookmarkStart w:id="17" w:name="_Toc77773391"/>
      <w:bookmarkStart w:id="18" w:name="_Toc77773413"/>
      <w:bookmarkStart w:id="19" w:name="_Toc77773392"/>
      <w:bookmarkStart w:id="20" w:name="_Toc77773414"/>
      <w:bookmarkEnd w:id="15"/>
      <w:bookmarkEnd w:id="16"/>
      <w:bookmarkEnd w:id="17"/>
      <w:bookmarkEnd w:id="18"/>
      <w:bookmarkEnd w:id="19"/>
      <w:bookmarkEnd w:id="20"/>
    </w:p>
    <w:p w14:paraId="01A4B9A5" w14:textId="21387CA7" w:rsidR="00CD26B1" w:rsidRPr="008D716D" w:rsidRDefault="00CD26B1" w:rsidP="00FF79DE">
      <w:pPr>
        <w:pStyle w:val="EH-Text"/>
        <w:spacing w:after="160" w:line="360" w:lineRule="auto"/>
        <w:rPr>
          <w:rFonts w:asciiTheme="minorHAnsi" w:hAnsiTheme="minorHAnsi" w:cstheme="minorHAnsi"/>
        </w:rPr>
      </w:pPr>
    </w:p>
    <w:bookmarkEnd w:id="0"/>
    <w:bookmarkEnd w:id="1"/>
    <w:bookmarkEnd w:id="2"/>
    <w:p w14:paraId="3FBEC3B4" w14:textId="77777777" w:rsidR="0099675C" w:rsidRPr="008D716D" w:rsidRDefault="0099675C" w:rsidP="00FF79DE">
      <w:pPr>
        <w:pStyle w:val="EH-Text"/>
        <w:spacing w:after="0" w:line="360" w:lineRule="auto"/>
        <w:ind w:left="0"/>
        <w:rPr>
          <w:rFonts w:asciiTheme="minorHAnsi" w:hAnsiTheme="minorHAnsi" w:cstheme="minorHAnsi"/>
          <w:lang w:val="de-AT"/>
        </w:rPr>
      </w:pPr>
    </w:p>
    <w:sectPr w:rsidR="0099675C" w:rsidRPr="008D716D" w:rsidSect="009573D1">
      <w:headerReference w:type="default" r:id="rId9"/>
      <w:footerReference w:type="default" r:id="rId10"/>
      <w:headerReference w:type="first" r:id="rId11"/>
      <w:footerReference w:type="first" r:id="rId12"/>
      <w:pgSz w:w="11906" w:h="16838"/>
      <w:pgMar w:top="1418" w:right="1417" w:bottom="1702" w:left="1417" w:header="567"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B568E4" w14:textId="77777777" w:rsidR="005E5A48" w:rsidRDefault="005E5A48">
      <w:r>
        <w:separator/>
      </w:r>
    </w:p>
  </w:endnote>
  <w:endnote w:type="continuationSeparator" w:id="0">
    <w:p w14:paraId="11D652A7" w14:textId="77777777" w:rsidR="005E5A48" w:rsidRDefault="005E5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4499F" w14:textId="297E2A20" w:rsidR="005E5A48" w:rsidRPr="008D716D" w:rsidRDefault="005E5A48">
    <w:pPr>
      <w:pStyle w:val="Fuzeile"/>
      <w:jc w:val="right"/>
      <w:rPr>
        <w:rFonts w:asciiTheme="minorHAnsi" w:hAnsiTheme="minorHAnsi" w:cstheme="minorHAnsi"/>
        <w:sz w:val="16"/>
        <w:szCs w:val="18"/>
      </w:rPr>
    </w:pPr>
    <w:r w:rsidRPr="008D716D">
      <w:rPr>
        <w:rFonts w:asciiTheme="minorHAnsi" w:hAnsiTheme="minorHAnsi" w:cstheme="minorHAnsi"/>
        <w:sz w:val="16"/>
        <w:szCs w:val="18"/>
      </w:rPr>
      <w:t xml:space="preserve">Seite </w:t>
    </w:r>
    <w:sdt>
      <w:sdtPr>
        <w:rPr>
          <w:rFonts w:asciiTheme="minorHAnsi" w:hAnsiTheme="minorHAnsi" w:cstheme="minorHAnsi"/>
          <w:sz w:val="16"/>
          <w:szCs w:val="18"/>
        </w:rPr>
        <w:id w:val="1525286665"/>
        <w:docPartObj>
          <w:docPartGallery w:val="Page Numbers (Bottom of Page)"/>
          <w:docPartUnique/>
        </w:docPartObj>
      </w:sdtPr>
      <w:sdtEndPr/>
      <w:sdtContent>
        <w:r w:rsidRPr="008D716D">
          <w:rPr>
            <w:rFonts w:asciiTheme="minorHAnsi" w:hAnsiTheme="minorHAnsi" w:cstheme="minorHAnsi"/>
            <w:sz w:val="16"/>
            <w:szCs w:val="18"/>
          </w:rPr>
          <w:fldChar w:fldCharType="begin"/>
        </w:r>
        <w:r w:rsidRPr="008D716D">
          <w:rPr>
            <w:rFonts w:asciiTheme="minorHAnsi" w:hAnsiTheme="minorHAnsi" w:cstheme="minorHAnsi"/>
            <w:sz w:val="16"/>
            <w:szCs w:val="18"/>
          </w:rPr>
          <w:instrText>PAGE   \* MERGEFORMAT</w:instrText>
        </w:r>
        <w:r w:rsidRPr="008D716D">
          <w:rPr>
            <w:rFonts w:asciiTheme="minorHAnsi" w:hAnsiTheme="minorHAnsi" w:cstheme="minorHAnsi"/>
            <w:sz w:val="16"/>
            <w:szCs w:val="18"/>
          </w:rPr>
          <w:fldChar w:fldCharType="separate"/>
        </w:r>
        <w:r w:rsidR="00374178" w:rsidRPr="008D716D">
          <w:rPr>
            <w:rFonts w:asciiTheme="minorHAnsi" w:hAnsiTheme="minorHAnsi" w:cstheme="minorHAnsi"/>
            <w:noProof/>
            <w:sz w:val="16"/>
            <w:szCs w:val="18"/>
          </w:rPr>
          <w:t>9</w:t>
        </w:r>
        <w:r w:rsidRPr="008D716D">
          <w:rPr>
            <w:rFonts w:asciiTheme="minorHAnsi" w:hAnsiTheme="minorHAnsi" w:cstheme="minorHAnsi"/>
            <w:sz w:val="16"/>
            <w:szCs w:val="18"/>
          </w:rPr>
          <w:fldChar w:fldCharType="end"/>
        </w:r>
        <w:r w:rsidRPr="008D716D">
          <w:rPr>
            <w:rFonts w:asciiTheme="minorHAnsi" w:hAnsiTheme="minorHAnsi" w:cstheme="minorHAnsi"/>
            <w:sz w:val="16"/>
            <w:szCs w:val="18"/>
          </w:rPr>
          <w:t>/</w:t>
        </w:r>
        <w:r w:rsidRPr="008D716D">
          <w:rPr>
            <w:rFonts w:asciiTheme="minorHAnsi" w:hAnsiTheme="minorHAnsi" w:cstheme="minorHAnsi"/>
            <w:sz w:val="16"/>
            <w:szCs w:val="18"/>
          </w:rPr>
          <w:fldChar w:fldCharType="begin"/>
        </w:r>
        <w:r w:rsidRPr="008D716D">
          <w:rPr>
            <w:rFonts w:asciiTheme="minorHAnsi" w:hAnsiTheme="minorHAnsi" w:cstheme="minorHAnsi"/>
            <w:sz w:val="16"/>
            <w:szCs w:val="18"/>
          </w:rPr>
          <w:instrText xml:space="preserve"> NUMPAGES  \* MERGEFORMAT </w:instrText>
        </w:r>
        <w:r w:rsidRPr="008D716D">
          <w:rPr>
            <w:rFonts w:asciiTheme="minorHAnsi" w:hAnsiTheme="minorHAnsi" w:cstheme="minorHAnsi"/>
            <w:sz w:val="16"/>
            <w:szCs w:val="18"/>
          </w:rPr>
          <w:fldChar w:fldCharType="separate"/>
        </w:r>
        <w:r w:rsidR="00374178" w:rsidRPr="008D716D">
          <w:rPr>
            <w:rFonts w:asciiTheme="minorHAnsi" w:hAnsiTheme="minorHAnsi" w:cstheme="minorHAnsi"/>
            <w:noProof/>
            <w:sz w:val="16"/>
            <w:szCs w:val="18"/>
          </w:rPr>
          <w:t>9</w:t>
        </w:r>
        <w:r w:rsidRPr="008D716D">
          <w:rPr>
            <w:rFonts w:asciiTheme="minorHAnsi" w:hAnsiTheme="minorHAnsi" w:cstheme="minorHAnsi"/>
            <w:sz w:val="16"/>
            <w:szCs w:val="18"/>
          </w:rPr>
          <w:fldChar w:fldCharType="end"/>
        </w:r>
      </w:sdtContent>
    </w:sdt>
  </w:p>
  <w:p w14:paraId="2A44C007" w14:textId="77777777" w:rsidR="005E5A48" w:rsidRPr="008D716D" w:rsidRDefault="005E5A48" w:rsidP="00AC3C28">
    <w:pPr>
      <w:pStyle w:val="Fuzeile"/>
      <w:jc w:val="center"/>
      <w:rPr>
        <w:rFonts w:asciiTheme="minorHAnsi" w:hAnsiTheme="minorHAnsi" w:cstheme="minorHAnsi"/>
        <w:sz w:val="20"/>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20333" w14:textId="5C2B4148" w:rsidR="005E5A48" w:rsidRPr="00A70BB6" w:rsidRDefault="005E5A48">
    <w:pPr>
      <w:pStyle w:val="Fuzeile"/>
      <w:jc w:val="right"/>
      <w:rPr>
        <w:rFonts w:asciiTheme="minorHAnsi" w:hAnsiTheme="minorHAnsi" w:cstheme="minorHAnsi"/>
        <w:sz w:val="18"/>
        <w:szCs w:val="20"/>
      </w:rPr>
    </w:pPr>
    <w:r w:rsidRPr="00A70BB6">
      <w:rPr>
        <w:rFonts w:asciiTheme="minorHAnsi" w:hAnsiTheme="minorHAnsi" w:cstheme="minorHAnsi"/>
        <w:sz w:val="18"/>
        <w:szCs w:val="20"/>
      </w:rPr>
      <w:t>Seite </w:t>
    </w:r>
    <w:sdt>
      <w:sdtPr>
        <w:rPr>
          <w:rFonts w:asciiTheme="minorHAnsi" w:hAnsiTheme="minorHAnsi" w:cstheme="minorHAnsi"/>
          <w:sz w:val="18"/>
          <w:szCs w:val="20"/>
        </w:rPr>
        <w:id w:val="567935742"/>
        <w:docPartObj>
          <w:docPartGallery w:val="Page Numbers (Bottom of Page)"/>
          <w:docPartUnique/>
        </w:docPartObj>
      </w:sdtPr>
      <w:sdtEndPr/>
      <w:sdtContent>
        <w:r w:rsidRPr="00A70BB6">
          <w:rPr>
            <w:rFonts w:asciiTheme="minorHAnsi" w:hAnsiTheme="minorHAnsi" w:cstheme="minorHAnsi"/>
            <w:sz w:val="18"/>
            <w:szCs w:val="20"/>
          </w:rPr>
          <w:fldChar w:fldCharType="begin"/>
        </w:r>
        <w:r w:rsidRPr="00A70BB6">
          <w:rPr>
            <w:rFonts w:asciiTheme="minorHAnsi" w:hAnsiTheme="minorHAnsi" w:cstheme="minorHAnsi"/>
            <w:sz w:val="18"/>
            <w:szCs w:val="20"/>
          </w:rPr>
          <w:instrText>PAGE   \* MERGEFORMAT</w:instrText>
        </w:r>
        <w:r w:rsidRPr="00A70BB6">
          <w:rPr>
            <w:rFonts w:asciiTheme="minorHAnsi" w:hAnsiTheme="minorHAnsi" w:cstheme="minorHAnsi"/>
            <w:sz w:val="18"/>
            <w:szCs w:val="20"/>
          </w:rPr>
          <w:fldChar w:fldCharType="separate"/>
        </w:r>
        <w:r w:rsidR="00374178" w:rsidRPr="00A70BB6">
          <w:rPr>
            <w:rFonts w:asciiTheme="minorHAnsi" w:hAnsiTheme="minorHAnsi" w:cstheme="minorHAnsi"/>
            <w:noProof/>
            <w:sz w:val="18"/>
            <w:szCs w:val="20"/>
          </w:rPr>
          <w:t>1</w:t>
        </w:r>
        <w:r w:rsidRPr="00A70BB6">
          <w:rPr>
            <w:rFonts w:asciiTheme="minorHAnsi" w:hAnsiTheme="minorHAnsi" w:cstheme="minorHAnsi"/>
            <w:sz w:val="18"/>
            <w:szCs w:val="20"/>
          </w:rPr>
          <w:fldChar w:fldCharType="end"/>
        </w:r>
        <w:r w:rsidRPr="00A70BB6">
          <w:rPr>
            <w:rFonts w:asciiTheme="minorHAnsi" w:hAnsiTheme="minorHAnsi" w:cstheme="minorHAnsi"/>
            <w:sz w:val="18"/>
            <w:szCs w:val="20"/>
          </w:rPr>
          <w:t>/</w:t>
        </w:r>
        <w:r w:rsidRPr="00A70BB6">
          <w:rPr>
            <w:rFonts w:asciiTheme="minorHAnsi" w:hAnsiTheme="minorHAnsi" w:cstheme="minorHAnsi"/>
            <w:sz w:val="18"/>
            <w:szCs w:val="20"/>
          </w:rPr>
          <w:fldChar w:fldCharType="begin"/>
        </w:r>
        <w:r w:rsidRPr="00A70BB6">
          <w:rPr>
            <w:rFonts w:asciiTheme="minorHAnsi" w:hAnsiTheme="minorHAnsi" w:cstheme="minorHAnsi"/>
            <w:sz w:val="18"/>
            <w:szCs w:val="20"/>
          </w:rPr>
          <w:instrText xml:space="preserve"> NUMPAGES   \* MERGEFORMAT </w:instrText>
        </w:r>
        <w:r w:rsidRPr="00A70BB6">
          <w:rPr>
            <w:rFonts w:asciiTheme="minorHAnsi" w:hAnsiTheme="minorHAnsi" w:cstheme="minorHAnsi"/>
            <w:sz w:val="18"/>
            <w:szCs w:val="20"/>
          </w:rPr>
          <w:fldChar w:fldCharType="separate"/>
        </w:r>
        <w:r w:rsidR="00374178" w:rsidRPr="00A70BB6">
          <w:rPr>
            <w:rFonts w:asciiTheme="minorHAnsi" w:hAnsiTheme="minorHAnsi" w:cstheme="minorHAnsi"/>
            <w:noProof/>
            <w:sz w:val="18"/>
            <w:szCs w:val="20"/>
          </w:rPr>
          <w:t>9</w:t>
        </w:r>
        <w:r w:rsidRPr="00A70BB6">
          <w:rPr>
            <w:rFonts w:asciiTheme="minorHAnsi" w:hAnsiTheme="minorHAnsi" w:cstheme="minorHAnsi"/>
            <w:sz w:val="18"/>
            <w:szCs w:val="20"/>
          </w:rPr>
          <w:fldChar w:fldCharType="end"/>
        </w:r>
      </w:sdtContent>
    </w:sdt>
  </w:p>
  <w:p w14:paraId="318DBF79" w14:textId="77777777" w:rsidR="005E5A48" w:rsidRPr="00DC2137" w:rsidRDefault="005E5A48">
    <w:pPr>
      <w:pStyle w:val="Fuzeil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39ABD1" w14:textId="77777777" w:rsidR="005E5A48" w:rsidRDefault="005E5A48">
      <w:r>
        <w:separator/>
      </w:r>
    </w:p>
  </w:footnote>
  <w:footnote w:type="continuationSeparator" w:id="0">
    <w:p w14:paraId="75A1F5FA" w14:textId="77777777" w:rsidR="005E5A48" w:rsidRDefault="005E5A48">
      <w:r>
        <w:continuationSeparator/>
      </w:r>
    </w:p>
  </w:footnote>
  <w:footnote w:id="1">
    <w:p w14:paraId="31F2B2E7" w14:textId="0FA9689C" w:rsidR="00D205B5" w:rsidRPr="00D205B5" w:rsidRDefault="00D205B5">
      <w:pPr>
        <w:pStyle w:val="Funotentext"/>
        <w:rPr>
          <w:lang w:val="de-AT"/>
        </w:rPr>
      </w:pPr>
      <w:r>
        <w:rPr>
          <w:rStyle w:val="Funotenzeichen"/>
        </w:rPr>
        <w:footnoteRef/>
      </w:r>
      <w:r>
        <w:t xml:space="preserve"> </w:t>
      </w:r>
      <w:r w:rsidRPr="00D205B5">
        <w:rPr>
          <w:rFonts w:asciiTheme="minorHAnsi" w:hAnsiTheme="minorHAnsi" w:cstheme="minorHAnsi"/>
          <w:lang w:val="de-AT"/>
        </w:rPr>
        <w:t>Mit den Kapazitäten aus ihren KWK-Anlagen nimmt Wien Energie als Kraftwerksbetreiberin auch an der jüngst von der Kommission zu SA.52263 genehmigten österreichischen Netzreserve zur Gewährleistung der Stromversorgungssicherheit teil.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6464C" w14:textId="7881C563" w:rsidR="00833564" w:rsidRDefault="00833564">
    <w:pPr>
      <w:pStyle w:val="Kopfzeile"/>
    </w:pPr>
    <w:r>
      <w:rPr>
        <w:noProof/>
      </w:rPr>
      <w:drawing>
        <wp:anchor distT="0" distB="0" distL="114300" distR="114300" simplePos="0" relativeHeight="251660288" behindDoc="0" locked="0" layoutInCell="1" allowOverlap="1" wp14:anchorId="257E7089" wp14:editId="1B264B05">
          <wp:simplePos x="0" y="0"/>
          <wp:positionH relativeFrom="margin">
            <wp:align>right</wp:align>
          </wp:positionH>
          <wp:positionV relativeFrom="paragraph">
            <wp:posOffset>-24157</wp:posOffset>
          </wp:positionV>
          <wp:extent cx="1358900" cy="352771"/>
          <wp:effectExtent l="0" t="0" r="0" b="9525"/>
          <wp:wrapThrough wrapText="bothSides">
            <wp:wrapPolygon edited="0">
              <wp:start x="0" y="0"/>
              <wp:lineTo x="0" y="21016"/>
              <wp:lineTo x="21196" y="21016"/>
              <wp:lineTo x="21196"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15102" t="25021" r="13138" b="40033"/>
                  <a:stretch/>
                </pic:blipFill>
                <pic:spPr bwMode="auto">
                  <a:xfrm>
                    <a:off x="0" y="0"/>
                    <a:ext cx="1358900" cy="352771"/>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71BE4" w14:textId="433C7617" w:rsidR="005E5A48" w:rsidRPr="003079CC" w:rsidRDefault="003079CC" w:rsidP="003079CC">
    <w:pPr>
      <w:pStyle w:val="Kopfzeile"/>
      <w:rPr>
        <w:rFonts w:asciiTheme="minorHAnsi" w:hAnsiTheme="minorHAnsi" w:cstheme="minorHAnsi"/>
        <w:sz w:val="16"/>
        <w:szCs w:val="18"/>
      </w:rPr>
    </w:pPr>
    <w:r w:rsidRPr="003079CC">
      <w:rPr>
        <w:rFonts w:asciiTheme="minorHAnsi" w:hAnsiTheme="minorHAnsi" w:cstheme="minorHAnsi"/>
        <w:sz w:val="16"/>
        <w:szCs w:val="18"/>
      </w:rPr>
      <w:t>29.07.2021</w:t>
    </w:r>
    <w:r w:rsidR="00E84B11" w:rsidRPr="003079CC">
      <w:rPr>
        <w:rFonts w:asciiTheme="minorHAnsi" w:hAnsiTheme="minorHAnsi" w:cstheme="minorHAnsi"/>
        <w:noProof/>
        <w:sz w:val="18"/>
        <w:szCs w:val="18"/>
      </w:rPr>
      <w:drawing>
        <wp:anchor distT="0" distB="0" distL="114300" distR="114300" simplePos="0" relativeHeight="251658240" behindDoc="0" locked="0" layoutInCell="1" allowOverlap="1" wp14:anchorId="15A50C61" wp14:editId="5ED15B29">
          <wp:simplePos x="0" y="0"/>
          <wp:positionH relativeFrom="margin">
            <wp:align>right</wp:align>
          </wp:positionH>
          <wp:positionV relativeFrom="paragraph">
            <wp:posOffset>11430</wp:posOffset>
          </wp:positionV>
          <wp:extent cx="1358900" cy="352771"/>
          <wp:effectExtent l="0" t="0" r="0" b="9525"/>
          <wp:wrapThrough wrapText="bothSides">
            <wp:wrapPolygon edited="0">
              <wp:start x="0" y="0"/>
              <wp:lineTo x="0" y="21016"/>
              <wp:lineTo x="21196" y="21016"/>
              <wp:lineTo x="21196"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l="15102" t="25021" r="13138" b="40033"/>
                  <a:stretch/>
                </pic:blipFill>
                <pic:spPr bwMode="auto">
                  <a:xfrm>
                    <a:off x="0" y="0"/>
                    <a:ext cx="1358900" cy="352771"/>
                  </a:xfrm>
                  <a:prstGeom prst="rect">
                    <a:avLst/>
                  </a:prstGeom>
                  <a:ln>
                    <a:noFill/>
                  </a:ln>
                  <a:extLst>
                    <a:ext uri="{53640926-AAD7-44D8-BBD7-CCE9431645EC}">
                      <a14:shadowObscured xmlns:a14="http://schemas.microsoft.com/office/drawing/2010/main"/>
                    </a:ext>
                  </a:extLst>
                </pic:spPr>
              </pic:pic>
            </a:graphicData>
          </a:graphic>
        </wp:anchor>
      </w:drawing>
    </w:r>
  </w:p>
  <w:p w14:paraId="5065D58A" w14:textId="77777777" w:rsidR="005E5A48" w:rsidRPr="001662BE" w:rsidRDefault="005E5A48" w:rsidP="009D6F37">
    <w:pPr>
      <w:pStyle w:val="Kopfzeile"/>
      <w:jc w:val="center"/>
      <w:rPr>
        <w:rFonts w:ascii="Arial" w:hAnsi="Arial" w:cs="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926D6"/>
    <w:multiLevelType w:val="hybridMultilevel"/>
    <w:tmpl w:val="344EDD40"/>
    <w:lvl w:ilvl="0" w:tplc="0C070003">
      <w:start w:val="1"/>
      <w:numFmt w:val="bullet"/>
      <w:lvlText w:val="o"/>
      <w:lvlJc w:val="left"/>
      <w:pPr>
        <w:ind w:left="1069" w:hanging="360"/>
      </w:pPr>
      <w:rPr>
        <w:rFonts w:ascii="Courier New" w:hAnsi="Courier New" w:cs="Courier New" w:hint="default"/>
      </w:rPr>
    </w:lvl>
    <w:lvl w:ilvl="1" w:tplc="0C070003" w:tentative="1">
      <w:start w:val="1"/>
      <w:numFmt w:val="bullet"/>
      <w:lvlText w:val="o"/>
      <w:lvlJc w:val="left"/>
      <w:pPr>
        <w:ind w:left="1789" w:hanging="360"/>
      </w:pPr>
      <w:rPr>
        <w:rFonts w:ascii="Courier New" w:hAnsi="Courier New" w:cs="Courier New" w:hint="default"/>
      </w:rPr>
    </w:lvl>
    <w:lvl w:ilvl="2" w:tplc="0C070005" w:tentative="1">
      <w:start w:val="1"/>
      <w:numFmt w:val="bullet"/>
      <w:lvlText w:val=""/>
      <w:lvlJc w:val="left"/>
      <w:pPr>
        <w:ind w:left="2509" w:hanging="360"/>
      </w:pPr>
      <w:rPr>
        <w:rFonts w:ascii="Wingdings" w:hAnsi="Wingdings" w:hint="default"/>
      </w:rPr>
    </w:lvl>
    <w:lvl w:ilvl="3" w:tplc="0C070001" w:tentative="1">
      <w:start w:val="1"/>
      <w:numFmt w:val="bullet"/>
      <w:lvlText w:val=""/>
      <w:lvlJc w:val="left"/>
      <w:pPr>
        <w:ind w:left="3229" w:hanging="360"/>
      </w:pPr>
      <w:rPr>
        <w:rFonts w:ascii="Symbol" w:hAnsi="Symbol" w:hint="default"/>
      </w:rPr>
    </w:lvl>
    <w:lvl w:ilvl="4" w:tplc="0C070003" w:tentative="1">
      <w:start w:val="1"/>
      <w:numFmt w:val="bullet"/>
      <w:lvlText w:val="o"/>
      <w:lvlJc w:val="left"/>
      <w:pPr>
        <w:ind w:left="3949" w:hanging="360"/>
      </w:pPr>
      <w:rPr>
        <w:rFonts w:ascii="Courier New" w:hAnsi="Courier New" w:cs="Courier New" w:hint="default"/>
      </w:rPr>
    </w:lvl>
    <w:lvl w:ilvl="5" w:tplc="0C070005" w:tentative="1">
      <w:start w:val="1"/>
      <w:numFmt w:val="bullet"/>
      <w:lvlText w:val=""/>
      <w:lvlJc w:val="left"/>
      <w:pPr>
        <w:ind w:left="4669" w:hanging="360"/>
      </w:pPr>
      <w:rPr>
        <w:rFonts w:ascii="Wingdings" w:hAnsi="Wingdings" w:hint="default"/>
      </w:rPr>
    </w:lvl>
    <w:lvl w:ilvl="6" w:tplc="0C070001" w:tentative="1">
      <w:start w:val="1"/>
      <w:numFmt w:val="bullet"/>
      <w:lvlText w:val=""/>
      <w:lvlJc w:val="left"/>
      <w:pPr>
        <w:ind w:left="5389" w:hanging="360"/>
      </w:pPr>
      <w:rPr>
        <w:rFonts w:ascii="Symbol" w:hAnsi="Symbol" w:hint="default"/>
      </w:rPr>
    </w:lvl>
    <w:lvl w:ilvl="7" w:tplc="0C070003" w:tentative="1">
      <w:start w:val="1"/>
      <w:numFmt w:val="bullet"/>
      <w:lvlText w:val="o"/>
      <w:lvlJc w:val="left"/>
      <w:pPr>
        <w:ind w:left="6109" w:hanging="360"/>
      </w:pPr>
      <w:rPr>
        <w:rFonts w:ascii="Courier New" w:hAnsi="Courier New" w:cs="Courier New" w:hint="default"/>
      </w:rPr>
    </w:lvl>
    <w:lvl w:ilvl="8" w:tplc="0C070005" w:tentative="1">
      <w:start w:val="1"/>
      <w:numFmt w:val="bullet"/>
      <w:lvlText w:val=""/>
      <w:lvlJc w:val="left"/>
      <w:pPr>
        <w:ind w:left="6829" w:hanging="360"/>
      </w:pPr>
      <w:rPr>
        <w:rFonts w:ascii="Wingdings" w:hAnsi="Wingdings" w:hint="default"/>
      </w:rPr>
    </w:lvl>
  </w:abstractNum>
  <w:abstractNum w:abstractNumId="1" w15:restartNumberingAfterBreak="0">
    <w:nsid w:val="0AA33EB1"/>
    <w:multiLevelType w:val="hybridMultilevel"/>
    <w:tmpl w:val="9B0A37D6"/>
    <w:lvl w:ilvl="0" w:tplc="0C070001">
      <w:start w:val="1"/>
      <w:numFmt w:val="bullet"/>
      <w:lvlText w:val=""/>
      <w:lvlJc w:val="left"/>
      <w:pPr>
        <w:ind w:left="1069" w:hanging="360"/>
      </w:pPr>
      <w:rPr>
        <w:rFonts w:ascii="Symbol" w:hAnsi="Symbol" w:hint="default"/>
      </w:rPr>
    </w:lvl>
    <w:lvl w:ilvl="1" w:tplc="0C070003" w:tentative="1">
      <w:start w:val="1"/>
      <w:numFmt w:val="bullet"/>
      <w:lvlText w:val="o"/>
      <w:lvlJc w:val="left"/>
      <w:pPr>
        <w:ind w:left="1789" w:hanging="360"/>
      </w:pPr>
      <w:rPr>
        <w:rFonts w:ascii="Courier New" w:hAnsi="Courier New" w:cs="Courier New" w:hint="default"/>
      </w:rPr>
    </w:lvl>
    <w:lvl w:ilvl="2" w:tplc="0C070005" w:tentative="1">
      <w:start w:val="1"/>
      <w:numFmt w:val="bullet"/>
      <w:lvlText w:val=""/>
      <w:lvlJc w:val="left"/>
      <w:pPr>
        <w:ind w:left="2509" w:hanging="360"/>
      </w:pPr>
      <w:rPr>
        <w:rFonts w:ascii="Wingdings" w:hAnsi="Wingdings" w:hint="default"/>
      </w:rPr>
    </w:lvl>
    <w:lvl w:ilvl="3" w:tplc="0C070001" w:tentative="1">
      <w:start w:val="1"/>
      <w:numFmt w:val="bullet"/>
      <w:lvlText w:val=""/>
      <w:lvlJc w:val="left"/>
      <w:pPr>
        <w:ind w:left="3229" w:hanging="360"/>
      </w:pPr>
      <w:rPr>
        <w:rFonts w:ascii="Symbol" w:hAnsi="Symbol" w:hint="default"/>
      </w:rPr>
    </w:lvl>
    <w:lvl w:ilvl="4" w:tplc="0C070003" w:tentative="1">
      <w:start w:val="1"/>
      <w:numFmt w:val="bullet"/>
      <w:lvlText w:val="o"/>
      <w:lvlJc w:val="left"/>
      <w:pPr>
        <w:ind w:left="3949" w:hanging="360"/>
      </w:pPr>
      <w:rPr>
        <w:rFonts w:ascii="Courier New" w:hAnsi="Courier New" w:cs="Courier New" w:hint="default"/>
      </w:rPr>
    </w:lvl>
    <w:lvl w:ilvl="5" w:tplc="0C070005" w:tentative="1">
      <w:start w:val="1"/>
      <w:numFmt w:val="bullet"/>
      <w:lvlText w:val=""/>
      <w:lvlJc w:val="left"/>
      <w:pPr>
        <w:ind w:left="4669" w:hanging="360"/>
      </w:pPr>
      <w:rPr>
        <w:rFonts w:ascii="Wingdings" w:hAnsi="Wingdings" w:hint="default"/>
      </w:rPr>
    </w:lvl>
    <w:lvl w:ilvl="6" w:tplc="0C070001" w:tentative="1">
      <w:start w:val="1"/>
      <w:numFmt w:val="bullet"/>
      <w:lvlText w:val=""/>
      <w:lvlJc w:val="left"/>
      <w:pPr>
        <w:ind w:left="5389" w:hanging="360"/>
      </w:pPr>
      <w:rPr>
        <w:rFonts w:ascii="Symbol" w:hAnsi="Symbol" w:hint="default"/>
      </w:rPr>
    </w:lvl>
    <w:lvl w:ilvl="7" w:tplc="0C070003" w:tentative="1">
      <w:start w:val="1"/>
      <w:numFmt w:val="bullet"/>
      <w:lvlText w:val="o"/>
      <w:lvlJc w:val="left"/>
      <w:pPr>
        <w:ind w:left="6109" w:hanging="360"/>
      </w:pPr>
      <w:rPr>
        <w:rFonts w:ascii="Courier New" w:hAnsi="Courier New" w:cs="Courier New" w:hint="default"/>
      </w:rPr>
    </w:lvl>
    <w:lvl w:ilvl="8" w:tplc="0C070005" w:tentative="1">
      <w:start w:val="1"/>
      <w:numFmt w:val="bullet"/>
      <w:lvlText w:val=""/>
      <w:lvlJc w:val="left"/>
      <w:pPr>
        <w:ind w:left="6829" w:hanging="360"/>
      </w:pPr>
      <w:rPr>
        <w:rFonts w:ascii="Wingdings" w:hAnsi="Wingdings" w:hint="default"/>
      </w:rPr>
    </w:lvl>
  </w:abstractNum>
  <w:abstractNum w:abstractNumId="2" w15:restartNumberingAfterBreak="0">
    <w:nsid w:val="0B6D177F"/>
    <w:multiLevelType w:val="hybridMultilevel"/>
    <w:tmpl w:val="E84C45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9505C7"/>
    <w:multiLevelType w:val="hybridMultilevel"/>
    <w:tmpl w:val="B634587A"/>
    <w:lvl w:ilvl="0" w:tplc="AF20DEA6">
      <w:start w:val="1"/>
      <w:numFmt w:val="lowerRoman"/>
      <w:lvlText w:val="(%1)"/>
      <w:lvlJc w:val="left"/>
      <w:pPr>
        <w:ind w:left="1429" w:hanging="720"/>
      </w:pPr>
      <w:rPr>
        <w:rFonts w:hint="default"/>
        <w:b w:val="0"/>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4" w15:restartNumberingAfterBreak="0">
    <w:nsid w:val="13CA64CA"/>
    <w:multiLevelType w:val="hybridMultilevel"/>
    <w:tmpl w:val="ADF635A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05A607C"/>
    <w:multiLevelType w:val="hybridMultilevel"/>
    <w:tmpl w:val="69D6D0A6"/>
    <w:lvl w:ilvl="0" w:tplc="65D63A02">
      <w:start w:val="1"/>
      <w:numFmt w:val="bullet"/>
      <w:lvlText w:val=""/>
      <w:lvlJc w:val="left"/>
      <w:pPr>
        <w:ind w:left="1429" w:hanging="360"/>
      </w:pPr>
      <w:rPr>
        <w:rFonts w:ascii="Symbol" w:hAnsi="Symbol"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6" w15:restartNumberingAfterBreak="0">
    <w:nsid w:val="21B30383"/>
    <w:multiLevelType w:val="hybridMultilevel"/>
    <w:tmpl w:val="E82806E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785"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F9B0C27"/>
    <w:multiLevelType w:val="hybridMultilevel"/>
    <w:tmpl w:val="E5B873DC"/>
    <w:lvl w:ilvl="0" w:tplc="04070001">
      <w:start w:val="1"/>
      <w:numFmt w:val="bullet"/>
      <w:lvlText w:val=""/>
      <w:lvlJc w:val="left"/>
      <w:pPr>
        <w:ind w:left="1069" w:hanging="360"/>
      </w:pPr>
      <w:rPr>
        <w:rFonts w:ascii="Symbol" w:hAnsi="Symbo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start w:val="1"/>
      <w:numFmt w:val="bullet"/>
      <w:lvlText w:val=""/>
      <w:lvlJc w:val="left"/>
      <w:pPr>
        <w:ind w:left="3229" w:hanging="360"/>
      </w:pPr>
      <w:rPr>
        <w:rFonts w:ascii="Symbol" w:hAnsi="Symbol" w:hint="default"/>
      </w:rPr>
    </w:lvl>
    <w:lvl w:ilvl="4" w:tplc="04070003">
      <w:start w:val="1"/>
      <w:numFmt w:val="bullet"/>
      <w:lvlText w:val="o"/>
      <w:lvlJc w:val="left"/>
      <w:pPr>
        <w:ind w:left="3949" w:hanging="360"/>
      </w:pPr>
      <w:rPr>
        <w:rFonts w:ascii="Courier New" w:hAnsi="Courier New" w:cs="Courier New" w:hint="default"/>
      </w:rPr>
    </w:lvl>
    <w:lvl w:ilvl="5" w:tplc="04070005">
      <w:start w:val="1"/>
      <w:numFmt w:val="bullet"/>
      <w:lvlText w:val=""/>
      <w:lvlJc w:val="left"/>
      <w:pPr>
        <w:ind w:left="4669" w:hanging="360"/>
      </w:pPr>
      <w:rPr>
        <w:rFonts w:ascii="Wingdings" w:hAnsi="Wingdings" w:hint="default"/>
      </w:rPr>
    </w:lvl>
    <w:lvl w:ilvl="6" w:tplc="04070001">
      <w:start w:val="1"/>
      <w:numFmt w:val="bullet"/>
      <w:lvlText w:val=""/>
      <w:lvlJc w:val="left"/>
      <w:pPr>
        <w:ind w:left="5389" w:hanging="360"/>
      </w:pPr>
      <w:rPr>
        <w:rFonts w:ascii="Symbol" w:hAnsi="Symbol" w:hint="default"/>
      </w:rPr>
    </w:lvl>
    <w:lvl w:ilvl="7" w:tplc="04070003">
      <w:start w:val="1"/>
      <w:numFmt w:val="bullet"/>
      <w:lvlText w:val="o"/>
      <w:lvlJc w:val="left"/>
      <w:pPr>
        <w:ind w:left="6109" w:hanging="360"/>
      </w:pPr>
      <w:rPr>
        <w:rFonts w:ascii="Courier New" w:hAnsi="Courier New" w:cs="Courier New" w:hint="default"/>
      </w:rPr>
    </w:lvl>
    <w:lvl w:ilvl="8" w:tplc="04070005">
      <w:start w:val="1"/>
      <w:numFmt w:val="bullet"/>
      <w:lvlText w:val=""/>
      <w:lvlJc w:val="left"/>
      <w:pPr>
        <w:ind w:left="6829" w:hanging="360"/>
      </w:pPr>
      <w:rPr>
        <w:rFonts w:ascii="Wingdings" w:hAnsi="Wingdings" w:hint="default"/>
      </w:rPr>
    </w:lvl>
  </w:abstractNum>
  <w:abstractNum w:abstractNumId="8" w15:restartNumberingAfterBreak="0">
    <w:nsid w:val="369F2346"/>
    <w:multiLevelType w:val="hybridMultilevel"/>
    <w:tmpl w:val="7D440B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3B64387A"/>
    <w:multiLevelType w:val="hybridMultilevel"/>
    <w:tmpl w:val="A6A45C5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3E4F2198"/>
    <w:multiLevelType w:val="hybridMultilevel"/>
    <w:tmpl w:val="03C2669A"/>
    <w:lvl w:ilvl="0" w:tplc="A87622B6">
      <w:start w:val="46"/>
      <w:numFmt w:val="bullet"/>
      <w:lvlText w:val=""/>
      <w:lvlJc w:val="left"/>
      <w:pPr>
        <w:ind w:left="1069" w:hanging="360"/>
      </w:pPr>
      <w:rPr>
        <w:rFonts w:ascii="Symbol" w:eastAsia="Times New Roman" w:hAnsi="Symbol" w:cs="Arial" w:hint="default"/>
      </w:rPr>
    </w:lvl>
    <w:lvl w:ilvl="1" w:tplc="0C070003" w:tentative="1">
      <w:start w:val="1"/>
      <w:numFmt w:val="bullet"/>
      <w:lvlText w:val="o"/>
      <w:lvlJc w:val="left"/>
      <w:pPr>
        <w:ind w:left="1789" w:hanging="360"/>
      </w:pPr>
      <w:rPr>
        <w:rFonts w:ascii="Courier New" w:hAnsi="Courier New" w:cs="Courier New" w:hint="default"/>
      </w:rPr>
    </w:lvl>
    <w:lvl w:ilvl="2" w:tplc="0C070005" w:tentative="1">
      <w:start w:val="1"/>
      <w:numFmt w:val="bullet"/>
      <w:lvlText w:val=""/>
      <w:lvlJc w:val="left"/>
      <w:pPr>
        <w:ind w:left="2509" w:hanging="360"/>
      </w:pPr>
      <w:rPr>
        <w:rFonts w:ascii="Wingdings" w:hAnsi="Wingdings" w:hint="default"/>
      </w:rPr>
    </w:lvl>
    <w:lvl w:ilvl="3" w:tplc="0C070001" w:tentative="1">
      <w:start w:val="1"/>
      <w:numFmt w:val="bullet"/>
      <w:lvlText w:val=""/>
      <w:lvlJc w:val="left"/>
      <w:pPr>
        <w:ind w:left="3229" w:hanging="360"/>
      </w:pPr>
      <w:rPr>
        <w:rFonts w:ascii="Symbol" w:hAnsi="Symbol" w:hint="default"/>
      </w:rPr>
    </w:lvl>
    <w:lvl w:ilvl="4" w:tplc="0C070003" w:tentative="1">
      <w:start w:val="1"/>
      <w:numFmt w:val="bullet"/>
      <w:lvlText w:val="o"/>
      <w:lvlJc w:val="left"/>
      <w:pPr>
        <w:ind w:left="3949" w:hanging="360"/>
      </w:pPr>
      <w:rPr>
        <w:rFonts w:ascii="Courier New" w:hAnsi="Courier New" w:cs="Courier New" w:hint="default"/>
      </w:rPr>
    </w:lvl>
    <w:lvl w:ilvl="5" w:tplc="0C070005" w:tentative="1">
      <w:start w:val="1"/>
      <w:numFmt w:val="bullet"/>
      <w:lvlText w:val=""/>
      <w:lvlJc w:val="left"/>
      <w:pPr>
        <w:ind w:left="4669" w:hanging="360"/>
      </w:pPr>
      <w:rPr>
        <w:rFonts w:ascii="Wingdings" w:hAnsi="Wingdings" w:hint="default"/>
      </w:rPr>
    </w:lvl>
    <w:lvl w:ilvl="6" w:tplc="0C070001" w:tentative="1">
      <w:start w:val="1"/>
      <w:numFmt w:val="bullet"/>
      <w:lvlText w:val=""/>
      <w:lvlJc w:val="left"/>
      <w:pPr>
        <w:ind w:left="5389" w:hanging="360"/>
      </w:pPr>
      <w:rPr>
        <w:rFonts w:ascii="Symbol" w:hAnsi="Symbol" w:hint="default"/>
      </w:rPr>
    </w:lvl>
    <w:lvl w:ilvl="7" w:tplc="0C070003" w:tentative="1">
      <w:start w:val="1"/>
      <w:numFmt w:val="bullet"/>
      <w:lvlText w:val="o"/>
      <w:lvlJc w:val="left"/>
      <w:pPr>
        <w:ind w:left="6109" w:hanging="360"/>
      </w:pPr>
      <w:rPr>
        <w:rFonts w:ascii="Courier New" w:hAnsi="Courier New" w:cs="Courier New" w:hint="default"/>
      </w:rPr>
    </w:lvl>
    <w:lvl w:ilvl="8" w:tplc="0C070005" w:tentative="1">
      <w:start w:val="1"/>
      <w:numFmt w:val="bullet"/>
      <w:lvlText w:val=""/>
      <w:lvlJc w:val="left"/>
      <w:pPr>
        <w:ind w:left="6829" w:hanging="360"/>
      </w:pPr>
      <w:rPr>
        <w:rFonts w:ascii="Wingdings" w:hAnsi="Wingdings" w:hint="default"/>
      </w:rPr>
    </w:lvl>
  </w:abstractNum>
  <w:abstractNum w:abstractNumId="11" w15:restartNumberingAfterBreak="0">
    <w:nsid w:val="433A5270"/>
    <w:multiLevelType w:val="multilevel"/>
    <w:tmpl w:val="D6309D42"/>
    <w:lvl w:ilvl="0">
      <w:start w:val="1"/>
      <w:numFmt w:val="decimal"/>
      <w:pStyle w:val="EH-2"/>
      <w:lvlText w:val="%1."/>
      <w:lvlJc w:val="left"/>
      <w:pPr>
        <w:ind w:left="1558" w:hanging="690"/>
      </w:pPr>
      <w:rPr>
        <w:rFonts w:hint="default"/>
      </w:rPr>
    </w:lvl>
    <w:lvl w:ilvl="1">
      <w:start w:val="1"/>
      <w:numFmt w:val="decimal"/>
      <w:pStyle w:val="EH-3"/>
      <w:isLgl/>
      <w:lvlText w:val="%1.%2"/>
      <w:lvlJc w:val="left"/>
      <w:pPr>
        <w:ind w:left="1573" w:hanging="705"/>
      </w:pPr>
      <w:rPr>
        <w:rFonts w:hint="default"/>
      </w:rPr>
    </w:lvl>
    <w:lvl w:ilvl="2">
      <w:start w:val="1"/>
      <w:numFmt w:val="decimal"/>
      <w:pStyle w:val="EH-4"/>
      <w:isLgl/>
      <w:lvlText w:val="%1.%2.%3"/>
      <w:lvlJc w:val="left"/>
      <w:pPr>
        <w:ind w:left="720" w:hanging="720"/>
      </w:pPr>
      <w:rPr>
        <w:rFonts w:hint="default"/>
      </w:rPr>
    </w:lvl>
    <w:lvl w:ilvl="3">
      <w:start w:val="1"/>
      <w:numFmt w:val="decimal"/>
      <w:pStyle w:val="EH-5"/>
      <w:isLgl/>
      <w:lvlText w:val="%1.%2.%3.%4"/>
      <w:lvlJc w:val="left"/>
      <w:pPr>
        <w:ind w:left="1588" w:hanging="720"/>
      </w:pPr>
      <w:rPr>
        <w:rFonts w:ascii="Arial" w:hAnsi="Arial" w:cs="Arial" w:hint="default"/>
        <w:sz w:val="22"/>
        <w:szCs w:val="22"/>
      </w:rPr>
    </w:lvl>
    <w:lvl w:ilvl="4">
      <w:start w:val="1"/>
      <w:numFmt w:val="decimal"/>
      <w:isLgl/>
      <w:lvlText w:val="%1.%2.%3.%4.%5"/>
      <w:lvlJc w:val="left"/>
      <w:pPr>
        <w:ind w:left="1948" w:hanging="1080"/>
      </w:pPr>
      <w:rPr>
        <w:rFonts w:hint="default"/>
      </w:rPr>
    </w:lvl>
    <w:lvl w:ilvl="5">
      <w:start w:val="1"/>
      <w:numFmt w:val="decimal"/>
      <w:isLgl/>
      <w:lvlText w:val="%1.%2.%3.%4.%5.%6"/>
      <w:lvlJc w:val="left"/>
      <w:pPr>
        <w:ind w:left="1948" w:hanging="1080"/>
      </w:pPr>
      <w:rPr>
        <w:rFonts w:hint="default"/>
      </w:rPr>
    </w:lvl>
    <w:lvl w:ilvl="6">
      <w:start w:val="1"/>
      <w:numFmt w:val="decimal"/>
      <w:isLgl/>
      <w:lvlText w:val="%1.%2.%3.%4.%5.%6.%7"/>
      <w:lvlJc w:val="left"/>
      <w:pPr>
        <w:ind w:left="2308" w:hanging="1440"/>
      </w:pPr>
      <w:rPr>
        <w:rFonts w:hint="default"/>
      </w:rPr>
    </w:lvl>
    <w:lvl w:ilvl="7">
      <w:start w:val="1"/>
      <w:numFmt w:val="decimal"/>
      <w:isLgl/>
      <w:lvlText w:val="%1.%2.%3.%4.%5.%6.%7.%8"/>
      <w:lvlJc w:val="left"/>
      <w:pPr>
        <w:ind w:left="2308" w:hanging="1440"/>
      </w:pPr>
      <w:rPr>
        <w:rFonts w:hint="default"/>
      </w:rPr>
    </w:lvl>
    <w:lvl w:ilvl="8">
      <w:start w:val="1"/>
      <w:numFmt w:val="decimal"/>
      <w:isLgl/>
      <w:lvlText w:val="%1.%2.%3.%4.%5.%6.%7.%8.%9"/>
      <w:lvlJc w:val="left"/>
      <w:pPr>
        <w:ind w:left="2668" w:hanging="1800"/>
      </w:pPr>
      <w:rPr>
        <w:rFonts w:hint="default"/>
      </w:rPr>
    </w:lvl>
  </w:abstractNum>
  <w:abstractNum w:abstractNumId="12" w15:restartNumberingAfterBreak="0">
    <w:nsid w:val="4BEA24B2"/>
    <w:multiLevelType w:val="hybridMultilevel"/>
    <w:tmpl w:val="F6A6D4AA"/>
    <w:lvl w:ilvl="0" w:tplc="04070001">
      <w:start w:val="1"/>
      <w:numFmt w:val="bullet"/>
      <w:lvlText w:val=""/>
      <w:lvlJc w:val="left"/>
      <w:pPr>
        <w:ind w:left="1069" w:hanging="360"/>
      </w:pPr>
      <w:rPr>
        <w:rFonts w:ascii="Symbol" w:hAnsi="Symbo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start w:val="1"/>
      <w:numFmt w:val="bullet"/>
      <w:lvlText w:val=""/>
      <w:lvlJc w:val="left"/>
      <w:pPr>
        <w:ind w:left="3229" w:hanging="360"/>
      </w:pPr>
      <w:rPr>
        <w:rFonts w:ascii="Symbol" w:hAnsi="Symbol" w:hint="default"/>
      </w:rPr>
    </w:lvl>
    <w:lvl w:ilvl="4" w:tplc="04070003">
      <w:start w:val="1"/>
      <w:numFmt w:val="bullet"/>
      <w:lvlText w:val="o"/>
      <w:lvlJc w:val="left"/>
      <w:pPr>
        <w:ind w:left="3949" w:hanging="360"/>
      </w:pPr>
      <w:rPr>
        <w:rFonts w:ascii="Courier New" w:hAnsi="Courier New" w:cs="Courier New" w:hint="default"/>
      </w:rPr>
    </w:lvl>
    <w:lvl w:ilvl="5" w:tplc="04070005">
      <w:start w:val="1"/>
      <w:numFmt w:val="bullet"/>
      <w:lvlText w:val=""/>
      <w:lvlJc w:val="left"/>
      <w:pPr>
        <w:ind w:left="4669" w:hanging="360"/>
      </w:pPr>
      <w:rPr>
        <w:rFonts w:ascii="Wingdings" w:hAnsi="Wingdings" w:hint="default"/>
      </w:rPr>
    </w:lvl>
    <w:lvl w:ilvl="6" w:tplc="04070001">
      <w:start w:val="1"/>
      <w:numFmt w:val="bullet"/>
      <w:lvlText w:val=""/>
      <w:lvlJc w:val="left"/>
      <w:pPr>
        <w:ind w:left="5389" w:hanging="360"/>
      </w:pPr>
      <w:rPr>
        <w:rFonts w:ascii="Symbol" w:hAnsi="Symbol" w:hint="default"/>
      </w:rPr>
    </w:lvl>
    <w:lvl w:ilvl="7" w:tplc="04070003">
      <w:start w:val="1"/>
      <w:numFmt w:val="bullet"/>
      <w:lvlText w:val="o"/>
      <w:lvlJc w:val="left"/>
      <w:pPr>
        <w:ind w:left="6109" w:hanging="360"/>
      </w:pPr>
      <w:rPr>
        <w:rFonts w:ascii="Courier New" w:hAnsi="Courier New" w:cs="Courier New" w:hint="default"/>
      </w:rPr>
    </w:lvl>
    <w:lvl w:ilvl="8" w:tplc="04070005">
      <w:start w:val="1"/>
      <w:numFmt w:val="bullet"/>
      <w:lvlText w:val=""/>
      <w:lvlJc w:val="left"/>
      <w:pPr>
        <w:ind w:left="6829" w:hanging="360"/>
      </w:pPr>
      <w:rPr>
        <w:rFonts w:ascii="Wingdings" w:hAnsi="Wingdings" w:hint="default"/>
      </w:rPr>
    </w:lvl>
  </w:abstractNum>
  <w:abstractNum w:abstractNumId="13" w15:restartNumberingAfterBreak="0">
    <w:nsid w:val="4F3C78F1"/>
    <w:multiLevelType w:val="hybridMultilevel"/>
    <w:tmpl w:val="BA84EF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732E08CA"/>
    <w:multiLevelType w:val="hybridMultilevel"/>
    <w:tmpl w:val="7BAA8698"/>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1"/>
  </w:num>
  <w:num w:numId="2">
    <w:abstractNumId w:val="6"/>
  </w:num>
  <w:num w:numId="3">
    <w:abstractNumId w:val="7"/>
  </w:num>
  <w:num w:numId="4">
    <w:abstractNumId w:val="12"/>
  </w:num>
  <w:num w:numId="5">
    <w:abstractNumId w:val="5"/>
  </w:num>
  <w:num w:numId="6">
    <w:abstractNumId w:val="11"/>
  </w:num>
  <w:num w:numId="7">
    <w:abstractNumId w:val="11"/>
  </w:num>
  <w:num w:numId="8">
    <w:abstractNumId w:val="11"/>
  </w:num>
  <w:num w:numId="9">
    <w:abstractNumId w:val="3"/>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0"/>
  </w:num>
  <w:num w:numId="17">
    <w:abstractNumId w:val="11"/>
  </w:num>
  <w:num w:numId="18">
    <w:abstractNumId w:val="11"/>
  </w:num>
  <w:num w:numId="19">
    <w:abstractNumId w:val="1"/>
  </w:num>
  <w:num w:numId="20">
    <w:abstractNumId w:val="14"/>
  </w:num>
  <w:num w:numId="21">
    <w:abstractNumId w:val="9"/>
  </w:num>
  <w:num w:numId="22">
    <w:abstractNumId w:val="4"/>
  </w:num>
  <w:num w:numId="23">
    <w:abstractNumId w:val="11"/>
  </w:num>
  <w:num w:numId="24">
    <w:abstractNumId w:val="8"/>
  </w:num>
  <w:num w:numId="25">
    <w:abstractNumId w:val="2"/>
  </w:num>
  <w:num w:numId="26">
    <w:abstractNumId w:val="0"/>
  </w:num>
  <w:num w:numId="27">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e-DE" w:vendorID="64" w:dllVersion="6" w:nlCheck="1" w:checkStyle="0"/>
  <w:activeWritingStyle w:appName="MSWord" w:lang="de-A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de-AT" w:vendorID="64" w:dllVersion="0" w:nlCheck="1" w:checkStyle="0"/>
  <w:proofState w:spelling="clean" w:grammar="clean"/>
  <w:defaultTabStop w:val="708"/>
  <w:autoHyphenation/>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F37"/>
    <w:rsid w:val="00000F84"/>
    <w:rsid w:val="00001F67"/>
    <w:rsid w:val="00002F2A"/>
    <w:rsid w:val="00005434"/>
    <w:rsid w:val="00006969"/>
    <w:rsid w:val="00006AC2"/>
    <w:rsid w:val="00007C90"/>
    <w:rsid w:val="00010310"/>
    <w:rsid w:val="000106BD"/>
    <w:rsid w:val="00011CAB"/>
    <w:rsid w:val="0002228F"/>
    <w:rsid w:val="0003333F"/>
    <w:rsid w:val="0003642B"/>
    <w:rsid w:val="00036AD5"/>
    <w:rsid w:val="00036E28"/>
    <w:rsid w:val="00041463"/>
    <w:rsid w:val="00041C5E"/>
    <w:rsid w:val="00041DD2"/>
    <w:rsid w:val="0004405C"/>
    <w:rsid w:val="0004645D"/>
    <w:rsid w:val="00052333"/>
    <w:rsid w:val="000526EF"/>
    <w:rsid w:val="00053F82"/>
    <w:rsid w:val="00054624"/>
    <w:rsid w:val="000549B0"/>
    <w:rsid w:val="0005660D"/>
    <w:rsid w:val="00060623"/>
    <w:rsid w:val="000644E8"/>
    <w:rsid w:val="00064F35"/>
    <w:rsid w:val="000707C1"/>
    <w:rsid w:val="0007252C"/>
    <w:rsid w:val="00072698"/>
    <w:rsid w:val="00077633"/>
    <w:rsid w:val="0008146E"/>
    <w:rsid w:val="00081DD4"/>
    <w:rsid w:val="0008243D"/>
    <w:rsid w:val="000861E8"/>
    <w:rsid w:val="00094A4E"/>
    <w:rsid w:val="000975A1"/>
    <w:rsid w:val="000A39D9"/>
    <w:rsid w:val="000B144B"/>
    <w:rsid w:val="000B278D"/>
    <w:rsid w:val="000B3C59"/>
    <w:rsid w:val="000B4A81"/>
    <w:rsid w:val="000B6C24"/>
    <w:rsid w:val="000C30AA"/>
    <w:rsid w:val="000C3EEC"/>
    <w:rsid w:val="000D0BE5"/>
    <w:rsid w:val="000D3EA8"/>
    <w:rsid w:val="000E4255"/>
    <w:rsid w:val="000E5878"/>
    <w:rsid w:val="000E7FCB"/>
    <w:rsid w:val="000F1A1C"/>
    <w:rsid w:val="000F51AD"/>
    <w:rsid w:val="001020AD"/>
    <w:rsid w:val="001032EA"/>
    <w:rsid w:val="00104659"/>
    <w:rsid w:val="00110353"/>
    <w:rsid w:val="00111622"/>
    <w:rsid w:val="001119BC"/>
    <w:rsid w:val="00113E5B"/>
    <w:rsid w:val="00116A7C"/>
    <w:rsid w:val="00117F76"/>
    <w:rsid w:val="001219E6"/>
    <w:rsid w:val="001222E4"/>
    <w:rsid w:val="00123A7E"/>
    <w:rsid w:val="00124E52"/>
    <w:rsid w:val="001266E5"/>
    <w:rsid w:val="0012789D"/>
    <w:rsid w:val="00130732"/>
    <w:rsid w:val="00131151"/>
    <w:rsid w:val="001345C6"/>
    <w:rsid w:val="00135BD9"/>
    <w:rsid w:val="0014140D"/>
    <w:rsid w:val="00141C2D"/>
    <w:rsid w:val="00141F18"/>
    <w:rsid w:val="001421B3"/>
    <w:rsid w:val="001425E5"/>
    <w:rsid w:val="00142DB4"/>
    <w:rsid w:val="001453BD"/>
    <w:rsid w:val="00145DC8"/>
    <w:rsid w:val="001521D9"/>
    <w:rsid w:val="00152918"/>
    <w:rsid w:val="00155CE0"/>
    <w:rsid w:val="0015621C"/>
    <w:rsid w:val="001578BF"/>
    <w:rsid w:val="00160E50"/>
    <w:rsid w:val="00161D5A"/>
    <w:rsid w:val="001662BE"/>
    <w:rsid w:val="001672A9"/>
    <w:rsid w:val="001703BD"/>
    <w:rsid w:val="0017399B"/>
    <w:rsid w:val="00176425"/>
    <w:rsid w:val="001777E3"/>
    <w:rsid w:val="001819F6"/>
    <w:rsid w:val="001904B1"/>
    <w:rsid w:val="00193152"/>
    <w:rsid w:val="001A0338"/>
    <w:rsid w:val="001A0574"/>
    <w:rsid w:val="001A6320"/>
    <w:rsid w:val="001B0BCB"/>
    <w:rsid w:val="001B1438"/>
    <w:rsid w:val="001B322C"/>
    <w:rsid w:val="001B3AEE"/>
    <w:rsid w:val="001B3EC6"/>
    <w:rsid w:val="001B771A"/>
    <w:rsid w:val="001C07F9"/>
    <w:rsid w:val="001C3BF9"/>
    <w:rsid w:val="001C48A1"/>
    <w:rsid w:val="001C53C4"/>
    <w:rsid w:val="001D3BA0"/>
    <w:rsid w:val="001E0026"/>
    <w:rsid w:val="001E48A5"/>
    <w:rsid w:val="001E6AAF"/>
    <w:rsid w:val="00205BF1"/>
    <w:rsid w:val="00207044"/>
    <w:rsid w:val="00207AA7"/>
    <w:rsid w:val="00210E22"/>
    <w:rsid w:val="00214023"/>
    <w:rsid w:val="00214416"/>
    <w:rsid w:val="00217D43"/>
    <w:rsid w:val="00220E37"/>
    <w:rsid w:val="00221D1B"/>
    <w:rsid w:val="002270B0"/>
    <w:rsid w:val="00227212"/>
    <w:rsid w:val="00227DEC"/>
    <w:rsid w:val="00227EF0"/>
    <w:rsid w:val="00231A97"/>
    <w:rsid w:val="00231CBB"/>
    <w:rsid w:val="00233E47"/>
    <w:rsid w:val="00233E95"/>
    <w:rsid w:val="0023785A"/>
    <w:rsid w:val="00240032"/>
    <w:rsid w:val="002405C0"/>
    <w:rsid w:val="0024140C"/>
    <w:rsid w:val="00244D83"/>
    <w:rsid w:val="0024761D"/>
    <w:rsid w:val="00250F5E"/>
    <w:rsid w:val="0025136C"/>
    <w:rsid w:val="002518E2"/>
    <w:rsid w:val="002518F1"/>
    <w:rsid w:val="002537E9"/>
    <w:rsid w:val="0025700C"/>
    <w:rsid w:val="00264147"/>
    <w:rsid w:val="00264351"/>
    <w:rsid w:val="00266735"/>
    <w:rsid w:val="00277916"/>
    <w:rsid w:val="002834A4"/>
    <w:rsid w:val="00286B3B"/>
    <w:rsid w:val="00292022"/>
    <w:rsid w:val="002962A9"/>
    <w:rsid w:val="002A1BC0"/>
    <w:rsid w:val="002A6420"/>
    <w:rsid w:val="002B055A"/>
    <w:rsid w:val="002B1B1D"/>
    <w:rsid w:val="002B4737"/>
    <w:rsid w:val="002C11E4"/>
    <w:rsid w:val="002C4109"/>
    <w:rsid w:val="002C63B2"/>
    <w:rsid w:val="002D2E71"/>
    <w:rsid w:val="002D4EB7"/>
    <w:rsid w:val="002D7331"/>
    <w:rsid w:val="002D7D95"/>
    <w:rsid w:val="002E2034"/>
    <w:rsid w:val="002E33C6"/>
    <w:rsid w:val="002E3627"/>
    <w:rsid w:val="002E487B"/>
    <w:rsid w:val="002E626F"/>
    <w:rsid w:val="002F2D68"/>
    <w:rsid w:val="002F4906"/>
    <w:rsid w:val="002F7049"/>
    <w:rsid w:val="002F7882"/>
    <w:rsid w:val="003050B3"/>
    <w:rsid w:val="0030581A"/>
    <w:rsid w:val="003079CC"/>
    <w:rsid w:val="00307A60"/>
    <w:rsid w:val="00315276"/>
    <w:rsid w:val="00320EB3"/>
    <w:rsid w:val="00320EFA"/>
    <w:rsid w:val="003231AB"/>
    <w:rsid w:val="00325E39"/>
    <w:rsid w:val="003311EE"/>
    <w:rsid w:val="003356D5"/>
    <w:rsid w:val="003408A1"/>
    <w:rsid w:val="00342EF8"/>
    <w:rsid w:val="00344683"/>
    <w:rsid w:val="00345F4C"/>
    <w:rsid w:val="00346521"/>
    <w:rsid w:val="003510C7"/>
    <w:rsid w:val="00352F8A"/>
    <w:rsid w:val="00353CDA"/>
    <w:rsid w:val="00356B92"/>
    <w:rsid w:val="00360BAD"/>
    <w:rsid w:val="00361A4B"/>
    <w:rsid w:val="0036260B"/>
    <w:rsid w:val="00363B49"/>
    <w:rsid w:val="003644FF"/>
    <w:rsid w:val="00365094"/>
    <w:rsid w:val="0037396C"/>
    <w:rsid w:val="00374178"/>
    <w:rsid w:val="00375DF8"/>
    <w:rsid w:val="003839D6"/>
    <w:rsid w:val="0038574E"/>
    <w:rsid w:val="003917AA"/>
    <w:rsid w:val="003962B2"/>
    <w:rsid w:val="003A317A"/>
    <w:rsid w:val="003A6982"/>
    <w:rsid w:val="003B00A8"/>
    <w:rsid w:val="003B0234"/>
    <w:rsid w:val="003B6B50"/>
    <w:rsid w:val="003B76A6"/>
    <w:rsid w:val="003B76AD"/>
    <w:rsid w:val="003C0D0C"/>
    <w:rsid w:val="003C4BDD"/>
    <w:rsid w:val="003C5E04"/>
    <w:rsid w:val="003D7DD8"/>
    <w:rsid w:val="003E00AC"/>
    <w:rsid w:val="003E41AC"/>
    <w:rsid w:val="003E4946"/>
    <w:rsid w:val="003E6589"/>
    <w:rsid w:val="003F639C"/>
    <w:rsid w:val="003F7B6B"/>
    <w:rsid w:val="004012DB"/>
    <w:rsid w:val="00401EE1"/>
    <w:rsid w:val="004062BC"/>
    <w:rsid w:val="00411B05"/>
    <w:rsid w:val="00414246"/>
    <w:rsid w:val="00414CA4"/>
    <w:rsid w:val="00420D99"/>
    <w:rsid w:val="004216F7"/>
    <w:rsid w:val="0042172F"/>
    <w:rsid w:val="0042448B"/>
    <w:rsid w:val="0042489B"/>
    <w:rsid w:val="004268A5"/>
    <w:rsid w:val="00430543"/>
    <w:rsid w:val="00432916"/>
    <w:rsid w:val="00433F49"/>
    <w:rsid w:val="004361D4"/>
    <w:rsid w:val="00441926"/>
    <w:rsid w:val="00442364"/>
    <w:rsid w:val="0044248D"/>
    <w:rsid w:val="004457EE"/>
    <w:rsid w:val="00456773"/>
    <w:rsid w:val="0045731F"/>
    <w:rsid w:val="00464C69"/>
    <w:rsid w:val="00465A53"/>
    <w:rsid w:val="00466C6B"/>
    <w:rsid w:val="00467FA3"/>
    <w:rsid w:val="004700E8"/>
    <w:rsid w:val="0047383C"/>
    <w:rsid w:val="00474946"/>
    <w:rsid w:val="0047514A"/>
    <w:rsid w:val="00480C9A"/>
    <w:rsid w:val="00490EEE"/>
    <w:rsid w:val="004921EB"/>
    <w:rsid w:val="00493CAD"/>
    <w:rsid w:val="004948EC"/>
    <w:rsid w:val="00494E62"/>
    <w:rsid w:val="00495103"/>
    <w:rsid w:val="004957A1"/>
    <w:rsid w:val="004A1B32"/>
    <w:rsid w:val="004A3BBD"/>
    <w:rsid w:val="004A445F"/>
    <w:rsid w:val="004A4E77"/>
    <w:rsid w:val="004B071B"/>
    <w:rsid w:val="004B3C7B"/>
    <w:rsid w:val="004B4F88"/>
    <w:rsid w:val="004B673F"/>
    <w:rsid w:val="004C0D60"/>
    <w:rsid w:val="004C3B8D"/>
    <w:rsid w:val="004C4EB8"/>
    <w:rsid w:val="004C7259"/>
    <w:rsid w:val="004C79F3"/>
    <w:rsid w:val="004D0B77"/>
    <w:rsid w:val="004D6350"/>
    <w:rsid w:val="004D7DA4"/>
    <w:rsid w:val="004E4201"/>
    <w:rsid w:val="004E5DE8"/>
    <w:rsid w:val="004E6030"/>
    <w:rsid w:val="004E74C2"/>
    <w:rsid w:val="004F22DA"/>
    <w:rsid w:val="004F2555"/>
    <w:rsid w:val="004F3732"/>
    <w:rsid w:val="004F536E"/>
    <w:rsid w:val="004F5921"/>
    <w:rsid w:val="004F7CC1"/>
    <w:rsid w:val="004F7EA8"/>
    <w:rsid w:val="00500021"/>
    <w:rsid w:val="00500224"/>
    <w:rsid w:val="00502644"/>
    <w:rsid w:val="005031EC"/>
    <w:rsid w:val="00504E0C"/>
    <w:rsid w:val="005054C5"/>
    <w:rsid w:val="00505CB7"/>
    <w:rsid w:val="00507628"/>
    <w:rsid w:val="0051234B"/>
    <w:rsid w:val="00513129"/>
    <w:rsid w:val="005142F2"/>
    <w:rsid w:val="0051435C"/>
    <w:rsid w:val="00520396"/>
    <w:rsid w:val="0052385C"/>
    <w:rsid w:val="005238F5"/>
    <w:rsid w:val="0052722D"/>
    <w:rsid w:val="005309B3"/>
    <w:rsid w:val="00532CD1"/>
    <w:rsid w:val="00533805"/>
    <w:rsid w:val="005338FF"/>
    <w:rsid w:val="0053492E"/>
    <w:rsid w:val="00545BA2"/>
    <w:rsid w:val="0054723A"/>
    <w:rsid w:val="00547CD6"/>
    <w:rsid w:val="00550A98"/>
    <w:rsid w:val="00561C72"/>
    <w:rsid w:val="00561F73"/>
    <w:rsid w:val="005652DC"/>
    <w:rsid w:val="005655AE"/>
    <w:rsid w:val="005701B3"/>
    <w:rsid w:val="00572668"/>
    <w:rsid w:val="00581FF9"/>
    <w:rsid w:val="00582739"/>
    <w:rsid w:val="00583C10"/>
    <w:rsid w:val="0058488F"/>
    <w:rsid w:val="00586007"/>
    <w:rsid w:val="0059494A"/>
    <w:rsid w:val="005968BF"/>
    <w:rsid w:val="005977AA"/>
    <w:rsid w:val="005A4B79"/>
    <w:rsid w:val="005A6389"/>
    <w:rsid w:val="005B5C30"/>
    <w:rsid w:val="005C0198"/>
    <w:rsid w:val="005C01E9"/>
    <w:rsid w:val="005C05DF"/>
    <w:rsid w:val="005C646E"/>
    <w:rsid w:val="005C693A"/>
    <w:rsid w:val="005D148A"/>
    <w:rsid w:val="005D1C85"/>
    <w:rsid w:val="005D76CD"/>
    <w:rsid w:val="005E007A"/>
    <w:rsid w:val="005E2204"/>
    <w:rsid w:val="005E5A48"/>
    <w:rsid w:val="005E602D"/>
    <w:rsid w:val="005E61BF"/>
    <w:rsid w:val="005E7F2B"/>
    <w:rsid w:val="005F309E"/>
    <w:rsid w:val="005F3A80"/>
    <w:rsid w:val="005F5547"/>
    <w:rsid w:val="005F5AA4"/>
    <w:rsid w:val="005F7627"/>
    <w:rsid w:val="00600023"/>
    <w:rsid w:val="00601579"/>
    <w:rsid w:val="00603481"/>
    <w:rsid w:val="00603B8B"/>
    <w:rsid w:val="00603C09"/>
    <w:rsid w:val="00605960"/>
    <w:rsid w:val="00605FE4"/>
    <w:rsid w:val="00610BC3"/>
    <w:rsid w:val="006115EF"/>
    <w:rsid w:val="0061216F"/>
    <w:rsid w:val="00612B18"/>
    <w:rsid w:val="00612F56"/>
    <w:rsid w:val="00622B6A"/>
    <w:rsid w:val="00625F6B"/>
    <w:rsid w:val="006277F9"/>
    <w:rsid w:val="00627CF3"/>
    <w:rsid w:val="00630EE6"/>
    <w:rsid w:val="00630FE8"/>
    <w:rsid w:val="00631237"/>
    <w:rsid w:val="00632E2B"/>
    <w:rsid w:val="0063377E"/>
    <w:rsid w:val="00633B36"/>
    <w:rsid w:val="00636605"/>
    <w:rsid w:val="006401A8"/>
    <w:rsid w:val="006456B8"/>
    <w:rsid w:val="00647F5E"/>
    <w:rsid w:val="00650162"/>
    <w:rsid w:val="00654D59"/>
    <w:rsid w:val="00655233"/>
    <w:rsid w:val="00670864"/>
    <w:rsid w:val="006761D7"/>
    <w:rsid w:val="006776C6"/>
    <w:rsid w:val="006814F9"/>
    <w:rsid w:val="00682152"/>
    <w:rsid w:val="00686F4D"/>
    <w:rsid w:val="00690E29"/>
    <w:rsid w:val="00691018"/>
    <w:rsid w:val="00692B7D"/>
    <w:rsid w:val="00694471"/>
    <w:rsid w:val="0069498B"/>
    <w:rsid w:val="00694C4E"/>
    <w:rsid w:val="00695FB0"/>
    <w:rsid w:val="00697B5F"/>
    <w:rsid w:val="006A087C"/>
    <w:rsid w:val="006B2303"/>
    <w:rsid w:val="006B358A"/>
    <w:rsid w:val="006B4ACD"/>
    <w:rsid w:val="006B5977"/>
    <w:rsid w:val="006B59DE"/>
    <w:rsid w:val="006C0DF4"/>
    <w:rsid w:val="006C156D"/>
    <w:rsid w:val="006C54E2"/>
    <w:rsid w:val="006D17CA"/>
    <w:rsid w:val="006D4008"/>
    <w:rsid w:val="006D7C6C"/>
    <w:rsid w:val="006E0A4E"/>
    <w:rsid w:val="006E4143"/>
    <w:rsid w:val="006E6C92"/>
    <w:rsid w:val="006F574D"/>
    <w:rsid w:val="006F59E5"/>
    <w:rsid w:val="006F7985"/>
    <w:rsid w:val="00700B9B"/>
    <w:rsid w:val="00702E66"/>
    <w:rsid w:val="007038C3"/>
    <w:rsid w:val="0070675B"/>
    <w:rsid w:val="00712EA6"/>
    <w:rsid w:val="007147FF"/>
    <w:rsid w:val="00722426"/>
    <w:rsid w:val="0072268F"/>
    <w:rsid w:val="007257FC"/>
    <w:rsid w:val="00735E03"/>
    <w:rsid w:val="00737E82"/>
    <w:rsid w:val="00741B90"/>
    <w:rsid w:val="00751CEF"/>
    <w:rsid w:val="0075488E"/>
    <w:rsid w:val="00755FCB"/>
    <w:rsid w:val="00761436"/>
    <w:rsid w:val="00764165"/>
    <w:rsid w:val="00764878"/>
    <w:rsid w:val="007721F2"/>
    <w:rsid w:val="0077708F"/>
    <w:rsid w:val="00782EDE"/>
    <w:rsid w:val="007905D2"/>
    <w:rsid w:val="00791A9A"/>
    <w:rsid w:val="007968D4"/>
    <w:rsid w:val="007A173D"/>
    <w:rsid w:val="007A20AD"/>
    <w:rsid w:val="007A382E"/>
    <w:rsid w:val="007A6729"/>
    <w:rsid w:val="007B0EB9"/>
    <w:rsid w:val="007B1C26"/>
    <w:rsid w:val="007B3ADF"/>
    <w:rsid w:val="007B3FA0"/>
    <w:rsid w:val="007B45B9"/>
    <w:rsid w:val="007B58B9"/>
    <w:rsid w:val="007B6654"/>
    <w:rsid w:val="007B6F0A"/>
    <w:rsid w:val="007C46A3"/>
    <w:rsid w:val="007D129E"/>
    <w:rsid w:val="007D2D02"/>
    <w:rsid w:val="007D40B5"/>
    <w:rsid w:val="007D4A85"/>
    <w:rsid w:val="007D6EF4"/>
    <w:rsid w:val="007D75AB"/>
    <w:rsid w:val="007E3164"/>
    <w:rsid w:val="007E3C19"/>
    <w:rsid w:val="007E47B8"/>
    <w:rsid w:val="007E556D"/>
    <w:rsid w:val="007F360C"/>
    <w:rsid w:val="008044DD"/>
    <w:rsid w:val="00805B13"/>
    <w:rsid w:val="008063E4"/>
    <w:rsid w:val="00807179"/>
    <w:rsid w:val="008073CC"/>
    <w:rsid w:val="00810C15"/>
    <w:rsid w:val="008243DC"/>
    <w:rsid w:val="008247A9"/>
    <w:rsid w:val="00826CD3"/>
    <w:rsid w:val="00833564"/>
    <w:rsid w:val="00835A05"/>
    <w:rsid w:val="0083708A"/>
    <w:rsid w:val="008373B9"/>
    <w:rsid w:val="0084221E"/>
    <w:rsid w:val="00843891"/>
    <w:rsid w:val="00854BF1"/>
    <w:rsid w:val="008555A4"/>
    <w:rsid w:val="008569E0"/>
    <w:rsid w:val="00856BCB"/>
    <w:rsid w:val="008577C4"/>
    <w:rsid w:val="00857F3A"/>
    <w:rsid w:val="008601E2"/>
    <w:rsid w:val="00860B29"/>
    <w:rsid w:val="00861EAA"/>
    <w:rsid w:val="0086236F"/>
    <w:rsid w:val="00866B07"/>
    <w:rsid w:val="00867EA8"/>
    <w:rsid w:val="00872887"/>
    <w:rsid w:val="00874A0E"/>
    <w:rsid w:val="0087572E"/>
    <w:rsid w:val="00876185"/>
    <w:rsid w:val="0088120D"/>
    <w:rsid w:val="00884B79"/>
    <w:rsid w:val="0089092D"/>
    <w:rsid w:val="0089181F"/>
    <w:rsid w:val="008933AC"/>
    <w:rsid w:val="008A07D1"/>
    <w:rsid w:val="008A140C"/>
    <w:rsid w:val="008A3F32"/>
    <w:rsid w:val="008B0EF6"/>
    <w:rsid w:val="008B1049"/>
    <w:rsid w:val="008B2FF6"/>
    <w:rsid w:val="008B3CD8"/>
    <w:rsid w:val="008B4219"/>
    <w:rsid w:val="008B727D"/>
    <w:rsid w:val="008B79F7"/>
    <w:rsid w:val="008C7A37"/>
    <w:rsid w:val="008D049B"/>
    <w:rsid w:val="008D3250"/>
    <w:rsid w:val="008D356F"/>
    <w:rsid w:val="008D437F"/>
    <w:rsid w:val="008D461D"/>
    <w:rsid w:val="008D47CB"/>
    <w:rsid w:val="008D505D"/>
    <w:rsid w:val="008D65FD"/>
    <w:rsid w:val="008D6C2A"/>
    <w:rsid w:val="008D716D"/>
    <w:rsid w:val="008E1253"/>
    <w:rsid w:val="008E1ED1"/>
    <w:rsid w:val="008E49CF"/>
    <w:rsid w:val="008E7751"/>
    <w:rsid w:val="008F0AB6"/>
    <w:rsid w:val="008F0E6D"/>
    <w:rsid w:val="008F142C"/>
    <w:rsid w:val="008F17F5"/>
    <w:rsid w:val="008F36C3"/>
    <w:rsid w:val="008F7577"/>
    <w:rsid w:val="008F7AD1"/>
    <w:rsid w:val="00901918"/>
    <w:rsid w:val="0090400E"/>
    <w:rsid w:val="00912297"/>
    <w:rsid w:val="0092256D"/>
    <w:rsid w:val="009236C8"/>
    <w:rsid w:val="00924507"/>
    <w:rsid w:val="009250D5"/>
    <w:rsid w:val="0092659A"/>
    <w:rsid w:val="00930A4C"/>
    <w:rsid w:val="00931148"/>
    <w:rsid w:val="009323C2"/>
    <w:rsid w:val="0093411B"/>
    <w:rsid w:val="00935917"/>
    <w:rsid w:val="009371E9"/>
    <w:rsid w:val="009425C2"/>
    <w:rsid w:val="00955FFD"/>
    <w:rsid w:val="00956ED8"/>
    <w:rsid w:val="009573D1"/>
    <w:rsid w:val="0096615D"/>
    <w:rsid w:val="009672F2"/>
    <w:rsid w:val="009717D3"/>
    <w:rsid w:val="00974B09"/>
    <w:rsid w:val="0097621E"/>
    <w:rsid w:val="00981119"/>
    <w:rsid w:val="00982057"/>
    <w:rsid w:val="00982627"/>
    <w:rsid w:val="00991263"/>
    <w:rsid w:val="00991494"/>
    <w:rsid w:val="00991DFF"/>
    <w:rsid w:val="0099357A"/>
    <w:rsid w:val="0099675C"/>
    <w:rsid w:val="009A2EE0"/>
    <w:rsid w:val="009A375D"/>
    <w:rsid w:val="009A3F35"/>
    <w:rsid w:val="009A3FFD"/>
    <w:rsid w:val="009A46F2"/>
    <w:rsid w:val="009A502A"/>
    <w:rsid w:val="009B2234"/>
    <w:rsid w:val="009B4AC0"/>
    <w:rsid w:val="009B51AC"/>
    <w:rsid w:val="009B5692"/>
    <w:rsid w:val="009B611B"/>
    <w:rsid w:val="009C5ABB"/>
    <w:rsid w:val="009C7788"/>
    <w:rsid w:val="009D015F"/>
    <w:rsid w:val="009D14FA"/>
    <w:rsid w:val="009D169F"/>
    <w:rsid w:val="009D6F37"/>
    <w:rsid w:val="009E08F8"/>
    <w:rsid w:val="009E1749"/>
    <w:rsid w:val="009E2598"/>
    <w:rsid w:val="009F00D3"/>
    <w:rsid w:val="009F14E7"/>
    <w:rsid w:val="009F5643"/>
    <w:rsid w:val="009F784C"/>
    <w:rsid w:val="00A025EA"/>
    <w:rsid w:val="00A11A27"/>
    <w:rsid w:val="00A13CAF"/>
    <w:rsid w:val="00A144D5"/>
    <w:rsid w:val="00A15CCA"/>
    <w:rsid w:val="00A23671"/>
    <w:rsid w:val="00A27B03"/>
    <w:rsid w:val="00A33067"/>
    <w:rsid w:val="00A33A09"/>
    <w:rsid w:val="00A33DFE"/>
    <w:rsid w:val="00A42332"/>
    <w:rsid w:val="00A441D2"/>
    <w:rsid w:val="00A473DC"/>
    <w:rsid w:val="00A522FC"/>
    <w:rsid w:val="00A537A0"/>
    <w:rsid w:val="00A56213"/>
    <w:rsid w:val="00A643D0"/>
    <w:rsid w:val="00A70951"/>
    <w:rsid w:val="00A70BB6"/>
    <w:rsid w:val="00A70BDC"/>
    <w:rsid w:val="00A730D9"/>
    <w:rsid w:val="00A745CC"/>
    <w:rsid w:val="00A804DA"/>
    <w:rsid w:val="00A8095A"/>
    <w:rsid w:val="00A81E2A"/>
    <w:rsid w:val="00A82DD6"/>
    <w:rsid w:val="00A861E7"/>
    <w:rsid w:val="00A958D8"/>
    <w:rsid w:val="00AA065E"/>
    <w:rsid w:val="00AA13F0"/>
    <w:rsid w:val="00AA5542"/>
    <w:rsid w:val="00AA5F82"/>
    <w:rsid w:val="00AA64EF"/>
    <w:rsid w:val="00AA74A5"/>
    <w:rsid w:val="00AB09C5"/>
    <w:rsid w:val="00AB131C"/>
    <w:rsid w:val="00AB17C8"/>
    <w:rsid w:val="00AB54F5"/>
    <w:rsid w:val="00AC245D"/>
    <w:rsid w:val="00AC3C28"/>
    <w:rsid w:val="00AC44EF"/>
    <w:rsid w:val="00AC4DBC"/>
    <w:rsid w:val="00AC6854"/>
    <w:rsid w:val="00AD0086"/>
    <w:rsid w:val="00AD55AB"/>
    <w:rsid w:val="00AD5875"/>
    <w:rsid w:val="00AE1BB5"/>
    <w:rsid w:val="00AE4B26"/>
    <w:rsid w:val="00AF0B11"/>
    <w:rsid w:val="00AF2D03"/>
    <w:rsid w:val="00AF366E"/>
    <w:rsid w:val="00AF44F1"/>
    <w:rsid w:val="00AF6D79"/>
    <w:rsid w:val="00AF7C07"/>
    <w:rsid w:val="00B02E8B"/>
    <w:rsid w:val="00B02EFC"/>
    <w:rsid w:val="00B05196"/>
    <w:rsid w:val="00B05773"/>
    <w:rsid w:val="00B07C57"/>
    <w:rsid w:val="00B10018"/>
    <w:rsid w:val="00B1036A"/>
    <w:rsid w:val="00B11F94"/>
    <w:rsid w:val="00B127CA"/>
    <w:rsid w:val="00B21EE0"/>
    <w:rsid w:val="00B221F2"/>
    <w:rsid w:val="00B22F53"/>
    <w:rsid w:val="00B27DA2"/>
    <w:rsid w:val="00B37F2A"/>
    <w:rsid w:val="00B413DB"/>
    <w:rsid w:val="00B41AF0"/>
    <w:rsid w:val="00B42491"/>
    <w:rsid w:val="00B42C3F"/>
    <w:rsid w:val="00B44675"/>
    <w:rsid w:val="00B44D1A"/>
    <w:rsid w:val="00B519F3"/>
    <w:rsid w:val="00B612E2"/>
    <w:rsid w:val="00B6310B"/>
    <w:rsid w:val="00B647BA"/>
    <w:rsid w:val="00B669A0"/>
    <w:rsid w:val="00B6736A"/>
    <w:rsid w:val="00B67C87"/>
    <w:rsid w:val="00B7695D"/>
    <w:rsid w:val="00B77129"/>
    <w:rsid w:val="00B825A4"/>
    <w:rsid w:val="00B850A9"/>
    <w:rsid w:val="00B8601B"/>
    <w:rsid w:val="00B928DE"/>
    <w:rsid w:val="00B92F72"/>
    <w:rsid w:val="00B97FC2"/>
    <w:rsid w:val="00BA2144"/>
    <w:rsid w:val="00BA2277"/>
    <w:rsid w:val="00BA41A0"/>
    <w:rsid w:val="00BA5BDE"/>
    <w:rsid w:val="00BB2279"/>
    <w:rsid w:val="00BB5BE8"/>
    <w:rsid w:val="00BC0286"/>
    <w:rsid w:val="00BC760A"/>
    <w:rsid w:val="00BD1974"/>
    <w:rsid w:val="00BD3999"/>
    <w:rsid w:val="00BD7A8E"/>
    <w:rsid w:val="00BE5659"/>
    <w:rsid w:val="00C0297B"/>
    <w:rsid w:val="00C0371C"/>
    <w:rsid w:val="00C043D9"/>
    <w:rsid w:val="00C1688F"/>
    <w:rsid w:val="00C2599B"/>
    <w:rsid w:val="00C26EBC"/>
    <w:rsid w:val="00C27C8B"/>
    <w:rsid w:val="00C27F8E"/>
    <w:rsid w:val="00C350C6"/>
    <w:rsid w:val="00C3792C"/>
    <w:rsid w:val="00C432DE"/>
    <w:rsid w:val="00C44C21"/>
    <w:rsid w:val="00C50ABB"/>
    <w:rsid w:val="00C5183E"/>
    <w:rsid w:val="00C53C26"/>
    <w:rsid w:val="00C61027"/>
    <w:rsid w:val="00C65EDF"/>
    <w:rsid w:val="00C6670B"/>
    <w:rsid w:val="00C731BC"/>
    <w:rsid w:val="00C73922"/>
    <w:rsid w:val="00C8151E"/>
    <w:rsid w:val="00C81616"/>
    <w:rsid w:val="00C86218"/>
    <w:rsid w:val="00CA15DA"/>
    <w:rsid w:val="00CA1728"/>
    <w:rsid w:val="00CA25DC"/>
    <w:rsid w:val="00CB1564"/>
    <w:rsid w:val="00CB6CD3"/>
    <w:rsid w:val="00CB7D22"/>
    <w:rsid w:val="00CD0CBC"/>
    <w:rsid w:val="00CD26B1"/>
    <w:rsid w:val="00CD4292"/>
    <w:rsid w:val="00CD4F7A"/>
    <w:rsid w:val="00CE3457"/>
    <w:rsid w:val="00CE39D7"/>
    <w:rsid w:val="00CE3FA5"/>
    <w:rsid w:val="00CE4C26"/>
    <w:rsid w:val="00CE5400"/>
    <w:rsid w:val="00CF2BBF"/>
    <w:rsid w:val="00CF3ACD"/>
    <w:rsid w:val="00CF5524"/>
    <w:rsid w:val="00CF599D"/>
    <w:rsid w:val="00D121E3"/>
    <w:rsid w:val="00D12856"/>
    <w:rsid w:val="00D12BE2"/>
    <w:rsid w:val="00D13373"/>
    <w:rsid w:val="00D13E45"/>
    <w:rsid w:val="00D1414B"/>
    <w:rsid w:val="00D14A42"/>
    <w:rsid w:val="00D17974"/>
    <w:rsid w:val="00D205B5"/>
    <w:rsid w:val="00D30BFF"/>
    <w:rsid w:val="00D36B42"/>
    <w:rsid w:val="00D36DB2"/>
    <w:rsid w:val="00D37126"/>
    <w:rsid w:val="00D37FD8"/>
    <w:rsid w:val="00D43186"/>
    <w:rsid w:val="00D43E2E"/>
    <w:rsid w:val="00D4564D"/>
    <w:rsid w:val="00D45F22"/>
    <w:rsid w:val="00D5041E"/>
    <w:rsid w:val="00D53231"/>
    <w:rsid w:val="00D53891"/>
    <w:rsid w:val="00D53E20"/>
    <w:rsid w:val="00D54781"/>
    <w:rsid w:val="00D549BC"/>
    <w:rsid w:val="00D61F93"/>
    <w:rsid w:val="00D6231E"/>
    <w:rsid w:val="00D62F6E"/>
    <w:rsid w:val="00D63340"/>
    <w:rsid w:val="00D65912"/>
    <w:rsid w:val="00D65E57"/>
    <w:rsid w:val="00D72292"/>
    <w:rsid w:val="00D8481C"/>
    <w:rsid w:val="00D84E82"/>
    <w:rsid w:val="00D85964"/>
    <w:rsid w:val="00D85C07"/>
    <w:rsid w:val="00D90EE4"/>
    <w:rsid w:val="00D93FC8"/>
    <w:rsid w:val="00D94A03"/>
    <w:rsid w:val="00D95BE0"/>
    <w:rsid w:val="00D96E4C"/>
    <w:rsid w:val="00DA2C96"/>
    <w:rsid w:val="00DA6706"/>
    <w:rsid w:val="00DA7631"/>
    <w:rsid w:val="00DA78D4"/>
    <w:rsid w:val="00DB01BC"/>
    <w:rsid w:val="00DB17C9"/>
    <w:rsid w:val="00DB218E"/>
    <w:rsid w:val="00DB3DFE"/>
    <w:rsid w:val="00DB4630"/>
    <w:rsid w:val="00DB565C"/>
    <w:rsid w:val="00DB656E"/>
    <w:rsid w:val="00DB69EE"/>
    <w:rsid w:val="00DB6A23"/>
    <w:rsid w:val="00DC0517"/>
    <w:rsid w:val="00DC05D5"/>
    <w:rsid w:val="00DC1A67"/>
    <w:rsid w:val="00DC2137"/>
    <w:rsid w:val="00DC301E"/>
    <w:rsid w:val="00DC5149"/>
    <w:rsid w:val="00DC54BE"/>
    <w:rsid w:val="00DD18F8"/>
    <w:rsid w:val="00DD3AF2"/>
    <w:rsid w:val="00DD62A3"/>
    <w:rsid w:val="00DD7478"/>
    <w:rsid w:val="00DE0D05"/>
    <w:rsid w:val="00DE2700"/>
    <w:rsid w:val="00DE3C6F"/>
    <w:rsid w:val="00DE3D66"/>
    <w:rsid w:val="00DE4EDF"/>
    <w:rsid w:val="00DE61D5"/>
    <w:rsid w:val="00DF2847"/>
    <w:rsid w:val="00DF59AE"/>
    <w:rsid w:val="00DF7CCD"/>
    <w:rsid w:val="00E1186B"/>
    <w:rsid w:val="00E151D1"/>
    <w:rsid w:val="00E1641C"/>
    <w:rsid w:val="00E22C12"/>
    <w:rsid w:val="00E265B5"/>
    <w:rsid w:val="00E34EB6"/>
    <w:rsid w:val="00E35317"/>
    <w:rsid w:val="00E434D0"/>
    <w:rsid w:val="00E469BB"/>
    <w:rsid w:val="00E46E29"/>
    <w:rsid w:val="00E47B8E"/>
    <w:rsid w:val="00E5341B"/>
    <w:rsid w:val="00E55BC5"/>
    <w:rsid w:val="00E60B67"/>
    <w:rsid w:val="00E60B92"/>
    <w:rsid w:val="00E6154F"/>
    <w:rsid w:val="00E6381B"/>
    <w:rsid w:val="00E6412C"/>
    <w:rsid w:val="00E64B3A"/>
    <w:rsid w:val="00E667EA"/>
    <w:rsid w:val="00E676DB"/>
    <w:rsid w:val="00E67B26"/>
    <w:rsid w:val="00E67EBF"/>
    <w:rsid w:val="00E73271"/>
    <w:rsid w:val="00E7393C"/>
    <w:rsid w:val="00E77612"/>
    <w:rsid w:val="00E84B11"/>
    <w:rsid w:val="00E9178C"/>
    <w:rsid w:val="00E975CC"/>
    <w:rsid w:val="00EA01BE"/>
    <w:rsid w:val="00EA60D2"/>
    <w:rsid w:val="00EA63AE"/>
    <w:rsid w:val="00EA6626"/>
    <w:rsid w:val="00EA71BA"/>
    <w:rsid w:val="00EB0C40"/>
    <w:rsid w:val="00EB0C68"/>
    <w:rsid w:val="00EB1C54"/>
    <w:rsid w:val="00EB2787"/>
    <w:rsid w:val="00EB27D5"/>
    <w:rsid w:val="00EC16EB"/>
    <w:rsid w:val="00EC4D45"/>
    <w:rsid w:val="00EC563D"/>
    <w:rsid w:val="00ED62EA"/>
    <w:rsid w:val="00ED70A1"/>
    <w:rsid w:val="00EF0E0D"/>
    <w:rsid w:val="00EF19B1"/>
    <w:rsid w:val="00EF1CF4"/>
    <w:rsid w:val="00EF4B9C"/>
    <w:rsid w:val="00EF5A78"/>
    <w:rsid w:val="00EF5C74"/>
    <w:rsid w:val="00EF7749"/>
    <w:rsid w:val="00F04D20"/>
    <w:rsid w:val="00F131CA"/>
    <w:rsid w:val="00F1570D"/>
    <w:rsid w:val="00F20629"/>
    <w:rsid w:val="00F22863"/>
    <w:rsid w:val="00F244E7"/>
    <w:rsid w:val="00F25F6F"/>
    <w:rsid w:val="00F315F0"/>
    <w:rsid w:val="00F40290"/>
    <w:rsid w:val="00F41681"/>
    <w:rsid w:val="00F4595C"/>
    <w:rsid w:val="00F47782"/>
    <w:rsid w:val="00F47C3F"/>
    <w:rsid w:val="00F503EC"/>
    <w:rsid w:val="00F540E2"/>
    <w:rsid w:val="00F550C5"/>
    <w:rsid w:val="00F57651"/>
    <w:rsid w:val="00F60110"/>
    <w:rsid w:val="00F61B35"/>
    <w:rsid w:val="00F66593"/>
    <w:rsid w:val="00F67959"/>
    <w:rsid w:val="00F72BFD"/>
    <w:rsid w:val="00F754D0"/>
    <w:rsid w:val="00F7613C"/>
    <w:rsid w:val="00F80674"/>
    <w:rsid w:val="00F80827"/>
    <w:rsid w:val="00F825FD"/>
    <w:rsid w:val="00F84026"/>
    <w:rsid w:val="00F87B57"/>
    <w:rsid w:val="00F931CF"/>
    <w:rsid w:val="00F932F0"/>
    <w:rsid w:val="00F93D08"/>
    <w:rsid w:val="00F9692E"/>
    <w:rsid w:val="00FA46FB"/>
    <w:rsid w:val="00FA716B"/>
    <w:rsid w:val="00FA7FC2"/>
    <w:rsid w:val="00FB3940"/>
    <w:rsid w:val="00FB7A56"/>
    <w:rsid w:val="00FB7F80"/>
    <w:rsid w:val="00FC3C8A"/>
    <w:rsid w:val="00FC6360"/>
    <w:rsid w:val="00FC6E19"/>
    <w:rsid w:val="00FD0DA6"/>
    <w:rsid w:val="00FD75D6"/>
    <w:rsid w:val="00FE25D9"/>
    <w:rsid w:val="00FE591E"/>
    <w:rsid w:val="00FF0A29"/>
    <w:rsid w:val="00FF2C11"/>
    <w:rsid w:val="00FF46CF"/>
    <w:rsid w:val="00FF79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75E95B"/>
  <w15:docId w15:val="{07C05A97-6E94-4499-8D9D-765742D0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6F37"/>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D6F37"/>
    <w:pPr>
      <w:tabs>
        <w:tab w:val="center" w:pos="4536"/>
        <w:tab w:val="right" w:pos="9072"/>
      </w:tabs>
    </w:pPr>
  </w:style>
  <w:style w:type="character" w:customStyle="1" w:styleId="KopfzeileZchn">
    <w:name w:val="Kopfzeile Zchn"/>
    <w:basedOn w:val="Absatz-Standardschriftart"/>
    <w:link w:val="Kopfzeile"/>
    <w:rsid w:val="009D6F37"/>
    <w:rPr>
      <w:sz w:val="24"/>
      <w:szCs w:val="24"/>
    </w:rPr>
  </w:style>
  <w:style w:type="character" w:styleId="Seitenzahl">
    <w:name w:val="page number"/>
    <w:basedOn w:val="Absatz-Standardschriftart"/>
    <w:rsid w:val="009D6F37"/>
    <w:rPr>
      <w:rFonts w:ascii="Times New Roman" w:hAnsi="Times New Roman" w:cs="Times New Roman"/>
      <w:sz w:val="16"/>
      <w:szCs w:val="16"/>
    </w:rPr>
  </w:style>
  <w:style w:type="paragraph" w:customStyle="1" w:styleId="EH-1">
    <w:name w:val="EH - Ü1"/>
    <w:basedOn w:val="Standard"/>
    <w:link w:val="EH-1Zchn"/>
    <w:qFormat/>
    <w:rsid w:val="00CF3ACD"/>
    <w:pPr>
      <w:tabs>
        <w:tab w:val="left" w:pos="4900"/>
      </w:tabs>
      <w:spacing w:line="360" w:lineRule="auto"/>
      <w:jc w:val="center"/>
    </w:pPr>
    <w:rPr>
      <w:b/>
      <w:bCs/>
      <w:caps/>
      <w:sz w:val="28"/>
      <w:szCs w:val="28"/>
    </w:rPr>
  </w:style>
  <w:style w:type="character" w:customStyle="1" w:styleId="EH-1Zchn">
    <w:name w:val="EH - Ü1 Zchn"/>
    <w:basedOn w:val="Absatz-Standardschriftart"/>
    <w:link w:val="EH-1"/>
    <w:rsid w:val="00CF3ACD"/>
    <w:rPr>
      <w:b/>
      <w:bCs/>
      <w:caps/>
      <w:sz w:val="28"/>
      <w:szCs w:val="28"/>
    </w:rPr>
  </w:style>
  <w:style w:type="paragraph" w:customStyle="1" w:styleId="EH-2">
    <w:name w:val="EH - Ü2"/>
    <w:basedOn w:val="Standard"/>
    <w:link w:val="EH-2Zchn"/>
    <w:qFormat/>
    <w:rsid w:val="00CF3ACD"/>
    <w:pPr>
      <w:keepNext/>
      <w:numPr>
        <w:numId w:val="1"/>
      </w:numPr>
      <w:spacing w:after="320" w:line="320" w:lineRule="atLeast"/>
      <w:jc w:val="both"/>
    </w:pPr>
    <w:rPr>
      <w:b/>
      <w:bCs/>
    </w:rPr>
  </w:style>
  <w:style w:type="character" w:customStyle="1" w:styleId="EH-2Zchn">
    <w:name w:val="EH - Ü2 Zchn"/>
    <w:basedOn w:val="Absatz-Standardschriftart"/>
    <w:link w:val="EH-2"/>
    <w:rsid w:val="00CF3ACD"/>
    <w:rPr>
      <w:b/>
      <w:bCs/>
      <w:sz w:val="24"/>
      <w:szCs w:val="24"/>
    </w:rPr>
  </w:style>
  <w:style w:type="paragraph" w:customStyle="1" w:styleId="EH-Text">
    <w:name w:val="EH - Text"/>
    <w:basedOn w:val="Standard"/>
    <w:link w:val="EH-TextZchn"/>
    <w:qFormat/>
    <w:rsid w:val="00CF3ACD"/>
    <w:pPr>
      <w:spacing w:after="320" w:line="320" w:lineRule="atLeast"/>
      <w:ind w:left="709"/>
      <w:jc w:val="both"/>
    </w:pPr>
  </w:style>
  <w:style w:type="character" w:customStyle="1" w:styleId="EH-TextZchn">
    <w:name w:val="EH - Text Zchn"/>
    <w:basedOn w:val="Absatz-Standardschriftart"/>
    <w:link w:val="EH-Text"/>
    <w:rsid w:val="00CF3ACD"/>
    <w:rPr>
      <w:sz w:val="24"/>
      <w:szCs w:val="24"/>
    </w:rPr>
  </w:style>
  <w:style w:type="paragraph" w:customStyle="1" w:styleId="EH-3">
    <w:name w:val="EH - Ü3"/>
    <w:basedOn w:val="Standard"/>
    <w:link w:val="EH-3Zchn"/>
    <w:qFormat/>
    <w:rsid w:val="00CF3ACD"/>
    <w:pPr>
      <w:keepNext/>
      <w:numPr>
        <w:ilvl w:val="1"/>
        <w:numId w:val="1"/>
      </w:numPr>
      <w:spacing w:after="320" w:line="320" w:lineRule="atLeast"/>
      <w:jc w:val="both"/>
    </w:pPr>
    <w:rPr>
      <w:u w:val="single"/>
    </w:rPr>
  </w:style>
  <w:style w:type="character" w:customStyle="1" w:styleId="EH-3Zchn">
    <w:name w:val="EH - Ü3 Zchn"/>
    <w:basedOn w:val="Absatz-Standardschriftart"/>
    <w:link w:val="EH-3"/>
    <w:rsid w:val="00CF3ACD"/>
    <w:rPr>
      <w:sz w:val="24"/>
      <w:szCs w:val="24"/>
      <w:u w:val="single"/>
    </w:rPr>
  </w:style>
  <w:style w:type="paragraph" w:customStyle="1" w:styleId="EH-4">
    <w:name w:val="EH - Ü4"/>
    <w:basedOn w:val="Standard"/>
    <w:link w:val="EH-4Zchn"/>
    <w:qFormat/>
    <w:rsid w:val="00AC4DBC"/>
    <w:pPr>
      <w:keepNext/>
      <w:numPr>
        <w:ilvl w:val="2"/>
        <w:numId w:val="1"/>
      </w:numPr>
      <w:spacing w:after="320" w:line="320" w:lineRule="atLeast"/>
      <w:jc w:val="both"/>
    </w:pPr>
    <w:rPr>
      <w:i/>
    </w:rPr>
  </w:style>
  <w:style w:type="character" w:customStyle="1" w:styleId="EH-4Zchn">
    <w:name w:val="EH - Ü4 Zchn"/>
    <w:basedOn w:val="Absatz-Standardschriftart"/>
    <w:link w:val="EH-4"/>
    <w:rsid w:val="00AC4DBC"/>
    <w:rPr>
      <w:i/>
      <w:sz w:val="24"/>
      <w:szCs w:val="24"/>
    </w:rPr>
  </w:style>
  <w:style w:type="paragraph" w:customStyle="1" w:styleId="EH-5">
    <w:name w:val="EH - Ü5"/>
    <w:basedOn w:val="Standard"/>
    <w:link w:val="EH-5Zchn"/>
    <w:qFormat/>
    <w:rsid w:val="00CF3ACD"/>
    <w:pPr>
      <w:keepNext/>
      <w:numPr>
        <w:ilvl w:val="3"/>
        <w:numId w:val="1"/>
      </w:numPr>
      <w:spacing w:after="320" w:line="320" w:lineRule="atLeast"/>
      <w:jc w:val="both"/>
    </w:pPr>
  </w:style>
  <w:style w:type="character" w:customStyle="1" w:styleId="EH-5Zchn">
    <w:name w:val="EH - Ü5 Zchn"/>
    <w:basedOn w:val="Absatz-Standardschriftart"/>
    <w:link w:val="EH-5"/>
    <w:rsid w:val="00CF3ACD"/>
    <w:rPr>
      <w:sz w:val="24"/>
      <w:szCs w:val="24"/>
    </w:rPr>
  </w:style>
  <w:style w:type="table" w:styleId="Tabellenraster">
    <w:name w:val="Table Grid"/>
    <w:basedOn w:val="NormaleTabelle"/>
    <w:uiPriority w:val="59"/>
    <w:rsid w:val="00AA64E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notentext">
    <w:name w:val="footnote text"/>
    <w:basedOn w:val="Standard"/>
    <w:link w:val="FunotentextZchn"/>
    <w:rsid w:val="00B825A4"/>
    <w:pPr>
      <w:jc w:val="both"/>
    </w:pPr>
    <w:rPr>
      <w:sz w:val="20"/>
      <w:szCs w:val="20"/>
    </w:rPr>
  </w:style>
  <w:style w:type="character" w:customStyle="1" w:styleId="FunotentextZchn">
    <w:name w:val="Fußnotentext Zchn"/>
    <w:basedOn w:val="Absatz-Standardschriftart"/>
    <w:link w:val="Funotentext"/>
    <w:rsid w:val="00B825A4"/>
  </w:style>
  <w:style w:type="character" w:styleId="Funotenzeichen">
    <w:name w:val="footnote reference"/>
    <w:basedOn w:val="Absatz-Standardschriftart"/>
    <w:semiHidden/>
    <w:rsid w:val="00B825A4"/>
    <w:rPr>
      <w:rFonts w:ascii="Times New Roman" w:hAnsi="Times New Roman"/>
      <w:vertAlign w:val="superscript"/>
    </w:rPr>
  </w:style>
  <w:style w:type="paragraph" w:styleId="Beschriftung">
    <w:name w:val="caption"/>
    <w:basedOn w:val="Standard"/>
    <w:next w:val="Standard"/>
    <w:uiPriority w:val="35"/>
    <w:unhideWhenUsed/>
    <w:qFormat/>
    <w:rsid w:val="005C693A"/>
    <w:rPr>
      <w:b/>
      <w:bCs/>
      <w:sz w:val="20"/>
      <w:szCs w:val="20"/>
    </w:rPr>
  </w:style>
  <w:style w:type="paragraph" w:styleId="Sprechblasentext">
    <w:name w:val="Balloon Text"/>
    <w:basedOn w:val="Standard"/>
    <w:link w:val="SprechblasentextZchn"/>
    <w:uiPriority w:val="99"/>
    <w:semiHidden/>
    <w:unhideWhenUsed/>
    <w:rsid w:val="00CD42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4292"/>
    <w:rPr>
      <w:rFonts w:ascii="Tahoma" w:hAnsi="Tahoma" w:cs="Tahoma"/>
      <w:sz w:val="16"/>
      <w:szCs w:val="16"/>
    </w:rPr>
  </w:style>
  <w:style w:type="character" w:customStyle="1" w:styleId="neu">
    <w:name w:val="neu"/>
    <w:basedOn w:val="Absatz-Standardschriftart"/>
    <w:rsid w:val="00CA15DA"/>
  </w:style>
  <w:style w:type="paragraph" w:styleId="Fuzeile">
    <w:name w:val="footer"/>
    <w:basedOn w:val="Standard"/>
    <w:link w:val="FuzeileZchn"/>
    <w:uiPriority w:val="99"/>
    <w:unhideWhenUsed/>
    <w:rsid w:val="00AC3C28"/>
    <w:pPr>
      <w:tabs>
        <w:tab w:val="center" w:pos="4536"/>
        <w:tab w:val="right" w:pos="9072"/>
      </w:tabs>
    </w:pPr>
  </w:style>
  <w:style w:type="character" w:customStyle="1" w:styleId="FuzeileZchn">
    <w:name w:val="Fußzeile Zchn"/>
    <w:basedOn w:val="Absatz-Standardschriftart"/>
    <w:link w:val="Fuzeile"/>
    <w:uiPriority w:val="99"/>
    <w:rsid w:val="00AC3C28"/>
    <w:rPr>
      <w:sz w:val="24"/>
      <w:szCs w:val="24"/>
    </w:rPr>
  </w:style>
  <w:style w:type="character" w:styleId="Hyperlink">
    <w:name w:val="Hyperlink"/>
    <w:basedOn w:val="Absatz-Standardschriftart"/>
    <w:uiPriority w:val="99"/>
    <w:unhideWhenUsed/>
    <w:rsid w:val="00B07C57"/>
    <w:rPr>
      <w:strike w:val="0"/>
      <w:dstrike w:val="0"/>
      <w:color w:val="AD2227"/>
      <w:u w:val="none"/>
      <w:effect w:val="none"/>
    </w:rPr>
  </w:style>
  <w:style w:type="character" w:styleId="Fett">
    <w:name w:val="Strong"/>
    <w:basedOn w:val="Absatz-Standardschriftart"/>
    <w:uiPriority w:val="22"/>
    <w:qFormat/>
    <w:rsid w:val="00360BAD"/>
    <w:rPr>
      <w:b/>
      <w:bCs/>
    </w:rPr>
  </w:style>
  <w:style w:type="character" w:styleId="Kommentarzeichen">
    <w:name w:val="annotation reference"/>
    <w:basedOn w:val="Absatz-Standardschriftart"/>
    <w:uiPriority w:val="99"/>
    <w:semiHidden/>
    <w:unhideWhenUsed/>
    <w:rsid w:val="00C432DE"/>
    <w:rPr>
      <w:sz w:val="16"/>
      <w:szCs w:val="16"/>
    </w:rPr>
  </w:style>
  <w:style w:type="paragraph" w:styleId="Kommentartext">
    <w:name w:val="annotation text"/>
    <w:basedOn w:val="Standard"/>
    <w:link w:val="KommentartextZchn"/>
    <w:uiPriority w:val="99"/>
    <w:unhideWhenUsed/>
    <w:rsid w:val="00C432DE"/>
    <w:rPr>
      <w:sz w:val="20"/>
      <w:szCs w:val="20"/>
    </w:rPr>
  </w:style>
  <w:style w:type="character" w:customStyle="1" w:styleId="KommentartextZchn">
    <w:name w:val="Kommentartext Zchn"/>
    <w:basedOn w:val="Absatz-Standardschriftart"/>
    <w:link w:val="Kommentartext"/>
    <w:uiPriority w:val="99"/>
    <w:rsid w:val="00C432DE"/>
  </w:style>
  <w:style w:type="paragraph" w:styleId="Kommentarthema">
    <w:name w:val="annotation subject"/>
    <w:basedOn w:val="Kommentartext"/>
    <w:next w:val="Kommentartext"/>
    <w:link w:val="KommentarthemaZchn"/>
    <w:uiPriority w:val="99"/>
    <w:semiHidden/>
    <w:unhideWhenUsed/>
    <w:rsid w:val="00C432DE"/>
    <w:rPr>
      <w:b/>
      <w:bCs/>
    </w:rPr>
  </w:style>
  <w:style w:type="character" w:customStyle="1" w:styleId="KommentarthemaZchn">
    <w:name w:val="Kommentarthema Zchn"/>
    <w:basedOn w:val="KommentartextZchn"/>
    <w:link w:val="Kommentarthema"/>
    <w:uiPriority w:val="99"/>
    <w:semiHidden/>
    <w:rsid w:val="00C432DE"/>
    <w:rPr>
      <w:b/>
      <w:bCs/>
    </w:rPr>
  </w:style>
  <w:style w:type="paragraph" w:styleId="Listenabsatz">
    <w:name w:val="List Paragraph"/>
    <w:basedOn w:val="Standard"/>
    <w:uiPriority w:val="34"/>
    <w:qFormat/>
    <w:rsid w:val="00561F73"/>
    <w:pPr>
      <w:ind w:left="720"/>
    </w:pPr>
    <w:rPr>
      <w:rFonts w:ascii="Calibri" w:hAnsi="Calibri"/>
      <w:sz w:val="22"/>
      <w:szCs w:val="22"/>
    </w:rPr>
  </w:style>
  <w:style w:type="character" w:customStyle="1" w:styleId="rz-overlay-text">
    <w:name w:val="rz-overlay-text"/>
    <w:basedOn w:val="Absatz-Standardschriftart"/>
    <w:rsid w:val="00AC245D"/>
  </w:style>
  <w:style w:type="character" w:customStyle="1" w:styleId="fett0">
    <w:name w:val="fett"/>
    <w:basedOn w:val="Absatz-Standardschriftart"/>
    <w:rsid w:val="00DB656E"/>
    <w:rPr>
      <w:b/>
      <w:bCs/>
    </w:rPr>
  </w:style>
  <w:style w:type="character" w:styleId="BesuchterLink">
    <w:name w:val="FollowedHyperlink"/>
    <w:basedOn w:val="Absatz-Standardschriftart"/>
    <w:uiPriority w:val="99"/>
    <w:semiHidden/>
    <w:unhideWhenUsed/>
    <w:rsid w:val="00545BA2"/>
    <w:rPr>
      <w:color w:val="800080" w:themeColor="followedHyperlink"/>
      <w:u w:val="single"/>
    </w:rPr>
  </w:style>
  <w:style w:type="paragraph" w:styleId="Verzeichnis1">
    <w:name w:val="toc 1"/>
    <w:basedOn w:val="Standard"/>
    <w:next w:val="Standard"/>
    <w:autoRedefine/>
    <w:uiPriority w:val="39"/>
    <w:unhideWhenUsed/>
    <w:rsid w:val="004E4201"/>
    <w:pPr>
      <w:tabs>
        <w:tab w:val="left" w:pos="574"/>
        <w:tab w:val="right" w:leader="dot" w:pos="9060"/>
      </w:tabs>
      <w:spacing w:before="240" w:after="240"/>
    </w:pPr>
    <w:rPr>
      <w:rFonts w:asciiTheme="majorHAnsi" w:eastAsiaTheme="minorEastAsia" w:hAnsiTheme="majorHAnsi"/>
      <w:b/>
      <w:bCs/>
      <w:noProof/>
      <w:sz w:val="22"/>
      <w:szCs w:val="22"/>
    </w:rPr>
  </w:style>
  <w:style w:type="paragraph" w:styleId="Verzeichnis2">
    <w:name w:val="toc 2"/>
    <w:basedOn w:val="Standard"/>
    <w:next w:val="Standard"/>
    <w:autoRedefine/>
    <w:uiPriority w:val="39"/>
    <w:unhideWhenUsed/>
    <w:rsid w:val="004E4201"/>
    <w:pPr>
      <w:tabs>
        <w:tab w:val="left" w:pos="574"/>
        <w:tab w:val="right" w:leader="dot" w:pos="9062"/>
      </w:tabs>
      <w:spacing w:before="240" w:after="240"/>
      <w:ind w:left="567" w:hanging="567"/>
    </w:pPr>
    <w:rPr>
      <w:bCs/>
      <w:sz w:val="22"/>
      <w:szCs w:val="22"/>
    </w:rPr>
  </w:style>
  <w:style w:type="paragraph" w:styleId="Verzeichnis3">
    <w:name w:val="toc 3"/>
    <w:basedOn w:val="Standard"/>
    <w:next w:val="Standard"/>
    <w:autoRedefine/>
    <w:uiPriority w:val="39"/>
    <w:unhideWhenUsed/>
    <w:rsid w:val="00414246"/>
    <w:pPr>
      <w:tabs>
        <w:tab w:val="left" w:pos="567"/>
        <w:tab w:val="right" w:leader="dot" w:pos="9060"/>
      </w:tabs>
      <w:ind w:left="574" w:hanging="574"/>
    </w:pPr>
    <w:rPr>
      <w:sz w:val="22"/>
      <w:szCs w:val="22"/>
    </w:rPr>
  </w:style>
  <w:style w:type="paragraph" w:styleId="StandardWeb">
    <w:name w:val="Normal (Web)"/>
    <w:basedOn w:val="Standard"/>
    <w:uiPriority w:val="99"/>
    <w:unhideWhenUsed/>
    <w:rsid w:val="00F93D08"/>
    <w:pPr>
      <w:spacing w:before="100" w:beforeAutospacing="1" w:after="100" w:afterAutospacing="1"/>
    </w:pPr>
    <w:rPr>
      <w:lang w:val="de-AT" w:eastAsia="de-AT"/>
    </w:rPr>
  </w:style>
  <w:style w:type="character" w:styleId="NichtaufgelsteErwhnung">
    <w:name w:val="Unresolved Mention"/>
    <w:basedOn w:val="Absatz-Standardschriftart"/>
    <w:uiPriority w:val="99"/>
    <w:semiHidden/>
    <w:unhideWhenUsed/>
    <w:rsid w:val="00141F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001591">
      <w:bodyDiv w:val="1"/>
      <w:marLeft w:val="0"/>
      <w:marRight w:val="0"/>
      <w:marTop w:val="0"/>
      <w:marBottom w:val="0"/>
      <w:divBdr>
        <w:top w:val="none" w:sz="0" w:space="0" w:color="auto"/>
        <w:left w:val="none" w:sz="0" w:space="0" w:color="auto"/>
        <w:bottom w:val="none" w:sz="0" w:space="0" w:color="auto"/>
        <w:right w:val="none" w:sz="0" w:space="0" w:color="auto"/>
      </w:divBdr>
    </w:div>
    <w:div w:id="332492192">
      <w:bodyDiv w:val="1"/>
      <w:marLeft w:val="0"/>
      <w:marRight w:val="0"/>
      <w:marTop w:val="0"/>
      <w:marBottom w:val="0"/>
      <w:divBdr>
        <w:top w:val="none" w:sz="0" w:space="0" w:color="auto"/>
        <w:left w:val="none" w:sz="0" w:space="0" w:color="auto"/>
        <w:bottom w:val="none" w:sz="0" w:space="0" w:color="auto"/>
        <w:right w:val="none" w:sz="0" w:space="0" w:color="auto"/>
      </w:divBdr>
    </w:div>
    <w:div w:id="636841001">
      <w:bodyDiv w:val="1"/>
      <w:marLeft w:val="0"/>
      <w:marRight w:val="0"/>
      <w:marTop w:val="0"/>
      <w:marBottom w:val="0"/>
      <w:divBdr>
        <w:top w:val="none" w:sz="0" w:space="0" w:color="auto"/>
        <w:left w:val="none" w:sz="0" w:space="0" w:color="auto"/>
        <w:bottom w:val="none" w:sz="0" w:space="0" w:color="auto"/>
        <w:right w:val="none" w:sz="0" w:space="0" w:color="auto"/>
      </w:divBdr>
    </w:div>
    <w:div w:id="1232740857">
      <w:bodyDiv w:val="1"/>
      <w:marLeft w:val="0"/>
      <w:marRight w:val="0"/>
      <w:marTop w:val="0"/>
      <w:marBottom w:val="0"/>
      <w:divBdr>
        <w:top w:val="none" w:sz="0" w:space="0" w:color="auto"/>
        <w:left w:val="none" w:sz="0" w:space="0" w:color="auto"/>
        <w:bottom w:val="none" w:sz="0" w:space="0" w:color="auto"/>
        <w:right w:val="none" w:sz="0" w:space="0" w:color="auto"/>
      </w:divBdr>
    </w:div>
    <w:div w:id="1385762137">
      <w:bodyDiv w:val="1"/>
      <w:marLeft w:val="0"/>
      <w:marRight w:val="0"/>
      <w:marTop w:val="0"/>
      <w:marBottom w:val="0"/>
      <w:divBdr>
        <w:top w:val="none" w:sz="0" w:space="0" w:color="auto"/>
        <w:left w:val="none" w:sz="0" w:space="0" w:color="auto"/>
        <w:bottom w:val="none" w:sz="0" w:space="0" w:color="auto"/>
        <w:right w:val="none" w:sz="0" w:space="0" w:color="auto"/>
      </w:divBdr>
      <w:divsChild>
        <w:div w:id="1145898276">
          <w:marLeft w:val="0"/>
          <w:marRight w:val="0"/>
          <w:marTop w:val="50"/>
          <w:marBottom w:val="50"/>
          <w:divBdr>
            <w:top w:val="none" w:sz="0" w:space="0" w:color="auto"/>
            <w:left w:val="none" w:sz="0" w:space="0" w:color="auto"/>
            <w:bottom w:val="none" w:sz="0" w:space="0" w:color="auto"/>
            <w:right w:val="none" w:sz="0" w:space="0" w:color="auto"/>
          </w:divBdr>
          <w:divsChild>
            <w:div w:id="274872239">
              <w:marLeft w:val="0"/>
              <w:marRight w:val="0"/>
              <w:marTop w:val="372"/>
              <w:marBottom w:val="0"/>
              <w:divBdr>
                <w:top w:val="none" w:sz="0" w:space="0" w:color="auto"/>
                <w:left w:val="none" w:sz="0" w:space="0" w:color="auto"/>
                <w:bottom w:val="none" w:sz="0" w:space="0" w:color="auto"/>
                <w:right w:val="none" w:sz="0" w:space="0" w:color="auto"/>
              </w:divBdr>
              <w:divsChild>
                <w:div w:id="909122445">
                  <w:marLeft w:val="0"/>
                  <w:marRight w:val="0"/>
                  <w:marTop w:val="0"/>
                  <w:marBottom w:val="0"/>
                  <w:divBdr>
                    <w:top w:val="none" w:sz="0" w:space="0" w:color="auto"/>
                    <w:left w:val="none" w:sz="0" w:space="0" w:color="auto"/>
                    <w:bottom w:val="none" w:sz="0" w:space="0" w:color="auto"/>
                    <w:right w:val="none" w:sz="0" w:space="0" w:color="auto"/>
                  </w:divBdr>
                  <w:divsChild>
                    <w:div w:id="1320503853">
                      <w:marLeft w:val="0"/>
                      <w:marRight w:val="0"/>
                      <w:marTop w:val="120"/>
                      <w:marBottom w:val="0"/>
                      <w:divBdr>
                        <w:top w:val="single" w:sz="4" w:space="6" w:color="9D9C9C"/>
                        <w:left w:val="single" w:sz="4" w:space="6" w:color="9D9C9C"/>
                        <w:bottom w:val="single" w:sz="4" w:space="6" w:color="9D9C9C"/>
                        <w:right w:val="single" w:sz="4" w:space="6" w:color="9D9C9C"/>
                      </w:divBdr>
                      <w:divsChild>
                        <w:div w:id="164832074">
                          <w:marLeft w:val="0"/>
                          <w:marRight w:val="0"/>
                          <w:marTop w:val="0"/>
                          <w:marBottom w:val="0"/>
                          <w:divBdr>
                            <w:top w:val="none" w:sz="0" w:space="0" w:color="auto"/>
                            <w:left w:val="none" w:sz="0" w:space="0" w:color="auto"/>
                            <w:bottom w:val="none" w:sz="0" w:space="0" w:color="auto"/>
                            <w:right w:val="none" w:sz="0" w:space="0" w:color="auto"/>
                          </w:divBdr>
                          <w:divsChild>
                            <w:div w:id="653460430">
                              <w:marLeft w:val="0"/>
                              <w:marRight w:val="0"/>
                              <w:marTop w:val="240"/>
                              <w:marBottom w:val="0"/>
                              <w:divBdr>
                                <w:top w:val="none" w:sz="0" w:space="0" w:color="auto"/>
                                <w:left w:val="none" w:sz="0" w:space="0" w:color="auto"/>
                                <w:bottom w:val="none" w:sz="0" w:space="0" w:color="auto"/>
                                <w:right w:val="none" w:sz="0" w:space="0" w:color="auto"/>
                              </w:divBdr>
                              <w:divsChild>
                                <w:div w:id="698166690">
                                  <w:marLeft w:val="0"/>
                                  <w:marRight w:val="0"/>
                                  <w:marTop w:val="0"/>
                                  <w:marBottom w:val="0"/>
                                  <w:divBdr>
                                    <w:top w:val="none" w:sz="0" w:space="0" w:color="auto"/>
                                    <w:left w:val="none" w:sz="0" w:space="0" w:color="auto"/>
                                    <w:bottom w:val="none" w:sz="0" w:space="0" w:color="auto"/>
                                    <w:right w:val="none" w:sz="0" w:space="0" w:color="auto"/>
                                  </w:divBdr>
                                  <w:divsChild>
                                    <w:div w:id="105828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1684976">
      <w:bodyDiv w:val="1"/>
      <w:marLeft w:val="0"/>
      <w:marRight w:val="0"/>
      <w:marTop w:val="0"/>
      <w:marBottom w:val="0"/>
      <w:divBdr>
        <w:top w:val="none" w:sz="0" w:space="0" w:color="auto"/>
        <w:left w:val="none" w:sz="0" w:space="0" w:color="auto"/>
        <w:bottom w:val="none" w:sz="0" w:space="0" w:color="auto"/>
        <w:right w:val="none" w:sz="0" w:space="0" w:color="auto"/>
      </w:divBdr>
      <w:divsChild>
        <w:div w:id="1117142556">
          <w:marLeft w:val="0"/>
          <w:marRight w:val="0"/>
          <w:marTop w:val="75"/>
          <w:marBottom w:val="75"/>
          <w:divBdr>
            <w:top w:val="none" w:sz="0" w:space="0" w:color="auto"/>
            <w:left w:val="none" w:sz="0" w:space="0" w:color="auto"/>
            <w:bottom w:val="none" w:sz="0" w:space="0" w:color="auto"/>
            <w:right w:val="none" w:sz="0" w:space="0" w:color="auto"/>
          </w:divBdr>
          <w:divsChild>
            <w:div w:id="1755660714">
              <w:marLeft w:val="0"/>
              <w:marRight w:val="0"/>
              <w:marTop w:val="372"/>
              <w:marBottom w:val="0"/>
              <w:divBdr>
                <w:top w:val="none" w:sz="0" w:space="0" w:color="auto"/>
                <w:left w:val="none" w:sz="0" w:space="0" w:color="auto"/>
                <w:bottom w:val="none" w:sz="0" w:space="0" w:color="auto"/>
                <w:right w:val="none" w:sz="0" w:space="0" w:color="auto"/>
              </w:divBdr>
              <w:divsChild>
                <w:div w:id="650866024">
                  <w:marLeft w:val="0"/>
                  <w:marRight w:val="0"/>
                  <w:marTop w:val="0"/>
                  <w:marBottom w:val="0"/>
                  <w:divBdr>
                    <w:top w:val="none" w:sz="0" w:space="0" w:color="auto"/>
                    <w:left w:val="none" w:sz="0" w:space="0" w:color="auto"/>
                    <w:bottom w:val="none" w:sz="0" w:space="0" w:color="auto"/>
                    <w:right w:val="none" w:sz="0" w:space="0" w:color="auto"/>
                  </w:divBdr>
                  <w:divsChild>
                    <w:div w:id="1385641789">
                      <w:marLeft w:val="0"/>
                      <w:marRight w:val="0"/>
                      <w:marTop w:val="120"/>
                      <w:marBottom w:val="0"/>
                      <w:divBdr>
                        <w:top w:val="single" w:sz="6" w:space="6" w:color="9D9C9C"/>
                        <w:left w:val="single" w:sz="6" w:space="6" w:color="9D9C9C"/>
                        <w:bottom w:val="single" w:sz="6" w:space="6" w:color="9D9C9C"/>
                        <w:right w:val="single" w:sz="6" w:space="6" w:color="9D9C9C"/>
                      </w:divBdr>
                      <w:divsChild>
                        <w:div w:id="1375078312">
                          <w:marLeft w:val="0"/>
                          <w:marRight w:val="0"/>
                          <w:marTop w:val="0"/>
                          <w:marBottom w:val="0"/>
                          <w:divBdr>
                            <w:top w:val="none" w:sz="0" w:space="0" w:color="auto"/>
                            <w:left w:val="none" w:sz="0" w:space="0" w:color="auto"/>
                            <w:bottom w:val="none" w:sz="0" w:space="0" w:color="auto"/>
                            <w:right w:val="none" w:sz="0" w:space="0" w:color="auto"/>
                          </w:divBdr>
                          <w:divsChild>
                            <w:div w:id="387996340">
                              <w:marLeft w:val="0"/>
                              <w:marRight w:val="0"/>
                              <w:marTop w:val="240"/>
                              <w:marBottom w:val="0"/>
                              <w:divBdr>
                                <w:top w:val="none" w:sz="0" w:space="0" w:color="auto"/>
                                <w:left w:val="none" w:sz="0" w:space="0" w:color="auto"/>
                                <w:bottom w:val="none" w:sz="0" w:space="0" w:color="auto"/>
                                <w:right w:val="none" w:sz="0" w:space="0" w:color="auto"/>
                              </w:divBdr>
                              <w:divsChild>
                                <w:div w:id="786508643">
                                  <w:marLeft w:val="0"/>
                                  <w:marRight w:val="0"/>
                                  <w:marTop w:val="0"/>
                                  <w:marBottom w:val="0"/>
                                  <w:divBdr>
                                    <w:top w:val="none" w:sz="0" w:space="0" w:color="auto"/>
                                    <w:left w:val="none" w:sz="0" w:space="0" w:color="auto"/>
                                    <w:bottom w:val="none" w:sz="0" w:space="0" w:color="auto"/>
                                    <w:right w:val="none" w:sz="0" w:space="0" w:color="auto"/>
                                  </w:divBdr>
                                  <w:divsChild>
                                    <w:div w:id="120961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2551338">
      <w:bodyDiv w:val="1"/>
      <w:marLeft w:val="0"/>
      <w:marRight w:val="0"/>
      <w:marTop w:val="0"/>
      <w:marBottom w:val="0"/>
      <w:divBdr>
        <w:top w:val="none" w:sz="0" w:space="0" w:color="auto"/>
        <w:left w:val="none" w:sz="0" w:space="0" w:color="auto"/>
        <w:bottom w:val="none" w:sz="0" w:space="0" w:color="auto"/>
        <w:right w:val="none" w:sz="0" w:space="0" w:color="auto"/>
      </w:divBdr>
    </w:div>
    <w:div w:id="197054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relectric.org/connecting-the-dot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D7855E997C7CD547BAA84FB5C436F0EB" ma:contentTypeVersion="5" ma:contentTypeDescription="Upload a any type of Document to this Document Library, Tag and Categorize." ma:contentTypeScope="" ma:versionID="9da1a9b8db38812dd4845d0202193013">
  <xsd:schema xmlns:xsd="http://www.w3.org/2001/XMLSchema" xmlns:xs="http://www.w3.org/2001/XMLSchema" xmlns:p="http://schemas.microsoft.com/office/2006/metadata/properties" xmlns:ns1="7cc652c1-0fd7-41eb-a014-c51c51780a7a" targetNamespace="http://schemas.microsoft.com/office/2006/metadata/properties" ma:root="true" ma:fieldsID="d4e861f33666f41124d7fe3faad0c1db" ns1:_="">
    <xsd:import namespace="7cc652c1-0fd7-41eb-a014-c51c51780a7a"/>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b19f75d238cc47e1b22517c8f1caea47" minOccurs="0"/>
                <xsd:element ref="ns1:TaxCatchAll" minOccurs="0"/>
                <xsd:element ref="ns1:TaxCatchAllLabel" minOccurs="0"/>
                <xsd:element ref="ns1:h9a1eb4c7bd54efca9d2a6b83ebb485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652c1-0fd7-41eb-a014-c51c51780a7a"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b19f75d238cc47e1b22517c8f1caea47" ma:index="6" nillable="true" ma:taxonomy="true" ma:internalName="b19f75d238cc47e1b22517c8f1caea47" ma:taxonomyFieldName="documentGeneralTags" ma:displayName="General Tags" ma:fieldId="{b19f75d2-38cc-47e1-b225-17c8f1caea4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437298f6-1c1b-4d51-8c63-a2307b44d2d3}" ma:internalName="TaxCatchAll" ma:showField="CatchAllData"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437298f6-1c1b-4d51-8c63-a2307b44d2d3}" ma:internalName="TaxCatchAllLabel" ma:readOnly="true" ma:showField="CatchAllDataLabel"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h9a1eb4c7bd54efca9d2a6b83ebb485f" ma:index="10" nillable="true" ma:taxonomy="true" ma:internalName="h9a1eb4c7bd54efca9d2a6b83ebb485f" ma:taxonomyFieldName="documentCaseTags" ma:displayName="Case Tags" ma:fieldId="{19a1eb4c-7bd5-4efc-a9d2-a6b83ebb485f}" ma:taxonomyMulti="true" ma:sspId="0b3cc5dc-dc2a-4346-9392-57628a0b46cb" ma:termSetId="a063f2db-454f-4e18-b57e-ebf5c79ba29f"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cc652c1-0fd7-41eb-a014-c51c51780a7a">COMPCOLLAB-832284309-1830</_dlc_DocId>
    <_dlc_DocIdUrl xmlns="7cc652c1-0fd7-41eb-a014-c51c51780a7a">
      <Url>https://compcollab.ec.europa.eu/cases/HT.5371/_layouts/15/DocIdRedir.aspx?ID=COMPCOLLAB-832284309-1830</Url>
      <Description>COMPCOLLAB-832284309-1830</Description>
    </_dlc_DocIdUrl>
    <documentSummary xmlns="7cc652c1-0fd7-41eb-a014-c51c51780a7a" xsi:nil="true"/>
    <b19f75d238cc47e1b22517c8f1caea47 xmlns="7cc652c1-0fd7-41eb-a014-c51c51780a7a">
      <Terms xmlns="http://schemas.microsoft.com/office/infopath/2007/PartnerControls"/>
    </b19f75d238cc47e1b22517c8f1caea47>
    <TaxCatchAll xmlns="7cc652c1-0fd7-41eb-a014-c51c51780a7a"/>
    <documentTitle xmlns="7cc652c1-0fd7-41eb-a014-c51c51780a7a" xsi:nil="true"/>
    <documentFollowUp xmlns="7cc652c1-0fd7-41eb-a014-c51c51780a7a" xsi:nil="true"/>
    <h9a1eb4c7bd54efca9d2a6b83ebb485f xmlns="7cc652c1-0fd7-41eb-a014-c51c51780a7a">
      <Terms xmlns="http://schemas.microsoft.com/office/infopath/2007/PartnerControls"/>
    </h9a1eb4c7bd54efca9d2a6b83ebb485f>
  </documentManagement>
</p:properties>
</file>

<file path=customXml/itemProps1.xml><?xml version="1.0" encoding="utf-8"?>
<ds:datastoreItem xmlns:ds="http://schemas.openxmlformats.org/officeDocument/2006/customXml" ds:itemID="{7638D5B7-9624-40E4-92AB-FD6959695FBD}">
  <ds:schemaRefs>
    <ds:schemaRef ds:uri="http://schemas.openxmlformats.org/officeDocument/2006/bibliography"/>
  </ds:schemaRefs>
</ds:datastoreItem>
</file>

<file path=customXml/itemProps2.xml><?xml version="1.0" encoding="utf-8"?>
<ds:datastoreItem xmlns:ds="http://schemas.openxmlformats.org/officeDocument/2006/customXml" ds:itemID="{656F6ADF-340F-4D7D-AF83-FA8FB0A7E8D4}"/>
</file>

<file path=customXml/itemProps3.xml><?xml version="1.0" encoding="utf-8"?>
<ds:datastoreItem xmlns:ds="http://schemas.openxmlformats.org/officeDocument/2006/customXml" ds:itemID="{8C151B0A-E65E-4D01-8A64-80BAE43F82B2}"/>
</file>

<file path=customXml/itemProps4.xml><?xml version="1.0" encoding="utf-8"?>
<ds:datastoreItem xmlns:ds="http://schemas.openxmlformats.org/officeDocument/2006/customXml" ds:itemID="{AE53A79A-8F8A-43DC-98F1-0F522D58BE01}"/>
</file>

<file path=docProps/app.xml><?xml version="1.0" encoding="utf-8"?>
<Properties xmlns="http://schemas.openxmlformats.org/officeDocument/2006/extended-properties" xmlns:vt="http://schemas.openxmlformats.org/officeDocument/2006/docPropsVTypes">
  <Template>Normal</Template>
  <TotalTime>0</TotalTime>
  <Pages>17</Pages>
  <Words>4850</Words>
  <Characters>30558</Characters>
  <Application>Microsoft Office Word</Application>
  <DocSecurity>0</DocSecurity>
  <Lines>254</Lines>
  <Paragraphs>70</Paragraphs>
  <ScaleCrop>false</ScaleCrop>
  <HeadingPairs>
    <vt:vector size="2" baseType="variant">
      <vt:variant>
        <vt:lpstr>Titel</vt:lpstr>
      </vt:variant>
      <vt:variant>
        <vt:i4>1</vt:i4>
      </vt:variant>
    </vt:vector>
  </HeadingPairs>
  <TitlesOfParts>
    <vt:vector size="1" baseType="lpstr">
      <vt:lpstr/>
    </vt:vector>
  </TitlesOfParts>
  <Company>Eisenberger &amp; Herzog Rechtsanwalts GmbH</Company>
  <LinksUpToDate>false</LinksUpToDate>
  <CharactersWithSpaces>35338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Kyoni Mbuya Yolande</cp:lastModifiedBy>
  <cp:revision>2</cp:revision>
  <cp:lastPrinted>2021-07-27T14:31:00Z</cp:lastPrinted>
  <dcterms:created xsi:type="dcterms:W3CDTF">2021-07-29T10:27:00Z</dcterms:created>
  <dcterms:modified xsi:type="dcterms:W3CDTF">2021-07-29T10:27:00Z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ea02ad30-bf0e-4e83-b356-3df7ce44225c</vt:lpwstr>
  </property>
  <property fmtid="{D5CDD505-2E9C-101B-9397-08002B2CF9AE}" pid="3" name="ContentTypeId">
    <vt:lpwstr>0x01010400988603A364794F7AA753E65AAE73280500D7855E997C7CD547BAA84FB5C436F0EB</vt:lpwstr>
  </property>
</Properties>
</file>