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82C5B" w14:textId="6E8F34BF" w:rsidR="00B41E02" w:rsidRPr="0000088F" w:rsidRDefault="00B41E02" w:rsidP="00FF4224">
      <w:pPr>
        <w:pStyle w:val="ManualHeading2"/>
        <w:rPr>
          <w:noProof/>
        </w:rPr>
      </w:pPr>
      <w:r w:rsidRPr="0000088F">
        <w:rPr>
          <w:noProof/>
        </w:rPr>
        <w:t xml:space="preserve">Del III.7 </w:t>
      </w:r>
      <w:r w:rsidR="00FF4224">
        <w:rPr>
          <w:noProof/>
        </w:rPr>
        <w:t xml:space="preserve">- </w:t>
      </w:r>
      <w:r w:rsidRPr="0000088F">
        <w:rPr>
          <w:noProof/>
        </w:rPr>
        <w:t>SUPPLERENDE INFORMATIONSSKEMA OM STØTTE TIL RISIKOFINANSIERING</w:t>
      </w:r>
    </w:p>
    <w:p w14:paraId="579A961E" w14:textId="77777777" w:rsidR="00B41E02" w:rsidRPr="0000088F" w:rsidRDefault="00B41E02" w:rsidP="00B41E02">
      <w:pPr>
        <w:ind w:left="-142"/>
        <w:rPr>
          <w:i/>
          <w:iCs/>
          <w:noProof/>
        </w:rPr>
      </w:pPr>
      <w:r w:rsidRPr="0000088F">
        <w:rPr>
          <w:i/>
          <w:noProof/>
        </w:rPr>
        <w:t>Foruden den generelle anmeldelsesformular udfyldes dette supplerende informationsskema ved anmeldelse af støtteordninger, der er omfattet af retningslinjerne for statsstøtte til fremme af risikofinansieringsinvesteringer ("retningslinjerne")</w:t>
      </w:r>
      <w:r w:rsidRPr="0000088F">
        <w:rPr>
          <w:rStyle w:val="FootnoteReference"/>
          <w:i/>
          <w:iCs/>
          <w:noProof/>
        </w:rPr>
        <w:footnoteReference w:id="1"/>
      </w:r>
      <w:r w:rsidRPr="0000088F">
        <w:rPr>
          <w:i/>
          <w:noProof/>
        </w:rPr>
        <w:t>. For definitionerne henvises der til retningslinjernes punkt 35.</w:t>
      </w:r>
    </w:p>
    <w:p w14:paraId="607DEECA" w14:textId="77777777" w:rsidR="00B41E02" w:rsidRPr="0000088F" w:rsidRDefault="00B41E02" w:rsidP="00B41E02">
      <w:pPr>
        <w:ind w:left="-142"/>
        <w:rPr>
          <w:noProof/>
        </w:rPr>
      </w:pPr>
      <w:r w:rsidRPr="0000088F">
        <w:rPr>
          <w:i/>
          <w:noProof/>
        </w:rPr>
        <w:t>Sammen med dette supplerende informationsskema indgives en dybtgående forudgående vurdering, der påviser de specifikke markedssvigt eller andre relevante barrierer og godtgør, at den anmeldte ordning er nødvendig, formålstjenlig og proportional for at rette op på dem</w:t>
      </w:r>
      <w:r w:rsidRPr="0000088F">
        <w:rPr>
          <w:rStyle w:val="FootnoteReference"/>
          <w:noProof/>
        </w:rPr>
        <w:footnoteReference w:id="2"/>
      </w:r>
      <w:r w:rsidRPr="0000088F">
        <w:rPr>
          <w:i/>
          <w:noProof/>
        </w:rPr>
        <w:t>.</w:t>
      </w:r>
    </w:p>
    <w:p w14:paraId="5A3E98D1" w14:textId="77777777" w:rsidR="00B41E02" w:rsidRPr="0000088F" w:rsidRDefault="00B41E02" w:rsidP="00B41E02">
      <w:pPr>
        <w:pStyle w:val="ManualHeading1"/>
        <w:rPr>
          <w:noProof/>
        </w:rPr>
      </w:pPr>
      <w:r w:rsidRPr="0015417F">
        <w:rPr>
          <w:noProof/>
        </w:rPr>
        <w:t>1.</w:t>
      </w:r>
      <w:r w:rsidRPr="0015417F">
        <w:rPr>
          <w:noProof/>
        </w:rPr>
        <w:tab/>
      </w:r>
      <w:r w:rsidRPr="0000088F">
        <w:rPr>
          <w:noProof/>
        </w:rPr>
        <w:t>Anvendelsesområde</w:t>
      </w:r>
    </w:p>
    <w:p w14:paraId="2E79772C" w14:textId="77777777" w:rsidR="00B41E02" w:rsidRPr="0000088F" w:rsidRDefault="00B41E02" w:rsidP="00B41E02">
      <w:pPr>
        <w:pStyle w:val="ManualHeading2"/>
        <w:rPr>
          <w:noProof/>
        </w:rPr>
      </w:pPr>
      <w:r w:rsidRPr="0015417F">
        <w:rPr>
          <w:noProof/>
        </w:rPr>
        <w:t>1.1.</w:t>
      </w:r>
      <w:r w:rsidRPr="0015417F">
        <w:rPr>
          <w:noProof/>
        </w:rPr>
        <w:tab/>
      </w:r>
      <w:r w:rsidRPr="0000088F">
        <w:rPr>
          <w:noProof/>
        </w:rPr>
        <w:t>Grunde til at anmelde ordningen:</w:t>
      </w:r>
    </w:p>
    <w:p w14:paraId="04DDA662" w14:textId="77777777" w:rsidR="00B41E02" w:rsidRPr="0000088F" w:rsidRDefault="00B41E02" w:rsidP="00B41E02">
      <w:pPr>
        <w:pStyle w:val="Point0"/>
        <w:rPr>
          <w:noProof/>
        </w:rPr>
      </w:pPr>
      <w:r w:rsidRPr="0015417F">
        <w:rPr>
          <w:noProof/>
        </w:rPr>
        <w:t>(a)</w:t>
      </w:r>
      <w:r w:rsidRPr="0015417F">
        <w:rPr>
          <w:noProof/>
        </w:rPr>
        <w:tab/>
      </w:r>
      <w:sdt>
        <w:sdtPr>
          <w:rPr>
            <w:noProof/>
          </w:rPr>
          <w:id w:val="1031838245"/>
          <w14:checkbox>
            <w14:checked w14:val="0"/>
            <w14:checkedState w14:val="2612" w14:font="MS Gothic"/>
            <w14:uncheckedState w14:val="2610" w14:font="MS Gothic"/>
          </w14:checkbox>
        </w:sdtPr>
        <w:sdtEndPr/>
        <w:sdtContent>
          <w:r w:rsidRPr="00FF4224">
            <w:rPr>
              <w:rFonts w:ascii="MS Gothic" w:eastAsia="MS Gothic" w:hAnsi="MS Gothic" w:hint="eastAsia"/>
              <w:noProof/>
            </w:rPr>
            <w:t>☐</w:t>
          </w:r>
        </w:sdtContent>
      </w:sdt>
      <w:r w:rsidRPr="00FF4224">
        <w:rPr>
          <w:noProof/>
        </w:rPr>
        <w:t xml:space="preserve"> Ordningen </w:t>
      </w:r>
      <w:r w:rsidRPr="0000088F">
        <w:rPr>
          <w:noProof/>
        </w:rPr>
        <w:t>er ikke i overensstemmelse med forordning (EU) nr. 651/2014</w:t>
      </w:r>
      <w:r w:rsidRPr="0000088F">
        <w:rPr>
          <w:rStyle w:val="FootnoteReference"/>
          <w:noProof/>
        </w:rPr>
        <w:footnoteReference w:id="3"/>
      </w:r>
      <w:r w:rsidRPr="0000088F">
        <w:rPr>
          <w:noProof/>
        </w:rPr>
        <w:t>. Henvis til de bestemmelser i ordningens retsgrundlag, der går videre end forordning (EU) nr. 651/2014, og hvilke bestemmelser i forordningen det drejer sig om:</w:t>
      </w:r>
    </w:p>
    <w:p w14:paraId="4644B772" w14:textId="77777777" w:rsidR="00B41E02" w:rsidRPr="0000088F" w:rsidRDefault="00B41E02" w:rsidP="00B41E02">
      <w:pPr>
        <w:tabs>
          <w:tab w:val="left" w:leader="dot" w:pos="9072"/>
        </w:tabs>
        <w:ind w:left="709"/>
        <w:rPr>
          <w:bCs/>
          <w:noProof/>
        </w:rPr>
      </w:pPr>
      <w:r w:rsidRPr="0000088F">
        <w:rPr>
          <w:noProof/>
        </w:rPr>
        <w:tab/>
      </w:r>
    </w:p>
    <w:p w14:paraId="553E72F2" w14:textId="77777777" w:rsidR="00B41E02" w:rsidRPr="0000088F" w:rsidRDefault="00B41E02" w:rsidP="00B41E02">
      <w:pPr>
        <w:pStyle w:val="Point0"/>
        <w:rPr>
          <w:bCs/>
          <w:noProof/>
        </w:rPr>
      </w:pPr>
      <w:r w:rsidRPr="0015417F">
        <w:rPr>
          <w:noProof/>
        </w:rPr>
        <w:t>(b)</w:t>
      </w:r>
      <w:r w:rsidRPr="0015417F">
        <w:rPr>
          <w:noProof/>
        </w:rPr>
        <w:tab/>
      </w:r>
      <w:sdt>
        <w:sdtPr>
          <w:rPr>
            <w:bCs/>
            <w:noProof/>
          </w:rPr>
          <w:id w:val="-1744250642"/>
          <w14:checkbox>
            <w14:checked w14:val="0"/>
            <w14:checkedState w14:val="2612" w14:font="MS Gothic"/>
            <w14:uncheckedState w14:val="2610" w14:font="MS Gothic"/>
          </w14:checkbox>
        </w:sdtPr>
        <w:sdtEndPr/>
        <w:sdtContent>
          <w:r w:rsidRPr="0000088F">
            <w:rPr>
              <w:rFonts w:ascii="MS Gothic" w:eastAsia="MS Gothic" w:hAnsi="MS Gothic" w:hint="eastAsia"/>
              <w:bCs/>
              <w:noProof/>
            </w:rPr>
            <w:t>☐</w:t>
          </w:r>
        </w:sdtContent>
      </w:sdt>
      <w:r w:rsidRPr="0000088F">
        <w:rPr>
          <w:noProof/>
        </w:rPr>
        <w:t xml:space="preserve"> Ordningen er ikke i overensstemmelse med de minimis-forordningen</w:t>
      </w:r>
      <w:r w:rsidRPr="0000088F">
        <w:rPr>
          <w:rStyle w:val="FootnoteReference"/>
          <w:noProof/>
        </w:rPr>
        <w:footnoteReference w:id="4"/>
      </w:r>
      <w:r w:rsidRPr="0000088F">
        <w:rPr>
          <w:noProof/>
        </w:rPr>
        <w:t>. Angiv hvorfor:</w:t>
      </w:r>
    </w:p>
    <w:p w14:paraId="57CC8248" w14:textId="77777777" w:rsidR="00B41E02" w:rsidRPr="0000088F" w:rsidRDefault="00B41E02" w:rsidP="00B41E02">
      <w:pPr>
        <w:tabs>
          <w:tab w:val="left" w:leader="dot" w:pos="9072"/>
        </w:tabs>
        <w:ind w:left="709"/>
        <w:rPr>
          <w:bCs/>
          <w:noProof/>
        </w:rPr>
      </w:pPr>
      <w:r w:rsidRPr="0000088F">
        <w:rPr>
          <w:noProof/>
        </w:rPr>
        <w:tab/>
      </w:r>
    </w:p>
    <w:p w14:paraId="5BAEF239" w14:textId="77777777" w:rsidR="00B41E02" w:rsidRPr="0000088F" w:rsidRDefault="00B41E02" w:rsidP="00B41E02">
      <w:pPr>
        <w:pStyle w:val="Point0"/>
        <w:rPr>
          <w:bCs/>
          <w:noProof/>
        </w:rPr>
      </w:pPr>
      <w:r w:rsidRPr="0015417F">
        <w:rPr>
          <w:noProof/>
        </w:rPr>
        <w:t>(c)</w:t>
      </w:r>
      <w:r w:rsidRPr="0015417F">
        <w:rPr>
          <w:noProof/>
        </w:rPr>
        <w:tab/>
      </w:r>
      <w:sdt>
        <w:sdtPr>
          <w:rPr>
            <w:bCs/>
            <w:noProof/>
          </w:rPr>
          <w:id w:val="2101518233"/>
          <w14:checkbox>
            <w14:checked w14:val="0"/>
            <w14:checkedState w14:val="2612" w14:font="MS Gothic"/>
            <w14:uncheckedState w14:val="2610" w14:font="MS Gothic"/>
          </w14:checkbox>
        </w:sdtPr>
        <w:sdtEndPr/>
        <w:sdtContent>
          <w:r w:rsidRPr="0000088F">
            <w:rPr>
              <w:rFonts w:ascii="MS Gothic" w:eastAsia="MS Gothic" w:hAnsi="MS Gothic" w:hint="eastAsia"/>
              <w:bCs/>
              <w:noProof/>
            </w:rPr>
            <w:t>☐</w:t>
          </w:r>
        </w:sdtContent>
      </w:sdt>
      <w:r w:rsidRPr="0000088F">
        <w:rPr>
          <w:noProof/>
        </w:rPr>
        <w:t xml:space="preserve"> Ordningen opfylder ikke den markedsøkonomiske aktørtest på et eller flere niveauer (støtte til investorer, til en finansiel formidler og dens forvalter eller til de virksomheder, der investeres i) (se Kommissionens meddelelse om begrebet statsstøtte</w:t>
      </w:r>
      <w:r w:rsidRPr="0000088F">
        <w:rPr>
          <w:rStyle w:val="FootnoteReference"/>
          <w:bCs/>
          <w:noProof/>
        </w:rPr>
        <w:footnoteReference w:id="5"/>
      </w:r>
      <w:r w:rsidRPr="0000088F">
        <w:rPr>
          <w:noProof/>
        </w:rPr>
        <w:t>; hvad angår lån henvises der til meddelelsen om referencesatsen</w:t>
      </w:r>
      <w:r w:rsidRPr="0000088F">
        <w:rPr>
          <w:rStyle w:val="FootnoteReference"/>
          <w:noProof/>
        </w:rPr>
        <w:footnoteReference w:id="6"/>
      </w:r>
      <w:r w:rsidRPr="0000088F">
        <w:rPr>
          <w:noProof/>
        </w:rPr>
        <w:t>; hvad angår garantier henvises til garantimeddelelsen</w:t>
      </w:r>
      <w:r w:rsidRPr="0000088F">
        <w:rPr>
          <w:rStyle w:val="FootnoteReference"/>
          <w:noProof/>
        </w:rPr>
        <w:footnoteReference w:id="7"/>
      </w:r>
      <w:r w:rsidRPr="0000088F">
        <w:rPr>
          <w:noProof/>
        </w:rPr>
        <w:t>). Angiv hvorfor:</w:t>
      </w:r>
    </w:p>
    <w:p w14:paraId="618F6E64" w14:textId="77777777" w:rsidR="00B41E02" w:rsidRPr="0000088F" w:rsidRDefault="00B41E02" w:rsidP="00B41E02">
      <w:pPr>
        <w:tabs>
          <w:tab w:val="left" w:leader="dot" w:pos="9072"/>
        </w:tabs>
        <w:ind w:left="709"/>
        <w:rPr>
          <w:bCs/>
          <w:noProof/>
        </w:rPr>
      </w:pPr>
      <w:r w:rsidRPr="0000088F">
        <w:rPr>
          <w:noProof/>
        </w:rPr>
        <w:tab/>
      </w:r>
    </w:p>
    <w:p w14:paraId="568ACB91" w14:textId="77777777" w:rsidR="00B41E02" w:rsidRPr="0000088F" w:rsidRDefault="00B41E02" w:rsidP="00B41E02">
      <w:pPr>
        <w:pStyle w:val="Point0"/>
        <w:rPr>
          <w:bCs/>
          <w:noProof/>
        </w:rPr>
      </w:pPr>
      <w:r w:rsidRPr="0015417F">
        <w:rPr>
          <w:noProof/>
        </w:rPr>
        <w:t>(d)</w:t>
      </w:r>
      <w:r w:rsidRPr="0015417F">
        <w:rPr>
          <w:noProof/>
        </w:rPr>
        <w:tab/>
      </w:r>
      <w:sdt>
        <w:sdtPr>
          <w:rPr>
            <w:bCs/>
            <w:noProof/>
          </w:rPr>
          <w:id w:val="1803417610"/>
          <w14:checkbox>
            <w14:checked w14:val="0"/>
            <w14:checkedState w14:val="2612" w14:font="MS Gothic"/>
            <w14:uncheckedState w14:val="2610" w14:font="MS Gothic"/>
          </w14:checkbox>
        </w:sdtPr>
        <w:sdtEndPr/>
        <w:sdtContent>
          <w:r w:rsidRPr="0000088F">
            <w:rPr>
              <w:rFonts w:ascii="MS Gothic" w:eastAsia="MS Gothic" w:hAnsi="MS Gothic" w:hint="eastAsia"/>
              <w:bCs/>
              <w:noProof/>
            </w:rPr>
            <w:t>☐</w:t>
          </w:r>
        </w:sdtContent>
      </w:sdt>
      <w:r w:rsidRPr="0000088F">
        <w:rPr>
          <w:noProof/>
        </w:rPr>
        <w:t xml:space="preserve"> Ordningen indeholder ikke statsstøtte og anmeldes af hensyn til retssikkerheden.</w:t>
      </w:r>
    </w:p>
    <w:p w14:paraId="25B06054" w14:textId="77777777" w:rsidR="00B41E02" w:rsidRPr="0000088F" w:rsidRDefault="00B41E02" w:rsidP="00B41E02">
      <w:pPr>
        <w:pStyle w:val="ManualHeading2"/>
        <w:rPr>
          <w:noProof/>
        </w:rPr>
      </w:pPr>
      <w:r w:rsidRPr="0015417F">
        <w:rPr>
          <w:noProof/>
        </w:rPr>
        <w:lastRenderedPageBreak/>
        <w:t>1.2.</w:t>
      </w:r>
      <w:r w:rsidRPr="0015417F">
        <w:rPr>
          <w:noProof/>
        </w:rPr>
        <w:tab/>
      </w:r>
      <w:r w:rsidRPr="0000088F">
        <w:rPr>
          <w:noProof/>
        </w:rPr>
        <w:t>Anvendelsesområde for den anmeldte ordning – sæt kryds for at bekræfte:</w:t>
      </w:r>
    </w:p>
    <w:p w14:paraId="7A6C4A82" w14:textId="77777777" w:rsidR="00B41E02" w:rsidRPr="0000088F" w:rsidRDefault="00B41E02" w:rsidP="00B41E02">
      <w:pPr>
        <w:pStyle w:val="Point1"/>
        <w:rPr>
          <w:noProof/>
        </w:rPr>
      </w:pPr>
      <w:r w:rsidRPr="0015417F">
        <w:rPr>
          <w:noProof/>
        </w:rPr>
        <w:t>(a)</w:t>
      </w:r>
      <w:r w:rsidRPr="0015417F">
        <w:rPr>
          <w:noProof/>
        </w:rPr>
        <w:tab/>
      </w:r>
      <w:sdt>
        <w:sdtPr>
          <w:rPr>
            <w:bCs/>
            <w:noProof/>
          </w:rPr>
          <w:id w:val="1244075362"/>
          <w14:checkbox>
            <w14:checked w14:val="0"/>
            <w14:checkedState w14:val="2612" w14:font="MS Gothic"/>
            <w14:uncheckedState w14:val="2610" w14:font="MS Gothic"/>
          </w14:checkbox>
        </w:sdtPr>
        <w:sdtEndPr/>
        <w:sdtContent>
          <w:r w:rsidRPr="0000088F">
            <w:rPr>
              <w:rFonts w:ascii="MS Gothic" w:eastAsia="MS Gothic" w:hAnsi="MS Gothic" w:hint="eastAsia"/>
              <w:bCs/>
              <w:noProof/>
            </w:rPr>
            <w:t>☐</w:t>
          </w:r>
        </w:sdtContent>
      </w:sdt>
      <w:r w:rsidRPr="0000088F">
        <w:rPr>
          <w:noProof/>
        </w:rPr>
        <w:t xml:space="preserve"> Den anmeldte ordning anvendes gennem finansielle formidlere eller alternative handelsplatforme, undtagen for skatteincitamenter til direkte investeringer i støtteberettigede virksomheder (retningslinjernes punkt 22).</w:t>
      </w:r>
    </w:p>
    <w:p w14:paraId="27734ED2" w14:textId="77777777" w:rsidR="00B41E02" w:rsidRPr="0000088F" w:rsidRDefault="00B41E02" w:rsidP="00B41E02">
      <w:pPr>
        <w:pStyle w:val="Text2"/>
        <w:rPr>
          <w:noProof/>
        </w:rPr>
      </w:pPr>
      <w:r w:rsidRPr="0000088F">
        <w:rPr>
          <w:noProof/>
        </w:rPr>
        <w:t>Henvis til den relevante bestemmelse i retsgrundlaget:</w:t>
      </w:r>
    </w:p>
    <w:p w14:paraId="0DA38FDB" w14:textId="77777777" w:rsidR="00B41E02" w:rsidRPr="0000088F" w:rsidRDefault="00B41E02" w:rsidP="00B41E02">
      <w:pPr>
        <w:tabs>
          <w:tab w:val="left" w:leader="dot" w:pos="9072"/>
        </w:tabs>
        <w:ind w:left="709"/>
        <w:rPr>
          <w:noProof/>
        </w:rPr>
      </w:pPr>
      <w:r w:rsidRPr="0000088F">
        <w:rPr>
          <w:noProof/>
        </w:rPr>
        <w:tab/>
      </w:r>
    </w:p>
    <w:p w14:paraId="56D27590" w14:textId="77777777" w:rsidR="00B41E02" w:rsidRPr="0000088F" w:rsidRDefault="00B41E02" w:rsidP="00B41E02">
      <w:pPr>
        <w:pStyle w:val="Point1"/>
        <w:rPr>
          <w:noProof/>
        </w:rPr>
      </w:pPr>
      <w:r w:rsidRPr="0015417F">
        <w:rPr>
          <w:noProof/>
        </w:rPr>
        <w:t>(b)</w:t>
      </w:r>
      <w:r w:rsidRPr="0015417F">
        <w:rPr>
          <w:noProof/>
        </w:rPr>
        <w:tab/>
      </w:r>
      <w:sdt>
        <w:sdtPr>
          <w:rPr>
            <w:noProof/>
          </w:rPr>
          <w:id w:val="-1009291005"/>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anvendes ikke for store virksomheder, bortset fra små selskaber med mellemstor markedsværdi ("midcapselskaber") og innovative midcapselskaber (retningslinjernes punkt 23).</w:t>
      </w:r>
    </w:p>
    <w:p w14:paraId="62F4E735" w14:textId="77777777" w:rsidR="00B41E02" w:rsidRPr="0000088F" w:rsidRDefault="00B41E02" w:rsidP="00B41E02">
      <w:pPr>
        <w:pStyle w:val="Text2"/>
        <w:rPr>
          <w:noProof/>
        </w:rPr>
      </w:pPr>
      <w:r w:rsidRPr="0000088F">
        <w:rPr>
          <w:noProof/>
        </w:rPr>
        <w:t>Henvis til den relevante bestemmelse i retsgrundlaget:</w:t>
      </w:r>
    </w:p>
    <w:p w14:paraId="6856CA8C" w14:textId="77777777" w:rsidR="00B41E02" w:rsidRPr="0000088F" w:rsidRDefault="00B41E02" w:rsidP="00B41E02">
      <w:pPr>
        <w:tabs>
          <w:tab w:val="left" w:leader="dot" w:pos="9072"/>
        </w:tabs>
        <w:ind w:left="709"/>
        <w:rPr>
          <w:noProof/>
        </w:rPr>
      </w:pPr>
      <w:r w:rsidRPr="0000088F">
        <w:rPr>
          <w:noProof/>
        </w:rPr>
        <w:tab/>
      </w:r>
    </w:p>
    <w:p w14:paraId="64A54515" w14:textId="77777777" w:rsidR="00B41E02" w:rsidRPr="0000088F" w:rsidRDefault="00B41E02" w:rsidP="00B41E02">
      <w:pPr>
        <w:pStyle w:val="Point1"/>
        <w:rPr>
          <w:noProof/>
        </w:rPr>
      </w:pPr>
      <w:r w:rsidRPr="0015417F">
        <w:rPr>
          <w:noProof/>
        </w:rPr>
        <w:t>(c)</w:t>
      </w:r>
      <w:r w:rsidRPr="0015417F">
        <w:rPr>
          <w:noProof/>
        </w:rPr>
        <w:tab/>
      </w:r>
      <w:sdt>
        <w:sdtPr>
          <w:rPr>
            <w:noProof/>
          </w:rPr>
          <w:id w:val="570777702"/>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omfatter ikke risikofinansieringsstøtte til virksomheder, der er noteret på et reguleret marked (retningslinjernes punkt 24).</w:t>
      </w:r>
    </w:p>
    <w:p w14:paraId="335829DF" w14:textId="77777777" w:rsidR="00B41E02" w:rsidRPr="0000088F" w:rsidRDefault="00B41E02" w:rsidP="00B41E02">
      <w:pPr>
        <w:pStyle w:val="Text2"/>
        <w:rPr>
          <w:noProof/>
        </w:rPr>
      </w:pPr>
      <w:r w:rsidRPr="0000088F">
        <w:rPr>
          <w:noProof/>
        </w:rPr>
        <w:t>Henvis til den relevante bestemmelse i retsgrundlaget:</w:t>
      </w:r>
    </w:p>
    <w:p w14:paraId="584B116C" w14:textId="77777777" w:rsidR="00B41E02" w:rsidRPr="0000088F" w:rsidRDefault="00B41E02" w:rsidP="00B41E02">
      <w:pPr>
        <w:tabs>
          <w:tab w:val="left" w:leader="dot" w:pos="9072"/>
        </w:tabs>
        <w:ind w:left="709"/>
        <w:rPr>
          <w:noProof/>
        </w:rPr>
      </w:pPr>
      <w:r w:rsidRPr="0000088F">
        <w:rPr>
          <w:noProof/>
        </w:rPr>
        <w:tab/>
      </w:r>
    </w:p>
    <w:p w14:paraId="52E84C07" w14:textId="77777777" w:rsidR="00B41E02" w:rsidRPr="0000088F" w:rsidRDefault="00B41E02" w:rsidP="00B41E02">
      <w:pPr>
        <w:pStyle w:val="Point1"/>
        <w:rPr>
          <w:noProof/>
        </w:rPr>
      </w:pPr>
      <w:r w:rsidRPr="0015417F">
        <w:rPr>
          <w:noProof/>
        </w:rPr>
        <w:t>(d)</w:t>
      </w:r>
      <w:r w:rsidRPr="0015417F">
        <w:rPr>
          <w:noProof/>
        </w:rPr>
        <w:tab/>
      </w:r>
      <w:sdt>
        <w:sdtPr>
          <w:rPr>
            <w:noProof/>
          </w:rPr>
          <w:id w:val="1349754634"/>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omfatter deltagelse af uafhængige private investorer (retningslinjernes punkt 25).</w:t>
      </w:r>
    </w:p>
    <w:p w14:paraId="34B982AF" w14:textId="77777777" w:rsidR="00B41E02" w:rsidRPr="0000088F" w:rsidRDefault="00B41E02" w:rsidP="00B41E02">
      <w:pPr>
        <w:pStyle w:val="Text2"/>
        <w:rPr>
          <w:noProof/>
        </w:rPr>
      </w:pPr>
      <w:r w:rsidRPr="0000088F">
        <w:rPr>
          <w:noProof/>
        </w:rPr>
        <w:t xml:space="preserve">Henvis til den relevante bestemmelse i retsgrundlaget: </w:t>
      </w:r>
    </w:p>
    <w:p w14:paraId="4BD73AC1" w14:textId="77777777" w:rsidR="00B41E02" w:rsidRPr="0000088F" w:rsidRDefault="00B41E02" w:rsidP="00B41E02">
      <w:pPr>
        <w:tabs>
          <w:tab w:val="left" w:leader="dot" w:pos="9072"/>
        </w:tabs>
        <w:ind w:left="709"/>
        <w:rPr>
          <w:noProof/>
        </w:rPr>
      </w:pPr>
      <w:r w:rsidRPr="0000088F">
        <w:rPr>
          <w:noProof/>
        </w:rPr>
        <w:tab/>
      </w:r>
    </w:p>
    <w:p w14:paraId="1AF5ED62" w14:textId="77777777" w:rsidR="00B41E02" w:rsidRPr="0000088F" w:rsidRDefault="00B41E02" w:rsidP="00B41E02">
      <w:pPr>
        <w:pStyle w:val="Point1"/>
        <w:rPr>
          <w:noProof/>
        </w:rPr>
      </w:pPr>
      <w:r w:rsidRPr="0015417F">
        <w:rPr>
          <w:noProof/>
        </w:rPr>
        <w:t>(e)</w:t>
      </w:r>
      <w:r w:rsidRPr="0015417F">
        <w:rPr>
          <w:noProof/>
        </w:rPr>
        <w:tab/>
      </w:r>
      <w:sdt>
        <w:sdtPr>
          <w:rPr>
            <w:noProof/>
          </w:rPr>
          <w:id w:val="-992254222"/>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Ved asymmetrisk risiko-/afkastdeling mellem staten og private investorer indebærer den anmeldte ordning, at en betydelig risiko bæres af de private investorer, eller at staten får et afkast (retningslinjernes punkt 26).</w:t>
      </w:r>
    </w:p>
    <w:p w14:paraId="67A09853" w14:textId="77777777" w:rsidR="00B41E02" w:rsidRPr="0000088F" w:rsidRDefault="00B41E02" w:rsidP="00B41E02">
      <w:pPr>
        <w:pStyle w:val="Text2"/>
        <w:rPr>
          <w:noProof/>
        </w:rPr>
      </w:pPr>
      <w:r w:rsidRPr="0000088F">
        <w:rPr>
          <w:noProof/>
        </w:rPr>
        <w:t>Henvis til den relevante bestemmelse i retsgrundlaget:</w:t>
      </w:r>
    </w:p>
    <w:p w14:paraId="17008C2F" w14:textId="77777777" w:rsidR="00B41E02" w:rsidRPr="0000088F" w:rsidRDefault="00B41E02" w:rsidP="00B41E02">
      <w:pPr>
        <w:tabs>
          <w:tab w:val="left" w:leader="dot" w:pos="9072"/>
        </w:tabs>
        <w:ind w:left="709"/>
        <w:rPr>
          <w:noProof/>
        </w:rPr>
      </w:pPr>
      <w:r w:rsidRPr="0000088F">
        <w:rPr>
          <w:noProof/>
        </w:rPr>
        <w:tab/>
      </w:r>
    </w:p>
    <w:p w14:paraId="0B0EAD5C" w14:textId="77777777" w:rsidR="00B41E02" w:rsidRPr="0000088F" w:rsidRDefault="00B41E02" w:rsidP="00B41E02">
      <w:pPr>
        <w:pStyle w:val="Point1"/>
        <w:rPr>
          <w:noProof/>
        </w:rPr>
      </w:pPr>
      <w:r w:rsidRPr="0015417F">
        <w:rPr>
          <w:noProof/>
        </w:rPr>
        <w:t>(f)</w:t>
      </w:r>
      <w:r w:rsidRPr="0015417F">
        <w:rPr>
          <w:noProof/>
        </w:rPr>
        <w:tab/>
      </w:r>
      <w:sdt>
        <w:sdtPr>
          <w:rPr>
            <w:noProof/>
          </w:rPr>
          <w:id w:val="957454341"/>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kan ikke bruges til at støtte buy-out (retningslinjernes punkt 27).</w:t>
      </w:r>
    </w:p>
    <w:p w14:paraId="4D1D646F" w14:textId="77777777" w:rsidR="00B41E02" w:rsidRPr="0000088F" w:rsidRDefault="00B41E02" w:rsidP="00B41E02">
      <w:pPr>
        <w:pStyle w:val="Text2"/>
        <w:rPr>
          <w:noProof/>
        </w:rPr>
      </w:pPr>
      <w:r w:rsidRPr="0000088F">
        <w:rPr>
          <w:noProof/>
        </w:rPr>
        <w:t>Henvis til den relevante bestemmelse i retsgrundlaget:</w:t>
      </w:r>
    </w:p>
    <w:p w14:paraId="7BA2D122" w14:textId="77777777" w:rsidR="00B41E02" w:rsidRPr="0000088F" w:rsidRDefault="00B41E02" w:rsidP="00B41E02">
      <w:pPr>
        <w:tabs>
          <w:tab w:val="left" w:leader="dot" w:pos="9072"/>
        </w:tabs>
        <w:ind w:left="709"/>
        <w:rPr>
          <w:noProof/>
        </w:rPr>
      </w:pPr>
      <w:r w:rsidRPr="0000088F">
        <w:rPr>
          <w:noProof/>
        </w:rPr>
        <w:tab/>
      </w:r>
    </w:p>
    <w:p w14:paraId="303E0B40" w14:textId="77777777" w:rsidR="00B41E02" w:rsidRPr="0000088F" w:rsidRDefault="00B41E02" w:rsidP="00B41E02">
      <w:pPr>
        <w:pStyle w:val="Point1"/>
        <w:rPr>
          <w:noProof/>
        </w:rPr>
      </w:pPr>
      <w:r w:rsidRPr="0015417F">
        <w:rPr>
          <w:noProof/>
        </w:rPr>
        <w:t>(g)</w:t>
      </w:r>
      <w:r w:rsidRPr="0015417F">
        <w:rPr>
          <w:noProof/>
        </w:rPr>
        <w:tab/>
      </w:r>
      <w:sdt>
        <w:sdtPr>
          <w:rPr>
            <w:noProof/>
          </w:rPr>
          <w:id w:val="-1812702229"/>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indebærer, at der ikke ydes risikofinansieringsstøtte til kriseramte virksomheder som defineret i rammebestemmelserne for statsstøtte til redning og omstrukturering af kriseramte ikkefinansielle virksomheder</w:t>
      </w:r>
      <w:r w:rsidRPr="0000088F">
        <w:rPr>
          <w:rStyle w:val="FootnoteReference"/>
          <w:noProof/>
          <w:szCs w:val="27"/>
          <w:shd w:val="clear" w:color="auto" w:fill="FFFFFF"/>
        </w:rPr>
        <w:footnoteReference w:id="8"/>
      </w:r>
      <w:r w:rsidRPr="0000088F">
        <w:rPr>
          <w:noProof/>
        </w:rPr>
        <w:t xml:space="preserve"> (bemærk, at SMV'er, som i en periode højst svarende til den støtteberettigelsesperiode, der er fastsat i artikel 21 i forordning (EU) nr. 651/2014, har haft aktiviteter på et hvilket som helst marked, og som er berettiget til risikofinansieringsinvesteringer efter den valgte finansielle formidlers due diligence-undersøgelse, ifølge retningslinjerne ikke kan betragtes som kriseramte virksomheder, medmindre de er genstand for insolvensbehandling eller opfylder kriterierne i den nationale lovgivning for at </w:t>
      </w:r>
      <w:r w:rsidRPr="0000088F">
        <w:rPr>
          <w:noProof/>
        </w:rPr>
        <w:lastRenderedPageBreak/>
        <w:t>være omfattet af kollektiv insolvensbehandling efter anmodning fra deres kreditorer) (retningslinjernes punkt 28, litra a)).</w:t>
      </w:r>
    </w:p>
    <w:p w14:paraId="57426081" w14:textId="77777777" w:rsidR="00B41E02" w:rsidRPr="0000088F" w:rsidRDefault="00B41E02" w:rsidP="00B41E02">
      <w:pPr>
        <w:pStyle w:val="Text2"/>
        <w:rPr>
          <w:bCs/>
          <w:noProof/>
        </w:rPr>
      </w:pPr>
      <w:r w:rsidRPr="0000088F">
        <w:rPr>
          <w:noProof/>
        </w:rPr>
        <w:t>Henvis til den relevante bestemmelse i retsgrundlaget:</w:t>
      </w:r>
    </w:p>
    <w:p w14:paraId="287D0EEE" w14:textId="77777777" w:rsidR="00B41E02" w:rsidRPr="0000088F" w:rsidRDefault="00B41E02" w:rsidP="00FF4224">
      <w:pPr>
        <w:tabs>
          <w:tab w:val="left" w:leader="dot" w:pos="9072"/>
        </w:tabs>
        <w:ind w:left="1417"/>
        <w:rPr>
          <w:noProof/>
        </w:rPr>
      </w:pPr>
      <w:r w:rsidRPr="0000088F">
        <w:rPr>
          <w:noProof/>
        </w:rPr>
        <w:tab/>
      </w:r>
    </w:p>
    <w:p w14:paraId="60B280AC" w14:textId="77777777" w:rsidR="00B41E02" w:rsidRPr="0000088F" w:rsidRDefault="00B41E02" w:rsidP="00B41E02">
      <w:pPr>
        <w:pStyle w:val="Point1"/>
        <w:rPr>
          <w:noProof/>
        </w:rPr>
      </w:pPr>
      <w:r w:rsidRPr="0015417F">
        <w:rPr>
          <w:noProof/>
        </w:rPr>
        <w:t>(h)</w:t>
      </w:r>
      <w:r w:rsidRPr="0015417F">
        <w:rPr>
          <w:noProof/>
        </w:rPr>
        <w:tab/>
      </w:r>
      <w:sdt>
        <w:sdtPr>
          <w:rPr>
            <w:noProof/>
          </w:rPr>
          <w:id w:val="-1205098764"/>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omfatter ikke støtte til virksomheder, der har modtaget ulovlig statsstøtte, der endnu ikke er fuldt tilbagebetalt (retningslinjernes punkt 28, litra b)).</w:t>
      </w:r>
    </w:p>
    <w:p w14:paraId="3AFF39E0" w14:textId="77777777" w:rsidR="00B41E02" w:rsidRPr="0000088F" w:rsidRDefault="00B41E02" w:rsidP="00B41E02">
      <w:pPr>
        <w:pStyle w:val="Point1"/>
        <w:rPr>
          <w:noProof/>
        </w:rPr>
      </w:pPr>
      <w:r w:rsidRPr="0015417F">
        <w:rPr>
          <w:noProof/>
        </w:rPr>
        <w:t>(i)</w:t>
      </w:r>
      <w:r w:rsidRPr="0015417F">
        <w:rPr>
          <w:noProof/>
        </w:rPr>
        <w:tab/>
      </w:r>
      <w:sdt>
        <w:sdtPr>
          <w:rPr>
            <w:noProof/>
          </w:rPr>
          <w:id w:val="-551919198"/>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omfatter ikke støtte til eksportrelaterede aktiviteter over for tredjelande eller medlemsstater, dvs. støtte direkte forbundet med de eksporterede mængder, oprettelsen og driften af et distributionsnetværk eller andre løbende udgifter, der er forbundet med eksportaktiviteten, samt støtte betinget af anvendelsen af nationalt producerede frem for importerede produkter (retningslinjernes punkt 29).</w:t>
      </w:r>
    </w:p>
    <w:p w14:paraId="6C5C15B9" w14:textId="77777777" w:rsidR="00B41E02" w:rsidRPr="0000088F" w:rsidRDefault="00B41E02" w:rsidP="00B41E02">
      <w:pPr>
        <w:pStyle w:val="Point1"/>
        <w:rPr>
          <w:noProof/>
        </w:rPr>
      </w:pPr>
      <w:r w:rsidRPr="0015417F">
        <w:rPr>
          <w:noProof/>
        </w:rPr>
        <w:t>(j)</w:t>
      </w:r>
      <w:r w:rsidRPr="0015417F">
        <w:rPr>
          <w:noProof/>
        </w:rPr>
        <w:tab/>
      </w:r>
      <w:sdt>
        <w:sdtPr>
          <w:rPr>
            <w:noProof/>
          </w:rPr>
          <w:id w:val="-1307784289"/>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gør ikke støtten betinget af anvendelse af nationalt producerede varer eller nationale tjenester, den strider ikke imod etableringsfriheden, f.eks. i form af en forpligtelse for finansielle formidlere, deres forvaltere eller endelige støttemodtagere til at have eller flytte deres hjemsted til den berørte medlemsstats territorie, og den indfører ingen foranstaltninger, der er i strid med traktatens artikel 63 om frie kapitalbevægelser (retningslinjernes punkt 41).</w:t>
      </w:r>
    </w:p>
    <w:p w14:paraId="23BA41C3" w14:textId="77777777" w:rsidR="00B41E02" w:rsidRPr="0000088F" w:rsidRDefault="00B41E02" w:rsidP="00B41E02">
      <w:pPr>
        <w:pStyle w:val="ManualHeading1"/>
        <w:rPr>
          <w:noProof/>
        </w:rPr>
      </w:pPr>
      <w:r w:rsidRPr="0015417F">
        <w:rPr>
          <w:noProof/>
        </w:rPr>
        <w:t>2.</w:t>
      </w:r>
      <w:r w:rsidRPr="0015417F">
        <w:rPr>
          <w:noProof/>
        </w:rPr>
        <w:tab/>
      </w:r>
      <w:r w:rsidRPr="0000088F">
        <w:rPr>
          <w:noProof/>
        </w:rPr>
        <w:t>Beskrivelse af ordningen</w:t>
      </w:r>
    </w:p>
    <w:p w14:paraId="3B798A84" w14:textId="77777777" w:rsidR="00B41E02" w:rsidRPr="0000088F" w:rsidRDefault="00B41E02" w:rsidP="00B41E02">
      <w:pPr>
        <w:pStyle w:val="ManualHeading2"/>
        <w:rPr>
          <w:noProof/>
        </w:rPr>
      </w:pPr>
      <w:r w:rsidRPr="0015417F">
        <w:rPr>
          <w:noProof/>
        </w:rPr>
        <w:t>2.1.</w:t>
      </w:r>
      <w:r w:rsidRPr="0015417F">
        <w:rPr>
          <w:noProof/>
        </w:rPr>
        <w:tab/>
      </w:r>
      <w:r w:rsidRPr="0000088F">
        <w:rPr>
          <w:noProof/>
        </w:rPr>
        <w:t>Ordningens budget:</w:t>
      </w:r>
    </w:p>
    <w:p w14:paraId="40C3B807" w14:textId="77777777" w:rsidR="00B41E02" w:rsidRPr="0000088F" w:rsidRDefault="00B41E02" w:rsidP="00B41E02">
      <w:pPr>
        <w:pStyle w:val="Point1"/>
        <w:rPr>
          <w:noProof/>
        </w:rPr>
      </w:pPr>
      <w:r w:rsidRPr="0015417F">
        <w:rPr>
          <w:noProof/>
        </w:rPr>
        <w:t>(a)</w:t>
      </w:r>
      <w:r w:rsidRPr="0015417F">
        <w:rPr>
          <w:noProof/>
        </w:rPr>
        <w:tab/>
      </w:r>
      <w:r w:rsidRPr="0000088F">
        <w:rPr>
          <w:noProof/>
        </w:rPr>
        <w:t>Hvad er det samlede investeringsbeløb (inklusive både den offentlige og den private del) pr. støttemodtagende virksomhed over hele investeringscyklussen for hver virksomhed, der er omfattet af ordningen (dvs. ikke pr. år)? Angiv den offentlige del og den private del:</w:t>
      </w:r>
    </w:p>
    <w:p w14:paraId="2F77C8B9" w14:textId="77777777" w:rsidR="00B41E02" w:rsidRPr="0000088F" w:rsidRDefault="00B41E02" w:rsidP="00B41E02">
      <w:pPr>
        <w:tabs>
          <w:tab w:val="left" w:leader="dot" w:pos="9072"/>
        </w:tabs>
        <w:ind w:left="709"/>
        <w:rPr>
          <w:noProof/>
        </w:rPr>
      </w:pPr>
      <w:r w:rsidRPr="0000088F">
        <w:rPr>
          <w:noProof/>
        </w:rPr>
        <w:tab/>
      </w:r>
    </w:p>
    <w:p w14:paraId="215C356E" w14:textId="77777777" w:rsidR="00B41E02" w:rsidRPr="0000088F" w:rsidRDefault="00B41E02" w:rsidP="00B41E02">
      <w:pPr>
        <w:pStyle w:val="Point1"/>
        <w:rPr>
          <w:noProof/>
        </w:rPr>
      </w:pPr>
      <w:r w:rsidRPr="0015417F">
        <w:rPr>
          <w:noProof/>
        </w:rPr>
        <w:t>(b)</w:t>
      </w:r>
      <w:r w:rsidRPr="0015417F">
        <w:rPr>
          <w:noProof/>
        </w:rPr>
        <w:tab/>
      </w:r>
      <w:r w:rsidRPr="0000088F">
        <w:rPr>
          <w:noProof/>
        </w:rPr>
        <w:t>Hvad er ordningens årlige budget?</w:t>
      </w:r>
    </w:p>
    <w:p w14:paraId="697A76BA" w14:textId="77777777" w:rsidR="00B41E02" w:rsidRPr="0000088F" w:rsidRDefault="00B41E02" w:rsidP="00B41E02">
      <w:pPr>
        <w:tabs>
          <w:tab w:val="left" w:leader="dot" w:pos="9072"/>
        </w:tabs>
        <w:ind w:left="709"/>
        <w:rPr>
          <w:bCs/>
          <w:noProof/>
        </w:rPr>
      </w:pPr>
      <w:r w:rsidRPr="0000088F">
        <w:rPr>
          <w:noProof/>
        </w:rPr>
        <w:tab/>
      </w:r>
    </w:p>
    <w:p w14:paraId="1A29BF80" w14:textId="77777777" w:rsidR="00B41E02" w:rsidRPr="0000088F" w:rsidRDefault="00B41E02" w:rsidP="00B41E02">
      <w:pPr>
        <w:pStyle w:val="Point1"/>
        <w:rPr>
          <w:noProof/>
        </w:rPr>
      </w:pPr>
      <w:r w:rsidRPr="0015417F">
        <w:rPr>
          <w:noProof/>
        </w:rPr>
        <w:t>(c)</w:t>
      </w:r>
      <w:r w:rsidRPr="0015417F">
        <w:rPr>
          <w:noProof/>
        </w:rPr>
        <w:tab/>
      </w:r>
      <w:r w:rsidRPr="0000088F">
        <w:rPr>
          <w:noProof/>
        </w:rPr>
        <w:t xml:space="preserve">Hvad er det samlede budget for hele ordningen varighed? </w:t>
      </w:r>
    </w:p>
    <w:p w14:paraId="4EA443A0" w14:textId="77777777" w:rsidR="00B41E02" w:rsidRPr="0000088F" w:rsidRDefault="00B41E02" w:rsidP="00B41E02">
      <w:pPr>
        <w:tabs>
          <w:tab w:val="left" w:leader="dot" w:pos="9072"/>
        </w:tabs>
        <w:ind w:left="709"/>
        <w:rPr>
          <w:noProof/>
        </w:rPr>
      </w:pPr>
      <w:r w:rsidRPr="0000088F">
        <w:rPr>
          <w:noProof/>
        </w:rPr>
        <w:tab/>
      </w:r>
    </w:p>
    <w:p w14:paraId="0EC33ED3" w14:textId="0C5490A7" w:rsidR="00B41E02" w:rsidRPr="0000088F" w:rsidRDefault="00B41E02" w:rsidP="00B41E02">
      <w:pPr>
        <w:pStyle w:val="Point1"/>
        <w:rPr>
          <w:noProof/>
        </w:rPr>
      </w:pPr>
      <w:r w:rsidRPr="0015417F">
        <w:rPr>
          <w:noProof/>
        </w:rPr>
        <w:t>(d)</w:t>
      </w:r>
      <w:r w:rsidRPr="0015417F">
        <w:rPr>
          <w:noProof/>
        </w:rPr>
        <w:tab/>
      </w:r>
      <w:r w:rsidRPr="0000088F">
        <w:rPr>
          <w:noProof/>
        </w:rPr>
        <w:t>Hvad er størrelsen på de investeringsfonde, der oprettes under ordningen?</w:t>
      </w:r>
    </w:p>
    <w:p w14:paraId="734DD521" w14:textId="77777777" w:rsidR="00B41E02" w:rsidRPr="0000088F" w:rsidRDefault="00B41E02" w:rsidP="00B41E02">
      <w:pPr>
        <w:tabs>
          <w:tab w:val="left" w:leader="dot" w:pos="9072"/>
        </w:tabs>
        <w:ind w:left="709"/>
        <w:rPr>
          <w:bCs/>
          <w:noProof/>
        </w:rPr>
      </w:pPr>
      <w:r w:rsidRPr="0000088F">
        <w:rPr>
          <w:noProof/>
        </w:rPr>
        <w:tab/>
      </w:r>
    </w:p>
    <w:p w14:paraId="0BF640D6" w14:textId="77777777" w:rsidR="00B41E02" w:rsidRPr="0000088F" w:rsidRDefault="00B41E02" w:rsidP="00B41E02">
      <w:pPr>
        <w:pStyle w:val="Point1"/>
        <w:rPr>
          <w:noProof/>
        </w:rPr>
      </w:pPr>
      <w:r w:rsidRPr="0015417F">
        <w:rPr>
          <w:noProof/>
        </w:rPr>
        <w:t>(e)</w:t>
      </w:r>
      <w:r w:rsidRPr="0015417F">
        <w:rPr>
          <w:noProof/>
        </w:rPr>
        <w:tab/>
      </w:r>
      <w:r w:rsidRPr="0000088F">
        <w:rPr>
          <w:noProof/>
        </w:rPr>
        <w:t>Medfinansieres ordningen af EU-midler (InvestEU-Fonden, Den Europæiske Socialfond, Den Europæiske Fond for Regionaludvikling, andre)? Angiv EU-Fonden:</w:t>
      </w:r>
    </w:p>
    <w:p w14:paraId="01221050" w14:textId="77777777" w:rsidR="00B41E02" w:rsidRPr="0000088F" w:rsidRDefault="00B41E02" w:rsidP="00B41E02">
      <w:pPr>
        <w:tabs>
          <w:tab w:val="left" w:leader="dot" w:pos="9072"/>
        </w:tabs>
        <w:ind w:left="709"/>
        <w:rPr>
          <w:noProof/>
        </w:rPr>
      </w:pPr>
      <w:r w:rsidRPr="0000088F">
        <w:rPr>
          <w:noProof/>
        </w:rPr>
        <w:tab/>
      </w:r>
    </w:p>
    <w:p w14:paraId="12D873E1" w14:textId="77777777" w:rsidR="00B41E02" w:rsidRPr="0000088F" w:rsidRDefault="00B41E02" w:rsidP="00B41E02">
      <w:pPr>
        <w:pStyle w:val="ManualHeading2"/>
        <w:rPr>
          <w:noProof/>
        </w:rPr>
      </w:pPr>
      <w:r w:rsidRPr="0015417F">
        <w:rPr>
          <w:noProof/>
        </w:rPr>
        <w:t>2.2.</w:t>
      </w:r>
      <w:r w:rsidRPr="0015417F">
        <w:rPr>
          <w:noProof/>
        </w:rPr>
        <w:tab/>
      </w:r>
      <w:r w:rsidRPr="0000088F">
        <w:rPr>
          <w:noProof/>
        </w:rPr>
        <w:t>Ordningens varighed:</w:t>
      </w:r>
    </w:p>
    <w:p w14:paraId="07E72F0F" w14:textId="156CE53A" w:rsidR="00FF4224" w:rsidRDefault="00B41E02" w:rsidP="00B41E02">
      <w:pPr>
        <w:pStyle w:val="Point1"/>
        <w:rPr>
          <w:noProof/>
        </w:rPr>
      </w:pPr>
      <w:r w:rsidRPr="0015417F">
        <w:rPr>
          <w:noProof/>
        </w:rPr>
        <w:t>(a)</w:t>
      </w:r>
      <w:r w:rsidRPr="0015417F">
        <w:rPr>
          <w:noProof/>
        </w:rPr>
        <w:tab/>
      </w:r>
      <w:r w:rsidRPr="0000088F">
        <w:rPr>
          <w:noProof/>
        </w:rPr>
        <w:t>Angiv ordningens varighed: (ikrafttrædelses- og udløbsdato)</w:t>
      </w:r>
      <w:r w:rsidR="00FF4224">
        <w:rPr>
          <w:noProof/>
        </w:rPr>
        <w:t>:</w:t>
      </w:r>
    </w:p>
    <w:p w14:paraId="4B04FBA9" w14:textId="77777777" w:rsidR="00FF4224" w:rsidRPr="004322E4" w:rsidRDefault="00FF4224" w:rsidP="00221B0A">
      <w:pPr>
        <w:tabs>
          <w:tab w:val="left" w:leader="dot" w:pos="9072"/>
        </w:tabs>
        <w:ind w:left="709"/>
        <w:rPr>
          <w:noProof/>
        </w:rPr>
      </w:pPr>
      <w:r w:rsidRPr="004322E4">
        <w:rPr>
          <w:noProof/>
        </w:rPr>
        <w:tab/>
      </w:r>
    </w:p>
    <w:p w14:paraId="309515F0" w14:textId="77777777" w:rsidR="00FF4224" w:rsidRDefault="00B41E02" w:rsidP="00B41E02">
      <w:pPr>
        <w:pStyle w:val="Point1"/>
        <w:rPr>
          <w:noProof/>
        </w:rPr>
      </w:pPr>
      <w:r w:rsidRPr="0015417F">
        <w:rPr>
          <w:noProof/>
        </w:rPr>
        <w:t>(b)</w:t>
      </w:r>
      <w:r w:rsidRPr="0015417F">
        <w:rPr>
          <w:noProof/>
        </w:rPr>
        <w:tab/>
      </w:r>
      <w:r w:rsidRPr="0000088F">
        <w:rPr>
          <w:noProof/>
        </w:rPr>
        <w:t xml:space="preserve">Angiv investeringsperiodens påtænkte varighed: </w:t>
      </w:r>
    </w:p>
    <w:p w14:paraId="627770E7" w14:textId="77777777" w:rsidR="00FF4224" w:rsidRPr="004322E4" w:rsidRDefault="00FF4224" w:rsidP="00221B0A">
      <w:pPr>
        <w:tabs>
          <w:tab w:val="left" w:leader="dot" w:pos="9072"/>
        </w:tabs>
        <w:ind w:left="709"/>
        <w:rPr>
          <w:noProof/>
        </w:rPr>
      </w:pPr>
      <w:r w:rsidRPr="004322E4">
        <w:rPr>
          <w:noProof/>
        </w:rPr>
        <w:lastRenderedPageBreak/>
        <w:tab/>
      </w:r>
    </w:p>
    <w:p w14:paraId="16E9D82E" w14:textId="42ACE039" w:rsidR="00B41E02" w:rsidRDefault="00B41E02" w:rsidP="00B41E02">
      <w:pPr>
        <w:pStyle w:val="Point1"/>
        <w:rPr>
          <w:noProof/>
        </w:rPr>
      </w:pPr>
      <w:r w:rsidRPr="0015417F">
        <w:rPr>
          <w:noProof/>
        </w:rPr>
        <w:t>(c)</w:t>
      </w:r>
      <w:r w:rsidRPr="0015417F">
        <w:rPr>
          <w:noProof/>
        </w:rPr>
        <w:tab/>
      </w:r>
      <w:r w:rsidRPr="0000088F">
        <w:rPr>
          <w:noProof/>
        </w:rPr>
        <w:t>Angiv ihændehaverperiodens påtænkte varighed:</w:t>
      </w:r>
    </w:p>
    <w:p w14:paraId="3AF793BB" w14:textId="0601449A" w:rsidR="00FF4224" w:rsidRPr="0000088F" w:rsidRDefault="00FF4224" w:rsidP="00221B0A">
      <w:pPr>
        <w:tabs>
          <w:tab w:val="left" w:leader="dot" w:pos="9072"/>
        </w:tabs>
        <w:ind w:left="709"/>
        <w:rPr>
          <w:noProof/>
        </w:rPr>
      </w:pPr>
      <w:r w:rsidRPr="004322E4">
        <w:rPr>
          <w:noProof/>
        </w:rPr>
        <w:tab/>
      </w:r>
    </w:p>
    <w:p w14:paraId="2DA4A49A" w14:textId="77777777" w:rsidR="00FF4224" w:rsidRDefault="00B41E02" w:rsidP="00FF4224">
      <w:pPr>
        <w:pStyle w:val="Point1"/>
        <w:rPr>
          <w:noProof/>
        </w:rPr>
      </w:pPr>
      <w:r w:rsidRPr="0015417F">
        <w:rPr>
          <w:noProof/>
        </w:rPr>
        <w:t>(d)</w:t>
      </w:r>
      <w:r w:rsidRPr="0015417F">
        <w:rPr>
          <w:noProof/>
        </w:rPr>
        <w:tab/>
      </w:r>
      <w:r w:rsidRPr="0000088F">
        <w:rPr>
          <w:noProof/>
        </w:rPr>
        <w:t>Gælder der forskellige slutdatoer for forskellige former for støtte under ordningen?</w:t>
      </w:r>
      <w:r w:rsidR="00FF4224">
        <w:rPr>
          <w:noProof/>
        </w:rPr>
        <w:t xml:space="preserve"> </w:t>
      </w:r>
    </w:p>
    <w:p w14:paraId="204B65EA" w14:textId="77777777" w:rsidR="00FF4224" w:rsidRPr="004322E4" w:rsidRDefault="00FF4224" w:rsidP="00221B0A">
      <w:pPr>
        <w:tabs>
          <w:tab w:val="left" w:leader="dot" w:pos="9072"/>
        </w:tabs>
        <w:ind w:left="709"/>
        <w:rPr>
          <w:noProof/>
        </w:rPr>
      </w:pPr>
      <w:r w:rsidRPr="004322E4">
        <w:rPr>
          <w:noProof/>
        </w:rPr>
        <w:tab/>
      </w:r>
    </w:p>
    <w:p w14:paraId="1AFB33B5" w14:textId="77777777" w:rsidR="00B41E02" w:rsidRPr="0000088F" w:rsidRDefault="00B41E02" w:rsidP="00B41E02">
      <w:pPr>
        <w:pStyle w:val="ManualHeading2"/>
        <w:rPr>
          <w:noProof/>
        </w:rPr>
      </w:pPr>
      <w:r w:rsidRPr="0015417F">
        <w:rPr>
          <w:noProof/>
        </w:rPr>
        <w:t>2.3.</w:t>
      </w:r>
      <w:r w:rsidRPr="0015417F">
        <w:rPr>
          <w:noProof/>
        </w:rPr>
        <w:tab/>
      </w:r>
      <w:r w:rsidRPr="0000088F">
        <w:rPr>
          <w:noProof/>
        </w:rPr>
        <w:t>Målvirksomheder, som er de endelige støttemodtagere under den anmeldte ordning – Den forudgående vurdering</w:t>
      </w:r>
      <w:r w:rsidRPr="0000088F">
        <w:rPr>
          <w:rStyle w:val="FootnoteReference"/>
          <w:noProof/>
        </w:rPr>
        <w:footnoteReference w:id="9"/>
      </w:r>
      <w:r w:rsidRPr="0000088F">
        <w:rPr>
          <w:noProof/>
        </w:rPr>
        <w:t xml:space="preserve"> viser, at ordningen skal målrettes følgende virksomheder som endelige støttemodtagere (retningslinjernes punkt 53-66): </w:t>
      </w:r>
    </w:p>
    <w:p w14:paraId="31FB6CF7" w14:textId="77777777" w:rsidR="00B41E02" w:rsidRPr="0000088F" w:rsidRDefault="00B41E02" w:rsidP="00B41E02">
      <w:pPr>
        <w:pStyle w:val="Point1"/>
        <w:rPr>
          <w:noProof/>
        </w:rPr>
      </w:pPr>
      <w:r w:rsidRPr="0015417F">
        <w:rPr>
          <w:noProof/>
        </w:rPr>
        <w:t>(a)</w:t>
      </w:r>
      <w:r w:rsidRPr="0015417F">
        <w:rPr>
          <w:noProof/>
        </w:rPr>
        <w:tab/>
      </w:r>
      <w:sdt>
        <w:sdtPr>
          <w:rPr>
            <w:noProof/>
          </w:rPr>
          <w:id w:val="-1955864109"/>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Små midcapselskaber (dvs. en virksomhed, som ikke er en SMV, i) med højst 499 ansatte som beregnet i overensstemmelse med artikel 3 til 6 i bilag I til forordning (EU) nr. 651/2014, og ii) hvis årsomsætning ikke overstiger 100 mio. EUR, eller hvis årlige balance ikke overstiger 86 mio. EUR). Giv en opsummering af den økonomiske dokumentation i den forudgående vurdering samt en passende begrundelse:</w:t>
      </w:r>
    </w:p>
    <w:p w14:paraId="158FFAC7" w14:textId="77777777" w:rsidR="00B41E02" w:rsidRPr="0000088F" w:rsidRDefault="00B41E02" w:rsidP="00B41E02">
      <w:pPr>
        <w:tabs>
          <w:tab w:val="left" w:leader="dot" w:pos="9072"/>
        </w:tabs>
        <w:ind w:left="709"/>
        <w:rPr>
          <w:noProof/>
        </w:rPr>
      </w:pPr>
      <w:r w:rsidRPr="0000088F">
        <w:rPr>
          <w:noProof/>
        </w:rPr>
        <w:tab/>
      </w:r>
    </w:p>
    <w:p w14:paraId="4F945CDD" w14:textId="77777777" w:rsidR="00B41E02" w:rsidRPr="0000088F" w:rsidRDefault="00B41E02" w:rsidP="00B41E02">
      <w:pPr>
        <w:pStyle w:val="Point1"/>
        <w:rPr>
          <w:noProof/>
        </w:rPr>
      </w:pPr>
      <w:r w:rsidRPr="0015417F">
        <w:rPr>
          <w:noProof/>
        </w:rPr>
        <w:t>(b)</w:t>
      </w:r>
      <w:r w:rsidRPr="0015417F">
        <w:rPr>
          <w:noProof/>
        </w:rPr>
        <w:tab/>
      </w:r>
      <w:sdt>
        <w:sdtPr>
          <w:rPr>
            <w:noProof/>
          </w:rPr>
          <w:id w:val="-848333031"/>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Innovative midcapselskaber, jf. artikel 2 i forordning (EU) nr. 651/2014. Giv en opsummering af den økonomiske dokumentation i den forudgående vurdering samt en passende begrundelse:</w:t>
      </w:r>
    </w:p>
    <w:p w14:paraId="09BB6973" w14:textId="77777777" w:rsidR="00B41E02" w:rsidRPr="0000088F" w:rsidRDefault="00B41E02" w:rsidP="00B41E02">
      <w:pPr>
        <w:tabs>
          <w:tab w:val="left" w:leader="dot" w:pos="9072"/>
        </w:tabs>
        <w:ind w:left="709"/>
        <w:rPr>
          <w:noProof/>
        </w:rPr>
      </w:pPr>
      <w:r w:rsidRPr="0000088F">
        <w:rPr>
          <w:noProof/>
        </w:rPr>
        <w:tab/>
      </w:r>
    </w:p>
    <w:p w14:paraId="75C9081D" w14:textId="77777777" w:rsidR="00B41E02" w:rsidRPr="0000088F" w:rsidRDefault="00B41E02" w:rsidP="00B41E02">
      <w:pPr>
        <w:pStyle w:val="Point1"/>
        <w:rPr>
          <w:noProof/>
        </w:rPr>
      </w:pPr>
      <w:r w:rsidRPr="0015417F">
        <w:rPr>
          <w:noProof/>
        </w:rPr>
        <w:t>(c)</w:t>
      </w:r>
      <w:r w:rsidRPr="0015417F">
        <w:rPr>
          <w:noProof/>
        </w:rPr>
        <w:tab/>
      </w:r>
      <w:sdt>
        <w:sdtPr>
          <w:rPr>
            <w:noProof/>
          </w:rPr>
          <w:id w:val="390383361"/>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Virksomheder, der modtager den første risikofinansieringsinvestering efter at have været aktive på et hvilket som helst marked i en periode, der er længere end den støtteberettigelsesperiode, der er fastsat i artikel 21, stk. 3, litra b, i forordning (EU) nr. 651/2014). Giv en opsummering af den økonomiske dokumentation i den forudgående vurdering samt en passende begrundelse:</w:t>
      </w:r>
    </w:p>
    <w:p w14:paraId="3C49283D" w14:textId="77777777" w:rsidR="00B41E02" w:rsidRPr="0000088F" w:rsidRDefault="00B41E02" w:rsidP="00B41E02">
      <w:pPr>
        <w:tabs>
          <w:tab w:val="left" w:leader="dot" w:pos="9072"/>
        </w:tabs>
        <w:ind w:left="709"/>
        <w:rPr>
          <w:noProof/>
        </w:rPr>
      </w:pPr>
      <w:r w:rsidRPr="0000088F">
        <w:rPr>
          <w:noProof/>
        </w:rPr>
        <w:tab/>
      </w:r>
    </w:p>
    <w:p w14:paraId="5D996E9F" w14:textId="77777777" w:rsidR="00B41E02" w:rsidRPr="0000088F" w:rsidRDefault="00B41E02" w:rsidP="00B41E02">
      <w:pPr>
        <w:pStyle w:val="Point1"/>
        <w:rPr>
          <w:noProof/>
        </w:rPr>
      </w:pPr>
      <w:r w:rsidRPr="0015417F">
        <w:rPr>
          <w:noProof/>
        </w:rPr>
        <w:t>(d)</w:t>
      </w:r>
      <w:r w:rsidRPr="0015417F">
        <w:rPr>
          <w:noProof/>
        </w:rPr>
        <w:tab/>
      </w:r>
      <w:sdt>
        <w:sdtPr>
          <w:rPr>
            <w:noProof/>
          </w:rPr>
          <w:id w:val="1482576734"/>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Opstartsvirksomheder og SMV'er, der har brug for en risikofinansieringsinvestering (både offentlig og privat), der er større end det maksimale beløb på 16,5 mio. EUR pr. støtteberettiget virksomhed, jf. artikel 21 i forordning (EU) nr. 651/2014. Giv en opsummering af den økonomiske dokumentation i den forudgående vurdering samt en passende begrundelse:</w:t>
      </w:r>
    </w:p>
    <w:p w14:paraId="6235A805" w14:textId="77777777" w:rsidR="00B41E02" w:rsidRPr="0000088F" w:rsidRDefault="00B41E02" w:rsidP="00B41E02">
      <w:pPr>
        <w:tabs>
          <w:tab w:val="left" w:leader="dot" w:pos="9072"/>
        </w:tabs>
        <w:ind w:left="709"/>
        <w:rPr>
          <w:noProof/>
        </w:rPr>
      </w:pPr>
      <w:r w:rsidRPr="0000088F">
        <w:rPr>
          <w:noProof/>
        </w:rPr>
        <w:tab/>
      </w:r>
    </w:p>
    <w:p w14:paraId="3F7BB4FD" w14:textId="77777777" w:rsidR="00B41E02" w:rsidRPr="0000088F" w:rsidRDefault="00B41E02" w:rsidP="00B41E02">
      <w:pPr>
        <w:pStyle w:val="Point1"/>
        <w:rPr>
          <w:noProof/>
        </w:rPr>
      </w:pPr>
      <w:r w:rsidRPr="0015417F">
        <w:rPr>
          <w:noProof/>
        </w:rPr>
        <w:t>(e)</w:t>
      </w:r>
      <w:r w:rsidRPr="0015417F">
        <w:rPr>
          <w:noProof/>
        </w:rPr>
        <w:tab/>
      </w:r>
      <w:sdt>
        <w:sdtPr>
          <w:rPr>
            <w:noProof/>
          </w:rPr>
          <w:id w:val="-475533541"/>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Alternative handelsplatforme, der ikke opfylder betingelserne i artikel 23 i forordning (EU) nr. 651/2014. Giv en opsummering af den økonomiske dokumentation i den forudgående vurdering samt en passende begrundelse:</w:t>
      </w:r>
    </w:p>
    <w:p w14:paraId="07DB1A57" w14:textId="77777777" w:rsidR="00B41E02" w:rsidRPr="0000088F" w:rsidRDefault="00B41E02" w:rsidP="00B41E02">
      <w:pPr>
        <w:tabs>
          <w:tab w:val="left" w:leader="dot" w:pos="9072"/>
        </w:tabs>
        <w:ind w:left="709"/>
        <w:rPr>
          <w:noProof/>
        </w:rPr>
      </w:pPr>
      <w:r w:rsidRPr="0000088F">
        <w:rPr>
          <w:noProof/>
        </w:rPr>
        <w:tab/>
      </w:r>
    </w:p>
    <w:p w14:paraId="7B8E3991" w14:textId="77777777" w:rsidR="00B41E02" w:rsidRPr="0000088F" w:rsidRDefault="00B41E02" w:rsidP="00B41E02">
      <w:pPr>
        <w:pStyle w:val="Point1"/>
        <w:rPr>
          <w:bCs/>
          <w:noProof/>
        </w:rPr>
      </w:pPr>
      <w:r w:rsidRPr="0015417F">
        <w:rPr>
          <w:noProof/>
        </w:rPr>
        <w:t>(f)</w:t>
      </w:r>
      <w:r w:rsidRPr="0015417F">
        <w:rPr>
          <w:noProof/>
        </w:rPr>
        <w:tab/>
      </w:r>
      <w:sdt>
        <w:sdtPr>
          <w:rPr>
            <w:noProof/>
          </w:rPr>
          <w:id w:val="1434940947"/>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Andre: </w:t>
      </w:r>
    </w:p>
    <w:p w14:paraId="1A437833" w14:textId="77777777" w:rsidR="00B41E02" w:rsidRPr="0000088F" w:rsidRDefault="00B41E02" w:rsidP="00B41E02">
      <w:pPr>
        <w:tabs>
          <w:tab w:val="left" w:leader="dot" w:pos="9072"/>
        </w:tabs>
        <w:ind w:left="709"/>
        <w:rPr>
          <w:noProof/>
        </w:rPr>
      </w:pPr>
      <w:r w:rsidRPr="0000088F">
        <w:rPr>
          <w:noProof/>
        </w:rPr>
        <w:tab/>
      </w:r>
    </w:p>
    <w:p w14:paraId="2966EE35" w14:textId="77777777" w:rsidR="00B41E02" w:rsidRPr="0000088F" w:rsidRDefault="00B41E02" w:rsidP="0063450F">
      <w:pPr>
        <w:pStyle w:val="Text1"/>
        <w:ind w:left="1417"/>
        <w:rPr>
          <w:noProof/>
        </w:rPr>
      </w:pPr>
      <w:r w:rsidRPr="0000088F">
        <w:rPr>
          <w:noProof/>
        </w:rPr>
        <w:lastRenderedPageBreak/>
        <w:t>Giv en opsummering af den økonomiske dokumentation i den forudgående vurdering samt en passende begrundelse:</w:t>
      </w:r>
    </w:p>
    <w:p w14:paraId="6CCD2B23" w14:textId="77777777" w:rsidR="00B41E02" w:rsidRPr="0000088F" w:rsidRDefault="00B41E02" w:rsidP="00B41E02">
      <w:pPr>
        <w:tabs>
          <w:tab w:val="left" w:leader="dot" w:pos="9072"/>
        </w:tabs>
        <w:ind w:left="709"/>
        <w:rPr>
          <w:noProof/>
        </w:rPr>
      </w:pPr>
      <w:r w:rsidRPr="0000088F">
        <w:rPr>
          <w:noProof/>
        </w:rPr>
        <w:tab/>
      </w:r>
    </w:p>
    <w:p w14:paraId="15FCCD49" w14:textId="77777777" w:rsidR="00B41E02" w:rsidRPr="0000088F" w:rsidRDefault="00B41E02" w:rsidP="00B41E02">
      <w:pPr>
        <w:pStyle w:val="ManualHeading2"/>
        <w:rPr>
          <w:noProof/>
        </w:rPr>
      </w:pPr>
      <w:r w:rsidRPr="0015417F">
        <w:rPr>
          <w:noProof/>
        </w:rPr>
        <w:t>2.4.</w:t>
      </w:r>
      <w:r w:rsidRPr="0015417F">
        <w:rPr>
          <w:noProof/>
        </w:rPr>
        <w:tab/>
      </w:r>
      <w:r w:rsidRPr="0000088F">
        <w:rPr>
          <w:noProof/>
        </w:rPr>
        <w:t>Finansielle instrumenter – Den forudgående vurdering viser, at det er nødvendigt at udforme ordninger med følgende parametre, der ikke er i overensstemmelse med forordning (EU) nr. 651/2014 (retningslinjernes punkt 82-88):</w:t>
      </w:r>
    </w:p>
    <w:p w14:paraId="1E5C2ED5" w14:textId="4DE656C9" w:rsidR="00B41E02" w:rsidRPr="0000088F" w:rsidRDefault="00B41E02" w:rsidP="00B41E02">
      <w:pPr>
        <w:pStyle w:val="Point1"/>
        <w:rPr>
          <w:noProof/>
        </w:rPr>
      </w:pPr>
      <w:r w:rsidRPr="0015417F">
        <w:rPr>
          <w:noProof/>
        </w:rPr>
        <w:t>(a)</w:t>
      </w:r>
      <w:r w:rsidRPr="0015417F">
        <w:rPr>
          <w:noProof/>
        </w:rPr>
        <w:tab/>
      </w:r>
      <w:sdt>
        <w:sdtPr>
          <w:rPr>
            <w:noProof/>
          </w:rPr>
          <w:id w:val="81185039"/>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00FF4224">
        <w:rPr>
          <w:noProof/>
        </w:rPr>
        <w:t xml:space="preserve"> </w:t>
      </w:r>
      <w:r w:rsidRPr="0000088F">
        <w:rPr>
          <w:noProof/>
        </w:rPr>
        <w:t>Deltagelse af uafhængige private investorer under de procentsatser, der er fastsat i artikel 21, stk. 12, i forordning (EU) nr. 651/2014 (retningslinjernes punkt 82-83).</w:t>
      </w:r>
    </w:p>
    <w:p w14:paraId="517D5587" w14:textId="77777777" w:rsidR="00B41E02" w:rsidRPr="0000088F" w:rsidRDefault="00B41E02" w:rsidP="00B41E02">
      <w:pPr>
        <w:pStyle w:val="Text2"/>
        <w:rPr>
          <w:noProof/>
        </w:rPr>
      </w:pPr>
      <w:r w:rsidRPr="0000088F">
        <w:rPr>
          <w:noProof/>
        </w:rPr>
        <w:t>Giv en opsummering af den økonomiske dokumentation i den forudgående vurdering samt en passende begrundelse:</w:t>
      </w:r>
    </w:p>
    <w:p w14:paraId="50470611" w14:textId="77777777" w:rsidR="00B41E02" w:rsidRPr="0000088F" w:rsidRDefault="00B41E02" w:rsidP="00FF4224">
      <w:pPr>
        <w:tabs>
          <w:tab w:val="left" w:leader="dot" w:pos="9072"/>
        </w:tabs>
        <w:ind w:left="720"/>
        <w:rPr>
          <w:noProof/>
        </w:rPr>
      </w:pPr>
      <w:r w:rsidRPr="0000088F">
        <w:rPr>
          <w:noProof/>
        </w:rPr>
        <w:tab/>
      </w:r>
    </w:p>
    <w:p w14:paraId="4FC094D7" w14:textId="2A6DFEE1" w:rsidR="00B41E02" w:rsidRPr="0000088F" w:rsidRDefault="00B41E02" w:rsidP="00B41E02">
      <w:pPr>
        <w:pStyle w:val="Point1"/>
        <w:rPr>
          <w:noProof/>
        </w:rPr>
      </w:pPr>
      <w:r w:rsidRPr="0015417F">
        <w:rPr>
          <w:noProof/>
        </w:rPr>
        <w:t>(b)</w:t>
      </w:r>
      <w:r w:rsidRPr="0015417F">
        <w:rPr>
          <w:noProof/>
        </w:rPr>
        <w:tab/>
      </w:r>
      <w:sdt>
        <w:sdtPr>
          <w:rPr>
            <w:noProof/>
          </w:rPr>
          <w:id w:val="1666356497"/>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w:t>
      </w:r>
      <w:r w:rsidR="00FF4224" w:rsidRPr="0000088F">
        <w:rPr>
          <w:noProof/>
        </w:rPr>
        <w:t>Finansielle</w:t>
      </w:r>
      <w:r w:rsidR="00FF4224">
        <w:rPr>
          <w:noProof/>
        </w:rPr>
        <w:t xml:space="preserve"> </w:t>
      </w:r>
      <w:r w:rsidRPr="0000088F">
        <w:rPr>
          <w:noProof/>
        </w:rPr>
        <w:t>instrumenter udformet med parametre, som ligger over tærsklerne i artikel 21, stk. 10, litra b) (statens "first loss") og c) (garantisatsen), i forordning (EU) nr. 651/2014, dvs. hvor den offentlige investor pådrager sig en større risiko end tilladt i henhold til forordning (EU) nr. 651/2014 (retningslinjernes punkt 84 og 85).</w:t>
      </w:r>
    </w:p>
    <w:p w14:paraId="2A1ACDB4" w14:textId="77777777" w:rsidR="00B41E02" w:rsidRPr="0000088F" w:rsidRDefault="00B41E02" w:rsidP="00B41E02">
      <w:pPr>
        <w:pStyle w:val="Text2"/>
        <w:rPr>
          <w:noProof/>
        </w:rPr>
      </w:pPr>
      <w:r w:rsidRPr="0000088F">
        <w:rPr>
          <w:noProof/>
        </w:rPr>
        <w:t>Giv en opsummering af den økonomiske dokumentation i den forudgående vurdering samt en passende begrundelse:</w:t>
      </w:r>
    </w:p>
    <w:p w14:paraId="615244CF" w14:textId="77777777" w:rsidR="00B41E02" w:rsidRPr="0000088F" w:rsidRDefault="00B41E02" w:rsidP="00FF4224">
      <w:pPr>
        <w:tabs>
          <w:tab w:val="left" w:leader="dot" w:pos="9072"/>
        </w:tabs>
        <w:ind w:left="720"/>
        <w:rPr>
          <w:noProof/>
        </w:rPr>
      </w:pPr>
      <w:r w:rsidRPr="0000088F">
        <w:rPr>
          <w:noProof/>
        </w:rPr>
        <w:tab/>
      </w:r>
    </w:p>
    <w:p w14:paraId="2C26B1E9" w14:textId="77777777" w:rsidR="00B41E02" w:rsidRPr="0000088F" w:rsidRDefault="00B41E02" w:rsidP="00B41E02">
      <w:pPr>
        <w:pStyle w:val="Point1"/>
        <w:rPr>
          <w:noProof/>
        </w:rPr>
      </w:pPr>
      <w:r w:rsidRPr="0015417F">
        <w:rPr>
          <w:noProof/>
        </w:rPr>
        <w:t>(c)</w:t>
      </w:r>
      <w:r w:rsidRPr="0015417F">
        <w:rPr>
          <w:noProof/>
        </w:rPr>
        <w:tab/>
      </w:r>
      <w:sdt>
        <w:sdtPr>
          <w:rPr>
            <w:noProof/>
          </w:rPr>
          <w:id w:val="-1519540456"/>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Finansielle instrumenter bortset fra garantier, hvor hovedvægten ved udvælgelse af investorer, finansielle formidlere og deres forvaltere lægges på downside-beskyttelse (dvs. beskyttelse mod tab) frem for upside-incitamenter (dvs. profitdeling) (retningslinjernes punkt 86-88).</w:t>
      </w:r>
    </w:p>
    <w:p w14:paraId="63840305" w14:textId="77777777" w:rsidR="00B41E02" w:rsidRPr="0000088F" w:rsidRDefault="00B41E02" w:rsidP="00B41E02">
      <w:pPr>
        <w:pStyle w:val="Text2"/>
        <w:rPr>
          <w:noProof/>
        </w:rPr>
      </w:pPr>
      <w:r w:rsidRPr="0000088F">
        <w:rPr>
          <w:noProof/>
        </w:rPr>
        <w:t>Giv en opsummering af den økonomiske dokumentation i den forudgående vurdering samt en passende begrundelse:</w:t>
      </w:r>
    </w:p>
    <w:p w14:paraId="5A74CCAD" w14:textId="77777777" w:rsidR="00B41E02" w:rsidRPr="0000088F" w:rsidRDefault="00B41E02" w:rsidP="00FF4224">
      <w:pPr>
        <w:tabs>
          <w:tab w:val="left" w:leader="dot" w:pos="9072"/>
        </w:tabs>
        <w:ind w:left="720"/>
        <w:rPr>
          <w:noProof/>
        </w:rPr>
      </w:pPr>
      <w:r w:rsidRPr="0000088F">
        <w:rPr>
          <w:noProof/>
        </w:rPr>
        <w:tab/>
      </w:r>
    </w:p>
    <w:p w14:paraId="4DDCFE56" w14:textId="77777777" w:rsidR="00B41E02" w:rsidRPr="0000088F" w:rsidRDefault="00B41E02" w:rsidP="00B41E02">
      <w:pPr>
        <w:pStyle w:val="Point1"/>
        <w:rPr>
          <w:noProof/>
        </w:rPr>
      </w:pPr>
      <w:r w:rsidRPr="0015417F">
        <w:rPr>
          <w:noProof/>
        </w:rPr>
        <w:t>(d)</w:t>
      </w:r>
      <w:r w:rsidRPr="0015417F">
        <w:rPr>
          <w:noProof/>
        </w:rPr>
        <w:tab/>
      </w:r>
      <w:sdt>
        <w:sdtPr>
          <w:rPr>
            <w:noProof/>
          </w:rPr>
          <w:id w:val="-679269811"/>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Andre:</w:t>
      </w:r>
      <w:r w:rsidRPr="0000088F">
        <w:rPr>
          <w:noProof/>
        </w:rPr>
        <w:tab/>
      </w:r>
    </w:p>
    <w:p w14:paraId="3215FBE4" w14:textId="77777777" w:rsidR="00B41E02" w:rsidRPr="0000088F" w:rsidRDefault="00B41E02" w:rsidP="00FF4224">
      <w:pPr>
        <w:tabs>
          <w:tab w:val="left" w:leader="dot" w:pos="9072"/>
        </w:tabs>
        <w:ind w:left="720"/>
        <w:rPr>
          <w:noProof/>
        </w:rPr>
      </w:pPr>
      <w:r w:rsidRPr="0000088F">
        <w:rPr>
          <w:noProof/>
        </w:rPr>
        <w:tab/>
      </w:r>
    </w:p>
    <w:p w14:paraId="106D1AB8" w14:textId="77777777" w:rsidR="00B41E02" w:rsidRPr="0000088F" w:rsidRDefault="00B41E02" w:rsidP="00221B0A">
      <w:pPr>
        <w:pStyle w:val="Text2"/>
        <w:rPr>
          <w:noProof/>
        </w:rPr>
      </w:pPr>
      <w:r w:rsidRPr="0000088F">
        <w:rPr>
          <w:noProof/>
        </w:rPr>
        <w:t>Giv en opsummering af den økonomiske dokumentation i den forudgående vurdering samt en passende begrundelse:</w:t>
      </w:r>
    </w:p>
    <w:p w14:paraId="44A6C3DC" w14:textId="77777777" w:rsidR="00B41E02" w:rsidRPr="0000088F" w:rsidRDefault="00B41E02" w:rsidP="00FF4224">
      <w:pPr>
        <w:tabs>
          <w:tab w:val="left" w:leader="dot" w:pos="9072"/>
        </w:tabs>
        <w:ind w:left="720"/>
        <w:rPr>
          <w:noProof/>
        </w:rPr>
      </w:pPr>
      <w:r w:rsidRPr="0000088F">
        <w:rPr>
          <w:noProof/>
        </w:rPr>
        <w:tab/>
      </w:r>
    </w:p>
    <w:p w14:paraId="4CB49F8B" w14:textId="77777777" w:rsidR="00B41E02" w:rsidRPr="0000088F" w:rsidRDefault="00B41E02" w:rsidP="00B41E02">
      <w:pPr>
        <w:pStyle w:val="ManualHeading2"/>
        <w:rPr>
          <w:noProof/>
        </w:rPr>
      </w:pPr>
      <w:r w:rsidRPr="0015417F">
        <w:rPr>
          <w:noProof/>
        </w:rPr>
        <w:t>2.5.</w:t>
      </w:r>
      <w:r w:rsidRPr="0015417F">
        <w:rPr>
          <w:noProof/>
        </w:rPr>
        <w:tab/>
      </w:r>
      <w:r w:rsidRPr="0000088F">
        <w:rPr>
          <w:noProof/>
        </w:rPr>
        <w:t>Skatteinstrumenter – Den forudgående vurdering viser, at det er nødvendigt at udforme ordningen med følgende parametre, der ikke er i overensstemmelse med forordning (EU) nr. 651/2014:</w:t>
      </w:r>
    </w:p>
    <w:p w14:paraId="4859826B" w14:textId="77777777" w:rsidR="00B41E02" w:rsidRPr="0000088F" w:rsidRDefault="00B41E02" w:rsidP="00B41E02">
      <w:pPr>
        <w:pStyle w:val="Point1"/>
        <w:rPr>
          <w:noProof/>
        </w:rPr>
      </w:pPr>
      <w:r w:rsidRPr="0015417F">
        <w:rPr>
          <w:noProof/>
        </w:rPr>
        <w:t>(a)</w:t>
      </w:r>
      <w:r w:rsidRPr="0015417F">
        <w:rPr>
          <w:noProof/>
        </w:rPr>
        <w:tab/>
      </w:r>
      <w:sdt>
        <w:sdtPr>
          <w:rPr>
            <w:noProof/>
          </w:rPr>
          <w:id w:val="1376963468"/>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Skatteincitamenter til erhvervsinvestorer (herunder finansielle formidlere eller deres forvaltere som medinvestorer) (retningslinjernes punkt 89 og 90).</w:t>
      </w:r>
    </w:p>
    <w:p w14:paraId="2CED246E" w14:textId="77777777" w:rsidR="00B41E02" w:rsidRPr="0000088F" w:rsidRDefault="00B41E02" w:rsidP="00B41E02">
      <w:pPr>
        <w:pStyle w:val="Text2"/>
        <w:rPr>
          <w:noProof/>
        </w:rPr>
      </w:pPr>
      <w:r w:rsidRPr="0000088F">
        <w:rPr>
          <w:noProof/>
        </w:rPr>
        <w:t>Giv en opsummering af den økonomiske dokumentation i den forudgående vurdering samt en passende begrundelse:</w:t>
      </w:r>
    </w:p>
    <w:p w14:paraId="209B5679" w14:textId="77777777" w:rsidR="00B41E02" w:rsidRPr="0000088F" w:rsidRDefault="00B41E02" w:rsidP="0063450F">
      <w:pPr>
        <w:tabs>
          <w:tab w:val="left" w:leader="dot" w:pos="9072"/>
        </w:tabs>
        <w:ind w:left="720"/>
        <w:rPr>
          <w:noProof/>
        </w:rPr>
      </w:pPr>
      <w:r w:rsidRPr="0000088F">
        <w:rPr>
          <w:noProof/>
        </w:rPr>
        <w:tab/>
      </w:r>
    </w:p>
    <w:p w14:paraId="02511084" w14:textId="77777777" w:rsidR="00B41E02" w:rsidRPr="0000088F" w:rsidRDefault="00B41E02" w:rsidP="00B41E02">
      <w:pPr>
        <w:pStyle w:val="Point1"/>
        <w:rPr>
          <w:noProof/>
        </w:rPr>
      </w:pPr>
      <w:r w:rsidRPr="0015417F">
        <w:rPr>
          <w:noProof/>
        </w:rPr>
        <w:lastRenderedPageBreak/>
        <w:t>(b)</w:t>
      </w:r>
      <w:r w:rsidRPr="0015417F">
        <w:rPr>
          <w:noProof/>
        </w:rPr>
        <w:tab/>
      </w:r>
      <w:sdt>
        <w:sdtPr>
          <w:rPr>
            <w:noProof/>
          </w:rPr>
          <w:id w:val="-480231008"/>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Skatteincitamenter til erhvervsinvestorer til investering i SMV'er gennem alternative handelsplatforme (retningslinjernes punkt 81).</w:t>
      </w:r>
    </w:p>
    <w:p w14:paraId="7AF34009" w14:textId="77777777" w:rsidR="00B41E02" w:rsidRPr="0000088F" w:rsidRDefault="00B41E02" w:rsidP="00B41E02">
      <w:pPr>
        <w:pStyle w:val="Text2"/>
        <w:rPr>
          <w:noProof/>
        </w:rPr>
      </w:pPr>
      <w:r w:rsidRPr="0000088F">
        <w:rPr>
          <w:noProof/>
        </w:rPr>
        <w:t>Giv en opsummering af den økonomiske dokumentation i den forudgående vurdering samt en passende begrundelse:</w:t>
      </w:r>
    </w:p>
    <w:p w14:paraId="60ECA04A" w14:textId="77777777" w:rsidR="00B41E02" w:rsidRPr="0000088F" w:rsidRDefault="00B41E02" w:rsidP="00FF4224">
      <w:pPr>
        <w:tabs>
          <w:tab w:val="left" w:leader="dot" w:pos="9072"/>
        </w:tabs>
        <w:ind w:left="720"/>
        <w:rPr>
          <w:noProof/>
        </w:rPr>
      </w:pPr>
      <w:r w:rsidRPr="0000088F">
        <w:rPr>
          <w:noProof/>
        </w:rPr>
        <w:tab/>
      </w:r>
    </w:p>
    <w:p w14:paraId="70CE33EF" w14:textId="77777777" w:rsidR="00B41E02" w:rsidRPr="0000088F" w:rsidRDefault="00B41E02" w:rsidP="00B41E02">
      <w:pPr>
        <w:pStyle w:val="Point1"/>
        <w:rPr>
          <w:noProof/>
        </w:rPr>
      </w:pPr>
      <w:r w:rsidRPr="0015417F">
        <w:rPr>
          <w:noProof/>
        </w:rPr>
        <w:t>(c)</w:t>
      </w:r>
      <w:r w:rsidRPr="0015417F">
        <w:rPr>
          <w:noProof/>
        </w:rPr>
        <w:tab/>
      </w:r>
      <w:sdt>
        <w:sdtPr>
          <w:rPr>
            <w:noProof/>
          </w:rPr>
          <w:id w:val="1854066312"/>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Andre:</w:t>
      </w:r>
      <w:r w:rsidRPr="0000088F">
        <w:rPr>
          <w:noProof/>
        </w:rPr>
        <w:tab/>
      </w:r>
    </w:p>
    <w:p w14:paraId="31AB5E19" w14:textId="77777777" w:rsidR="00B41E02" w:rsidRPr="0000088F" w:rsidRDefault="00B41E02" w:rsidP="00FF4224">
      <w:pPr>
        <w:tabs>
          <w:tab w:val="left" w:leader="dot" w:pos="9072"/>
        </w:tabs>
        <w:ind w:left="720"/>
        <w:rPr>
          <w:noProof/>
        </w:rPr>
      </w:pPr>
      <w:r w:rsidRPr="0000088F">
        <w:rPr>
          <w:noProof/>
        </w:rPr>
        <w:tab/>
      </w:r>
    </w:p>
    <w:p w14:paraId="1645ABBE" w14:textId="77777777" w:rsidR="00B41E02" w:rsidRPr="0000088F" w:rsidRDefault="00B41E02" w:rsidP="00B41E02">
      <w:pPr>
        <w:pStyle w:val="Text2"/>
        <w:rPr>
          <w:noProof/>
        </w:rPr>
      </w:pPr>
      <w:r w:rsidRPr="0000088F">
        <w:rPr>
          <w:noProof/>
        </w:rPr>
        <w:t>Giv en opsummering af den økonomiske dokumentation i den forudgående vurdering samt en passende begrundelse:</w:t>
      </w:r>
    </w:p>
    <w:p w14:paraId="09DA5684" w14:textId="77777777" w:rsidR="00B41E02" w:rsidRPr="0000088F" w:rsidRDefault="00B41E02" w:rsidP="00717B1C">
      <w:pPr>
        <w:tabs>
          <w:tab w:val="left" w:leader="dot" w:pos="9072"/>
        </w:tabs>
        <w:ind w:left="720"/>
        <w:rPr>
          <w:noProof/>
        </w:rPr>
      </w:pPr>
      <w:r w:rsidRPr="0000088F">
        <w:rPr>
          <w:noProof/>
        </w:rPr>
        <w:tab/>
      </w:r>
    </w:p>
    <w:p w14:paraId="1835CC2A" w14:textId="77777777" w:rsidR="00B41E02" w:rsidRPr="0000088F" w:rsidRDefault="00B41E02" w:rsidP="00B41E02">
      <w:pPr>
        <w:pStyle w:val="ManualHeading2"/>
        <w:rPr>
          <w:noProof/>
        </w:rPr>
      </w:pPr>
      <w:r w:rsidRPr="0015417F">
        <w:rPr>
          <w:noProof/>
        </w:rPr>
        <w:t>2.6.</w:t>
      </w:r>
      <w:r w:rsidRPr="0015417F">
        <w:rPr>
          <w:noProof/>
        </w:rPr>
        <w:tab/>
      </w:r>
      <w:r w:rsidRPr="0000088F">
        <w:rPr>
          <w:noProof/>
        </w:rPr>
        <w:t>Private investorer, der deltager i den anmeldte ordning med egenkapital, lån eller garantier:</w:t>
      </w:r>
    </w:p>
    <w:p w14:paraId="62E6224D" w14:textId="77777777" w:rsidR="00B41E02" w:rsidRPr="0000088F" w:rsidRDefault="00B41E02" w:rsidP="00B41E02">
      <w:pPr>
        <w:ind w:left="567"/>
        <w:rPr>
          <w:i/>
          <w:iCs/>
          <w:noProof/>
        </w:rPr>
      </w:pPr>
      <w:r w:rsidRPr="0000088F">
        <w:rPr>
          <w:i/>
          <w:noProof/>
        </w:rPr>
        <w:t>(se definitionen af "uafhængig privat investor" i artikel 2 i forordning (EU) nr. 651/2014).</w:t>
      </w:r>
    </w:p>
    <w:p w14:paraId="31BEC2E8" w14:textId="77777777" w:rsidR="00B41E02" w:rsidRPr="0000088F" w:rsidRDefault="00B41E02" w:rsidP="00B41E02">
      <w:pPr>
        <w:pStyle w:val="Point1"/>
        <w:rPr>
          <w:noProof/>
        </w:rPr>
      </w:pPr>
      <w:r w:rsidRPr="0015417F">
        <w:rPr>
          <w:noProof/>
        </w:rPr>
        <w:t>(a)</w:t>
      </w:r>
      <w:r w:rsidRPr="0015417F">
        <w:rPr>
          <w:noProof/>
        </w:rPr>
        <w:tab/>
      </w:r>
      <w:r w:rsidRPr="0000088F">
        <w:rPr>
          <w:noProof/>
        </w:rPr>
        <w:t>Beskriv de private investorer, der deltager i foranstaltningen, i grundtræk (f.eks. erhvervsinvestorer, fysiske personer, osv.):</w:t>
      </w:r>
    </w:p>
    <w:p w14:paraId="7E481D70" w14:textId="77777777" w:rsidR="00B41E02" w:rsidRPr="0000088F" w:rsidRDefault="00B41E02" w:rsidP="00B41E02">
      <w:pPr>
        <w:tabs>
          <w:tab w:val="left" w:leader="dot" w:pos="9072"/>
        </w:tabs>
        <w:ind w:left="709"/>
        <w:rPr>
          <w:bCs/>
          <w:noProof/>
        </w:rPr>
      </w:pPr>
      <w:r w:rsidRPr="0000088F">
        <w:rPr>
          <w:noProof/>
        </w:rPr>
        <w:tab/>
      </w:r>
    </w:p>
    <w:p w14:paraId="2F9E45C1" w14:textId="77777777" w:rsidR="00B41E02" w:rsidRPr="0000088F" w:rsidRDefault="00B41E02" w:rsidP="00B41E02">
      <w:pPr>
        <w:pStyle w:val="Point1"/>
        <w:rPr>
          <w:bCs/>
          <w:noProof/>
        </w:rPr>
      </w:pPr>
      <w:r w:rsidRPr="0015417F">
        <w:rPr>
          <w:noProof/>
        </w:rPr>
        <w:t>(b)</w:t>
      </w:r>
      <w:r w:rsidRPr="0015417F">
        <w:rPr>
          <w:noProof/>
        </w:rPr>
        <w:tab/>
      </w:r>
      <w:r w:rsidRPr="0000088F">
        <w:rPr>
          <w:noProof/>
        </w:rPr>
        <w:t xml:space="preserve">Har de private investorer ydet egenkapital, lån eller garantier gennem finansielle formidlere (f.eks. fonde, der investerer i andre fonde) eller til støttemodtageren? Angiv på hvilket niveau, og hvor meget: </w:t>
      </w:r>
    </w:p>
    <w:p w14:paraId="65E6BE86" w14:textId="77777777" w:rsidR="00B41E02" w:rsidRPr="0000088F" w:rsidRDefault="00B41E02" w:rsidP="00B41E02">
      <w:pPr>
        <w:tabs>
          <w:tab w:val="left" w:leader="dot" w:pos="9072"/>
        </w:tabs>
        <w:ind w:left="709"/>
        <w:rPr>
          <w:bCs/>
          <w:noProof/>
        </w:rPr>
      </w:pPr>
      <w:r w:rsidRPr="0000088F">
        <w:rPr>
          <w:noProof/>
        </w:rPr>
        <w:tab/>
      </w:r>
    </w:p>
    <w:p w14:paraId="60280A79" w14:textId="77777777" w:rsidR="00B41E02" w:rsidRPr="0000088F" w:rsidRDefault="00B41E02" w:rsidP="00B41E02">
      <w:pPr>
        <w:pStyle w:val="Point1"/>
        <w:rPr>
          <w:noProof/>
        </w:rPr>
      </w:pPr>
      <w:r w:rsidRPr="0015417F">
        <w:rPr>
          <w:noProof/>
        </w:rPr>
        <w:t>(c)</w:t>
      </w:r>
      <w:r w:rsidRPr="0015417F">
        <w:rPr>
          <w:noProof/>
        </w:rPr>
        <w:tab/>
      </w:r>
      <w:r w:rsidRPr="0000088F">
        <w:rPr>
          <w:noProof/>
        </w:rPr>
        <w:t>Fungerer de finansielle formidlere, der gennemføre ordningen (se afsnit 2.7), også som medinvestorer (og skal derfor betragtes som private investorer)?</w:t>
      </w:r>
    </w:p>
    <w:p w14:paraId="7B269E18" w14:textId="7C5E3BAC" w:rsidR="00B41E02" w:rsidRDefault="00717B1C" w:rsidP="0071798D">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 Angiv nærmere: </w:t>
      </w:r>
    </w:p>
    <w:p w14:paraId="15117CC3" w14:textId="77777777" w:rsidR="00FF4224" w:rsidRPr="0000088F" w:rsidRDefault="00FF4224" w:rsidP="0071798D">
      <w:pPr>
        <w:tabs>
          <w:tab w:val="left" w:leader="dot" w:pos="9072"/>
        </w:tabs>
        <w:ind w:left="1287"/>
        <w:rPr>
          <w:bCs/>
          <w:noProof/>
        </w:rPr>
      </w:pPr>
      <w:r w:rsidRPr="0000088F">
        <w:rPr>
          <w:noProof/>
        </w:rPr>
        <w:tab/>
      </w:r>
    </w:p>
    <w:p w14:paraId="138BEC44" w14:textId="77777777" w:rsidR="00B41E02" w:rsidRPr="0000088F" w:rsidRDefault="00717B1C" w:rsidP="0071798D">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79F3B5C1" w14:textId="77777777" w:rsidR="00B41E02" w:rsidRPr="0000088F" w:rsidRDefault="00B41E02" w:rsidP="00B41E02">
      <w:pPr>
        <w:pStyle w:val="ManualHeading2"/>
        <w:rPr>
          <w:noProof/>
        </w:rPr>
      </w:pPr>
      <w:r w:rsidRPr="0015417F">
        <w:rPr>
          <w:noProof/>
        </w:rPr>
        <w:t>2.7.</w:t>
      </w:r>
      <w:r w:rsidRPr="0015417F">
        <w:rPr>
          <w:noProof/>
        </w:rPr>
        <w:tab/>
      </w:r>
      <w:r w:rsidRPr="0000088F">
        <w:rPr>
          <w:noProof/>
        </w:rPr>
        <w:t>Finansielle formidlere og bemyndiget enhed, der gennemfører den anmeldte ordning:</w:t>
      </w:r>
    </w:p>
    <w:p w14:paraId="1590B124" w14:textId="77777777" w:rsidR="00B41E02" w:rsidRPr="0000088F" w:rsidRDefault="00B41E02" w:rsidP="00B41E02">
      <w:pPr>
        <w:ind w:left="567"/>
        <w:rPr>
          <w:i/>
          <w:iCs/>
          <w:noProof/>
        </w:rPr>
      </w:pPr>
      <w:r w:rsidRPr="0000088F">
        <w:rPr>
          <w:i/>
          <w:noProof/>
        </w:rPr>
        <w:t>(se den brede definition af finansiel formidler i retningslinjernes punkt 35, nr. 11); den omfatter også fonde med eller uden status som juridisk person)</w:t>
      </w:r>
    </w:p>
    <w:p w14:paraId="6AE867A6" w14:textId="77777777" w:rsidR="00B41E02" w:rsidRPr="0000088F" w:rsidRDefault="00B41E02" w:rsidP="00B41E02">
      <w:pPr>
        <w:pStyle w:val="Point1"/>
        <w:rPr>
          <w:noProof/>
        </w:rPr>
      </w:pPr>
      <w:r w:rsidRPr="0015417F">
        <w:rPr>
          <w:noProof/>
        </w:rPr>
        <w:t>(a)</w:t>
      </w:r>
      <w:r w:rsidRPr="0015417F">
        <w:rPr>
          <w:noProof/>
        </w:rPr>
        <w:tab/>
      </w:r>
      <w:r w:rsidRPr="0000088F">
        <w:rPr>
          <w:noProof/>
        </w:rPr>
        <w:t>Angiv typen af finansielle formidlere, der gennemfører ordningen:</w:t>
      </w:r>
    </w:p>
    <w:p w14:paraId="70DD46A2" w14:textId="77777777" w:rsidR="00B41E02" w:rsidRPr="0000088F" w:rsidRDefault="00B41E02" w:rsidP="00FF4224">
      <w:pPr>
        <w:tabs>
          <w:tab w:val="left" w:leader="dot" w:pos="9072"/>
        </w:tabs>
        <w:ind w:left="720"/>
        <w:rPr>
          <w:bCs/>
          <w:noProof/>
        </w:rPr>
      </w:pPr>
      <w:r w:rsidRPr="0000088F">
        <w:rPr>
          <w:noProof/>
        </w:rPr>
        <w:tab/>
      </w:r>
    </w:p>
    <w:p w14:paraId="73EBB474" w14:textId="77777777" w:rsidR="00B41E02" w:rsidRPr="0000088F" w:rsidRDefault="00B41E02" w:rsidP="00B41E02">
      <w:pPr>
        <w:pStyle w:val="Point1"/>
        <w:rPr>
          <w:noProof/>
        </w:rPr>
      </w:pPr>
      <w:r w:rsidRPr="0015417F">
        <w:rPr>
          <w:noProof/>
        </w:rPr>
        <w:t>(b)</w:t>
      </w:r>
      <w:r w:rsidRPr="0015417F">
        <w:rPr>
          <w:noProof/>
        </w:rPr>
        <w:tab/>
      </w:r>
      <w:r w:rsidRPr="0000088F">
        <w:rPr>
          <w:noProof/>
        </w:rPr>
        <w:t xml:space="preserve">Deltager en "bemyndiget enhed" i foranstaltningen (jf. definitionen i retningslinjernes punkt 35, nr. 5))? </w:t>
      </w:r>
    </w:p>
    <w:p w14:paraId="3476ACDE" w14:textId="77777777" w:rsidR="00B41E02" w:rsidRDefault="00717B1C" w:rsidP="00B41E02">
      <w:pPr>
        <w:pStyle w:val="Text2"/>
        <w:rPr>
          <w:noProof/>
        </w:rPr>
      </w:pPr>
      <w:sdt>
        <w:sdtPr>
          <w:rPr>
            <w:noProof/>
          </w:rPr>
          <w:id w:val="1738275560"/>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 Angiv nærmere:</w:t>
      </w:r>
    </w:p>
    <w:p w14:paraId="5501C597" w14:textId="77777777" w:rsidR="00221B0A" w:rsidRPr="00F17DB2" w:rsidRDefault="00221B0A" w:rsidP="00221B0A">
      <w:pPr>
        <w:tabs>
          <w:tab w:val="left" w:leader="dot" w:pos="9072"/>
        </w:tabs>
        <w:ind w:left="1417"/>
        <w:rPr>
          <w:bCs/>
          <w:noProof/>
        </w:rPr>
      </w:pPr>
      <w:r w:rsidRPr="00FA0AEC">
        <w:rPr>
          <w:bCs/>
          <w:noProof/>
        </w:rPr>
        <w:tab/>
      </w:r>
    </w:p>
    <w:p w14:paraId="47D29BB0" w14:textId="77777777" w:rsidR="00B41E02" w:rsidRPr="0000088F" w:rsidRDefault="00717B1C" w:rsidP="00B41E02">
      <w:pPr>
        <w:pStyle w:val="Text2"/>
        <w:rPr>
          <w:noProof/>
        </w:rPr>
      </w:pPr>
      <w:sdt>
        <w:sdtPr>
          <w:rPr>
            <w:noProof/>
          </w:rPr>
          <w:id w:val="979116570"/>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75AB7D03" w14:textId="77777777" w:rsidR="00B41E02" w:rsidRPr="0000088F" w:rsidRDefault="00B41E02" w:rsidP="00B41E02">
      <w:pPr>
        <w:pStyle w:val="Point1"/>
        <w:rPr>
          <w:noProof/>
        </w:rPr>
      </w:pPr>
      <w:r w:rsidRPr="0015417F">
        <w:rPr>
          <w:noProof/>
        </w:rPr>
        <w:t>(c)</w:t>
      </w:r>
      <w:r w:rsidRPr="0015417F">
        <w:rPr>
          <w:noProof/>
        </w:rPr>
        <w:tab/>
      </w:r>
      <w:r w:rsidRPr="0000088F">
        <w:rPr>
          <w:noProof/>
        </w:rPr>
        <w:t>Investerer den bemyndigede enhed sammen med medlemsstaten med egne midler?</w:t>
      </w:r>
    </w:p>
    <w:p w14:paraId="4EE7C045" w14:textId="77777777" w:rsidR="00B41E02" w:rsidRPr="0000088F" w:rsidRDefault="00717B1C" w:rsidP="00B41E02">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 Angiv det retsgrundlag, der giver den bemyndigede enhed ret til at foretage sådan medfinansiering:</w:t>
      </w:r>
    </w:p>
    <w:p w14:paraId="12AFCB17" w14:textId="77777777" w:rsidR="000B1355" w:rsidRPr="0000088F" w:rsidRDefault="000B1355" w:rsidP="000B1355">
      <w:pPr>
        <w:tabs>
          <w:tab w:val="left" w:leader="dot" w:pos="9072"/>
        </w:tabs>
        <w:ind w:left="1417"/>
        <w:rPr>
          <w:bCs/>
          <w:noProof/>
        </w:rPr>
      </w:pPr>
      <w:r w:rsidRPr="0000088F">
        <w:rPr>
          <w:noProof/>
        </w:rPr>
        <w:tab/>
      </w:r>
    </w:p>
    <w:p w14:paraId="2F9D0F86" w14:textId="77777777" w:rsidR="00B41E02" w:rsidRPr="0000088F" w:rsidRDefault="00717B1C" w:rsidP="00B41E02">
      <w:pPr>
        <w:pStyle w:val="Text2"/>
        <w:rPr>
          <w:noProof/>
        </w:rPr>
      </w:pPr>
      <w:sdt>
        <w:sdtPr>
          <w:rPr>
            <w:noProof/>
          </w:rPr>
          <w:id w:val="-1940122564"/>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 </w:t>
      </w:r>
    </w:p>
    <w:p w14:paraId="37695F1F" w14:textId="77777777" w:rsidR="00B41E02" w:rsidRPr="0000088F" w:rsidRDefault="00B41E02" w:rsidP="00B41E02">
      <w:pPr>
        <w:pStyle w:val="Point1"/>
        <w:rPr>
          <w:noProof/>
        </w:rPr>
      </w:pPr>
      <w:r w:rsidRPr="0015417F">
        <w:rPr>
          <w:noProof/>
        </w:rPr>
        <w:t>(d)</w:t>
      </w:r>
      <w:r w:rsidRPr="0015417F">
        <w:rPr>
          <w:noProof/>
        </w:rPr>
        <w:tab/>
      </w:r>
      <w:r w:rsidRPr="0000088F">
        <w:rPr>
          <w:noProof/>
        </w:rPr>
        <w:t xml:space="preserve">Hvordan udvælges den bemyndigede enhed? </w:t>
      </w:r>
    </w:p>
    <w:p w14:paraId="60730120" w14:textId="77777777" w:rsidR="00B41E02" w:rsidRPr="0000088F" w:rsidRDefault="00717B1C" w:rsidP="00B41E02">
      <w:pPr>
        <w:pStyle w:val="Text2"/>
        <w:rPr>
          <w:noProof/>
        </w:rPr>
      </w:pPr>
      <w:sdt>
        <w:sdtPr>
          <w:rPr>
            <w:noProof/>
          </w:rPr>
          <w:id w:val="-711344703"/>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Gennem en åben, gennemsigtig, ikkediskriminatorisk og objektiv udvælgelsesprocedure. Angiv nærmere:</w:t>
      </w:r>
    </w:p>
    <w:p w14:paraId="2CC7444A" w14:textId="77777777" w:rsidR="000B1355" w:rsidRPr="0000088F" w:rsidRDefault="000B1355" w:rsidP="00717B1C">
      <w:pPr>
        <w:tabs>
          <w:tab w:val="left" w:leader="dot" w:pos="9072"/>
        </w:tabs>
        <w:ind w:left="1417"/>
        <w:rPr>
          <w:bCs/>
          <w:noProof/>
        </w:rPr>
      </w:pPr>
      <w:r w:rsidRPr="0000088F">
        <w:rPr>
          <w:noProof/>
        </w:rPr>
        <w:tab/>
      </w:r>
    </w:p>
    <w:p w14:paraId="728104B5" w14:textId="77777777" w:rsidR="00B41E02" w:rsidRPr="0000088F" w:rsidRDefault="00717B1C" w:rsidP="000B1355">
      <w:pPr>
        <w:pStyle w:val="Text2"/>
        <w:rPr>
          <w:noProof/>
        </w:rPr>
      </w:pPr>
      <w:sdt>
        <w:sdtPr>
          <w:rPr>
            <w:noProof/>
          </w:rPr>
          <w:id w:val="198526564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Udpeges direkte. Redegør for den metode, der anvendes til at beregne dens kompensation for gennemførelse af foranstaltningen, for at sikre, at der ikke overkompenseres (retningslinjernes punkt 150):</w:t>
      </w:r>
    </w:p>
    <w:p w14:paraId="608A17FE" w14:textId="77777777" w:rsidR="000B1355" w:rsidRPr="0000088F" w:rsidRDefault="000B1355" w:rsidP="00717B1C">
      <w:pPr>
        <w:tabs>
          <w:tab w:val="left" w:leader="dot" w:pos="9072"/>
        </w:tabs>
        <w:ind w:left="1417"/>
        <w:rPr>
          <w:bCs/>
          <w:noProof/>
        </w:rPr>
      </w:pPr>
      <w:r w:rsidRPr="0000088F">
        <w:rPr>
          <w:noProof/>
        </w:rPr>
        <w:tab/>
      </w:r>
    </w:p>
    <w:p w14:paraId="0E268C35" w14:textId="77777777" w:rsidR="00B41E02" w:rsidRPr="0000088F" w:rsidRDefault="00B41E02" w:rsidP="000B1355">
      <w:pPr>
        <w:pStyle w:val="Point1"/>
        <w:rPr>
          <w:noProof/>
        </w:rPr>
      </w:pPr>
      <w:r w:rsidRPr="0015417F">
        <w:rPr>
          <w:noProof/>
        </w:rPr>
        <w:t>(e)</w:t>
      </w:r>
      <w:r w:rsidRPr="0015417F">
        <w:rPr>
          <w:noProof/>
        </w:rPr>
        <w:tab/>
      </w:r>
      <w:r w:rsidRPr="0000088F">
        <w:rPr>
          <w:noProof/>
        </w:rPr>
        <w:t xml:space="preserve">Forvalter den bemyndigede enhed de fonde, der finansierer den anmeldte ordning? </w:t>
      </w:r>
    </w:p>
    <w:p w14:paraId="77DD7929" w14:textId="1D2A4F58" w:rsidR="00B41E02" w:rsidRPr="0000088F" w:rsidRDefault="00717B1C" w:rsidP="00B41E02">
      <w:pPr>
        <w:pStyle w:val="Text2"/>
        <w:rPr>
          <w:noProof/>
        </w:rPr>
      </w:pPr>
      <w:sdt>
        <w:sdtPr>
          <w:rPr>
            <w:noProof/>
          </w:rPr>
          <w:id w:val="196892863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436181050"/>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 Nej.</w:t>
      </w:r>
    </w:p>
    <w:p w14:paraId="067E04AC" w14:textId="77777777" w:rsidR="00B41E02" w:rsidRPr="0000088F" w:rsidRDefault="00B41E02" w:rsidP="00B41E02">
      <w:pPr>
        <w:pStyle w:val="Point1"/>
        <w:rPr>
          <w:noProof/>
        </w:rPr>
      </w:pPr>
      <w:r w:rsidRPr="0015417F">
        <w:rPr>
          <w:noProof/>
        </w:rPr>
        <w:t>(f)</w:t>
      </w:r>
      <w:r w:rsidRPr="0015417F">
        <w:rPr>
          <w:noProof/>
        </w:rPr>
        <w:tab/>
      </w:r>
      <w:r w:rsidRPr="0000088F">
        <w:rPr>
          <w:noProof/>
        </w:rPr>
        <w:t>Kendetegn ved det administrationsselskab, der gennemfører foranstaltningen som finansiel formidler:</w:t>
      </w:r>
    </w:p>
    <w:p w14:paraId="2B85E7D1" w14:textId="77777777" w:rsidR="00B41E02" w:rsidRPr="0000088F" w:rsidRDefault="00B41E02" w:rsidP="00B41E02">
      <w:pPr>
        <w:tabs>
          <w:tab w:val="left" w:leader="dot" w:pos="9072"/>
        </w:tabs>
        <w:ind w:left="851"/>
        <w:rPr>
          <w:noProof/>
        </w:rPr>
      </w:pPr>
      <w:r w:rsidRPr="0000088F">
        <w:rPr>
          <w:noProof/>
        </w:rPr>
        <w:tab/>
      </w:r>
    </w:p>
    <w:p w14:paraId="4B1B12A5" w14:textId="77777777" w:rsidR="00B41E02" w:rsidRPr="0000088F" w:rsidRDefault="00B41E02" w:rsidP="00B41E02">
      <w:pPr>
        <w:pStyle w:val="Point1"/>
        <w:rPr>
          <w:noProof/>
        </w:rPr>
      </w:pPr>
      <w:r w:rsidRPr="0015417F">
        <w:rPr>
          <w:noProof/>
        </w:rPr>
        <w:t>(g)</w:t>
      </w:r>
      <w:r w:rsidRPr="0015417F">
        <w:rPr>
          <w:noProof/>
        </w:rPr>
        <w:tab/>
      </w:r>
      <w:r w:rsidRPr="0000088F">
        <w:rPr>
          <w:noProof/>
        </w:rPr>
        <w:t xml:space="preserve">Hvis flere finansielle formidlere deltager i ordningen på forskellige niveauer (herunder fonde, der investerer i andre fonde) angives alle relevante oplysninger for hver enkelt af dem: </w:t>
      </w:r>
    </w:p>
    <w:p w14:paraId="68A715FC" w14:textId="77777777" w:rsidR="00B41E02" w:rsidRPr="0000088F" w:rsidRDefault="00B41E02" w:rsidP="00B41E02">
      <w:pPr>
        <w:pStyle w:val="ListParagraph"/>
        <w:tabs>
          <w:tab w:val="left" w:leader="dot" w:pos="9072"/>
        </w:tabs>
        <w:ind w:left="851"/>
        <w:contextualSpacing w:val="0"/>
        <w:rPr>
          <w:noProof/>
        </w:rPr>
      </w:pPr>
      <w:r w:rsidRPr="0000088F">
        <w:rPr>
          <w:noProof/>
        </w:rPr>
        <w:tab/>
      </w:r>
    </w:p>
    <w:p w14:paraId="6D0360C7" w14:textId="77777777" w:rsidR="00B41E02" w:rsidRPr="0000088F" w:rsidRDefault="00B41E02" w:rsidP="00B41E02">
      <w:pPr>
        <w:pStyle w:val="ManualHeading2"/>
        <w:rPr>
          <w:noProof/>
        </w:rPr>
      </w:pPr>
      <w:r w:rsidRPr="0015417F">
        <w:rPr>
          <w:noProof/>
        </w:rPr>
        <w:t>2.8.</w:t>
      </w:r>
      <w:r w:rsidRPr="0015417F">
        <w:rPr>
          <w:noProof/>
        </w:rPr>
        <w:tab/>
      </w:r>
      <w:r w:rsidRPr="0000088F">
        <w:rPr>
          <w:noProof/>
        </w:rPr>
        <w:t xml:space="preserve">Deltager nogen andre parter i den anmeldte ordning (ud over den støtteydende offentlige myndighed, målvirksomhederne, de finansielle formidlere og de private investorer)? </w:t>
      </w:r>
    </w:p>
    <w:p w14:paraId="5AD961CF" w14:textId="77777777" w:rsidR="000B1355" w:rsidRDefault="00717B1C" w:rsidP="000B1355">
      <w:pPr>
        <w:tabs>
          <w:tab w:val="left" w:leader="dot" w:pos="9072"/>
        </w:tabs>
        <w:ind w:left="720"/>
        <w:rPr>
          <w:noProof/>
        </w:rPr>
      </w:pPr>
      <w:sdt>
        <w:sdtPr>
          <w:rPr>
            <w:noProof/>
          </w:rPr>
          <w:id w:val="2141452803"/>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 Angiv nærmere: </w:t>
      </w:r>
    </w:p>
    <w:p w14:paraId="312D9783" w14:textId="73F00AC0" w:rsidR="000B1355" w:rsidRPr="0000088F" w:rsidRDefault="000B1355" w:rsidP="000B1355">
      <w:pPr>
        <w:tabs>
          <w:tab w:val="left" w:leader="dot" w:pos="9072"/>
        </w:tabs>
        <w:ind w:left="720"/>
        <w:rPr>
          <w:bCs/>
          <w:noProof/>
        </w:rPr>
      </w:pPr>
      <w:r w:rsidRPr="0000088F">
        <w:rPr>
          <w:noProof/>
        </w:rPr>
        <w:tab/>
      </w:r>
    </w:p>
    <w:p w14:paraId="058C7B7F" w14:textId="77777777" w:rsidR="00B41E02" w:rsidRPr="0000088F" w:rsidRDefault="00717B1C" w:rsidP="00FF4224">
      <w:pPr>
        <w:tabs>
          <w:tab w:val="left" w:leader="dot" w:pos="9072"/>
        </w:tabs>
        <w:ind w:left="720"/>
        <w:rPr>
          <w:noProof/>
        </w:rPr>
      </w:pPr>
      <w:sdt>
        <w:sdtPr>
          <w:rPr>
            <w:noProof/>
          </w:rPr>
          <w:id w:val="-1227451226"/>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796A7879" w14:textId="77777777" w:rsidR="00B41E02" w:rsidRPr="0000088F" w:rsidRDefault="00B41E02" w:rsidP="00B41E02">
      <w:pPr>
        <w:pStyle w:val="ManualHeading2"/>
        <w:rPr>
          <w:noProof/>
        </w:rPr>
      </w:pPr>
      <w:r w:rsidRPr="0015417F">
        <w:rPr>
          <w:noProof/>
        </w:rPr>
        <w:t>2.9.</w:t>
      </w:r>
      <w:r w:rsidRPr="0015417F">
        <w:rPr>
          <w:noProof/>
        </w:rPr>
        <w:tab/>
      </w:r>
      <w:r w:rsidRPr="0000088F">
        <w:rPr>
          <w:noProof/>
        </w:rPr>
        <w:t xml:space="preserve">Detaljeret beskrivelse af investeringsstrategien og investeringsinstrumenterne: </w:t>
      </w:r>
    </w:p>
    <w:p w14:paraId="049CA2C9" w14:textId="77777777" w:rsidR="00B41E02" w:rsidRPr="0000088F" w:rsidRDefault="00B41E02" w:rsidP="00FF4224">
      <w:pPr>
        <w:pStyle w:val="Tiret1"/>
        <w:numPr>
          <w:ilvl w:val="0"/>
          <w:numId w:val="53"/>
        </w:numPr>
        <w:rPr>
          <w:noProof/>
        </w:rPr>
      </w:pPr>
      <w:r w:rsidRPr="0000088F">
        <w:rPr>
          <w:noProof/>
        </w:rPr>
        <w:t>Hvad er den finansielle formidlers investeringsstrategi?</w:t>
      </w:r>
    </w:p>
    <w:p w14:paraId="081DB0FF" w14:textId="77777777" w:rsidR="00B41E02" w:rsidRPr="0000088F" w:rsidRDefault="00B41E02" w:rsidP="00FF4224">
      <w:pPr>
        <w:pStyle w:val="Tiret1"/>
        <w:numPr>
          <w:ilvl w:val="0"/>
          <w:numId w:val="56"/>
        </w:numPr>
        <w:rPr>
          <w:noProof/>
        </w:rPr>
      </w:pPr>
      <w:r w:rsidRPr="0000088F">
        <w:rPr>
          <w:noProof/>
        </w:rPr>
        <w:t>Hvilke offentlige politiske målsætninger forfølges med denne investeringsstrategi?</w:t>
      </w:r>
    </w:p>
    <w:p w14:paraId="761BCE0C" w14:textId="77777777" w:rsidR="00B41E02" w:rsidRPr="0000088F" w:rsidRDefault="00B41E02" w:rsidP="00FF4224">
      <w:pPr>
        <w:pStyle w:val="Tiret1"/>
        <w:numPr>
          <w:ilvl w:val="0"/>
          <w:numId w:val="56"/>
        </w:numPr>
        <w:rPr>
          <w:noProof/>
        </w:rPr>
      </w:pPr>
      <w:r w:rsidRPr="0000088F">
        <w:rPr>
          <w:noProof/>
        </w:rPr>
        <w:t>Vedlæg en tegning, der skitserer ordningens og instrumenternes udformning med angivelse af alle deltagende parter, omfanget af deres deltagelse samt, hvis det er relevant, et bilag, der opsummerer den anmeldte ordnings overordnede udformning.</w:t>
      </w:r>
    </w:p>
    <w:p w14:paraId="58C9CA2D" w14:textId="77777777" w:rsidR="0071798D" w:rsidRPr="00717B1C" w:rsidRDefault="0071798D" w:rsidP="0071798D">
      <w:pPr>
        <w:tabs>
          <w:tab w:val="left" w:leader="dot" w:pos="9072"/>
        </w:tabs>
        <w:ind w:left="709"/>
        <w:rPr>
          <w:bCs/>
          <w:noProof/>
        </w:rPr>
      </w:pPr>
      <w:r w:rsidRPr="00717B1C">
        <w:rPr>
          <w:bCs/>
          <w:noProof/>
        </w:rPr>
        <w:tab/>
      </w:r>
    </w:p>
    <w:p w14:paraId="14149E53" w14:textId="77777777" w:rsidR="00B41E02" w:rsidRPr="0000088F" w:rsidRDefault="00B41E02" w:rsidP="00FF4224">
      <w:pPr>
        <w:pStyle w:val="Tiret1"/>
        <w:numPr>
          <w:ilvl w:val="0"/>
          <w:numId w:val="56"/>
        </w:numPr>
        <w:rPr>
          <w:bCs/>
          <w:noProof/>
        </w:rPr>
      </w:pPr>
      <w:r w:rsidRPr="0000088F">
        <w:rPr>
          <w:noProof/>
        </w:rPr>
        <w:t>Redegør for de parametre, der skal tilskynde investorer og finansielle formidlere til at udvise interesse for at deltage i den anmeldte ordning, ved at besvare spørgsmålene i dette afsnit.</w:t>
      </w:r>
    </w:p>
    <w:p w14:paraId="51BC8B62" w14:textId="77777777" w:rsidR="00FF4224" w:rsidRPr="0000088F" w:rsidRDefault="00FF4224" w:rsidP="00FF4224">
      <w:pPr>
        <w:tabs>
          <w:tab w:val="left" w:leader="dot" w:pos="9072"/>
        </w:tabs>
        <w:ind w:left="720"/>
        <w:rPr>
          <w:bCs/>
          <w:noProof/>
        </w:rPr>
      </w:pPr>
      <w:r w:rsidRPr="0000088F">
        <w:rPr>
          <w:noProof/>
        </w:rPr>
        <w:lastRenderedPageBreak/>
        <w:tab/>
      </w:r>
    </w:p>
    <w:p w14:paraId="0F1202DC" w14:textId="77777777" w:rsidR="00B41E02" w:rsidRPr="0000088F" w:rsidRDefault="00B41E02" w:rsidP="00B41E02">
      <w:pPr>
        <w:pStyle w:val="ManualHeading3"/>
        <w:rPr>
          <w:noProof/>
        </w:rPr>
      </w:pPr>
      <w:r w:rsidRPr="0015417F">
        <w:rPr>
          <w:noProof/>
        </w:rPr>
        <w:t>2.9.1.</w:t>
      </w:r>
      <w:r w:rsidRPr="0015417F">
        <w:rPr>
          <w:noProof/>
        </w:rPr>
        <w:tab/>
      </w:r>
      <w:r w:rsidRPr="0000088F">
        <w:rPr>
          <w:noProof/>
        </w:rPr>
        <w:t>Finansielle instrumenter</w:t>
      </w:r>
    </w:p>
    <w:p w14:paraId="41046A31" w14:textId="6C0C4CDD" w:rsidR="00B41E02" w:rsidRPr="0000088F" w:rsidRDefault="00B41E02" w:rsidP="00B41E02">
      <w:pPr>
        <w:rPr>
          <w:i/>
          <w:iCs/>
          <w:noProof/>
        </w:rPr>
      </w:pPr>
      <w:r w:rsidRPr="0000088F">
        <w:rPr>
          <w:i/>
          <w:noProof/>
        </w:rPr>
        <w:t>Risikofinansieringsforanstaltninger i form af finansielle instrumenter skal: 1) anvendes gennem finansielle formidlere (retningslinjernes punkt 22), og</w:t>
      </w:r>
      <w:r w:rsidRPr="0000088F">
        <w:rPr>
          <w:noProof/>
        </w:rPr>
        <w:t xml:space="preserve"> </w:t>
      </w:r>
      <w:r w:rsidRPr="0000088F">
        <w:rPr>
          <w:i/>
          <w:noProof/>
        </w:rPr>
        <w:t>2) omfatte deltagelse af private investorer (retningslinjernes punkt 25). Sådanne foranstaltninger er således opdelt i tre niveauer: i) statslig indgriben til fordel for finansielle formidlere, ii) investeringer foretaget af finansielle formidlere i endelige støttemodtagende virksomheder og iii) investeringer foretaget af private investorer i et af de foregående niveauer.</w:t>
      </w:r>
    </w:p>
    <w:p w14:paraId="616AC373" w14:textId="77777777" w:rsidR="00B41E02" w:rsidRPr="0000088F" w:rsidRDefault="00B41E02" w:rsidP="00B41E02">
      <w:pPr>
        <w:pStyle w:val="ManualHeading4"/>
        <w:rPr>
          <w:noProof/>
        </w:rPr>
      </w:pPr>
      <w:r w:rsidRPr="0015417F">
        <w:rPr>
          <w:noProof/>
        </w:rPr>
        <w:t>2.9.1.1.</w:t>
      </w:r>
      <w:r w:rsidRPr="0015417F">
        <w:rPr>
          <w:noProof/>
        </w:rPr>
        <w:tab/>
      </w:r>
      <w:r w:rsidRPr="0000088F">
        <w:rPr>
          <w:noProof/>
        </w:rPr>
        <w:t xml:space="preserve"> Indgriben på de finansielle formidleres niveau</w:t>
      </w:r>
    </w:p>
    <w:p w14:paraId="57D8F0F6" w14:textId="77777777" w:rsidR="00B41E02" w:rsidRPr="0000088F" w:rsidRDefault="00B41E02" w:rsidP="00B41E02">
      <w:pPr>
        <w:pStyle w:val="ManualHeading1-A"/>
        <w:rPr>
          <w:noProof/>
        </w:rPr>
      </w:pPr>
      <w:r w:rsidRPr="0000088F">
        <w:rPr>
          <w:noProof/>
        </w:rPr>
        <w:t>Statslig indgriben på de finansielle formidleres niveau</w:t>
      </w:r>
    </w:p>
    <w:p w14:paraId="38A0F392" w14:textId="77777777" w:rsidR="00B41E02" w:rsidRPr="0000088F" w:rsidRDefault="00B41E02" w:rsidP="00B41E02">
      <w:pPr>
        <w:rPr>
          <w:noProof/>
        </w:rPr>
      </w:pPr>
      <w:r w:rsidRPr="0000088F">
        <w:rPr>
          <w:noProof/>
        </w:rPr>
        <w:t>Staten kan stille følgende til rådighed for de finansielle formidlere (sæt kryds og udfyld, hvis relevant):</w:t>
      </w:r>
    </w:p>
    <w:p w14:paraId="11ACF897" w14:textId="77777777" w:rsidR="00B41E02" w:rsidRPr="0000088F" w:rsidRDefault="00717B1C" w:rsidP="00B41E02">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ab/>
        <w:t>Tilførsel af egenkapital (også kvasiegenkapital) fra staten på de finansielle formidleres niveau</w:t>
      </w:r>
    </w:p>
    <w:p w14:paraId="33C97673" w14:textId="77777777" w:rsidR="00B41E02" w:rsidRPr="0000088F" w:rsidRDefault="00B41E02" w:rsidP="00FF4224">
      <w:pPr>
        <w:pStyle w:val="ListNumber"/>
        <w:numPr>
          <w:ilvl w:val="0"/>
          <w:numId w:val="14"/>
        </w:numPr>
        <w:spacing w:before="0" w:after="240"/>
        <w:contextualSpacing w:val="0"/>
        <w:rPr>
          <w:noProof/>
        </w:rPr>
      </w:pPr>
      <w:r w:rsidRPr="0000088F">
        <w:rPr>
          <w:noProof/>
        </w:rPr>
        <w:t>Oplys følgende:</w:t>
      </w:r>
    </w:p>
    <w:p w14:paraId="52D1D917" w14:textId="77777777" w:rsidR="00B41E02" w:rsidRPr="0000088F" w:rsidRDefault="00B41E02" w:rsidP="00FF4224">
      <w:pPr>
        <w:pStyle w:val="Tiret0"/>
        <w:numPr>
          <w:ilvl w:val="0"/>
          <w:numId w:val="54"/>
        </w:numPr>
        <w:rPr>
          <w:noProof/>
        </w:rPr>
      </w:pPr>
      <w:r w:rsidRPr="0000088F">
        <w:rPr>
          <w:noProof/>
        </w:rPr>
        <w:t>Vilkår for kapitaltilførslen (inklusive en sammenligning med markedsvilkårene for et sådant indskud):</w:t>
      </w:r>
    </w:p>
    <w:p w14:paraId="578233DA" w14:textId="77777777" w:rsidR="00B41E02" w:rsidRPr="0000088F" w:rsidRDefault="00B41E02" w:rsidP="00B41E02">
      <w:pPr>
        <w:tabs>
          <w:tab w:val="left" w:leader="dot" w:pos="9072"/>
        </w:tabs>
        <w:rPr>
          <w:bCs/>
          <w:noProof/>
        </w:rPr>
      </w:pPr>
      <w:r w:rsidRPr="0000088F">
        <w:rPr>
          <w:noProof/>
        </w:rPr>
        <w:tab/>
      </w:r>
    </w:p>
    <w:p w14:paraId="390C0CA2" w14:textId="77777777" w:rsidR="00B41E02" w:rsidRPr="0000088F" w:rsidRDefault="00B41E02" w:rsidP="00FF4224">
      <w:pPr>
        <w:pStyle w:val="Tiret0"/>
        <w:rPr>
          <w:noProof/>
        </w:rPr>
      </w:pPr>
      <w:r w:rsidRPr="0000088F">
        <w:rPr>
          <w:noProof/>
        </w:rPr>
        <w:t>Type finansiel formidler:</w:t>
      </w:r>
      <w:r w:rsidRPr="0000088F">
        <w:rPr>
          <w:noProof/>
        </w:rPr>
        <w:tab/>
      </w:r>
    </w:p>
    <w:p w14:paraId="1E4D85E9" w14:textId="77777777" w:rsidR="00B41E02" w:rsidRPr="0000088F" w:rsidRDefault="00B41E02" w:rsidP="00B41E02">
      <w:pPr>
        <w:tabs>
          <w:tab w:val="left" w:leader="dot" w:pos="9072"/>
        </w:tabs>
        <w:rPr>
          <w:bCs/>
          <w:noProof/>
        </w:rPr>
      </w:pPr>
      <w:r w:rsidRPr="0000088F">
        <w:rPr>
          <w:noProof/>
        </w:rPr>
        <w:tab/>
      </w:r>
    </w:p>
    <w:p w14:paraId="1F16F411" w14:textId="77777777" w:rsidR="00B41E02" w:rsidRPr="0000088F" w:rsidRDefault="00B41E02" w:rsidP="00FF4224">
      <w:pPr>
        <w:pStyle w:val="Tiret0"/>
        <w:rPr>
          <w:bCs/>
          <w:noProof/>
        </w:rPr>
      </w:pPr>
      <w:r w:rsidRPr="0000088F">
        <w:rPr>
          <w:noProof/>
        </w:rPr>
        <w:t>Den finansielle formidlers finansieringsstruktur (f.eks. en investeringsfond med både offentlig og privat deltagelse, en fond, der investerer i andre mere specialiserede delfonde, en offentlig fond, der yder finansiering sammen med private investorer på transaktionsniveau). Redegør nærmere:</w:t>
      </w:r>
    </w:p>
    <w:p w14:paraId="4E9E0166" w14:textId="77777777" w:rsidR="00B41E02" w:rsidRPr="0000088F" w:rsidRDefault="00B41E02" w:rsidP="00B41E02">
      <w:pPr>
        <w:tabs>
          <w:tab w:val="left" w:leader="dot" w:pos="9072"/>
        </w:tabs>
        <w:rPr>
          <w:bCs/>
          <w:noProof/>
        </w:rPr>
      </w:pPr>
      <w:r w:rsidRPr="0000088F">
        <w:rPr>
          <w:noProof/>
        </w:rPr>
        <w:tab/>
      </w:r>
    </w:p>
    <w:p w14:paraId="1EA87C00" w14:textId="77777777" w:rsidR="00B41E02" w:rsidRPr="0000088F" w:rsidRDefault="00B41E02" w:rsidP="00FF4224">
      <w:pPr>
        <w:pStyle w:val="ListNumber"/>
        <w:numPr>
          <w:ilvl w:val="0"/>
          <w:numId w:val="14"/>
        </w:numPr>
        <w:tabs>
          <w:tab w:val="clear" w:pos="360"/>
          <w:tab w:val="num" w:pos="709"/>
        </w:tabs>
        <w:spacing w:before="0" w:after="240"/>
        <w:ind w:left="709" w:hanging="709"/>
        <w:contextualSpacing w:val="0"/>
        <w:rPr>
          <w:noProof/>
        </w:rPr>
      </w:pPr>
      <w:r w:rsidRPr="0000088F">
        <w:rPr>
          <w:noProof/>
        </w:rPr>
        <w:t xml:space="preserve">I tilfælde af kvasiegenkapital redegøres der i detaljer for arten af det påtænkte instrument: </w:t>
      </w:r>
    </w:p>
    <w:p w14:paraId="40A9CC97" w14:textId="77777777" w:rsidR="00B41E02" w:rsidRPr="0000088F" w:rsidRDefault="00B41E02" w:rsidP="00B41E02">
      <w:pPr>
        <w:tabs>
          <w:tab w:val="left" w:leader="dot" w:pos="9072"/>
        </w:tabs>
        <w:rPr>
          <w:bCs/>
          <w:noProof/>
        </w:rPr>
      </w:pPr>
      <w:r w:rsidRPr="0000088F">
        <w:rPr>
          <w:noProof/>
        </w:rPr>
        <w:tab/>
      </w:r>
    </w:p>
    <w:p w14:paraId="4D1A865C" w14:textId="77777777" w:rsidR="00B41E02" w:rsidRPr="0000088F" w:rsidRDefault="00B41E02" w:rsidP="00FF4224">
      <w:pPr>
        <w:pStyle w:val="ListNumber"/>
        <w:numPr>
          <w:ilvl w:val="0"/>
          <w:numId w:val="14"/>
        </w:numPr>
        <w:tabs>
          <w:tab w:val="clear" w:pos="360"/>
          <w:tab w:val="num" w:pos="709"/>
        </w:tabs>
        <w:spacing w:before="0" w:after="240"/>
        <w:ind w:left="709" w:hanging="709"/>
        <w:contextualSpacing w:val="0"/>
        <w:rPr>
          <w:noProof/>
        </w:rPr>
      </w:pPr>
      <w:r w:rsidRPr="0000088F">
        <w:rPr>
          <w:noProof/>
        </w:rPr>
        <w:t>I tilfælde af privat deltagelse på dette niveau (f.eks. private investorer, der yder kapital til den finansielle formidler sammen med staten):</w:t>
      </w:r>
    </w:p>
    <w:p w14:paraId="0DA15888" w14:textId="77777777" w:rsidR="00B41E02" w:rsidRPr="0000088F" w:rsidRDefault="00B41E02" w:rsidP="00FF4224">
      <w:pPr>
        <w:pStyle w:val="Tiret0"/>
        <w:numPr>
          <w:ilvl w:val="0"/>
          <w:numId w:val="34"/>
        </w:numPr>
        <w:rPr>
          <w:noProof/>
        </w:rPr>
      </w:pPr>
      <w:r w:rsidRPr="0000088F">
        <w:rPr>
          <w:noProof/>
        </w:rPr>
        <w:t xml:space="preserve">Angiv de offentlige og private investorers deltagelsesprocent: </w:t>
      </w:r>
    </w:p>
    <w:p w14:paraId="01CE1C79" w14:textId="77777777" w:rsidR="00B41E02" w:rsidRPr="0000088F" w:rsidRDefault="00B41E02" w:rsidP="00B41E02">
      <w:pPr>
        <w:tabs>
          <w:tab w:val="left" w:leader="dot" w:pos="9072"/>
        </w:tabs>
        <w:rPr>
          <w:bCs/>
          <w:noProof/>
        </w:rPr>
      </w:pPr>
      <w:r w:rsidRPr="0000088F">
        <w:rPr>
          <w:noProof/>
        </w:rPr>
        <w:tab/>
      </w:r>
    </w:p>
    <w:p w14:paraId="5B26F0DF" w14:textId="77777777" w:rsidR="00B41E02" w:rsidRPr="0000088F" w:rsidRDefault="00B41E02" w:rsidP="00FF4224">
      <w:pPr>
        <w:pStyle w:val="Tiret0"/>
        <w:numPr>
          <w:ilvl w:val="0"/>
          <w:numId w:val="34"/>
        </w:numPr>
        <w:rPr>
          <w:noProof/>
        </w:rPr>
      </w:pPr>
      <w:r w:rsidRPr="0000088F">
        <w:rPr>
          <w:noProof/>
        </w:rPr>
        <w:t xml:space="preserve">Angiv den påtænkte type af privilegeret behandling af de deltagende private investorer, som det fremgår af indkaldelsen af interessetilkendegivelser (oplys nærmere): </w:t>
      </w:r>
    </w:p>
    <w:p w14:paraId="7FF38D93" w14:textId="77777777" w:rsidR="00B41E02" w:rsidRPr="0000088F" w:rsidRDefault="00B41E02" w:rsidP="00B41E02">
      <w:pPr>
        <w:tabs>
          <w:tab w:val="left" w:leader="dot" w:pos="9072"/>
        </w:tabs>
        <w:rPr>
          <w:noProof/>
        </w:rPr>
      </w:pPr>
      <w:r w:rsidRPr="0000088F">
        <w:rPr>
          <w:noProof/>
        </w:rPr>
        <w:tab/>
      </w:r>
    </w:p>
    <w:p w14:paraId="3D8B4D31" w14:textId="77777777" w:rsidR="00B41E02" w:rsidRPr="0000088F" w:rsidRDefault="00717B1C" w:rsidP="000B1355">
      <w:pPr>
        <w:tabs>
          <w:tab w:val="left" w:leader="dot" w:pos="9072"/>
        </w:tabs>
        <w:ind w:left="1440"/>
        <w:rPr>
          <w:noProof/>
        </w:rPr>
      </w:pPr>
      <w:sdt>
        <w:sdtPr>
          <w:rPr>
            <w:noProof/>
          </w:rPr>
          <w:id w:val="726807186"/>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Upside-incitamenter (større afkast): </w:t>
      </w:r>
      <w:r w:rsidR="00B41E02" w:rsidRPr="0000088F">
        <w:rPr>
          <w:noProof/>
        </w:rPr>
        <w:tab/>
      </w:r>
    </w:p>
    <w:p w14:paraId="241D3655" w14:textId="77777777" w:rsidR="00B41E02" w:rsidRPr="0000088F" w:rsidRDefault="00717B1C" w:rsidP="000B1355">
      <w:pPr>
        <w:tabs>
          <w:tab w:val="left" w:leader="dot" w:pos="9072"/>
        </w:tabs>
        <w:ind w:left="1440"/>
        <w:rPr>
          <w:noProof/>
        </w:rPr>
      </w:pPr>
      <w:sdt>
        <w:sdtPr>
          <w:rPr>
            <w:noProof/>
          </w:rPr>
          <w:id w:val="-202641168"/>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Downside-beskyttelse (beskyttelse mod tab):</w:t>
      </w:r>
      <w:r w:rsidR="00B41E02" w:rsidRPr="0000088F">
        <w:rPr>
          <w:noProof/>
        </w:rPr>
        <w:tab/>
      </w:r>
    </w:p>
    <w:p w14:paraId="0FBA1314" w14:textId="77777777" w:rsidR="00B41E02" w:rsidRPr="0000088F" w:rsidRDefault="00B41E02" w:rsidP="00FF4224">
      <w:pPr>
        <w:pStyle w:val="Tiret0"/>
        <w:numPr>
          <w:ilvl w:val="0"/>
          <w:numId w:val="34"/>
        </w:numPr>
        <w:rPr>
          <w:noProof/>
        </w:rPr>
      </w:pPr>
      <w:r w:rsidRPr="0000088F">
        <w:rPr>
          <w:noProof/>
        </w:rPr>
        <w:lastRenderedPageBreak/>
        <w:t>Hvis non-pari passu-tabsdelingen rækker ud over tærsklerne i artikel 21, stk. 10, i forordning (EU) nr. 651/2014, gives der med henvisning til den forudgående vurdering økonomisk dokumentation og begrundelse herfor (retningslinjernes punkt 113):</w:t>
      </w:r>
    </w:p>
    <w:p w14:paraId="707AA295" w14:textId="77777777" w:rsidR="00B41E02" w:rsidRPr="0000088F" w:rsidRDefault="00B41E02" w:rsidP="00B41E02">
      <w:pPr>
        <w:tabs>
          <w:tab w:val="left" w:leader="dot" w:pos="9072"/>
        </w:tabs>
        <w:rPr>
          <w:bCs/>
          <w:noProof/>
        </w:rPr>
      </w:pPr>
      <w:r w:rsidRPr="0000088F">
        <w:rPr>
          <w:noProof/>
        </w:rPr>
        <w:tab/>
      </w:r>
    </w:p>
    <w:p w14:paraId="2BBC1070" w14:textId="77777777" w:rsidR="00B41E02" w:rsidRPr="0000088F" w:rsidRDefault="00B41E02" w:rsidP="00FF4224">
      <w:pPr>
        <w:pStyle w:val="Tiret0"/>
        <w:numPr>
          <w:ilvl w:val="0"/>
          <w:numId w:val="34"/>
        </w:numPr>
        <w:rPr>
          <w:noProof/>
        </w:rPr>
      </w:pPr>
      <w:r w:rsidRPr="0000088F">
        <w:rPr>
          <w:noProof/>
        </w:rPr>
        <w:t>Hvis det er relevant, angives loftet over den offentlige investors first loss-eksponering (retningslinjernes punkt 113):</w:t>
      </w:r>
    </w:p>
    <w:p w14:paraId="68CF5826" w14:textId="77777777" w:rsidR="00B41E02" w:rsidRPr="0000088F" w:rsidRDefault="00717B1C" w:rsidP="00B41E02">
      <w:pPr>
        <w:pStyle w:val="Text1"/>
        <w:rPr>
          <w:noProof/>
        </w:rPr>
      </w:pPr>
      <w:sdt>
        <w:sdtPr>
          <w:rPr>
            <w:noProof/>
          </w:rPr>
          <w:id w:val="117291553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 Angiv, hvordan loftet er blevet fastsat:</w:t>
      </w:r>
    </w:p>
    <w:p w14:paraId="7575A43C" w14:textId="77777777" w:rsidR="00B41E02" w:rsidRPr="0000088F" w:rsidRDefault="00B41E02" w:rsidP="000B1355">
      <w:pPr>
        <w:tabs>
          <w:tab w:val="left" w:leader="dot" w:pos="9072"/>
        </w:tabs>
        <w:ind w:left="720"/>
        <w:rPr>
          <w:bCs/>
          <w:noProof/>
        </w:rPr>
      </w:pPr>
      <w:r w:rsidRPr="0000088F">
        <w:rPr>
          <w:noProof/>
        </w:rPr>
        <w:tab/>
      </w:r>
    </w:p>
    <w:p w14:paraId="3D2A8A5B" w14:textId="77777777" w:rsidR="00B41E02" w:rsidRPr="0000088F" w:rsidRDefault="00717B1C" w:rsidP="00B41E02">
      <w:pPr>
        <w:pStyle w:val="Text1"/>
        <w:rPr>
          <w:noProof/>
        </w:rPr>
      </w:pPr>
      <w:sdt>
        <w:sdtPr>
          <w:rPr>
            <w:noProof/>
          </w:rPr>
          <w:id w:val="-1029021768"/>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 Redegør nærmere:</w:t>
      </w:r>
    </w:p>
    <w:p w14:paraId="240AA8F1" w14:textId="77777777" w:rsidR="00B41E02" w:rsidRPr="0000088F" w:rsidRDefault="00B41E02" w:rsidP="000B1355">
      <w:pPr>
        <w:tabs>
          <w:tab w:val="left" w:leader="dot" w:pos="9072"/>
        </w:tabs>
        <w:ind w:left="709"/>
        <w:rPr>
          <w:bCs/>
          <w:noProof/>
        </w:rPr>
      </w:pPr>
      <w:r w:rsidRPr="0000088F">
        <w:rPr>
          <w:noProof/>
        </w:rPr>
        <w:tab/>
      </w:r>
    </w:p>
    <w:p w14:paraId="47FFDDE6" w14:textId="77777777" w:rsidR="00B41E02" w:rsidRPr="0000088F" w:rsidRDefault="00B41E02" w:rsidP="00FF4224">
      <w:pPr>
        <w:pStyle w:val="ListNumber"/>
        <w:numPr>
          <w:ilvl w:val="0"/>
          <w:numId w:val="14"/>
        </w:numPr>
        <w:tabs>
          <w:tab w:val="clear" w:pos="360"/>
          <w:tab w:val="num" w:pos="709"/>
        </w:tabs>
        <w:spacing w:before="0" w:after="240"/>
        <w:ind w:left="709" w:hanging="709"/>
        <w:contextualSpacing w:val="0"/>
        <w:rPr>
          <w:noProof/>
        </w:rPr>
      </w:pPr>
      <w:r w:rsidRPr="0000088F">
        <w:rPr>
          <w:noProof/>
        </w:rPr>
        <w:t>Redegør for, hvordan instrumentet er udformet til at sikre, at den finansielle formidlers investeringsstrategi er på linje med de offentlige politiske mål:</w:t>
      </w:r>
    </w:p>
    <w:p w14:paraId="3DF08ACF" w14:textId="77777777" w:rsidR="00B41E02" w:rsidRPr="0000088F" w:rsidRDefault="00B41E02" w:rsidP="00B41E02">
      <w:pPr>
        <w:tabs>
          <w:tab w:val="left" w:leader="dot" w:pos="9072"/>
        </w:tabs>
        <w:rPr>
          <w:bCs/>
          <w:noProof/>
        </w:rPr>
      </w:pPr>
      <w:r w:rsidRPr="0000088F">
        <w:rPr>
          <w:noProof/>
        </w:rPr>
        <w:tab/>
      </w:r>
    </w:p>
    <w:p w14:paraId="500A0143" w14:textId="77777777" w:rsidR="00B41E02" w:rsidRPr="0000088F" w:rsidRDefault="00B41E02" w:rsidP="00FF4224">
      <w:pPr>
        <w:pStyle w:val="ListNumber"/>
        <w:numPr>
          <w:ilvl w:val="0"/>
          <w:numId w:val="14"/>
        </w:numPr>
        <w:tabs>
          <w:tab w:val="clear" w:pos="360"/>
          <w:tab w:val="num" w:pos="709"/>
        </w:tabs>
        <w:spacing w:before="0" w:after="240"/>
        <w:ind w:left="709" w:hanging="709"/>
        <w:contextualSpacing w:val="0"/>
        <w:rPr>
          <w:noProof/>
        </w:rPr>
      </w:pPr>
      <w:r w:rsidRPr="0000088F">
        <w:rPr>
          <w:noProof/>
        </w:rPr>
        <w:t>Redegør i detaljer for varigheden af det instrument eller for den exitstrategi, der ligger til grund for egenkapitalinvesteringen, og for den offentlige investors strategiske planlægning af afviklingen:</w:t>
      </w:r>
    </w:p>
    <w:p w14:paraId="2ADF4DEB" w14:textId="77777777" w:rsidR="00B41E02" w:rsidRPr="0000088F" w:rsidRDefault="00B41E02" w:rsidP="00B41E02">
      <w:pPr>
        <w:tabs>
          <w:tab w:val="left" w:leader="dot" w:pos="9072"/>
        </w:tabs>
        <w:rPr>
          <w:bCs/>
          <w:noProof/>
        </w:rPr>
      </w:pPr>
      <w:r w:rsidRPr="0000088F">
        <w:rPr>
          <w:noProof/>
        </w:rPr>
        <w:tab/>
      </w:r>
    </w:p>
    <w:p w14:paraId="53BCFD66" w14:textId="77777777" w:rsidR="00B41E02" w:rsidRPr="0000088F" w:rsidRDefault="00B41E02" w:rsidP="00FF4224">
      <w:pPr>
        <w:pStyle w:val="ListNumber"/>
        <w:numPr>
          <w:ilvl w:val="0"/>
          <w:numId w:val="14"/>
        </w:numPr>
        <w:tabs>
          <w:tab w:val="clear" w:pos="360"/>
          <w:tab w:val="num" w:pos="709"/>
        </w:tabs>
        <w:spacing w:before="0" w:after="240"/>
        <w:ind w:left="709" w:hanging="709"/>
        <w:contextualSpacing w:val="0"/>
        <w:rPr>
          <w:noProof/>
        </w:rPr>
      </w:pPr>
      <w:r w:rsidRPr="0000088F">
        <w:rPr>
          <w:noProof/>
        </w:rPr>
        <w:t>Andre relevante oplysninger:</w:t>
      </w:r>
    </w:p>
    <w:p w14:paraId="14520168" w14:textId="77777777" w:rsidR="00B41E02" w:rsidRPr="0000088F" w:rsidRDefault="00B41E02" w:rsidP="00B41E02">
      <w:pPr>
        <w:tabs>
          <w:tab w:val="left" w:leader="dot" w:pos="9072"/>
        </w:tabs>
        <w:rPr>
          <w:bCs/>
          <w:noProof/>
        </w:rPr>
      </w:pPr>
      <w:r w:rsidRPr="0000088F">
        <w:rPr>
          <w:noProof/>
        </w:rPr>
        <w:tab/>
      </w:r>
    </w:p>
    <w:p w14:paraId="290CB3F8" w14:textId="77777777" w:rsidR="00B41E02" w:rsidRPr="0000088F" w:rsidRDefault="00717B1C" w:rsidP="00B41E02">
      <w:pPr>
        <w:pStyle w:val="ManualHeading1"/>
        <w:rPr>
          <w:noProof/>
        </w:rPr>
      </w:pPr>
      <w:sdt>
        <w:sdtPr>
          <w:rPr>
            <w:noProof/>
          </w:rPr>
          <w:id w:val="860173296"/>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ab/>
        <w:t>Finansierede gældsinstrumenter: låneinstrumenter (herefter "lån") på de finansielle formidleres niveau</w:t>
      </w:r>
    </w:p>
    <w:p w14:paraId="67610BFB" w14:textId="77777777" w:rsidR="00B41E02" w:rsidRPr="0000088F" w:rsidRDefault="00B41E02" w:rsidP="00FF4224">
      <w:pPr>
        <w:pStyle w:val="ListNumber"/>
        <w:numPr>
          <w:ilvl w:val="0"/>
          <w:numId w:val="35"/>
        </w:numPr>
        <w:tabs>
          <w:tab w:val="clear" w:pos="360"/>
          <w:tab w:val="num" w:pos="709"/>
        </w:tabs>
        <w:spacing w:before="0" w:after="240"/>
        <w:contextualSpacing w:val="0"/>
        <w:rPr>
          <w:bCs/>
          <w:noProof/>
        </w:rPr>
      </w:pPr>
      <w:r w:rsidRPr="0000088F">
        <w:rPr>
          <w:noProof/>
        </w:rPr>
        <w:t xml:space="preserve">Oplys følgende: </w:t>
      </w:r>
    </w:p>
    <w:p w14:paraId="111582B0" w14:textId="77777777" w:rsidR="00B41E02" w:rsidRPr="0000088F" w:rsidRDefault="00B41E02" w:rsidP="00FF4224">
      <w:pPr>
        <w:pStyle w:val="Tiret1"/>
        <w:numPr>
          <w:ilvl w:val="0"/>
          <w:numId w:val="56"/>
        </w:numPr>
        <w:rPr>
          <w:bCs/>
          <w:noProof/>
        </w:rPr>
      </w:pPr>
      <w:bookmarkStart w:id="0" w:name="_Hlk155619085"/>
      <w:r w:rsidRPr="0000088F">
        <w:rPr>
          <w:noProof/>
        </w:rPr>
        <w:t xml:space="preserve">Type lån (f.eks. efterstillede lån og lån med porteføljerisikodeling) oplys nærmere: </w:t>
      </w:r>
    </w:p>
    <w:p w14:paraId="01436000" w14:textId="77777777" w:rsidR="00B41E02" w:rsidRPr="0000088F" w:rsidRDefault="00B41E02" w:rsidP="000B1355">
      <w:pPr>
        <w:tabs>
          <w:tab w:val="left" w:leader="dot" w:pos="9072"/>
        </w:tabs>
        <w:ind w:left="720"/>
        <w:rPr>
          <w:bCs/>
          <w:noProof/>
        </w:rPr>
      </w:pPr>
      <w:r w:rsidRPr="0000088F">
        <w:rPr>
          <w:noProof/>
        </w:rPr>
        <w:tab/>
      </w:r>
    </w:p>
    <w:p w14:paraId="10C68D1C" w14:textId="77777777" w:rsidR="00B41E02" w:rsidRPr="0000088F" w:rsidRDefault="00B41E02" w:rsidP="00FF4224">
      <w:pPr>
        <w:pStyle w:val="Tiret1"/>
        <w:numPr>
          <w:ilvl w:val="0"/>
          <w:numId w:val="56"/>
        </w:numPr>
        <w:rPr>
          <w:noProof/>
        </w:rPr>
      </w:pPr>
      <w:r w:rsidRPr="0000088F">
        <w:rPr>
          <w:noProof/>
        </w:rPr>
        <w:t xml:space="preserve">Vilkår for lån under foranstaltningen (inklusive en sammenligning med markedsvilkårene for sådanne lån): </w:t>
      </w:r>
    </w:p>
    <w:p w14:paraId="2C202BFD" w14:textId="77777777" w:rsidR="00B41E02" w:rsidRPr="0000088F" w:rsidRDefault="00B41E02" w:rsidP="000B1355">
      <w:pPr>
        <w:tabs>
          <w:tab w:val="left" w:leader="dot" w:pos="9072"/>
        </w:tabs>
        <w:ind w:left="720"/>
        <w:rPr>
          <w:bCs/>
          <w:noProof/>
        </w:rPr>
      </w:pPr>
      <w:r w:rsidRPr="0000088F">
        <w:rPr>
          <w:noProof/>
        </w:rPr>
        <w:tab/>
      </w:r>
    </w:p>
    <w:p w14:paraId="0901FA9E" w14:textId="6A435E60" w:rsidR="000B1355" w:rsidRPr="0000088F" w:rsidRDefault="00B41E02" w:rsidP="000B1355">
      <w:pPr>
        <w:tabs>
          <w:tab w:val="left" w:leader="dot" w:pos="9072"/>
        </w:tabs>
        <w:ind w:left="720"/>
        <w:rPr>
          <w:bCs/>
          <w:noProof/>
        </w:rPr>
      </w:pPr>
      <w:r w:rsidRPr="0000088F">
        <w:rPr>
          <w:noProof/>
        </w:rPr>
        <w:t>Lånets maksimale størrelse:</w:t>
      </w:r>
      <w:r w:rsidR="000B1355">
        <w:rPr>
          <w:noProof/>
        </w:rPr>
        <w:t xml:space="preserve"> </w:t>
      </w:r>
      <w:r w:rsidR="000B1355" w:rsidRPr="0000088F">
        <w:rPr>
          <w:noProof/>
        </w:rPr>
        <w:tab/>
      </w:r>
    </w:p>
    <w:bookmarkEnd w:id="0"/>
    <w:p w14:paraId="358AD33B" w14:textId="77777777" w:rsidR="000B1355" w:rsidRPr="0000088F" w:rsidRDefault="00B41E02" w:rsidP="000B1355">
      <w:pPr>
        <w:tabs>
          <w:tab w:val="left" w:leader="dot" w:pos="9072"/>
        </w:tabs>
        <w:ind w:left="720"/>
        <w:rPr>
          <w:bCs/>
          <w:noProof/>
        </w:rPr>
      </w:pPr>
      <w:r w:rsidRPr="0000088F">
        <w:rPr>
          <w:noProof/>
        </w:rPr>
        <w:t>Lånets maksimale løbetid:</w:t>
      </w:r>
      <w:r w:rsidR="000B1355">
        <w:rPr>
          <w:noProof/>
        </w:rPr>
        <w:t xml:space="preserve"> </w:t>
      </w:r>
      <w:r w:rsidR="000B1355" w:rsidRPr="0000088F">
        <w:rPr>
          <w:noProof/>
        </w:rPr>
        <w:tab/>
      </w:r>
    </w:p>
    <w:p w14:paraId="4E3CF170" w14:textId="77777777" w:rsidR="000B1355" w:rsidRPr="0000088F" w:rsidRDefault="00B41E02" w:rsidP="000B1355">
      <w:pPr>
        <w:tabs>
          <w:tab w:val="left" w:leader="dot" w:pos="9072"/>
        </w:tabs>
        <w:ind w:left="720"/>
        <w:rPr>
          <w:bCs/>
          <w:noProof/>
        </w:rPr>
      </w:pPr>
      <w:r w:rsidRPr="0000088F">
        <w:rPr>
          <w:noProof/>
        </w:rPr>
        <w:t>Sikkerhedsstillelse eller andre krav:</w:t>
      </w:r>
      <w:r w:rsidR="000B1355" w:rsidRPr="0000088F">
        <w:rPr>
          <w:noProof/>
        </w:rPr>
        <w:tab/>
      </w:r>
    </w:p>
    <w:p w14:paraId="20BB64F7" w14:textId="479CF7A2" w:rsidR="00B41E02" w:rsidRPr="000B1355" w:rsidRDefault="00B41E02" w:rsidP="000B1355">
      <w:pPr>
        <w:tabs>
          <w:tab w:val="left" w:leader="dot" w:pos="9072"/>
        </w:tabs>
        <w:spacing w:after="240"/>
        <w:ind w:left="720"/>
        <w:rPr>
          <w:bCs/>
          <w:noProof/>
        </w:rPr>
      </w:pPr>
      <w:r w:rsidRPr="0000088F">
        <w:rPr>
          <w:noProof/>
        </w:rPr>
        <w:t>Andre relevante oplysninger:</w:t>
      </w:r>
      <w:r w:rsidR="000B1355">
        <w:rPr>
          <w:noProof/>
        </w:rPr>
        <w:t xml:space="preserve"> </w:t>
      </w:r>
      <w:r w:rsidR="000B1355" w:rsidRPr="0000088F">
        <w:rPr>
          <w:noProof/>
        </w:rPr>
        <w:tab/>
      </w:r>
    </w:p>
    <w:p w14:paraId="501D1A1E" w14:textId="77777777" w:rsidR="00B41E02" w:rsidRPr="0000088F" w:rsidRDefault="00B41E02" w:rsidP="00FF4224">
      <w:pPr>
        <w:pStyle w:val="ListNumber"/>
        <w:numPr>
          <w:ilvl w:val="0"/>
          <w:numId w:val="35"/>
        </w:numPr>
        <w:tabs>
          <w:tab w:val="clear" w:pos="360"/>
          <w:tab w:val="num" w:pos="709"/>
        </w:tabs>
        <w:spacing w:before="0" w:after="240"/>
        <w:contextualSpacing w:val="0"/>
        <w:rPr>
          <w:bCs/>
          <w:noProof/>
        </w:rPr>
      </w:pPr>
      <w:r w:rsidRPr="0000088F">
        <w:rPr>
          <w:noProof/>
        </w:rPr>
        <w:t>Henvis til de relevante bestemmelser i retsgrundlaget, der forbyder anvendelse af støtten til refinansiering af eksisterende lån (retningslinjernes punkt 46):</w:t>
      </w:r>
    </w:p>
    <w:p w14:paraId="077FC832" w14:textId="77777777" w:rsidR="00B41E02" w:rsidRPr="0000088F" w:rsidRDefault="00B41E02" w:rsidP="00B41E02">
      <w:pPr>
        <w:tabs>
          <w:tab w:val="left" w:leader="dot" w:pos="9072"/>
        </w:tabs>
        <w:rPr>
          <w:bCs/>
          <w:noProof/>
        </w:rPr>
      </w:pPr>
      <w:r w:rsidRPr="0000088F">
        <w:rPr>
          <w:noProof/>
        </w:rPr>
        <w:tab/>
      </w:r>
    </w:p>
    <w:p w14:paraId="4C2FCABB" w14:textId="77777777" w:rsidR="00B41E02" w:rsidRPr="0000088F" w:rsidRDefault="00B41E02" w:rsidP="00FF4224">
      <w:pPr>
        <w:pStyle w:val="ListNumber"/>
        <w:numPr>
          <w:ilvl w:val="0"/>
          <w:numId w:val="35"/>
        </w:numPr>
        <w:tabs>
          <w:tab w:val="clear" w:pos="360"/>
          <w:tab w:val="num" w:pos="709"/>
        </w:tabs>
        <w:spacing w:before="0" w:after="240"/>
        <w:contextualSpacing w:val="0"/>
        <w:rPr>
          <w:noProof/>
        </w:rPr>
      </w:pPr>
      <w:r w:rsidRPr="0000088F">
        <w:rPr>
          <w:noProof/>
        </w:rPr>
        <w:lastRenderedPageBreak/>
        <w:t>I tilfælde af privat deltagelse på dette niveau (f.eks. private investorer, der yder lån til den finansielle formidler sammen med staten):</w:t>
      </w:r>
    </w:p>
    <w:p w14:paraId="608133FC" w14:textId="77777777" w:rsidR="00B41E02" w:rsidRPr="0000088F" w:rsidRDefault="00B41E02" w:rsidP="00FF4224">
      <w:pPr>
        <w:pStyle w:val="Tiret1"/>
        <w:numPr>
          <w:ilvl w:val="0"/>
          <w:numId w:val="56"/>
        </w:numPr>
        <w:rPr>
          <w:noProof/>
        </w:rPr>
      </w:pPr>
      <w:r w:rsidRPr="0000088F">
        <w:rPr>
          <w:noProof/>
        </w:rPr>
        <w:t xml:space="preserve">Angiv de offentlige og private investorers/långiveres deltagelsesprocent: </w:t>
      </w:r>
    </w:p>
    <w:p w14:paraId="57B43265" w14:textId="77777777" w:rsidR="00B41E02" w:rsidRPr="0000088F" w:rsidRDefault="00B41E02" w:rsidP="000B1355">
      <w:pPr>
        <w:tabs>
          <w:tab w:val="left" w:leader="dot" w:pos="9072"/>
        </w:tabs>
        <w:ind w:left="720"/>
        <w:rPr>
          <w:bCs/>
          <w:noProof/>
        </w:rPr>
      </w:pPr>
      <w:r w:rsidRPr="0000088F">
        <w:rPr>
          <w:noProof/>
        </w:rPr>
        <w:tab/>
      </w:r>
    </w:p>
    <w:p w14:paraId="36FE4374" w14:textId="77777777" w:rsidR="00B41E02" w:rsidRPr="0000088F" w:rsidRDefault="00B41E02" w:rsidP="00B41E02">
      <w:pPr>
        <w:pStyle w:val="Text2"/>
        <w:rPr>
          <w:noProof/>
        </w:rPr>
      </w:pPr>
      <w:r w:rsidRPr="0000088F">
        <w:rPr>
          <w:noProof/>
        </w:rPr>
        <w:t>Ved lån med porteføljerisikodeling, hvad er den udvalgte finansielle formidlers medfinansieringsandel? Bemærk, at den ikke bør være under 30 % af værdien af den underliggende låneportefølje (retningslinjernes punkt 117): Medfinansieringsandel på …%</w:t>
      </w:r>
    </w:p>
    <w:p w14:paraId="536E8F28" w14:textId="77777777" w:rsidR="00B41E02" w:rsidRPr="0000088F" w:rsidRDefault="00B41E02" w:rsidP="00FF4224">
      <w:pPr>
        <w:pStyle w:val="Tiret1"/>
        <w:numPr>
          <w:ilvl w:val="0"/>
          <w:numId w:val="56"/>
        </w:numPr>
        <w:rPr>
          <w:bCs/>
          <w:noProof/>
        </w:rPr>
      </w:pPr>
      <w:r w:rsidRPr="0000088F">
        <w:rPr>
          <w:noProof/>
        </w:rPr>
        <w:t xml:space="preserve">Redegør for risiko- og afkastdelingen mellem de offentlige og de private investorer eller långivere: </w:t>
      </w:r>
    </w:p>
    <w:p w14:paraId="5376DF73" w14:textId="77777777" w:rsidR="00B41E02" w:rsidRPr="0000088F" w:rsidRDefault="00B41E02" w:rsidP="000B1355">
      <w:pPr>
        <w:tabs>
          <w:tab w:val="left" w:leader="dot" w:pos="9072"/>
        </w:tabs>
        <w:ind w:left="850"/>
        <w:rPr>
          <w:bCs/>
          <w:noProof/>
        </w:rPr>
      </w:pPr>
      <w:r w:rsidRPr="0000088F">
        <w:rPr>
          <w:noProof/>
        </w:rPr>
        <w:tab/>
      </w:r>
    </w:p>
    <w:p w14:paraId="12672A87" w14:textId="77777777" w:rsidR="00B41E02" w:rsidRPr="0000088F" w:rsidRDefault="00B41E02" w:rsidP="00B41E02">
      <w:pPr>
        <w:pStyle w:val="Text2"/>
        <w:rPr>
          <w:noProof/>
        </w:rPr>
      </w:pPr>
      <w:r w:rsidRPr="0000088F">
        <w:rPr>
          <w:noProof/>
        </w:rPr>
        <w:t>Hvis den offentlige investor/långiver påtager sig en first loss-position, der overstiger loftet i forordning (EU) nr. 651/2014 (dvs. 25 %), skal dette begrundes med henvisning til et alvorligt markedssvigt, som er identificeret i den forudgående vurdering (retningslinjernes punkt 116). Giv en sammenfatning af begrundelsen:</w:t>
      </w:r>
    </w:p>
    <w:p w14:paraId="1AD7382A" w14:textId="77777777" w:rsidR="00B41E02" w:rsidRPr="0000088F" w:rsidRDefault="00B41E02" w:rsidP="000B1355">
      <w:pPr>
        <w:tabs>
          <w:tab w:val="left" w:leader="dot" w:pos="9072"/>
        </w:tabs>
        <w:ind w:left="850"/>
        <w:rPr>
          <w:bCs/>
          <w:noProof/>
        </w:rPr>
      </w:pPr>
      <w:r w:rsidRPr="0000088F">
        <w:rPr>
          <w:noProof/>
        </w:rPr>
        <w:tab/>
      </w:r>
    </w:p>
    <w:p w14:paraId="4D9262CC" w14:textId="77777777" w:rsidR="00B41E02" w:rsidRPr="0000088F" w:rsidRDefault="00B41E02" w:rsidP="00FF4224">
      <w:pPr>
        <w:pStyle w:val="Tiret1"/>
        <w:numPr>
          <w:ilvl w:val="0"/>
          <w:numId w:val="56"/>
        </w:numPr>
        <w:rPr>
          <w:bCs/>
          <w:noProof/>
        </w:rPr>
      </w:pPr>
      <w:r w:rsidRPr="0000088F">
        <w:rPr>
          <w:noProof/>
        </w:rPr>
        <w:t>Redegør for eventuelle andre risikobegrænsende mekanismer til fordel for de private investorer/långivere:</w:t>
      </w:r>
    </w:p>
    <w:p w14:paraId="03E50727" w14:textId="77777777" w:rsidR="00B41E02" w:rsidRPr="0000088F" w:rsidRDefault="00B41E02" w:rsidP="000B1355">
      <w:pPr>
        <w:tabs>
          <w:tab w:val="left" w:leader="dot" w:pos="9072"/>
        </w:tabs>
        <w:ind w:left="850"/>
        <w:rPr>
          <w:bCs/>
          <w:noProof/>
        </w:rPr>
      </w:pPr>
      <w:r w:rsidRPr="0000088F">
        <w:rPr>
          <w:noProof/>
        </w:rPr>
        <w:tab/>
      </w:r>
    </w:p>
    <w:p w14:paraId="04500AE2" w14:textId="77777777" w:rsidR="00B41E02" w:rsidRPr="0000088F" w:rsidRDefault="00B41E02" w:rsidP="00FF4224">
      <w:pPr>
        <w:pStyle w:val="ListNumber"/>
        <w:numPr>
          <w:ilvl w:val="0"/>
          <w:numId w:val="35"/>
        </w:numPr>
        <w:tabs>
          <w:tab w:val="clear" w:pos="360"/>
          <w:tab w:val="num" w:pos="709"/>
        </w:tabs>
        <w:spacing w:before="0" w:after="240"/>
        <w:contextualSpacing w:val="0"/>
        <w:rPr>
          <w:noProof/>
        </w:rPr>
      </w:pPr>
      <w:r w:rsidRPr="0000088F">
        <w:rPr>
          <w:noProof/>
        </w:rPr>
        <w:t>Redegør for de mekanismer (jf. retningslinjernes punkt 106), der sikrer, at den finansielle formidler videregiver alle de fordele, denne får af staten, til de endelige støttemodtagere. Hvilke betingelser skal den finansielle formidler anvende (f.eks. med hensyn til rente, sikkerhedsstillelse, risikoklasse) over for de endelige støttemodtagere (redegør herfor i detaljer)? Angiv også, hvorvidt den portefølje, der opbygges under foranstaltningen, rækker ud over den finansielle formidlers almindelige kreditrisikopolitik.</w:t>
      </w:r>
    </w:p>
    <w:p w14:paraId="0DBE3DEC" w14:textId="77777777" w:rsidR="00B41E02" w:rsidRPr="0000088F" w:rsidRDefault="00B41E02" w:rsidP="00B41E02">
      <w:pPr>
        <w:tabs>
          <w:tab w:val="left" w:leader="dot" w:pos="9072"/>
        </w:tabs>
        <w:rPr>
          <w:bCs/>
          <w:noProof/>
        </w:rPr>
      </w:pPr>
      <w:r w:rsidRPr="0000088F">
        <w:rPr>
          <w:noProof/>
        </w:rPr>
        <w:tab/>
      </w:r>
    </w:p>
    <w:p w14:paraId="565A3497" w14:textId="77777777" w:rsidR="00B41E02" w:rsidRPr="0000088F" w:rsidRDefault="00B41E02" w:rsidP="00FF4224">
      <w:pPr>
        <w:pStyle w:val="ListNumber"/>
        <w:numPr>
          <w:ilvl w:val="0"/>
          <w:numId w:val="35"/>
        </w:numPr>
        <w:tabs>
          <w:tab w:val="clear" w:pos="360"/>
          <w:tab w:val="num" w:pos="709"/>
        </w:tabs>
        <w:spacing w:before="0" w:after="240"/>
        <w:contextualSpacing w:val="0"/>
        <w:rPr>
          <w:noProof/>
        </w:rPr>
      </w:pPr>
      <w:r w:rsidRPr="0000088F">
        <w:rPr>
          <w:noProof/>
        </w:rPr>
        <w:t>Redegør for, hvordan instrumentet er udformet til at sikre, at den finansielle formidlers investeringsstrategi er på linje med de offentlige politiske mål:</w:t>
      </w:r>
    </w:p>
    <w:p w14:paraId="5DA064FD" w14:textId="77777777" w:rsidR="00B41E02" w:rsidRPr="0000088F" w:rsidRDefault="00B41E02" w:rsidP="00B41E02">
      <w:pPr>
        <w:tabs>
          <w:tab w:val="left" w:leader="dot" w:pos="9072"/>
        </w:tabs>
        <w:rPr>
          <w:noProof/>
        </w:rPr>
      </w:pPr>
      <w:r w:rsidRPr="0000088F">
        <w:rPr>
          <w:noProof/>
        </w:rPr>
        <w:tab/>
      </w:r>
    </w:p>
    <w:p w14:paraId="6D4F1978" w14:textId="77777777" w:rsidR="00B41E02" w:rsidRPr="0000088F" w:rsidRDefault="00B41E02" w:rsidP="00FF4224">
      <w:pPr>
        <w:pStyle w:val="ListNumber"/>
        <w:numPr>
          <w:ilvl w:val="0"/>
          <w:numId w:val="35"/>
        </w:numPr>
        <w:tabs>
          <w:tab w:val="clear" w:pos="360"/>
          <w:tab w:val="num" w:pos="709"/>
        </w:tabs>
        <w:spacing w:before="0" w:after="240"/>
        <w:contextualSpacing w:val="0"/>
        <w:rPr>
          <w:noProof/>
        </w:rPr>
      </w:pPr>
      <w:r w:rsidRPr="0000088F">
        <w:rPr>
          <w:noProof/>
        </w:rPr>
        <w:t>Redegør i detaljer for varigheden af det instrument eller den exitstrategi, der ligger til grund for investeringen i gældsinstrumenter, og for den offentlige investors strategiske planlægning af afviklingen:</w:t>
      </w:r>
    </w:p>
    <w:p w14:paraId="0E910F73" w14:textId="77777777" w:rsidR="00B41E02" w:rsidRPr="0000088F" w:rsidRDefault="00B41E02" w:rsidP="00B41E02">
      <w:pPr>
        <w:tabs>
          <w:tab w:val="left" w:leader="dot" w:pos="9072"/>
        </w:tabs>
        <w:rPr>
          <w:noProof/>
        </w:rPr>
      </w:pPr>
      <w:r w:rsidRPr="0000088F">
        <w:rPr>
          <w:noProof/>
        </w:rPr>
        <w:tab/>
      </w:r>
    </w:p>
    <w:p w14:paraId="6E0A762E" w14:textId="77777777" w:rsidR="00B41E02" w:rsidRPr="0000088F" w:rsidRDefault="00B41E02" w:rsidP="00FF4224">
      <w:pPr>
        <w:pStyle w:val="ListNumber"/>
        <w:numPr>
          <w:ilvl w:val="0"/>
          <w:numId w:val="35"/>
        </w:numPr>
        <w:tabs>
          <w:tab w:val="clear" w:pos="360"/>
          <w:tab w:val="num" w:pos="709"/>
        </w:tabs>
        <w:spacing w:before="0" w:after="240"/>
        <w:contextualSpacing w:val="0"/>
        <w:rPr>
          <w:bCs/>
          <w:noProof/>
        </w:rPr>
      </w:pPr>
      <w:r w:rsidRPr="0000088F">
        <w:rPr>
          <w:noProof/>
        </w:rPr>
        <w:t>Andre relevante oplysninger:</w:t>
      </w:r>
    </w:p>
    <w:p w14:paraId="2264C6E3" w14:textId="77777777" w:rsidR="00B41E02" w:rsidRPr="0000088F" w:rsidRDefault="00B41E02" w:rsidP="00B41E02">
      <w:pPr>
        <w:tabs>
          <w:tab w:val="left" w:leader="dot" w:pos="9072"/>
        </w:tabs>
        <w:rPr>
          <w:bCs/>
          <w:noProof/>
        </w:rPr>
      </w:pPr>
      <w:bookmarkStart w:id="1" w:name="_Hlk200615506"/>
      <w:r w:rsidRPr="0000088F">
        <w:rPr>
          <w:noProof/>
        </w:rPr>
        <w:tab/>
      </w:r>
    </w:p>
    <w:bookmarkEnd w:id="1"/>
    <w:p w14:paraId="0F2EB5D4" w14:textId="77777777" w:rsidR="00B41E02" w:rsidRPr="0000088F" w:rsidRDefault="00717B1C" w:rsidP="00B41E02">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ab/>
        <w:t>Ikkefinansierede gældsinstrumenter: statsgarantier på de finansielle formidleres niveau på underliggende transaktioner med de endelige støttemodtagere</w:t>
      </w:r>
    </w:p>
    <w:p w14:paraId="11FD7443" w14:textId="77777777" w:rsidR="00EB566B" w:rsidRDefault="00B41E02" w:rsidP="00FF4224">
      <w:pPr>
        <w:pStyle w:val="ListNumber"/>
        <w:numPr>
          <w:ilvl w:val="0"/>
          <w:numId w:val="36"/>
        </w:numPr>
        <w:tabs>
          <w:tab w:val="clear" w:pos="360"/>
          <w:tab w:val="num" w:pos="709"/>
        </w:tabs>
        <w:spacing w:before="0" w:after="240"/>
        <w:contextualSpacing w:val="0"/>
        <w:rPr>
          <w:noProof/>
        </w:rPr>
      </w:pPr>
      <w:r w:rsidRPr="0000088F">
        <w:rPr>
          <w:noProof/>
        </w:rPr>
        <w:t xml:space="preserve">Henvis til de relevante bestemmelser i retsgrundlaget, der foreskriver, at støtteberettigede transaktioner, som er omfattet af en garanti, skal være nye støtteberettigede risikofinansieringslånetransaktioner, herunder leasinginstrumenter samt kvasiegenkapitalinstrumenter, undtagen egenkapitalinstrumenter (retningslinjernes punkt 118): </w:t>
      </w:r>
    </w:p>
    <w:p w14:paraId="3E4AB95F" w14:textId="77777777" w:rsidR="00EB566B" w:rsidRPr="0000088F" w:rsidRDefault="00EB566B" w:rsidP="00EB566B">
      <w:pPr>
        <w:tabs>
          <w:tab w:val="left" w:leader="dot" w:pos="9072"/>
        </w:tabs>
        <w:rPr>
          <w:bCs/>
          <w:noProof/>
        </w:rPr>
      </w:pPr>
      <w:r w:rsidRPr="0000088F">
        <w:rPr>
          <w:noProof/>
        </w:rPr>
        <w:tab/>
      </w:r>
    </w:p>
    <w:p w14:paraId="081674EC" w14:textId="77777777" w:rsidR="00B41E02" w:rsidRPr="0000088F" w:rsidRDefault="00B41E02" w:rsidP="00FF4224">
      <w:pPr>
        <w:pStyle w:val="ListNumber"/>
        <w:numPr>
          <w:ilvl w:val="0"/>
          <w:numId w:val="36"/>
        </w:numPr>
        <w:tabs>
          <w:tab w:val="clear" w:pos="360"/>
          <w:tab w:val="num" w:pos="709"/>
        </w:tabs>
        <w:spacing w:before="0" w:after="240"/>
        <w:contextualSpacing w:val="0"/>
        <w:rPr>
          <w:noProof/>
        </w:rPr>
      </w:pPr>
      <w:r w:rsidRPr="0000088F">
        <w:rPr>
          <w:noProof/>
        </w:rPr>
        <w:t>Dækker garantien til de finansielle formidlere en portefølje med underliggende transaktioner og ikke en enkelt underliggende transaktion?</w:t>
      </w:r>
    </w:p>
    <w:p w14:paraId="60902C4B" w14:textId="77777777" w:rsidR="00B41E02" w:rsidRPr="0000088F" w:rsidRDefault="00717B1C" w:rsidP="00B41E02">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Ja. </w:t>
      </w:r>
      <w:r w:rsidR="00B41E02" w:rsidRPr="0000088F">
        <w:rPr>
          <w:noProof/>
        </w:rPr>
        <w:tab/>
      </w:r>
      <w:r w:rsidR="00B41E02" w:rsidRPr="0000088F">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 Nej.</w:t>
      </w:r>
    </w:p>
    <w:p w14:paraId="160019AF" w14:textId="77777777" w:rsidR="00B41E02" w:rsidRPr="0000088F" w:rsidRDefault="00B41E02" w:rsidP="00FF4224">
      <w:pPr>
        <w:pStyle w:val="ListNumber"/>
        <w:numPr>
          <w:ilvl w:val="0"/>
          <w:numId w:val="36"/>
        </w:numPr>
        <w:tabs>
          <w:tab w:val="clear" w:pos="360"/>
          <w:tab w:val="num" w:pos="709"/>
        </w:tabs>
        <w:spacing w:before="0" w:after="240"/>
        <w:contextualSpacing w:val="0"/>
        <w:rPr>
          <w:noProof/>
        </w:rPr>
      </w:pPr>
      <w:r w:rsidRPr="0000088F">
        <w:rPr>
          <w:noProof/>
        </w:rPr>
        <w:t>Type garanti:</w:t>
      </w:r>
    </w:p>
    <w:p w14:paraId="1CE5F949" w14:textId="77777777" w:rsidR="00B41E02" w:rsidRPr="0000088F" w:rsidRDefault="00717B1C" w:rsidP="00B41E02">
      <w:pPr>
        <w:pStyle w:val="Text1"/>
        <w:rPr>
          <w:noProof/>
        </w:rPr>
      </w:pPr>
      <w:sdt>
        <w:sdtPr>
          <w:rPr>
            <w:noProof/>
          </w:rPr>
          <w:id w:val="-1718658039"/>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ab/>
        <w:t>Med loft: …..%</w:t>
      </w:r>
    </w:p>
    <w:p w14:paraId="3D992D87" w14:textId="77777777" w:rsidR="00B41E02" w:rsidRPr="0000088F" w:rsidRDefault="00B41E02" w:rsidP="00B41E02">
      <w:pPr>
        <w:pStyle w:val="Text1"/>
        <w:rPr>
          <w:noProof/>
        </w:rPr>
      </w:pPr>
      <w:r w:rsidRPr="0000088F">
        <w:rPr>
          <w:noProof/>
        </w:rPr>
        <w:t>Bemærk, at dette loft gælder finansielle formidleres porteføljer, og det anbefales, at loftet ikke overstiger 35 % (retningslinjernes punkt 120). Redegør for årsagerne til denne sats:</w:t>
      </w:r>
    </w:p>
    <w:p w14:paraId="38745CE0" w14:textId="77777777" w:rsidR="00B41E02" w:rsidRPr="0000088F" w:rsidRDefault="00B41E02" w:rsidP="000B1355">
      <w:pPr>
        <w:tabs>
          <w:tab w:val="left" w:leader="dot" w:pos="9072"/>
        </w:tabs>
        <w:ind w:left="720"/>
        <w:rPr>
          <w:noProof/>
        </w:rPr>
      </w:pPr>
      <w:r w:rsidRPr="0000088F">
        <w:rPr>
          <w:noProof/>
        </w:rPr>
        <w:tab/>
      </w:r>
    </w:p>
    <w:p w14:paraId="631BC621" w14:textId="77777777" w:rsidR="00B41E02" w:rsidRPr="0000088F" w:rsidRDefault="00B41E02" w:rsidP="00B41E02">
      <w:pPr>
        <w:pStyle w:val="Text1"/>
        <w:rPr>
          <w:noProof/>
        </w:rPr>
      </w:pPr>
      <w:r w:rsidRPr="0000088F">
        <w:rPr>
          <w:noProof/>
        </w:rPr>
        <w:t>Sæt kryds for at angive, om:</w:t>
      </w:r>
    </w:p>
    <w:p w14:paraId="3B8CC824" w14:textId="77777777" w:rsidR="00B41E02" w:rsidRPr="0000088F" w:rsidRDefault="00B41E02" w:rsidP="00B41E02">
      <w:pPr>
        <w:pStyle w:val="Point2"/>
        <w:rPr>
          <w:noProof/>
        </w:rPr>
      </w:pPr>
      <w:r w:rsidRPr="0015417F">
        <w:rPr>
          <w:noProof/>
        </w:rPr>
        <w:t>(a)</w:t>
      </w:r>
      <w:r w:rsidRPr="0015417F">
        <w:rPr>
          <w:noProof/>
        </w:rPr>
        <w:tab/>
      </w:r>
      <w:sdt>
        <w:sdtPr>
          <w:rPr>
            <w:noProof/>
          </w:rPr>
          <w:id w:val="520977080"/>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Loftet kun dækker forventede tab eller om</w:t>
      </w:r>
    </w:p>
    <w:p w14:paraId="52DDE6B3" w14:textId="77777777" w:rsidR="00EB566B" w:rsidRDefault="00B41E02" w:rsidP="00B41E02">
      <w:pPr>
        <w:pStyle w:val="Point2"/>
        <w:rPr>
          <w:noProof/>
        </w:rPr>
      </w:pPr>
      <w:r w:rsidRPr="0015417F">
        <w:rPr>
          <w:noProof/>
        </w:rPr>
        <w:t>(b)</w:t>
      </w:r>
      <w:r w:rsidRPr="0015417F">
        <w:rPr>
          <w:noProof/>
        </w:rPr>
        <w:tab/>
      </w:r>
      <w:sdt>
        <w:sdtPr>
          <w:rPr>
            <w:noProof/>
          </w:rPr>
          <w:id w:val="445666210"/>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Loftet også dækker uventede tab. I givet fald gøres der rede for, hvordan garantiens pris afspejler den yderligere risikodækning: </w:t>
      </w:r>
    </w:p>
    <w:p w14:paraId="25E8388C" w14:textId="77777777" w:rsidR="00EB566B" w:rsidRPr="0000088F" w:rsidRDefault="00EB566B" w:rsidP="00EB566B">
      <w:pPr>
        <w:tabs>
          <w:tab w:val="left" w:leader="dot" w:pos="9072"/>
        </w:tabs>
        <w:ind w:left="1417"/>
        <w:rPr>
          <w:bCs/>
          <w:noProof/>
        </w:rPr>
      </w:pPr>
      <w:r w:rsidRPr="0000088F">
        <w:rPr>
          <w:noProof/>
        </w:rPr>
        <w:tab/>
      </w:r>
    </w:p>
    <w:p w14:paraId="0C38F972" w14:textId="77777777" w:rsidR="00B41E02" w:rsidRPr="0000088F" w:rsidRDefault="00717B1C" w:rsidP="00B41E02">
      <w:pPr>
        <w:pStyle w:val="Text1"/>
        <w:rPr>
          <w:noProof/>
        </w:rPr>
      </w:pPr>
      <w:sdt>
        <w:sdtPr>
          <w:rPr>
            <w:noProof/>
          </w:rPr>
          <w:id w:val="145094575"/>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ab/>
        <w:t>Uden loft. I givet fald gives en begrundelse herfor, og der gøres rede for, hvordan garantiens pris afspejler den yderligere risikodækning:</w:t>
      </w:r>
    </w:p>
    <w:p w14:paraId="00C65379" w14:textId="77777777" w:rsidR="00B41E02" w:rsidRPr="0000088F" w:rsidRDefault="00B41E02" w:rsidP="000B1355">
      <w:pPr>
        <w:tabs>
          <w:tab w:val="left" w:leader="dot" w:pos="9072"/>
        </w:tabs>
        <w:ind w:left="720"/>
        <w:rPr>
          <w:noProof/>
        </w:rPr>
      </w:pPr>
      <w:r w:rsidRPr="0000088F">
        <w:rPr>
          <w:noProof/>
        </w:rPr>
        <w:tab/>
      </w:r>
    </w:p>
    <w:p w14:paraId="537D0041" w14:textId="77777777" w:rsidR="00B41E02" w:rsidRPr="0000088F" w:rsidRDefault="00717B1C" w:rsidP="00FF4224">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Regaranti (garanti til garantiinstitutionerne)</w:t>
      </w:r>
    </w:p>
    <w:p w14:paraId="5E8327EE" w14:textId="77777777" w:rsidR="00717B1C" w:rsidRDefault="00717B1C" w:rsidP="00FF4224">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Andre: angiv nærmere: </w:t>
      </w:r>
    </w:p>
    <w:p w14:paraId="0C5F349B" w14:textId="77777777" w:rsidR="00717B1C" w:rsidRPr="0000088F" w:rsidRDefault="00717B1C" w:rsidP="00717B1C">
      <w:pPr>
        <w:tabs>
          <w:tab w:val="left" w:leader="dot" w:pos="9072"/>
        </w:tabs>
        <w:ind w:left="850"/>
        <w:rPr>
          <w:bCs/>
          <w:noProof/>
        </w:rPr>
      </w:pPr>
      <w:r w:rsidRPr="0000088F">
        <w:rPr>
          <w:noProof/>
        </w:rPr>
        <w:tab/>
      </w:r>
    </w:p>
    <w:p w14:paraId="232CD6EB" w14:textId="77777777" w:rsidR="00B41E02" w:rsidRPr="0000088F" w:rsidRDefault="00B41E02" w:rsidP="00FF4224">
      <w:pPr>
        <w:pStyle w:val="ListNumber"/>
        <w:numPr>
          <w:ilvl w:val="0"/>
          <w:numId w:val="36"/>
        </w:numPr>
        <w:tabs>
          <w:tab w:val="clear" w:pos="360"/>
          <w:tab w:val="num" w:pos="709"/>
        </w:tabs>
        <w:spacing w:before="0" w:after="240"/>
        <w:contextualSpacing w:val="0"/>
        <w:rPr>
          <w:noProof/>
        </w:rPr>
      </w:pPr>
      <w:r w:rsidRPr="0000088F">
        <w:rPr>
          <w:noProof/>
        </w:rPr>
        <w:t>Garantiprocent, dvs. den offentlige investors procentvise tabsdækning af enhver underliggende transaktion (se definitionen i retningslinjernes punkt 35, nr. 18)), og bemærk, at garantiprocenten ikke må overstige 90 % (retningslinjernes punkt 119): …%</w:t>
      </w:r>
    </w:p>
    <w:p w14:paraId="0A3DA867" w14:textId="77777777" w:rsidR="00B41E02" w:rsidRPr="0000088F" w:rsidRDefault="00B41E02" w:rsidP="00B41E02">
      <w:pPr>
        <w:pStyle w:val="Text1"/>
        <w:rPr>
          <w:noProof/>
        </w:rPr>
      </w:pPr>
      <w:r w:rsidRPr="0000088F">
        <w:rPr>
          <w:noProof/>
        </w:rPr>
        <w:t>Begrund denne sats:</w:t>
      </w:r>
    </w:p>
    <w:p w14:paraId="7A721F47" w14:textId="77777777" w:rsidR="00B41E02" w:rsidRPr="0000088F" w:rsidRDefault="00B41E02" w:rsidP="00B41E02">
      <w:pPr>
        <w:tabs>
          <w:tab w:val="left" w:leader="dot" w:pos="9072"/>
        </w:tabs>
        <w:rPr>
          <w:bCs/>
          <w:noProof/>
        </w:rPr>
      </w:pPr>
      <w:r w:rsidRPr="0000088F">
        <w:rPr>
          <w:noProof/>
        </w:rPr>
        <w:tab/>
      </w:r>
    </w:p>
    <w:p w14:paraId="0726D8EA" w14:textId="77777777" w:rsidR="00B41E02" w:rsidRPr="0000088F" w:rsidRDefault="00B41E02" w:rsidP="00FF4224">
      <w:pPr>
        <w:pStyle w:val="ListNumber"/>
        <w:numPr>
          <w:ilvl w:val="0"/>
          <w:numId w:val="36"/>
        </w:numPr>
        <w:tabs>
          <w:tab w:val="clear" w:pos="360"/>
          <w:tab w:val="num" w:pos="709"/>
        </w:tabs>
        <w:spacing w:before="0" w:after="240"/>
        <w:contextualSpacing w:val="0"/>
        <w:rPr>
          <w:noProof/>
        </w:rPr>
      </w:pPr>
      <w:r w:rsidRPr="0000088F">
        <w:rPr>
          <w:noProof/>
        </w:rPr>
        <w:t>Underliggende transaktioner, der er dækket af garantien:</w:t>
      </w:r>
    </w:p>
    <w:p w14:paraId="601A098C" w14:textId="77777777" w:rsidR="00C271BA" w:rsidRDefault="00B41E02" w:rsidP="00FF4224">
      <w:pPr>
        <w:pStyle w:val="Tiret1"/>
        <w:numPr>
          <w:ilvl w:val="0"/>
          <w:numId w:val="56"/>
        </w:numPr>
        <w:rPr>
          <w:noProof/>
        </w:rPr>
      </w:pPr>
      <w:r w:rsidRPr="0000088F">
        <w:rPr>
          <w:noProof/>
        </w:rPr>
        <w:t>Type underliggende transaktioner:.</w:t>
      </w:r>
    </w:p>
    <w:p w14:paraId="25E70B78" w14:textId="77777777" w:rsidR="00C271BA" w:rsidRDefault="00C271BA" w:rsidP="00C271BA">
      <w:pPr>
        <w:tabs>
          <w:tab w:val="left" w:leader="dot" w:pos="9072"/>
        </w:tabs>
        <w:ind w:left="720"/>
        <w:rPr>
          <w:bCs/>
          <w:noProof/>
        </w:rPr>
      </w:pPr>
      <w:r>
        <w:rPr>
          <w:bCs/>
          <w:noProof/>
        </w:rPr>
        <w:tab/>
      </w:r>
    </w:p>
    <w:p w14:paraId="62921316" w14:textId="77777777" w:rsidR="00C271BA" w:rsidRDefault="00B41E02" w:rsidP="00FF4224">
      <w:pPr>
        <w:pStyle w:val="Tiret1"/>
        <w:numPr>
          <w:ilvl w:val="0"/>
          <w:numId w:val="56"/>
        </w:numPr>
        <w:rPr>
          <w:noProof/>
        </w:rPr>
      </w:pPr>
      <w:r w:rsidRPr="0000088F">
        <w:rPr>
          <w:noProof/>
        </w:rPr>
        <w:t xml:space="preserve">Samlet pålydende værdi af de underliggende transaktioner (i EUR): </w:t>
      </w:r>
    </w:p>
    <w:p w14:paraId="03784A85" w14:textId="192AD674" w:rsidR="00B41E02" w:rsidRPr="00717B1C" w:rsidRDefault="00C271BA" w:rsidP="00717B1C">
      <w:pPr>
        <w:tabs>
          <w:tab w:val="left" w:leader="dot" w:pos="9072"/>
        </w:tabs>
        <w:ind w:left="720"/>
        <w:rPr>
          <w:bCs/>
          <w:noProof/>
        </w:rPr>
      </w:pPr>
      <w:r>
        <w:rPr>
          <w:bCs/>
          <w:noProof/>
        </w:rPr>
        <w:lastRenderedPageBreak/>
        <w:tab/>
      </w:r>
    </w:p>
    <w:p w14:paraId="38CF7A80" w14:textId="77777777" w:rsidR="00B41E02" w:rsidRPr="0000088F" w:rsidRDefault="00B41E02" w:rsidP="00FF4224">
      <w:pPr>
        <w:pStyle w:val="Tiret1"/>
        <w:numPr>
          <w:ilvl w:val="0"/>
          <w:numId w:val="56"/>
        </w:numPr>
        <w:rPr>
          <w:noProof/>
        </w:rPr>
      </w:pPr>
      <w:r w:rsidRPr="0000088F">
        <w:rPr>
          <w:noProof/>
        </w:rPr>
        <w:t>Maksimal pålydende værdi af de underliggende transaktioner pr. endelig støttemodtager:</w:t>
      </w:r>
    </w:p>
    <w:p w14:paraId="0A9B6475" w14:textId="77777777" w:rsidR="00B41E02" w:rsidRPr="0000088F" w:rsidRDefault="00B41E02" w:rsidP="00C271BA">
      <w:pPr>
        <w:tabs>
          <w:tab w:val="left" w:leader="dot" w:pos="9072"/>
        </w:tabs>
        <w:ind w:left="720"/>
        <w:rPr>
          <w:noProof/>
        </w:rPr>
      </w:pPr>
      <w:r w:rsidRPr="0000088F">
        <w:rPr>
          <w:noProof/>
        </w:rPr>
        <w:tab/>
      </w:r>
    </w:p>
    <w:p w14:paraId="40204EF7" w14:textId="77777777" w:rsidR="00C271BA" w:rsidRDefault="00B41E02" w:rsidP="00FF4224">
      <w:pPr>
        <w:pStyle w:val="Tiret1"/>
        <w:numPr>
          <w:ilvl w:val="0"/>
          <w:numId w:val="56"/>
        </w:numPr>
        <w:rPr>
          <w:noProof/>
        </w:rPr>
      </w:pPr>
      <w:r w:rsidRPr="0000088F">
        <w:rPr>
          <w:noProof/>
        </w:rPr>
        <w:t>De underliggende transaktioners løbetid:.</w:t>
      </w:r>
    </w:p>
    <w:p w14:paraId="748D2963" w14:textId="77777777" w:rsidR="00C271BA" w:rsidRDefault="00C271BA" w:rsidP="00C271BA">
      <w:pPr>
        <w:tabs>
          <w:tab w:val="left" w:leader="dot" w:pos="9072"/>
        </w:tabs>
        <w:ind w:left="720"/>
        <w:rPr>
          <w:bCs/>
          <w:noProof/>
        </w:rPr>
      </w:pPr>
      <w:r>
        <w:rPr>
          <w:bCs/>
          <w:noProof/>
        </w:rPr>
        <w:tab/>
      </w:r>
    </w:p>
    <w:p w14:paraId="1C8B8D6D" w14:textId="77777777" w:rsidR="00B41E02" w:rsidRPr="0000088F" w:rsidRDefault="00B41E02" w:rsidP="00FF4224">
      <w:pPr>
        <w:pStyle w:val="Tiret1"/>
        <w:numPr>
          <w:ilvl w:val="0"/>
          <w:numId w:val="56"/>
        </w:numPr>
        <w:rPr>
          <w:noProof/>
        </w:rPr>
      </w:pPr>
      <w:r w:rsidRPr="0000088F">
        <w:rPr>
          <w:noProof/>
        </w:rPr>
        <w:t>Andre relevante kendetegn ved de underliggende transaktioner (risikoklassificering, andet):</w:t>
      </w:r>
    </w:p>
    <w:p w14:paraId="30BD42AD" w14:textId="77777777" w:rsidR="00B41E02" w:rsidRPr="00C271BA" w:rsidRDefault="00B41E02" w:rsidP="00C271BA">
      <w:pPr>
        <w:tabs>
          <w:tab w:val="left" w:leader="dot" w:pos="9072"/>
        </w:tabs>
        <w:ind w:left="720"/>
        <w:rPr>
          <w:noProof/>
          <w:lang w:val="bg-BG"/>
        </w:rPr>
      </w:pPr>
      <w:r w:rsidRPr="00C271BA">
        <w:rPr>
          <w:noProof/>
          <w:lang w:val="bg-BG"/>
        </w:rPr>
        <w:tab/>
      </w:r>
    </w:p>
    <w:p w14:paraId="67B3A38A" w14:textId="77777777" w:rsidR="00B41E02" w:rsidRPr="0000088F" w:rsidRDefault="00B41E02" w:rsidP="00FF4224">
      <w:pPr>
        <w:pStyle w:val="ListNumber"/>
        <w:numPr>
          <w:ilvl w:val="0"/>
          <w:numId w:val="36"/>
        </w:numPr>
        <w:tabs>
          <w:tab w:val="clear" w:pos="360"/>
          <w:tab w:val="num" w:pos="709"/>
        </w:tabs>
        <w:spacing w:before="0" w:after="240"/>
        <w:contextualSpacing w:val="0"/>
        <w:rPr>
          <w:noProof/>
        </w:rPr>
      </w:pPr>
      <w:r w:rsidRPr="0000088F">
        <w:rPr>
          <w:noProof/>
        </w:rPr>
        <w:t>Redegør for andre forhold vedrørende garantien (inklusive en sammenligning med markedsvilkårene for sådanne garantier):</w:t>
      </w:r>
    </w:p>
    <w:p w14:paraId="7195C3EA" w14:textId="77777777" w:rsidR="00B41E02" w:rsidRPr="0000088F" w:rsidRDefault="00B41E02" w:rsidP="00FF4224">
      <w:pPr>
        <w:pStyle w:val="Tiret1"/>
        <w:numPr>
          <w:ilvl w:val="0"/>
          <w:numId w:val="56"/>
        </w:numPr>
        <w:rPr>
          <w:noProof/>
        </w:rPr>
      </w:pPr>
      <w:r w:rsidRPr="0000088F">
        <w:rPr>
          <w:noProof/>
        </w:rPr>
        <w:t>Garantiens maksimale varighed: …….. (Bemærk, at den normalt ikke bør overstige 10 år (retningslinjernes punkt 121))</w:t>
      </w:r>
    </w:p>
    <w:p w14:paraId="1989DF99" w14:textId="77777777" w:rsidR="00B41E02" w:rsidRPr="0000088F" w:rsidRDefault="00B41E02" w:rsidP="00FF4224">
      <w:pPr>
        <w:pStyle w:val="Tiret1"/>
        <w:numPr>
          <w:ilvl w:val="0"/>
          <w:numId w:val="56"/>
        </w:numPr>
        <w:rPr>
          <w:noProof/>
        </w:rPr>
      </w:pPr>
      <w:r w:rsidRPr="0000088F">
        <w:rPr>
          <w:noProof/>
        </w:rPr>
        <w:t>Henvis til de relevante bestemmelser i retsgrundlaget, der foreskriver, at garantien skal reduceres, hvis den finansielle formidler ikke investerer et vist minimumsbeløb i porteføljen i en bestemt periode, og om at der kræves garantiprovision for ikkeanvendte beløb: …</w:t>
      </w:r>
      <w:r w:rsidRPr="0000088F">
        <w:rPr>
          <w:noProof/>
        </w:rPr>
        <w:tab/>
      </w:r>
    </w:p>
    <w:p w14:paraId="5953A029" w14:textId="77777777" w:rsidR="00B41E02" w:rsidRPr="0000088F" w:rsidRDefault="00B41E02" w:rsidP="00FF4224">
      <w:pPr>
        <w:pStyle w:val="Tiret1"/>
        <w:numPr>
          <w:ilvl w:val="0"/>
          <w:numId w:val="56"/>
        </w:numPr>
        <w:rPr>
          <w:noProof/>
        </w:rPr>
      </w:pPr>
      <w:r w:rsidRPr="0000088F">
        <w:rPr>
          <w:noProof/>
        </w:rPr>
        <w:t>Er der planer om at indføre garantiprovision?</w:t>
      </w:r>
    </w:p>
    <w:p w14:paraId="78342BD8" w14:textId="4FD7F9B7" w:rsidR="00B41E02" w:rsidRPr="0000088F" w:rsidRDefault="00717B1C" w:rsidP="00B41E02">
      <w:pPr>
        <w:pStyle w:val="Text2"/>
        <w:rPr>
          <w:noProof/>
        </w:rPr>
      </w:pPr>
      <w:sdt>
        <w:sdtPr>
          <w:rPr>
            <w:rFonts w:ascii="Segoe UI Symbol" w:hAnsi="Segoe UI Symbol"/>
            <w:noProof/>
          </w:rPr>
          <w:id w:val="1741281228"/>
          <w14:checkbox>
            <w14:checked w14:val="0"/>
            <w14:checkedState w14:val="2612" w14:font="MS Gothic"/>
            <w14:uncheckedState w14:val="2610" w14:font="MS Gothic"/>
          </w14:checkbox>
        </w:sdtPr>
        <w:sdtEndPr/>
        <w:sdtContent>
          <w:r w:rsidR="00B41E02">
            <w:rPr>
              <w:rFonts w:ascii="MS Gothic" w:eastAsia="MS Gothic" w:hAnsi="MS Gothic" w:hint="eastAsia"/>
              <w:noProof/>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1427848707"/>
          <w14:checkbox>
            <w14:checked w14:val="0"/>
            <w14:checkedState w14:val="2612" w14:font="MS Gothic"/>
            <w14:uncheckedState w14:val="2610" w14:font="MS Gothic"/>
          </w14:checkbox>
        </w:sdtPr>
        <w:sdtEndPr/>
        <w:sdtContent>
          <w:r w:rsidR="00B41E02">
            <w:rPr>
              <w:rFonts w:ascii="MS Gothic" w:eastAsia="MS Gothic" w:hAnsi="MS Gothic" w:hint="eastAsia"/>
              <w:noProof/>
            </w:rPr>
            <w:t>☐</w:t>
          </w:r>
        </w:sdtContent>
      </w:sdt>
      <w:r w:rsidR="00B41E02" w:rsidRPr="0000088F">
        <w:rPr>
          <w:noProof/>
        </w:rPr>
        <w:tab/>
        <w:t xml:space="preserve"> Nej</w:t>
      </w:r>
    </w:p>
    <w:p w14:paraId="0482ED57" w14:textId="77777777" w:rsidR="00B41E02" w:rsidRPr="0000088F" w:rsidRDefault="00B41E02" w:rsidP="00B41E02">
      <w:pPr>
        <w:pStyle w:val="Text2"/>
        <w:rPr>
          <w:noProof/>
        </w:rPr>
      </w:pPr>
      <w:r w:rsidRPr="0000088F">
        <w:rPr>
          <w:noProof/>
        </w:rPr>
        <w:t xml:space="preserve">Angiv, hvilken part der vil skulle betale garantiprovision: </w:t>
      </w:r>
    </w:p>
    <w:p w14:paraId="2DD7DD6D" w14:textId="77777777" w:rsidR="00B41E02" w:rsidRPr="0000088F" w:rsidRDefault="00B41E02" w:rsidP="00B41E02">
      <w:pPr>
        <w:tabs>
          <w:tab w:val="left" w:leader="dot" w:pos="9072"/>
        </w:tabs>
        <w:ind w:left="1418"/>
        <w:rPr>
          <w:noProof/>
        </w:rPr>
      </w:pPr>
      <w:r w:rsidRPr="0000088F">
        <w:rPr>
          <w:noProof/>
        </w:rPr>
        <w:tab/>
      </w:r>
    </w:p>
    <w:p w14:paraId="2E80A518" w14:textId="77777777" w:rsidR="000B1355" w:rsidRDefault="00B41E02" w:rsidP="00B41E02">
      <w:pPr>
        <w:pStyle w:val="Text2"/>
        <w:rPr>
          <w:noProof/>
        </w:rPr>
      </w:pPr>
      <w:r w:rsidRPr="0000088F">
        <w:rPr>
          <w:noProof/>
        </w:rPr>
        <w:t>Redegør for prisen i detaljer:</w:t>
      </w:r>
    </w:p>
    <w:p w14:paraId="794491D5" w14:textId="77777777" w:rsidR="000B1355" w:rsidRPr="0000088F" w:rsidRDefault="000B1355" w:rsidP="000B1355">
      <w:pPr>
        <w:tabs>
          <w:tab w:val="left" w:leader="dot" w:pos="9072"/>
        </w:tabs>
        <w:ind w:left="1418"/>
        <w:rPr>
          <w:noProof/>
        </w:rPr>
      </w:pPr>
      <w:r w:rsidRPr="0000088F">
        <w:rPr>
          <w:noProof/>
        </w:rPr>
        <w:tab/>
      </w:r>
    </w:p>
    <w:p w14:paraId="05BA4DEA" w14:textId="77777777" w:rsidR="00B41E02" w:rsidRDefault="00B41E02" w:rsidP="00FF4224">
      <w:pPr>
        <w:pStyle w:val="Tiret1"/>
        <w:numPr>
          <w:ilvl w:val="0"/>
          <w:numId w:val="56"/>
        </w:numPr>
        <w:rPr>
          <w:noProof/>
        </w:rPr>
      </w:pPr>
      <w:r w:rsidRPr="0000088F">
        <w:rPr>
          <w:noProof/>
        </w:rPr>
        <w:t>Andet:</w:t>
      </w:r>
    </w:p>
    <w:p w14:paraId="574BBD7C" w14:textId="77777777" w:rsidR="00B41E02" w:rsidRPr="0000088F" w:rsidRDefault="00B41E02" w:rsidP="00717B1C">
      <w:pPr>
        <w:tabs>
          <w:tab w:val="left" w:leader="dot" w:pos="9072"/>
        </w:tabs>
        <w:ind w:left="850"/>
        <w:rPr>
          <w:noProof/>
        </w:rPr>
      </w:pPr>
      <w:r w:rsidRPr="0000088F">
        <w:rPr>
          <w:noProof/>
        </w:rPr>
        <w:tab/>
      </w:r>
    </w:p>
    <w:p w14:paraId="0D2A85E3" w14:textId="77777777" w:rsidR="00B41E02" w:rsidRPr="0000088F" w:rsidRDefault="00B41E02" w:rsidP="00FF4224">
      <w:pPr>
        <w:pStyle w:val="ListNumber"/>
        <w:numPr>
          <w:ilvl w:val="0"/>
          <w:numId w:val="36"/>
        </w:numPr>
        <w:tabs>
          <w:tab w:val="clear" w:pos="360"/>
          <w:tab w:val="num" w:pos="709"/>
        </w:tabs>
        <w:spacing w:before="0" w:after="240"/>
        <w:contextualSpacing w:val="0"/>
        <w:rPr>
          <w:noProof/>
        </w:rPr>
      </w:pPr>
      <w:r w:rsidRPr="0000088F">
        <w:rPr>
          <w:noProof/>
        </w:rPr>
        <w:t>Redegør for de mekanismer (jf. retningslinjernes punkt 106), der sikrer, at den finansielle formidler videregiver alle de fordele, denne får af staten, til de endelige støttemodtagere. Hvilke betingelser skal den finansielle formidler anvende (f.eks. med hensyn til rente, sikkerhedsstillelse, risikoklasse) over for de endelige støttemodtagere? Redegør herfor i detaljer. Redegør også detaljeret for, hvorvidt den portefølje, der opbygges under foranstaltningen, rækker ud over den finansielle formidlers almindelige kreditrisikopolitik:</w:t>
      </w:r>
    </w:p>
    <w:p w14:paraId="335EFB01" w14:textId="77777777" w:rsidR="00B41E02" w:rsidRPr="0000088F" w:rsidRDefault="00B41E02" w:rsidP="00B41E02">
      <w:pPr>
        <w:tabs>
          <w:tab w:val="left" w:leader="dot" w:pos="9072"/>
        </w:tabs>
        <w:rPr>
          <w:noProof/>
        </w:rPr>
      </w:pPr>
      <w:r w:rsidRPr="0000088F">
        <w:rPr>
          <w:noProof/>
        </w:rPr>
        <w:tab/>
      </w:r>
    </w:p>
    <w:p w14:paraId="5DD02F47" w14:textId="77777777" w:rsidR="00B41E02" w:rsidRPr="0000088F" w:rsidRDefault="00B41E02" w:rsidP="00FF4224">
      <w:pPr>
        <w:pStyle w:val="ListNumber"/>
        <w:numPr>
          <w:ilvl w:val="0"/>
          <w:numId w:val="36"/>
        </w:numPr>
        <w:tabs>
          <w:tab w:val="clear" w:pos="360"/>
          <w:tab w:val="num" w:pos="709"/>
        </w:tabs>
        <w:spacing w:before="0" w:after="240"/>
        <w:contextualSpacing w:val="0"/>
        <w:rPr>
          <w:noProof/>
        </w:rPr>
      </w:pPr>
      <w:r w:rsidRPr="0000088F">
        <w:rPr>
          <w:noProof/>
        </w:rPr>
        <w:t>Redegør for, hvordan instrumentet er udformet til at sikre, at den finansielle formidlers investeringsstrategi er på linje med de offentlige politiske mål:</w:t>
      </w:r>
    </w:p>
    <w:p w14:paraId="16B28F70" w14:textId="77777777" w:rsidR="00B41E02" w:rsidRPr="0000088F" w:rsidRDefault="00B41E02" w:rsidP="00B41E02">
      <w:pPr>
        <w:tabs>
          <w:tab w:val="left" w:leader="dot" w:pos="9072"/>
        </w:tabs>
        <w:rPr>
          <w:noProof/>
        </w:rPr>
      </w:pPr>
      <w:r w:rsidRPr="0000088F">
        <w:rPr>
          <w:noProof/>
        </w:rPr>
        <w:tab/>
      </w:r>
    </w:p>
    <w:p w14:paraId="5B356A97" w14:textId="77777777" w:rsidR="00B41E02" w:rsidRPr="0000088F" w:rsidRDefault="00B41E02" w:rsidP="00FF4224">
      <w:pPr>
        <w:pStyle w:val="ListNumber"/>
        <w:numPr>
          <w:ilvl w:val="0"/>
          <w:numId w:val="36"/>
        </w:numPr>
        <w:tabs>
          <w:tab w:val="clear" w:pos="360"/>
          <w:tab w:val="num" w:pos="709"/>
        </w:tabs>
        <w:spacing w:before="0" w:after="240"/>
        <w:contextualSpacing w:val="0"/>
        <w:rPr>
          <w:noProof/>
        </w:rPr>
      </w:pPr>
      <w:r w:rsidRPr="0000088F">
        <w:rPr>
          <w:noProof/>
        </w:rPr>
        <w:t>Redegør i detaljer for varigheden af det instrument eller den exitstrategi, der ligger til grund for investeringen i gældsinstrumenter, og for den offentlige investors strategiske planlægning af afviklingen:</w:t>
      </w:r>
    </w:p>
    <w:p w14:paraId="2B4717D2" w14:textId="77777777" w:rsidR="00B41E02" w:rsidRPr="0000088F" w:rsidRDefault="00B41E02" w:rsidP="00B41E02">
      <w:pPr>
        <w:tabs>
          <w:tab w:val="left" w:leader="dot" w:pos="9072"/>
        </w:tabs>
        <w:rPr>
          <w:noProof/>
        </w:rPr>
      </w:pPr>
      <w:r w:rsidRPr="0000088F">
        <w:rPr>
          <w:noProof/>
        </w:rPr>
        <w:tab/>
      </w:r>
    </w:p>
    <w:p w14:paraId="61699B85" w14:textId="77777777" w:rsidR="00B41E02" w:rsidRPr="0000088F" w:rsidRDefault="00B41E02" w:rsidP="00FF4224">
      <w:pPr>
        <w:pStyle w:val="ListNumber"/>
        <w:numPr>
          <w:ilvl w:val="0"/>
          <w:numId w:val="36"/>
        </w:numPr>
        <w:tabs>
          <w:tab w:val="clear" w:pos="360"/>
          <w:tab w:val="num" w:pos="709"/>
        </w:tabs>
        <w:spacing w:before="0" w:after="240"/>
        <w:contextualSpacing w:val="0"/>
        <w:rPr>
          <w:bCs/>
          <w:noProof/>
        </w:rPr>
      </w:pPr>
      <w:r w:rsidRPr="0000088F">
        <w:rPr>
          <w:noProof/>
        </w:rPr>
        <w:lastRenderedPageBreak/>
        <w:t>Andre relevante oplysninger:</w:t>
      </w:r>
    </w:p>
    <w:p w14:paraId="2B801B0E" w14:textId="77777777" w:rsidR="00B41E02" w:rsidRPr="0000088F" w:rsidRDefault="00B41E02" w:rsidP="00B41E02">
      <w:pPr>
        <w:tabs>
          <w:tab w:val="left" w:leader="dot" w:pos="9072"/>
        </w:tabs>
        <w:rPr>
          <w:noProof/>
        </w:rPr>
      </w:pPr>
      <w:r w:rsidRPr="0000088F">
        <w:rPr>
          <w:noProof/>
        </w:rPr>
        <w:tab/>
      </w:r>
    </w:p>
    <w:p w14:paraId="6C9AA47A" w14:textId="77777777" w:rsidR="00B41E02" w:rsidRPr="0000088F" w:rsidRDefault="00717B1C" w:rsidP="00B41E02">
      <w:pPr>
        <w:pStyle w:val="ManualHeading1"/>
        <w:rPr>
          <w:noProof/>
        </w:rPr>
      </w:pPr>
      <w:sdt>
        <w:sdtPr>
          <w:rPr>
            <w:noProof/>
          </w:rPr>
          <w:id w:val="-372157471"/>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ab/>
        <w:t>Andre finansielle instrumenter (redegør nærmere):</w:t>
      </w:r>
    </w:p>
    <w:p w14:paraId="03A4C599" w14:textId="77777777" w:rsidR="00B41E02" w:rsidRPr="0000088F" w:rsidRDefault="00B41E02" w:rsidP="00B41E02">
      <w:pPr>
        <w:tabs>
          <w:tab w:val="left" w:leader="dot" w:pos="9072"/>
        </w:tabs>
        <w:rPr>
          <w:noProof/>
        </w:rPr>
      </w:pPr>
      <w:r w:rsidRPr="0000088F">
        <w:rPr>
          <w:noProof/>
        </w:rPr>
        <w:tab/>
      </w:r>
    </w:p>
    <w:p w14:paraId="633D3A00" w14:textId="77777777" w:rsidR="00B41E02" w:rsidRPr="0000088F" w:rsidRDefault="00B41E02" w:rsidP="00B41E02">
      <w:pPr>
        <w:pStyle w:val="ManualHeading1-A"/>
        <w:rPr>
          <w:noProof/>
        </w:rPr>
      </w:pPr>
      <w:r w:rsidRPr="0000088F">
        <w:rPr>
          <w:noProof/>
        </w:rPr>
        <w:t>Finansielle formidleres deltagelse på andre formidlingsniveauer</w:t>
      </w:r>
    </w:p>
    <w:p w14:paraId="3EE6ED6A" w14:textId="77777777" w:rsidR="00B41E02" w:rsidRPr="0000088F" w:rsidRDefault="00B41E02" w:rsidP="00B41E02">
      <w:pPr>
        <w:rPr>
          <w:noProof/>
        </w:rPr>
      </w:pPr>
      <w:r w:rsidRPr="0000088F">
        <w:rPr>
          <w:noProof/>
        </w:rPr>
        <w:t>Der kan være tilfælde (f.eks. fonde, der investerer i andre fonde), hvor staten f.eks. yder kapital, lån eller garantier til en finansiel formidler, som derefter selv yder kapital, lån eller garantier til en anden finansiel formidler, som i sidste ende yder risikofinansieringsinvesteringer til endelige støttemodtagere. I de tilfælde, hvor flere niveauer af finansielle formidlere indgår i ordningen, gives alle de relevante oplysninger i afsnit 2.9.1.1.A om egenkapital/lån/garantier/andre finansielle instrumenter for hvert yderligere niveau af finansielle formidlere:</w:t>
      </w:r>
    </w:p>
    <w:p w14:paraId="3C2EC610" w14:textId="77777777" w:rsidR="00B41E02" w:rsidRPr="0000088F" w:rsidRDefault="00B41E02" w:rsidP="00B41E02">
      <w:pPr>
        <w:tabs>
          <w:tab w:val="left" w:leader="dot" w:pos="9072"/>
        </w:tabs>
        <w:rPr>
          <w:noProof/>
        </w:rPr>
      </w:pPr>
      <w:r w:rsidRPr="0000088F">
        <w:rPr>
          <w:noProof/>
        </w:rPr>
        <w:tab/>
      </w:r>
    </w:p>
    <w:p w14:paraId="69712362" w14:textId="77777777" w:rsidR="00B41E02" w:rsidRPr="0000088F" w:rsidRDefault="00B41E02" w:rsidP="00B41E02">
      <w:pPr>
        <w:pStyle w:val="ManualHeading4"/>
        <w:rPr>
          <w:noProof/>
        </w:rPr>
      </w:pPr>
      <w:r w:rsidRPr="0015417F">
        <w:rPr>
          <w:noProof/>
        </w:rPr>
        <w:t>2.9.1.2.</w:t>
      </w:r>
      <w:r w:rsidRPr="0015417F">
        <w:rPr>
          <w:noProof/>
        </w:rPr>
        <w:tab/>
      </w:r>
      <w:r w:rsidRPr="0000088F">
        <w:rPr>
          <w:noProof/>
        </w:rPr>
        <w:t>Finansielle formidleres risikofinansieringsinvesteringer i de endelige støttemodtagere</w:t>
      </w:r>
    </w:p>
    <w:p w14:paraId="3467630F" w14:textId="77777777" w:rsidR="00B41E02" w:rsidRPr="0000088F" w:rsidRDefault="00B41E02" w:rsidP="00B41E02">
      <w:pPr>
        <w:rPr>
          <w:noProof/>
        </w:rPr>
      </w:pPr>
      <w:r w:rsidRPr="0000088F">
        <w:rPr>
          <w:noProof/>
        </w:rPr>
        <w:t>Risikofinansieringsinvestering i endelige støttemodtagere tager følgende form (sæt kryds, hvor det er relevant):</w:t>
      </w:r>
    </w:p>
    <w:p w14:paraId="7D5004F8" w14:textId="77777777" w:rsidR="00B41E02" w:rsidRPr="0000088F" w:rsidRDefault="00717B1C" w:rsidP="00B41E02">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ab/>
        <w:t>Tilførsel af egenkapital (også kvasiegenkapital) fra den finansielle formidler til endelige støttemodtagere</w:t>
      </w:r>
    </w:p>
    <w:p w14:paraId="01DBAC16" w14:textId="77777777" w:rsidR="00B41E02" w:rsidRPr="0000088F" w:rsidRDefault="00B41E02" w:rsidP="00B41E02">
      <w:pPr>
        <w:pStyle w:val="Point1"/>
        <w:rPr>
          <w:noProof/>
        </w:rPr>
      </w:pPr>
      <w:r w:rsidRPr="0015417F">
        <w:rPr>
          <w:noProof/>
        </w:rPr>
        <w:t>(a)</w:t>
      </w:r>
      <w:r w:rsidRPr="0015417F">
        <w:rPr>
          <w:noProof/>
        </w:rPr>
        <w:tab/>
      </w:r>
      <w:r w:rsidRPr="0000088F">
        <w:rPr>
          <w:noProof/>
        </w:rPr>
        <w:t>I tilfælde af kvasiegenkapital redegøres der i detaljer for arten af det påtænkte instrument:</w:t>
      </w:r>
    </w:p>
    <w:p w14:paraId="6365838F" w14:textId="77777777" w:rsidR="00B41E02" w:rsidRPr="0000088F" w:rsidRDefault="00B41E02" w:rsidP="00B41E02">
      <w:pPr>
        <w:tabs>
          <w:tab w:val="left" w:leader="dot" w:pos="9072"/>
        </w:tabs>
        <w:ind w:left="720"/>
        <w:rPr>
          <w:noProof/>
        </w:rPr>
      </w:pPr>
      <w:r w:rsidRPr="0000088F">
        <w:rPr>
          <w:noProof/>
        </w:rPr>
        <w:tab/>
      </w:r>
    </w:p>
    <w:p w14:paraId="4874EE4D" w14:textId="77777777" w:rsidR="00B41E02" w:rsidRPr="0000088F" w:rsidRDefault="00B41E02" w:rsidP="00B41E02">
      <w:pPr>
        <w:pStyle w:val="Point1"/>
        <w:rPr>
          <w:noProof/>
        </w:rPr>
      </w:pPr>
      <w:r w:rsidRPr="0015417F">
        <w:rPr>
          <w:noProof/>
        </w:rPr>
        <w:t>(b)</w:t>
      </w:r>
      <w:r w:rsidRPr="0015417F">
        <w:rPr>
          <w:noProof/>
        </w:rPr>
        <w:tab/>
      </w:r>
      <w:r w:rsidRPr="0000088F">
        <w:rPr>
          <w:noProof/>
        </w:rPr>
        <w:t>Der redegøres i detaljer for vilkårene for kapitalinvesteringen (vedlæg også en sammenligning med markedsvilkårene for en sådan investering):</w:t>
      </w:r>
    </w:p>
    <w:p w14:paraId="48E6D949" w14:textId="77777777" w:rsidR="00B41E02" w:rsidRPr="0000088F" w:rsidRDefault="00B41E02" w:rsidP="00B41E02">
      <w:pPr>
        <w:tabs>
          <w:tab w:val="left" w:leader="dot" w:pos="9072"/>
        </w:tabs>
        <w:ind w:left="720"/>
        <w:rPr>
          <w:noProof/>
        </w:rPr>
      </w:pPr>
      <w:r w:rsidRPr="0000088F">
        <w:rPr>
          <w:noProof/>
        </w:rPr>
        <w:tab/>
      </w:r>
    </w:p>
    <w:p w14:paraId="5B2AB323" w14:textId="77777777" w:rsidR="00B41E02" w:rsidRPr="0000088F" w:rsidRDefault="00B41E02" w:rsidP="00B41E02">
      <w:pPr>
        <w:pStyle w:val="Point1"/>
        <w:rPr>
          <w:bCs/>
          <w:noProof/>
        </w:rPr>
      </w:pPr>
      <w:r w:rsidRPr="0015417F">
        <w:rPr>
          <w:noProof/>
        </w:rPr>
        <w:t>(c)</w:t>
      </w:r>
      <w:r w:rsidRPr="0015417F">
        <w:rPr>
          <w:noProof/>
        </w:rPr>
        <w:tab/>
      </w:r>
      <w:r w:rsidRPr="0000088F">
        <w:rPr>
          <w:noProof/>
        </w:rPr>
        <w:t>Beskriv i detaljer alle enkelthederne ved de investeringer, der skal foretages af den finansielle formidler, herunder kravene til de støtteberettigede finansielle formidleres investeringsstrategi:</w:t>
      </w:r>
    </w:p>
    <w:p w14:paraId="10273BF4" w14:textId="77777777" w:rsidR="00B41E02" w:rsidRPr="0000088F" w:rsidRDefault="00B41E02" w:rsidP="00B41E02">
      <w:pPr>
        <w:tabs>
          <w:tab w:val="left" w:leader="dot" w:pos="9072"/>
        </w:tabs>
        <w:ind w:left="720"/>
        <w:rPr>
          <w:noProof/>
        </w:rPr>
      </w:pPr>
      <w:r w:rsidRPr="0000088F">
        <w:rPr>
          <w:noProof/>
        </w:rPr>
        <w:tab/>
      </w:r>
    </w:p>
    <w:p w14:paraId="4C33CB3E" w14:textId="77777777" w:rsidR="00B41E02" w:rsidRPr="0000088F" w:rsidRDefault="00B41E02" w:rsidP="00B41E02">
      <w:pPr>
        <w:pStyle w:val="Point1"/>
        <w:rPr>
          <w:noProof/>
        </w:rPr>
      </w:pPr>
      <w:r w:rsidRPr="0015417F">
        <w:rPr>
          <w:noProof/>
        </w:rPr>
        <w:t>(d)</w:t>
      </w:r>
      <w:r w:rsidRPr="0015417F">
        <w:rPr>
          <w:noProof/>
        </w:rPr>
        <w:tab/>
      </w:r>
      <w:r w:rsidRPr="0000088F">
        <w:rPr>
          <w:noProof/>
        </w:rPr>
        <w:t>Redegør i detaljer for varigheden af det instrument eller den exitstrategi, der ligger til grund for egenkapitalinvesteringen:</w:t>
      </w:r>
    </w:p>
    <w:p w14:paraId="7A08EDED" w14:textId="77777777" w:rsidR="00B41E02" w:rsidRPr="0000088F" w:rsidRDefault="00B41E02" w:rsidP="00B41E02">
      <w:pPr>
        <w:tabs>
          <w:tab w:val="left" w:leader="dot" w:pos="9072"/>
        </w:tabs>
        <w:ind w:left="720"/>
        <w:rPr>
          <w:noProof/>
        </w:rPr>
      </w:pPr>
      <w:r w:rsidRPr="0000088F">
        <w:rPr>
          <w:noProof/>
        </w:rPr>
        <w:tab/>
      </w:r>
    </w:p>
    <w:p w14:paraId="439C8639" w14:textId="77777777" w:rsidR="00B41E02" w:rsidRPr="0000088F" w:rsidRDefault="00B41E02" w:rsidP="00B41E02">
      <w:pPr>
        <w:pStyle w:val="Point1"/>
        <w:rPr>
          <w:noProof/>
        </w:rPr>
      </w:pPr>
      <w:r w:rsidRPr="0015417F">
        <w:rPr>
          <w:noProof/>
        </w:rPr>
        <w:t>(e)</w:t>
      </w:r>
      <w:r w:rsidRPr="0015417F">
        <w:rPr>
          <w:noProof/>
        </w:rPr>
        <w:tab/>
      </w:r>
      <w:r w:rsidRPr="0000088F">
        <w:rPr>
          <w:noProof/>
        </w:rPr>
        <w:t>I tilfælde af privat deltagelse på dette niveau (f.eks. private investorer, der også yder egenkapital til de endelige støttemodtagere):</w:t>
      </w:r>
    </w:p>
    <w:p w14:paraId="66D60C8D" w14:textId="2EEDAAE7" w:rsidR="00B41E02" w:rsidRDefault="00B41E02" w:rsidP="00FF4224">
      <w:pPr>
        <w:pStyle w:val="Tiret1"/>
        <w:numPr>
          <w:ilvl w:val="0"/>
          <w:numId w:val="56"/>
        </w:numPr>
        <w:rPr>
          <w:noProof/>
        </w:rPr>
      </w:pPr>
      <w:r w:rsidRPr="0000088F">
        <w:rPr>
          <w:noProof/>
        </w:rPr>
        <w:t xml:space="preserve">Angiv den private deltagelsesprocent: </w:t>
      </w:r>
    </w:p>
    <w:p w14:paraId="7D34ECF0" w14:textId="77777777" w:rsidR="0063450F" w:rsidRPr="0000088F" w:rsidRDefault="0063450F" w:rsidP="0063450F">
      <w:pPr>
        <w:tabs>
          <w:tab w:val="left" w:leader="dot" w:pos="9072"/>
        </w:tabs>
        <w:ind w:left="1417"/>
        <w:rPr>
          <w:noProof/>
        </w:rPr>
      </w:pPr>
      <w:r w:rsidRPr="0000088F">
        <w:rPr>
          <w:noProof/>
        </w:rPr>
        <w:tab/>
      </w:r>
    </w:p>
    <w:p w14:paraId="3CAC60E1" w14:textId="77777777" w:rsidR="00B41E02" w:rsidRPr="0000088F" w:rsidRDefault="00B41E02" w:rsidP="00FF4224">
      <w:pPr>
        <w:pStyle w:val="Tiret1"/>
        <w:numPr>
          <w:ilvl w:val="0"/>
          <w:numId w:val="56"/>
        </w:numPr>
        <w:rPr>
          <w:noProof/>
        </w:rPr>
      </w:pPr>
      <w:r w:rsidRPr="0000088F">
        <w:rPr>
          <w:noProof/>
        </w:rPr>
        <w:t>Angiv den påtænkte type af privilegeret behandling af de deltagende private investorer, som det fremgår af indkaldelsen af interessetilkendegivelser (oplys nærmere):</w:t>
      </w:r>
    </w:p>
    <w:p w14:paraId="3C0D618B" w14:textId="77777777" w:rsidR="00B41E02" w:rsidRPr="0000088F" w:rsidRDefault="00B41E02" w:rsidP="00B41E02">
      <w:pPr>
        <w:tabs>
          <w:tab w:val="left" w:leader="dot" w:pos="9072"/>
        </w:tabs>
        <w:ind w:left="720"/>
        <w:rPr>
          <w:noProof/>
        </w:rPr>
      </w:pPr>
      <w:r w:rsidRPr="0000088F">
        <w:rPr>
          <w:noProof/>
        </w:rPr>
        <w:lastRenderedPageBreak/>
        <w:tab/>
      </w:r>
    </w:p>
    <w:p w14:paraId="6863E81C" w14:textId="61D89423" w:rsidR="00B41E02" w:rsidRPr="0000088F" w:rsidRDefault="00717B1C" w:rsidP="00B41E02">
      <w:pPr>
        <w:tabs>
          <w:tab w:val="left" w:leader="dot" w:pos="9072"/>
        </w:tabs>
        <w:ind w:left="1440"/>
        <w:rPr>
          <w:noProof/>
        </w:rPr>
      </w:pPr>
      <w:sdt>
        <w:sdtPr>
          <w:rPr>
            <w:rFonts w:ascii="MS Gothic" w:hAnsi="MS Gothic"/>
            <w:noProof/>
          </w:rPr>
          <w:id w:val="1704208417"/>
          <w14:checkbox>
            <w14:checked w14:val="0"/>
            <w14:checkedState w14:val="2612" w14:font="MS Gothic"/>
            <w14:uncheckedState w14:val="2610" w14:font="MS Gothic"/>
          </w14:checkbox>
        </w:sdtPr>
        <w:sdtEndPr/>
        <w:sdtContent>
          <w:r w:rsidR="00B41E02">
            <w:rPr>
              <w:rFonts w:ascii="MS Gothic" w:eastAsia="MS Gothic" w:hAnsi="MS Gothic" w:hint="eastAsia"/>
              <w:noProof/>
            </w:rPr>
            <w:t>☐</w:t>
          </w:r>
        </w:sdtContent>
      </w:sdt>
      <w:r w:rsidR="00B41E02" w:rsidRPr="0000088F">
        <w:rPr>
          <w:noProof/>
        </w:rPr>
        <w:t xml:space="preserve"> Upside-incitamenter: </w:t>
      </w:r>
      <w:r w:rsidR="00B41E02" w:rsidRPr="0000088F">
        <w:rPr>
          <w:noProof/>
        </w:rPr>
        <w:tab/>
      </w:r>
    </w:p>
    <w:p w14:paraId="5BCC7979" w14:textId="1330E07E" w:rsidR="00B41E02" w:rsidRPr="0000088F" w:rsidRDefault="00717B1C" w:rsidP="00B41E02">
      <w:pPr>
        <w:tabs>
          <w:tab w:val="left" w:leader="dot" w:pos="9072"/>
        </w:tabs>
        <w:ind w:left="1440"/>
        <w:rPr>
          <w:noProof/>
        </w:rPr>
      </w:pPr>
      <w:sdt>
        <w:sdtPr>
          <w:rPr>
            <w:rFonts w:ascii="MS Gothic" w:hAnsi="MS Gothic"/>
            <w:noProof/>
          </w:rPr>
          <w:id w:val="-1906826613"/>
          <w14:checkbox>
            <w14:checked w14:val="0"/>
            <w14:checkedState w14:val="2612" w14:font="MS Gothic"/>
            <w14:uncheckedState w14:val="2610" w14:font="MS Gothic"/>
          </w14:checkbox>
        </w:sdtPr>
        <w:sdtEndPr/>
        <w:sdtContent>
          <w:r w:rsidR="00B41E02">
            <w:rPr>
              <w:rFonts w:ascii="MS Gothic" w:eastAsia="MS Gothic" w:hAnsi="MS Gothic" w:hint="eastAsia"/>
              <w:noProof/>
            </w:rPr>
            <w:t>☐</w:t>
          </w:r>
        </w:sdtContent>
      </w:sdt>
      <w:r w:rsidR="00B41E02" w:rsidRPr="0000088F">
        <w:rPr>
          <w:noProof/>
        </w:rPr>
        <w:t xml:space="preserve"> Downside-beskyttelse:</w:t>
      </w:r>
      <w:r w:rsidR="00B41E02" w:rsidRPr="0000088F">
        <w:rPr>
          <w:noProof/>
        </w:rPr>
        <w:tab/>
      </w:r>
    </w:p>
    <w:p w14:paraId="4E5D0819" w14:textId="77777777" w:rsidR="00B41E02" w:rsidRPr="0000088F" w:rsidRDefault="00B41E02" w:rsidP="00FF4224">
      <w:pPr>
        <w:pStyle w:val="Tiret1"/>
        <w:numPr>
          <w:ilvl w:val="0"/>
          <w:numId w:val="56"/>
        </w:numPr>
        <w:rPr>
          <w:noProof/>
        </w:rPr>
      </w:pPr>
      <w:r w:rsidRPr="0000088F">
        <w:rPr>
          <w:noProof/>
        </w:rPr>
        <w:t xml:space="preserve">Hvis non-pari passu-tabsdelingen rækker ud over tærsklerne i artikel 21, stk. 10, i forordning (EU) nr. 651/2014, gives der med henvisning til den forudgående vurdering økonomisk dokumentation og begrundelse herfor (retningslinjernes punkt 113): </w:t>
      </w:r>
    </w:p>
    <w:p w14:paraId="620C8B8F" w14:textId="77777777" w:rsidR="00B41E02" w:rsidRPr="0000088F" w:rsidRDefault="00B41E02" w:rsidP="00B41E02">
      <w:pPr>
        <w:tabs>
          <w:tab w:val="left" w:leader="dot" w:pos="9072"/>
        </w:tabs>
        <w:ind w:left="720"/>
        <w:rPr>
          <w:noProof/>
        </w:rPr>
      </w:pPr>
      <w:r w:rsidRPr="0000088F">
        <w:rPr>
          <w:noProof/>
        </w:rPr>
        <w:tab/>
      </w:r>
    </w:p>
    <w:p w14:paraId="1652DD0B" w14:textId="77777777" w:rsidR="00B41E02" w:rsidRPr="0000088F" w:rsidRDefault="00B41E02" w:rsidP="00FF4224">
      <w:pPr>
        <w:pStyle w:val="Tiret1"/>
        <w:numPr>
          <w:ilvl w:val="0"/>
          <w:numId w:val="56"/>
        </w:numPr>
        <w:rPr>
          <w:noProof/>
        </w:rPr>
      </w:pPr>
      <w:r w:rsidRPr="0000088F">
        <w:rPr>
          <w:noProof/>
        </w:rPr>
        <w:t>Hvis det er relevant, angives loftet over den offentlige investors first loss-eksponering (retningslinjernes punkt 113):</w:t>
      </w:r>
    </w:p>
    <w:p w14:paraId="03F6BEA6" w14:textId="77777777" w:rsidR="00B41E02" w:rsidRPr="0000088F" w:rsidRDefault="00717B1C" w:rsidP="00B41E02">
      <w:pPr>
        <w:tabs>
          <w:tab w:val="left" w:pos="2127"/>
        </w:tabs>
        <w:ind w:left="2127"/>
        <w:rPr>
          <w:noProof/>
        </w:rPr>
      </w:pPr>
      <w:sdt>
        <w:sdtPr>
          <w:rPr>
            <w:noProof/>
          </w:rPr>
          <w:id w:val="17076824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 Angiv, hvordan loftet er blevet fastsat:</w:t>
      </w:r>
    </w:p>
    <w:p w14:paraId="2BFC9D01" w14:textId="77777777" w:rsidR="00B41E02" w:rsidRPr="0000088F" w:rsidRDefault="00B41E02" w:rsidP="00B41E02">
      <w:pPr>
        <w:tabs>
          <w:tab w:val="left" w:leader="dot" w:pos="9072"/>
        </w:tabs>
        <w:ind w:left="2127"/>
        <w:rPr>
          <w:noProof/>
        </w:rPr>
      </w:pPr>
      <w:r w:rsidRPr="0000088F">
        <w:rPr>
          <w:noProof/>
        </w:rPr>
        <w:tab/>
      </w:r>
    </w:p>
    <w:p w14:paraId="151FF9C5" w14:textId="77777777" w:rsidR="00B41E02" w:rsidRPr="0000088F" w:rsidRDefault="00717B1C" w:rsidP="00B41E02">
      <w:pPr>
        <w:ind w:left="2127"/>
        <w:rPr>
          <w:noProof/>
        </w:rPr>
      </w:pPr>
      <w:sdt>
        <w:sdtPr>
          <w:rPr>
            <w:noProof/>
          </w:rPr>
          <w:id w:val="-321741898"/>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 Redegør nærmere: </w:t>
      </w:r>
    </w:p>
    <w:p w14:paraId="06BDBC35" w14:textId="77777777" w:rsidR="00B41E02" w:rsidRPr="0000088F" w:rsidRDefault="00B41E02" w:rsidP="00B41E02">
      <w:pPr>
        <w:tabs>
          <w:tab w:val="left" w:leader="dot" w:pos="9072"/>
        </w:tabs>
        <w:ind w:left="2127"/>
        <w:rPr>
          <w:bCs/>
          <w:noProof/>
        </w:rPr>
      </w:pPr>
      <w:r w:rsidRPr="0000088F">
        <w:rPr>
          <w:noProof/>
        </w:rPr>
        <w:tab/>
      </w:r>
    </w:p>
    <w:p w14:paraId="37E9F53A" w14:textId="77777777" w:rsidR="00B41E02" w:rsidRPr="0000088F" w:rsidRDefault="00717B1C" w:rsidP="00B41E02">
      <w:pPr>
        <w:pStyle w:val="ManualHeading1"/>
        <w:rPr>
          <w:noProof/>
        </w:rPr>
      </w:pPr>
      <w:sdt>
        <w:sdtPr>
          <w:rPr>
            <w:noProof/>
          </w:rPr>
          <w:id w:val="-803540828"/>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ab/>
        <w:t>Finansierede gældsinstrumenter: lån fra finansielle formidlere til endelige støttemodtagere</w:t>
      </w:r>
    </w:p>
    <w:p w14:paraId="25717FD9" w14:textId="77777777" w:rsidR="00B41E02" w:rsidRPr="0000088F" w:rsidRDefault="00B41E02" w:rsidP="00FF4224">
      <w:pPr>
        <w:pStyle w:val="Tiret1"/>
        <w:numPr>
          <w:ilvl w:val="0"/>
          <w:numId w:val="56"/>
        </w:numPr>
        <w:rPr>
          <w:noProof/>
        </w:rPr>
      </w:pPr>
      <w:r w:rsidRPr="0000088F">
        <w:rPr>
          <w:noProof/>
        </w:rPr>
        <w:t>Type lån: Angiv nærmere:</w:t>
      </w:r>
    </w:p>
    <w:p w14:paraId="0E427024" w14:textId="77777777" w:rsidR="00B41E02" w:rsidRPr="0000088F" w:rsidRDefault="00B41E02" w:rsidP="00B41E02">
      <w:pPr>
        <w:tabs>
          <w:tab w:val="left" w:leader="dot" w:pos="9072"/>
        </w:tabs>
        <w:ind w:left="720"/>
        <w:rPr>
          <w:noProof/>
        </w:rPr>
      </w:pPr>
      <w:r w:rsidRPr="0000088F">
        <w:rPr>
          <w:noProof/>
        </w:rPr>
        <w:tab/>
      </w:r>
    </w:p>
    <w:p w14:paraId="25D4D36C" w14:textId="77777777" w:rsidR="00B41E02" w:rsidRPr="0000088F" w:rsidRDefault="00B41E02" w:rsidP="00FF4224">
      <w:pPr>
        <w:pStyle w:val="Tiret1"/>
        <w:numPr>
          <w:ilvl w:val="0"/>
          <w:numId w:val="56"/>
        </w:numPr>
        <w:rPr>
          <w:bCs/>
          <w:noProof/>
        </w:rPr>
      </w:pPr>
      <w:r w:rsidRPr="0000088F">
        <w:rPr>
          <w:noProof/>
        </w:rPr>
        <w:t xml:space="preserve">Vilkår for lån under foranstaltningen (inklusive en sammenligning med markedsvilkårene for sådanne lån): </w:t>
      </w:r>
    </w:p>
    <w:p w14:paraId="70BF8E81" w14:textId="77777777" w:rsidR="00B41E02" w:rsidRPr="0000088F" w:rsidRDefault="00B41E02" w:rsidP="00B41E02">
      <w:pPr>
        <w:tabs>
          <w:tab w:val="left" w:leader="dot" w:pos="9072"/>
        </w:tabs>
        <w:ind w:left="720"/>
        <w:rPr>
          <w:noProof/>
        </w:rPr>
      </w:pPr>
      <w:r w:rsidRPr="0000088F">
        <w:rPr>
          <w:noProof/>
        </w:rPr>
        <w:tab/>
      </w:r>
    </w:p>
    <w:p w14:paraId="7FCAD482" w14:textId="2D2CCA45" w:rsidR="00B41E02" w:rsidRPr="0000088F" w:rsidRDefault="00B41E02" w:rsidP="00FF4224">
      <w:pPr>
        <w:pStyle w:val="Tiret1"/>
        <w:numPr>
          <w:ilvl w:val="0"/>
          <w:numId w:val="56"/>
        </w:numPr>
        <w:rPr>
          <w:bCs/>
          <w:noProof/>
        </w:rPr>
      </w:pPr>
      <w:r w:rsidRPr="0000088F">
        <w:rPr>
          <w:noProof/>
        </w:rPr>
        <w:t xml:space="preserve">Lånets maksimale størrelse pr. støttemodtager: </w:t>
      </w:r>
    </w:p>
    <w:p w14:paraId="234783ED" w14:textId="77777777" w:rsidR="00B41E02" w:rsidRPr="0000088F" w:rsidRDefault="00B41E02" w:rsidP="00B41E02">
      <w:pPr>
        <w:tabs>
          <w:tab w:val="left" w:leader="dot" w:pos="9072"/>
        </w:tabs>
        <w:ind w:left="720"/>
        <w:rPr>
          <w:noProof/>
        </w:rPr>
      </w:pPr>
      <w:r w:rsidRPr="0000088F">
        <w:rPr>
          <w:noProof/>
        </w:rPr>
        <w:tab/>
      </w:r>
    </w:p>
    <w:p w14:paraId="099CE8F4" w14:textId="2A587490" w:rsidR="00B41E02" w:rsidRPr="0000088F" w:rsidRDefault="00B41E02" w:rsidP="00FF4224">
      <w:pPr>
        <w:pStyle w:val="Tiret1"/>
        <w:numPr>
          <w:ilvl w:val="0"/>
          <w:numId w:val="56"/>
        </w:numPr>
        <w:rPr>
          <w:bCs/>
          <w:noProof/>
        </w:rPr>
      </w:pPr>
      <w:r w:rsidRPr="0000088F">
        <w:rPr>
          <w:noProof/>
        </w:rPr>
        <w:t xml:space="preserve">Lånenes maksimale løbetid: </w:t>
      </w:r>
    </w:p>
    <w:p w14:paraId="63A1818D" w14:textId="77777777" w:rsidR="00B41E02" w:rsidRPr="0000088F" w:rsidRDefault="00B41E02" w:rsidP="00B41E02">
      <w:pPr>
        <w:tabs>
          <w:tab w:val="left" w:leader="dot" w:pos="9072"/>
        </w:tabs>
        <w:ind w:left="720"/>
        <w:rPr>
          <w:noProof/>
        </w:rPr>
      </w:pPr>
      <w:r w:rsidRPr="0000088F">
        <w:rPr>
          <w:noProof/>
        </w:rPr>
        <w:tab/>
      </w:r>
    </w:p>
    <w:p w14:paraId="45F3DECE" w14:textId="77777777" w:rsidR="00B41E02" w:rsidRPr="0000088F" w:rsidRDefault="00B41E02" w:rsidP="00FF4224">
      <w:pPr>
        <w:pStyle w:val="Tiret1"/>
        <w:numPr>
          <w:ilvl w:val="0"/>
          <w:numId w:val="56"/>
        </w:numPr>
        <w:rPr>
          <w:noProof/>
        </w:rPr>
      </w:pPr>
      <w:r w:rsidRPr="0000088F">
        <w:rPr>
          <w:noProof/>
        </w:rPr>
        <w:t>Redegør i detaljer for varigheden af det instrument eller den exitstrategi, der ligger til grund for investeringerne i gældsinstrumenter:</w:t>
      </w:r>
    </w:p>
    <w:p w14:paraId="37B763D9" w14:textId="77777777" w:rsidR="00B41E02" w:rsidRPr="0000088F" w:rsidRDefault="00B41E02" w:rsidP="00B41E02">
      <w:pPr>
        <w:tabs>
          <w:tab w:val="left" w:leader="dot" w:pos="9072"/>
        </w:tabs>
        <w:ind w:left="720"/>
        <w:rPr>
          <w:noProof/>
        </w:rPr>
      </w:pPr>
      <w:r w:rsidRPr="0000088F">
        <w:rPr>
          <w:noProof/>
        </w:rPr>
        <w:tab/>
      </w:r>
    </w:p>
    <w:p w14:paraId="117E3B99" w14:textId="1E7C7455" w:rsidR="00B41E02" w:rsidRPr="0000088F" w:rsidRDefault="00B41E02" w:rsidP="00FF4224">
      <w:pPr>
        <w:pStyle w:val="Tiret1"/>
        <w:numPr>
          <w:ilvl w:val="0"/>
          <w:numId w:val="56"/>
        </w:numPr>
        <w:rPr>
          <w:bCs/>
          <w:noProof/>
        </w:rPr>
      </w:pPr>
      <w:r w:rsidRPr="0000088F">
        <w:rPr>
          <w:noProof/>
        </w:rPr>
        <w:t xml:space="preserve">De endelige støttemodtageres risikoklassificering: </w:t>
      </w:r>
    </w:p>
    <w:p w14:paraId="32C1262A" w14:textId="77777777" w:rsidR="00B41E02" w:rsidRPr="0000088F" w:rsidRDefault="00B41E02" w:rsidP="00B41E02">
      <w:pPr>
        <w:tabs>
          <w:tab w:val="left" w:leader="dot" w:pos="9072"/>
        </w:tabs>
        <w:ind w:left="720"/>
        <w:rPr>
          <w:noProof/>
        </w:rPr>
      </w:pPr>
      <w:r w:rsidRPr="0000088F">
        <w:rPr>
          <w:noProof/>
        </w:rPr>
        <w:tab/>
      </w:r>
    </w:p>
    <w:p w14:paraId="36E1DAF9" w14:textId="2787A750" w:rsidR="00B41E02" w:rsidRPr="0000088F" w:rsidRDefault="00B41E02" w:rsidP="00FF4224">
      <w:pPr>
        <w:pStyle w:val="Tiret1"/>
        <w:numPr>
          <w:ilvl w:val="0"/>
          <w:numId w:val="56"/>
        </w:numPr>
        <w:rPr>
          <w:bCs/>
          <w:noProof/>
        </w:rPr>
      </w:pPr>
      <w:r w:rsidRPr="0000088F">
        <w:rPr>
          <w:noProof/>
        </w:rPr>
        <w:t xml:space="preserve">Sikkerhedsstillelse eller andre krav: </w:t>
      </w:r>
    </w:p>
    <w:p w14:paraId="119A4166" w14:textId="77777777" w:rsidR="00B41E02" w:rsidRPr="0000088F" w:rsidRDefault="00B41E02" w:rsidP="00B41E02">
      <w:pPr>
        <w:tabs>
          <w:tab w:val="left" w:leader="dot" w:pos="9072"/>
        </w:tabs>
        <w:ind w:left="720"/>
        <w:rPr>
          <w:bCs/>
          <w:noProof/>
        </w:rPr>
      </w:pPr>
      <w:r w:rsidRPr="0000088F">
        <w:rPr>
          <w:noProof/>
        </w:rPr>
        <w:tab/>
      </w:r>
    </w:p>
    <w:p w14:paraId="65CBAFB5" w14:textId="6A4ADDA9" w:rsidR="00B41E02" w:rsidRPr="0000088F" w:rsidRDefault="00B41E02" w:rsidP="00FF4224">
      <w:pPr>
        <w:pStyle w:val="Tiret1"/>
        <w:numPr>
          <w:ilvl w:val="0"/>
          <w:numId w:val="56"/>
        </w:numPr>
        <w:rPr>
          <w:bCs/>
          <w:noProof/>
        </w:rPr>
      </w:pPr>
      <w:r w:rsidRPr="0000088F">
        <w:rPr>
          <w:noProof/>
        </w:rPr>
        <w:t>Andre relevante oplysninger:</w:t>
      </w:r>
    </w:p>
    <w:p w14:paraId="5220A1CC" w14:textId="77777777" w:rsidR="00B41E02" w:rsidRPr="0000088F" w:rsidRDefault="00B41E02" w:rsidP="00B41E02">
      <w:pPr>
        <w:tabs>
          <w:tab w:val="left" w:leader="dot" w:pos="9072"/>
        </w:tabs>
        <w:ind w:left="720"/>
        <w:rPr>
          <w:bCs/>
          <w:noProof/>
        </w:rPr>
      </w:pPr>
      <w:r w:rsidRPr="0000088F">
        <w:rPr>
          <w:noProof/>
        </w:rPr>
        <w:tab/>
      </w:r>
    </w:p>
    <w:p w14:paraId="48EBF04B" w14:textId="77777777" w:rsidR="00B41E02" w:rsidRPr="0000088F" w:rsidRDefault="00B41E02" w:rsidP="00FF4224">
      <w:pPr>
        <w:pStyle w:val="Tiret1"/>
        <w:numPr>
          <w:ilvl w:val="0"/>
          <w:numId w:val="56"/>
        </w:numPr>
        <w:rPr>
          <w:noProof/>
        </w:rPr>
      </w:pPr>
      <w:r w:rsidRPr="0000088F">
        <w:rPr>
          <w:noProof/>
        </w:rPr>
        <w:t>I tilfælde af privat deltagelse på dette niveau (f.eks. private investorer, der også yder lån til de endelige støttemodtagere):</w:t>
      </w:r>
    </w:p>
    <w:p w14:paraId="1E6E3747" w14:textId="77777777" w:rsidR="00B41E02" w:rsidRPr="0000088F" w:rsidRDefault="00B41E02" w:rsidP="00B41E02">
      <w:pPr>
        <w:pStyle w:val="Text1"/>
        <w:rPr>
          <w:noProof/>
        </w:rPr>
      </w:pPr>
      <w:r w:rsidRPr="0000088F">
        <w:rPr>
          <w:noProof/>
        </w:rPr>
        <w:t xml:space="preserve">Angiv den private deltagelsesprocent: </w:t>
      </w:r>
    </w:p>
    <w:p w14:paraId="054B63F5" w14:textId="77777777" w:rsidR="00B41E02" w:rsidRPr="0000088F" w:rsidRDefault="00B41E02" w:rsidP="00B41E02">
      <w:pPr>
        <w:tabs>
          <w:tab w:val="left" w:leader="dot" w:pos="9072"/>
        </w:tabs>
        <w:ind w:left="720"/>
        <w:rPr>
          <w:bCs/>
          <w:noProof/>
        </w:rPr>
      </w:pPr>
      <w:r w:rsidRPr="0000088F">
        <w:rPr>
          <w:noProof/>
        </w:rPr>
        <w:lastRenderedPageBreak/>
        <w:tab/>
      </w:r>
    </w:p>
    <w:p w14:paraId="38465438" w14:textId="77777777" w:rsidR="00B41E02" w:rsidRPr="0000088F" w:rsidRDefault="00B41E02" w:rsidP="00B41E02">
      <w:pPr>
        <w:pStyle w:val="Text1"/>
        <w:rPr>
          <w:noProof/>
        </w:rPr>
      </w:pPr>
      <w:r w:rsidRPr="0000088F">
        <w:rPr>
          <w:noProof/>
        </w:rPr>
        <w:t>Redegør for risiko- og afkastdelingen mellem de offentlige og de private investorer:</w:t>
      </w:r>
    </w:p>
    <w:p w14:paraId="7D19B43E" w14:textId="77777777" w:rsidR="00B41E02" w:rsidRPr="0000088F" w:rsidRDefault="00B41E02" w:rsidP="00B41E02">
      <w:pPr>
        <w:tabs>
          <w:tab w:val="left" w:leader="dot" w:pos="9072"/>
        </w:tabs>
        <w:ind w:left="720"/>
        <w:rPr>
          <w:noProof/>
        </w:rPr>
      </w:pPr>
      <w:r w:rsidRPr="0000088F">
        <w:rPr>
          <w:noProof/>
        </w:rPr>
        <w:tab/>
      </w:r>
    </w:p>
    <w:p w14:paraId="5E24AECD" w14:textId="77777777" w:rsidR="00B41E02" w:rsidRPr="0000088F" w:rsidRDefault="00B41E02" w:rsidP="00B41E02">
      <w:pPr>
        <w:pStyle w:val="Text1"/>
        <w:rPr>
          <w:noProof/>
        </w:rPr>
      </w:pPr>
      <w:r w:rsidRPr="0000088F">
        <w:rPr>
          <w:noProof/>
        </w:rPr>
        <w:t>Hvis den offentlige investor påtager sig first loss, angives loftet herfor: Loft på … %. (Bemærk, at det anbefales, at loftet ikke overstiger 35 % (retningslinjernes punkt 116)).</w:t>
      </w:r>
    </w:p>
    <w:p w14:paraId="4052C71D" w14:textId="77777777" w:rsidR="00B41E02" w:rsidRPr="0000088F" w:rsidRDefault="00B41E02" w:rsidP="00B41E02">
      <w:pPr>
        <w:pStyle w:val="Text1"/>
        <w:rPr>
          <w:noProof/>
        </w:rPr>
      </w:pPr>
      <w:r w:rsidRPr="0000088F">
        <w:rPr>
          <w:noProof/>
        </w:rPr>
        <w:t xml:space="preserve">Hvis den offentlige investor eller långiver påtager sig en first loss-position, der overstiger loftet i forordning (EU) nr. 651/2014 (dvs. 25 %), begrundes dette med henvisning til foranstaltninger, der udelukkende er rettet mod opstartsvirksomheder og SMV'er inden deres første kommercielle salg eller på proof of concept-stadiet, til et alvorligt markedssvigt, der er identificeret i den forudgående vurdering, eller til andre relevante hindringer (retningslinjernes punkt 116). Giv et resumé af begrundelsen: </w:t>
      </w:r>
    </w:p>
    <w:p w14:paraId="42AD78CE" w14:textId="77777777" w:rsidR="00B41E02" w:rsidRPr="0000088F" w:rsidRDefault="00B41E02" w:rsidP="00B41E02">
      <w:pPr>
        <w:tabs>
          <w:tab w:val="left" w:leader="dot" w:pos="9072"/>
        </w:tabs>
        <w:ind w:left="720"/>
        <w:rPr>
          <w:noProof/>
        </w:rPr>
      </w:pPr>
      <w:r w:rsidRPr="0000088F">
        <w:rPr>
          <w:noProof/>
        </w:rPr>
        <w:tab/>
      </w:r>
    </w:p>
    <w:p w14:paraId="14004570" w14:textId="77777777" w:rsidR="00B41E02" w:rsidRPr="0000088F" w:rsidRDefault="00B41E02" w:rsidP="00B41E02">
      <w:pPr>
        <w:pStyle w:val="Text1"/>
        <w:rPr>
          <w:bCs/>
          <w:noProof/>
        </w:rPr>
      </w:pPr>
      <w:r w:rsidRPr="0000088F">
        <w:rPr>
          <w:noProof/>
        </w:rPr>
        <w:t xml:space="preserve">Redegør for eventuelle andre risikobegrænsende mekanismer til fordel for de private investorer/långivere: </w:t>
      </w:r>
    </w:p>
    <w:p w14:paraId="6974A1EB" w14:textId="77777777" w:rsidR="00B41E02" w:rsidRPr="0000088F" w:rsidRDefault="00B41E02" w:rsidP="00B41E02">
      <w:pPr>
        <w:tabs>
          <w:tab w:val="left" w:leader="dot" w:pos="9072"/>
        </w:tabs>
        <w:ind w:left="720"/>
        <w:rPr>
          <w:bCs/>
          <w:noProof/>
        </w:rPr>
      </w:pPr>
      <w:r w:rsidRPr="0000088F">
        <w:rPr>
          <w:noProof/>
        </w:rPr>
        <w:tab/>
      </w:r>
    </w:p>
    <w:p w14:paraId="3A74921B" w14:textId="77777777" w:rsidR="00B41E02" w:rsidRPr="0000088F" w:rsidRDefault="00717B1C" w:rsidP="00B41E02">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ab/>
      </w:r>
      <w:r w:rsidR="00B41E02" w:rsidRPr="0000088F">
        <w:rPr>
          <w:smallCaps w:val="0"/>
          <w:noProof/>
        </w:rPr>
        <w:t>Ikkefinansierede gældsinstrumenter: garantier fra finansielle formidlere til endelige støttemodtagere</w:t>
      </w:r>
    </w:p>
    <w:p w14:paraId="2515F891" w14:textId="77777777" w:rsidR="00B41E02" w:rsidRPr="0000088F" w:rsidRDefault="00B41E02" w:rsidP="00FF4224">
      <w:pPr>
        <w:pStyle w:val="ListNumber"/>
        <w:numPr>
          <w:ilvl w:val="0"/>
          <w:numId w:val="37"/>
        </w:numPr>
        <w:spacing w:before="0" w:after="240"/>
        <w:contextualSpacing w:val="0"/>
        <w:rPr>
          <w:noProof/>
        </w:rPr>
      </w:pPr>
      <w:r w:rsidRPr="0000088F">
        <w:rPr>
          <w:noProof/>
        </w:rPr>
        <w:t>Redegør i detaljer for arten af og vilkårene for garantierne (herunder også en sammenligning med markedsvilkårene for sådanne garantier):</w:t>
      </w:r>
    </w:p>
    <w:p w14:paraId="56ED9596" w14:textId="77777777" w:rsidR="00B41E02" w:rsidRPr="0000088F" w:rsidRDefault="00B41E02" w:rsidP="00B41E02">
      <w:pPr>
        <w:tabs>
          <w:tab w:val="left" w:leader="dot" w:pos="9072"/>
        </w:tabs>
        <w:rPr>
          <w:noProof/>
        </w:rPr>
      </w:pPr>
      <w:r w:rsidRPr="0000088F">
        <w:rPr>
          <w:noProof/>
        </w:rPr>
        <w:tab/>
      </w:r>
    </w:p>
    <w:p w14:paraId="73907D32" w14:textId="77777777" w:rsidR="00B41E02" w:rsidRPr="0000088F" w:rsidRDefault="00B41E02" w:rsidP="00FF4224">
      <w:pPr>
        <w:pStyle w:val="ListNumber"/>
        <w:numPr>
          <w:ilvl w:val="0"/>
          <w:numId w:val="37"/>
        </w:numPr>
        <w:spacing w:before="0" w:after="240"/>
        <w:contextualSpacing w:val="0"/>
        <w:rPr>
          <w:bCs/>
          <w:noProof/>
        </w:rPr>
      </w:pPr>
      <w:r w:rsidRPr="0000088F">
        <w:rPr>
          <w:noProof/>
        </w:rPr>
        <w:t>Henvis til de relevante bestemmelser i retsgrundlaget, der foreskriver, at støtteberettigede transaktioner, som er omfattet af en garanti, skal være nye støtteberettigede risikofinansieringslånetransaktioner, herunder leasinginstrumenter samt kvasiegenkapitalinstrumenter, undtagen egenkapitalinstrumenter (retningslinjernes punkt 118):</w:t>
      </w:r>
    </w:p>
    <w:p w14:paraId="091FE1FA" w14:textId="77777777" w:rsidR="00B41E02" w:rsidRPr="0000088F" w:rsidRDefault="00B41E02" w:rsidP="00B41E02">
      <w:pPr>
        <w:tabs>
          <w:tab w:val="left" w:leader="dot" w:pos="9072"/>
        </w:tabs>
        <w:rPr>
          <w:noProof/>
        </w:rPr>
      </w:pPr>
      <w:r w:rsidRPr="0000088F">
        <w:rPr>
          <w:noProof/>
        </w:rPr>
        <w:tab/>
      </w:r>
    </w:p>
    <w:p w14:paraId="272CDC35" w14:textId="77777777" w:rsidR="00B41E02" w:rsidRPr="0000088F" w:rsidRDefault="00B41E02" w:rsidP="00FF4224">
      <w:pPr>
        <w:pStyle w:val="ListNumber"/>
        <w:numPr>
          <w:ilvl w:val="0"/>
          <w:numId w:val="37"/>
        </w:numPr>
        <w:spacing w:before="0" w:after="240"/>
        <w:contextualSpacing w:val="0"/>
        <w:rPr>
          <w:bCs/>
          <w:noProof/>
        </w:rPr>
      </w:pPr>
      <w:r w:rsidRPr="0000088F">
        <w:rPr>
          <w:noProof/>
        </w:rPr>
        <w:t>Redegør for arten af og vilkårene for de underliggende transaktioner:</w:t>
      </w:r>
    </w:p>
    <w:p w14:paraId="7F08B36B" w14:textId="77777777" w:rsidR="00B41E02" w:rsidRPr="0000088F" w:rsidRDefault="00B41E02" w:rsidP="00B41E02">
      <w:pPr>
        <w:tabs>
          <w:tab w:val="left" w:leader="dot" w:pos="9072"/>
        </w:tabs>
        <w:rPr>
          <w:noProof/>
        </w:rPr>
      </w:pPr>
      <w:r w:rsidRPr="0000088F">
        <w:rPr>
          <w:noProof/>
        </w:rPr>
        <w:tab/>
      </w:r>
    </w:p>
    <w:p w14:paraId="0BD80BBB" w14:textId="77777777" w:rsidR="00B41E02" w:rsidRPr="0000088F" w:rsidRDefault="00717B1C" w:rsidP="00B41E02">
      <w:pPr>
        <w:pStyle w:val="ManualHeading1"/>
        <w:rPr>
          <w:noProof/>
        </w:rPr>
      </w:pPr>
      <w:sdt>
        <w:sdtPr>
          <w:rPr>
            <w:noProof/>
          </w:rPr>
          <w:id w:val="-12693971"/>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smallCaps w:val="0"/>
          <w:noProof/>
        </w:rPr>
        <w:tab/>
        <w:t>Andre finansielle instrumenter</w:t>
      </w:r>
    </w:p>
    <w:p w14:paraId="7A46C226" w14:textId="77777777" w:rsidR="00B41E02" w:rsidRPr="0000088F" w:rsidRDefault="00B41E02" w:rsidP="00FF4224">
      <w:pPr>
        <w:pStyle w:val="Tiret1"/>
        <w:numPr>
          <w:ilvl w:val="0"/>
          <w:numId w:val="56"/>
        </w:numPr>
        <w:rPr>
          <w:noProof/>
        </w:rPr>
      </w:pPr>
      <w:r w:rsidRPr="0000088F">
        <w:rPr>
          <w:noProof/>
        </w:rPr>
        <w:t>Beskriv det finansielle instrument, der skal anvendes sammen med foranstaltningen:</w:t>
      </w:r>
    </w:p>
    <w:p w14:paraId="07931502" w14:textId="77777777" w:rsidR="00B41E02" w:rsidRPr="0000088F" w:rsidRDefault="00B41E02" w:rsidP="00B41E02">
      <w:pPr>
        <w:tabs>
          <w:tab w:val="left" w:leader="dot" w:pos="9072"/>
        </w:tabs>
        <w:ind w:left="720"/>
        <w:rPr>
          <w:noProof/>
        </w:rPr>
      </w:pPr>
      <w:r w:rsidRPr="0000088F">
        <w:rPr>
          <w:noProof/>
        </w:rPr>
        <w:tab/>
      </w:r>
    </w:p>
    <w:p w14:paraId="3099A21A" w14:textId="77777777" w:rsidR="00B41E02" w:rsidRPr="0000088F" w:rsidRDefault="00B41E02" w:rsidP="00FF4224">
      <w:pPr>
        <w:pStyle w:val="Tiret1"/>
        <w:numPr>
          <w:ilvl w:val="0"/>
          <w:numId w:val="56"/>
        </w:numPr>
        <w:rPr>
          <w:noProof/>
        </w:rPr>
      </w:pPr>
      <w:r w:rsidRPr="0000088F">
        <w:rPr>
          <w:noProof/>
        </w:rPr>
        <w:t>Besvar i detaljer alle punkterne i afsnit 2.9.1.2 ovenfor, i det omfang de er relevante for det valgte finansielle instrument:</w:t>
      </w:r>
    </w:p>
    <w:p w14:paraId="10EC9804" w14:textId="77777777" w:rsidR="00B41E02" w:rsidRPr="0000088F" w:rsidRDefault="00B41E02" w:rsidP="00B41E02">
      <w:pPr>
        <w:tabs>
          <w:tab w:val="left" w:leader="dot" w:pos="9072"/>
        </w:tabs>
        <w:ind w:left="720"/>
        <w:rPr>
          <w:noProof/>
        </w:rPr>
      </w:pPr>
      <w:r w:rsidRPr="0000088F">
        <w:rPr>
          <w:noProof/>
        </w:rPr>
        <w:tab/>
      </w:r>
    </w:p>
    <w:p w14:paraId="5F907963" w14:textId="77777777" w:rsidR="00B41E02" w:rsidRPr="0000088F" w:rsidRDefault="00B41E02" w:rsidP="00B41E02">
      <w:pPr>
        <w:pStyle w:val="ManualHeading3"/>
        <w:rPr>
          <w:noProof/>
        </w:rPr>
      </w:pPr>
      <w:r w:rsidRPr="0015417F">
        <w:rPr>
          <w:noProof/>
        </w:rPr>
        <w:lastRenderedPageBreak/>
        <w:t>2.9.2.</w:t>
      </w:r>
      <w:r w:rsidRPr="0015417F">
        <w:rPr>
          <w:noProof/>
        </w:rPr>
        <w:tab/>
      </w:r>
      <w:r w:rsidRPr="0000088F">
        <w:rPr>
          <w:noProof/>
        </w:rPr>
        <w:t>Skatteinstrumenter:</w:t>
      </w:r>
    </w:p>
    <w:p w14:paraId="448DC40D" w14:textId="77777777" w:rsidR="00B41E02" w:rsidRPr="0000088F" w:rsidRDefault="00B41E02" w:rsidP="00B41E02">
      <w:pPr>
        <w:rPr>
          <w:i/>
          <w:iCs/>
          <w:noProof/>
        </w:rPr>
      </w:pPr>
      <w:r w:rsidRPr="0000088F">
        <w:rPr>
          <w:i/>
          <w:noProof/>
          <w:u w:val="single"/>
        </w:rPr>
        <w:t>Udfyld hele dette afsnit for hvert enkelt skatteincitament</w:t>
      </w:r>
      <w:r w:rsidRPr="0000088F">
        <w:rPr>
          <w:i/>
          <w:noProof/>
        </w:rPr>
        <w:t>. Hvis foranstaltningen medfører flere former for skatteincitamenter, udfyldes punkterne for hver form for støtte.</w:t>
      </w:r>
    </w:p>
    <w:p w14:paraId="0DA6EE95" w14:textId="77777777" w:rsidR="00B41E02" w:rsidRPr="0000088F" w:rsidRDefault="00B41E02" w:rsidP="00FF4224">
      <w:pPr>
        <w:pStyle w:val="Tiret1"/>
        <w:numPr>
          <w:ilvl w:val="0"/>
          <w:numId w:val="56"/>
        </w:numPr>
        <w:rPr>
          <w:noProof/>
        </w:rPr>
      </w:pPr>
      <w:r w:rsidRPr="0000088F">
        <w:rPr>
          <w:noProof/>
        </w:rPr>
        <w:t>Skatteincitamenter med henblik på:</w:t>
      </w:r>
    </w:p>
    <w:p w14:paraId="581B8505" w14:textId="77777777" w:rsidR="00B41E02" w:rsidRPr="0000088F" w:rsidRDefault="00B41E02" w:rsidP="00B41E02">
      <w:pPr>
        <w:pStyle w:val="Point2"/>
        <w:rPr>
          <w:noProof/>
        </w:rPr>
      </w:pPr>
      <w:r w:rsidRPr="0015417F">
        <w:rPr>
          <w:noProof/>
        </w:rPr>
        <w:t>(a)</w:t>
      </w:r>
      <w:r w:rsidRPr="0015417F">
        <w:rPr>
          <w:noProof/>
        </w:rPr>
        <w:tab/>
      </w:r>
      <w:sdt>
        <w:sdtPr>
          <w:rPr>
            <w:noProof/>
          </w:rPr>
          <w:id w:val="-900141980"/>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direkte investeringer i virksomheder</w:t>
      </w:r>
    </w:p>
    <w:p w14:paraId="32CB082E" w14:textId="77777777" w:rsidR="00B41E02" w:rsidRPr="0000088F" w:rsidRDefault="00B41E02" w:rsidP="00B41E02">
      <w:pPr>
        <w:pStyle w:val="Point2"/>
        <w:rPr>
          <w:noProof/>
        </w:rPr>
      </w:pPr>
      <w:r w:rsidRPr="0015417F">
        <w:rPr>
          <w:noProof/>
        </w:rPr>
        <w:t>(b)</w:t>
      </w:r>
      <w:r w:rsidRPr="0015417F">
        <w:rPr>
          <w:noProof/>
        </w:rPr>
        <w:tab/>
      </w:r>
      <w:sdt>
        <w:sdtPr>
          <w:rPr>
            <w:noProof/>
          </w:rPr>
          <w:id w:val="1300026038"/>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indirekte investeringer i virksomheder (dvs. gennem finansielle formidlere)</w:t>
      </w:r>
    </w:p>
    <w:p w14:paraId="32058DC0" w14:textId="77777777" w:rsidR="00B41E02" w:rsidRPr="0000088F" w:rsidRDefault="00B41E02" w:rsidP="00B41E02">
      <w:pPr>
        <w:pStyle w:val="Point2"/>
        <w:rPr>
          <w:noProof/>
        </w:rPr>
      </w:pPr>
      <w:r w:rsidRPr="0015417F">
        <w:rPr>
          <w:noProof/>
        </w:rPr>
        <w:t>(c)</w:t>
      </w:r>
      <w:r w:rsidRPr="0015417F">
        <w:rPr>
          <w:noProof/>
        </w:rPr>
        <w:tab/>
      </w:r>
      <w:sdt>
        <w:sdtPr>
          <w:rPr>
            <w:noProof/>
          </w:rPr>
          <w:id w:val="558906536"/>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indirekte investeringer i virksomheder gennem en alternativ handelsplatform</w:t>
      </w:r>
    </w:p>
    <w:p w14:paraId="1A1BCBB4" w14:textId="77777777" w:rsidR="00B41E02" w:rsidRPr="0000088F" w:rsidRDefault="00B41E02" w:rsidP="00FF4224">
      <w:pPr>
        <w:pStyle w:val="Tiret1"/>
        <w:numPr>
          <w:ilvl w:val="0"/>
          <w:numId w:val="56"/>
        </w:numPr>
        <w:rPr>
          <w:noProof/>
        </w:rPr>
      </w:pPr>
      <w:r w:rsidRPr="0000088F">
        <w:rPr>
          <w:noProof/>
        </w:rPr>
        <w:t>Skatteincitamenter til fordel for:</w:t>
      </w:r>
    </w:p>
    <w:p w14:paraId="376280C6" w14:textId="77777777" w:rsidR="00B41E02" w:rsidRPr="0000088F" w:rsidRDefault="00B41E02" w:rsidP="00B41E02">
      <w:pPr>
        <w:pStyle w:val="Point2"/>
        <w:rPr>
          <w:noProof/>
        </w:rPr>
      </w:pPr>
      <w:r w:rsidRPr="0015417F">
        <w:rPr>
          <w:noProof/>
        </w:rPr>
        <w:t>(a)</w:t>
      </w:r>
      <w:r w:rsidRPr="0015417F">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erhvervsinvestorer</w:t>
      </w:r>
    </w:p>
    <w:p w14:paraId="58F2F13D" w14:textId="77777777" w:rsidR="00B41E02" w:rsidRPr="0000088F" w:rsidRDefault="00B41E02" w:rsidP="00B41E02">
      <w:pPr>
        <w:pStyle w:val="Point2"/>
        <w:rPr>
          <w:noProof/>
        </w:rPr>
      </w:pPr>
      <w:r w:rsidRPr="0015417F">
        <w:rPr>
          <w:noProof/>
        </w:rPr>
        <w:t>(b)</w:t>
      </w:r>
      <w:r w:rsidRPr="0015417F">
        <w:rPr>
          <w:noProof/>
        </w:rPr>
        <w:tab/>
      </w:r>
      <w:sdt>
        <w:sdtPr>
          <w:rPr>
            <w:noProof/>
          </w:rPr>
          <w:id w:val="-449159112"/>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investorer, som er fysiske personer, til investeringer, der ikke hører ind under forordning (EU) nr. 651/2014:</w:t>
      </w:r>
    </w:p>
    <w:p w14:paraId="7B1D8BAC" w14:textId="77777777" w:rsidR="00B41E02" w:rsidRPr="0000088F" w:rsidRDefault="00B41E02" w:rsidP="00B41E02">
      <w:pPr>
        <w:tabs>
          <w:tab w:val="left" w:leader="dot" w:pos="9072"/>
        </w:tabs>
        <w:ind w:left="1417"/>
        <w:rPr>
          <w:bCs/>
          <w:noProof/>
        </w:rPr>
      </w:pPr>
      <w:r w:rsidRPr="0000088F">
        <w:rPr>
          <w:noProof/>
        </w:rPr>
        <w:tab/>
      </w:r>
    </w:p>
    <w:p w14:paraId="37842F82" w14:textId="77777777" w:rsidR="00B41E02" w:rsidRPr="0000088F" w:rsidRDefault="00B41E02" w:rsidP="00FF4224">
      <w:pPr>
        <w:pStyle w:val="Tiret1"/>
        <w:numPr>
          <w:ilvl w:val="0"/>
          <w:numId w:val="56"/>
        </w:numPr>
        <w:rPr>
          <w:bCs/>
          <w:noProof/>
        </w:rPr>
      </w:pPr>
      <w:r w:rsidRPr="0000088F">
        <w:rPr>
          <w:noProof/>
        </w:rPr>
        <w:t>Form for skatteincitament:</w:t>
      </w:r>
    </w:p>
    <w:p w14:paraId="651F68F6" w14:textId="77777777" w:rsidR="00B41E02" w:rsidRPr="0000088F" w:rsidRDefault="00B41E02" w:rsidP="00B41E02">
      <w:pPr>
        <w:pStyle w:val="Point2"/>
        <w:rPr>
          <w:noProof/>
        </w:rPr>
      </w:pPr>
      <w:r w:rsidRPr="0015417F">
        <w:rPr>
          <w:noProof/>
        </w:rPr>
        <w:t>(a)</w:t>
      </w:r>
      <w:r w:rsidRPr="0015417F">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indkomstskattelettelser, der trækkes i beskatningsgrundlaget</w:t>
      </w:r>
    </w:p>
    <w:p w14:paraId="010AA44D" w14:textId="77777777" w:rsidR="00B41E02" w:rsidRPr="0000088F" w:rsidRDefault="00B41E02" w:rsidP="00B41E02">
      <w:pPr>
        <w:pStyle w:val="Point2"/>
        <w:rPr>
          <w:noProof/>
        </w:rPr>
      </w:pPr>
      <w:r w:rsidRPr="0015417F">
        <w:rPr>
          <w:noProof/>
        </w:rPr>
        <w:t>(b)</w:t>
      </w:r>
      <w:r w:rsidRPr="0015417F">
        <w:rPr>
          <w:noProof/>
        </w:rPr>
        <w:tab/>
      </w:r>
      <w:sdt>
        <w:sdtPr>
          <w:rPr>
            <w:noProof/>
          </w:rPr>
          <w:id w:val="725035795"/>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indkomstskattelettelser, der trækkes i den skyldige skat</w:t>
      </w:r>
    </w:p>
    <w:p w14:paraId="104DC5EA" w14:textId="77777777" w:rsidR="00B41E02" w:rsidRPr="0000088F" w:rsidRDefault="00B41E02" w:rsidP="00B41E02">
      <w:pPr>
        <w:pStyle w:val="Point2"/>
        <w:rPr>
          <w:noProof/>
        </w:rPr>
      </w:pPr>
      <w:r w:rsidRPr="0015417F">
        <w:rPr>
          <w:noProof/>
        </w:rPr>
        <w:t>(c)</w:t>
      </w:r>
      <w:r w:rsidRPr="0015417F">
        <w:rPr>
          <w:noProof/>
        </w:rPr>
        <w:tab/>
      </w:r>
      <w:sdt>
        <w:sdtPr>
          <w:rPr>
            <w:noProof/>
          </w:rPr>
          <w:id w:val="54976477"/>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lettelser af kapitalvindingsskat</w:t>
      </w:r>
    </w:p>
    <w:p w14:paraId="12AE4E5F" w14:textId="77777777" w:rsidR="00B41E02" w:rsidRPr="0000088F" w:rsidRDefault="00B41E02" w:rsidP="00B41E02">
      <w:pPr>
        <w:pStyle w:val="Point2"/>
        <w:rPr>
          <w:noProof/>
        </w:rPr>
      </w:pPr>
      <w:r w:rsidRPr="0015417F">
        <w:rPr>
          <w:noProof/>
        </w:rPr>
        <w:t>(d)</w:t>
      </w:r>
      <w:r w:rsidRPr="0015417F">
        <w:rPr>
          <w:noProof/>
        </w:rPr>
        <w:tab/>
      </w:r>
      <w:sdt>
        <w:sdtPr>
          <w:rPr>
            <w:noProof/>
          </w:rPr>
          <w:id w:val="335428911"/>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lettelser af udbytteskat</w:t>
      </w:r>
    </w:p>
    <w:p w14:paraId="685878A6" w14:textId="77777777" w:rsidR="00B41E02" w:rsidRDefault="00B41E02" w:rsidP="00B41E02">
      <w:pPr>
        <w:pStyle w:val="Point2"/>
        <w:rPr>
          <w:noProof/>
        </w:rPr>
      </w:pPr>
      <w:r w:rsidRPr="0015417F">
        <w:rPr>
          <w:noProof/>
        </w:rPr>
        <w:t>(e)</w:t>
      </w:r>
      <w:r w:rsidRPr="0015417F">
        <w:rPr>
          <w:noProof/>
        </w:rPr>
        <w:tab/>
      </w:r>
      <w:sdt>
        <w:sdtPr>
          <w:rPr>
            <w:noProof/>
          </w:rPr>
          <w:id w:val="-981537738"/>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andet: </w:t>
      </w:r>
    </w:p>
    <w:p w14:paraId="25196ED8" w14:textId="77777777" w:rsidR="00B41E02" w:rsidRPr="0000088F" w:rsidRDefault="00B41E02" w:rsidP="00B41E02">
      <w:pPr>
        <w:tabs>
          <w:tab w:val="left" w:leader="dot" w:pos="9072"/>
        </w:tabs>
        <w:ind w:left="1417"/>
        <w:rPr>
          <w:noProof/>
        </w:rPr>
      </w:pPr>
      <w:r w:rsidRPr="0000088F">
        <w:rPr>
          <w:noProof/>
        </w:rPr>
        <w:tab/>
      </w:r>
    </w:p>
    <w:p w14:paraId="7EEE27C4" w14:textId="77777777" w:rsidR="00B41E02" w:rsidRPr="0000088F" w:rsidRDefault="00B41E02" w:rsidP="00FF4224">
      <w:pPr>
        <w:pStyle w:val="Tiret1"/>
        <w:numPr>
          <w:ilvl w:val="0"/>
          <w:numId w:val="56"/>
        </w:numPr>
        <w:rPr>
          <w:bCs/>
          <w:noProof/>
        </w:rPr>
      </w:pPr>
      <w:r w:rsidRPr="0000088F">
        <w:rPr>
          <w:noProof/>
        </w:rPr>
        <w:t>Redegør i detaljer for de betingelser, som investeringen skal opfylde for at få adgang til skatteincitamentet:</w:t>
      </w:r>
    </w:p>
    <w:p w14:paraId="117881F1" w14:textId="77777777" w:rsidR="00B41E02" w:rsidRPr="0000088F" w:rsidRDefault="00B41E02" w:rsidP="00B41E02">
      <w:pPr>
        <w:tabs>
          <w:tab w:val="left" w:leader="dot" w:pos="9072"/>
        </w:tabs>
        <w:ind w:left="850"/>
        <w:rPr>
          <w:noProof/>
        </w:rPr>
      </w:pPr>
      <w:r w:rsidRPr="0000088F">
        <w:rPr>
          <w:noProof/>
        </w:rPr>
        <w:tab/>
      </w:r>
    </w:p>
    <w:p w14:paraId="571DB837" w14:textId="77777777" w:rsidR="00B41E02" w:rsidRPr="0000088F" w:rsidRDefault="00B41E02" w:rsidP="00FF4224">
      <w:pPr>
        <w:pStyle w:val="Tiret1"/>
        <w:numPr>
          <w:ilvl w:val="0"/>
          <w:numId w:val="56"/>
        </w:numPr>
        <w:rPr>
          <w:bCs/>
          <w:noProof/>
        </w:rPr>
      </w:pPr>
      <w:r w:rsidRPr="0000088F">
        <w:rPr>
          <w:noProof/>
        </w:rPr>
        <w:t>Redegør i detaljer for, hvordan skatteincitamentet er beregnet, herunder: i) den maksimale procentdel af det investerede beløb, som investoren kan opnå skattelettelse for, ii) det maksimale beløb, som investoren kan fradrage i sit skattetilsvar, og iii) det maksimale beløb pr. støttemodtager:</w:t>
      </w:r>
    </w:p>
    <w:p w14:paraId="2A3102A1" w14:textId="77777777" w:rsidR="00B41E02" w:rsidRPr="0000088F" w:rsidRDefault="00B41E02" w:rsidP="00B41E02">
      <w:pPr>
        <w:tabs>
          <w:tab w:val="left" w:leader="dot" w:pos="9072"/>
        </w:tabs>
        <w:ind w:left="850"/>
        <w:rPr>
          <w:noProof/>
        </w:rPr>
      </w:pPr>
      <w:r w:rsidRPr="0000088F">
        <w:rPr>
          <w:noProof/>
        </w:rPr>
        <w:tab/>
      </w:r>
    </w:p>
    <w:p w14:paraId="353E9C80" w14:textId="77777777" w:rsidR="00B41E02" w:rsidRPr="0000088F" w:rsidRDefault="00B41E02" w:rsidP="00FF4224">
      <w:pPr>
        <w:pStyle w:val="Tiret1"/>
        <w:numPr>
          <w:ilvl w:val="0"/>
          <w:numId w:val="56"/>
        </w:numPr>
        <w:rPr>
          <w:bCs/>
          <w:noProof/>
        </w:rPr>
      </w:pPr>
      <w:r w:rsidRPr="0000088F">
        <w:rPr>
          <w:noProof/>
        </w:rPr>
        <w:t>Fremlæg økonomisk dokumentation og begrundelse for kategorien at støtteberettigede virksomheder under henvisning til den forudgående vurdering (retningslinjernes punkt 123):</w:t>
      </w:r>
    </w:p>
    <w:p w14:paraId="3E06B550" w14:textId="77777777" w:rsidR="00B41E02" w:rsidRPr="0000088F" w:rsidRDefault="00B41E02" w:rsidP="00B41E02">
      <w:pPr>
        <w:tabs>
          <w:tab w:val="left" w:leader="dot" w:pos="9072"/>
        </w:tabs>
        <w:ind w:left="850"/>
        <w:rPr>
          <w:noProof/>
        </w:rPr>
      </w:pPr>
      <w:r w:rsidRPr="0000088F">
        <w:rPr>
          <w:noProof/>
        </w:rPr>
        <w:tab/>
      </w:r>
    </w:p>
    <w:p w14:paraId="22669D99" w14:textId="77777777" w:rsidR="00B41E02" w:rsidRPr="0000088F" w:rsidRDefault="00B41E02" w:rsidP="00FF4224">
      <w:pPr>
        <w:pStyle w:val="Tiret1"/>
        <w:numPr>
          <w:ilvl w:val="0"/>
          <w:numId w:val="56"/>
        </w:numPr>
        <w:rPr>
          <w:bCs/>
          <w:noProof/>
        </w:rPr>
      </w:pPr>
      <w:r w:rsidRPr="0000088F">
        <w:rPr>
          <w:noProof/>
        </w:rPr>
        <w:t>Fremlæg beviser for, at valget af de støtteberettigede virksomheder er baseret på velstrukturerede investeringskrav, som er offentliggjort på behørig vis, og med kriterier for de støtteberettigede virksomheder, som er genstand for et dokumenteret markedssvigt (retningslinjernes punkt 125):</w:t>
      </w:r>
    </w:p>
    <w:p w14:paraId="55B8C0C3" w14:textId="77777777" w:rsidR="00B41E02" w:rsidRPr="0000088F" w:rsidRDefault="00B41E02" w:rsidP="00B41E02">
      <w:pPr>
        <w:tabs>
          <w:tab w:val="left" w:leader="dot" w:pos="9072"/>
        </w:tabs>
        <w:ind w:left="850"/>
        <w:rPr>
          <w:noProof/>
        </w:rPr>
      </w:pPr>
      <w:r w:rsidRPr="0000088F">
        <w:rPr>
          <w:noProof/>
        </w:rPr>
        <w:tab/>
      </w:r>
    </w:p>
    <w:p w14:paraId="2BC7CBF0" w14:textId="77777777" w:rsidR="00B41E02" w:rsidRPr="0000088F" w:rsidRDefault="00B41E02" w:rsidP="00FF4224">
      <w:pPr>
        <w:pStyle w:val="Tiret1"/>
        <w:numPr>
          <w:ilvl w:val="0"/>
          <w:numId w:val="56"/>
        </w:numPr>
        <w:rPr>
          <w:bCs/>
          <w:noProof/>
        </w:rPr>
      </w:pPr>
      <w:r w:rsidRPr="0000088F">
        <w:rPr>
          <w:noProof/>
        </w:rPr>
        <w:t xml:space="preserve">Skatteincitamentets maksimale varighed: </w:t>
      </w:r>
    </w:p>
    <w:p w14:paraId="7F8BD7F3" w14:textId="77777777" w:rsidR="00B41E02" w:rsidRPr="0000088F" w:rsidRDefault="00B41E02" w:rsidP="00B41E02">
      <w:pPr>
        <w:tabs>
          <w:tab w:val="left" w:leader="dot" w:pos="9072"/>
        </w:tabs>
        <w:ind w:left="850"/>
        <w:rPr>
          <w:noProof/>
        </w:rPr>
      </w:pPr>
      <w:r w:rsidRPr="0000088F">
        <w:rPr>
          <w:noProof/>
        </w:rPr>
        <w:lastRenderedPageBreak/>
        <w:tab/>
      </w:r>
    </w:p>
    <w:p w14:paraId="0D543356" w14:textId="77777777" w:rsidR="00B41E02" w:rsidRPr="0000088F" w:rsidRDefault="00B41E02" w:rsidP="00B41E02">
      <w:pPr>
        <w:rPr>
          <w:i/>
          <w:iCs/>
          <w:noProof/>
        </w:rPr>
      </w:pPr>
      <w:r w:rsidRPr="0000088F">
        <w:rPr>
          <w:i/>
          <w:noProof/>
        </w:rPr>
        <w:t>Bemærk, at skatteordningerne bør have en maksimal varighed på 10 år (retningslinjernes punkt 126).</w:t>
      </w:r>
    </w:p>
    <w:p w14:paraId="724216BF" w14:textId="77777777" w:rsidR="00B41E02" w:rsidRPr="0000088F" w:rsidRDefault="00B41E02" w:rsidP="00B41E02">
      <w:pPr>
        <w:pStyle w:val="Point0"/>
        <w:rPr>
          <w:noProof/>
        </w:rPr>
      </w:pPr>
      <w:r w:rsidRPr="0015417F">
        <w:rPr>
          <w:noProof/>
        </w:rPr>
        <w:t>(a)</w:t>
      </w:r>
      <w:r w:rsidRPr="0015417F">
        <w:rPr>
          <w:noProof/>
        </w:rPr>
        <w:tab/>
      </w:r>
      <w:r w:rsidRPr="0000088F">
        <w:rPr>
          <w:noProof/>
        </w:rPr>
        <w:t>Er skatteincitamentet en forlængelse af en eksisterende foranstaltning?</w:t>
      </w:r>
    </w:p>
    <w:p w14:paraId="78A7E7E1" w14:textId="77777777" w:rsidR="00717B1C" w:rsidRDefault="00717B1C" w:rsidP="0063450F">
      <w:pPr>
        <w:tabs>
          <w:tab w:val="left" w:leader="dot" w:pos="9072"/>
        </w:tabs>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 Oplys sagsnummeret for den eksisterende foranstaltning:</w:t>
      </w:r>
      <w:r w:rsidR="0063450F">
        <w:rPr>
          <w:noProof/>
        </w:rPr>
        <w:t xml:space="preserve"> </w:t>
      </w:r>
    </w:p>
    <w:p w14:paraId="7B084310" w14:textId="1B71D292" w:rsidR="00B41E02" w:rsidRPr="0000088F" w:rsidRDefault="0063450F" w:rsidP="0063450F">
      <w:pPr>
        <w:tabs>
          <w:tab w:val="left" w:leader="dot" w:pos="9072"/>
        </w:tabs>
        <w:ind w:left="850"/>
        <w:rPr>
          <w:noProof/>
        </w:rPr>
      </w:pPr>
      <w:r w:rsidRPr="0000088F">
        <w:rPr>
          <w:noProof/>
        </w:rPr>
        <w:tab/>
      </w:r>
    </w:p>
    <w:p w14:paraId="10624297" w14:textId="77777777" w:rsidR="00B41E02" w:rsidRPr="0000088F" w:rsidRDefault="00717B1C" w:rsidP="00B41E02">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24A14D49" w14:textId="77777777" w:rsidR="00B41E02" w:rsidRPr="0000088F" w:rsidRDefault="00B41E02" w:rsidP="00B41E02">
      <w:pPr>
        <w:pStyle w:val="Point0"/>
        <w:rPr>
          <w:noProof/>
        </w:rPr>
      </w:pPr>
      <w:r w:rsidRPr="0015417F">
        <w:rPr>
          <w:noProof/>
        </w:rPr>
        <w:t>(b)</w:t>
      </w:r>
      <w:r w:rsidRPr="0015417F">
        <w:rPr>
          <w:noProof/>
        </w:rPr>
        <w:tab/>
      </w:r>
      <w:r w:rsidRPr="0000088F">
        <w:rPr>
          <w:noProof/>
        </w:rPr>
        <w:t>Er skatteordningens samlede varighed på mere end 10 år (inklusive eventuelle tidligere ordninger)?</w:t>
      </w:r>
    </w:p>
    <w:p w14:paraId="5B1EA65C" w14:textId="77777777" w:rsidR="00B41E02" w:rsidRPr="0000088F" w:rsidRDefault="00717B1C" w:rsidP="00B41E02">
      <w:pPr>
        <w:pStyle w:val="Text1"/>
        <w:rPr>
          <w:noProof/>
        </w:rPr>
      </w:pPr>
      <w:sdt>
        <w:sdtPr>
          <w:rPr>
            <w:noProof/>
          </w:rPr>
          <w:id w:val="-864447045"/>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68243698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Nej</w:t>
      </w:r>
    </w:p>
    <w:p w14:paraId="41E10425" w14:textId="77777777" w:rsidR="00B41E02" w:rsidRPr="0000088F" w:rsidRDefault="00B41E02" w:rsidP="00B41E02">
      <w:pPr>
        <w:pStyle w:val="Text1"/>
        <w:rPr>
          <w:noProof/>
        </w:rPr>
      </w:pPr>
      <w:r w:rsidRPr="0000088F">
        <w:rPr>
          <w:noProof/>
        </w:rPr>
        <w:t>Hvis ja, angives det, om:</w:t>
      </w:r>
    </w:p>
    <w:p w14:paraId="7068C86B" w14:textId="77777777" w:rsidR="00B41E02" w:rsidRPr="0000088F" w:rsidRDefault="00B41E02" w:rsidP="00FF4224">
      <w:pPr>
        <w:pStyle w:val="Tiret1"/>
        <w:numPr>
          <w:ilvl w:val="0"/>
          <w:numId w:val="56"/>
        </w:numPr>
        <w:rPr>
          <w:noProof/>
        </w:rPr>
      </w:pPr>
      <w:r w:rsidRPr="0000088F">
        <w:rPr>
          <w:noProof/>
        </w:rPr>
        <w:t>der er foretaget en ny forudgående vurdering:</w:t>
      </w:r>
    </w:p>
    <w:p w14:paraId="7EDDADEC" w14:textId="77777777" w:rsidR="00B41E02" w:rsidRPr="0000088F" w:rsidRDefault="00717B1C" w:rsidP="00B41E02">
      <w:pPr>
        <w:pStyle w:val="Text1"/>
        <w:rPr>
          <w:noProof/>
        </w:rPr>
      </w:pPr>
      <w:sdt>
        <w:sdtPr>
          <w:rPr>
            <w:noProof/>
          </w:rPr>
          <w:id w:val="992149643"/>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610783321"/>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Nej</w:t>
      </w:r>
    </w:p>
    <w:p w14:paraId="19663D15" w14:textId="77777777" w:rsidR="00B41E02" w:rsidRPr="0000088F" w:rsidRDefault="00B41E02" w:rsidP="00FF4224">
      <w:pPr>
        <w:pStyle w:val="Tiret1"/>
        <w:numPr>
          <w:ilvl w:val="0"/>
          <w:numId w:val="56"/>
        </w:numPr>
        <w:rPr>
          <w:bCs/>
          <w:noProof/>
        </w:rPr>
      </w:pPr>
      <w:r w:rsidRPr="0000088F">
        <w:rPr>
          <w:noProof/>
        </w:rPr>
        <w:t>den eksisterende foranstaltning har været genstand for en efterfølgende vurdering:</w:t>
      </w:r>
    </w:p>
    <w:p w14:paraId="02421C55" w14:textId="77777777" w:rsidR="00B41E02" w:rsidRPr="0000088F" w:rsidRDefault="00717B1C" w:rsidP="00B41E02">
      <w:pPr>
        <w:pStyle w:val="Text1"/>
        <w:rPr>
          <w:noProof/>
        </w:rPr>
      </w:pPr>
      <w:sdt>
        <w:sdtPr>
          <w:rPr>
            <w:noProof/>
          </w:rPr>
          <w:id w:val="183750513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218523830"/>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Nej</w:t>
      </w:r>
    </w:p>
    <w:p w14:paraId="3D45AA38" w14:textId="77777777" w:rsidR="00B41E02" w:rsidRPr="0000088F" w:rsidRDefault="00B41E02" w:rsidP="00B41E02">
      <w:pPr>
        <w:pStyle w:val="Point0"/>
        <w:rPr>
          <w:bCs/>
          <w:noProof/>
        </w:rPr>
      </w:pPr>
      <w:r w:rsidRPr="0015417F">
        <w:rPr>
          <w:noProof/>
        </w:rPr>
        <w:t>(c)</w:t>
      </w:r>
      <w:r w:rsidRPr="0015417F">
        <w:rPr>
          <w:noProof/>
        </w:rPr>
        <w:tab/>
      </w:r>
      <w:r w:rsidRPr="0000088F">
        <w:rPr>
          <w:noProof/>
        </w:rPr>
        <w:t>Redegør for særlige træk i det nationale skattesystem, der er relevante for at skabe en fuld forståelse af skatteincitamentet:</w:t>
      </w:r>
    </w:p>
    <w:p w14:paraId="349FE8CF" w14:textId="77777777" w:rsidR="00B41E02" w:rsidRPr="0000088F" w:rsidRDefault="00B41E02" w:rsidP="00B41E02">
      <w:pPr>
        <w:tabs>
          <w:tab w:val="left" w:leader="dot" w:pos="9072"/>
        </w:tabs>
        <w:rPr>
          <w:noProof/>
        </w:rPr>
      </w:pPr>
      <w:r w:rsidRPr="0000088F">
        <w:rPr>
          <w:noProof/>
        </w:rPr>
        <w:tab/>
      </w:r>
    </w:p>
    <w:p w14:paraId="75B31C19" w14:textId="77777777" w:rsidR="00B41E02" w:rsidRPr="0000088F" w:rsidRDefault="00B41E02" w:rsidP="00B41E02">
      <w:pPr>
        <w:pStyle w:val="Point0"/>
        <w:rPr>
          <w:bCs/>
          <w:noProof/>
        </w:rPr>
      </w:pPr>
      <w:r w:rsidRPr="0015417F">
        <w:rPr>
          <w:noProof/>
        </w:rPr>
        <w:t>(d)</w:t>
      </w:r>
      <w:r w:rsidRPr="0015417F">
        <w:rPr>
          <w:noProof/>
        </w:rPr>
        <w:tab/>
      </w:r>
      <w:r w:rsidRPr="0000088F">
        <w:rPr>
          <w:noProof/>
        </w:rPr>
        <w:t>Redegør for eventuelle relaterede / lignende / relevante skatteincitamenter, der allerede findes i medlemsstaten, samt samspillet mellem disse og det anmeldte skatteincitament:</w:t>
      </w:r>
    </w:p>
    <w:p w14:paraId="7349CF2F" w14:textId="77777777" w:rsidR="00B41E02" w:rsidRPr="0000088F" w:rsidRDefault="00B41E02" w:rsidP="00B41E02">
      <w:pPr>
        <w:tabs>
          <w:tab w:val="left" w:leader="dot" w:pos="9072"/>
        </w:tabs>
        <w:rPr>
          <w:noProof/>
        </w:rPr>
      </w:pPr>
      <w:r w:rsidRPr="0000088F">
        <w:rPr>
          <w:noProof/>
        </w:rPr>
        <w:tab/>
      </w:r>
    </w:p>
    <w:p w14:paraId="719E31B0" w14:textId="77777777" w:rsidR="00B41E02" w:rsidRPr="0000088F" w:rsidRDefault="00B41E02" w:rsidP="00B41E02">
      <w:pPr>
        <w:pStyle w:val="Point0"/>
        <w:rPr>
          <w:bCs/>
          <w:noProof/>
        </w:rPr>
      </w:pPr>
      <w:r w:rsidRPr="0015417F">
        <w:rPr>
          <w:noProof/>
        </w:rPr>
        <w:t>(e)</w:t>
      </w:r>
      <w:r w:rsidRPr="0015417F">
        <w:rPr>
          <w:noProof/>
        </w:rPr>
        <w:tab/>
      </w:r>
      <w:r w:rsidRPr="0000088F">
        <w:rPr>
          <w:noProof/>
        </w:rPr>
        <w:t>Er skatteincitamentet åbent for alle investorer, der opfylder de gældende kriterier, uden forskelsbehandling med hensyn til etableringssted (retningslinjernes punkt 128)?</w:t>
      </w:r>
    </w:p>
    <w:p w14:paraId="5CE51144" w14:textId="77777777" w:rsidR="00B41E02" w:rsidRPr="0000088F" w:rsidRDefault="00717B1C" w:rsidP="00B41E02">
      <w:pPr>
        <w:pStyle w:val="Text1"/>
        <w:rPr>
          <w:noProof/>
        </w:rPr>
      </w:pPr>
      <w:sdt>
        <w:sdtPr>
          <w:rPr>
            <w:noProof/>
          </w:rPr>
          <w:id w:val="-1373369450"/>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685434249"/>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Nej</w:t>
      </w:r>
    </w:p>
    <w:p w14:paraId="5AD43FEF" w14:textId="77777777" w:rsidR="00B41E02" w:rsidRPr="0000088F" w:rsidRDefault="00B41E02" w:rsidP="00B41E02">
      <w:pPr>
        <w:rPr>
          <w:i/>
          <w:iCs/>
          <w:noProof/>
        </w:rPr>
      </w:pPr>
      <w:r w:rsidRPr="0000088F">
        <w:rPr>
          <w:i/>
          <w:noProof/>
        </w:rPr>
        <w:t xml:space="preserve">Giv dokumentation for, at der er sørget for tilstrækkelig information af offentligheden om foranstaltningens anvendelsesområde og tekniske parametre (herunder lofter og tærskler, det maksimale investeringsbeløb) (retningslinjernes punkt 128): </w:t>
      </w:r>
      <w:r w:rsidRPr="0000088F">
        <w:rPr>
          <w:noProof/>
        </w:rPr>
        <w:tab/>
      </w:r>
    </w:p>
    <w:p w14:paraId="1BA592B0" w14:textId="77777777" w:rsidR="00B41E02" w:rsidRPr="0000088F" w:rsidRDefault="00B41E02" w:rsidP="00B41E02">
      <w:pPr>
        <w:pStyle w:val="Point0"/>
        <w:rPr>
          <w:bCs/>
          <w:noProof/>
        </w:rPr>
      </w:pPr>
      <w:r w:rsidRPr="0015417F">
        <w:rPr>
          <w:noProof/>
        </w:rPr>
        <w:t>(f)</w:t>
      </w:r>
      <w:r w:rsidRPr="0015417F">
        <w:rPr>
          <w:noProof/>
        </w:rPr>
        <w:tab/>
      </w:r>
      <w:r w:rsidRPr="0000088F">
        <w:rPr>
          <w:noProof/>
        </w:rPr>
        <w:t>Overstiger de samlede investeringer for hver støttemodtagende virksomhed det maksimale beløb på 16,5 mio. EUR pr. støtteberettiget virksomhed, der er fastsat i artikel 21 i forordning (EU) nr. 651/2014 (retningslinjernes punkt 151)?</w:t>
      </w:r>
    </w:p>
    <w:p w14:paraId="39F91BC4" w14:textId="77777777" w:rsidR="00B41E02" w:rsidRPr="0000088F" w:rsidRDefault="00717B1C" w:rsidP="00B41E02">
      <w:pPr>
        <w:pStyle w:val="Text1"/>
        <w:rPr>
          <w:noProof/>
        </w:rPr>
      </w:pPr>
      <w:sdt>
        <w:sdtPr>
          <w:rPr>
            <w:noProof/>
          </w:rPr>
          <w:id w:val="147679696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1878467436"/>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Nej</w:t>
      </w:r>
    </w:p>
    <w:p w14:paraId="24AB0007" w14:textId="77777777" w:rsidR="00B41E02" w:rsidRPr="0000088F" w:rsidRDefault="00B41E02" w:rsidP="00B41E02">
      <w:pPr>
        <w:pStyle w:val="Point0"/>
        <w:rPr>
          <w:noProof/>
        </w:rPr>
      </w:pPr>
      <w:r w:rsidRPr="0015417F">
        <w:rPr>
          <w:noProof/>
        </w:rPr>
        <w:t>(g)</w:t>
      </w:r>
      <w:r w:rsidRPr="0015417F">
        <w:rPr>
          <w:noProof/>
        </w:rPr>
        <w:tab/>
      </w:r>
      <w:r w:rsidRPr="0000088F">
        <w:rPr>
          <w:noProof/>
        </w:rPr>
        <w:t>Hvis beløbet er højere, gives en begrundelse herfor med henvisning til det markedssvigt, der er identificeret i den forudgående vurdering:</w:t>
      </w:r>
    </w:p>
    <w:p w14:paraId="4F2CCD81" w14:textId="77777777" w:rsidR="00B41E02" w:rsidRPr="0000088F" w:rsidRDefault="00B41E02" w:rsidP="00B41E02">
      <w:pPr>
        <w:tabs>
          <w:tab w:val="left" w:leader="dot" w:pos="9072"/>
        </w:tabs>
        <w:rPr>
          <w:noProof/>
        </w:rPr>
      </w:pPr>
      <w:r w:rsidRPr="0000088F">
        <w:rPr>
          <w:noProof/>
        </w:rPr>
        <w:tab/>
      </w:r>
    </w:p>
    <w:p w14:paraId="04D4BA37" w14:textId="77777777" w:rsidR="00B41E02" w:rsidRPr="0000088F" w:rsidRDefault="00B41E02" w:rsidP="00B41E02">
      <w:pPr>
        <w:pStyle w:val="Point0"/>
        <w:rPr>
          <w:bCs/>
          <w:noProof/>
        </w:rPr>
      </w:pPr>
      <w:r w:rsidRPr="0015417F">
        <w:rPr>
          <w:noProof/>
        </w:rPr>
        <w:t>(h)</w:t>
      </w:r>
      <w:r w:rsidRPr="0015417F">
        <w:rPr>
          <w:noProof/>
        </w:rPr>
        <w:tab/>
      </w:r>
      <w:r w:rsidRPr="0000088F">
        <w:rPr>
          <w:noProof/>
        </w:rPr>
        <w:t xml:space="preserve">Er de støtteberettigede aktier nyudstedte stamaktier med fuld risiko, som er udstedt af en støtteberettiget virksomhed som defineret i den forudgående vurdering, og skal de holdes i mindst tre år (retningslinjernes punkt 152)? </w:t>
      </w:r>
    </w:p>
    <w:p w14:paraId="6FF8761E" w14:textId="77777777" w:rsidR="00B41E02" w:rsidRPr="0000088F" w:rsidRDefault="00717B1C" w:rsidP="00B41E02">
      <w:pPr>
        <w:pStyle w:val="Text1"/>
        <w:rPr>
          <w:noProof/>
        </w:rPr>
      </w:pPr>
      <w:sdt>
        <w:sdtPr>
          <w:rPr>
            <w:noProof/>
          </w:rPr>
          <w:id w:val="-1196691401"/>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w:t>
      </w:r>
    </w:p>
    <w:p w14:paraId="29D84833" w14:textId="77777777" w:rsidR="00B41E02" w:rsidRPr="0000088F" w:rsidRDefault="00717B1C" w:rsidP="00B41E02">
      <w:pPr>
        <w:pStyle w:val="Text1"/>
        <w:rPr>
          <w:noProof/>
        </w:rPr>
      </w:pPr>
      <w:sdt>
        <w:sdtPr>
          <w:rPr>
            <w:noProof/>
          </w:rPr>
          <w:id w:val="501856170"/>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 Redegør nærmere:</w:t>
      </w:r>
    </w:p>
    <w:p w14:paraId="69568432" w14:textId="77777777" w:rsidR="00B41E02" w:rsidRPr="0000088F" w:rsidRDefault="00B41E02" w:rsidP="00B41E02">
      <w:pPr>
        <w:tabs>
          <w:tab w:val="left" w:leader="dot" w:pos="9072"/>
        </w:tabs>
        <w:ind w:left="720"/>
        <w:rPr>
          <w:noProof/>
        </w:rPr>
      </w:pPr>
      <w:r w:rsidRPr="0000088F">
        <w:rPr>
          <w:noProof/>
        </w:rPr>
        <w:tab/>
      </w:r>
    </w:p>
    <w:p w14:paraId="371A70CB" w14:textId="77777777" w:rsidR="00B41E02" w:rsidRPr="0000088F" w:rsidRDefault="00B41E02" w:rsidP="00B41E02">
      <w:pPr>
        <w:pStyle w:val="Point0"/>
        <w:rPr>
          <w:bCs/>
          <w:noProof/>
        </w:rPr>
      </w:pPr>
      <w:r w:rsidRPr="0015417F">
        <w:rPr>
          <w:noProof/>
        </w:rPr>
        <w:t>(i)</w:t>
      </w:r>
      <w:r w:rsidRPr="0015417F">
        <w:rPr>
          <w:noProof/>
        </w:rPr>
        <w:tab/>
      </w:r>
      <w:r w:rsidRPr="0000088F">
        <w:rPr>
          <w:noProof/>
        </w:rPr>
        <w:t xml:space="preserve">Kan skattelettelsen opnås af investorer, der er uafhængige af den virksomhed, hvori der investeres (retningslinjernes punkt 152)? </w:t>
      </w:r>
    </w:p>
    <w:p w14:paraId="0C65F48A" w14:textId="2D598E31" w:rsidR="00B41E02" w:rsidRPr="0000088F" w:rsidRDefault="00717B1C" w:rsidP="00B41E02">
      <w:pPr>
        <w:pStyle w:val="Text1"/>
        <w:rPr>
          <w:noProof/>
        </w:rPr>
      </w:pPr>
      <w:sdt>
        <w:sdtPr>
          <w:rPr>
            <w:rFonts w:ascii="Segoe UI Symbol" w:hAnsi="Segoe UI Symbol"/>
            <w:noProof/>
          </w:rPr>
          <w:id w:val="-1874219563"/>
          <w14:checkbox>
            <w14:checked w14:val="0"/>
            <w14:checkedState w14:val="2612" w14:font="MS Gothic"/>
            <w14:uncheckedState w14:val="2610" w14:font="MS Gothic"/>
          </w14:checkbox>
        </w:sdtPr>
        <w:sdtEndPr/>
        <w:sdtContent>
          <w:r w:rsidR="0063450F">
            <w:rPr>
              <w:rFonts w:ascii="MS Gothic" w:eastAsia="MS Gothic" w:hAnsi="MS Gothic" w:hint="eastAsia"/>
              <w:noProof/>
            </w:rPr>
            <w:t>☐</w:t>
          </w:r>
        </w:sdtContent>
      </w:sdt>
      <w:r w:rsidR="00B41E02" w:rsidRPr="0000088F">
        <w:rPr>
          <w:noProof/>
        </w:rPr>
        <w:t xml:space="preserve"> Ja</w:t>
      </w:r>
    </w:p>
    <w:p w14:paraId="5B3B21E7" w14:textId="3836557B" w:rsidR="00B41E02" w:rsidRDefault="00717B1C" w:rsidP="00B41E02">
      <w:pPr>
        <w:pStyle w:val="Text1"/>
        <w:rPr>
          <w:noProof/>
        </w:rPr>
      </w:pPr>
      <w:sdt>
        <w:sdtPr>
          <w:rPr>
            <w:rFonts w:ascii="Segoe UI Symbol" w:hAnsi="Segoe UI Symbol"/>
            <w:noProof/>
          </w:rPr>
          <w:id w:val="1497149526"/>
          <w14:checkbox>
            <w14:checked w14:val="0"/>
            <w14:checkedState w14:val="2612" w14:font="MS Gothic"/>
            <w14:uncheckedState w14:val="2610" w14:font="MS Gothic"/>
          </w14:checkbox>
        </w:sdtPr>
        <w:sdtEndPr/>
        <w:sdtContent>
          <w:r w:rsidR="0063450F">
            <w:rPr>
              <w:rFonts w:ascii="MS Gothic" w:eastAsia="MS Gothic" w:hAnsi="MS Gothic" w:hint="eastAsia"/>
              <w:noProof/>
            </w:rPr>
            <w:t>☐</w:t>
          </w:r>
        </w:sdtContent>
      </w:sdt>
      <w:r w:rsidR="00B41E02" w:rsidRPr="0000088F">
        <w:rPr>
          <w:noProof/>
        </w:rPr>
        <w:t xml:space="preserve"> Nej. Redegør nærmere: </w:t>
      </w:r>
    </w:p>
    <w:p w14:paraId="06907BF4" w14:textId="77777777" w:rsidR="00B41E02" w:rsidRPr="0000088F" w:rsidRDefault="00B41E02" w:rsidP="00B41E02">
      <w:pPr>
        <w:tabs>
          <w:tab w:val="left" w:leader="dot" w:pos="9072"/>
        </w:tabs>
        <w:ind w:left="720"/>
        <w:rPr>
          <w:noProof/>
        </w:rPr>
      </w:pPr>
      <w:r w:rsidRPr="0000088F">
        <w:rPr>
          <w:noProof/>
        </w:rPr>
        <w:tab/>
      </w:r>
    </w:p>
    <w:p w14:paraId="7942532D" w14:textId="1C30973D" w:rsidR="00B41E02" w:rsidRPr="0000088F" w:rsidRDefault="00B41E02" w:rsidP="00B41E02">
      <w:pPr>
        <w:pStyle w:val="Point0"/>
        <w:rPr>
          <w:noProof/>
        </w:rPr>
      </w:pPr>
      <w:r w:rsidRPr="0015417F">
        <w:rPr>
          <w:noProof/>
        </w:rPr>
        <w:t>(j)</w:t>
      </w:r>
      <w:r w:rsidRPr="0015417F">
        <w:rPr>
          <w:noProof/>
        </w:rPr>
        <w:tab/>
      </w:r>
      <w:r w:rsidRPr="0000088F">
        <w:rPr>
          <w:noProof/>
        </w:rPr>
        <w:t>Ved indkomstskattelettelser: Hvad er den maksimale procentdel af det beløb, som investeres i støtteberettigede virksomheder, der kan gives skattelettelser på? Bemærk, at det anses for rimeligt at begrænse skattelettelsen til 30 % af det investerede beløb (retningslinjernes punkt 153): …%</w:t>
      </w:r>
    </w:p>
    <w:p w14:paraId="007DD4B2" w14:textId="77777777" w:rsidR="00B41E02" w:rsidRPr="0000088F" w:rsidRDefault="00B41E02" w:rsidP="00B41E02">
      <w:pPr>
        <w:pStyle w:val="Text1"/>
        <w:rPr>
          <w:noProof/>
        </w:rPr>
      </w:pPr>
      <w:r w:rsidRPr="0000088F">
        <w:rPr>
          <w:noProof/>
        </w:rPr>
        <w:t xml:space="preserve">Kan skattelettelsen overstige investorens maksimale skyldige indkomstskat, som den er fastsat før indførelsen af skatteforanstaltningen? </w:t>
      </w:r>
    </w:p>
    <w:p w14:paraId="4293A2A2" w14:textId="77777777" w:rsidR="0063450F" w:rsidRDefault="00717B1C" w:rsidP="0063450F">
      <w:pPr>
        <w:tabs>
          <w:tab w:val="left" w:leader="dot" w:pos="9072"/>
        </w:tabs>
        <w:ind w:left="850"/>
        <w:rPr>
          <w:noProof/>
        </w:rPr>
      </w:pPr>
      <w:sdt>
        <w:sdtPr>
          <w:rPr>
            <w:rFonts w:ascii="Segoe UI Symbol" w:hAnsi="Segoe UI Symbol"/>
            <w:noProof/>
          </w:rPr>
          <w:id w:val="418680174"/>
          <w14:checkbox>
            <w14:checked w14:val="0"/>
            <w14:checkedState w14:val="2612" w14:font="MS Gothic"/>
            <w14:uncheckedState w14:val="2610" w14:font="MS Gothic"/>
          </w14:checkbox>
        </w:sdtPr>
        <w:sdtEndPr/>
        <w:sdtContent>
          <w:r w:rsidR="0063450F">
            <w:rPr>
              <w:rFonts w:ascii="MS Gothic" w:eastAsia="MS Gothic" w:hAnsi="MS Gothic" w:hint="eastAsia"/>
              <w:noProof/>
            </w:rPr>
            <w:t>☐</w:t>
          </w:r>
        </w:sdtContent>
      </w:sdt>
      <w:r w:rsidR="00B41E02" w:rsidRPr="0000088F">
        <w:rPr>
          <w:noProof/>
        </w:rPr>
        <w:t xml:space="preserve"> Ja Redegør nærmere: </w:t>
      </w:r>
    </w:p>
    <w:p w14:paraId="76556124" w14:textId="331187CD" w:rsidR="00B41E02" w:rsidRPr="0000088F" w:rsidRDefault="0063450F" w:rsidP="0063450F">
      <w:pPr>
        <w:tabs>
          <w:tab w:val="left" w:leader="dot" w:pos="9072"/>
        </w:tabs>
        <w:ind w:left="850"/>
        <w:rPr>
          <w:noProof/>
        </w:rPr>
      </w:pPr>
      <w:r w:rsidRPr="0000088F">
        <w:rPr>
          <w:noProof/>
        </w:rPr>
        <w:tab/>
      </w:r>
    </w:p>
    <w:p w14:paraId="447C8FED" w14:textId="06A301C4" w:rsidR="00B41E02" w:rsidRPr="0000088F" w:rsidRDefault="00717B1C" w:rsidP="00B41E02">
      <w:pPr>
        <w:pStyle w:val="Text1"/>
        <w:rPr>
          <w:noProof/>
        </w:rPr>
      </w:pPr>
      <w:sdt>
        <w:sdtPr>
          <w:rPr>
            <w:rFonts w:ascii="Segoe UI Symbol" w:hAnsi="Segoe UI Symbol"/>
            <w:noProof/>
          </w:rPr>
          <w:id w:val="47958922"/>
          <w14:checkbox>
            <w14:checked w14:val="0"/>
            <w14:checkedState w14:val="2612" w14:font="MS Gothic"/>
            <w14:uncheckedState w14:val="2610" w14:font="MS Gothic"/>
          </w14:checkbox>
        </w:sdtPr>
        <w:sdtEndPr/>
        <w:sdtContent>
          <w:r w:rsidR="0063450F">
            <w:rPr>
              <w:rFonts w:ascii="MS Gothic" w:eastAsia="MS Gothic" w:hAnsi="MS Gothic" w:hint="eastAsia"/>
              <w:noProof/>
            </w:rPr>
            <w:t>☐</w:t>
          </w:r>
        </w:sdtContent>
      </w:sdt>
      <w:r w:rsidR="00B41E02" w:rsidRPr="0000088F">
        <w:rPr>
          <w:noProof/>
        </w:rPr>
        <w:t xml:space="preserve"> Nej </w:t>
      </w:r>
    </w:p>
    <w:p w14:paraId="79AA410C" w14:textId="77777777" w:rsidR="00B41E02" w:rsidRPr="0000088F" w:rsidRDefault="00B41E02" w:rsidP="00B41E02">
      <w:pPr>
        <w:pStyle w:val="ManualHeading3"/>
        <w:rPr>
          <w:rFonts w:eastAsia="Times New Roman"/>
          <w:noProof/>
        </w:rPr>
      </w:pPr>
      <w:r w:rsidRPr="0015417F">
        <w:rPr>
          <w:noProof/>
        </w:rPr>
        <w:t>2.9.3.</w:t>
      </w:r>
      <w:r w:rsidRPr="0015417F">
        <w:rPr>
          <w:noProof/>
        </w:rPr>
        <w:tab/>
      </w:r>
      <w:r w:rsidRPr="0000088F">
        <w:rPr>
          <w:noProof/>
        </w:rPr>
        <w:t>Foranstaltninger til fordel for alternative handelsplatforme</w:t>
      </w:r>
    </w:p>
    <w:p w14:paraId="138E7448" w14:textId="77777777" w:rsidR="00B41E02" w:rsidRPr="0000088F" w:rsidRDefault="00B41E02" w:rsidP="00FF4224">
      <w:pPr>
        <w:pStyle w:val="Tiret0"/>
        <w:numPr>
          <w:ilvl w:val="0"/>
          <w:numId w:val="39"/>
        </w:numPr>
        <w:rPr>
          <w:noProof/>
        </w:rPr>
      </w:pPr>
      <w:r w:rsidRPr="0000088F">
        <w:rPr>
          <w:noProof/>
        </w:rPr>
        <w:t>Er det en eksisterende platform:</w:t>
      </w:r>
    </w:p>
    <w:p w14:paraId="5B0F98A4" w14:textId="77777777" w:rsidR="00B41E02" w:rsidRPr="0000088F" w:rsidRDefault="00717B1C" w:rsidP="00B41E02">
      <w:pPr>
        <w:pStyle w:val="Text1"/>
        <w:rPr>
          <w:noProof/>
        </w:rPr>
      </w:pPr>
      <w:sdt>
        <w:sdtPr>
          <w:rPr>
            <w:bCs/>
            <w:noProof/>
          </w:rPr>
          <w:id w:val="-2027246606"/>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w:t>
      </w:r>
    </w:p>
    <w:p w14:paraId="005FA50C" w14:textId="77777777" w:rsidR="00B41E02" w:rsidRPr="0000088F" w:rsidRDefault="00717B1C" w:rsidP="00B41E02">
      <w:pPr>
        <w:pStyle w:val="Text1"/>
        <w:rPr>
          <w:noProof/>
        </w:rPr>
      </w:pPr>
      <w:sdt>
        <w:sdtPr>
          <w:rPr>
            <w:bCs/>
            <w:noProof/>
          </w:rPr>
          <w:id w:val="671301233"/>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Nej, den skal oprettes</w:t>
      </w:r>
    </w:p>
    <w:p w14:paraId="704B6C30" w14:textId="77777777" w:rsidR="00B41E02" w:rsidRPr="0000088F" w:rsidRDefault="00B41E02" w:rsidP="00FF4224">
      <w:pPr>
        <w:pStyle w:val="Tiret0"/>
        <w:numPr>
          <w:ilvl w:val="0"/>
          <w:numId w:val="40"/>
        </w:numPr>
        <w:rPr>
          <w:noProof/>
        </w:rPr>
      </w:pPr>
      <w:r w:rsidRPr="0000088F">
        <w:rPr>
          <w:noProof/>
        </w:rPr>
        <w:t xml:space="preserve">Foreligger der en forretningsplan, der viser, at den støttede platform kan finansiere sig selv inden for mindre end 10 år (retningslinjernes punkt 129)? </w:t>
      </w:r>
    </w:p>
    <w:p w14:paraId="15AC3304" w14:textId="77777777" w:rsidR="00B41E02" w:rsidRPr="0000088F" w:rsidRDefault="00B41E02" w:rsidP="00B41E02">
      <w:pPr>
        <w:tabs>
          <w:tab w:val="left" w:leader="dot" w:pos="9072"/>
        </w:tabs>
        <w:ind w:left="720"/>
        <w:rPr>
          <w:noProof/>
        </w:rPr>
      </w:pPr>
      <w:r w:rsidRPr="0000088F">
        <w:rPr>
          <w:noProof/>
        </w:rPr>
        <w:tab/>
      </w:r>
    </w:p>
    <w:p w14:paraId="5BFA8C10" w14:textId="77777777" w:rsidR="00B41E02" w:rsidRPr="0000088F" w:rsidRDefault="00B41E02" w:rsidP="00FF4224">
      <w:pPr>
        <w:pStyle w:val="Tiret0"/>
        <w:numPr>
          <w:ilvl w:val="0"/>
          <w:numId w:val="40"/>
        </w:numPr>
        <w:rPr>
          <w:noProof/>
        </w:rPr>
      </w:pPr>
      <w:r w:rsidRPr="0000088F">
        <w:rPr>
          <w:noProof/>
        </w:rPr>
        <w:t xml:space="preserve">Er eller vil platformen være en delplatform eller et datterselskab til en eksisterende børs? </w:t>
      </w:r>
    </w:p>
    <w:p w14:paraId="7512DF8E" w14:textId="701731D6" w:rsidR="00B41E02" w:rsidRDefault="00717B1C" w:rsidP="00B41E02">
      <w:pPr>
        <w:pStyle w:val="Text1"/>
        <w:rPr>
          <w:noProof/>
        </w:rPr>
      </w:pPr>
      <w:sdt>
        <w:sdtPr>
          <w:rPr>
            <w:bCs/>
            <w:noProof/>
          </w:rPr>
          <w:id w:val="39018713"/>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 Angiv nærmere:</w:t>
      </w:r>
    </w:p>
    <w:p w14:paraId="44DFC445" w14:textId="77777777" w:rsidR="00B41E02" w:rsidRPr="0000088F" w:rsidRDefault="00B41E02" w:rsidP="00B41E02">
      <w:pPr>
        <w:tabs>
          <w:tab w:val="left" w:leader="dot" w:pos="9072"/>
        </w:tabs>
        <w:ind w:left="720"/>
        <w:rPr>
          <w:noProof/>
        </w:rPr>
      </w:pPr>
      <w:r w:rsidRPr="0000088F">
        <w:rPr>
          <w:noProof/>
        </w:rPr>
        <w:tab/>
      </w:r>
    </w:p>
    <w:p w14:paraId="57ECC98A" w14:textId="77777777" w:rsidR="00B41E02" w:rsidRPr="0000088F" w:rsidRDefault="00717B1C" w:rsidP="00B41E02">
      <w:pPr>
        <w:pStyle w:val="Text1"/>
        <w:rPr>
          <w:noProof/>
        </w:rPr>
      </w:pPr>
      <w:sdt>
        <w:sdtPr>
          <w:rPr>
            <w:noProof/>
          </w:rPr>
          <w:id w:val="1297572901"/>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31FC85DB" w14:textId="77777777" w:rsidR="00B41E02" w:rsidRPr="0000088F" w:rsidRDefault="00B41E02" w:rsidP="00FF4224">
      <w:pPr>
        <w:pStyle w:val="Tiret0"/>
        <w:numPr>
          <w:ilvl w:val="0"/>
          <w:numId w:val="40"/>
        </w:numPr>
        <w:rPr>
          <w:noProof/>
        </w:rPr>
      </w:pPr>
      <w:r w:rsidRPr="0000088F">
        <w:rPr>
          <w:noProof/>
        </w:rPr>
        <w:t>Findes der allerede eksisterende alternative platforme i medlemsstaten (retningslinjernes punkt 131)?</w:t>
      </w:r>
    </w:p>
    <w:p w14:paraId="11E78746" w14:textId="77777777" w:rsidR="00B41E02" w:rsidRDefault="00717B1C" w:rsidP="00B41E02">
      <w:pPr>
        <w:pStyle w:val="Text1"/>
        <w:rPr>
          <w:noProof/>
        </w:rPr>
      </w:pPr>
      <w:sdt>
        <w:sdtPr>
          <w:rPr>
            <w:bCs/>
            <w:noProof/>
          </w:rPr>
          <w:id w:val="1735891957"/>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 Angiv nærmere:</w:t>
      </w:r>
    </w:p>
    <w:p w14:paraId="7A3D5441" w14:textId="77777777" w:rsidR="00B41E02" w:rsidRPr="0000088F" w:rsidRDefault="00B41E02" w:rsidP="00B41E02">
      <w:pPr>
        <w:tabs>
          <w:tab w:val="left" w:leader="dot" w:pos="9072"/>
        </w:tabs>
        <w:ind w:left="720"/>
        <w:rPr>
          <w:noProof/>
        </w:rPr>
      </w:pPr>
      <w:r w:rsidRPr="0000088F">
        <w:rPr>
          <w:noProof/>
        </w:rPr>
        <w:tab/>
      </w:r>
    </w:p>
    <w:p w14:paraId="27D8C5C4" w14:textId="77777777" w:rsidR="00B41E02" w:rsidRPr="0000088F" w:rsidRDefault="00717B1C" w:rsidP="00B41E02">
      <w:pPr>
        <w:pStyle w:val="Text1"/>
        <w:rPr>
          <w:noProof/>
        </w:rPr>
      </w:pPr>
      <w:sdt>
        <w:sdtPr>
          <w:rPr>
            <w:noProof/>
          </w:rPr>
          <w:id w:val="1655414374"/>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4227C133" w14:textId="77777777" w:rsidR="00B41E02" w:rsidRPr="0000088F" w:rsidRDefault="00B41E02" w:rsidP="00FF4224">
      <w:pPr>
        <w:pStyle w:val="Tiret0"/>
        <w:numPr>
          <w:ilvl w:val="0"/>
          <w:numId w:val="40"/>
        </w:numPr>
        <w:rPr>
          <w:noProof/>
        </w:rPr>
      </w:pPr>
      <w:r w:rsidRPr="0000088F">
        <w:rPr>
          <w:noProof/>
        </w:rPr>
        <w:t xml:space="preserve">Oprettes og drives platformen på tværs af flere medlemsstater (retningslinjernes punkt 130)? </w:t>
      </w:r>
    </w:p>
    <w:p w14:paraId="19DF4A05" w14:textId="77777777" w:rsidR="00B41E02" w:rsidRDefault="00717B1C" w:rsidP="00B41E02">
      <w:pPr>
        <w:pStyle w:val="Text1"/>
        <w:rPr>
          <w:noProof/>
        </w:rPr>
      </w:pPr>
      <w:sdt>
        <w:sdtPr>
          <w:rPr>
            <w:bCs/>
            <w:noProof/>
          </w:rPr>
          <w:id w:val="-1322274700"/>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 Angiv nærmere:</w:t>
      </w:r>
    </w:p>
    <w:p w14:paraId="2627622F" w14:textId="77777777" w:rsidR="00B41E02" w:rsidRPr="0000088F" w:rsidRDefault="00B41E02" w:rsidP="00B41E02">
      <w:pPr>
        <w:tabs>
          <w:tab w:val="left" w:leader="dot" w:pos="9072"/>
        </w:tabs>
        <w:ind w:left="720"/>
        <w:rPr>
          <w:noProof/>
        </w:rPr>
      </w:pPr>
      <w:r w:rsidRPr="0000088F">
        <w:rPr>
          <w:noProof/>
        </w:rPr>
        <w:lastRenderedPageBreak/>
        <w:tab/>
      </w:r>
    </w:p>
    <w:p w14:paraId="47FC7F6A" w14:textId="77777777" w:rsidR="00B41E02" w:rsidRPr="0000088F" w:rsidRDefault="00717B1C" w:rsidP="00B41E02">
      <w:pPr>
        <w:pStyle w:val="Text1"/>
        <w:rPr>
          <w:noProof/>
        </w:rPr>
      </w:pPr>
      <w:sdt>
        <w:sdtPr>
          <w:rPr>
            <w:noProof/>
          </w:rPr>
          <w:id w:val="-109007947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3CB0CDE4" w14:textId="77777777" w:rsidR="00B41E02" w:rsidRPr="0000088F" w:rsidRDefault="00B41E02" w:rsidP="00B41E02">
      <w:pPr>
        <w:pStyle w:val="Text1"/>
        <w:rPr>
          <w:noProof/>
        </w:rPr>
      </w:pPr>
      <w:r w:rsidRPr="0000088F">
        <w:rPr>
          <w:noProof/>
        </w:rPr>
        <w:t>Type virksomheder, der handles på platformen:</w:t>
      </w:r>
    </w:p>
    <w:p w14:paraId="65D76923" w14:textId="77777777" w:rsidR="00B41E02" w:rsidRPr="0000088F" w:rsidRDefault="00B41E02" w:rsidP="00B41E02">
      <w:pPr>
        <w:tabs>
          <w:tab w:val="left" w:leader="dot" w:pos="9072"/>
        </w:tabs>
        <w:ind w:left="720"/>
        <w:rPr>
          <w:noProof/>
        </w:rPr>
      </w:pPr>
      <w:r w:rsidRPr="0000088F">
        <w:rPr>
          <w:noProof/>
        </w:rPr>
        <w:tab/>
      </w:r>
    </w:p>
    <w:p w14:paraId="13E93E3B" w14:textId="77777777" w:rsidR="00B41E02" w:rsidRPr="0000088F" w:rsidRDefault="00B41E02" w:rsidP="00FF4224">
      <w:pPr>
        <w:pStyle w:val="Tiret0"/>
        <w:numPr>
          <w:ilvl w:val="0"/>
          <w:numId w:val="40"/>
        </w:numPr>
        <w:rPr>
          <w:bCs/>
          <w:noProof/>
        </w:rPr>
      </w:pPr>
      <w:r w:rsidRPr="0000088F">
        <w:rPr>
          <w:noProof/>
        </w:rPr>
        <w:t>Hvor stor en procentdel af investeringsomkostningerne til etablering af platformen ydes der støtte til? Der kan ydes statsstøtte til dækning af højst 50 % af investeringsomkostningerne til etablering af en sådan platform (retningslinjernes punkt 156).</w:t>
      </w:r>
    </w:p>
    <w:p w14:paraId="6842480B" w14:textId="77777777" w:rsidR="00B41E02" w:rsidRPr="0000088F" w:rsidRDefault="00B41E02" w:rsidP="00B41E02">
      <w:pPr>
        <w:tabs>
          <w:tab w:val="left" w:leader="dot" w:pos="9072"/>
        </w:tabs>
        <w:rPr>
          <w:noProof/>
        </w:rPr>
      </w:pPr>
      <w:r w:rsidRPr="0000088F">
        <w:rPr>
          <w:noProof/>
        </w:rPr>
        <w:tab/>
      </w:r>
    </w:p>
    <w:p w14:paraId="3DD37062" w14:textId="77777777" w:rsidR="00B41E02" w:rsidRPr="0000088F" w:rsidRDefault="00B41E02" w:rsidP="00B41E02">
      <w:pPr>
        <w:pStyle w:val="ManualHeading1"/>
        <w:rPr>
          <w:noProof/>
        </w:rPr>
      </w:pPr>
      <w:r w:rsidRPr="0000088F">
        <w:rPr>
          <w:noProof/>
        </w:rPr>
        <w:t>Indgiv sammen med denne anmeldelse:</w:t>
      </w:r>
    </w:p>
    <w:p w14:paraId="738B3158" w14:textId="77777777" w:rsidR="00B41E02" w:rsidRPr="0000088F" w:rsidRDefault="00B41E02" w:rsidP="00FF4224">
      <w:pPr>
        <w:pStyle w:val="Tiret0"/>
        <w:numPr>
          <w:ilvl w:val="0"/>
          <w:numId w:val="41"/>
        </w:numPr>
        <w:rPr>
          <w:noProof/>
        </w:rPr>
      </w:pPr>
      <w:r w:rsidRPr="0000088F">
        <w:rPr>
          <w:noProof/>
        </w:rPr>
        <w:t>Dokumentation for, at størstedelen af de finansielle instrumenter, der optages til handel på de alternative platforme, udstedes eller vil blive udstedt af SMV'er.</w:t>
      </w:r>
    </w:p>
    <w:p w14:paraId="3DF103B1" w14:textId="77777777" w:rsidR="00B41E02" w:rsidRPr="0000088F" w:rsidRDefault="00B41E02" w:rsidP="00FF4224">
      <w:pPr>
        <w:pStyle w:val="Tiret0"/>
        <w:numPr>
          <w:ilvl w:val="0"/>
          <w:numId w:val="41"/>
        </w:numPr>
        <w:rPr>
          <w:noProof/>
        </w:rPr>
      </w:pPr>
      <w:r w:rsidRPr="0000088F">
        <w:rPr>
          <w:noProof/>
        </w:rPr>
        <w:t>En kopi af platformoperatørens forretningsplan, der viser, at den støttede platform kan finansiere sig selv inden for 10 år (retningslinjernes punkt 129).</w:t>
      </w:r>
    </w:p>
    <w:p w14:paraId="6227678E" w14:textId="77777777" w:rsidR="00B41E02" w:rsidRPr="0000088F" w:rsidRDefault="00B41E02" w:rsidP="00FF4224">
      <w:pPr>
        <w:pStyle w:val="Tiret0"/>
        <w:numPr>
          <w:ilvl w:val="0"/>
          <w:numId w:val="41"/>
        </w:numPr>
        <w:rPr>
          <w:noProof/>
        </w:rPr>
      </w:pPr>
      <w:r w:rsidRPr="0000088F">
        <w:rPr>
          <w:noProof/>
        </w:rPr>
        <w:t>Troværdige kontrafaktiske scenarier, hvor der foretages en sammenligning af de situationer, som de handlede virksomheder kan komme ud for, hvis platformen ikke fandtes, med hensyn til adgang til den nødvendige finansiering (retningslinjernes punkt 129).</w:t>
      </w:r>
    </w:p>
    <w:p w14:paraId="1CBC8CA7" w14:textId="77777777" w:rsidR="00B41E02" w:rsidRPr="0000088F" w:rsidRDefault="00B41E02" w:rsidP="00FF4224">
      <w:pPr>
        <w:pStyle w:val="Tiret0"/>
        <w:numPr>
          <w:ilvl w:val="0"/>
          <w:numId w:val="41"/>
        </w:numPr>
        <w:rPr>
          <w:noProof/>
        </w:rPr>
      </w:pPr>
      <w:r w:rsidRPr="0000088F">
        <w:rPr>
          <w:noProof/>
        </w:rPr>
        <w:t>For eksisterende platforme en kopi af den foreslåede forretningsstrategi, der viser, at platformen som følge af den vedvarende mangel på noteringer og dermed manglende likviditet bør støttes på kort sigt, selv om den på langt sigt er levedygtig (retningslinjernes punkt 131).</w:t>
      </w:r>
    </w:p>
    <w:p w14:paraId="086CA2E3" w14:textId="77777777" w:rsidR="00B41E02" w:rsidRPr="0000088F" w:rsidRDefault="00B41E02" w:rsidP="00B41E02">
      <w:pPr>
        <w:pStyle w:val="ManualHeading1"/>
        <w:rPr>
          <w:noProof/>
        </w:rPr>
      </w:pPr>
      <w:r w:rsidRPr="0000088F">
        <w:rPr>
          <w:noProof/>
        </w:rPr>
        <w:t>Foranstaltningens form:</w:t>
      </w:r>
    </w:p>
    <w:p w14:paraId="4AB18521" w14:textId="77777777" w:rsidR="00B41E02" w:rsidRPr="0000088F" w:rsidRDefault="00717B1C" w:rsidP="00B41E02">
      <w:pPr>
        <w:rPr>
          <w:noProof/>
        </w:rPr>
      </w:pPr>
      <w:sdt>
        <w:sdtPr>
          <w:rPr>
            <w:bCs/>
            <w:noProof/>
          </w:rPr>
          <w:id w:val="1681010686"/>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Skatteincitamenter til erhvervsinvestorer til fordel for de risikofinansieringsinvesteringer, der foretages gennem en alternativ platform i støtteberettigede virksomheder: Udfyld afsnit 2.9.2 om skatteinstrumenter ovenfor.</w:t>
      </w:r>
    </w:p>
    <w:p w14:paraId="174D1257" w14:textId="77777777" w:rsidR="00B41E02" w:rsidRPr="0000088F" w:rsidRDefault="00717B1C" w:rsidP="00B41E02">
      <w:pPr>
        <w:pStyle w:val="Text1"/>
        <w:rPr>
          <w:noProof/>
        </w:rPr>
      </w:pPr>
      <w:sdt>
        <w:sdtPr>
          <w:rPr>
            <w:noProof/>
          </w:rPr>
          <w:id w:val="-100250729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Støtte til platformsoperatører:</w:t>
      </w:r>
    </w:p>
    <w:p w14:paraId="02C554CC" w14:textId="77777777" w:rsidR="00B41E02" w:rsidRPr="0000088F" w:rsidRDefault="00B41E02" w:rsidP="00FF4224">
      <w:pPr>
        <w:pStyle w:val="Tiret1"/>
        <w:numPr>
          <w:ilvl w:val="0"/>
          <w:numId w:val="56"/>
        </w:numPr>
        <w:rPr>
          <w:noProof/>
        </w:rPr>
      </w:pPr>
      <w:r w:rsidRPr="0000088F">
        <w:rPr>
          <w:noProof/>
        </w:rPr>
        <w:t xml:space="preserve">Platformsoperatøren er: </w:t>
      </w:r>
    </w:p>
    <w:p w14:paraId="6752CAA2" w14:textId="77777777" w:rsidR="00B41E02" w:rsidRPr="0000088F" w:rsidRDefault="00717B1C" w:rsidP="00B41E02">
      <w:pPr>
        <w:pStyle w:val="Text2"/>
        <w:rPr>
          <w:noProof/>
        </w:rPr>
      </w:pPr>
      <w:sdt>
        <w:sdtPr>
          <w:rPr>
            <w:bCs/>
            <w:noProof/>
          </w:rPr>
          <w:id w:val="368106662"/>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En lille virksomhed.</w:t>
      </w:r>
    </w:p>
    <w:p w14:paraId="6E348F5A" w14:textId="77777777" w:rsidR="00B41E02" w:rsidRPr="0000088F" w:rsidRDefault="00717B1C" w:rsidP="00B41E02">
      <w:pPr>
        <w:pStyle w:val="Text2"/>
        <w:rPr>
          <w:noProof/>
        </w:rPr>
      </w:pPr>
      <w:sdt>
        <w:sdtPr>
          <w:rPr>
            <w:bCs/>
            <w:noProof/>
          </w:rPr>
          <w:id w:val="58533553"/>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Større end en lille virksomhed.</w:t>
      </w:r>
    </w:p>
    <w:p w14:paraId="716C731E" w14:textId="4F468B9D" w:rsidR="00B41E02" w:rsidRPr="0000088F" w:rsidRDefault="00B41E02" w:rsidP="00FF4224">
      <w:pPr>
        <w:pStyle w:val="Tiret0"/>
        <w:numPr>
          <w:ilvl w:val="0"/>
          <w:numId w:val="42"/>
        </w:numPr>
        <w:rPr>
          <w:noProof/>
        </w:rPr>
      </w:pPr>
      <w:r w:rsidRPr="0000088F">
        <w:rPr>
          <w:noProof/>
        </w:rPr>
        <w:t xml:space="preserve">Foranstaltningens maksimale beløb: </w:t>
      </w:r>
      <w:r>
        <w:rPr>
          <w:noProof/>
        </w:rPr>
        <w:t>.</w:t>
      </w:r>
      <w:r w:rsidRPr="0000088F">
        <w:rPr>
          <w:noProof/>
        </w:rPr>
        <w:t>.. EUR.</w:t>
      </w:r>
    </w:p>
    <w:p w14:paraId="688936D0" w14:textId="77777777" w:rsidR="00B41E02" w:rsidRPr="0000088F" w:rsidRDefault="00B41E02" w:rsidP="00FF4224">
      <w:pPr>
        <w:pStyle w:val="Tiret0"/>
        <w:numPr>
          <w:ilvl w:val="0"/>
          <w:numId w:val="43"/>
        </w:numPr>
        <w:rPr>
          <w:noProof/>
        </w:rPr>
      </w:pPr>
      <w:r w:rsidRPr="0000088F">
        <w:rPr>
          <w:noProof/>
        </w:rPr>
        <w:t>Er det maksimale beløb større end den etableringsstøtte, der er tilladt efter forordning (EU) nr. 651/2014?</w:t>
      </w:r>
    </w:p>
    <w:p w14:paraId="7308BF92" w14:textId="77777777" w:rsidR="00B41E02" w:rsidRPr="0000088F" w:rsidRDefault="00717B1C" w:rsidP="00B41E02">
      <w:pPr>
        <w:pStyle w:val="Text1"/>
        <w:rPr>
          <w:noProof/>
        </w:rPr>
      </w:pPr>
      <w:sdt>
        <w:sdtPr>
          <w:rPr>
            <w:noProof/>
          </w:rPr>
          <w:id w:val="201317934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861123525"/>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Nej</w:t>
      </w:r>
    </w:p>
    <w:p w14:paraId="31AA4777" w14:textId="77777777" w:rsidR="00B41E02" w:rsidRPr="0000088F" w:rsidRDefault="00B41E02" w:rsidP="00FF4224">
      <w:pPr>
        <w:pStyle w:val="Tiret0"/>
        <w:numPr>
          <w:ilvl w:val="0"/>
          <w:numId w:val="43"/>
        </w:numPr>
        <w:rPr>
          <w:noProof/>
          <w:spacing w:val="-2"/>
        </w:rPr>
      </w:pPr>
      <w:r w:rsidRPr="0000088F">
        <w:rPr>
          <w:noProof/>
        </w:rPr>
        <w:t>Investeringsomkostninger til etablering af platformen: …. EUR.</w:t>
      </w:r>
    </w:p>
    <w:p w14:paraId="6C846AC8" w14:textId="77777777" w:rsidR="00B41E02" w:rsidRPr="0000088F" w:rsidRDefault="00B41E02" w:rsidP="00FF4224">
      <w:pPr>
        <w:pStyle w:val="Tiret0"/>
        <w:numPr>
          <w:ilvl w:val="0"/>
          <w:numId w:val="43"/>
        </w:numPr>
        <w:rPr>
          <w:noProof/>
        </w:rPr>
      </w:pPr>
      <w:r w:rsidRPr="0000088F">
        <w:rPr>
          <w:noProof/>
        </w:rPr>
        <w:t>Overstiger støtten til operatøren 50 % af investeringsomkostningerne (retningslinjernes punkt 156)?</w:t>
      </w:r>
    </w:p>
    <w:p w14:paraId="2F017098" w14:textId="77777777" w:rsidR="00B41E02" w:rsidRPr="0000088F" w:rsidRDefault="00717B1C" w:rsidP="00B41E02">
      <w:pPr>
        <w:pStyle w:val="Text1"/>
        <w:rPr>
          <w:noProof/>
        </w:rPr>
      </w:pPr>
      <w:sdt>
        <w:sdtPr>
          <w:rPr>
            <w:noProof/>
          </w:rPr>
          <w:id w:val="1488285515"/>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230627699"/>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Nej</w:t>
      </w:r>
    </w:p>
    <w:p w14:paraId="65494D76" w14:textId="77777777" w:rsidR="00B41E02" w:rsidRPr="0000088F" w:rsidRDefault="00B41E02" w:rsidP="00FF4224">
      <w:pPr>
        <w:pStyle w:val="Tiret0"/>
        <w:numPr>
          <w:ilvl w:val="0"/>
          <w:numId w:val="43"/>
        </w:numPr>
        <w:rPr>
          <w:noProof/>
        </w:rPr>
      </w:pPr>
      <w:r w:rsidRPr="0000088F">
        <w:rPr>
          <w:noProof/>
        </w:rPr>
        <w:t>Hvor mange år efter etableringen af platformen kan der udbetales støtte?</w:t>
      </w:r>
    </w:p>
    <w:p w14:paraId="482D8454" w14:textId="77777777" w:rsidR="00B41E02" w:rsidRPr="0000088F" w:rsidRDefault="00B41E02" w:rsidP="00B41E02">
      <w:pPr>
        <w:tabs>
          <w:tab w:val="left" w:leader="dot" w:pos="9072"/>
        </w:tabs>
        <w:rPr>
          <w:noProof/>
        </w:rPr>
      </w:pPr>
      <w:r w:rsidRPr="0000088F">
        <w:rPr>
          <w:noProof/>
        </w:rPr>
        <w:lastRenderedPageBreak/>
        <w:tab/>
      </w:r>
    </w:p>
    <w:p w14:paraId="153A69E7" w14:textId="77777777" w:rsidR="00B41E02" w:rsidRPr="0000088F" w:rsidRDefault="00B41E02" w:rsidP="00FF4224">
      <w:pPr>
        <w:pStyle w:val="Tiret0"/>
        <w:numPr>
          <w:ilvl w:val="0"/>
          <w:numId w:val="43"/>
        </w:numPr>
        <w:rPr>
          <w:noProof/>
        </w:rPr>
      </w:pPr>
      <w:r w:rsidRPr="0000088F">
        <w:rPr>
          <w:noProof/>
        </w:rPr>
        <w:t>For platforme, der er eller vil være delplatforme eller datterselskaber til en eksisterende børs, gives der dokumentation for deres manglende adgang til finansiering:</w:t>
      </w:r>
    </w:p>
    <w:p w14:paraId="7CFD7F28" w14:textId="77777777" w:rsidR="00B41E02" w:rsidRPr="0000088F" w:rsidRDefault="00B41E02" w:rsidP="00B41E02">
      <w:pPr>
        <w:tabs>
          <w:tab w:val="left" w:leader="dot" w:pos="9072"/>
        </w:tabs>
        <w:rPr>
          <w:noProof/>
        </w:rPr>
      </w:pPr>
      <w:r w:rsidRPr="0000088F">
        <w:rPr>
          <w:noProof/>
        </w:rPr>
        <w:tab/>
      </w:r>
    </w:p>
    <w:p w14:paraId="2404233C" w14:textId="77777777" w:rsidR="00B41E02" w:rsidRPr="0000088F" w:rsidRDefault="00B41E02" w:rsidP="00FF4224">
      <w:pPr>
        <w:pStyle w:val="Tiret0"/>
        <w:numPr>
          <w:ilvl w:val="0"/>
          <w:numId w:val="43"/>
        </w:numPr>
        <w:rPr>
          <w:noProof/>
        </w:rPr>
      </w:pPr>
      <w:r w:rsidRPr="0000088F">
        <w:rPr>
          <w:noProof/>
        </w:rPr>
        <w:t>Andre relevante oplysninger:</w:t>
      </w:r>
    </w:p>
    <w:p w14:paraId="4DC87875" w14:textId="77777777" w:rsidR="00B41E02" w:rsidRPr="0000088F" w:rsidRDefault="00B41E02" w:rsidP="00B41E02">
      <w:pPr>
        <w:tabs>
          <w:tab w:val="left" w:leader="dot" w:pos="9072"/>
        </w:tabs>
        <w:spacing w:after="240"/>
        <w:rPr>
          <w:noProof/>
        </w:rPr>
      </w:pPr>
      <w:r w:rsidRPr="0000088F">
        <w:rPr>
          <w:noProof/>
        </w:rPr>
        <w:tab/>
      </w:r>
    </w:p>
    <w:p w14:paraId="1EC1FB2B" w14:textId="77777777" w:rsidR="00B41E02" w:rsidRPr="0000088F" w:rsidRDefault="00B41E02" w:rsidP="00B41E02">
      <w:pPr>
        <w:pStyle w:val="ManualHeading1"/>
        <w:rPr>
          <w:noProof/>
        </w:rPr>
      </w:pPr>
      <w:r w:rsidRPr="0015417F">
        <w:rPr>
          <w:noProof/>
        </w:rPr>
        <w:t>3.</w:t>
      </w:r>
      <w:r w:rsidRPr="0015417F">
        <w:rPr>
          <w:noProof/>
        </w:rPr>
        <w:tab/>
      </w:r>
      <w:r w:rsidRPr="0000088F">
        <w:rPr>
          <w:noProof/>
        </w:rPr>
        <w:t>Yderligere oplysninger til vurderingen af støtteordningens forenelighed</w:t>
      </w:r>
    </w:p>
    <w:p w14:paraId="12CD7239" w14:textId="77777777" w:rsidR="00B41E02" w:rsidRPr="0000088F" w:rsidRDefault="00B41E02" w:rsidP="00B41E02">
      <w:pPr>
        <w:pStyle w:val="ManualHeading2"/>
        <w:rPr>
          <w:noProof/>
        </w:rPr>
      </w:pPr>
      <w:r w:rsidRPr="0015417F">
        <w:rPr>
          <w:noProof/>
        </w:rPr>
        <w:t>3.1.</w:t>
      </w:r>
      <w:r w:rsidRPr="0015417F">
        <w:rPr>
          <w:noProof/>
        </w:rPr>
        <w:tab/>
      </w:r>
      <w:r w:rsidRPr="0000088F">
        <w:rPr>
          <w:noProof/>
        </w:rPr>
        <w:t>Behov for statslig indgriben (retningslinjernes afsnit 3.2.2)</w:t>
      </w:r>
    </w:p>
    <w:p w14:paraId="6EA3A0C3" w14:textId="77777777" w:rsidR="00B41E02" w:rsidRPr="0000088F" w:rsidRDefault="00B41E02" w:rsidP="00B41E02">
      <w:pPr>
        <w:pStyle w:val="Point1"/>
        <w:rPr>
          <w:noProof/>
        </w:rPr>
      </w:pPr>
      <w:r w:rsidRPr="0015417F">
        <w:rPr>
          <w:noProof/>
        </w:rPr>
        <w:t>(a)</w:t>
      </w:r>
      <w:r w:rsidRPr="0015417F">
        <w:rPr>
          <w:noProof/>
        </w:rPr>
        <w:tab/>
      </w:r>
      <w:r w:rsidRPr="0000088F">
        <w:rPr>
          <w:noProof/>
        </w:rPr>
        <w:t>En risikofinansieringsstøtteordning er kun berettiget, hvis den har til formål at afhjælpe et specifikt markedssvigt eller en anden hindring for adgang til finansiering, der er påvist i den forudgående vurdering</w:t>
      </w:r>
      <w:r w:rsidRPr="0000088F">
        <w:rPr>
          <w:rStyle w:val="FootnoteReference"/>
          <w:noProof/>
        </w:rPr>
        <w:footnoteReference w:id="10"/>
      </w:r>
      <w:r w:rsidRPr="0000088F">
        <w:rPr>
          <w:noProof/>
        </w:rPr>
        <w:t>.</w:t>
      </w:r>
    </w:p>
    <w:p w14:paraId="165B518D" w14:textId="77777777" w:rsidR="00B41E02" w:rsidRPr="0000088F" w:rsidRDefault="00B41E02" w:rsidP="00B41E02">
      <w:pPr>
        <w:pStyle w:val="Point1"/>
        <w:rPr>
          <w:noProof/>
        </w:rPr>
      </w:pPr>
      <w:r w:rsidRPr="0015417F">
        <w:rPr>
          <w:noProof/>
        </w:rPr>
        <w:t>(b)</w:t>
      </w:r>
      <w:r w:rsidRPr="0015417F">
        <w:rPr>
          <w:noProof/>
        </w:rPr>
        <w:tab/>
      </w:r>
      <w:r w:rsidRPr="0000088F">
        <w:rPr>
          <w:noProof/>
        </w:rPr>
        <w:tab/>
      </w:r>
      <w:bookmarkStart w:id="2" w:name="_Hlk133273099"/>
      <w:r w:rsidRPr="0000088F">
        <w:rPr>
          <w:noProof/>
        </w:rPr>
        <w:t xml:space="preserve">Indgiv en </w:t>
      </w:r>
      <w:r w:rsidRPr="0000088F">
        <w:rPr>
          <w:b/>
          <w:noProof/>
        </w:rPr>
        <w:t>dybtgående forudgående vurdering</w:t>
      </w:r>
      <w:r w:rsidRPr="0000088F">
        <w:rPr>
          <w:noProof/>
        </w:rPr>
        <w:t>, der påviser det specifikke markedssvigt eller anden relevante hindring sammen med dette supplerende informationsskema (retningslinjernes punkt 50 og 56).</w:t>
      </w:r>
      <w:bookmarkEnd w:id="2"/>
    </w:p>
    <w:p w14:paraId="485459AD" w14:textId="77777777" w:rsidR="00B41E02" w:rsidRPr="0000088F" w:rsidRDefault="00B41E02" w:rsidP="00B41E02">
      <w:pPr>
        <w:pStyle w:val="ManualHeading3"/>
        <w:rPr>
          <w:noProof/>
        </w:rPr>
      </w:pPr>
      <w:r w:rsidRPr="0015417F">
        <w:rPr>
          <w:noProof/>
        </w:rPr>
        <w:t>3.1.1.</w:t>
      </w:r>
      <w:r w:rsidRPr="0015417F">
        <w:rPr>
          <w:noProof/>
        </w:rPr>
        <w:tab/>
      </w:r>
      <w:r w:rsidRPr="0000088F">
        <w:rPr>
          <w:noProof/>
        </w:rPr>
        <w:t>Oplysninger om den forudgående vurdering (retningslinjernes afsnit 3.2.1):</w:t>
      </w:r>
    </w:p>
    <w:p w14:paraId="67011850" w14:textId="77777777" w:rsidR="00B41E02" w:rsidRDefault="00B41E02" w:rsidP="00B41E02">
      <w:pPr>
        <w:pStyle w:val="Point1"/>
        <w:rPr>
          <w:noProof/>
        </w:rPr>
      </w:pPr>
      <w:r w:rsidRPr="0015417F">
        <w:rPr>
          <w:noProof/>
        </w:rPr>
        <w:t>(a)</w:t>
      </w:r>
      <w:r w:rsidRPr="0015417F">
        <w:rPr>
          <w:noProof/>
        </w:rPr>
        <w:tab/>
      </w:r>
      <w:r w:rsidRPr="0000088F">
        <w:rPr>
          <w:noProof/>
        </w:rPr>
        <w:t xml:space="preserve">Dato for den forudgående vurdering: </w:t>
      </w:r>
      <w:r w:rsidRPr="0000088F">
        <w:rPr>
          <w:noProof/>
        </w:rPr>
        <w:tab/>
      </w:r>
    </w:p>
    <w:p w14:paraId="7726A074" w14:textId="69067D02" w:rsidR="00717B1C" w:rsidRPr="00717B1C" w:rsidRDefault="00717B1C" w:rsidP="00717B1C">
      <w:pPr>
        <w:tabs>
          <w:tab w:val="left" w:leader="dot" w:pos="9072"/>
        </w:tabs>
        <w:ind w:left="850"/>
        <w:rPr>
          <w:bCs/>
          <w:noProof/>
        </w:rPr>
      </w:pPr>
      <w:r w:rsidRPr="0000088F">
        <w:rPr>
          <w:noProof/>
        </w:rPr>
        <w:tab/>
      </w:r>
    </w:p>
    <w:p w14:paraId="300EA66E" w14:textId="77777777" w:rsidR="00B41E02" w:rsidRPr="0000088F" w:rsidRDefault="00B41E02" w:rsidP="00B41E02">
      <w:pPr>
        <w:pStyle w:val="Point1"/>
        <w:rPr>
          <w:noProof/>
        </w:rPr>
      </w:pPr>
      <w:r w:rsidRPr="0015417F">
        <w:rPr>
          <w:noProof/>
        </w:rPr>
        <w:t>(b)</w:t>
      </w:r>
      <w:r w:rsidRPr="0015417F">
        <w:rPr>
          <w:noProof/>
        </w:rPr>
        <w:tab/>
      </w:r>
      <w:r w:rsidRPr="0000088F">
        <w:rPr>
          <w:noProof/>
        </w:rPr>
        <w:t>Vurderingen er foretaget af (retningslinjernes punkt 57):</w:t>
      </w:r>
    </w:p>
    <w:p w14:paraId="3D139CFB" w14:textId="0A5DBD66" w:rsidR="00B41E02" w:rsidRPr="0000088F" w:rsidRDefault="00717B1C" w:rsidP="00B41E02">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en uafhængig enhed</w:t>
      </w:r>
    </w:p>
    <w:p w14:paraId="347A2CEA" w14:textId="77777777" w:rsidR="00B41E02" w:rsidRPr="0000088F" w:rsidRDefault="00717B1C" w:rsidP="00B41E02">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en enhed tilknyttet følgende offentlige myndighed:</w:t>
      </w:r>
    </w:p>
    <w:p w14:paraId="4E19DDC8" w14:textId="77777777" w:rsidR="00B41E02" w:rsidRPr="0000088F" w:rsidRDefault="00B41E02" w:rsidP="00B41E02">
      <w:pPr>
        <w:tabs>
          <w:tab w:val="left" w:leader="dot" w:pos="9072"/>
        </w:tabs>
        <w:ind w:left="1418"/>
        <w:rPr>
          <w:noProof/>
        </w:rPr>
      </w:pPr>
      <w:r w:rsidRPr="0000088F">
        <w:rPr>
          <w:noProof/>
        </w:rPr>
        <w:tab/>
      </w:r>
    </w:p>
    <w:p w14:paraId="515E1427" w14:textId="77777777" w:rsidR="00B41E02" w:rsidRPr="0000088F" w:rsidRDefault="00B41E02" w:rsidP="00B41E02">
      <w:pPr>
        <w:pStyle w:val="Point1"/>
        <w:rPr>
          <w:noProof/>
        </w:rPr>
      </w:pPr>
      <w:r w:rsidRPr="0015417F">
        <w:rPr>
          <w:noProof/>
        </w:rPr>
        <w:t>(c)</w:t>
      </w:r>
      <w:r w:rsidRPr="0015417F">
        <w:rPr>
          <w:noProof/>
        </w:rPr>
        <w:tab/>
      </w:r>
      <w:r w:rsidRPr="0000088F">
        <w:rPr>
          <w:noProof/>
        </w:rPr>
        <w:t>Vurderingen er baseret på følgende dokumentation og metode (retningslinjernes punkt 57):</w:t>
      </w:r>
    </w:p>
    <w:p w14:paraId="2137F57C" w14:textId="77777777" w:rsidR="00B41E02" w:rsidRPr="0000088F" w:rsidRDefault="00B41E02" w:rsidP="00717B1C">
      <w:pPr>
        <w:tabs>
          <w:tab w:val="left" w:leader="dot" w:pos="9072"/>
        </w:tabs>
        <w:ind w:left="850"/>
        <w:rPr>
          <w:noProof/>
        </w:rPr>
      </w:pPr>
      <w:r w:rsidRPr="0000088F">
        <w:rPr>
          <w:noProof/>
        </w:rPr>
        <w:tab/>
      </w:r>
    </w:p>
    <w:p w14:paraId="7AD15D4D" w14:textId="71C76AEB" w:rsidR="00B41E02" w:rsidRPr="0000088F" w:rsidRDefault="00B41E02" w:rsidP="00B41E02">
      <w:pPr>
        <w:pStyle w:val="Point1"/>
        <w:rPr>
          <w:noProof/>
        </w:rPr>
      </w:pPr>
      <w:r w:rsidRPr="0015417F">
        <w:rPr>
          <w:noProof/>
        </w:rPr>
        <w:t>(d)</w:t>
      </w:r>
      <w:r w:rsidRPr="0015417F">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00088F">
            <w:rPr>
              <w:rFonts w:ascii="MS Gothic" w:eastAsia="MS Gothic" w:hAnsi="MS Gothic" w:cs="Segoe UI Symbol" w:hint="eastAsia"/>
              <w:noProof/>
            </w:rPr>
            <w:t>☐</w:t>
          </w:r>
        </w:sdtContent>
      </w:sdt>
      <w:r w:rsidRPr="0000088F">
        <w:rPr>
          <w:noProof/>
        </w:rPr>
        <w:t xml:space="preserve"> Sæt kryds for at bekræfte, at den forudgående vurdering er foretaget mindre end tre år før anmeldelsen (retningslinjernes punkt 57)</w:t>
      </w:r>
      <w:r w:rsidR="00717B1C">
        <w:rPr>
          <w:noProof/>
        </w:rPr>
        <w:t>.</w:t>
      </w:r>
      <w:r w:rsidRPr="0000088F">
        <w:rPr>
          <w:noProof/>
        </w:rPr>
        <w:t xml:space="preserve"> </w:t>
      </w:r>
    </w:p>
    <w:p w14:paraId="4CF54936" w14:textId="77777777" w:rsidR="00B41E02" w:rsidRPr="0000088F" w:rsidRDefault="00B41E02" w:rsidP="00B41E02">
      <w:pPr>
        <w:pStyle w:val="Point1"/>
        <w:rPr>
          <w:noProof/>
        </w:rPr>
      </w:pPr>
      <w:r w:rsidRPr="0015417F">
        <w:rPr>
          <w:noProof/>
        </w:rPr>
        <w:t>(e)</w:t>
      </w:r>
      <w:r w:rsidRPr="0015417F">
        <w:rPr>
          <w:noProof/>
        </w:rPr>
        <w:tab/>
      </w:r>
      <w:sdt>
        <w:sdtPr>
          <w:rPr>
            <w:noProof/>
          </w:rPr>
          <w:id w:val="-446155493"/>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finansieres delvist af de europæiske struktur- og investeringsfonde, og vurderingen er foretaget i overensstemmelse med artikel 37, stk. 2, i Europa-Parlamentets og Rådets forordning (EU) nr. 1303/2013</w:t>
      </w:r>
      <w:r w:rsidRPr="0000088F">
        <w:rPr>
          <w:rStyle w:val="FootnoteReference"/>
          <w:noProof/>
        </w:rPr>
        <w:footnoteReference w:id="11"/>
      </w:r>
      <w:r w:rsidRPr="0000088F">
        <w:rPr>
          <w:noProof/>
        </w:rPr>
        <w:t xml:space="preserve"> </w:t>
      </w:r>
      <w:r w:rsidRPr="0000088F">
        <w:rPr>
          <w:noProof/>
        </w:rPr>
        <w:lastRenderedPageBreak/>
        <w:t>eller artikel 58, stk. 3, i forordning (EU) 2021/1060</w:t>
      </w:r>
      <w:r w:rsidRPr="0000088F">
        <w:rPr>
          <w:rStyle w:val="FootnoteReference"/>
          <w:noProof/>
        </w:rPr>
        <w:footnoteReference w:id="12"/>
      </w:r>
      <w:r w:rsidRPr="0000088F">
        <w:rPr>
          <w:noProof/>
        </w:rPr>
        <w:t xml:space="preserve"> (forordningen om fælles bestemmelser (retningslinjernes punkt 60):</w:t>
      </w:r>
    </w:p>
    <w:p w14:paraId="7906685E" w14:textId="77777777" w:rsidR="00B41E02" w:rsidRPr="0000088F" w:rsidRDefault="00B41E02" w:rsidP="00B41E02">
      <w:pPr>
        <w:pStyle w:val="ManualHeading3"/>
        <w:rPr>
          <w:noProof/>
        </w:rPr>
      </w:pPr>
      <w:r w:rsidRPr="0015417F">
        <w:rPr>
          <w:noProof/>
        </w:rPr>
        <w:t>3.1.2.</w:t>
      </w:r>
      <w:r w:rsidRPr="0015417F">
        <w:rPr>
          <w:noProof/>
        </w:rPr>
        <w:tab/>
      </w:r>
      <w:r w:rsidRPr="0000088F">
        <w:rPr>
          <w:noProof/>
        </w:rPr>
        <w:t>Støtten fremmer udviklingen af en erhvervsgren (retningslinjernes afsnit 3.1)</w:t>
      </w:r>
    </w:p>
    <w:p w14:paraId="05DED07E" w14:textId="77777777" w:rsidR="00B41E02" w:rsidRPr="0000088F" w:rsidRDefault="00B41E02" w:rsidP="00B41E02">
      <w:pPr>
        <w:pStyle w:val="Point1"/>
        <w:rPr>
          <w:noProof/>
        </w:rPr>
      </w:pPr>
      <w:r w:rsidRPr="0015417F">
        <w:rPr>
          <w:noProof/>
        </w:rPr>
        <w:t>(a)</w:t>
      </w:r>
      <w:r w:rsidRPr="0015417F">
        <w:rPr>
          <w:noProof/>
        </w:rPr>
        <w:tab/>
      </w:r>
      <w:r w:rsidRPr="0000088F">
        <w:rPr>
          <w:noProof/>
        </w:rPr>
        <w:t>Identificér den støttede erhvervsgren (retningslinjernes punkt 42), herunder om den anses for at være en højrisikosektor eller en kapitalintensiv sektor, og hvorfor (retningslinjernes punkt 75 og 77):</w:t>
      </w:r>
    </w:p>
    <w:p w14:paraId="4FF12C71" w14:textId="77777777" w:rsidR="00B41E02" w:rsidRPr="0000088F" w:rsidRDefault="00B41E02" w:rsidP="00717B1C">
      <w:pPr>
        <w:tabs>
          <w:tab w:val="left" w:leader="dot" w:pos="9072"/>
        </w:tabs>
        <w:ind w:left="850"/>
        <w:rPr>
          <w:noProof/>
        </w:rPr>
      </w:pPr>
      <w:r w:rsidRPr="0000088F">
        <w:rPr>
          <w:noProof/>
        </w:rPr>
        <w:tab/>
      </w:r>
    </w:p>
    <w:p w14:paraId="7242CD81" w14:textId="77777777" w:rsidR="00B41E02" w:rsidRPr="0000088F" w:rsidRDefault="00B41E02" w:rsidP="00B41E02">
      <w:pPr>
        <w:pStyle w:val="Point1"/>
        <w:rPr>
          <w:noProof/>
        </w:rPr>
      </w:pPr>
      <w:r w:rsidRPr="0015417F">
        <w:rPr>
          <w:noProof/>
        </w:rPr>
        <w:t>(b)</w:t>
      </w:r>
      <w:r w:rsidRPr="0015417F">
        <w:rPr>
          <w:noProof/>
        </w:rPr>
        <w:tab/>
      </w:r>
      <w:r w:rsidRPr="0000088F">
        <w:rPr>
          <w:noProof/>
        </w:rPr>
        <w:t>Beskriv arten af markedssvigtet eller den anden relevante hindring, og påvis eksistensen heraf (retningslinjernes punkt 61):</w:t>
      </w:r>
    </w:p>
    <w:p w14:paraId="07D2C1A2" w14:textId="77777777" w:rsidR="00B41E02" w:rsidRPr="0000088F" w:rsidRDefault="00B41E02" w:rsidP="00717B1C">
      <w:pPr>
        <w:tabs>
          <w:tab w:val="left" w:leader="dot" w:pos="9072"/>
        </w:tabs>
        <w:ind w:left="850"/>
        <w:rPr>
          <w:noProof/>
        </w:rPr>
      </w:pPr>
      <w:r w:rsidRPr="0000088F">
        <w:rPr>
          <w:noProof/>
        </w:rPr>
        <w:tab/>
      </w:r>
    </w:p>
    <w:p w14:paraId="3B5B0964" w14:textId="77777777" w:rsidR="00B41E02" w:rsidRPr="0000088F" w:rsidRDefault="00B41E02" w:rsidP="00B41E02">
      <w:pPr>
        <w:pStyle w:val="Point1"/>
        <w:rPr>
          <w:noProof/>
        </w:rPr>
      </w:pPr>
      <w:r w:rsidRPr="0015417F">
        <w:rPr>
          <w:noProof/>
        </w:rPr>
        <w:t>(c)</w:t>
      </w:r>
      <w:r w:rsidRPr="0015417F">
        <w:rPr>
          <w:noProof/>
        </w:rPr>
        <w:tab/>
      </w:r>
      <w:r w:rsidRPr="0000088F">
        <w:rPr>
          <w:noProof/>
        </w:rPr>
        <w:t xml:space="preserve">Tilskyndelsesvirkning: Hvordan tilskynder den anmeldte ordning i) støttemodtageren og/eller ii) private investorer til at ændre adfærd ved at iværksætte aktiviteter, som de ikke ville have gennemført uden støtten eller ville have udført på mere begrænset vis (retningslinjernes punkt 43-47)? </w:t>
      </w:r>
    </w:p>
    <w:p w14:paraId="2E841B3E" w14:textId="77777777" w:rsidR="00B41E02" w:rsidRPr="0000088F" w:rsidRDefault="00B41E02" w:rsidP="00717B1C">
      <w:pPr>
        <w:tabs>
          <w:tab w:val="left" w:leader="dot" w:pos="9072"/>
        </w:tabs>
        <w:ind w:left="850"/>
        <w:rPr>
          <w:noProof/>
        </w:rPr>
      </w:pPr>
      <w:r w:rsidRPr="0000088F">
        <w:rPr>
          <w:noProof/>
        </w:rPr>
        <w:tab/>
      </w:r>
    </w:p>
    <w:p w14:paraId="1D15F22B" w14:textId="77777777" w:rsidR="00B41E02" w:rsidRPr="0000088F" w:rsidRDefault="00B41E02" w:rsidP="00B41E02">
      <w:pPr>
        <w:pStyle w:val="ManualHeading3"/>
        <w:rPr>
          <w:bCs/>
          <w:noProof/>
        </w:rPr>
      </w:pPr>
      <w:r w:rsidRPr="0015417F">
        <w:rPr>
          <w:noProof/>
        </w:rPr>
        <w:t>3.1.3.</w:t>
      </w:r>
      <w:r w:rsidRPr="0015417F">
        <w:rPr>
          <w:noProof/>
        </w:rPr>
        <w:tab/>
      </w:r>
      <w:r w:rsidRPr="0000088F">
        <w:rPr>
          <w:noProof/>
        </w:rPr>
        <w:t>Identifikation af de specifikke mål og resultatindikatorer for den anmeldte ordning på grundlag af resultaterne af den forudgående vurdering (retningslinjernes punkt 164 og 165):</w:t>
      </w:r>
    </w:p>
    <w:p w14:paraId="6DF80A86" w14:textId="77777777" w:rsidR="00B41E02" w:rsidRPr="0000088F" w:rsidRDefault="00B41E02" w:rsidP="00B41E02">
      <w:pPr>
        <w:pStyle w:val="Point0"/>
        <w:rPr>
          <w:noProof/>
        </w:rPr>
      </w:pPr>
      <w:r w:rsidRPr="0015417F">
        <w:rPr>
          <w:noProof/>
        </w:rPr>
        <w:t>(a)</w:t>
      </w:r>
      <w:r w:rsidRPr="0015417F">
        <w:rPr>
          <w:noProof/>
        </w:rPr>
        <w:tab/>
      </w:r>
      <w:r w:rsidRPr="0000088F">
        <w:rPr>
          <w:noProof/>
        </w:rPr>
        <w:t>Angiv de identificerede specifikke mål med henvisning til det relevante afsnit i den forudgående vurdering:</w:t>
      </w:r>
    </w:p>
    <w:p w14:paraId="5FB8ABA4" w14:textId="77777777" w:rsidR="00B41E02" w:rsidRPr="0000088F" w:rsidRDefault="00B41E02" w:rsidP="00B41E02">
      <w:pPr>
        <w:tabs>
          <w:tab w:val="left" w:leader="dot" w:pos="9072"/>
        </w:tabs>
        <w:rPr>
          <w:noProof/>
        </w:rPr>
      </w:pPr>
      <w:r w:rsidRPr="0000088F">
        <w:rPr>
          <w:noProof/>
        </w:rPr>
        <w:tab/>
      </w:r>
    </w:p>
    <w:p w14:paraId="4A9DA13F" w14:textId="77777777" w:rsidR="00B41E02" w:rsidRPr="0000088F" w:rsidRDefault="00B41E02" w:rsidP="00B41E02">
      <w:pPr>
        <w:pStyle w:val="Point0"/>
        <w:rPr>
          <w:noProof/>
        </w:rPr>
      </w:pPr>
      <w:r w:rsidRPr="0015417F">
        <w:rPr>
          <w:noProof/>
        </w:rPr>
        <w:t>(b)</w:t>
      </w:r>
      <w:r w:rsidRPr="0015417F">
        <w:rPr>
          <w:noProof/>
        </w:rPr>
        <w:tab/>
      </w:r>
      <w:r w:rsidRPr="0000088F">
        <w:rPr>
          <w:noProof/>
        </w:rPr>
        <w:t>Angiv de fastlagte resultatindikatorer (se eksempler herpå i retningslinjernes punkt 164) med henvisning til de relevante afsnit i den forudgående vurdering:</w:t>
      </w:r>
    </w:p>
    <w:p w14:paraId="1C3FD298" w14:textId="77777777" w:rsidR="00B41E02" w:rsidRPr="0000088F" w:rsidRDefault="00B41E02" w:rsidP="00B41E02">
      <w:pPr>
        <w:tabs>
          <w:tab w:val="left" w:leader="dot" w:pos="9072"/>
        </w:tabs>
        <w:rPr>
          <w:noProof/>
        </w:rPr>
      </w:pPr>
      <w:r w:rsidRPr="0000088F">
        <w:rPr>
          <w:noProof/>
        </w:rPr>
        <w:tab/>
      </w:r>
    </w:p>
    <w:p w14:paraId="577EC97D" w14:textId="77777777" w:rsidR="00B41E02" w:rsidRPr="0000088F" w:rsidRDefault="00B41E02" w:rsidP="00B41E02">
      <w:pPr>
        <w:pStyle w:val="ManualHeading3"/>
        <w:rPr>
          <w:noProof/>
        </w:rPr>
      </w:pPr>
      <w:r w:rsidRPr="0015417F">
        <w:rPr>
          <w:noProof/>
        </w:rPr>
        <w:t>3.1.4.</w:t>
      </w:r>
      <w:r w:rsidRPr="0015417F">
        <w:rPr>
          <w:noProof/>
        </w:rPr>
        <w:tab/>
      </w:r>
      <w:r w:rsidRPr="0000088F">
        <w:rPr>
          <w:noProof/>
        </w:rPr>
        <w:t>Økonomisk dokumentation og begrundelse for behovet for statslig indgriben i den forudgående vurdering (retningslinjernes afsnit 3.2.2): se afsnit 2.3, 2.4 og 2.5 i denne formular.</w:t>
      </w:r>
    </w:p>
    <w:p w14:paraId="3604AA0F" w14:textId="77777777" w:rsidR="00B41E02" w:rsidRPr="0000088F" w:rsidRDefault="00B41E02" w:rsidP="00B41E02">
      <w:pPr>
        <w:pStyle w:val="ManualHeading2"/>
        <w:rPr>
          <w:noProof/>
        </w:rPr>
      </w:pPr>
      <w:r w:rsidRPr="0015417F">
        <w:rPr>
          <w:noProof/>
        </w:rPr>
        <w:t>3.2.</w:t>
      </w:r>
      <w:r w:rsidRPr="0015417F">
        <w:rPr>
          <w:noProof/>
        </w:rPr>
        <w:tab/>
      </w:r>
      <w:r w:rsidRPr="0000088F">
        <w:rPr>
          <w:noProof/>
        </w:rPr>
        <w:t>Den anmeldte ordnings egnethed (retningslinjernes afsnit 3.2.3)</w:t>
      </w:r>
    </w:p>
    <w:p w14:paraId="6BFCDFA2" w14:textId="77777777" w:rsidR="00B41E02" w:rsidRPr="0000088F" w:rsidRDefault="00B41E02" w:rsidP="00B41E02">
      <w:pPr>
        <w:pStyle w:val="ManualHeading3"/>
        <w:rPr>
          <w:noProof/>
        </w:rPr>
      </w:pPr>
      <w:r w:rsidRPr="0015417F">
        <w:rPr>
          <w:noProof/>
        </w:rPr>
        <w:t>3.2.1.</w:t>
      </w:r>
      <w:r w:rsidRPr="0015417F">
        <w:rPr>
          <w:noProof/>
        </w:rPr>
        <w:tab/>
      </w:r>
      <w:r w:rsidRPr="0000088F">
        <w:rPr>
          <w:noProof/>
        </w:rPr>
        <w:t>Generelt:</w:t>
      </w:r>
    </w:p>
    <w:p w14:paraId="5F1C300D" w14:textId="77777777" w:rsidR="00B41E02" w:rsidRPr="0000088F" w:rsidRDefault="00B41E02" w:rsidP="00B41E02">
      <w:pPr>
        <w:pStyle w:val="Point0"/>
        <w:rPr>
          <w:noProof/>
        </w:rPr>
      </w:pPr>
      <w:r w:rsidRPr="0015417F">
        <w:rPr>
          <w:noProof/>
        </w:rPr>
        <w:t>(a)</w:t>
      </w:r>
      <w:r w:rsidRPr="0015417F">
        <w:rPr>
          <w:noProof/>
        </w:rPr>
        <w:tab/>
      </w:r>
      <w:r w:rsidRPr="0000088F">
        <w:rPr>
          <w:noProof/>
        </w:rPr>
        <w:t>Med henvisning til den forudgående vurdering redegøres der for, hvorfor eksisterende og påtænkte politiske foranstaltninger på nationalt plan og EU-plan (retningslinjernes punkt 58) rettet mod de samme identificerede markedssvigt ikke kan imødegå de identificerede markedssvigt tilstrækkeligt (retningslinjernes punkt 92 og 93):</w:t>
      </w:r>
    </w:p>
    <w:p w14:paraId="576C59A2" w14:textId="77777777" w:rsidR="00B41E02" w:rsidRPr="0000088F" w:rsidRDefault="00B41E02" w:rsidP="00B41E02">
      <w:pPr>
        <w:tabs>
          <w:tab w:val="left" w:leader="dot" w:pos="9072"/>
        </w:tabs>
        <w:rPr>
          <w:noProof/>
        </w:rPr>
      </w:pPr>
      <w:r w:rsidRPr="0000088F">
        <w:rPr>
          <w:noProof/>
        </w:rPr>
        <w:tab/>
      </w:r>
    </w:p>
    <w:p w14:paraId="72B77FCE" w14:textId="77777777" w:rsidR="00B41E02" w:rsidRPr="0000088F" w:rsidRDefault="00B41E02" w:rsidP="00B41E02">
      <w:pPr>
        <w:pStyle w:val="Point0"/>
        <w:rPr>
          <w:noProof/>
        </w:rPr>
      </w:pPr>
      <w:r w:rsidRPr="0015417F">
        <w:rPr>
          <w:noProof/>
        </w:rPr>
        <w:t>(b)</w:t>
      </w:r>
      <w:r w:rsidRPr="0015417F">
        <w:rPr>
          <w:noProof/>
        </w:rPr>
        <w:tab/>
      </w:r>
      <w:r w:rsidRPr="0000088F">
        <w:rPr>
          <w:noProof/>
        </w:rPr>
        <w:t>Redegør for, hvorfor det anmeldte statsstøtteinstrument er bedre egnet til at sikre en effektiv finansieringsstruktur (retningslinjernes punkt 94 og 95):</w:t>
      </w:r>
    </w:p>
    <w:p w14:paraId="04AEE785" w14:textId="77777777" w:rsidR="00B41E02" w:rsidRPr="0000088F" w:rsidRDefault="00B41E02" w:rsidP="00B41E02">
      <w:pPr>
        <w:tabs>
          <w:tab w:val="left" w:leader="dot" w:pos="9072"/>
        </w:tabs>
        <w:rPr>
          <w:noProof/>
        </w:rPr>
      </w:pPr>
      <w:r w:rsidRPr="0000088F">
        <w:rPr>
          <w:noProof/>
        </w:rPr>
        <w:lastRenderedPageBreak/>
        <w:tab/>
      </w:r>
    </w:p>
    <w:p w14:paraId="44F47929" w14:textId="77777777" w:rsidR="00B41E02" w:rsidRPr="0000088F" w:rsidRDefault="00B41E02" w:rsidP="00B41E02">
      <w:pPr>
        <w:pStyle w:val="ManualHeading3"/>
        <w:rPr>
          <w:noProof/>
        </w:rPr>
      </w:pPr>
      <w:r w:rsidRPr="0015417F">
        <w:rPr>
          <w:noProof/>
        </w:rPr>
        <w:t>3.2.2.</w:t>
      </w:r>
      <w:r w:rsidRPr="0015417F">
        <w:rPr>
          <w:noProof/>
        </w:rPr>
        <w:tab/>
      </w:r>
      <w:r w:rsidRPr="0000088F">
        <w:rPr>
          <w:noProof/>
        </w:rPr>
        <w:t>Betingelser vedrørende finansielle instrumenters formålstjenlighed (retningslinjernes afsnit 3.2.3.2):</w:t>
      </w:r>
    </w:p>
    <w:p w14:paraId="71D8FB4C" w14:textId="77777777" w:rsidR="00B41E02" w:rsidRPr="0000088F" w:rsidRDefault="00B41E02" w:rsidP="00B41E02">
      <w:pPr>
        <w:pStyle w:val="ManualNumPar1"/>
        <w:rPr>
          <w:noProof/>
        </w:rPr>
      </w:pPr>
      <w:r w:rsidRPr="0015417F">
        <w:rPr>
          <w:noProof/>
        </w:rPr>
        <w:t>1.</w:t>
      </w:r>
      <w:r w:rsidRPr="0015417F">
        <w:rPr>
          <w:noProof/>
        </w:rPr>
        <w:tab/>
      </w:r>
      <w:r w:rsidRPr="0000088F">
        <w:rPr>
          <w:noProof/>
        </w:rPr>
        <w:t>Minimumsprocentsats for private investeringer (retningslinjernes punkt 97-99):</w:t>
      </w:r>
    </w:p>
    <w:p w14:paraId="2C2D97E9" w14:textId="77777777" w:rsidR="00B41E02" w:rsidRPr="0000088F" w:rsidRDefault="00B41E02" w:rsidP="00FF4224">
      <w:pPr>
        <w:pStyle w:val="Tiret1"/>
        <w:numPr>
          <w:ilvl w:val="0"/>
          <w:numId w:val="56"/>
        </w:numPr>
        <w:rPr>
          <w:noProof/>
        </w:rPr>
      </w:pPr>
      <w:r w:rsidRPr="0000088F">
        <w:rPr>
          <w:noProof/>
        </w:rPr>
        <w:t xml:space="preserve">Hvad er den </w:t>
      </w:r>
      <w:r w:rsidRPr="0000088F">
        <w:rPr>
          <w:noProof/>
          <w:u w:val="single"/>
        </w:rPr>
        <w:t>samlede</w:t>
      </w:r>
      <w:r w:rsidRPr="0000088F">
        <w:rPr>
          <w:noProof/>
        </w:rPr>
        <w:t xml:space="preserve"> minimumssats (dvs. i alt, på alle niveauer) for uafhængige private investeringer i forbindelse med risikofinansieringsinvesteringer i den endelige støttemodtager? … % af den risikofinansiering (offentlig og privat), der ydes den endelige støttemodtager.</w:t>
      </w:r>
    </w:p>
    <w:p w14:paraId="6C297E83" w14:textId="77777777" w:rsidR="00B41E02" w:rsidRPr="0000088F" w:rsidRDefault="00B41E02" w:rsidP="00FF4224">
      <w:pPr>
        <w:pStyle w:val="Tiret1"/>
        <w:numPr>
          <w:ilvl w:val="0"/>
          <w:numId w:val="56"/>
        </w:numPr>
        <w:rPr>
          <w:noProof/>
        </w:rPr>
      </w:pPr>
      <w:r w:rsidRPr="0000088F">
        <w:rPr>
          <w:noProof/>
        </w:rPr>
        <w:t>Hvis deltagelsesprocenten for uafhængige private investorer ligger under de procentsatser, der er fastsat i artikel 21, stk. 12, i forordning (EU) nr. 651/2014, gives en oversigt over den økonomiske dokumentation og en detaljeret begrundelse herfor (jf. retningslinjernes punkt 97) med henvisning til den forudgående vurdering:</w:t>
      </w:r>
    </w:p>
    <w:p w14:paraId="0EE762A0" w14:textId="77777777" w:rsidR="00B41E02" w:rsidRPr="0000088F" w:rsidRDefault="00B41E02" w:rsidP="00B41E02">
      <w:pPr>
        <w:tabs>
          <w:tab w:val="left" w:leader="dot" w:pos="9072"/>
        </w:tabs>
        <w:rPr>
          <w:noProof/>
        </w:rPr>
      </w:pPr>
      <w:r w:rsidRPr="0000088F">
        <w:rPr>
          <w:noProof/>
        </w:rPr>
        <w:tab/>
      </w:r>
    </w:p>
    <w:p w14:paraId="5DBF517D" w14:textId="77777777" w:rsidR="00B41E02" w:rsidRPr="0000088F" w:rsidRDefault="00B41E02" w:rsidP="00FF4224">
      <w:pPr>
        <w:pStyle w:val="Tiret1"/>
        <w:numPr>
          <w:ilvl w:val="0"/>
          <w:numId w:val="56"/>
        </w:numPr>
        <w:rPr>
          <w:noProof/>
        </w:rPr>
      </w:pPr>
      <w:r w:rsidRPr="0000088F">
        <w:rPr>
          <w:noProof/>
        </w:rPr>
        <w:t xml:space="preserve">Er niveauet for ikke-uafhængig privat deltagelse i den anmeldte ordning acceptabelt (retningslinjernes punkt 98)? </w:t>
      </w:r>
    </w:p>
    <w:p w14:paraId="0FA61F8D" w14:textId="77777777" w:rsidR="00B41E02" w:rsidRPr="0000088F" w:rsidRDefault="00717B1C" w:rsidP="00B41E02">
      <w:pPr>
        <w:ind w:left="1418"/>
        <w:rPr>
          <w:noProof/>
        </w:rPr>
      </w:pPr>
      <w:sdt>
        <w:sdtPr>
          <w:rPr>
            <w:bCs/>
            <w:noProof/>
          </w:rPr>
          <w:id w:val="-210736408"/>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 Fremlæg økonomisk dokumentation og begrundelse herfor: </w:t>
      </w:r>
    </w:p>
    <w:p w14:paraId="7315105A" w14:textId="77777777" w:rsidR="00B41E02" w:rsidRPr="0000088F" w:rsidRDefault="00B41E02" w:rsidP="00B41E02">
      <w:pPr>
        <w:tabs>
          <w:tab w:val="left" w:leader="dot" w:pos="9072"/>
        </w:tabs>
        <w:ind w:left="1418"/>
        <w:rPr>
          <w:noProof/>
        </w:rPr>
      </w:pPr>
      <w:r w:rsidRPr="0000088F">
        <w:rPr>
          <w:noProof/>
        </w:rPr>
        <w:tab/>
      </w:r>
    </w:p>
    <w:p w14:paraId="0A214C60" w14:textId="77777777" w:rsidR="00B41E02" w:rsidRPr="0000088F" w:rsidRDefault="00717B1C" w:rsidP="00B41E02">
      <w:pPr>
        <w:ind w:left="1418"/>
        <w:rPr>
          <w:bCs/>
          <w:noProof/>
        </w:rPr>
      </w:pPr>
      <w:sdt>
        <w:sdtPr>
          <w:rPr>
            <w:bCs/>
            <w:noProof/>
          </w:rPr>
          <w:id w:val="696126757"/>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Nej.</w:t>
      </w:r>
    </w:p>
    <w:p w14:paraId="5C0A30F4" w14:textId="77777777" w:rsidR="00B41E02" w:rsidRDefault="00B41E02" w:rsidP="00FF4224">
      <w:pPr>
        <w:pStyle w:val="Tiret1"/>
        <w:numPr>
          <w:ilvl w:val="0"/>
          <w:numId w:val="56"/>
        </w:numPr>
        <w:rPr>
          <w:noProof/>
        </w:rPr>
      </w:pPr>
      <w:r w:rsidRPr="0000088F">
        <w:rPr>
          <w:noProof/>
        </w:rPr>
        <w:t xml:space="preserve">Hvilke egnede foranstaltninger indeholder den anmeldte ordning for virksomheder, som på tidspunktet for den første risikofinansieringsinvestering har været aktive på et hvilket som helst marked i en periode, der er længere end den periode, der er fastsat i artikel 21, stk. 3, litra b), i forordning (EU) nr. 651/2014 (retningslinjernes punkt 99)? </w:t>
      </w:r>
    </w:p>
    <w:p w14:paraId="0E04EF9D" w14:textId="77777777" w:rsidR="00B41E02" w:rsidRPr="0000088F" w:rsidRDefault="00B41E02" w:rsidP="00B41E02">
      <w:pPr>
        <w:tabs>
          <w:tab w:val="left" w:leader="dot" w:pos="9072"/>
        </w:tabs>
        <w:ind w:left="1417"/>
        <w:rPr>
          <w:noProof/>
        </w:rPr>
      </w:pPr>
      <w:r w:rsidRPr="0000088F">
        <w:rPr>
          <w:noProof/>
        </w:rPr>
        <w:tab/>
      </w:r>
    </w:p>
    <w:p w14:paraId="396CD63A" w14:textId="77777777" w:rsidR="00B41E02" w:rsidRPr="0000088F" w:rsidRDefault="00B41E02" w:rsidP="00FF4224">
      <w:pPr>
        <w:pStyle w:val="Tiret1"/>
        <w:numPr>
          <w:ilvl w:val="0"/>
          <w:numId w:val="56"/>
        </w:numPr>
        <w:rPr>
          <w:noProof/>
        </w:rPr>
      </w:pPr>
      <w:r w:rsidRPr="0000088F">
        <w:rPr>
          <w:noProof/>
        </w:rPr>
        <w:t xml:space="preserve">Er den private deltagelse på mindst 60 % (retningslinjernes punkt 99)? </w:t>
      </w:r>
    </w:p>
    <w:p w14:paraId="1F633AAD" w14:textId="77777777" w:rsidR="00B41E02" w:rsidRPr="0000088F" w:rsidRDefault="00717B1C" w:rsidP="00B41E02">
      <w:pPr>
        <w:pStyle w:val="Text2"/>
        <w:rPr>
          <w:noProof/>
        </w:rPr>
      </w:pPr>
      <w:sdt>
        <w:sdtPr>
          <w:rPr>
            <w:noProof/>
          </w:rPr>
          <w:id w:val="196785419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 xml:space="preserve">Ja </w:t>
      </w:r>
      <w:r w:rsidR="00B41E02" w:rsidRPr="0000088F">
        <w:rPr>
          <w:noProof/>
        </w:rPr>
        <w:tab/>
      </w:r>
      <w:r w:rsidR="00B41E02" w:rsidRPr="0000088F">
        <w:rPr>
          <w:noProof/>
        </w:rPr>
        <w:tab/>
      </w:r>
      <w:sdt>
        <w:sdtPr>
          <w:rPr>
            <w:noProof/>
          </w:rPr>
          <w:id w:val="-1330819096"/>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ab/>
        <w:t>Nej</w:t>
      </w:r>
    </w:p>
    <w:p w14:paraId="3CCEBCE4" w14:textId="77777777" w:rsidR="00B41E02" w:rsidRPr="0000088F" w:rsidRDefault="00B41E02" w:rsidP="00B41E02">
      <w:pPr>
        <w:pStyle w:val="ManualNumPar1"/>
        <w:rPr>
          <w:bCs/>
          <w:noProof/>
        </w:rPr>
      </w:pPr>
      <w:r w:rsidRPr="0015417F">
        <w:rPr>
          <w:noProof/>
        </w:rPr>
        <w:t>2.</w:t>
      </w:r>
      <w:r w:rsidRPr="0015417F">
        <w:rPr>
          <w:noProof/>
        </w:rPr>
        <w:tab/>
      </w:r>
      <w:r w:rsidRPr="0000088F">
        <w:rPr>
          <w:noProof/>
        </w:rPr>
        <w:t>Fordeling af afkast og risiko mellem de offentlige og de private investorer (retningslinjernes punkt 100-102):</w:t>
      </w:r>
    </w:p>
    <w:p w14:paraId="62313996" w14:textId="77777777" w:rsidR="00B41E02" w:rsidRPr="0000088F" w:rsidRDefault="00B41E02" w:rsidP="00FF4224">
      <w:pPr>
        <w:pStyle w:val="Tiret1"/>
        <w:numPr>
          <w:ilvl w:val="0"/>
          <w:numId w:val="56"/>
        </w:numPr>
        <w:rPr>
          <w:noProof/>
        </w:rPr>
      </w:pPr>
      <w:r w:rsidRPr="0000088F">
        <w:rPr>
          <w:noProof/>
        </w:rPr>
        <w:t>Redegør for, hvorfor fordelingen af risiko og afkast mellem de offentlige og de private investorer som beskrevet ovenfor i afsnittet om de relevante finansielle instrumenter kan anses for at være balanceret (retningslinjernes punkt 100-102):</w:t>
      </w:r>
    </w:p>
    <w:p w14:paraId="157B29A1" w14:textId="77777777" w:rsidR="00B41E02" w:rsidRPr="0000088F" w:rsidRDefault="00B41E02" w:rsidP="00B41E02">
      <w:pPr>
        <w:tabs>
          <w:tab w:val="left" w:leader="dot" w:pos="9072"/>
        </w:tabs>
        <w:rPr>
          <w:noProof/>
        </w:rPr>
      </w:pPr>
      <w:r w:rsidRPr="0000088F">
        <w:rPr>
          <w:noProof/>
        </w:rPr>
        <w:tab/>
      </w:r>
    </w:p>
    <w:p w14:paraId="30F8BBD0" w14:textId="77777777" w:rsidR="00B41E02" w:rsidRPr="0000088F" w:rsidRDefault="00B41E02" w:rsidP="00B41E02">
      <w:pPr>
        <w:pStyle w:val="ManualNumPar1"/>
        <w:rPr>
          <w:bCs/>
          <w:noProof/>
        </w:rPr>
      </w:pPr>
      <w:r w:rsidRPr="0015417F">
        <w:rPr>
          <w:noProof/>
        </w:rPr>
        <w:t>3.</w:t>
      </w:r>
      <w:r w:rsidRPr="0015417F">
        <w:rPr>
          <w:noProof/>
        </w:rPr>
        <w:tab/>
      </w:r>
      <w:r w:rsidRPr="0000088F">
        <w:rPr>
          <w:noProof/>
        </w:rPr>
        <w:t>Fastlæggelse af incitamenternes nærmere karakter ved udvælgelsen af finansielle formidlere, fondsforvaltere og investorer (retningslinjernes punkt 103-104)</w:t>
      </w:r>
    </w:p>
    <w:p w14:paraId="5149E87D" w14:textId="77777777" w:rsidR="00B41E02" w:rsidRPr="0000088F" w:rsidRDefault="00B41E02" w:rsidP="00717B1C">
      <w:pPr>
        <w:keepNext/>
        <w:rPr>
          <w:noProof/>
        </w:rPr>
      </w:pPr>
      <w:r w:rsidRPr="0000088F">
        <w:rPr>
          <w:noProof/>
        </w:rPr>
        <w:lastRenderedPageBreak/>
        <w:t>Sæt kryds i den relevante boks:</w:t>
      </w:r>
    </w:p>
    <w:p w14:paraId="1B68D9A8" w14:textId="77777777" w:rsidR="00B41E02" w:rsidRPr="0000088F" w:rsidRDefault="00B41E02" w:rsidP="00FF4224">
      <w:pPr>
        <w:pStyle w:val="ManualHeading1-A"/>
        <w:numPr>
          <w:ilvl w:val="0"/>
          <w:numId w:val="44"/>
        </w:numPr>
        <w:rPr>
          <w:noProof/>
        </w:rPr>
      </w:pPr>
      <w:r w:rsidRPr="0000088F">
        <w:rPr>
          <w:noProof/>
        </w:rPr>
        <w:t>Udvælgelse af de finansielle formidlere, der skal gennemføre ordningen:</w:t>
      </w:r>
    </w:p>
    <w:p w14:paraId="2072B822" w14:textId="77777777" w:rsidR="00B41E02" w:rsidRPr="0000088F" w:rsidRDefault="00B41E02" w:rsidP="00B41E02">
      <w:pPr>
        <w:pStyle w:val="Point1"/>
        <w:rPr>
          <w:noProof/>
        </w:rPr>
      </w:pPr>
      <w:r w:rsidRPr="0015417F">
        <w:rPr>
          <w:noProof/>
        </w:rPr>
        <w:t>(a)</w:t>
      </w:r>
      <w:r w:rsidRPr="0015417F">
        <w:rPr>
          <w:noProof/>
        </w:rPr>
        <w:tab/>
      </w:r>
      <w:r w:rsidRPr="0000088F">
        <w:rPr>
          <w:noProof/>
        </w:rPr>
        <w:t xml:space="preserve">Hver finansiel formidler vælges gennem en åben, gennemsigtig og ikkediskriminatorisk proces, hvorved incitamenternes nærmere karakter fastlægges. </w:t>
      </w:r>
    </w:p>
    <w:p w14:paraId="6C0EA95F" w14:textId="77777777" w:rsidR="00B41E02" w:rsidRPr="0000088F" w:rsidRDefault="00717B1C" w:rsidP="00B41E02">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w:t>
      </w:r>
    </w:p>
    <w:p w14:paraId="0984841F" w14:textId="77777777" w:rsidR="00B41E02" w:rsidRPr="0000088F" w:rsidRDefault="00717B1C" w:rsidP="00B41E02">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Nej. Angiv hvorfor (redegørelse for valg af investorer):</w:t>
      </w:r>
      <w:r w:rsidR="00B41E02" w:rsidRPr="0000088F">
        <w:rPr>
          <w:noProof/>
        </w:rPr>
        <w:tab/>
      </w:r>
    </w:p>
    <w:p w14:paraId="3BCD4E3D" w14:textId="77777777" w:rsidR="00B41E02" w:rsidRPr="0000088F" w:rsidRDefault="00B41E02" w:rsidP="00B41E02">
      <w:pPr>
        <w:tabs>
          <w:tab w:val="left" w:leader="dot" w:pos="9072"/>
        </w:tabs>
        <w:ind w:left="1417"/>
        <w:rPr>
          <w:noProof/>
        </w:rPr>
      </w:pPr>
      <w:r w:rsidRPr="0000088F">
        <w:rPr>
          <w:noProof/>
        </w:rPr>
        <w:tab/>
      </w:r>
    </w:p>
    <w:p w14:paraId="4E3F3DBF" w14:textId="77777777" w:rsidR="00B41E02" w:rsidRPr="0000088F" w:rsidRDefault="00B41E02" w:rsidP="00FF4224">
      <w:pPr>
        <w:pStyle w:val="Tiret1"/>
        <w:numPr>
          <w:ilvl w:val="0"/>
          <w:numId w:val="56"/>
        </w:numPr>
        <w:rPr>
          <w:noProof/>
        </w:rPr>
      </w:pPr>
      <w:r w:rsidRPr="0000088F">
        <w:rPr>
          <w:noProof/>
        </w:rPr>
        <w:t>Redegør for den konkurrenceprægede proces, og hvordan udvælgelsesforløbet opfylder kravene, herunder i) udvælgelseskriterierne i indkaldelsen af interessetilkendegivelser, ii) det evalueringsskema, der er anvendt til screening og iii) due diligence-processen:</w:t>
      </w:r>
    </w:p>
    <w:p w14:paraId="6B309C14" w14:textId="77777777" w:rsidR="00B41E02" w:rsidRPr="0000088F" w:rsidRDefault="00B41E02" w:rsidP="0063450F">
      <w:pPr>
        <w:tabs>
          <w:tab w:val="left" w:leader="dot" w:pos="9072"/>
        </w:tabs>
        <w:ind w:left="720"/>
        <w:rPr>
          <w:noProof/>
        </w:rPr>
      </w:pPr>
      <w:r w:rsidRPr="0000088F">
        <w:rPr>
          <w:noProof/>
        </w:rPr>
        <w:tab/>
      </w:r>
    </w:p>
    <w:p w14:paraId="42E0A759" w14:textId="77777777" w:rsidR="00B41E02" w:rsidRPr="0000088F" w:rsidRDefault="00B41E02" w:rsidP="00FF4224">
      <w:pPr>
        <w:pStyle w:val="Tiret1"/>
        <w:numPr>
          <w:ilvl w:val="0"/>
          <w:numId w:val="56"/>
        </w:numPr>
        <w:rPr>
          <w:noProof/>
        </w:rPr>
      </w:pPr>
      <w:r w:rsidRPr="0000088F">
        <w:rPr>
          <w:noProof/>
        </w:rPr>
        <w:t>Henvis til den relevante bestemmelse i retsgrundlaget:</w:t>
      </w:r>
    </w:p>
    <w:p w14:paraId="3F80D361" w14:textId="77777777" w:rsidR="00B41E02" w:rsidRPr="0000088F" w:rsidRDefault="00B41E02" w:rsidP="0063450F">
      <w:pPr>
        <w:tabs>
          <w:tab w:val="left" w:leader="dot" w:pos="9072"/>
        </w:tabs>
        <w:ind w:left="720"/>
        <w:rPr>
          <w:noProof/>
        </w:rPr>
      </w:pPr>
      <w:r w:rsidRPr="0000088F">
        <w:rPr>
          <w:noProof/>
        </w:rPr>
        <w:tab/>
      </w:r>
    </w:p>
    <w:p w14:paraId="4C3A061B" w14:textId="77777777" w:rsidR="00B41E02" w:rsidRPr="0000088F" w:rsidRDefault="00B41E02" w:rsidP="00FF4224">
      <w:pPr>
        <w:pStyle w:val="Tiret1"/>
        <w:numPr>
          <w:ilvl w:val="0"/>
          <w:numId w:val="56"/>
        </w:numPr>
        <w:rPr>
          <w:noProof/>
        </w:rPr>
      </w:pPr>
      <w:r w:rsidRPr="0000088F">
        <w:rPr>
          <w:noProof/>
        </w:rPr>
        <w:t>Forklar, hvordan betingelserne for forretningsledelse og profitorienteret beslutningstagning som fastsat i forordning (EU) nr. 651/2014 (artikel 21, stk. 15 og 16) sikres opfyldt (retningslinjernes punkt 172):</w:t>
      </w:r>
    </w:p>
    <w:p w14:paraId="690919CA" w14:textId="77777777" w:rsidR="00B41E02" w:rsidRPr="0000088F" w:rsidRDefault="00B41E02" w:rsidP="0063450F">
      <w:pPr>
        <w:tabs>
          <w:tab w:val="left" w:leader="dot" w:pos="9072"/>
        </w:tabs>
        <w:ind w:left="720"/>
        <w:rPr>
          <w:noProof/>
        </w:rPr>
      </w:pPr>
      <w:r w:rsidRPr="0000088F">
        <w:rPr>
          <w:noProof/>
        </w:rPr>
        <w:tab/>
      </w:r>
    </w:p>
    <w:p w14:paraId="1D2F4E60" w14:textId="77777777" w:rsidR="00B41E02" w:rsidRPr="0000088F" w:rsidRDefault="00B41E02" w:rsidP="00FF4224">
      <w:pPr>
        <w:pStyle w:val="Tiret1"/>
        <w:numPr>
          <w:ilvl w:val="0"/>
          <w:numId w:val="56"/>
        </w:numPr>
        <w:rPr>
          <w:noProof/>
        </w:rPr>
      </w:pPr>
      <w:r w:rsidRPr="0000088F">
        <w:rPr>
          <w:noProof/>
        </w:rPr>
        <w:t>Giv dokumentation herfor, og henvis til retsgrundlaget:</w:t>
      </w:r>
    </w:p>
    <w:p w14:paraId="3ADE733F" w14:textId="77777777" w:rsidR="00B41E02" w:rsidRPr="0000088F" w:rsidRDefault="00B41E02" w:rsidP="0063450F">
      <w:pPr>
        <w:tabs>
          <w:tab w:val="left" w:leader="dot" w:pos="9072"/>
        </w:tabs>
        <w:ind w:left="720"/>
        <w:rPr>
          <w:noProof/>
        </w:rPr>
      </w:pPr>
      <w:r w:rsidRPr="0000088F">
        <w:rPr>
          <w:noProof/>
        </w:rPr>
        <w:tab/>
      </w:r>
    </w:p>
    <w:p w14:paraId="02F7FE79" w14:textId="77777777" w:rsidR="00B41E02" w:rsidRPr="0000088F" w:rsidRDefault="00B41E02" w:rsidP="00B41E02">
      <w:pPr>
        <w:pStyle w:val="Point1"/>
        <w:rPr>
          <w:noProof/>
        </w:rPr>
      </w:pPr>
      <w:r w:rsidRPr="0015417F">
        <w:rPr>
          <w:noProof/>
        </w:rPr>
        <w:t>(b)</w:t>
      </w:r>
      <w:r w:rsidRPr="0015417F">
        <w:rPr>
          <w:noProof/>
        </w:rPr>
        <w:tab/>
      </w:r>
      <w:r w:rsidRPr="0000088F">
        <w:rPr>
          <w:noProof/>
        </w:rPr>
        <w:t xml:space="preserve"> Som led i udvælgelsesprocessen skal de finansielle formidlere vise, hvordan deres planlagte investeringsstrategi bidrager til at opnå de politiske mål (på basis af de resultatindikatorer, der er identificeret i den forudgående vurdering). Indgiv sammen med denne anmeldelse: </w:t>
      </w:r>
    </w:p>
    <w:p w14:paraId="7EEA1F7A" w14:textId="77777777" w:rsidR="00B41E02" w:rsidRPr="0000088F" w:rsidRDefault="00B41E02" w:rsidP="00FF4224">
      <w:pPr>
        <w:pStyle w:val="Tiret1"/>
        <w:numPr>
          <w:ilvl w:val="0"/>
          <w:numId w:val="56"/>
        </w:numPr>
        <w:rPr>
          <w:noProof/>
        </w:rPr>
      </w:pPr>
      <w:r w:rsidRPr="0000088F">
        <w:rPr>
          <w:noProof/>
        </w:rPr>
        <w:t>Dokumenter indgivet af hver finansiel formidler, der beskriver dennes investeringsstrategi, herunder prispolitik, og hvordan den bidrager til hvert af de politiske mål.</w:t>
      </w:r>
    </w:p>
    <w:p w14:paraId="76C67C03" w14:textId="77777777" w:rsidR="00B41E02" w:rsidRPr="0000088F" w:rsidRDefault="00B41E02" w:rsidP="00FF4224">
      <w:pPr>
        <w:pStyle w:val="Tiret1"/>
        <w:numPr>
          <w:ilvl w:val="0"/>
          <w:numId w:val="56"/>
        </w:numPr>
        <w:rPr>
          <w:noProof/>
        </w:rPr>
      </w:pPr>
      <w:r w:rsidRPr="0000088F">
        <w:rPr>
          <w:noProof/>
        </w:rPr>
        <w:t>Redegør i detaljer for de mekanismer under den anmeldte ordning, hvorved medlemsstaten sikrer, at de finansielle formidleres investeringsstrategi til enhver tid stemmer overens med de aftalte politiske mål (f.eks. via overvågnings- og rapporteringsmekanismer, deltagelse i repræsentationsorganer), og at væsentlige ændringer af investeringsstrategien skal godkendes på forhånd af medlemsstaten:</w:t>
      </w:r>
    </w:p>
    <w:p w14:paraId="37907733" w14:textId="77777777" w:rsidR="00B41E02" w:rsidRPr="0000088F" w:rsidRDefault="00B41E02" w:rsidP="00822E44">
      <w:pPr>
        <w:tabs>
          <w:tab w:val="left" w:leader="dot" w:pos="9072"/>
        </w:tabs>
        <w:ind w:left="720"/>
        <w:rPr>
          <w:noProof/>
        </w:rPr>
      </w:pPr>
      <w:r w:rsidRPr="0000088F">
        <w:rPr>
          <w:noProof/>
        </w:rPr>
        <w:tab/>
      </w:r>
    </w:p>
    <w:p w14:paraId="3C39BFF6" w14:textId="77777777" w:rsidR="00B41E02" w:rsidRPr="0000088F" w:rsidRDefault="00B41E02" w:rsidP="00FF4224">
      <w:pPr>
        <w:pStyle w:val="Tiret1"/>
        <w:numPr>
          <w:ilvl w:val="0"/>
          <w:numId w:val="56"/>
        </w:numPr>
        <w:rPr>
          <w:noProof/>
        </w:rPr>
      </w:pPr>
      <w:r w:rsidRPr="0000088F">
        <w:rPr>
          <w:noProof/>
        </w:rPr>
        <w:t>Henvis også til de relevante bestemmelser i retsgrundlaget:</w:t>
      </w:r>
    </w:p>
    <w:p w14:paraId="0E861171" w14:textId="77777777" w:rsidR="00B41E02" w:rsidRPr="0000088F" w:rsidRDefault="00B41E02" w:rsidP="00822E44">
      <w:pPr>
        <w:tabs>
          <w:tab w:val="left" w:leader="dot" w:pos="9072"/>
        </w:tabs>
        <w:ind w:left="720"/>
        <w:rPr>
          <w:noProof/>
        </w:rPr>
      </w:pPr>
      <w:r w:rsidRPr="0000088F">
        <w:rPr>
          <w:noProof/>
        </w:rPr>
        <w:tab/>
      </w:r>
    </w:p>
    <w:p w14:paraId="4857E40F" w14:textId="77777777" w:rsidR="00B41E02" w:rsidRPr="0000088F" w:rsidRDefault="00B41E02" w:rsidP="00B41E02">
      <w:pPr>
        <w:pStyle w:val="Point1"/>
        <w:rPr>
          <w:noProof/>
        </w:rPr>
      </w:pPr>
      <w:r w:rsidRPr="0015417F">
        <w:rPr>
          <w:noProof/>
        </w:rPr>
        <w:t>(c)</w:t>
      </w:r>
      <w:r w:rsidRPr="0015417F">
        <w:rPr>
          <w:noProof/>
        </w:rPr>
        <w:tab/>
      </w:r>
      <w:r w:rsidRPr="0000088F">
        <w:rPr>
          <w:noProof/>
        </w:rPr>
        <w:t xml:space="preserve">Forvalteren af den finansielle formidler eller administrationsselskabet ("forvalteren") er valgt gennem en åben, gennemsigtig, ikkediskriminatorisk og </w:t>
      </w:r>
      <w:r w:rsidRPr="0000088F">
        <w:rPr>
          <w:noProof/>
        </w:rPr>
        <w:lastRenderedPageBreak/>
        <w:t>objektiv udvælgelsesprocedure, eller forvalterens vederlag afspejler fuldt ud markedsniveauet.</w:t>
      </w:r>
    </w:p>
    <w:p w14:paraId="6ED4DC47" w14:textId="77777777" w:rsidR="00B41E02" w:rsidRPr="0000088F" w:rsidRDefault="00717B1C" w:rsidP="00B41E02">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w:t>
      </w:r>
    </w:p>
    <w:p w14:paraId="77137EE9" w14:textId="77777777" w:rsidR="00B41E02" w:rsidRPr="0000088F" w:rsidRDefault="00717B1C" w:rsidP="00B41E02">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Nej. Angiv hvorfor (herunder med en redegørelse for valg af investorer):</w:t>
      </w:r>
    </w:p>
    <w:p w14:paraId="41F898DF" w14:textId="77777777" w:rsidR="00B41E02" w:rsidRPr="0000088F" w:rsidRDefault="00B41E02" w:rsidP="00B41E02">
      <w:pPr>
        <w:tabs>
          <w:tab w:val="left" w:leader="dot" w:pos="9072"/>
        </w:tabs>
        <w:ind w:left="1417"/>
        <w:rPr>
          <w:noProof/>
        </w:rPr>
      </w:pPr>
      <w:r w:rsidRPr="0000088F">
        <w:rPr>
          <w:noProof/>
        </w:rPr>
        <w:tab/>
      </w:r>
    </w:p>
    <w:p w14:paraId="790D6FF6" w14:textId="77777777" w:rsidR="00B41E02" w:rsidRPr="0000088F" w:rsidRDefault="00B41E02" w:rsidP="00FF4224">
      <w:pPr>
        <w:pStyle w:val="Tiret1"/>
        <w:numPr>
          <w:ilvl w:val="0"/>
          <w:numId w:val="56"/>
        </w:numPr>
        <w:rPr>
          <w:noProof/>
        </w:rPr>
      </w:pPr>
      <w:r w:rsidRPr="0000088F">
        <w:rPr>
          <w:noProof/>
        </w:rPr>
        <w:t xml:space="preserve">Redegør for den konkurrenceprægede proces og for, hvordan processen er i overensstemmelse med dette afsnit: </w:t>
      </w:r>
      <w:r w:rsidRPr="0000088F">
        <w:rPr>
          <w:noProof/>
        </w:rPr>
        <w:tab/>
      </w:r>
    </w:p>
    <w:p w14:paraId="138D1F1D" w14:textId="77777777" w:rsidR="00B41E02" w:rsidRPr="0000088F" w:rsidRDefault="00B41E02" w:rsidP="00822E44">
      <w:pPr>
        <w:tabs>
          <w:tab w:val="left" w:leader="dot" w:pos="9072"/>
        </w:tabs>
        <w:ind w:left="720"/>
        <w:rPr>
          <w:noProof/>
        </w:rPr>
      </w:pPr>
      <w:r w:rsidRPr="0000088F">
        <w:rPr>
          <w:noProof/>
        </w:rPr>
        <w:t>…………………………………………………………………………………</w:t>
      </w:r>
    </w:p>
    <w:p w14:paraId="27EF60FF" w14:textId="77777777" w:rsidR="00B41E02" w:rsidRPr="0000088F" w:rsidRDefault="00B41E02" w:rsidP="00FF4224">
      <w:pPr>
        <w:pStyle w:val="Tiret1"/>
        <w:numPr>
          <w:ilvl w:val="0"/>
          <w:numId w:val="56"/>
        </w:numPr>
        <w:rPr>
          <w:noProof/>
        </w:rPr>
      </w:pPr>
      <w:r w:rsidRPr="0000088F">
        <w:rPr>
          <w:noProof/>
        </w:rPr>
        <w:t>Henvis til den relevante bestemmelse i retsgrundlaget, der indeholder disse krav:</w:t>
      </w:r>
    </w:p>
    <w:p w14:paraId="2568D8BA" w14:textId="77777777" w:rsidR="00B41E02" w:rsidRPr="0000088F" w:rsidRDefault="00B41E02" w:rsidP="00822E44">
      <w:pPr>
        <w:tabs>
          <w:tab w:val="left" w:leader="dot" w:pos="9072"/>
        </w:tabs>
        <w:ind w:left="720"/>
        <w:rPr>
          <w:noProof/>
        </w:rPr>
      </w:pPr>
      <w:r w:rsidRPr="0000088F">
        <w:rPr>
          <w:noProof/>
        </w:rPr>
        <w:tab/>
      </w:r>
    </w:p>
    <w:p w14:paraId="424F12FD" w14:textId="77777777" w:rsidR="00B41E02" w:rsidRPr="0000088F" w:rsidRDefault="00B41E02" w:rsidP="00B41E02">
      <w:pPr>
        <w:pStyle w:val="Point1"/>
        <w:rPr>
          <w:noProof/>
        </w:rPr>
      </w:pPr>
      <w:r w:rsidRPr="0015417F">
        <w:rPr>
          <w:noProof/>
        </w:rPr>
        <w:t>(d)</w:t>
      </w:r>
      <w:r w:rsidRPr="0015417F">
        <w:rPr>
          <w:noProof/>
        </w:rPr>
        <w:tab/>
      </w:r>
      <w:sdt>
        <w:sdtPr>
          <w:rPr>
            <w:noProof/>
          </w:rPr>
          <w:id w:val="-992181937"/>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Forvaltere af fonde, der investerer i andre fonde, skal som en del af deres investeringsmandat forpligte sig retligt til at fastlægge privilegerede betingelser, som kunne finde anvendelse på delfondsniveau, i en konkurrenceproces (retningslinjernes punkt 103).</w:t>
      </w:r>
    </w:p>
    <w:p w14:paraId="6E984F52" w14:textId="77777777" w:rsidR="00B41E02" w:rsidRPr="0000088F" w:rsidRDefault="00B41E02" w:rsidP="00B41E02">
      <w:pPr>
        <w:pStyle w:val="ManualHeading1-A"/>
        <w:rPr>
          <w:noProof/>
        </w:rPr>
      </w:pPr>
      <w:r w:rsidRPr="0000088F">
        <w:rPr>
          <w:noProof/>
        </w:rPr>
        <w:t>Udvælgelse af private investorer</w:t>
      </w:r>
    </w:p>
    <w:p w14:paraId="6427EDB4" w14:textId="77777777" w:rsidR="00B41E02" w:rsidRPr="0000088F" w:rsidRDefault="00717B1C" w:rsidP="00B41E02">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De private investorer vælges gennem en åben, gennemsigtig og ikkediskriminatorisk proces, hvorved incitamenternes nærmere karakter fastlægges (retningslinjernes punkt 103). </w:t>
      </w:r>
    </w:p>
    <w:p w14:paraId="6AD70867" w14:textId="77777777" w:rsidR="00B41E02" w:rsidRPr="0000088F" w:rsidRDefault="00B41E02" w:rsidP="00FF4224">
      <w:pPr>
        <w:pStyle w:val="Tiret0"/>
        <w:numPr>
          <w:ilvl w:val="0"/>
          <w:numId w:val="45"/>
        </w:numPr>
        <w:rPr>
          <w:noProof/>
        </w:rPr>
      </w:pPr>
      <w:r w:rsidRPr="0000088F">
        <w:rPr>
          <w:noProof/>
        </w:rPr>
        <w:t>Redegør nærmere for, hvordan de private investorer identificeres og udvælges:</w:t>
      </w:r>
    </w:p>
    <w:p w14:paraId="566A347A" w14:textId="77777777" w:rsidR="00B41E02" w:rsidRPr="0000088F" w:rsidRDefault="00B41E02" w:rsidP="00822E44">
      <w:pPr>
        <w:tabs>
          <w:tab w:val="left" w:leader="dot" w:pos="9072"/>
        </w:tabs>
        <w:rPr>
          <w:noProof/>
        </w:rPr>
      </w:pPr>
      <w:r w:rsidRPr="0000088F">
        <w:rPr>
          <w:noProof/>
        </w:rPr>
        <w:tab/>
      </w:r>
    </w:p>
    <w:p w14:paraId="436C1D3D" w14:textId="77777777" w:rsidR="00B41E02" w:rsidRPr="0000088F" w:rsidRDefault="00B41E02" w:rsidP="00B41E02">
      <w:pPr>
        <w:pStyle w:val="ManualNumPar1"/>
        <w:rPr>
          <w:noProof/>
        </w:rPr>
      </w:pPr>
      <w:r w:rsidRPr="0015417F">
        <w:rPr>
          <w:noProof/>
        </w:rPr>
        <w:t>4.</w:t>
      </w:r>
      <w:r w:rsidRPr="0015417F">
        <w:rPr>
          <w:noProof/>
        </w:rPr>
        <w:tab/>
      </w:r>
      <w:r w:rsidRPr="0000088F">
        <w:rPr>
          <w:noProof/>
        </w:rPr>
        <w:t>Den finansielle formidler eller fondsforvalter, der medinvesterer, skal dække mindst 10 % af first loss piece (retningslinjernes punkt 105)</w:t>
      </w:r>
    </w:p>
    <w:p w14:paraId="25AA7CBC" w14:textId="77777777" w:rsidR="00B41E02" w:rsidRPr="0000088F" w:rsidRDefault="00B41E02" w:rsidP="00FF4224">
      <w:pPr>
        <w:pStyle w:val="Tiret0"/>
        <w:numPr>
          <w:ilvl w:val="0"/>
          <w:numId w:val="45"/>
        </w:numPr>
        <w:rPr>
          <w:noProof/>
        </w:rPr>
      </w:pPr>
      <w:r w:rsidRPr="0000088F">
        <w:rPr>
          <w:noProof/>
        </w:rPr>
        <w:t>Hvis den finansielle formidler eller fondsforvalteren investerer sammen med medlemsstaten, bør der undgås interessekonflikter, og de skal dække mindst 10 % af first loss piece (retningslinjernes punkt 105). Bekræft, at det er tilfældet (hvis relevant):</w:t>
      </w:r>
    </w:p>
    <w:p w14:paraId="18800E64" w14:textId="77777777" w:rsidR="00B41E02" w:rsidRPr="0000088F" w:rsidRDefault="00B41E02" w:rsidP="00822E44">
      <w:pPr>
        <w:pStyle w:val="Text2"/>
        <w:tabs>
          <w:tab w:val="left" w:leader="dot" w:pos="9072"/>
        </w:tabs>
        <w:spacing w:before="240"/>
        <w:ind w:left="0"/>
        <w:rPr>
          <w:noProof/>
        </w:rPr>
      </w:pPr>
      <w:r w:rsidRPr="0000088F">
        <w:rPr>
          <w:noProof/>
        </w:rPr>
        <w:tab/>
      </w:r>
    </w:p>
    <w:p w14:paraId="03B4E0DB" w14:textId="77777777" w:rsidR="00B41E02" w:rsidRPr="0000088F" w:rsidRDefault="00B41E02" w:rsidP="00B41E02">
      <w:pPr>
        <w:pStyle w:val="ManualNumPar1"/>
        <w:rPr>
          <w:bCs/>
          <w:noProof/>
        </w:rPr>
      </w:pPr>
      <w:r w:rsidRPr="0015417F">
        <w:rPr>
          <w:noProof/>
        </w:rPr>
        <w:t>5.</w:t>
      </w:r>
      <w:r w:rsidRPr="0015417F">
        <w:rPr>
          <w:noProof/>
        </w:rPr>
        <w:tab/>
      </w:r>
      <w:r w:rsidRPr="0000088F">
        <w:rPr>
          <w:noProof/>
        </w:rPr>
        <w:t>Mekanismer for videregivelse ved gældsinstrumenter (lån eller garantier) (retningslinjernes punkt 106):</w:t>
      </w:r>
    </w:p>
    <w:p w14:paraId="4D22F2D2" w14:textId="77777777" w:rsidR="00B41E02" w:rsidRPr="0000088F" w:rsidRDefault="00B41E02" w:rsidP="00B41E02">
      <w:pPr>
        <w:pStyle w:val="Point1"/>
        <w:rPr>
          <w:noProof/>
        </w:rPr>
      </w:pPr>
      <w:r w:rsidRPr="0015417F">
        <w:rPr>
          <w:noProof/>
        </w:rPr>
        <w:t>(a)</w:t>
      </w:r>
      <w:r w:rsidRPr="0015417F">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Den anmeldte ordning indeholder en mekanisme til videregivelse (som beskrevet i afsnit 2.9.1.1.A), der sikrer, at den finansielle formidler videregiver alle de fordele, den får af staten, til de endelige støttemodtagere. Angiv de relevante bestemmelser i retsgrundlaget:</w:t>
      </w:r>
    </w:p>
    <w:p w14:paraId="50CA4425" w14:textId="77777777" w:rsidR="00B41E02" w:rsidRPr="0000088F" w:rsidRDefault="00B41E02" w:rsidP="00B41E02">
      <w:pPr>
        <w:pStyle w:val="Text2"/>
        <w:tabs>
          <w:tab w:val="left" w:leader="dot" w:pos="9072"/>
        </w:tabs>
        <w:spacing w:before="240"/>
        <w:ind w:left="1418"/>
        <w:rPr>
          <w:noProof/>
        </w:rPr>
      </w:pPr>
      <w:r w:rsidRPr="0000088F">
        <w:rPr>
          <w:noProof/>
        </w:rPr>
        <w:tab/>
      </w:r>
    </w:p>
    <w:p w14:paraId="7AA521D2" w14:textId="77777777" w:rsidR="00B41E02" w:rsidRPr="0000088F" w:rsidRDefault="00B41E02" w:rsidP="00B41E02">
      <w:pPr>
        <w:pStyle w:val="Point1"/>
        <w:rPr>
          <w:noProof/>
        </w:rPr>
      </w:pPr>
      <w:r w:rsidRPr="0015417F">
        <w:rPr>
          <w:noProof/>
        </w:rPr>
        <w:t>(b)</w:t>
      </w:r>
      <w:r w:rsidRPr="0015417F">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Videregivelsesmekanismen omfatter overvågningsordninger samt en clawbackmekanisme eller en tilsvarende aftaleretlig mekanisme. Angiv og redegør for de relevante bestemmelser i retsgrundlaget:</w:t>
      </w:r>
    </w:p>
    <w:p w14:paraId="2C0F6216" w14:textId="77777777" w:rsidR="00B41E02" w:rsidRPr="0000088F" w:rsidRDefault="00B41E02" w:rsidP="00B41E02">
      <w:pPr>
        <w:pStyle w:val="Text2"/>
        <w:tabs>
          <w:tab w:val="left" w:leader="dot" w:pos="9072"/>
        </w:tabs>
        <w:spacing w:before="240"/>
        <w:ind w:left="1418"/>
        <w:rPr>
          <w:noProof/>
        </w:rPr>
      </w:pPr>
      <w:r w:rsidRPr="0000088F">
        <w:rPr>
          <w:noProof/>
        </w:rPr>
        <w:tab/>
      </w:r>
    </w:p>
    <w:p w14:paraId="6532B5F0" w14:textId="77777777" w:rsidR="00B41E02" w:rsidRPr="0000088F" w:rsidRDefault="00B41E02" w:rsidP="00B41E02">
      <w:pPr>
        <w:pStyle w:val="ManualHeading3"/>
        <w:rPr>
          <w:noProof/>
        </w:rPr>
      </w:pPr>
      <w:r w:rsidRPr="0015417F">
        <w:rPr>
          <w:noProof/>
        </w:rPr>
        <w:lastRenderedPageBreak/>
        <w:t>3.2.3.</w:t>
      </w:r>
      <w:r w:rsidRPr="0015417F">
        <w:rPr>
          <w:noProof/>
        </w:rPr>
        <w:tab/>
      </w:r>
      <w:r w:rsidRPr="0000088F">
        <w:rPr>
          <w:noProof/>
        </w:rPr>
        <w:t>Betingelser vedrørende skatteinstrumenters formålstjenlighed (retningslinjernes afsnit 3.2.3.3):</w:t>
      </w:r>
    </w:p>
    <w:p w14:paraId="657AB11F" w14:textId="77777777" w:rsidR="00B41E02" w:rsidRPr="0000088F" w:rsidRDefault="00B41E02" w:rsidP="00B41E02">
      <w:pPr>
        <w:rPr>
          <w:i/>
          <w:iCs/>
          <w:noProof/>
        </w:rPr>
      </w:pPr>
      <w:r w:rsidRPr="0000088F">
        <w:rPr>
          <w:i/>
          <w:noProof/>
        </w:rPr>
        <w:t>I forbindelse med disse betingelser anvendes de oplysninger, der er indgivet i afsnit 2.9.2.</w:t>
      </w:r>
    </w:p>
    <w:p w14:paraId="2EE9D28C" w14:textId="77777777" w:rsidR="00B41E02" w:rsidRPr="0000088F" w:rsidRDefault="00B41E02" w:rsidP="00FF4224">
      <w:pPr>
        <w:pStyle w:val="Tiret0"/>
        <w:numPr>
          <w:ilvl w:val="0"/>
          <w:numId w:val="45"/>
        </w:numPr>
        <w:rPr>
          <w:noProof/>
        </w:rPr>
      </w:pPr>
      <w:r w:rsidRPr="0000088F">
        <w:rPr>
          <w:noProof/>
        </w:rPr>
        <w:t>Angiv eventuelle yderligere oplysninger, som kan være relevante i forbindelse med betingelserne vedrørende formålstjenlighed:</w:t>
      </w:r>
    </w:p>
    <w:p w14:paraId="5B3F07FE" w14:textId="77777777" w:rsidR="00B41E02" w:rsidRPr="0000088F" w:rsidRDefault="00B41E02" w:rsidP="00B41E02">
      <w:pPr>
        <w:tabs>
          <w:tab w:val="left" w:leader="dot" w:pos="9072"/>
        </w:tabs>
        <w:rPr>
          <w:noProof/>
        </w:rPr>
      </w:pPr>
      <w:r w:rsidRPr="0000088F">
        <w:rPr>
          <w:noProof/>
        </w:rPr>
        <w:tab/>
      </w:r>
    </w:p>
    <w:p w14:paraId="1C2291E3" w14:textId="77777777" w:rsidR="00B41E02" w:rsidRPr="0000088F" w:rsidRDefault="00B41E02" w:rsidP="00B41E02">
      <w:pPr>
        <w:pStyle w:val="ManualHeading3"/>
        <w:rPr>
          <w:noProof/>
        </w:rPr>
      </w:pPr>
      <w:r w:rsidRPr="0015417F">
        <w:rPr>
          <w:noProof/>
        </w:rPr>
        <w:t>3.2.4.</w:t>
      </w:r>
      <w:r w:rsidRPr="0015417F">
        <w:rPr>
          <w:noProof/>
        </w:rPr>
        <w:tab/>
      </w:r>
      <w:r w:rsidRPr="0000088F">
        <w:rPr>
          <w:noProof/>
        </w:rPr>
        <w:t>Betingelser vedrørende formålstjenligheden af foranstaltninger, der støtter alternative handelsplatforme (retningslinjernes afsnit 3.2.3.4):</w:t>
      </w:r>
    </w:p>
    <w:p w14:paraId="7543798B" w14:textId="77777777" w:rsidR="00B41E02" w:rsidRPr="0000088F" w:rsidRDefault="00B41E02" w:rsidP="00B41E02">
      <w:pPr>
        <w:rPr>
          <w:i/>
          <w:iCs/>
          <w:noProof/>
        </w:rPr>
      </w:pPr>
      <w:r w:rsidRPr="0000088F">
        <w:rPr>
          <w:i/>
          <w:noProof/>
        </w:rPr>
        <w:t>I forbindelse med disse betingelser anvendes de oplysninger, der er indgivet i afsnit 2.9.3.</w:t>
      </w:r>
    </w:p>
    <w:p w14:paraId="389ABFA9" w14:textId="77777777" w:rsidR="00B41E02" w:rsidRPr="0000088F" w:rsidRDefault="00B41E02" w:rsidP="00FF4224">
      <w:pPr>
        <w:pStyle w:val="Tiret0"/>
        <w:numPr>
          <w:ilvl w:val="0"/>
          <w:numId w:val="45"/>
        </w:numPr>
        <w:rPr>
          <w:noProof/>
        </w:rPr>
      </w:pPr>
      <w:r w:rsidRPr="0000088F">
        <w:rPr>
          <w:noProof/>
        </w:rPr>
        <w:t>Angiv eventuelle yderligere oplysninger, som kan være relevante i forbindelse med betingelserne vedrørende formålstjenlighed:</w:t>
      </w:r>
    </w:p>
    <w:p w14:paraId="23B77B1B" w14:textId="77777777" w:rsidR="00B41E02" w:rsidRPr="0000088F" w:rsidRDefault="00B41E02" w:rsidP="00B41E02">
      <w:pPr>
        <w:tabs>
          <w:tab w:val="left" w:leader="dot" w:pos="9072"/>
        </w:tabs>
        <w:rPr>
          <w:noProof/>
        </w:rPr>
      </w:pPr>
      <w:r w:rsidRPr="0000088F">
        <w:rPr>
          <w:noProof/>
        </w:rPr>
        <w:tab/>
      </w:r>
    </w:p>
    <w:p w14:paraId="50FA83F0" w14:textId="77777777" w:rsidR="00B41E02" w:rsidRPr="0000088F" w:rsidRDefault="00B41E02" w:rsidP="00B41E02">
      <w:pPr>
        <w:pStyle w:val="ManualHeading2"/>
        <w:rPr>
          <w:noProof/>
        </w:rPr>
      </w:pPr>
      <w:r w:rsidRPr="0015417F">
        <w:rPr>
          <w:noProof/>
        </w:rPr>
        <w:t>3.3.</w:t>
      </w:r>
      <w:r w:rsidRPr="0015417F">
        <w:rPr>
          <w:noProof/>
        </w:rPr>
        <w:tab/>
      </w:r>
      <w:r w:rsidRPr="0000088F">
        <w:rPr>
          <w:noProof/>
        </w:rPr>
        <w:t>Støttens proportionalitet (retningslinjernes afsnit 3.2.4)</w:t>
      </w:r>
    </w:p>
    <w:p w14:paraId="35A472D1" w14:textId="77777777" w:rsidR="00B41E02" w:rsidRPr="0000088F" w:rsidRDefault="00B41E02" w:rsidP="00B41E02">
      <w:pPr>
        <w:pStyle w:val="ManualHeading3"/>
        <w:rPr>
          <w:noProof/>
        </w:rPr>
      </w:pPr>
      <w:r w:rsidRPr="0015417F">
        <w:rPr>
          <w:noProof/>
        </w:rPr>
        <w:t>3.3.1.</w:t>
      </w:r>
      <w:r w:rsidRPr="0015417F">
        <w:rPr>
          <w:noProof/>
        </w:rPr>
        <w:tab/>
      </w:r>
      <w:r w:rsidRPr="0000088F">
        <w:rPr>
          <w:noProof/>
        </w:rPr>
        <w:t>Proportionalitet i forhold til det identificerede markedssvigt:</w:t>
      </w:r>
    </w:p>
    <w:p w14:paraId="00D59399" w14:textId="77777777" w:rsidR="00B41E02" w:rsidRPr="0000088F" w:rsidRDefault="00B41E02" w:rsidP="00FF4224">
      <w:pPr>
        <w:pStyle w:val="Tiret1"/>
        <w:numPr>
          <w:ilvl w:val="0"/>
          <w:numId w:val="56"/>
        </w:numPr>
        <w:rPr>
          <w:noProof/>
        </w:rPr>
      </w:pPr>
      <w:r w:rsidRPr="0000088F">
        <w:rPr>
          <w:noProof/>
        </w:rPr>
        <w:t xml:space="preserve">For risikofinansieringsforanstaltninger, der vedrører finansielle instrumenter, hvor den uafhængige private deltagelsesprocent er lavere end fastsat i artikel 21, stk. 12, i forordning (EU) nr. 651/2014: </w:t>
      </w:r>
    </w:p>
    <w:p w14:paraId="1C8BF5A1" w14:textId="77777777" w:rsidR="00B41E02" w:rsidRPr="0000088F" w:rsidRDefault="00717B1C" w:rsidP="00B41E02">
      <w:pPr>
        <w:pStyle w:val="Text2"/>
        <w:rPr>
          <w:bCs/>
          <w:noProof/>
        </w:rPr>
      </w:pPr>
      <w:sdt>
        <w:sdtPr>
          <w:rPr>
            <w:noProof/>
          </w:rPr>
          <w:id w:val="30774706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Sæt kryds for at bekræfte, og giv et resumé af vurderingen, der viser, at den forudgående vurdering indeholder en tilstrækkelig detaljeret vurdering af omfanget og strukturen af udbuddet af privat finansiering til støtteberettigede virksomheder af den pågældende type i det relevante geografiske område, og påvis, at det konstaterede markedssvigt eller den anden relevante hindring ikke kan afhjælpes med foranstaltninger, der opfylder alle krav i forordning (EU) nr. 651/2014 vedrørende privat deltagelse (retningslinjernes punkt 63):</w:t>
      </w:r>
    </w:p>
    <w:p w14:paraId="405AD8F0" w14:textId="77777777" w:rsidR="00B41E02" w:rsidRPr="0000088F" w:rsidRDefault="00B41E02" w:rsidP="00B41E02">
      <w:pPr>
        <w:pStyle w:val="Text2"/>
        <w:rPr>
          <w:noProof/>
        </w:rPr>
      </w:pPr>
      <w:r w:rsidRPr="0000088F">
        <w:rPr>
          <w:noProof/>
        </w:rPr>
        <w:t xml:space="preserve">Resumé: </w:t>
      </w:r>
    </w:p>
    <w:p w14:paraId="78413E0C" w14:textId="77777777" w:rsidR="00B41E02" w:rsidRPr="0000088F" w:rsidRDefault="00B41E02" w:rsidP="00B41E02">
      <w:pPr>
        <w:pStyle w:val="Text2"/>
        <w:tabs>
          <w:tab w:val="left" w:leader="dot" w:pos="9072"/>
        </w:tabs>
        <w:spacing w:before="240"/>
        <w:ind w:left="1418"/>
        <w:rPr>
          <w:noProof/>
        </w:rPr>
      </w:pPr>
      <w:r w:rsidRPr="0000088F">
        <w:rPr>
          <w:noProof/>
        </w:rPr>
        <w:tab/>
      </w:r>
    </w:p>
    <w:p w14:paraId="79F64632" w14:textId="77777777" w:rsidR="00B41E02" w:rsidRPr="0000088F" w:rsidRDefault="00B41E02" w:rsidP="00FF4224">
      <w:pPr>
        <w:pStyle w:val="Tiret1"/>
        <w:numPr>
          <w:ilvl w:val="0"/>
          <w:numId w:val="56"/>
        </w:numPr>
        <w:rPr>
          <w:noProof/>
        </w:rPr>
      </w:pPr>
      <w:r w:rsidRPr="0000088F">
        <w:rPr>
          <w:noProof/>
        </w:rPr>
        <w:t>For risikofinansieringsinvesteringer, der overstiger det maksimale beløb pr. støtteberettiget virksomhed på 16,5 mio. EUR som fastsat i artikel 21, stk. 8, i forordning (EU) nr. 651/2014:</w:t>
      </w:r>
    </w:p>
    <w:p w14:paraId="77EFE578" w14:textId="77777777" w:rsidR="00B41E02" w:rsidRPr="0000088F" w:rsidRDefault="00B41E02" w:rsidP="00B41E02">
      <w:pPr>
        <w:pStyle w:val="Text2"/>
        <w:ind w:left="1276" w:firstLine="142"/>
        <w:rPr>
          <w:noProof/>
        </w:rPr>
      </w:pPr>
      <w:r w:rsidRPr="0000088F">
        <w:rPr>
          <w:noProof/>
        </w:rPr>
        <w:t>Er loftet i artikel 21, stk. 8, i forordning (EU) nr. 651/2014 overholdt?</w:t>
      </w:r>
    </w:p>
    <w:p w14:paraId="49432FCB" w14:textId="77777777" w:rsidR="00B41E02" w:rsidRPr="0000088F" w:rsidRDefault="00717B1C" w:rsidP="00B41E02">
      <w:pPr>
        <w:pStyle w:val="Text2"/>
        <w:rPr>
          <w:noProof/>
        </w:rPr>
      </w:pPr>
      <w:sdt>
        <w:sdtPr>
          <w:rPr>
            <w:bCs/>
            <w:noProof/>
          </w:rPr>
          <w:id w:val="-1995557772"/>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 Angiv nærmere:</w:t>
      </w:r>
    </w:p>
    <w:p w14:paraId="318D5AAF" w14:textId="77777777" w:rsidR="00B41E02" w:rsidRPr="0000088F" w:rsidRDefault="00B41E02" w:rsidP="00B41E02">
      <w:pPr>
        <w:tabs>
          <w:tab w:val="left" w:leader="dot" w:pos="9072"/>
        </w:tabs>
        <w:ind w:left="1417"/>
        <w:rPr>
          <w:noProof/>
        </w:rPr>
      </w:pPr>
      <w:r w:rsidRPr="0000088F">
        <w:rPr>
          <w:noProof/>
        </w:rPr>
        <w:tab/>
      </w:r>
    </w:p>
    <w:p w14:paraId="16DCC08C" w14:textId="77777777" w:rsidR="00B41E02" w:rsidRPr="0000088F" w:rsidRDefault="00717B1C" w:rsidP="00B41E02">
      <w:pPr>
        <w:pStyle w:val="Text2"/>
        <w:rPr>
          <w:noProof/>
        </w:rPr>
      </w:pPr>
      <w:sdt>
        <w:sdtPr>
          <w:rPr>
            <w:bCs/>
            <w:noProof/>
          </w:rPr>
          <w:id w:val="-1145123360"/>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Nej. Uddyb nærmere:</w:t>
      </w:r>
    </w:p>
    <w:p w14:paraId="2DD36D96" w14:textId="77777777" w:rsidR="00B41E02" w:rsidRPr="0000088F" w:rsidRDefault="00B41E02" w:rsidP="00B41E02">
      <w:pPr>
        <w:tabs>
          <w:tab w:val="left" w:leader="dot" w:pos="9072"/>
        </w:tabs>
        <w:ind w:left="1417"/>
        <w:rPr>
          <w:noProof/>
        </w:rPr>
      </w:pPr>
      <w:r w:rsidRPr="0000088F">
        <w:rPr>
          <w:noProof/>
        </w:rPr>
        <w:tab/>
      </w:r>
    </w:p>
    <w:p w14:paraId="231FEC36" w14:textId="77777777" w:rsidR="00B41E02" w:rsidRPr="0000088F" w:rsidRDefault="00B41E02" w:rsidP="00B41E02">
      <w:pPr>
        <w:pStyle w:val="Text2"/>
        <w:rPr>
          <w:noProof/>
        </w:rPr>
      </w:pPr>
      <w:r w:rsidRPr="0000088F">
        <w:rPr>
          <w:noProof/>
        </w:rPr>
        <w:t>Hvis det er relevant, indeholder den forudgående vurdering en kvantificering af finansieringsbehovet (dvs. det aktuelle omfang af ikketilfredsstillet efterspørgsel efter finansiering fra støtteberettigede virksomheder) som følge af det konstaterede markedssvigt eller den anden relevante hindring?</w:t>
      </w:r>
    </w:p>
    <w:p w14:paraId="1AB5897E" w14:textId="77777777" w:rsidR="00B41E02" w:rsidRPr="0000088F" w:rsidRDefault="00717B1C" w:rsidP="00717B1C">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Ja. Giv et resumé af vurderingen og den beregning, der er anvendt til at påvise, at de støtteberettigede virksomheders finansieringsbehov overstiger ovennævnte beløb. En sådan kvantificering bør baseres på bedste tilgængelige </w:t>
      </w:r>
      <w:r w:rsidR="00B41E02" w:rsidRPr="0000088F">
        <w:rPr>
          <w:noProof/>
        </w:rPr>
        <w:lastRenderedPageBreak/>
        <w:t>praksis og metode, der gør det muligt at anslå, i hvilket omfang der eksisterer ikketilfredsstillet efterspørgsel efter finansiering fra målvirksomhederne (retningslinjernes punkt 64 og 65):</w:t>
      </w:r>
    </w:p>
    <w:p w14:paraId="41687141" w14:textId="77777777" w:rsidR="00B41E02" w:rsidRPr="0000088F" w:rsidRDefault="00B41E02" w:rsidP="00B41E02">
      <w:pPr>
        <w:pStyle w:val="Text2"/>
        <w:tabs>
          <w:tab w:val="left" w:leader="dot" w:pos="9072"/>
        </w:tabs>
        <w:spacing w:before="240"/>
        <w:ind w:left="1418"/>
        <w:rPr>
          <w:noProof/>
        </w:rPr>
      </w:pPr>
      <w:r w:rsidRPr="0000088F">
        <w:rPr>
          <w:noProof/>
        </w:rPr>
        <w:tab/>
      </w:r>
    </w:p>
    <w:p w14:paraId="5ECD9338" w14:textId="77777777" w:rsidR="00B41E02" w:rsidRPr="0000088F" w:rsidRDefault="00717B1C" w:rsidP="00B41E02">
      <w:pPr>
        <w:pStyle w:val="Text2"/>
        <w:rPr>
          <w:noProof/>
        </w:rPr>
      </w:pPr>
      <w:sdt>
        <w:sdtPr>
          <w:rPr>
            <w:noProof/>
          </w:rPr>
          <w:id w:val="1122193564"/>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Nej</w:t>
      </w:r>
    </w:p>
    <w:p w14:paraId="0F95A590" w14:textId="29300466" w:rsidR="00B41E02" w:rsidRPr="0000088F" w:rsidRDefault="00B41E02" w:rsidP="00B41E02">
      <w:pPr>
        <w:pStyle w:val="Text2"/>
        <w:rPr>
          <w:noProof/>
        </w:rPr>
      </w:pPr>
      <w:r w:rsidRPr="0000088F">
        <w:rPr>
          <w:noProof/>
        </w:rPr>
        <w:t>Hvis det er relevant, hvordan sikres det, at det samlede risikofinansieringsbeløb ikke overstiger det kvantificerede finansieringsbehov? Redegør nærmere:</w:t>
      </w:r>
    </w:p>
    <w:p w14:paraId="7AFD2D19" w14:textId="77777777" w:rsidR="00B41E02" w:rsidRPr="0000088F" w:rsidRDefault="00B41E02" w:rsidP="00B41E02">
      <w:pPr>
        <w:tabs>
          <w:tab w:val="left" w:leader="dot" w:pos="9072"/>
        </w:tabs>
        <w:ind w:left="1417"/>
        <w:rPr>
          <w:noProof/>
        </w:rPr>
      </w:pPr>
      <w:r w:rsidRPr="0000088F">
        <w:rPr>
          <w:noProof/>
        </w:rPr>
        <w:tab/>
      </w:r>
    </w:p>
    <w:p w14:paraId="5DB8033A" w14:textId="77777777" w:rsidR="00B41E02" w:rsidRPr="0000088F" w:rsidRDefault="00B41E02" w:rsidP="00FF4224">
      <w:pPr>
        <w:pStyle w:val="Tiret1"/>
        <w:numPr>
          <w:ilvl w:val="0"/>
          <w:numId w:val="56"/>
        </w:numPr>
        <w:rPr>
          <w:noProof/>
        </w:rPr>
      </w:pPr>
      <w:r w:rsidRPr="0000088F">
        <w:rPr>
          <w:noProof/>
        </w:rPr>
        <w:t>Gør rede for, hvordan det samlede risikofinansieringsbeløb (offentlig og privat), der ydes i forbindelse med støtteforanstaltningen, er proportionalt (retningslinjernes punkt 133 og 134):</w:t>
      </w:r>
    </w:p>
    <w:p w14:paraId="7760BEAE" w14:textId="77777777" w:rsidR="00B41E02" w:rsidRPr="0000088F" w:rsidRDefault="00B41E02" w:rsidP="00717B1C">
      <w:pPr>
        <w:pStyle w:val="Text2"/>
        <w:tabs>
          <w:tab w:val="left" w:leader="dot" w:pos="9072"/>
        </w:tabs>
        <w:spacing w:before="240"/>
        <w:ind w:left="850"/>
        <w:rPr>
          <w:noProof/>
        </w:rPr>
      </w:pPr>
      <w:r w:rsidRPr="0000088F">
        <w:rPr>
          <w:noProof/>
        </w:rPr>
        <w:tab/>
      </w:r>
    </w:p>
    <w:p w14:paraId="558007A7" w14:textId="77777777" w:rsidR="00B41E02" w:rsidRPr="0000088F" w:rsidRDefault="00B41E02" w:rsidP="00FF4224">
      <w:pPr>
        <w:pStyle w:val="Tiret1"/>
        <w:numPr>
          <w:ilvl w:val="0"/>
          <w:numId w:val="56"/>
        </w:numPr>
        <w:rPr>
          <w:noProof/>
        </w:rPr>
      </w:pPr>
      <w:r w:rsidRPr="0000088F">
        <w:rPr>
          <w:noProof/>
        </w:rPr>
        <w:t>Forklar med henvisning til den forudgående vurdering, hvordan den privilegerede behandling af private investorer begrænses til det minimum, der er nødvendigt for at nå den private deltagelsesprocent, der som minimum kræves af ordningen (retningslinjernes punkt 135 og 136):</w:t>
      </w:r>
    </w:p>
    <w:p w14:paraId="2BB287FB" w14:textId="77777777" w:rsidR="00B41E02" w:rsidRPr="0000088F" w:rsidRDefault="00B41E02" w:rsidP="00717B1C">
      <w:pPr>
        <w:pStyle w:val="Text2"/>
        <w:tabs>
          <w:tab w:val="left" w:leader="dot" w:pos="9072"/>
        </w:tabs>
        <w:spacing w:before="240"/>
        <w:ind w:left="850"/>
        <w:rPr>
          <w:noProof/>
        </w:rPr>
      </w:pPr>
      <w:r w:rsidRPr="0000088F">
        <w:rPr>
          <w:noProof/>
        </w:rPr>
        <w:tab/>
      </w:r>
    </w:p>
    <w:p w14:paraId="7B177AC0" w14:textId="77777777" w:rsidR="00B41E02" w:rsidRPr="0000088F" w:rsidRDefault="00B41E02" w:rsidP="00B41E02">
      <w:pPr>
        <w:pStyle w:val="ManualHeading3"/>
        <w:rPr>
          <w:noProof/>
        </w:rPr>
      </w:pPr>
      <w:r w:rsidRPr="0015417F">
        <w:rPr>
          <w:noProof/>
        </w:rPr>
        <w:t>3.3.2.</w:t>
      </w:r>
      <w:r w:rsidRPr="0015417F">
        <w:rPr>
          <w:noProof/>
        </w:rPr>
        <w:tab/>
      </w:r>
      <w:r w:rsidRPr="0000088F">
        <w:rPr>
          <w:noProof/>
        </w:rPr>
        <w:t>Betingelser vedrørende finansielle instrumenters proportionalitet (retningslinjernes afsnit 3.2.4.1):</w:t>
      </w:r>
    </w:p>
    <w:p w14:paraId="4ECD1E65" w14:textId="77777777" w:rsidR="00B41E02" w:rsidRPr="0000088F" w:rsidRDefault="00B41E02" w:rsidP="00B41E02">
      <w:pPr>
        <w:pStyle w:val="ManualNumPar1"/>
        <w:rPr>
          <w:noProof/>
        </w:rPr>
      </w:pPr>
      <w:r w:rsidRPr="0015417F">
        <w:rPr>
          <w:noProof/>
        </w:rPr>
        <w:t>1.</w:t>
      </w:r>
      <w:r w:rsidRPr="0015417F">
        <w:rPr>
          <w:noProof/>
        </w:rPr>
        <w:tab/>
      </w:r>
      <w:r w:rsidRPr="0000088F">
        <w:rPr>
          <w:noProof/>
        </w:rPr>
        <w:t>Med hensyn til de finansielle formidlere / fondsforvaltere:</w:t>
      </w:r>
    </w:p>
    <w:p w14:paraId="2E13F244" w14:textId="77777777" w:rsidR="00B41E02" w:rsidRPr="0000088F" w:rsidRDefault="00B41E02" w:rsidP="00FF4224">
      <w:pPr>
        <w:pStyle w:val="Tiret1"/>
        <w:numPr>
          <w:ilvl w:val="0"/>
          <w:numId w:val="56"/>
        </w:numPr>
        <w:rPr>
          <w:noProof/>
        </w:rPr>
      </w:pPr>
      <w:r w:rsidRPr="0000088F">
        <w:rPr>
          <w:noProof/>
        </w:rPr>
        <w:t>Fastlægges incitamenternes præcise værdi ved udvælgelsen af de finansielle formidlere eller fondsforvaltere (retningslinjernes punkt 137)?</w:t>
      </w:r>
    </w:p>
    <w:p w14:paraId="4E41F1EB" w14:textId="77777777" w:rsidR="00B41E02" w:rsidRPr="0000088F" w:rsidRDefault="00717B1C" w:rsidP="00B41E02">
      <w:pPr>
        <w:pStyle w:val="Text2"/>
        <w:rPr>
          <w:noProof/>
        </w:rPr>
      </w:pPr>
      <w:sdt>
        <w:sdtPr>
          <w:rPr>
            <w:noProof/>
          </w:rPr>
          <w:id w:val="112072030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w:t>
      </w:r>
      <w:r w:rsidR="00B41E02" w:rsidRPr="0000088F">
        <w:rPr>
          <w:noProof/>
        </w:rPr>
        <w:tab/>
      </w:r>
      <w:r w:rsidR="00B41E02" w:rsidRPr="0000088F">
        <w:rPr>
          <w:noProof/>
        </w:rPr>
        <w:tab/>
      </w:r>
      <w:sdt>
        <w:sdtPr>
          <w:rPr>
            <w:noProof/>
          </w:rPr>
          <w:id w:val="1380509594"/>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52EAAEB2" w14:textId="77777777" w:rsidR="00B41E02" w:rsidRPr="0000088F" w:rsidRDefault="00B41E02" w:rsidP="00FF4224">
      <w:pPr>
        <w:pStyle w:val="Tiret1"/>
        <w:numPr>
          <w:ilvl w:val="0"/>
          <w:numId w:val="56"/>
        </w:numPr>
        <w:rPr>
          <w:noProof/>
        </w:rPr>
      </w:pPr>
      <w:r w:rsidRPr="0000088F">
        <w:rPr>
          <w:noProof/>
        </w:rPr>
        <w:t>Oplys følgende vedrørende vederlag til de finansielle formidlere eller fondsforvaltere (retningslinjernes punkt 145):</w:t>
      </w:r>
    </w:p>
    <w:p w14:paraId="103CB2D7" w14:textId="77777777" w:rsidR="00B41E02" w:rsidRPr="0000088F" w:rsidRDefault="00B41E02" w:rsidP="00FF4224">
      <w:pPr>
        <w:pStyle w:val="Tiret1"/>
        <w:numPr>
          <w:ilvl w:val="0"/>
          <w:numId w:val="56"/>
        </w:numPr>
        <w:rPr>
          <w:noProof/>
        </w:rPr>
      </w:pPr>
      <w:r w:rsidRPr="0000088F">
        <w:rPr>
          <w:noProof/>
        </w:rPr>
        <w:t xml:space="preserve">Omfatter det et årligt forvaltningsgebyr i overensstemmelse med retningslinjerne (retningslinjernes punkt 145)? </w:t>
      </w:r>
    </w:p>
    <w:p w14:paraId="03A5A339" w14:textId="77777777" w:rsidR="00B41E02" w:rsidRPr="0000088F" w:rsidRDefault="00717B1C" w:rsidP="00B41E02">
      <w:pPr>
        <w:pStyle w:val="Text2"/>
        <w:rPr>
          <w:noProof/>
        </w:rPr>
      </w:pPr>
      <w:sdt>
        <w:sdtPr>
          <w:rPr>
            <w:noProof/>
          </w:rPr>
          <w:id w:val="-299775773"/>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w:t>
      </w:r>
    </w:p>
    <w:p w14:paraId="04736F44" w14:textId="77777777" w:rsidR="00B41E02" w:rsidRPr="0000088F" w:rsidRDefault="00717B1C" w:rsidP="00B41E02">
      <w:pPr>
        <w:pStyle w:val="Text2"/>
        <w:rPr>
          <w:noProof/>
        </w:rPr>
      </w:pPr>
      <w:sdt>
        <w:sdtPr>
          <w:rPr>
            <w:bCs/>
            <w:noProof/>
          </w:rPr>
          <w:id w:val="780536022"/>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Nej. Redegør nærmere: </w:t>
      </w:r>
    </w:p>
    <w:p w14:paraId="5B8047F6" w14:textId="77777777" w:rsidR="00B41E02" w:rsidRPr="0000088F" w:rsidRDefault="00B41E02" w:rsidP="00B41E02">
      <w:pPr>
        <w:pStyle w:val="Text2"/>
        <w:tabs>
          <w:tab w:val="left" w:leader="dot" w:pos="9072"/>
        </w:tabs>
        <w:spacing w:before="240"/>
        <w:ind w:left="1418"/>
        <w:rPr>
          <w:noProof/>
        </w:rPr>
      </w:pPr>
      <w:r w:rsidRPr="0000088F">
        <w:rPr>
          <w:noProof/>
        </w:rPr>
        <w:tab/>
      </w:r>
    </w:p>
    <w:p w14:paraId="63559469" w14:textId="77777777" w:rsidR="00B41E02" w:rsidRPr="0000088F" w:rsidRDefault="00B41E02" w:rsidP="00FF4224">
      <w:pPr>
        <w:pStyle w:val="Tiret1"/>
        <w:numPr>
          <w:ilvl w:val="0"/>
          <w:numId w:val="46"/>
        </w:numPr>
        <w:rPr>
          <w:noProof/>
        </w:rPr>
      </w:pPr>
      <w:r w:rsidRPr="0000088F">
        <w:rPr>
          <w:noProof/>
        </w:rPr>
        <w:t>Omfatter det resultatbaserede incitamenter, bl.a. incitamenter til finansielle præstationer og politikrelaterede incitamenter, i overensstemmelse med retningslinjerne (retningslinjernes punkt 146)?</w:t>
      </w:r>
    </w:p>
    <w:p w14:paraId="652B7D7F" w14:textId="77777777" w:rsidR="00B41E02" w:rsidRPr="0000088F" w:rsidRDefault="00717B1C" w:rsidP="00B41E02">
      <w:pPr>
        <w:pStyle w:val="Text2"/>
        <w:rPr>
          <w:noProof/>
        </w:rPr>
      </w:pPr>
      <w:sdt>
        <w:sdtPr>
          <w:rPr>
            <w:noProof/>
          </w:rPr>
          <w:id w:val="-672732418"/>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 </w:t>
      </w:r>
    </w:p>
    <w:p w14:paraId="507A6CEB" w14:textId="77777777" w:rsidR="00B41E02" w:rsidRPr="0000088F" w:rsidRDefault="00717B1C" w:rsidP="00B41E02">
      <w:pPr>
        <w:pStyle w:val="Text2"/>
        <w:rPr>
          <w:noProof/>
        </w:rPr>
      </w:pPr>
      <w:sdt>
        <w:sdtPr>
          <w:rPr>
            <w:bCs/>
            <w:noProof/>
          </w:rPr>
          <w:id w:val="-649361416"/>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Nej. Redegør nærmere:</w:t>
      </w:r>
    </w:p>
    <w:p w14:paraId="03B14FE9" w14:textId="77777777" w:rsidR="00B41E02" w:rsidRPr="0000088F" w:rsidRDefault="00B41E02" w:rsidP="00B41E02">
      <w:pPr>
        <w:pStyle w:val="Text2"/>
        <w:tabs>
          <w:tab w:val="left" w:leader="dot" w:pos="9072"/>
        </w:tabs>
        <w:spacing w:before="240"/>
        <w:ind w:left="1418"/>
        <w:rPr>
          <w:noProof/>
        </w:rPr>
      </w:pPr>
      <w:r w:rsidRPr="0000088F">
        <w:rPr>
          <w:noProof/>
        </w:rPr>
        <w:tab/>
      </w:r>
    </w:p>
    <w:p w14:paraId="44535DA2" w14:textId="77777777" w:rsidR="00B41E02" w:rsidRPr="0000088F" w:rsidRDefault="00B41E02" w:rsidP="00FF4224">
      <w:pPr>
        <w:pStyle w:val="Tiret1"/>
        <w:numPr>
          <w:ilvl w:val="0"/>
          <w:numId w:val="47"/>
        </w:numPr>
        <w:rPr>
          <w:noProof/>
        </w:rPr>
      </w:pPr>
      <w:r w:rsidRPr="0000088F">
        <w:rPr>
          <w:noProof/>
        </w:rPr>
        <w:t>Redegør for de sanktioner, der finder anvendelse, hvis de politiske mål ikke nås:</w:t>
      </w:r>
    </w:p>
    <w:p w14:paraId="4D3BEE56" w14:textId="77777777" w:rsidR="00B41E02" w:rsidRPr="0000088F" w:rsidRDefault="00B41E02" w:rsidP="00822E44">
      <w:pPr>
        <w:tabs>
          <w:tab w:val="left" w:leader="dot" w:pos="9072"/>
        </w:tabs>
        <w:ind w:left="720"/>
        <w:rPr>
          <w:noProof/>
        </w:rPr>
      </w:pPr>
      <w:r w:rsidRPr="0000088F">
        <w:rPr>
          <w:noProof/>
        </w:rPr>
        <w:lastRenderedPageBreak/>
        <w:tab/>
      </w:r>
    </w:p>
    <w:p w14:paraId="0F3334F5" w14:textId="77777777" w:rsidR="00B41E02" w:rsidRPr="0000088F" w:rsidRDefault="00B41E02" w:rsidP="00FF4224">
      <w:pPr>
        <w:pStyle w:val="Tiret1"/>
        <w:numPr>
          <w:ilvl w:val="0"/>
          <w:numId w:val="47"/>
        </w:numPr>
        <w:rPr>
          <w:noProof/>
        </w:rPr>
      </w:pPr>
      <w:r w:rsidRPr="0000088F">
        <w:rPr>
          <w:noProof/>
        </w:rPr>
        <w:t>Redegør for det resultatbaserede vederlag, og sammenlign med markedspraksis (retningslinjernes punkt 147):</w:t>
      </w:r>
    </w:p>
    <w:p w14:paraId="3A835B11" w14:textId="77777777" w:rsidR="00B41E02" w:rsidRPr="0000088F" w:rsidRDefault="00B41E02" w:rsidP="00822E44">
      <w:pPr>
        <w:tabs>
          <w:tab w:val="left" w:leader="dot" w:pos="9072"/>
        </w:tabs>
        <w:ind w:left="720"/>
        <w:rPr>
          <w:noProof/>
        </w:rPr>
      </w:pPr>
      <w:r w:rsidRPr="0000088F">
        <w:rPr>
          <w:noProof/>
        </w:rPr>
        <w:tab/>
      </w:r>
    </w:p>
    <w:p w14:paraId="5C4980A1" w14:textId="77777777" w:rsidR="00B41E02" w:rsidRPr="0000088F" w:rsidRDefault="00B41E02" w:rsidP="00FF4224">
      <w:pPr>
        <w:pStyle w:val="Tiret1"/>
        <w:numPr>
          <w:ilvl w:val="0"/>
          <w:numId w:val="47"/>
        </w:numPr>
        <w:rPr>
          <w:noProof/>
        </w:rPr>
      </w:pPr>
      <w:r w:rsidRPr="0000088F">
        <w:rPr>
          <w:noProof/>
        </w:rPr>
        <w:t>Redegør for de samlede forvaltningsgebyrer, og sammenlign med markedspraksis (retningslinjernes punkt 148):</w:t>
      </w:r>
    </w:p>
    <w:p w14:paraId="0AD87815" w14:textId="77777777" w:rsidR="00B41E02" w:rsidRPr="0000088F" w:rsidRDefault="00B41E02" w:rsidP="00822E44">
      <w:pPr>
        <w:tabs>
          <w:tab w:val="left" w:leader="dot" w:pos="9072"/>
        </w:tabs>
        <w:ind w:left="720"/>
        <w:rPr>
          <w:noProof/>
        </w:rPr>
      </w:pPr>
      <w:r w:rsidRPr="0000088F">
        <w:rPr>
          <w:noProof/>
        </w:rPr>
        <w:tab/>
      </w:r>
    </w:p>
    <w:p w14:paraId="2D837E12" w14:textId="77777777" w:rsidR="00B41E02" w:rsidRPr="0000088F" w:rsidRDefault="00B41E02" w:rsidP="00FF4224">
      <w:pPr>
        <w:pStyle w:val="Tiret1"/>
        <w:numPr>
          <w:ilvl w:val="0"/>
          <w:numId w:val="47"/>
        </w:numPr>
        <w:rPr>
          <w:noProof/>
        </w:rPr>
      </w:pPr>
      <w:r w:rsidRPr="0000088F">
        <w:rPr>
          <w:noProof/>
        </w:rPr>
        <w:t>Evalueres den overordnede gebyrstruktur som led i bedømmelsen i udvælgelsesprocessen, og fastlægges den maksimale aflønning ud fra denne udvælgelse (retningslinjerne punkt 149)?</w:t>
      </w:r>
    </w:p>
    <w:p w14:paraId="2888341C" w14:textId="77777777" w:rsidR="00B41E02" w:rsidRPr="0000088F" w:rsidRDefault="00717B1C" w:rsidP="00B41E02">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Ja</w:t>
      </w:r>
    </w:p>
    <w:p w14:paraId="33D270BC" w14:textId="77777777" w:rsidR="00B41E02" w:rsidRDefault="00717B1C" w:rsidP="00B41E02">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B41E02" w:rsidRPr="0000088F">
            <w:rPr>
              <w:rFonts w:ascii="MS Gothic" w:eastAsia="MS Gothic" w:hAnsi="MS Gothic" w:hint="eastAsia"/>
              <w:bCs/>
              <w:noProof/>
            </w:rPr>
            <w:t>☐</w:t>
          </w:r>
        </w:sdtContent>
      </w:sdt>
      <w:r w:rsidR="00B41E02" w:rsidRPr="0000088F">
        <w:rPr>
          <w:noProof/>
        </w:rPr>
        <w:t xml:space="preserve"> Nej. Forklar hvorfor: </w:t>
      </w:r>
    </w:p>
    <w:p w14:paraId="0C43D929" w14:textId="35FFDD1D" w:rsidR="00B41E02" w:rsidRPr="0000088F" w:rsidRDefault="00B41E02" w:rsidP="00B41E02">
      <w:pPr>
        <w:pStyle w:val="Text2"/>
        <w:tabs>
          <w:tab w:val="left" w:leader="dot" w:pos="9072"/>
        </w:tabs>
        <w:spacing w:before="240"/>
        <w:ind w:left="1418"/>
        <w:rPr>
          <w:noProof/>
        </w:rPr>
      </w:pPr>
      <w:r w:rsidRPr="0000088F">
        <w:rPr>
          <w:noProof/>
        </w:rPr>
        <w:tab/>
      </w:r>
    </w:p>
    <w:p w14:paraId="21EEBC35" w14:textId="77777777" w:rsidR="00B41E02" w:rsidRPr="0000088F" w:rsidRDefault="00B41E02" w:rsidP="00B41E02">
      <w:pPr>
        <w:rPr>
          <w:noProof/>
        </w:rPr>
      </w:pPr>
      <w:r w:rsidRPr="0000088F">
        <w:rPr>
          <w:noProof/>
        </w:rPr>
        <w:t>Hvis den finansielle formidler og dennes forvalter er offentlige enheder og ikke er valgt gennem en åben, gennemsigtig, ikkediskriminatorisk og objektiv udvælgelsesproces, sættes der kryds for at bekræfte og gives dokumentation for følgende:</w:t>
      </w:r>
    </w:p>
    <w:p w14:paraId="5EB70D93" w14:textId="77777777" w:rsidR="00B41E02" w:rsidRPr="0000088F" w:rsidRDefault="00B41E02" w:rsidP="00B41E02">
      <w:pPr>
        <w:pStyle w:val="Point1"/>
        <w:rPr>
          <w:noProof/>
        </w:rPr>
      </w:pPr>
      <w:r w:rsidRPr="0015417F">
        <w:rPr>
          <w:noProof/>
        </w:rPr>
        <w:t>(a)</w:t>
      </w:r>
      <w:r w:rsidRPr="0015417F">
        <w:rPr>
          <w:noProof/>
        </w:rPr>
        <w:tab/>
      </w:r>
      <w:sdt>
        <w:sdtPr>
          <w:rPr>
            <w:noProof/>
          </w:rPr>
          <w:id w:val="-1466886637"/>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Redegør for, hvorfor det angiveligt var nødvendigt direkte at udpege en bemyndiget enhed som finansiel formidler eller fondsforvalter: </w:t>
      </w:r>
    </w:p>
    <w:p w14:paraId="2F90B5D1" w14:textId="77777777" w:rsidR="00B41E02" w:rsidRPr="0000088F" w:rsidRDefault="00B41E02" w:rsidP="00822E44">
      <w:pPr>
        <w:tabs>
          <w:tab w:val="left" w:leader="dot" w:pos="9072"/>
        </w:tabs>
        <w:ind w:left="720"/>
        <w:rPr>
          <w:noProof/>
        </w:rPr>
      </w:pPr>
      <w:r w:rsidRPr="0000088F">
        <w:rPr>
          <w:noProof/>
        </w:rPr>
        <w:tab/>
      </w:r>
    </w:p>
    <w:p w14:paraId="5D9BDE9A" w14:textId="77777777" w:rsidR="00B41E02" w:rsidRPr="0000088F" w:rsidRDefault="00B41E02" w:rsidP="00B41E02">
      <w:pPr>
        <w:pStyle w:val="Point1"/>
        <w:rPr>
          <w:noProof/>
        </w:rPr>
      </w:pPr>
      <w:r w:rsidRPr="0015417F">
        <w:rPr>
          <w:noProof/>
        </w:rPr>
        <w:t>(b)</w:t>
      </w:r>
      <w:r w:rsidRPr="0015417F">
        <w:rPr>
          <w:noProof/>
        </w:rPr>
        <w:tab/>
      </w:r>
      <w:sdt>
        <w:sdtPr>
          <w:rPr>
            <w:noProof/>
          </w:rPr>
          <w:id w:val="-2002340001"/>
          <w14:checkbox>
            <w14:checked w14:val="0"/>
            <w14:checkedState w14:val="2612" w14:font="MS Gothic"/>
            <w14:uncheckedState w14:val="2610" w14:font="MS Gothic"/>
          </w14:checkbox>
        </w:sdtPr>
        <w:sdtEndPr/>
        <w:sdtContent>
          <w:r w:rsidRPr="0000088F">
            <w:rPr>
              <w:rFonts w:ascii="MS Gothic" w:eastAsia="MS Gothic" w:hAnsi="MS Gothic" w:hint="eastAsia"/>
              <w:noProof/>
            </w:rPr>
            <w:t>☐</w:t>
          </w:r>
        </w:sdtContent>
      </w:sdt>
      <w:r w:rsidRPr="0000088F">
        <w:rPr>
          <w:noProof/>
        </w:rPr>
        <w:t xml:space="preserve"> De offentlige finansielle formidlere forvaltes kommercielt, og deres forvaltere træffer profitorienterede investeringsbeslutninger i armslængde fra staten. Redegør særligt for de mekanismer, der er indført for at udelukke en eventuel indgriben fra statens side i den daglige ledelse af den offentlige fond: </w:t>
      </w:r>
    </w:p>
    <w:p w14:paraId="3FB7A551" w14:textId="77777777" w:rsidR="00B41E02" w:rsidRPr="0000088F" w:rsidRDefault="00B41E02" w:rsidP="00822E44">
      <w:pPr>
        <w:tabs>
          <w:tab w:val="left" w:leader="dot" w:pos="9072"/>
        </w:tabs>
        <w:ind w:left="720"/>
        <w:rPr>
          <w:noProof/>
        </w:rPr>
      </w:pPr>
      <w:r w:rsidRPr="0000088F">
        <w:rPr>
          <w:noProof/>
        </w:rPr>
        <w:tab/>
      </w:r>
    </w:p>
    <w:p w14:paraId="034DF96F" w14:textId="77777777" w:rsidR="00B41E02" w:rsidRPr="0000088F" w:rsidRDefault="00B41E02" w:rsidP="00B41E02">
      <w:pPr>
        <w:pStyle w:val="Point1"/>
        <w:rPr>
          <w:b/>
          <w:noProof/>
        </w:rPr>
      </w:pPr>
      <w:r w:rsidRPr="0015417F">
        <w:rPr>
          <w:noProof/>
        </w:rPr>
        <w:t>(c)</w:t>
      </w:r>
      <w:r w:rsidRPr="0015417F">
        <w:rPr>
          <w:noProof/>
        </w:rPr>
        <w:tab/>
      </w:r>
      <w:r w:rsidRPr="0000088F">
        <w:rPr>
          <w:noProof/>
        </w:rPr>
        <w:t>Ved direkte udpegelse af en bemyndiget enhed oplyses det årlige forvaltningsgebyr, eksklusive præstationsbaserede incitamenter: … % af den kapital, der tilføres enheden. Bemærk, at det ikke bør overstige 3 % (retningslinjernes punkt 150).</w:t>
      </w:r>
    </w:p>
    <w:p w14:paraId="6166C51B" w14:textId="77777777" w:rsidR="00B41E02" w:rsidRPr="0000088F" w:rsidRDefault="00B41E02" w:rsidP="00B41E02">
      <w:pPr>
        <w:pStyle w:val="ManualNumPar1"/>
        <w:rPr>
          <w:noProof/>
        </w:rPr>
      </w:pPr>
      <w:r w:rsidRPr="0015417F">
        <w:rPr>
          <w:noProof/>
        </w:rPr>
        <w:t>2.</w:t>
      </w:r>
      <w:r w:rsidRPr="0015417F">
        <w:rPr>
          <w:noProof/>
        </w:rPr>
        <w:tab/>
      </w:r>
      <w:r w:rsidRPr="0000088F">
        <w:rPr>
          <w:noProof/>
        </w:rPr>
        <w:t>Med hensyn til de private investorer:</w:t>
      </w:r>
    </w:p>
    <w:p w14:paraId="3EA475FA" w14:textId="77777777" w:rsidR="00B41E02" w:rsidRPr="0000088F" w:rsidRDefault="00B41E02" w:rsidP="00FF4224">
      <w:pPr>
        <w:pStyle w:val="Tiret0"/>
        <w:numPr>
          <w:ilvl w:val="0"/>
          <w:numId w:val="48"/>
        </w:numPr>
        <w:rPr>
          <w:noProof/>
        </w:rPr>
      </w:pPr>
      <w:r w:rsidRPr="0000088F">
        <w:rPr>
          <w:noProof/>
        </w:rPr>
        <w:t>Hvis en offentlig fond investerer sammen med private investorer, der deltager på grundlag af hver enkelt transaktion, vælges de private investorer da gennem en separat konkurrencepræget proces for hver enkelt transaktion, så der fastlægges et rimeligt afkast (retningslinjernes punkt 139)?</w:t>
      </w:r>
    </w:p>
    <w:p w14:paraId="464EC825" w14:textId="77777777" w:rsidR="00B41E02" w:rsidRPr="0000088F" w:rsidRDefault="00717B1C" w:rsidP="00B41E02">
      <w:pPr>
        <w:ind w:left="720"/>
        <w:rPr>
          <w:noProof/>
        </w:rPr>
      </w:pPr>
      <w:sdt>
        <w:sdtPr>
          <w:rPr>
            <w:noProof/>
          </w:rPr>
          <w:id w:val="-1410227202"/>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 Vedlæg dokumentation herfor.</w:t>
      </w:r>
    </w:p>
    <w:p w14:paraId="5761027D" w14:textId="77777777" w:rsidR="00B41E02" w:rsidRPr="0000088F" w:rsidRDefault="00717B1C" w:rsidP="00B41E02">
      <w:pPr>
        <w:ind w:left="720"/>
        <w:rPr>
          <w:noProof/>
        </w:rPr>
      </w:pPr>
      <w:sdt>
        <w:sdtPr>
          <w:rPr>
            <w:noProof/>
          </w:rPr>
          <w:id w:val="2086177205"/>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3FA96774" w14:textId="77777777" w:rsidR="00B41E02" w:rsidRPr="0000088F" w:rsidRDefault="00B41E02" w:rsidP="00FF4224">
      <w:pPr>
        <w:pStyle w:val="Tiret0"/>
        <w:numPr>
          <w:ilvl w:val="0"/>
          <w:numId w:val="49"/>
        </w:numPr>
        <w:rPr>
          <w:noProof/>
        </w:rPr>
      </w:pPr>
      <w:r w:rsidRPr="0000088F">
        <w:rPr>
          <w:noProof/>
        </w:rPr>
        <w:t xml:space="preserve">Hvis de private investorer ikke vælges gennem en sådan proces, fastsættes det rimelige afkast da af en uafhængig ekspert på grundlag af en undersøgelse af markedsbenchmarks og -risici ved en værdiansættelse efter en diskonteret cash flow-model, hvor der beregnes et minimalt rimeligt afkast og en passende risikopræmie (retningslinjernes punkt 140), og er alle betingelserne i retningslinjernes punkt 141 opfyldt? </w:t>
      </w:r>
    </w:p>
    <w:p w14:paraId="60F29226" w14:textId="77777777" w:rsidR="00B41E02" w:rsidRPr="0000088F" w:rsidRDefault="00717B1C" w:rsidP="00B41E02">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Ja. Vedlæg en rapport, der beskriver denne evaluering, angiv den udpegede ekspert, gør rede for de gældende regler for denne udpegelse, og vedlæg den relevante dokumentation:</w:t>
      </w:r>
    </w:p>
    <w:p w14:paraId="54DDA0CF" w14:textId="77777777" w:rsidR="00B41E02" w:rsidRPr="0000088F" w:rsidRDefault="00B41E02" w:rsidP="00B41E02">
      <w:pPr>
        <w:tabs>
          <w:tab w:val="left" w:leader="dot" w:pos="9072"/>
        </w:tabs>
        <w:ind w:left="720"/>
        <w:rPr>
          <w:noProof/>
        </w:rPr>
      </w:pPr>
      <w:r w:rsidRPr="0000088F">
        <w:rPr>
          <w:noProof/>
        </w:rPr>
        <w:tab/>
      </w:r>
    </w:p>
    <w:p w14:paraId="556EF958" w14:textId="77777777" w:rsidR="00B41E02" w:rsidRPr="0000088F" w:rsidRDefault="00717B1C" w:rsidP="00B41E02">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Nej.</w:t>
      </w:r>
    </w:p>
    <w:p w14:paraId="1D607E23" w14:textId="77777777" w:rsidR="00B41E02" w:rsidRPr="0000088F" w:rsidRDefault="00717B1C" w:rsidP="00B41E02">
      <w:pPr>
        <w:ind w:left="720"/>
        <w:rPr>
          <w:noProof/>
        </w:rPr>
      </w:pPr>
      <w:sdt>
        <w:sdtPr>
          <w:rPr>
            <w:noProof/>
          </w:rPr>
          <w:id w:val="1491833953"/>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Sæt kryds for at bekræfte, at den samme uafhængige ekspert ikke kan anvendes to gange inden for en periode på 3 år. </w:t>
      </w:r>
    </w:p>
    <w:p w14:paraId="19D3BE0A" w14:textId="77777777" w:rsidR="00B41E02" w:rsidRPr="0000088F" w:rsidRDefault="00B41E02" w:rsidP="00FF4224">
      <w:pPr>
        <w:pStyle w:val="Tiret0"/>
        <w:numPr>
          <w:ilvl w:val="0"/>
          <w:numId w:val="50"/>
        </w:numPr>
        <w:rPr>
          <w:noProof/>
        </w:rPr>
      </w:pPr>
      <w:r w:rsidRPr="0000088F">
        <w:rPr>
          <w:noProof/>
        </w:rPr>
        <w:t>Redegør for, hvordan de risikojusterede afkast for de private investorer begrænses til det rimelige afkast (retningslinjernes punkt 142):</w:t>
      </w:r>
    </w:p>
    <w:p w14:paraId="6B2E3762" w14:textId="77777777" w:rsidR="00B41E02" w:rsidRPr="0000088F" w:rsidRDefault="00B41E02" w:rsidP="00B41E02">
      <w:pPr>
        <w:tabs>
          <w:tab w:val="left" w:leader="dot" w:pos="9072"/>
        </w:tabs>
        <w:rPr>
          <w:noProof/>
        </w:rPr>
      </w:pPr>
      <w:r w:rsidRPr="0000088F">
        <w:rPr>
          <w:noProof/>
        </w:rPr>
        <w:tab/>
      </w:r>
    </w:p>
    <w:p w14:paraId="670F9BD1" w14:textId="77777777" w:rsidR="00B41E02" w:rsidRPr="0000088F" w:rsidRDefault="00B41E02" w:rsidP="00FF4224">
      <w:pPr>
        <w:pStyle w:val="Tiret0"/>
        <w:numPr>
          <w:ilvl w:val="0"/>
          <w:numId w:val="51"/>
        </w:numPr>
        <w:rPr>
          <w:noProof/>
        </w:rPr>
      </w:pPr>
      <w:r w:rsidRPr="0000088F">
        <w:rPr>
          <w:noProof/>
        </w:rPr>
        <w:t>Redegør med udgangspunkt i den forudgående vurdering for den økonomiske begrundelse for de specifikke finansielle parametre, der ligger til grund for foranstaltningen:</w:t>
      </w:r>
    </w:p>
    <w:p w14:paraId="5CD98C72" w14:textId="77777777" w:rsidR="00B41E02" w:rsidRPr="0000088F" w:rsidRDefault="00B41E02" w:rsidP="00B41E02">
      <w:pPr>
        <w:tabs>
          <w:tab w:val="left" w:leader="dot" w:pos="9072"/>
        </w:tabs>
        <w:rPr>
          <w:noProof/>
        </w:rPr>
      </w:pPr>
      <w:r w:rsidRPr="0000088F">
        <w:rPr>
          <w:noProof/>
        </w:rPr>
        <w:tab/>
      </w:r>
    </w:p>
    <w:p w14:paraId="20EDE45B" w14:textId="77777777" w:rsidR="00B41E02" w:rsidRPr="0000088F" w:rsidRDefault="00B41E02" w:rsidP="00B41E02">
      <w:pPr>
        <w:pStyle w:val="ManualHeading3"/>
        <w:rPr>
          <w:noProof/>
        </w:rPr>
      </w:pPr>
      <w:r w:rsidRPr="0015417F">
        <w:rPr>
          <w:noProof/>
        </w:rPr>
        <w:t>3.3.3.</w:t>
      </w:r>
      <w:r w:rsidRPr="0015417F">
        <w:rPr>
          <w:noProof/>
        </w:rPr>
        <w:tab/>
      </w:r>
      <w:r w:rsidRPr="0000088F">
        <w:rPr>
          <w:noProof/>
        </w:rPr>
        <w:t xml:space="preserve">Betingelser vedrørende skatteinstrumenters proportionalitet (retningslinjernes afsnit 3.2.4.2): </w:t>
      </w:r>
    </w:p>
    <w:p w14:paraId="615E42F6" w14:textId="77777777" w:rsidR="00B41E02" w:rsidRPr="0000088F" w:rsidRDefault="00B41E02" w:rsidP="00B41E02">
      <w:pPr>
        <w:rPr>
          <w:i/>
          <w:iCs/>
          <w:noProof/>
        </w:rPr>
      </w:pPr>
      <w:r w:rsidRPr="0000088F">
        <w:rPr>
          <w:i/>
          <w:noProof/>
        </w:rPr>
        <w:t>I forbindelse med disse betingelser anvendes de oplysninger, der er indgivet i afsnit 2.9.2.</w:t>
      </w:r>
    </w:p>
    <w:p w14:paraId="0740356D" w14:textId="77777777" w:rsidR="00B41E02" w:rsidRDefault="00B41E02" w:rsidP="00FF4224">
      <w:pPr>
        <w:pStyle w:val="Tiret0"/>
        <w:numPr>
          <w:ilvl w:val="0"/>
          <w:numId w:val="52"/>
        </w:numPr>
        <w:rPr>
          <w:noProof/>
        </w:rPr>
      </w:pPr>
      <w:r w:rsidRPr="0000088F">
        <w:rPr>
          <w:noProof/>
        </w:rPr>
        <w:t xml:space="preserve">Angiv eventuelle yderligere oplysninger, som kan være relevante i forbindelse med betingelserne vedrørende proportionalitet: </w:t>
      </w:r>
    </w:p>
    <w:p w14:paraId="454E3C5D" w14:textId="77777777" w:rsidR="00B41E02" w:rsidRPr="0000088F" w:rsidRDefault="00B41E02" w:rsidP="00822E44">
      <w:pPr>
        <w:tabs>
          <w:tab w:val="left" w:leader="dot" w:pos="9072"/>
        </w:tabs>
        <w:rPr>
          <w:noProof/>
        </w:rPr>
      </w:pPr>
      <w:r w:rsidRPr="0000088F">
        <w:rPr>
          <w:noProof/>
        </w:rPr>
        <w:tab/>
      </w:r>
    </w:p>
    <w:p w14:paraId="250CEFCC" w14:textId="77777777" w:rsidR="00B41E02" w:rsidRPr="0000088F" w:rsidRDefault="00B41E02" w:rsidP="00B41E02">
      <w:pPr>
        <w:pStyle w:val="ManualHeading3"/>
        <w:rPr>
          <w:noProof/>
        </w:rPr>
      </w:pPr>
      <w:r w:rsidRPr="0015417F">
        <w:rPr>
          <w:noProof/>
        </w:rPr>
        <w:t>3.3.4.</w:t>
      </w:r>
      <w:r w:rsidRPr="0015417F">
        <w:rPr>
          <w:noProof/>
        </w:rPr>
        <w:tab/>
      </w:r>
      <w:r w:rsidRPr="0000088F">
        <w:rPr>
          <w:noProof/>
        </w:rPr>
        <w:t>Betingelser vedrørende alternative handelsplatformes proportionalitet (retningslinjernes afsnit 3.2.4.3):</w:t>
      </w:r>
    </w:p>
    <w:p w14:paraId="7C583A73" w14:textId="77777777" w:rsidR="00B41E02" w:rsidRPr="0000088F" w:rsidRDefault="00B41E02" w:rsidP="00B41E02">
      <w:pPr>
        <w:rPr>
          <w:i/>
          <w:iCs/>
          <w:noProof/>
        </w:rPr>
      </w:pPr>
      <w:r w:rsidRPr="0000088F">
        <w:rPr>
          <w:i/>
          <w:noProof/>
        </w:rPr>
        <w:t>I forbindelse med disse betingelser anvendes de oplysninger, der er indgivet i afsnit 2.9.3.</w:t>
      </w:r>
    </w:p>
    <w:p w14:paraId="2F6F7996" w14:textId="77777777" w:rsidR="00B41E02" w:rsidRDefault="00B41E02" w:rsidP="00FF4224">
      <w:pPr>
        <w:pStyle w:val="Tiret0"/>
        <w:numPr>
          <w:ilvl w:val="0"/>
          <w:numId w:val="52"/>
        </w:numPr>
        <w:rPr>
          <w:noProof/>
        </w:rPr>
      </w:pPr>
      <w:r w:rsidRPr="0000088F">
        <w:rPr>
          <w:noProof/>
        </w:rPr>
        <w:t xml:space="preserve">Angiv eventuelle yderligere oplysninger, som kan være relevante i forbindelse med betingelserne vedrørende proportionalitet: </w:t>
      </w:r>
    </w:p>
    <w:p w14:paraId="6298413D" w14:textId="77777777" w:rsidR="00B41E02" w:rsidRPr="0000088F" w:rsidRDefault="00B41E02" w:rsidP="00822E44">
      <w:pPr>
        <w:tabs>
          <w:tab w:val="left" w:leader="dot" w:pos="9072"/>
        </w:tabs>
        <w:rPr>
          <w:noProof/>
        </w:rPr>
      </w:pPr>
      <w:r w:rsidRPr="0000088F">
        <w:rPr>
          <w:noProof/>
        </w:rPr>
        <w:tab/>
      </w:r>
    </w:p>
    <w:p w14:paraId="7B638F60" w14:textId="77777777" w:rsidR="00B41E02" w:rsidRPr="0000088F" w:rsidRDefault="00B41E02" w:rsidP="00B41E02">
      <w:pPr>
        <w:pStyle w:val="ManualHeading2"/>
        <w:rPr>
          <w:noProof/>
        </w:rPr>
      </w:pPr>
      <w:r w:rsidRPr="0015417F">
        <w:rPr>
          <w:noProof/>
        </w:rPr>
        <w:t>3.4.</w:t>
      </w:r>
      <w:r w:rsidRPr="0015417F">
        <w:rPr>
          <w:noProof/>
        </w:rPr>
        <w:tab/>
      </w:r>
      <w:r w:rsidRPr="0000088F">
        <w:rPr>
          <w:noProof/>
        </w:rPr>
        <w:t>Undgåelse af uberettigede negative virkninger for konkurrence og samhandel (retningslinjernes punkt 3.2.5)</w:t>
      </w:r>
    </w:p>
    <w:p w14:paraId="358041EC" w14:textId="77777777" w:rsidR="00B41E02" w:rsidRPr="0000088F" w:rsidRDefault="00B41E02" w:rsidP="00FF4224">
      <w:pPr>
        <w:pStyle w:val="Tiret0"/>
        <w:numPr>
          <w:ilvl w:val="0"/>
          <w:numId w:val="52"/>
        </w:numPr>
        <w:rPr>
          <w:noProof/>
        </w:rPr>
      </w:pPr>
      <w:r w:rsidRPr="0000088F">
        <w:rPr>
          <w:noProof/>
        </w:rPr>
        <w:t>Giv som led i den forudgående vurdering oplysninger om den anmeldte ordnings potentielle negative virkninger. Dette bør omfatte de potentielle negative virkninger på alle tre niveauer, dvs. på markedet for tilvejebringelse af risikofinansiering (f.eks. risiko for fortrængning af private investorer), på de finansielle formidleres og deres forvalteres niveau og på de endelige støttemodtageres niveau (herunder på de markeder, hvor de er aktive):</w:t>
      </w:r>
    </w:p>
    <w:p w14:paraId="146DD1E1" w14:textId="77777777" w:rsidR="00B41E02" w:rsidRPr="0000088F" w:rsidRDefault="00B41E02" w:rsidP="00B41E02">
      <w:pPr>
        <w:tabs>
          <w:tab w:val="left" w:leader="dot" w:pos="9072"/>
        </w:tabs>
        <w:rPr>
          <w:noProof/>
        </w:rPr>
      </w:pPr>
      <w:r w:rsidRPr="0000088F">
        <w:rPr>
          <w:noProof/>
        </w:rPr>
        <w:tab/>
      </w:r>
    </w:p>
    <w:p w14:paraId="541961BB" w14:textId="77777777" w:rsidR="00B41E02" w:rsidRPr="0000088F" w:rsidRDefault="00B41E02" w:rsidP="00FF4224">
      <w:pPr>
        <w:pStyle w:val="Tiret0"/>
        <w:numPr>
          <w:ilvl w:val="0"/>
          <w:numId w:val="52"/>
        </w:numPr>
        <w:rPr>
          <w:noProof/>
        </w:rPr>
      </w:pPr>
      <w:r w:rsidRPr="0000088F">
        <w:rPr>
          <w:noProof/>
        </w:rPr>
        <w:t xml:space="preserve">Sikrer den anmeldte ordning, at udelukkende potentielt levedygtige virksomheder kan modtage statsstøtte i form af risikofinansiering (retningslinjernes punkt 171)? </w:t>
      </w:r>
    </w:p>
    <w:p w14:paraId="201FC2EA" w14:textId="77777777" w:rsidR="00B41E02" w:rsidRDefault="00717B1C" w:rsidP="00B41E02">
      <w:pPr>
        <w:ind w:left="720"/>
        <w:rPr>
          <w:noProof/>
        </w:rPr>
      </w:pPr>
      <w:sdt>
        <w:sdtPr>
          <w:rPr>
            <w:noProof/>
          </w:rPr>
          <w:id w:val="800117835"/>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Ja. Beskriv, hvordan dette sikre, og angiv de relevante bestemmelser i retsgrundlaget: </w:t>
      </w:r>
    </w:p>
    <w:p w14:paraId="7C3E128B" w14:textId="77777777" w:rsidR="00822E44" w:rsidRPr="0000088F" w:rsidRDefault="00822E44" w:rsidP="00822E44">
      <w:pPr>
        <w:tabs>
          <w:tab w:val="left" w:leader="dot" w:pos="9072"/>
        </w:tabs>
        <w:ind w:left="720"/>
        <w:rPr>
          <w:noProof/>
        </w:rPr>
      </w:pPr>
      <w:r w:rsidRPr="0000088F">
        <w:rPr>
          <w:noProof/>
        </w:rPr>
        <w:tab/>
      </w:r>
    </w:p>
    <w:p w14:paraId="2CD2F32C" w14:textId="77777777" w:rsidR="00B41E02" w:rsidRPr="0000088F" w:rsidRDefault="00717B1C" w:rsidP="00B41E02">
      <w:pPr>
        <w:ind w:left="720"/>
        <w:rPr>
          <w:noProof/>
        </w:rPr>
      </w:pPr>
      <w:sdt>
        <w:sdtPr>
          <w:rPr>
            <w:noProof/>
          </w:rPr>
          <w:id w:val="192272379"/>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Nej</w:t>
      </w:r>
    </w:p>
    <w:p w14:paraId="33C7B66D" w14:textId="77777777" w:rsidR="00B41E02" w:rsidRPr="0000088F" w:rsidRDefault="00B41E02" w:rsidP="00FF4224">
      <w:pPr>
        <w:pStyle w:val="Tiret0"/>
        <w:numPr>
          <w:ilvl w:val="0"/>
          <w:numId w:val="52"/>
        </w:numPr>
        <w:rPr>
          <w:noProof/>
        </w:rPr>
      </w:pPr>
      <w:r w:rsidRPr="0000088F">
        <w:rPr>
          <w:noProof/>
        </w:rPr>
        <w:lastRenderedPageBreak/>
        <w:t xml:space="preserve">Er den anmeldte ordning geografisk eller regionalt afgrænset (retningslinjernes punkt 173)? </w:t>
      </w:r>
    </w:p>
    <w:p w14:paraId="36372807" w14:textId="77777777" w:rsidR="00B41E02" w:rsidRDefault="00717B1C" w:rsidP="00B41E02">
      <w:pPr>
        <w:ind w:left="720"/>
        <w:rPr>
          <w:noProof/>
        </w:rPr>
      </w:pPr>
      <w:sdt>
        <w:sdtPr>
          <w:rPr>
            <w:noProof/>
          </w:rPr>
          <w:id w:val="-13433810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Ja. Angiv nærmere: </w:t>
      </w:r>
    </w:p>
    <w:p w14:paraId="12D11545" w14:textId="77777777" w:rsidR="00B41E02" w:rsidRPr="0000088F" w:rsidRDefault="00B41E02" w:rsidP="00B41E02">
      <w:pPr>
        <w:tabs>
          <w:tab w:val="left" w:leader="dot" w:pos="9072"/>
        </w:tabs>
        <w:ind w:left="720"/>
        <w:rPr>
          <w:noProof/>
        </w:rPr>
      </w:pPr>
      <w:r w:rsidRPr="0000088F">
        <w:rPr>
          <w:noProof/>
        </w:rPr>
        <w:tab/>
      </w:r>
    </w:p>
    <w:p w14:paraId="2CB8350B" w14:textId="77777777" w:rsidR="00B41E02" w:rsidRPr="0000088F" w:rsidRDefault="00717B1C" w:rsidP="00B41E02">
      <w:pPr>
        <w:ind w:left="720"/>
        <w:rPr>
          <w:noProof/>
        </w:rPr>
      </w:pPr>
      <w:sdt>
        <w:sdtPr>
          <w:rPr>
            <w:noProof/>
          </w:rPr>
          <w:id w:val="-214287539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Nej.</w:t>
      </w:r>
    </w:p>
    <w:p w14:paraId="31D7A93C" w14:textId="77777777" w:rsidR="00B41E02" w:rsidRPr="0000088F" w:rsidRDefault="00B41E02" w:rsidP="00FF4224">
      <w:pPr>
        <w:pStyle w:val="Tiret0"/>
        <w:numPr>
          <w:ilvl w:val="0"/>
          <w:numId w:val="52"/>
        </w:numPr>
        <w:rPr>
          <w:noProof/>
        </w:rPr>
      </w:pPr>
      <w:r w:rsidRPr="0000088F">
        <w:rPr>
          <w:noProof/>
        </w:rPr>
        <w:t xml:space="preserve">Er den anmeldte ordning i retsgrundlaget (de jure) begrænset til specifikke sektorer (retningslinjernes punkt 174)? </w:t>
      </w:r>
    </w:p>
    <w:p w14:paraId="39E03474" w14:textId="77777777" w:rsidR="00B41E02" w:rsidRDefault="00717B1C" w:rsidP="00B41E02">
      <w:pPr>
        <w:ind w:left="720"/>
        <w:rPr>
          <w:noProof/>
        </w:rPr>
      </w:pPr>
      <w:sdt>
        <w:sdtPr>
          <w:rPr>
            <w:noProof/>
          </w:rPr>
          <w:id w:val="-1107270265"/>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Ja. Angiv nærmere: </w:t>
      </w:r>
    </w:p>
    <w:p w14:paraId="5AF8B8A9" w14:textId="77777777" w:rsidR="00B41E02" w:rsidRPr="0000088F" w:rsidRDefault="00B41E02" w:rsidP="00B41E02">
      <w:pPr>
        <w:tabs>
          <w:tab w:val="left" w:leader="dot" w:pos="9072"/>
        </w:tabs>
        <w:ind w:left="720"/>
        <w:rPr>
          <w:noProof/>
        </w:rPr>
      </w:pPr>
      <w:r w:rsidRPr="0000088F">
        <w:rPr>
          <w:noProof/>
        </w:rPr>
        <w:tab/>
      </w:r>
    </w:p>
    <w:p w14:paraId="1E9EA757" w14:textId="77777777" w:rsidR="00B41E02" w:rsidRPr="0000088F" w:rsidRDefault="00717B1C" w:rsidP="00B41E02">
      <w:pPr>
        <w:ind w:left="720"/>
        <w:rPr>
          <w:noProof/>
        </w:rPr>
      </w:pPr>
      <w:sdt>
        <w:sdtPr>
          <w:rPr>
            <w:noProof/>
          </w:rPr>
          <w:id w:val="-10234161"/>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Nej.</w:t>
      </w:r>
    </w:p>
    <w:p w14:paraId="47867FE9" w14:textId="77777777" w:rsidR="00B41E02" w:rsidRPr="0000088F" w:rsidRDefault="00B41E02" w:rsidP="00FF4224">
      <w:pPr>
        <w:pStyle w:val="Tiret0"/>
        <w:numPr>
          <w:ilvl w:val="0"/>
          <w:numId w:val="52"/>
        </w:numPr>
        <w:rPr>
          <w:noProof/>
        </w:rPr>
      </w:pPr>
      <w:r w:rsidRPr="0000088F">
        <w:rPr>
          <w:noProof/>
        </w:rPr>
        <w:t xml:space="preserve">Er den anmeldte ordning i praksis målrettet bestemte sektorer? </w:t>
      </w:r>
    </w:p>
    <w:p w14:paraId="098323A6" w14:textId="77777777" w:rsidR="00B41E02" w:rsidRDefault="00717B1C" w:rsidP="00B41E02">
      <w:pPr>
        <w:ind w:left="720"/>
        <w:rPr>
          <w:noProof/>
        </w:rPr>
      </w:pPr>
      <w:sdt>
        <w:sdtPr>
          <w:rPr>
            <w:noProof/>
          </w:rPr>
          <w:id w:val="58604833"/>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Ja. Angiv nærmere:</w:t>
      </w:r>
    </w:p>
    <w:p w14:paraId="06FB57F9" w14:textId="77777777" w:rsidR="00B41E02" w:rsidRPr="0000088F" w:rsidRDefault="00B41E02" w:rsidP="00B41E02">
      <w:pPr>
        <w:tabs>
          <w:tab w:val="left" w:leader="dot" w:pos="9072"/>
        </w:tabs>
        <w:ind w:left="720"/>
        <w:rPr>
          <w:noProof/>
        </w:rPr>
      </w:pPr>
      <w:r w:rsidRPr="0000088F">
        <w:rPr>
          <w:noProof/>
        </w:rPr>
        <w:tab/>
      </w:r>
    </w:p>
    <w:p w14:paraId="45564F98" w14:textId="77777777" w:rsidR="00B41E02" w:rsidRPr="0000088F" w:rsidRDefault="00717B1C" w:rsidP="00B41E02">
      <w:pPr>
        <w:ind w:left="720"/>
        <w:rPr>
          <w:noProof/>
        </w:rPr>
      </w:pPr>
      <w:sdt>
        <w:sdtPr>
          <w:rPr>
            <w:noProof/>
          </w:rPr>
          <w:id w:val="-1409915327"/>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Nej</w:t>
      </w:r>
    </w:p>
    <w:p w14:paraId="1B384C7E" w14:textId="77777777" w:rsidR="00B41E02" w:rsidRPr="0000088F" w:rsidRDefault="00B41E02" w:rsidP="00FF4224">
      <w:pPr>
        <w:pStyle w:val="Tiret0"/>
        <w:numPr>
          <w:ilvl w:val="0"/>
          <w:numId w:val="52"/>
        </w:numPr>
        <w:rPr>
          <w:noProof/>
        </w:rPr>
      </w:pPr>
      <w:r w:rsidRPr="0000088F">
        <w:rPr>
          <w:noProof/>
        </w:rPr>
        <w:t>Hvordan begrænses de negative virkninger så meget som muligt?</w:t>
      </w:r>
    </w:p>
    <w:p w14:paraId="59DB422F" w14:textId="77777777" w:rsidR="00B41E02" w:rsidRPr="0000088F" w:rsidRDefault="00B41E02" w:rsidP="00B41E02">
      <w:pPr>
        <w:tabs>
          <w:tab w:val="left" w:leader="dot" w:pos="9072"/>
        </w:tabs>
        <w:rPr>
          <w:noProof/>
        </w:rPr>
      </w:pPr>
      <w:r w:rsidRPr="0000088F">
        <w:rPr>
          <w:noProof/>
        </w:rPr>
        <w:tab/>
      </w:r>
    </w:p>
    <w:p w14:paraId="4B86D8B2" w14:textId="77777777" w:rsidR="00B41E02" w:rsidRPr="0000088F" w:rsidRDefault="00B41E02" w:rsidP="00B41E02">
      <w:pPr>
        <w:pStyle w:val="ManualHeading2"/>
        <w:rPr>
          <w:noProof/>
        </w:rPr>
      </w:pPr>
      <w:r w:rsidRPr="0015417F">
        <w:rPr>
          <w:noProof/>
        </w:rPr>
        <w:t>3.5.</w:t>
      </w:r>
      <w:r w:rsidRPr="0015417F">
        <w:rPr>
          <w:noProof/>
        </w:rPr>
        <w:tab/>
      </w:r>
      <w:r w:rsidRPr="0000088F">
        <w:rPr>
          <w:noProof/>
        </w:rPr>
        <w:t>Gennemsigtighed (retningslinjernes afsnit 3.2.6)</w:t>
      </w:r>
    </w:p>
    <w:p w14:paraId="0F33F36B" w14:textId="77777777" w:rsidR="00B41E02" w:rsidRPr="0000088F" w:rsidRDefault="00B41E02" w:rsidP="00B41E02">
      <w:pPr>
        <w:rPr>
          <w:rFonts w:eastAsia="Times New Roman"/>
          <w:noProof/>
          <w:szCs w:val="24"/>
        </w:rPr>
      </w:pPr>
      <w:r w:rsidRPr="0000088F">
        <w:rPr>
          <w:noProof/>
        </w:rPr>
        <w:t>Bekræft, at medlemsstaten vil overholde betingelserne vedrørende gennemsigtighed i afsnit 3.2.6 i retningslinjerne og i bilaget.</w:t>
      </w:r>
    </w:p>
    <w:p w14:paraId="570DFFAD" w14:textId="77777777" w:rsidR="00B41E02" w:rsidRPr="0000088F" w:rsidRDefault="00717B1C" w:rsidP="00B41E02">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lang w:bidi="si-LK"/>
            </w:rPr>
            <w:t>☐</w:t>
          </w:r>
        </w:sdtContent>
      </w:sdt>
      <w:r w:rsidR="00B41E02" w:rsidRPr="0000088F">
        <w:rPr>
          <w:noProof/>
        </w:rPr>
        <w:t xml:space="preserve"> Ja</w:t>
      </w:r>
    </w:p>
    <w:p w14:paraId="4F166557" w14:textId="77777777" w:rsidR="00B41E02" w:rsidRPr="0000088F" w:rsidRDefault="00B41E02" w:rsidP="00B41E02">
      <w:pPr>
        <w:pStyle w:val="ManualHeading1"/>
        <w:rPr>
          <w:noProof/>
        </w:rPr>
      </w:pPr>
      <w:r w:rsidRPr="0015417F">
        <w:rPr>
          <w:noProof/>
        </w:rPr>
        <w:t>4.</w:t>
      </w:r>
      <w:r w:rsidRPr="0015417F">
        <w:rPr>
          <w:noProof/>
        </w:rPr>
        <w:tab/>
      </w:r>
      <w:r w:rsidRPr="0000088F">
        <w:rPr>
          <w:noProof/>
        </w:rPr>
        <w:t>Kumulering af støtte</w:t>
      </w:r>
    </w:p>
    <w:p w14:paraId="293A9E1D" w14:textId="77777777" w:rsidR="00B41E02" w:rsidRPr="0000088F" w:rsidRDefault="00B41E02" w:rsidP="00B41E02">
      <w:pPr>
        <w:spacing w:before="240"/>
        <w:rPr>
          <w:noProof/>
        </w:rPr>
      </w:pPr>
      <w:r w:rsidRPr="0000088F">
        <w:rPr>
          <w:noProof/>
        </w:rPr>
        <w:t>Risikofinansieringsstøtte må kumuleres med enhver anden statsstøtteforanstaltning med identificerbare støtteberettigede omkostninger eller med de minimis-støtte op til det højeste samlede finansieringsloft, der er fastsat for de særlige omstændigheder for hvert enkelt tilfælde i en gruppefritagelsesforordning eller en afgørelse vedtaget af Kommissionen (retningslinjernes punkt 159).</w:t>
      </w:r>
    </w:p>
    <w:p w14:paraId="48D07A67" w14:textId="77777777" w:rsidR="00B41E02" w:rsidRPr="0000088F" w:rsidRDefault="00717B1C" w:rsidP="00FF4224">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B41E02" w:rsidRPr="0000088F">
            <w:rPr>
              <w:rFonts w:ascii="MS Gothic" w:eastAsia="MS Gothic" w:hAnsi="MS Gothic" w:hint="eastAsia"/>
              <w:noProof/>
            </w:rPr>
            <w:t>☐</w:t>
          </w:r>
        </w:sdtContent>
      </w:sdt>
      <w:r w:rsidR="00B41E02" w:rsidRPr="0000088F">
        <w:rPr>
          <w:noProof/>
        </w:rPr>
        <w:t xml:space="preserve"> Sæt kryds for at bekræfte overensstemmelse med denne regel.</w:t>
      </w:r>
    </w:p>
    <w:p w14:paraId="00F4A048" w14:textId="77777777" w:rsidR="00B41E02" w:rsidRPr="0000088F" w:rsidRDefault="00B41E02" w:rsidP="00FF4224">
      <w:pPr>
        <w:pStyle w:val="Tiret0"/>
        <w:numPr>
          <w:ilvl w:val="0"/>
          <w:numId w:val="52"/>
        </w:numPr>
        <w:rPr>
          <w:noProof/>
        </w:rPr>
      </w:pPr>
      <w:r w:rsidRPr="0000088F">
        <w:rPr>
          <w:noProof/>
        </w:rPr>
        <w:t>Angiv henvisning til retsgrundlaget:</w:t>
      </w:r>
    </w:p>
    <w:p w14:paraId="43B59BFC" w14:textId="77777777" w:rsidR="00B41E02" w:rsidRPr="0000088F" w:rsidRDefault="00B41E02" w:rsidP="00B41E02">
      <w:pPr>
        <w:tabs>
          <w:tab w:val="left" w:leader="dot" w:pos="9072"/>
        </w:tabs>
        <w:rPr>
          <w:noProof/>
        </w:rPr>
      </w:pPr>
      <w:r w:rsidRPr="0000088F">
        <w:rPr>
          <w:noProof/>
        </w:rPr>
        <w:tab/>
      </w:r>
    </w:p>
    <w:p w14:paraId="292DE45F" w14:textId="77777777" w:rsidR="00B41E02" w:rsidRPr="0000088F" w:rsidRDefault="00B41E02" w:rsidP="00FF4224">
      <w:pPr>
        <w:pStyle w:val="Tiret0"/>
        <w:numPr>
          <w:ilvl w:val="0"/>
          <w:numId w:val="52"/>
        </w:numPr>
        <w:rPr>
          <w:noProof/>
        </w:rPr>
      </w:pPr>
      <w:r w:rsidRPr="0000088F">
        <w:rPr>
          <w:noProof/>
        </w:rPr>
        <w:t>Redegør for, hvordan der sikres overensstemmelse med reglerne om kumulation:</w:t>
      </w:r>
    </w:p>
    <w:p w14:paraId="609EDCF0" w14:textId="77777777" w:rsidR="00B41E02" w:rsidRPr="0000088F" w:rsidRDefault="00B41E02" w:rsidP="00B41E02">
      <w:pPr>
        <w:tabs>
          <w:tab w:val="left" w:leader="dot" w:pos="9072"/>
        </w:tabs>
        <w:rPr>
          <w:noProof/>
        </w:rPr>
      </w:pPr>
      <w:r w:rsidRPr="0000088F">
        <w:rPr>
          <w:noProof/>
        </w:rPr>
        <w:tab/>
      </w:r>
    </w:p>
    <w:p w14:paraId="498EC784" w14:textId="77777777" w:rsidR="00B41E02" w:rsidRPr="0000088F" w:rsidRDefault="00B41E02" w:rsidP="00B41E02">
      <w:pPr>
        <w:pStyle w:val="ManualHeading1"/>
        <w:rPr>
          <w:noProof/>
        </w:rPr>
      </w:pPr>
      <w:r w:rsidRPr="0015417F">
        <w:rPr>
          <w:noProof/>
        </w:rPr>
        <w:t>5.</w:t>
      </w:r>
      <w:r w:rsidRPr="0015417F">
        <w:rPr>
          <w:noProof/>
        </w:rPr>
        <w:tab/>
      </w:r>
      <w:r w:rsidRPr="0000088F">
        <w:rPr>
          <w:noProof/>
        </w:rPr>
        <w:t>Andre oplysninger</w:t>
      </w:r>
    </w:p>
    <w:p w14:paraId="0588F51D" w14:textId="77777777" w:rsidR="00B41E02" w:rsidRPr="0000088F" w:rsidRDefault="00B41E02" w:rsidP="00B41E02">
      <w:pPr>
        <w:keepNext/>
        <w:spacing w:before="240"/>
        <w:rPr>
          <w:noProof/>
        </w:rPr>
      </w:pPr>
      <w:r w:rsidRPr="0000088F">
        <w:rPr>
          <w:noProof/>
        </w:rPr>
        <w:t>Er der andre relevante oplysninger, der bør indgå i vurderingen af den eller de foranstaltninger, der er omfattet af retningslinjerne?</w:t>
      </w:r>
    </w:p>
    <w:p w14:paraId="72300B0F" w14:textId="77777777" w:rsidR="00B41E02" w:rsidRPr="0000088F" w:rsidRDefault="00B41E02" w:rsidP="00B41E02">
      <w:pPr>
        <w:tabs>
          <w:tab w:val="left" w:leader="dot" w:pos="9072"/>
        </w:tabs>
        <w:rPr>
          <w:noProof/>
        </w:rPr>
      </w:pPr>
      <w:r w:rsidRPr="0000088F">
        <w:rPr>
          <w:noProof/>
        </w:rPr>
        <w:tab/>
      </w:r>
    </w:p>
    <w:sectPr w:rsidR="00B41E02" w:rsidRPr="0000088F" w:rsidSect="00B41E02">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5CC93" w14:textId="77777777" w:rsidR="00B41E02" w:rsidRDefault="00B41E02" w:rsidP="00B41E02">
      <w:pPr>
        <w:spacing w:before="0" w:after="0"/>
      </w:pPr>
      <w:r>
        <w:separator/>
      </w:r>
    </w:p>
  </w:endnote>
  <w:endnote w:type="continuationSeparator" w:id="0">
    <w:p w14:paraId="084DCDB9" w14:textId="77777777" w:rsidR="00B41E02" w:rsidRDefault="00B41E02" w:rsidP="00B41E0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12693" w14:textId="77777777" w:rsidR="00F23B1D" w:rsidRDefault="00F23B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3BA77" w14:textId="1ADB4AA5" w:rsidR="00F23B1D" w:rsidRPr="00B41E02" w:rsidRDefault="00B41E02" w:rsidP="00B41E02">
    <w:pPr>
      <w:pStyle w:val="Footer"/>
      <w:jc w:val="center"/>
    </w:pPr>
    <w:r>
      <w:fldChar w:fldCharType="begin"/>
    </w:r>
    <w:r>
      <w:instrText xml:space="preserve"> PAGE  \* Arabic  \* MERGEFORMAT </w:instrText>
    </w:r>
    <w:r>
      <w:fldChar w:fldCharType="separate"/>
    </w:r>
    <w:r>
      <w:rPr>
        <w:noProof/>
      </w:rPr>
      <w:t>28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49DDB" w14:textId="77777777" w:rsidR="00F23B1D" w:rsidRDefault="00F23B1D" w:rsidP="00621C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D2007" w14:textId="77777777" w:rsidR="00B41E02" w:rsidRDefault="00B41E02" w:rsidP="00B41E02">
      <w:pPr>
        <w:spacing w:before="0" w:after="0"/>
      </w:pPr>
      <w:r>
        <w:separator/>
      </w:r>
    </w:p>
  </w:footnote>
  <w:footnote w:type="continuationSeparator" w:id="0">
    <w:p w14:paraId="485C1A55" w14:textId="77777777" w:rsidR="00B41E02" w:rsidRDefault="00B41E02" w:rsidP="00B41E02">
      <w:pPr>
        <w:spacing w:before="0" w:after="0"/>
      </w:pPr>
      <w:r>
        <w:continuationSeparator/>
      </w:r>
    </w:p>
  </w:footnote>
  <w:footnote w:id="1">
    <w:p w14:paraId="08403A13" w14:textId="77777777" w:rsidR="00B41E02" w:rsidRPr="000F0637" w:rsidRDefault="00B41E02" w:rsidP="00B41E02">
      <w:pPr>
        <w:pStyle w:val="FootnoteText"/>
      </w:pPr>
      <w:r>
        <w:rPr>
          <w:rStyle w:val="FootnoteReference"/>
        </w:rPr>
        <w:footnoteRef/>
      </w:r>
      <w:r>
        <w:tab/>
        <w:t xml:space="preserve">Retningslinjer for statsstøtte til fremme af risikofinansieringsinvesteringer (EUT C 508 af 16.12.2021, s. 1), findes på </w:t>
      </w:r>
      <w:hyperlink r:id="rId1" w:history="1">
        <w:r>
          <w:rPr>
            <w:rStyle w:val="Hyperlink"/>
          </w:rPr>
          <w:t>https://eur-lex.europa.eu/legal-content/DA/TXT/?uri=CELEX:52021XC1216(04)</w:t>
        </w:r>
      </w:hyperlink>
      <w:r>
        <w:t>.</w:t>
      </w:r>
    </w:p>
  </w:footnote>
  <w:footnote w:id="2">
    <w:p w14:paraId="2300AF64" w14:textId="77777777" w:rsidR="00B41E02" w:rsidRPr="009944D3" w:rsidRDefault="00B41E02" w:rsidP="00B41E02">
      <w:pPr>
        <w:pStyle w:val="FootnoteText"/>
      </w:pPr>
      <w:r>
        <w:rPr>
          <w:rStyle w:val="FootnoteReference"/>
        </w:rPr>
        <w:footnoteRef/>
      </w:r>
      <w:r>
        <w:tab/>
        <w:t xml:space="preserve">Se afsnit 3 i dette supplerende informationsskema. </w:t>
      </w:r>
    </w:p>
  </w:footnote>
  <w:footnote w:id="3">
    <w:p w14:paraId="6C55438D" w14:textId="77777777" w:rsidR="00B41E02" w:rsidRPr="00E4500B" w:rsidRDefault="00B41E02" w:rsidP="00B41E02">
      <w:pPr>
        <w:pStyle w:val="FootnoteText"/>
      </w:pPr>
      <w:r>
        <w:rPr>
          <w:rStyle w:val="FootnoteReference"/>
        </w:rPr>
        <w:footnoteRef/>
      </w:r>
      <w:r>
        <w:tab/>
        <w:t>Kommissionens forordning (EU) nr. 651/2014 af 17. juni 2014 om visse kategorier af støttes forenelighed med det indre marked i henhold til traktatens artikel 107 og 108 (EUT L 187 af 26.6.2014, s. 1, ELI:. </w:t>
      </w:r>
      <w:hyperlink r:id="rId2" w:tooltip="Giver adgang til dokumentet via dets ELI-URI." w:history="1">
        <w:r>
          <w:rPr>
            <w:rStyle w:val="Hyperlink"/>
          </w:rPr>
          <w:t>http://data.europa.eu/eli/reg/2014/651/oj</w:t>
        </w:r>
      </w:hyperlink>
      <w:r>
        <w:t>). Se især afsnit 3 med titlen "Støtte til SMV'ers adgang til finansiering" og forordningens artikel 21, 21a, 22, 23 og 24.</w:t>
      </w:r>
    </w:p>
  </w:footnote>
  <w:footnote w:id="4">
    <w:p w14:paraId="1E0D6938" w14:textId="77777777" w:rsidR="00B41E02" w:rsidRPr="00E4500B" w:rsidRDefault="00B41E02" w:rsidP="00B41E02">
      <w:pPr>
        <w:pStyle w:val="FootnoteText"/>
      </w:pPr>
      <w:r>
        <w:rPr>
          <w:rStyle w:val="FootnoteReference"/>
        </w:rPr>
        <w:footnoteRef/>
      </w:r>
      <w:r>
        <w:tab/>
        <w:t xml:space="preserve">Kommissionens forordning (EU) 2023/2831 af 13. december 2023 om anvendelse af artikel 107 og 108 i traktaten om Den Europæiske Unions funktionsmåde på de minimis-støtte (EUT L, 2023/2831, 15.12.2023, ELI: </w:t>
      </w:r>
      <w:hyperlink r:id="rId3" w:history="1">
        <w:r>
          <w:rPr>
            <w:rStyle w:val="Hyperlink"/>
          </w:rPr>
          <w:t>http://data.europa.eu/eli/reg/2023/2831/oj</w:t>
        </w:r>
      </w:hyperlink>
      <w:r>
        <w:t xml:space="preserve"> ).</w:t>
      </w:r>
    </w:p>
  </w:footnote>
  <w:footnote w:id="5">
    <w:p w14:paraId="038A3987" w14:textId="77777777" w:rsidR="00B41E02" w:rsidRPr="00750511" w:rsidRDefault="00B41E02" w:rsidP="00B41E02">
      <w:pPr>
        <w:pStyle w:val="FootnoteText"/>
      </w:pPr>
      <w:r>
        <w:rPr>
          <w:rStyle w:val="FootnoteReference"/>
        </w:rPr>
        <w:footnoteRef/>
      </w:r>
      <w:r>
        <w:tab/>
        <w:t>Kommissionens meddelelse om begrebet statsstøtte i artikel 107, stk. 1, i traktaten om Den Europæiske Unions funktionsmåde (EUT C 262 af 19.7.2016, s. 1).</w:t>
      </w:r>
    </w:p>
  </w:footnote>
  <w:footnote w:id="6">
    <w:p w14:paraId="68CD9BA6" w14:textId="77777777" w:rsidR="00B41E02" w:rsidRPr="00927ECB" w:rsidRDefault="00B41E02" w:rsidP="00B41E02">
      <w:pPr>
        <w:pStyle w:val="FootnoteText"/>
      </w:pPr>
      <w:r>
        <w:rPr>
          <w:rStyle w:val="FootnoteReference"/>
        </w:rPr>
        <w:footnoteRef/>
      </w:r>
      <w:r>
        <w:tab/>
        <w:t>Meddelelse fra Kommissionen om revision af metoden for fastsættelse af referencesatsen og kalkulationsrenten (EUT C 14 af 19.1.2008, s. 6).</w:t>
      </w:r>
    </w:p>
  </w:footnote>
  <w:footnote w:id="7">
    <w:p w14:paraId="32D92492" w14:textId="77777777" w:rsidR="00B41E02" w:rsidRPr="00927ECB" w:rsidRDefault="00B41E02" w:rsidP="00B41E02">
      <w:pPr>
        <w:pStyle w:val="FootnoteText"/>
      </w:pPr>
      <w:r>
        <w:rPr>
          <w:rStyle w:val="FootnoteReference"/>
        </w:rPr>
        <w:footnoteRef/>
      </w:r>
      <w:r>
        <w:tab/>
        <w:t>Kommissionens meddelelse om anvendelsen af EF-traktatens artikel 87 og 88 på statsstøtte i form af garantier (EUT C 155 af 20.6.2008, s. 10).</w:t>
      </w:r>
    </w:p>
  </w:footnote>
  <w:footnote w:id="8">
    <w:p w14:paraId="4F5CB2C8" w14:textId="77777777" w:rsidR="00B41E02" w:rsidRPr="005755A0" w:rsidRDefault="00B41E02" w:rsidP="00B41E02">
      <w:pPr>
        <w:pStyle w:val="FootnoteText"/>
      </w:pPr>
      <w:r>
        <w:rPr>
          <w:rStyle w:val="FootnoteReference"/>
        </w:rPr>
        <w:footnoteRef/>
      </w:r>
      <w:r>
        <w:tab/>
        <w:t>Meddelelse fra Kommissionen – Rammebestemmelser for statsstøtte til redning og omstrukturering af kriseramte ikkefinansielle virksomheder (EUT C 249 af 31.7.2014, s. 1).</w:t>
      </w:r>
    </w:p>
  </w:footnote>
  <w:footnote w:id="9">
    <w:p w14:paraId="32436FE9" w14:textId="77777777" w:rsidR="00B41E02" w:rsidRPr="009944D3" w:rsidRDefault="00B41E02" w:rsidP="00B41E02">
      <w:pPr>
        <w:pStyle w:val="FootnoteText"/>
      </w:pPr>
      <w:r>
        <w:rPr>
          <w:rStyle w:val="FootnoteReference"/>
        </w:rPr>
        <w:footnoteRef/>
      </w:r>
      <w:r>
        <w:tab/>
        <w:t>Ifølge retningslinjerne (punkt 50) skal der foretages og indgives en forudgående vurdering for alle anmeldelsespligtige risikofinansieringsforanstaltninger.</w:t>
      </w:r>
    </w:p>
  </w:footnote>
  <w:footnote w:id="10">
    <w:p w14:paraId="6028FB89" w14:textId="77777777" w:rsidR="00B41E02" w:rsidRPr="009944D3" w:rsidRDefault="00B41E02" w:rsidP="00B41E02">
      <w:pPr>
        <w:pStyle w:val="FootnoteText"/>
      </w:pPr>
      <w:r>
        <w:rPr>
          <w:rStyle w:val="FootnoteReference"/>
        </w:rPr>
        <w:footnoteRef/>
      </w:r>
      <w:r>
        <w:tab/>
        <w:t xml:space="preserve">Ifølge retningslinjerne skal der foretages og indgives en dybtgående forudgående vurdering for alle anmeldelsespligtige risikofinansieringsforanstaltninger (punkt 50-56). I retningslinjerne præciseres det, hvilke grundlæggende elementer en sådan forudgående vurdering skal indeholde (punkt 61-65 og 164). </w:t>
      </w:r>
    </w:p>
  </w:footnote>
  <w:footnote w:id="11">
    <w:p w14:paraId="1F4691F6" w14:textId="77777777" w:rsidR="00B41E02" w:rsidRDefault="00B41E02" w:rsidP="00B41E02">
      <w:pPr>
        <w:pStyle w:val="FootnoteText"/>
      </w:pPr>
      <w:r>
        <w:rPr>
          <w:rStyle w:val="FootnoteReference"/>
        </w:rPr>
        <w:footnoteRef/>
      </w:r>
      <w:r>
        <w:tab/>
        <w:t>Europa-Parlamentets og Rådets forordning (EU) nr. 1303/2013 af 17. december 2013 om fælles bestemmelser for Den Europæiske Fond for Regionaludvikling, Den Europæiske Socialfond, Samhørighedsfonden, Den Europæiske Landbrugsfond for Udvikling af Landdistrikterne og Den Europæiske Hav- og Fiskerifond og om generelle bestemmelser for Den Europæiske Fond for Regionaludvikling, Den Europæiske Socialfond, Samhørighedsfonden og Den Europæiske Hav- og Fiskerifond og om ophævelse af Rådets forordning (EF) nr. 1083/2006 (EUT L 347 af 20.12.2013, s. 320).</w:t>
      </w:r>
    </w:p>
  </w:footnote>
  <w:footnote w:id="12">
    <w:p w14:paraId="715A4003" w14:textId="77777777" w:rsidR="00B41E02" w:rsidRPr="00750511" w:rsidRDefault="00B41E02" w:rsidP="00B41E02">
      <w:pPr>
        <w:pStyle w:val="FootnoteText"/>
      </w:pPr>
      <w:r>
        <w:rPr>
          <w:rStyle w:val="FootnoteReference"/>
        </w:rPr>
        <w:footnoteRef/>
      </w:r>
      <w:r>
        <w:tab/>
        <w:t>Europa-Parlamentets og Rådets forordning (EU) 2021/1060 af 24. juni 2021 om fælles bestemmelser for Den Europæiske Fond for Regionaludvikling, Den Europæiske Socialfond Plus, Samhørighedsfonden, Fonden for Retfærdig Omstilling og Den Europæiske Hav-, Fiskeri- og Akvakulturfond og om finansielle regler for nævnte fonde og for Asyl-, Migrations- og Integrationsfonden, Fonden for Intern Sikkerhed og instrumentet for finansiel støtte til grænseforvaltning og visumpolitik (EUT L 231 af 30.6.2021, s.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6B564" w14:textId="77777777" w:rsidR="00F23B1D" w:rsidRDefault="00F23B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16B80" w14:textId="77777777" w:rsidR="00B41E02" w:rsidRDefault="00B41E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9C1CD" w14:textId="77777777" w:rsidR="00F23B1D" w:rsidRDefault="00F23B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561743812">
    <w:abstractNumId w:val="11"/>
  </w:num>
  <w:num w:numId="24" w16cid:durableId="10861461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84228403">
    <w:abstractNumId w:val="18"/>
  </w:num>
  <w:num w:numId="26" w16cid:durableId="107355699">
    <w:abstractNumId w:val="31"/>
  </w:num>
  <w:num w:numId="27" w16cid:durableId="509875401">
    <w:abstractNumId w:val="33"/>
  </w:num>
  <w:num w:numId="28" w16cid:durableId="1202942913">
    <w:abstractNumId w:val="32"/>
  </w:num>
  <w:num w:numId="29" w16cid:durableId="1839345879">
    <w:abstractNumId w:val="35"/>
  </w:num>
  <w:num w:numId="30" w16cid:durableId="2079589736">
    <w:abstractNumId w:val="13"/>
  </w:num>
  <w:num w:numId="31" w16cid:durableId="1013801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8430189">
    <w:abstractNumId w:val="14"/>
  </w:num>
  <w:num w:numId="33" w16cid:durableId="1861505658">
    <w:abstractNumId w:val="29"/>
    <w:lvlOverride w:ilvl="0">
      <w:startOverride w:val="1"/>
    </w:lvlOverride>
  </w:num>
  <w:num w:numId="34" w16cid:durableId="1710763085">
    <w:abstractNumId w:val="29"/>
    <w:lvlOverride w:ilvl="0">
      <w:startOverride w:val="1"/>
    </w:lvlOverride>
  </w:num>
  <w:num w:numId="35" w16cid:durableId="183785284">
    <w:abstractNumId w:val="6"/>
    <w:lvlOverride w:ilvl="0">
      <w:startOverride w:val="1"/>
    </w:lvlOverride>
  </w:num>
  <w:num w:numId="36" w16cid:durableId="1493835409">
    <w:abstractNumId w:val="6"/>
    <w:lvlOverride w:ilvl="0">
      <w:startOverride w:val="1"/>
    </w:lvlOverride>
  </w:num>
  <w:num w:numId="37" w16cid:durableId="1205288894">
    <w:abstractNumId w:val="6"/>
    <w:lvlOverride w:ilvl="0">
      <w:startOverride w:val="1"/>
    </w:lvlOverride>
  </w:num>
  <w:num w:numId="38" w16cid:durableId="2079595551">
    <w:abstractNumId w:val="20"/>
    <w:lvlOverride w:ilvl="0">
      <w:startOverride w:val="1"/>
    </w:lvlOverride>
  </w:num>
  <w:num w:numId="39" w16cid:durableId="769351027">
    <w:abstractNumId w:val="29"/>
    <w:lvlOverride w:ilvl="0">
      <w:startOverride w:val="1"/>
    </w:lvlOverride>
  </w:num>
  <w:num w:numId="40" w16cid:durableId="1143087294">
    <w:abstractNumId w:val="29"/>
    <w:lvlOverride w:ilvl="0">
      <w:startOverride w:val="1"/>
    </w:lvlOverride>
  </w:num>
  <w:num w:numId="41" w16cid:durableId="1075737994">
    <w:abstractNumId w:val="29"/>
    <w:lvlOverride w:ilvl="0">
      <w:startOverride w:val="1"/>
    </w:lvlOverride>
  </w:num>
  <w:num w:numId="42" w16cid:durableId="1027679890">
    <w:abstractNumId w:val="29"/>
    <w:lvlOverride w:ilvl="0">
      <w:startOverride w:val="1"/>
    </w:lvlOverride>
  </w:num>
  <w:num w:numId="43" w16cid:durableId="1102186920">
    <w:abstractNumId w:val="29"/>
    <w:lvlOverride w:ilvl="0">
      <w:startOverride w:val="1"/>
    </w:lvlOverride>
  </w:num>
  <w:num w:numId="44" w16cid:durableId="810634457">
    <w:abstractNumId w:val="14"/>
    <w:lvlOverride w:ilvl="0">
      <w:startOverride w:val="1"/>
    </w:lvlOverride>
  </w:num>
  <w:num w:numId="45" w16cid:durableId="464473783">
    <w:abstractNumId w:val="29"/>
    <w:lvlOverride w:ilvl="0">
      <w:startOverride w:val="1"/>
    </w:lvlOverride>
  </w:num>
  <w:num w:numId="46" w16cid:durableId="1695644068">
    <w:abstractNumId w:val="20"/>
    <w:lvlOverride w:ilvl="0">
      <w:startOverride w:val="1"/>
    </w:lvlOverride>
  </w:num>
  <w:num w:numId="47" w16cid:durableId="1407147489">
    <w:abstractNumId w:val="20"/>
    <w:lvlOverride w:ilvl="0">
      <w:startOverride w:val="1"/>
    </w:lvlOverride>
  </w:num>
  <w:num w:numId="48" w16cid:durableId="1592425129">
    <w:abstractNumId w:val="29"/>
    <w:lvlOverride w:ilvl="0">
      <w:startOverride w:val="1"/>
    </w:lvlOverride>
  </w:num>
  <w:num w:numId="49" w16cid:durableId="1374963016">
    <w:abstractNumId w:val="29"/>
    <w:lvlOverride w:ilvl="0">
      <w:startOverride w:val="1"/>
    </w:lvlOverride>
  </w:num>
  <w:num w:numId="50" w16cid:durableId="767821646">
    <w:abstractNumId w:val="29"/>
    <w:lvlOverride w:ilvl="0">
      <w:startOverride w:val="1"/>
    </w:lvlOverride>
  </w:num>
  <w:num w:numId="51" w16cid:durableId="1194803714">
    <w:abstractNumId w:val="29"/>
    <w:lvlOverride w:ilvl="0">
      <w:startOverride w:val="1"/>
    </w:lvlOverride>
  </w:num>
  <w:num w:numId="52" w16cid:durableId="470294256">
    <w:abstractNumId w:val="29"/>
    <w:lvlOverride w:ilvl="0">
      <w:startOverride w:val="1"/>
    </w:lvlOverride>
  </w:num>
  <w:num w:numId="53" w16cid:durableId="1279290397">
    <w:abstractNumId w:val="20"/>
    <w:lvlOverride w:ilvl="0">
      <w:startOverride w:val="1"/>
    </w:lvlOverride>
  </w:num>
  <w:num w:numId="54" w16cid:durableId="10840917">
    <w:abstractNumId w:val="29"/>
    <w:lvlOverride w:ilvl="0">
      <w:startOverride w:val="1"/>
    </w:lvlOverride>
  </w:num>
  <w:num w:numId="55" w16cid:durableId="1835098753">
    <w:abstractNumId w:val="34"/>
    <w:lvlOverride w:ilvl="0">
      <w:startOverride w:val="1"/>
    </w:lvlOverride>
  </w:num>
  <w:num w:numId="56" w16cid:durableId="845750745">
    <w:abstractNumId w:val="20"/>
  </w:num>
  <w:num w:numId="57" w16cid:durableId="1054545930">
    <w:abstractNumId w:val="16"/>
  </w:num>
  <w:num w:numId="58" w16cid:durableId="956106177">
    <w:abstractNumId w:val="22"/>
  </w:num>
  <w:num w:numId="59" w16cid:durableId="1442797490">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41E02"/>
    <w:rsid w:val="000216FC"/>
    <w:rsid w:val="00023793"/>
    <w:rsid w:val="0002601F"/>
    <w:rsid w:val="000530AA"/>
    <w:rsid w:val="00053A8E"/>
    <w:rsid w:val="00055092"/>
    <w:rsid w:val="00061517"/>
    <w:rsid w:val="00061AD8"/>
    <w:rsid w:val="00073E1D"/>
    <w:rsid w:val="000A0CEC"/>
    <w:rsid w:val="000B1355"/>
    <w:rsid w:val="000C3D88"/>
    <w:rsid w:val="000F6C9A"/>
    <w:rsid w:val="00130A62"/>
    <w:rsid w:val="0013541D"/>
    <w:rsid w:val="00174207"/>
    <w:rsid w:val="001A0858"/>
    <w:rsid w:val="001C1BEB"/>
    <w:rsid w:val="001C4DC3"/>
    <w:rsid w:val="001E26F9"/>
    <w:rsid w:val="001F5C64"/>
    <w:rsid w:val="0020475A"/>
    <w:rsid w:val="00213BD4"/>
    <w:rsid w:val="002153F7"/>
    <w:rsid w:val="00221B0A"/>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15D88"/>
    <w:rsid w:val="00621DF5"/>
    <w:rsid w:val="00626E82"/>
    <w:rsid w:val="0063050F"/>
    <w:rsid w:val="0063450F"/>
    <w:rsid w:val="006449E9"/>
    <w:rsid w:val="00650AAE"/>
    <w:rsid w:val="0066354F"/>
    <w:rsid w:val="006941A1"/>
    <w:rsid w:val="00694F25"/>
    <w:rsid w:val="006A6DA5"/>
    <w:rsid w:val="007034EB"/>
    <w:rsid w:val="00703F7B"/>
    <w:rsid w:val="007077A4"/>
    <w:rsid w:val="0071798D"/>
    <w:rsid w:val="00717B1C"/>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002E"/>
    <w:rsid w:val="007E6226"/>
    <w:rsid w:val="007F1484"/>
    <w:rsid w:val="007F2DDC"/>
    <w:rsid w:val="007F33F5"/>
    <w:rsid w:val="0080432F"/>
    <w:rsid w:val="008140B8"/>
    <w:rsid w:val="00822E44"/>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1E02"/>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1BA"/>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066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B566B"/>
    <w:rsid w:val="00ED047C"/>
    <w:rsid w:val="00ED6303"/>
    <w:rsid w:val="00EE7275"/>
    <w:rsid w:val="00EF0DAA"/>
    <w:rsid w:val="00EF5A07"/>
    <w:rsid w:val="00F00039"/>
    <w:rsid w:val="00F12804"/>
    <w:rsid w:val="00F166A9"/>
    <w:rsid w:val="00F17FD5"/>
    <w:rsid w:val="00F23B1D"/>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4224"/>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0476"/>
  <w15:chartTrackingRefBased/>
  <w15:docId w15:val="{D26B8833-D77F-4705-978D-72E01B5F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E02"/>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B41E0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41E0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da-DK"/>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da-DK"/>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da-DK"/>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da-DK"/>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a-DK"/>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a-DK"/>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a-DK"/>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B41E0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41E0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41E0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1E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1E0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1E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1E0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41E0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41E02"/>
    <w:rPr>
      <w:i/>
      <w:iCs/>
      <w:color w:val="365F91" w:themeColor="accent1" w:themeShade="BF"/>
    </w:rPr>
  </w:style>
  <w:style w:type="paragraph" w:styleId="IntenseQuote">
    <w:name w:val="Intense Quote"/>
    <w:basedOn w:val="Normal"/>
    <w:next w:val="Normal"/>
    <w:link w:val="IntenseQuoteChar"/>
    <w:uiPriority w:val="30"/>
    <w:qFormat/>
    <w:rsid w:val="00B41E0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41E0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41E02"/>
    <w:rPr>
      <w:b/>
      <w:bCs/>
      <w:smallCaps/>
      <w:color w:val="365F91" w:themeColor="accent1" w:themeShade="BF"/>
      <w:spacing w:val="5"/>
    </w:rPr>
  </w:style>
  <w:style w:type="character" w:styleId="BookTitle">
    <w:name w:val="Book Title"/>
    <w:uiPriority w:val="33"/>
    <w:qFormat/>
    <w:rsid w:val="00B41E02"/>
    <w:rPr>
      <w:b/>
      <w:bCs/>
      <w:smallCaps/>
      <w:spacing w:val="5"/>
    </w:rPr>
  </w:style>
  <w:style w:type="character" w:styleId="Strong">
    <w:name w:val="Strong"/>
    <w:uiPriority w:val="22"/>
    <w:qFormat/>
    <w:rsid w:val="00B41E02"/>
    <w:rPr>
      <w:b/>
      <w:bCs/>
    </w:rPr>
  </w:style>
  <w:style w:type="paragraph" w:customStyle="1" w:styleId="SUPERSChar">
    <w:name w:val="SUPERS Char"/>
    <w:aliases w:val="EN Footnote Reference Char"/>
    <w:basedOn w:val="Normal"/>
    <w:link w:val="FootnoteReference"/>
    <w:uiPriority w:val="99"/>
    <w:rsid w:val="00B41E0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B41E02"/>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B41E02"/>
    <w:pPr>
      <w:numPr>
        <w:numId w:val="28"/>
      </w:numPr>
      <w:spacing w:before="0" w:after="240"/>
    </w:pPr>
    <w:rPr>
      <w:rFonts w:eastAsia="Times New Roman"/>
      <w:szCs w:val="20"/>
    </w:rPr>
  </w:style>
  <w:style w:type="character" w:customStyle="1" w:styleId="Corpsdutexte2">
    <w:name w:val="Corps du texte (2)_"/>
    <w:link w:val="Corpsdutexte21"/>
    <w:uiPriority w:val="99"/>
    <w:rsid w:val="00B41E02"/>
    <w:rPr>
      <w:i/>
      <w:iCs/>
      <w:sz w:val="15"/>
      <w:szCs w:val="15"/>
      <w:shd w:val="clear" w:color="auto" w:fill="FFFFFF"/>
    </w:rPr>
  </w:style>
  <w:style w:type="character" w:customStyle="1" w:styleId="Tabledesmatires3">
    <w:name w:val="Table des matières (3)_"/>
    <w:link w:val="Tabledesmatires31"/>
    <w:uiPriority w:val="99"/>
    <w:rsid w:val="00B41E02"/>
    <w:rPr>
      <w:b/>
      <w:bCs/>
      <w:sz w:val="16"/>
      <w:szCs w:val="16"/>
      <w:shd w:val="clear" w:color="auto" w:fill="FFFFFF"/>
    </w:rPr>
  </w:style>
  <w:style w:type="character" w:customStyle="1" w:styleId="Corpsdutexte218">
    <w:name w:val="Corps du texte (2)18"/>
    <w:uiPriority w:val="99"/>
    <w:rsid w:val="00B41E02"/>
  </w:style>
  <w:style w:type="paragraph" w:customStyle="1" w:styleId="Corpsdutexte21">
    <w:name w:val="Corps du texte (2)1"/>
    <w:basedOn w:val="Normal"/>
    <w:link w:val="Corpsdutexte2"/>
    <w:uiPriority w:val="99"/>
    <w:rsid w:val="00B41E02"/>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B41E02"/>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B41E02"/>
    <w:rPr>
      <w:sz w:val="15"/>
      <w:szCs w:val="15"/>
      <w:shd w:val="clear" w:color="auto" w:fill="FFFFFF"/>
    </w:rPr>
  </w:style>
  <w:style w:type="character" w:customStyle="1" w:styleId="Corpsdutexte4">
    <w:name w:val="Corps du texte (4)_"/>
    <w:link w:val="Corpsdutexte41"/>
    <w:uiPriority w:val="99"/>
    <w:rsid w:val="00B41E02"/>
    <w:rPr>
      <w:b/>
      <w:bCs/>
      <w:sz w:val="16"/>
      <w:szCs w:val="16"/>
      <w:shd w:val="clear" w:color="auto" w:fill="FFFFFF"/>
    </w:rPr>
  </w:style>
  <w:style w:type="paragraph" w:customStyle="1" w:styleId="Corpsdutexte1">
    <w:name w:val="Corps du texte1"/>
    <w:basedOn w:val="Normal"/>
    <w:link w:val="Corpsdutexte"/>
    <w:rsid w:val="00B41E02"/>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B41E02"/>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B41E02"/>
    <w:rPr>
      <w:sz w:val="15"/>
      <w:szCs w:val="15"/>
      <w:shd w:val="clear" w:color="auto" w:fill="FFFFFF"/>
    </w:rPr>
  </w:style>
  <w:style w:type="paragraph" w:customStyle="1" w:styleId="Tabledesmatires0">
    <w:name w:val="Table des matières"/>
    <w:basedOn w:val="Normal"/>
    <w:link w:val="Tabledesmatires"/>
    <w:uiPriority w:val="99"/>
    <w:rsid w:val="00B41E02"/>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B41E02"/>
  </w:style>
  <w:style w:type="table" w:styleId="TableGrid">
    <w:name w:val="Table Grid"/>
    <w:basedOn w:val="TableNormal"/>
    <w:uiPriority w:val="59"/>
    <w:rsid w:val="00B41E02"/>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41E02"/>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B41E02"/>
    <w:rPr>
      <w:rFonts w:ascii="Calibri" w:eastAsia="Calibri" w:hAnsi="Calibri" w:cs="Times New Roman"/>
      <w:kern w:val="0"/>
      <w:szCs w:val="21"/>
      <w:lang w:val="da-DK"/>
      <w14:ligatures w14:val="none"/>
    </w:rPr>
  </w:style>
  <w:style w:type="paragraph" w:customStyle="1" w:styleId="Contact">
    <w:name w:val="Contact"/>
    <w:basedOn w:val="Normal"/>
    <w:next w:val="Normal"/>
    <w:rsid w:val="00B41E02"/>
    <w:pPr>
      <w:spacing w:before="480" w:after="0"/>
      <w:ind w:left="567" w:hanging="567"/>
      <w:jc w:val="left"/>
    </w:pPr>
    <w:rPr>
      <w:rFonts w:eastAsia="Times New Roman"/>
      <w:szCs w:val="20"/>
    </w:rPr>
  </w:style>
  <w:style w:type="paragraph" w:customStyle="1" w:styleId="ListBullet1">
    <w:name w:val="List Bullet 1"/>
    <w:basedOn w:val="Text1"/>
    <w:rsid w:val="00B41E02"/>
    <w:pPr>
      <w:numPr>
        <w:numId w:val="25"/>
      </w:numPr>
      <w:spacing w:before="0" w:after="240"/>
    </w:pPr>
    <w:rPr>
      <w:rFonts w:eastAsia="Times New Roman"/>
      <w:szCs w:val="20"/>
    </w:rPr>
  </w:style>
  <w:style w:type="paragraph" w:customStyle="1" w:styleId="ListDash">
    <w:name w:val="List Dash"/>
    <w:basedOn w:val="Normal"/>
    <w:rsid w:val="00B41E02"/>
    <w:pPr>
      <w:numPr>
        <w:numId w:val="26"/>
      </w:numPr>
      <w:spacing w:before="0" w:after="240"/>
    </w:pPr>
    <w:rPr>
      <w:rFonts w:eastAsia="Times New Roman"/>
      <w:szCs w:val="20"/>
    </w:rPr>
  </w:style>
  <w:style w:type="paragraph" w:customStyle="1" w:styleId="ListDash1">
    <w:name w:val="List Dash 1"/>
    <w:basedOn w:val="Text1"/>
    <w:rsid w:val="00B41E02"/>
    <w:pPr>
      <w:numPr>
        <w:numId w:val="27"/>
      </w:numPr>
      <w:spacing w:before="0" w:after="240"/>
    </w:pPr>
    <w:rPr>
      <w:rFonts w:eastAsia="Times New Roman"/>
      <w:szCs w:val="20"/>
    </w:rPr>
  </w:style>
  <w:style w:type="paragraph" w:customStyle="1" w:styleId="ListDash3">
    <w:name w:val="List Dash 3"/>
    <w:basedOn w:val="Text3"/>
    <w:rsid w:val="00B41E02"/>
    <w:pPr>
      <w:numPr>
        <w:numId w:val="29"/>
      </w:numPr>
      <w:spacing w:before="0" w:after="240"/>
    </w:pPr>
    <w:rPr>
      <w:rFonts w:eastAsia="Times New Roman"/>
      <w:szCs w:val="20"/>
    </w:rPr>
  </w:style>
  <w:style w:type="paragraph" w:customStyle="1" w:styleId="ListDash4">
    <w:name w:val="List Dash 4"/>
    <w:basedOn w:val="Normal"/>
    <w:rsid w:val="00B41E02"/>
    <w:pPr>
      <w:numPr>
        <w:numId w:val="30"/>
      </w:numPr>
      <w:spacing w:before="0" w:after="240"/>
    </w:pPr>
    <w:rPr>
      <w:rFonts w:eastAsia="Times New Roman"/>
      <w:szCs w:val="20"/>
    </w:rPr>
  </w:style>
  <w:style w:type="paragraph" w:customStyle="1" w:styleId="ListNumberLevel2">
    <w:name w:val="List Number (Level 2)"/>
    <w:basedOn w:val="Normal"/>
    <w:rsid w:val="00B41E02"/>
    <w:pPr>
      <w:numPr>
        <w:ilvl w:val="1"/>
        <w:numId w:val="24"/>
      </w:numPr>
      <w:spacing w:before="0" w:after="240"/>
    </w:pPr>
    <w:rPr>
      <w:rFonts w:eastAsia="Times New Roman"/>
      <w:szCs w:val="20"/>
    </w:rPr>
  </w:style>
  <w:style w:type="paragraph" w:customStyle="1" w:styleId="ListNumber1Level2">
    <w:name w:val="List Number 1 (Level 2)"/>
    <w:basedOn w:val="Text1"/>
    <w:rsid w:val="00B41E02"/>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B41E02"/>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B41E02"/>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B41E02"/>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B41E02"/>
    <w:pPr>
      <w:numPr>
        <w:ilvl w:val="2"/>
        <w:numId w:val="24"/>
      </w:numPr>
      <w:spacing w:before="0" w:after="240"/>
    </w:pPr>
    <w:rPr>
      <w:rFonts w:eastAsia="Times New Roman"/>
      <w:szCs w:val="20"/>
    </w:rPr>
  </w:style>
  <w:style w:type="paragraph" w:customStyle="1" w:styleId="ListNumber1Level3">
    <w:name w:val="List Number 1 (Level 3)"/>
    <w:basedOn w:val="Text1"/>
    <w:rsid w:val="00B41E02"/>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B41E02"/>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B41E02"/>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B41E02"/>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B41E02"/>
    <w:pPr>
      <w:numPr>
        <w:ilvl w:val="3"/>
        <w:numId w:val="24"/>
      </w:numPr>
      <w:spacing w:before="0" w:after="240"/>
    </w:pPr>
    <w:rPr>
      <w:rFonts w:eastAsia="Times New Roman"/>
      <w:szCs w:val="20"/>
    </w:rPr>
  </w:style>
  <w:style w:type="paragraph" w:customStyle="1" w:styleId="ListNumber1Level4">
    <w:name w:val="List Number 1 (Level 4)"/>
    <w:basedOn w:val="Text1"/>
    <w:rsid w:val="00B41E02"/>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B41E02"/>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B41E02"/>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B41E02"/>
    <w:pPr>
      <w:tabs>
        <w:tab w:val="num" w:pos="5715"/>
      </w:tabs>
      <w:spacing w:before="0" w:after="240"/>
      <w:ind w:left="5715" w:hanging="709"/>
    </w:pPr>
    <w:rPr>
      <w:rFonts w:eastAsia="Times New Roman"/>
      <w:szCs w:val="20"/>
    </w:rPr>
  </w:style>
  <w:style w:type="numbering" w:customStyle="1" w:styleId="Style1">
    <w:name w:val="Style1"/>
    <w:uiPriority w:val="99"/>
    <w:rsid w:val="00B41E02"/>
    <w:pPr>
      <w:numPr>
        <w:numId w:val="23"/>
      </w:numPr>
    </w:pPr>
  </w:style>
  <w:style w:type="character" w:customStyle="1" w:styleId="outputecliaff">
    <w:name w:val="outputecliaff"/>
    <w:rsid w:val="00B41E02"/>
  </w:style>
  <w:style w:type="paragraph" w:styleId="Revision">
    <w:name w:val="Revision"/>
    <w:hidden/>
    <w:uiPriority w:val="99"/>
    <w:semiHidden/>
    <w:rsid w:val="00B41E02"/>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B41E02"/>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B41E02"/>
    <w:rPr>
      <w:sz w:val="15"/>
      <w:szCs w:val="15"/>
      <w:shd w:val="clear" w:color="auto" w:fill="FFFFFF"/>
    </w:rPr>
  </w:style>
  <w:style w:type="paragraph" w:customStyle="1" w:styleId="Corpsdutexte110">
    <w:name w:val="Corps du texte (11)"/>
    <w:basedOn w:val="Normal"/>
    <w:link w:val="Corpsdutexte11"/>
    <w:rsid w:val="00B41E02"/>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B41E02"/>
    <w:rPr>
      <w:sz w:val="15"/>
      <w:szCs w:val="15"/>
      <w:shd w:val="clear" w:color="auto" w:fill="FFFFFF"/>
    </w:rPr>
  </w:style>
  <w:style w:type="paragraph" w:customStyle="1" w:styleId="BodyText1">
    <w:name w:val="Body Text1"/>
    <w:basedOn w:val="Normal"/>
    <w:link w:val="Bodytext"/>
    <w:rsid w:val="00B41E02"/>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B41E02"/>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4">
    <w:name w:val="CM4"/>
    <w:basedOn w:val="Default"/>
    <w:next w:val="Default"/>
    <w:uiPriority w:val="99"/>
    <w:rsid w:val="00B41E02"/>
    <w:rPr>
      <w:rFonts w:ascii="EUAlbertina" w:eastAsia="Calibri" w:hAnsi="EUAlbertina" w:cs="Times New Roman"/>
      <w:color w:val="auto"/>
      <w:kern w:val="0"/>
      <w:lang w:eastAsia="en-GB"/>
      <w14:ligatures w14:val="none"/>
    </w:rPr>
  </w:style>
  <w:style w:type="character" w:customStyle="1" w:styleId="st1">
    <w:name w:val="st1"/>
    <w:rsid w:val="00B41E02"/>
  </w:style>
  <w:style w:type="paragraph" w:customStyle="1" w:styleId="FooterCoverPage">
    <w:name w:val="Footer Cover Page"/>
    <w:basedOn w:val="Normal"/>
    <w:link w:val="FooterCoverPageChar"/>
    <w:rsid w:val="00B41E02"/>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B41E02"/>
    <w:rPr>
      <w:rFonts w:ascii="Times New Roman" w:eastAsia="Times New Roman" w:hAnsi="Times New Roman" w:cs="Times New Roman"/>
      <w:kern w:val="0"/>
      <w:sz w:val="24"/>
      <w:szCs w:val="48"/>
      <w:lang w:val="da-DK" w:eastAsia="en-GB"/>
      <w14:ligatures w14:val="none"/>
    </w:rPr>
  </w:style>
  <w:style w:type="paragraph" w:customStyle="1" w:styleId="HeaderCoverPage">
    <w:name w:val="Header Cover Page"/>
    <w:basedOn w:val="Normal"/>
    <w:link w:val="HeaderCoverPageChar"/>
    <w:rsid w:val="00B41E02"/>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B41E02"/>
    <w:rPr>
      <w:rFonts w:ascii="Times New Roman" w:eastAsia="Times New Roman" w:hAnsi="Times New Roman" w:cs="Times New Roman"/>
      <w:kern w:val="0"/>
      <w:sz w:val="24"/>
      <w:szCs w:val="48"/>
      <w:lang w:val="da-DK" w:eastAsia="en-GB"/>
      <w14:ligatures w14:val="none"/>
    </w:rPr>
  </w:style>
  <w:style w:type="character" w:styleId="PlaceholderText">
    <w:name w:val="Placeholder Text"/>
    <w:basedOn w:val="DefaultParagraphFont"/>
    <w:uiPriority w:val="99"/>
    <w:semiHidden/>
    <w:rsid w:val="00B41E02"/>
    <w:rPr>
      <w:color w:val="666666"/>
    </w:rPr>
  </w:style>
  <w:style w:type="paragraph" w:customStyle="1" w:styleId="ManualHeading1-A">
    <w:name w:val="Manual Heading 1 - A"/>
    <w:basedOn w:val="ManualHeading1"/>
    <w:qFormat/>
    <w:rsid w:val="00B41E02"/>
    <w:pPr>
      <w:numPr>
        <w:numId w:val="32"/>
      </w:numPr>
    </w:pPr>
  </w:style>
  <w:style w:type="character" w:customStyle="1" w:styleId="UnresolvedMention1">
    <w:name w:val="Unresolved Mention1"/>
    <w:basedOn w:val="DefaultParagraphFont"/>
    <w:uiPriority w:val="99"/>
    <w:semiHidden/>
    <w:unhideWhenUsed/>
    <w:rsid w:val="00B41E02"/>
    <w:rPr>
      <w:color w:val="605E5C"/>
      <w:shd w:val="clear" w:color="auto" w:fill="E1DFDD"/>
    </w:rPr>
  </w:style>
  <w:style w:type="paragraph" w:styleId="TOCHeading">
    <w:name w:val="TOC Heading"/>
    <w:basedOn w:val="Normal"/>
    <w:next w:val="Normal"/>
    <w:uiPriority w:val="39"/>
    <w:semiHidden/>
    <w:unhideWhenUsed/>
    <w:qFormat/>
    <w:rsid w:val="00B41E02"/>
    <w:pPr>
      <w:spacing w:after="240"/>
      <w:jc w:val="center"/>
    </w:pPr>
    <w:rPr>
      <w:b/>
      <w:sz w:val="28"/>
    </w:rPr>
  </w:style>
  <w:style w:type="paragraph" w:styleId="TOC1">
    <w:name w:val="toc 1"/>
    <w:basedOn w:val="Normal"/>
    <w:next w:val="Normal"/>
    <w:uiPriority w:val="39"/>
    <w:semiHidden/>
    <w:unhideWhenUsed/>
    <w:rsid w:val="00B41E02"/>
    <w:pPr>
      <w:tabs>
        <w:tab w:val="right" w:leader="dot" w:pos="9071"/>
      </w:tabs>
      <w:spacing w:before="60"/>
      <w:ind w:left="850" w:hanging="850"/>
      <w:jc w:val="left"/>
    </w:pPr>
  </w:style>
  <w:style w:type="paragraph" w:styleId="TOC2">
    <w:name w:val="toc 2"/>
    <w:basedOn w:val="Normal"/>
    <w:next w:val="Normal"/>
    <w:uiPriority w:val="39"/>
    <w:semiHidden/>
    <w:unhideWhenUsed/>
    <w:rsid w:val="00B41E02"/>
    <w:pPr>
      <w:tabs>
        <w:tab w:val="right" w:leader="dot" w:pos="9071"/>
      </w:tabs>
      <w:spacing w:before="60"/>
      <w:ind w:left="850" w:hanging="850"/>
      <w:jc w:val="left"/>
    </w:pPr>
  </w:style>
  <w:style w:type="paragraph" w:styleId="TOC3">
    <w:name w:val="toc 3"/>
    <w:basedOn w:val="Normal"/>
    <w:next w:val="Normal"/>
    <w:uiPriority w:val="39"/>
    <w:semiHidden/>
    <w:unhideWhenUsed/>
    <w:rsid w:val="00B41E02"/>
    <w:pPr>
      <w:tabs>
        <w:tab w:val="right" w:leader="dot" w:pos="9071"/>
      </w:tabs>
      <w:spacing w:before="60"/>
      <w:ind w:left="850" w:hanging="850"/>
      <w:jc w:val="left"/>
    </w:pPr>
  </w:style>
  <w:style w:type="paragraph" w:styleId="TOC4">
    <w:name w:val="toc 4"/>
    <w:basedOn w:val="Normal"/>
    <w:next w:val="Normal"/>
    <w:uiPriority w:val="39"/>
    <w:semiHidden/>
    <w:unhideWhenUsed/>
    <w:rsid w:val="00B41E02"/>
    <w:pPr>
      <w:tabs>
        <w:tab w:val="right" w:leader="dot" w:pos="9071"/>
      </w:tabs>
      <w:spacing w:before="60"/>
      <w:ind w:left="850" w:hanging="850"/>
      <w:jc w:val="left"/>
    </w:pPr>
  </w:style>
  <w:style w:type="paragraph" w:styleId="TOC5">
    <w:name w:val="toc 5"/>
    <w:basedOn w:val="Normal"/>
    <w:next w:val="Normal"/>
    <w:uiPriority w:val="39"/>
    <w:semiHidden/>
    <w:unhideWhenUsed/>
    <w:rsid w:val="00B41E02"/>
    <w:pPr>
      <w:tabs>
        <w:tab w:val="right" w:leader="dot" w:pos="9071"/>
      </w:tabs>
      <w:spacing w:before="300"/>
      <w:jc w:val="left"/>
    </w:pPr>
  </w:style>
  <w:style w:type="paragraph" w:styleId="TOC6">
    <w:name w:val="toc 6"/>
    <w:basedOn w:val="Normal"/>
    <w:next w:val="Normal"/>
    <w:uiPriority w:val="39"/>
    <w:semiHidden/>
    <w:unhideWhenUsed/>
    <w:rsid w:val="00B41E02"/>
    <w:pPr>
      <w:tabs>
        <w:tab w:val="right" w:leader="dot" w:pos="9071"/>
      </w:tabs>
      <w:spacing w:before="240"/>
      <w:jc w:val="left"/>
    </w:pPr>
  </w:style>
  <w:style w:type="paragraph" w:styleId="TOC7">
    <w:name w:val="toc 7"/>
    <w:basedOn w:val="Normal"/>
    <w:next w:val="Normal"/>
    <w:uiPriority w:val="39"/>
    <w:semiHidden/>
    <w:unhideWhenUsed/>
    <w:rsid w:val="00B41E02"/>
    <w:pPr>
      <w:tabs>
        <w:tab w:val="right" w:leader="dot" w:pos="9071"/>
      </w:tabs>
      <w:spacing w:before="180"/>
      <w:jc w:val="left"/>
    </w:pPr>
  </w:style>
  <w:style w:type="paragraph" w:styleId="TOC8">
    <w:name w:val="toc 8"/>
    <w:basedOn w:val="Normal"/>
    <w:next w:val="Normal"/>
    <w:uiPriority w:val="39"/>
    <w:semiHidden/>
    <w:unhideWhenUsed/>
    <w:rsid w:val="00B41E02"/>
    <w:pPr>
      <w:tabs>
        <w:tab w:val="right" w:leader="dot" w:pos="9071"/>
      </w:tabs>
      <w:jc w:val="left"/>
    </w:pPr>
  </w:style>
  <w:style w:type="paragraph" w:styleId="TOC9">
    <w:name w:val="toc 9"/>
    <w:basedOn w:val="Normal"/>
    <w:next w:val="Normal"/>
    <w:uiPriority w:val="39"/>
    <w:semiHidden/>
    <w:unhideWhenUsed/>
    <w:rsid w:val="00B41E02"/>
    <w:pPr>
      <w:tabs>
        <w:tab w:val="right" w:leader="dot" w:pos="9071"/>
      </w:tabs>
      <w:ind w:left="1417" w:hanging="1417"/>
      <w:jc w:val="left"/>
    </w:pPr>
  </w:style>
  <w:style w:type="paragraph" w:customStyle="1" w:styleId="Text1">
    <w:name w:val="Text 1"/>
    <w:basedOn w:val="Normal"/>
    <w:rsid w:val="00B41E02"/>
    <w:pPr>
      <w:ind w:left="850"/>
    </w:pPr>
  </w:style>
  <w:style w:type="paragraph" w:customStyle="1" w:styleId="Text2">
    <w:name w:val="Text 2"/>
    <w:basedOn w:val="Normal"/>
    <w:rsid w:val="00B41E02"/>
    <w:pPr>
      <w:ind w:left="1417"/>
    </w:pPr>
  </w:style>
  <w:style w:type="paragraph" w:customStyle="1" w:styleId="Text3">
    <w:name w:val="Text 3"/>
    <w:basedOn w:val="Normal"/>
    <w:rsid w:val="00B41E02"/>
    <w:pPr>
      <w:ind w:left="1984"/>
    </w:pPr>
  </w:style>
  <w:style w:type="paragraph" w:customStyle="1" w:styleId="Text4">
    <w:name w:val="Text 4"/>
    <w:basedOn w:val="Normal"/>
    <w:rsid w:val="00B41E02"/>
    <w:pPr>
      <w:ind w:left="2551"/>
    </w:pPr>
  </w:style>
  <w:style w:type="paragraph" w:customStyle="1" w:styleId="Text5">
    <w:name w:val="Text 5"/>
    <w:basedOn w:val="Normal"/>
    <w:rsid w:val="00B41E02"/>
    <w:pPr>
      <w:ind w:left="3118"/>
    </w:pPr>
  </w:style>
  <w:style w:type="paragraph" w:customStyle="1" w:styleId="Text6">
    <w:name w:val="Text 6"/>
    <w:basedOn w:val="Normal"/>
    <w:rsid w:val="00B41E02"/>
    <w:pPr>
      <w:ind w:left="3685"/>
    </w:pPr>
  </w:style>
  <w:style w:type="paragraph" w:customStyle="1" w:styleId="QuotedText">
    <w:name w:val="Quoted Text"/>
    <w:basedOn w:val="Normal"/>
    <w:rsid w:val="00B41E02"/>
    <w:pPr>
      <w:ind w:left="1417"/>
    </w:pPr>
  </w:style>
  <w:style w:type="paragraph" w:customStyle="1" w:styleId="Point0">
    <w:name w:val="Point 0"/>
    <w:basedOn w:val="Normal"/>
    <w:rsid w:val="00B41E02"/>
    <w:pPr>
      <w:ind w:left="850" w:hanging="850"/>
    </w:pPr>
  </w:style>
  <w:style w:type="paragraph" w:customStyle="1" w:styleId="Point1">
    <w:name w:val="Point 1"/>
    <w:basedOn w:val="Normal"/>
    <w:rsid w:val="00B41E02"/>
    <w:pPr>
      <w:ind w:left="1417" w:hanging="567"/>
    </w:pPr>
  </w:style>
  <w:style w:type="paragraph" w:customStyle="1" w:styleId="Point2">
    <w:name w:val="Point 2"/>
    <w:basedOn w:val="Normal"/>
    <w:rsid w:val="00B41E02"/>
    <w:pPr>
      <w:ind w:left="1984" w:hanging="567"/>
    </w:pPr>
  </w:style>
  <w:style w:type="paragraph" w:customStyle="1" w:styleId="Point3">
    <w:name w:val="Point 3"/>
    <w:basedOn w:val="Normal"/>
    <w:rsid w:val="00B41E02"/>
    <w:pPr>
      <w:ind w:left="2551" w:hanging="567"/>
    </w:pPr>
  </w:style>
  <w:style w:type="paragraph" w:customStyle="1" w:styleId="Point4">
    <w:name w:val="Point 4"/>
    <w:basedOn w:val="Normal"/>
    <w:rsid w:val="00B41E02"/>
    <w:pPr>
      <w:ind w:left="3118" w:hanging="567"/>
    </w:pPr>
  </w:style>
  <w:style w:type="paragraph" w:customStyle="1" w:styleId="Point5">
    <w:name w:val="Point 5"/>
    <w:basedOn w:val="Normal"/>
    <w:rsid w:val="00B41E02"/>
    <w:pPr>
      <w:ind w:left="3685" w:hanging="567"/>
    </w:pPr>
  </w:style>
  <w:style w:type="paragraph" w:customStyle="1" w:styleId="Tiret0">
    <w:name w:val="Tiret 0"/>
    <w:basedOn w:val="Point0"/>
    <w:rsid w:val="00B41E02"/>
    <w:pPr>
      <w:numPr>
        <w:numId w:val="33"/>
      </w:numPr>
    </w:pPr>
  </w:style>
  <w:style w:type="paragraph" w:customStyle="1" w:styleId="Tiret1">
    <w:name w:val="Tiret 1"/>
    <w:basedOn w:val="Point1"/>
    <w:rsid w:val="00B41E02"/>
    <w:pPr>
      <w:numPr>
        <w:numId w:val="38"/>
      </w:numPr>
    </w:pPr>
  </w:style>
  <w:style w:type="paragraph" w:customStyle="1" w:styleId="Tiret2">
    <w:name w:val="Tiret 2"/>
    <w:basedOn w:val="Point2"/>
    <w:rsid w:val="00B41E02"/>
    <w:pPr>
      <w:numPr>
        <w:numId w:val="55"/>
      </w:numPr>
    </w:pPr>
  </w:style>
  <w:style w:type="paragraph" w:customStyle="1" w:styleId="Tiret3">
    <w:name w:val="Tiret 3"/>
    <w:basedOn w:val="Point3"/>
    <w:rsid w:val="00B41E02"/>
    <w:pPr>
      <w:numPr>
        <w:numId w:val="57"/>
      </w:numPr>
    </w:pPr>
  </w:style>
  <w:style w:type="paragraph" w:customStyle="1" w:styleId="Tiret4">
    <w:name w:val="Tiret 4"/>
    <w:basedOn w:val="Point4"/>
    <w:rsid w:val="00B41E02"/>
    <w:pPr>
      <w:numPr>
        <w:numId w:val="58"/>
      </w:numPr>
    </w:pPr>
  </w:style>
  <w:style w:type="paragraph" w:customStyle="1" w:styleId="Tiret5">
    <w:name w:val="Tiret 5"/>
    <w:basedOn w:val="Point5"/>
    <w:rsid w:val="00B41E02"/>
    <w:pPr>
      <w:numPr>
        <w:numId w:val="59"/>
      </w:numPr>
    </w:pPr>
  </w:style>
  <w:style w:type="paragraph" w:customStyle="1" w:styleId="PointDouble0">
    <w:name w:val="PointDouble 0"/>
    <w:basedOn w:val="Normal"/>
    <w:rsid w:val="00B41E02"/>
    <w:pPr>
      <w:tabs>
        <w:tab w:val="left" w:pos="850"/>
      </w:tabs>
      <w:ind w:left="1417" w:hanging="1417"/>
    </w:pPr>
  </w:style>
  <w:style w:type="paragraph" w:customStyle="1" w:styleId="PointDouble1">
    <w:name w:val="PointDouble 1"/>
    <w:basedOn w:val="Normal"/>
    <w:rsid w:val="00B41E02"/>
    <w:pPr>
      <w:tabs>
        <w:tab w:val="left" w:pos="1417"/>
      </w:tabs>
      <w:ind w:left="1984" w:hanging="1134"/>
    </w:pPr>
  </w:style>
  <w:style w:type="paragraph" w:customStyle="1" w:styleId="PointDouble2">
    <w:name w:val="PointDouble 2"/>
    <w:basedOn w:val="Normal"/>
    <w:rsid w:val="00B41E02"/>
    <w:pPr>
      <w:tabs>
        <w:tab w:val="left" w:pos="1984"/>
      </w:tabs>
      <w:ind w:left="2551" w:hanging="1134"/>
    </w:pPr>
  </w:style>
  <w:style w:type="paragraph" w:customStyle="1" w:styleId="PointDouble3">
    <w:name w:val="PointDouble 3"/>
    <w:basedOn w:val="Normal"/>
    <w:rsid w:val="00B41E02"/>
    <w:pPr>
      <w:tabs>
        <w:tab w:val="left" w:pos="2551"/>
      </w:tabs>
      <w:ind w:left="3118" w:hanging="1134"/>
    </w:pPr>
  </w:style>
  <w:style w:type="paragraph" w:customStyle="1" w:styleId="PointDouble4">
    <w:name w:val="PointDouble 4"/>
    <w:basedOn w:val="Normal"/>
    <w:rsid w:val="00B41E02"/>
    <w:pPr>
      <w:tabs>
        <w:tab w:val="left" w:pos="3118"/>
      </w:tabs>
      <w:ind w:left="3685" w:hanging="1134"/>
    </w:pPr>
  </w:style>
  <w:style w:type="paragraph" w:customStyle="1" w:styleId="PointTriple0">
    <w:name w:val="PointTriple 0"/>
    <w:basedOn w:val="Normal"/>
    <w:rsid w:val="00B41E02"/>
    <w:pPr>
      <w:tabs>
        <w:tab w:val="left" w:pos="850"/>
        <w:tab w:val="left" w:pos="1417"/>
      </w:tabs>
      <w:ind w:left="1984" w:hanging="1984"/>
    </w:pPr>
  </w:style>
  <w:style w:type="paragraph" w:customStyle="1" w:styleId="PointTriple1">
    <w:name w:val="PointTriple 1"/>
    <w:basedOn w:val="Normal"/>
    <w:rsid w:val="00B41E02"/>
    <w:pPr>
      <w:tabs>
        <w:tab w:val="left" w:pos="1417"/>
        <w:tab w:val="left" w:pos="1984"/>
      </w:tabs>
      <w:ind w:left="2551" w:hanging="1701"/>
    </w:pPr>
  </w:style>
  <w:style w:type="paragraph" w:customStyle="1" w:styleId="PointTriple2">
    <w:name w:val="PointTriple 2"/>
    <w:basedOn w:val="Normal"/>
    <w:rsid w:val="00B41E02"/>
    <w:pPr>
      <w:tabs>
        <w:tab w:val="left" w:pos="1984"/>
        <w:tab w:val="left" w:pos="2551"/>
      </w:tabs>
      <w:ind w:left="3118" w:hanging="1701"/>
    </w:pPr>
  </w:style>
  <w:style w:type="paragraph" w:customStyle="1" w:styleId="PointTriple3">
    <w:name w:val="PointTriple 3"/>
    <w:basedOn w:val="Normal"/>
    <w:rsid w:val="00B41E02"/>
    <w:pPr>
      <w:tabs>
        <w:tab w:val="left" w:pos="2551"/>
        <w:tab w:val="left" w:pos="3118"/>
      </w:tabs>
      <w:ind w:left="3685" w:hanging="1701"/>
    </w:pPr>
  </w:style>
  <w:style w:type="paragraph" w:customStyle="1" w:styleId="PointTriple4">
    <w:name w:val="PointTriple 4"/>
    <w:basedOn w:val="Normal"/>
    <w:rsid w:val="00B41E02"/>
    <w:pPr>
      <w:tabs>
        <w:tab w:val="left" w:pos="3118"/>
        <w:tab w:val="left" w:pos="3685"/>
      </w:tabs>
      <w:ind w:left="4252" w:hanging="1701"/>
    </w:pPr>
  </w:style>
  <w:style w:type="paragraph" w:customStyle="1" w:styleId="QuotedNumPar">
    <w:name w:val="Quoted NumPar"/>
    <w:basedOn w:val="Normal"/>
    <w:rsid w:val="00B41E02"/>
    <w:pPr>
      <w:ind w:left="1417" w:hanging="567"/>
    </w:pPr>
  </w:style>
  <w:style w:type="paragraph" w:customStyle="1" w:styleId="SectionTitle">
    <w:name w:val="SectionTitle"/>
    <w:basedOn w:val="Normal"/>
    <w:next w:val="Heading1"/>
    <w:rsid w:val="00B41E02"/>
    <w:pPr>
      <w:keepNext/>
      <w:spacing w:after="360"/>
      <w:jc w:val="center"/>
    </w:pPr>
    <w:rPr>
      <w:b/>
      <w:smallCaps/>
      <w:sz w:val="28"/>
    </w:rPr>
  </w:style>
  <w:style w:type="paragraph" w:customStyle="1" w:styleId="TableTitle">
    <w:name w:val="Table Title"/>
    <w:basedOn w:val="Normal"/>
    <w:next w:val="Normal"/>
    <w:rsid w:val="00B41E02"/>
    <w:pPr>
      <w:jc w:val="center"/>
    </w:pPr>
    <w:rPr>
      <w:b/>
    </w:rPr>
  </w:style>
  <w:style w:type="paragraph" w:customStyle="1" w:styleId="Point0number">
    <w:name w:val="Point 0 (number)"/>
    <w:basedOn w:val="Normal"/>
    <w:rsid w:val="00B41E02"/>
    <w:pPr>
      <w:numPr>
        <w:numId w:val="31"/>
      </w:numPr>
    </w:pPr>
  </w:style>
  <w:style w:type="paragraph" w:customStyle="1" w:styleId="Point1number">
    <w:name w:val="Point 1 (number)"/>
    <w:basedOn w:val="Normal"/>
    <w:rsid w:val="00B41E02"/>
    <w:pPr>
      <w:numPr>
        <w:ilvl w:val="2"/>
        <w:numId w:val="31"/>
      </w:numPr>
    </w:pPr>
  </w:style>
  <w:style w:type="paragraph" w:customStyle="1" w:styleId="Point2number">
    <w:name w:val="Point 2 (number)"/>
    <w:basedOn w:val="Normal"/>
    <w:rsid w:val="00B41E02"/>
    <w:pPr>
      <w:numPr>
        <w:ilvl w:val="4"/>
        <w:numId w:val="31"/>
      </w:numPr>
    </w:pPr>
  </w:style>
  <w:style w:type="paragraph" w:customStyle="1" w:styleId="Point3number">
    <w:name w:val="Point 3 (number)"/>
    <w:basedOn w:val="Normal"/>
    <w:rsid w:val="00B41E02"/>
    <w:pPr>
      <w:numPr>
        <w:ilvl w:val="6"/>
        <w:numId w:val="31"/>
      </w:numPr>
    </w:pPr>
  </w:style>
  <w:style w:type="paragraph" w:customStyle="1" w:styleId="Point0letter">
    <w:name w:val="Point 0 (letter)"/>
    <w:basedOn w:val="Normal"/>
    <w:rsid w:val="00B41E02"/>
    <w:pPr>
      <w:numPr>
        <w:ilvl w:val="1"/>
        <w:numId w:val="31"/>
      </w:numPr>
    </w:pPr>
  </w:style>
  <w:style w:type="paragraph" w:customStyle="1" w:styleId="Point1letter">
    <w:name w:val="Point 1 (letter)"/>
    <w:basedOn w:val="Normal"/>
    <w:rsid w:val="00B41E02"/>
    <w:pPr>
      <w:numPr>
        <w:ilvl w:val="3"/>
        <w:numId w:val="31"/>
      </w:numPr>
    </w:pPr>
  </w:style>
  <w:style w:type="paragraph" w:customStyle="1" w:styleId="Point2letter">
    <w:name w:val="Point 2 (letter)"/>
    <w:basedOn w:val="Normal"/>
    <w:rsid w:val="00B41E02"/>
    <w:pPr>
      <w:numPr>
        <w:ilvl w:val="5"/>
        <w:numId w:val="31"/>
      </w:numPr>
    </w:pPr>
  </w:style>
  <w:style w:type="paragraph" w:customStyle="1" w:styleId="Point3letter">
    <w:name w:val="Point 3 (letter)"/>
    <w:basedOn w:val="Normal"/>
    <w:rsid w:val="00B41E02"/>
    <w:pPr>
      <w:numPr>
        <w:ilvl w:val="7"/>
        <w:numId w:val="31"/>
      </w:numPr>
    </w:pPr>
  </w:style>
  <w:style w:type="paragraph" w:customStyle="1" w:styleId="Point4letter">
    <w:name w:val="Point 4 (letter)"/>
    <w:basedOn w:val="Normal"/>
    <w:rsid w:val="00B41E02"/>
    <w:pPr>
      <w:numPr>
        <w:ilvl w:val="8"/>
        <w:numId w:val="31"/>
      </w:numPr>
    </w:pPr>
  </w:style>
  <w:style w:type="paragraph" w:customStyle="1" w:styleId="Rfrenceinstitutionnelle">
    <w:name w:val="Référence institutionnelle"/>
    <w:basedOn w:val="Normal"/>
    <w:next w:val="Confidentialit"/>
    <w:rsid w:val="00B41E02"/>
    <w:pPr>
      <w:spacing w:before="0" w:after="240"/>
      <w:ind w:left="5103"/>
      <w:jc w:val="left"/>
    </w:pPr>
  </w:style>
  <w:style w:type="paragraph" w:customStyle="1" w:styleId="SecurityMarking">
    <w:name w:val="SecurityMarking"/>
    <w:basedOn w:val="Normal"/>
    <w:rsid w:val="00B41E02"/>
    <w:pPr>
      <w:spacing w:before="0" w:after="0" w:line="276" w:lineRule="auto"/>
      <w:ind w:left="5103"/>
      <w:jc w:val="left"/>
    </w:pPr>
    <w:rPr>
      <w:sz w:val="28"/>
    </w:rPr>
  </w:style>
  <w:style w:type="paragraph" w:customStyle="1" w:styleId="ReleasableTo">
    <w:name w:val="ReleasableTo"/>
    <w:basedOn w:val="Normal"/>
    <w:rsid w:val="00B41E0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B41E02"/>
    <w:pPr>
      <w:spacing w:before="0" w:after="0"/>
      <w:ind w:left="5103"/>
      <w:jc w:val="left"/>
    </w:pPr>
  </w:style>
  <w:style w:type="paragraph" w:customStyle="1" w:styleId="Rfrenceinterne">
    <w:name w:val="Référence interne"/>
    <w:basedOn w:val="Normal"/>
    <w:next w:val="Rfrenceinterinstitutionnelle"/>
    <w:rsid w:val="00B41E02"/>
    <w:pPr>
      <w:spacing w:before="0" w:after="0"/>
      <w:ind w:left="5103"/>
      <w:jc w:val="left"/>
    </w:pPr>
  </w:style>
  <w:style w:type="paragraph" w:customStyle="1" w:styleId="Statut">
    <w:name w:val="Statut"/>
    <w:basedOn w:val="Normal"/>
    <w:next w:val="Typedudocument"/>
    <w:rsid w:val="00B41E02"/>
    <w:pPr>
      <w:spacing w:before="0" w:after="240"/>
      <w:jc w:val="center"/>
    </w:pPr>
  </w:style>
  <w:style w:type="paragraph" w:customStyle="1" w:styleId="Titrearticle">
    <w:name w:val="Titre article"/>
    <w:basedOn w:val="Normal"/>
    <w:next w:val="Normal"/>
    <w:rsid w:val="00B41E02"/>
    <w:pPr>
      <w:keepNext/>
      <w:spacing w:before="360"/>
      <w:jc w:val="center"/>
    </w:pPr>
    <w:rPr>
      <w:i/>
    </w:rPr>
  </w:style>
  <w:style w:type="paragraph" w:customStyle="1" w:styleId="Typedudocument">
    <w:name w:val="Type du document"/>
    <w:basedOn w:val="Normal"/>
    <w:next w:val="Accompagnant"/>
    <w:rsid w:val="00B41E02"/>
    <w:pPr>
      <w:spacing w:before="360" w:after="180"/>
      <w:jc w:val="center"/>
    </w:pPr>
    <w:rPr>
      <w:b/>
    </w:rPr>
  </w:style>
  <w:style w:type="paragraph" w:customStyle="1" w:styleId="Supertitre">
    <w:name w:val="Supertitre"/>
    <w:basedOn w:val="Normal"/>
    <w:next w:val="Normal"/>
    <w:rsid w:val="00B41E02"/>
    <w:pPr>
      <w:spacing w:before="0" w:after="600"/>
      <w:jc w:val="center"/>
    </w:pPr>
    <w:rPr>
      <w:b/>
    </w:rPr>
  </w:style>
  <w:style w:type="paragraph" w:customStyle="1" w:styleId="Rfrencecroise">
    <w:name w:val="Référence croisée"/>
    <w:basedOn w:val="Normal"/>
    <w:rsid w:val="00B41E0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B41E02"/>
  </w:style>
  <w:style w:type="paragraph" w:customStyle="1" w:styleId="StatutPagedecouverture">
    <w:name w:val="Statut (Page de couverture)"/>
    <w:basedOn w:val="Statut"/>
    <w:next w:val="TypedudocumentPagedecouverture"/>
    <w:rsid w:val="00B41E02"/>
  </w:style>
  <w:style w:type="paragraph" w:customStyle="1" w:styleId="TypedudocumentPagedecouverture">
    <w:name w:val="Type du document (Page de couverture)"/>
    <w:basedOn w:val="Typedudocument"/>
    <w:next w:val="AccompagnantPagedecouverture"/>
    <w:rsid w:val="00B41E02"/>
  </w:style>
  <w:style w:type="paragraph" w:customStyle="1" w:styleId="Volume">
    <w:name w:val="Volume"/>
    <w:basedOn w:val="Normal"/>
    <w:next w:val="Confidentialit"/>
    <w:rsid w:val="00B41E02"/>
    <w:pPr>
      <w:spacing w:before="0" w:after="240"/>
      <w:ind w:left="5103"/>
      <w:jc w:val="left"/>
    </w:pPr>
  </w:style>
  <w:style w:type="paragraph" w:customStyle="1" w:styleId="Typeacteprincipal">
    <w:name w:val="Type acte principal"/>
    <w:basedOn w:val="Normal"/>
    <w:next w:val="Objetacteprincipal"/>
    <w:rsid w:val="00B41E0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B41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DA/TXT/?uri=OJ:C:2021:508: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9AB55-95FA-44F8-A32F-135795E13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29</Pages>
  <Words>7077</Words>
  <Characters>46430</Characters>
  <DocSecurity>0</DocSecurity>
  <Lines>1132</Lines>
  <Paragraphs>514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2025-06-12T06:20:00Z</dcterms:created>
  <dcterms:modified xsi:type="dcterms:W3CDTF">2025-06-16T17:52:00Z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2025-06-12T07:00:37Z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58bd63ff-f6d3-4834-b453-e23cd3293282</vt:lpwstr>
  </property>
  <property fmtid="{D5CDD505-2E9C-101B-9397-08002B2CF9AE}" pid="8" name="MSIP_Label_6bd9ddd1-4d20-43f6-abfa-fc3c07406f94_ContentBits">
    <vt:lpwstr>0</vt:lpwstr>
  </property>
</Properties>
</file>