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Del III.6</w:t>
            </w:r>
          </w:p>
          <w:p w14:paraId="6E9C4C7E" w14:textId="620BA570" w:rsidR="000442F5" w:rsidRPr="009916D5" w:rsidRDefault="001F242D" w:rsidP="007B485D">
            <w:pPr>
              <w:pStyle w:val="Heading2"/>
              <w:spacing w:before="240" w:after="240"/>
              <w:jc w:val="center"/>
              <w:rPr>
                <w:sz w:val="32"/>
                <w:szCs w:val="32"/>
              </w:rPr>
            </w:pPr>
            <w:r>
              <w:rPr>
                <w:sz w:val="32"/>
              </w:rPr>
              <w:t>Formulär för kompletterande information om statligt stöd som beviljas enligt riktlinjerna för statligt stöd till klimat, miljöskydd och energi 2022 (</w:t>
            </w:r>
            <w:r>
              <w:rPr>
                <w:i/>
                <w:iCs/>
                <w:sz w:val="32"/>
              </w:rPr>
              <w:t>riktlinjerna</w:t>
            </w:r>
            <w:r>
              <w:rPr>
                <w:sz w:val="32"/>
              </w:rPr>
              <w:t>)</w:t>
            </w:r>
            <w:r w:rsidR="007B485D" w:rsidRPr="001F242D">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Kapitel 4.7.1 – Stöd i form av sänkta miljöskatter och skatteliknande miljöavgifter</w:t>
            </w:r>
          </w:p>
        </w:tc>
      </w:tr>
    </w:tbl>
    <w:p w14:paraId="27F0F629" w14:textId="4927A87E" w:rsidR="000442F5" w:rsidRPr="00711243" w:rsidRDefault="000442F5" w:rsidP="004779D5">
      <w:pPr>
        <w:spacing w:before="360" w:after="120"/>
        <w:ind w:right="-142"/>
        <w:jc w:val="both"/>
        <w:rPr>
          <w:i/>
          <w:iCs/>
        </w:rPr>
      </w:pPr>
      <w:r>
        <w:rPr>
          <w:i/>
        </w:rPr>
        <w:t>Detta formulär för kompletterande information ska användas för anmälan av stöd som omfattas av riktlinjerna för statligt stöd till klimat, miljöskydd och energi 2022 (energiriktlinjerna).</w:t>
      </w:r>
    </w:p>
    <w:p w14:paraId="622044AE" w14:textId="108684F2" w:rsidR="009E2EA1" w:rsidRPr="00711243" w:rsidRDefault="0072538B" w:rsidP="6EC7D551">
      <w:pPr>
        <w:spacing w:before="120" w:after="120"/>
        <w:ind w:right="-142"/>
        <w:jc w:val="both"/>
        <w:rPr>
          <w:i/>
          <w:iCs/>
        </w:rPr>
      </w:pPr>
      <w:r>
        <w:rPr>
          <w:i/>
        </w:rPr>
        <w:t xml:space="preserve">Detta formulär för kompletterande information avser åtgärder som omfattas av kapitel 4.7.1 i riktlinjerna. Om anmälan inbegriper åtgärder som omfattas av mer än ett kapitel i riktlinjerna ska även det formulär för kompletterande information som rör det aktuella kapitlet i riktlinjerna fyllas i när det finns tillgängligt. </w:t>
      </w:r>
    </w:p>
    <w:p w14:paraId="516CA0D8" w14:textId="13E1AC51" w:rsidR="00D85EEE" w:rsidRDefault="009E2EA1" w:rsidP="0BD92DCE">
      <w:pPr>
        <w:spacing w:before="120" w:after="120"/>
        <w:ind w:right="-142"/>
        <w:jc w:val="both"/>
      </w:pPr>
      <w:r>
        <w:rPr>
          <w:i/>
        </w:rPr>
        <w:t>Alla dokument som medlemsstaterna bifogar detta formulär för kompletterande information som bilagor måste numreras, och dokumentnumren måste anges i de tillämpliga avsnitten av detta formulär.</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Avsnitt A: Sammanfattning av huvuddragen i åtgärden/åtgärderna</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Bakgrund och mål för åtgärden/åtgärderna:</w:t>
      </w:r>
    </w:p>
    <w:p w14:paraId="7E6887E3" w14:textId="3DC69D1A" w:rsidR="00EA14A3" w:rsidRDefault="00D3344D" w:rsidP="00EA14A3">
      <w:pPr>
        <w:pStyle w:val="ListParagraph"/>
        <w:numPr>
          <w:ilvl w:val="0"/>
          <w:numId w:val="67"/>
        </w:numPr>
        <w:spacing w:after="240"/>
        <w:ind w:left="993" w:hanging="142"/>
        <w:jc w:val="both"/>
      </w:pPr>
      <w:r>
        <w:t xml:space="preserve">Om det inte redan har beskrivits i avsnitt 5.2 i formuläret för allmän information (del I), beskriv bakgrunden och huvudsyftet, inklusive förhållandet till eventuella miljömål i unionen som åtgärden är avsedd att stödja.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Om det inte redan har beskrivits i avsnitt 5.2 i formuläret för allmän information (del I), ange eventuella andra mål som eftersträvas med åtgärden. För alla mål som inte är rent miljömässiga, ange om de kan leda till snedvridningar på den inre marknaden.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bCs/>
        </w:rPr>
        <w:t>Ikraftträdande och varaktighet:</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I den mån det inte redan har tagits upp i avsnitt 5.5 i formuläret för allmän information (del I), ange</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i fråga om stödordningar: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Det datum från och med vilket stödordningen planeras träda i kraft.</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Stödordningens varaktighet</w:t>
      </w:r>
      <w:r w:rsidRPr="0096487F">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För individuellt stöd: Datum för (planerat) beviljande av stöd (löfte om stöd) och betalningsdatum (första betalningsdatum om flera på varandra följande utbetalningar planeras):</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Stödmottagare</w:t>
      </w:r>
    </w:p>
    <w:p w14:paraId="5266FC05" w14:textId="60C34F9E" w:rsidR="00BC5DDD" w:rsidRDefault="00CF3861" w:rsidP="00C52CFD">
      <w:pPr>
        <w:pStyle w:val="ListParagraph"/>
        <w:numPr>
          <w:ilvl w:val="0"/>
          <w:numId w:val="68"/>
        </w:numPr>
        <w:spacing w:after="240"/>
        <w:ind w:hanging="229"/>
        <w:jc w:val="both"/>
        <w:rPr>
          <w:szCs w:val="24"/>
        </w:rPr>
      </w:pPr>
      <w:r>
        <w:t>Om det inte redan har uppgetts under avsnitt 3 i formuläret för allmän information (del I), beskriv (den potentiella) stödmottagaren eller (de potentiella) stödmottagarna för åtgärden/åtgärderna.</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Ange var stödmottagarna är belägna (dvs. om endast ekonomiska enheter belägna i respektive medlemsstat får delta i åtgärden eller även ekonomiska enheter i andra medlemsstater).</w:t>
      </w:r>
    </w:p>
    <w:p w14:paraId="041205D4" w14:textId="77777777" w:rsidR="000442F5" w:rsidRDefault="000442F5" w:rsidP="000442F5">
      <w:pPr>
        <w:tabs>
          <w:tab w:val="left" w:leader="dot" w:pos="9072"/>
        </w:tabs>
        <w:spacing w:before="120" w:after="120"/>
        <w:ind w:left="567"/>
        <w:jc w:val="both"/>
      </w:pPr>
      <w:r>
        <w:lastRenderedPageBreak/>
        <w:tab/>
      </w:r>
    </w:p>
    <w:p w14:paraId="5B7A16AB" w14:textId="77777777" w:rsidR="00E20950" w:rsidRDefault="00E20950" w:rsidP="00E20950">
      <w:pPr>
        <w:pStyle w:val="ListParagraph"/>
        <w:numPr>
          <w:ilvl w:val="0"/>
          <w:numId w:val="68"/>
        </w:numPr>
        <w:spacing w:after="240"/>
        <w:ind w:hanging="229"/>
        <w:jc w:val="both"/>
        <w:rPr>
          <w:szCs w:val="24"/>
        </w:rPr>
      </w:pPr>
      <w:r>
        <w:t xml:space="preserve">För att det ska gå att bedöma efterlevnaden av punkt 15 i riktlinjerna, ange om stöd genom denna åtgärd beviljas företag (enskilt eller som del av en stödordning) som är föremål för ett oreglerat återbetalningskrav till följd av ett tidigare kommissionsbeslut som förklarat ett stöd olagligt och oförenligt med den inre marknaden.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Om så är fallet, ange det stödbelopp som återstår att återbetala så att kommissionen tar hänsyn till detta vid bedömningen av stödåtgärden/stödåtgärderna.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Bekräfta att åtgärden/åtgärderna inte inbegriper stöd till verksamheter som inte ingår i riktlinjernas tillämpningsområde (se punkt 13 i riktlinjerna). I annat fall, lämna närmare uppgifter.</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bCs/>
        </w:rPr>
        <w:t>Budget för och finansiering av åtgärden/åtgärderna</w:t>
      </w:r>
      <w:bookmarkEnd w:id="2"/>
      <w:r>
        <w:rPr>
          <w:b/>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Om det inte redan har uppgetts i tabellen i avsnitt 7.1 i formuläret för allmän information (del I), ange den årliga budgeten och/eller den totala budgeten för åtgärdens eller åtgärdernas hela varaktighet. Om den totala budgeten inte är känd (t.ex. för att den beror på resultaten av upphandlingar), ange en beräknad budget, inklusive de beräkningsantaganden som ligger till grund för denna.</w:t>
      </w:r>
      <w:r w:rsidR="0091313C" w:rsidRPr="0091313C">
        <w:rPr>
          <w:rFonts w:cs="Arial Unicode MS"/>
          <w:bCs/>
          <w:vertAlign w:val="superscript"/>
          <w:lang w:bidi="si-LK"/>
        </w:rPr>
        <w:footnoteReference w:id="4"/>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Eftersom åtgärden avser en miljöskatt/skatteliknande avgift</w:t>
      </w:r>
      <w:r>
        <w:rPr>
          <w:rStyle w:val="FootnoteReference"/>
          <w:rFonts w:cs="Arial Unicode MS"/>
          <w:lang w:bidi="si-LK"/>
        </w:rPr>
        <w:footnoteReference w:id="5"/>
      </w:r>
      <w:r>
        <w:t>, ombeds du lämna närmare upplysningar om följande:</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Avgiften fastställs i lag eller någon annan lagstiftningsakt. Om så är fallet, ange rättsaktens nummer och datum för när den antogs och trädde i kraft samt internetlänken till rättsakten.</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Avgiftssänkningen finansieras genom en höjning av avgiften för andra konsumenter.</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Avgiften tas ut på både inhemska och importerade produkter.</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Den anmälda åtgärden kommer att gynna både inhemska och importerade produkter.</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lastRenderedPageBreak/>
        <w:t>Avgiften finansierar åtgärden helt eller endast delvis. Om avgiften endast delvis finansierar åtgärden, ange övriga finansieringskällor för åtgärden och deras respektive andel.</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Den avgift som finansierar åtgärden finansierar även andra stödåtgärder. Ange i sådana fall övriga stödåtgärder som finansieras genom den berörda avgiften.</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Avsnitt B: Bedömning av stödets förenlighet med den inre marknaden</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Positivt villkor: stödet ska underlätta utvecklingen av en näringsverksamhet</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Bidrag till utvecklingen av en ekonomisk verksamhet, stimulanseffekt, bakgrund till stödet och omfattningen av stödberättigade verksamheter</w:t>
            </w:r>
          </w:p>
        </w:tc>
      </w:tr>
    </w:tbl>
    <w:p w14:paraId="2870642B" w14:textId="029644F0" w:rsidR="000442F5" w:rsidRPr="00DB40A5" w:rsidRDefault="000442F5" w:rsidP="7963440A">
      <w:pPr>
        <w:spacing w:before="360" w:after="120"/>
        <w:jc w:val="both"/>
        <w:rPr>
          <w:i/>
          <w:iCs/>
        </w:rPr>
      </w:pPr>
      <w:r>
        <w:rPr>
          <w:i/>
          <w:iCs/>
        </w:rPr>
        <w:t>För att lämna information i detta avsnitt, se avsnitten 3.1.1 och 3.1.2,</w:t>
      </w:r>
      <w:bookmarkStart w:id="4" w:name="_Hlk172821826"/>
      <w:r>
        <w:rPr>
          <w:i/>
          <w:iCs/>
        </w:rPr>
        <w:t xml:space="preserve"> i den mån de är tillämpliga på åtgärden/åtgärderna</w:t>
      </w:r>
      <w:bookmarkEnd w:id="4"/>
      <w:r>
        <w:rPr>
          <w:i/>
          <w:iCs/>
        </w:rPr>
        <w:t>, och avsnitten 4.7.1.1 och 4.7.1.2 (punkt 293–296) o och f i riktlinjerna</w:t>
      </w:r>
      <w:r>
        <w:t>.</w:t>
      </w:r>
      <w:r>
        <w:rPr>
          <w:i/>
        </w:rPr>
        <w:t xml:space="preserve">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Enligt artikel 107.3 c i EUF-fördraget får kommissionen förklara som förenligt med lagstiftningen ”stöd för att underlätta utveckling av vissa näringsverksamheter eller vissa regioner, när det inte påverkar handeln i negativ riktning i en omfattning som strider mot det gemensamma intresset”. Därför måste stöd som är förenligt med den inre marknaden enligt denna bestämmelse i fördraget bidra till utvecklingen av vissa näringsverksamheter. </w:t>
      </w:r>
    </w:p>
    <w:p w14:paraId="52F709B3" w14:textId="79C6C83F" w:rsidR="00EE2FCC" w:rsidRPr="00864DCD" w:rsidRDefault="00CB486E" w:rsidP="00864DCD">
      <w:pPr>
        <w:pStyle w:val="ListParagraph"/>
        <w:spacing w:before="120" w:after="120"/>
        <w:ind w:left="567"/>
        <w:contextualSpacing w:val="0"/>
        <w:jc w:val="both"/>
      </w:pPr>
      <w:r>
        <w:t>För att bedöma efterlevnaden av punkt 23 i riktlinjerna, ange vilka näringsverksamheter som kommer att underlättas som en följd av stödet och hur utvecklingen av dessa verksamheter stöds.</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Stöd kan endast anses underlätta en näringsverksamhet om det har en stimulanseffekt. För att det ska gå att bedöma om avsnitt 3.1.2 i riktlinjerna efterlevs,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 med beaktande av bakgrunden till stödet enligt förklaringen i avsnitt 4.7.1.1 i riktlinjerna.</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För att det ska gå att bedöma om punkt 293 i riktlinjerna efterlevs, beskriv i) varför ”nedsättningar av miljöskatter eller skatteliknande miljöavgifter [som] kan ha en negativ inverkan på miljöskyddsmålet, (…) ändå kan vara nödvändiga, och ii) varför ”stödmottagarna annars skulle drabbas av sådana konkurrensnackdelar att det skulle bli </w:t>
      </w:r>
      <w:r>
        <w:lastRenderedPageBreak/>
        <w:t xml:space="preserve">omöjligt att införa miljöskatten eller den skatteliknande miljöavgiften från första början”.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För att det ska gå att bedöma om punkt 294 efterlevs, beskriv</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varför ”en allmänt högre nivå på miljöskatter och skatteliknande miljöavgifter kan underlättas genom att man beviljar vissa företag en mer förmånlig behandling”,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varför ”nedsättningar av miljöskatter eller miljöavgifter därför indirekt kan bidra till en högre miljöskyddsnivå”, och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hur medlemsstaterna kan säkerställa att sådana nedsättningarna ”dock inte får urholka miljöskatternas eller miljöavgifternas övergripande syfte i fråga om att avskräcka från miljöskadligt beteende och/eller öka kostnaderna för sådant beteende om inga tillfredsställande alternativ finns tillgängliga.</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För att det ska gå att bedöma om punkt 295 i riktlinjerna efterlevs, lämna den information som beskrivs i punkt 296 i riktlinjerna:</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En beskrivning av de sektorer eller kategorier av stödmottagare som är berättigade till nedsättningarna.</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En förteckning över de huvudsakliga stödmottagarna inom de berörda sektorerna, deras omsättning, marknadsandelar, skattebasens storlek och miljöskattens eller miljöavgiftens andel av vinsten före skatt med och utan nedsättningen (som kan bifogas i en separat bilaga till detta formulär för kompletterande information).</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En beskrivning av stödmottagarnas situation med en förklaring till varför de inte kan betala den normala skatte- eller avgiftssatsen.</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En förklaring av hur den nedsatta skatten eller avgiften skulle bidra till en faktisk höjning av miljöskyddsnivån jämfört med den miljöskyddsnivå som skulle uppnås utan nedsättningar</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lastRenderedPageBreak/>
              <w:t>Ingen överträdelse av någon relevant bestämmelse i unionsrätten</w:t>
            </w:r>
          </w:p>
        </w:tc>
      </w:tr>
    </w:tbl>
    <w:p w14:paraId="243B3743" w14:textId="21186291" w:rsidR="00DE1D68" w:rsidRDefault="00DE1D68" w:rsidP="00DE1D68">
      <w:pPr>
        <w:spacing w:before="360" w:after="120"/>
        <w:jc w:val="both"/>
        <w:rPr>
          <w:i/>
        </w:rPr>
      </w:pPr>
      <w:r>
        <w:rPr>
          <w:i/>
        </w:rPr>
        <w:t xml:space="preserve">För att lämna information i detta avsnitt, se avsnitt 3.1.3 (punkt 33) i riktlinjerna.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Lämna information för att bekräfta efterlevnaden av tillämpliga bestämmelser i EU-rätten, i enlighet med punkt 33 i riktlinjerna.</w:t>
      </w:r>
    </w:p>
    <w:p w14:paraId="3C6D34A5" w14:textId="3EAA3816" w:rsidR="00B36913" w:rsidRDefault="00B36913" w:rsidP="00B36913">
      <w:pPr>
        <w:tabs>
          <w:tab w:val="left" w:leader="dot" w:pos="9072"/>
        </w:tabs>
        <w:spacing w:before="120" w:after="120"/>
        <w:ind w:left="567"/>
        <w:jc w:val="both"/>
      </w:pPr>
      <w:r>
        <w:rPr>
          <w:color w:val="000000"/>
        </w:rP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Om en avgift används för att finansiera åtgärden/åtgärderna, ange om en bedömning av efterlevnaden av artiklarna 30 och 110 i EUF-fördraget behöver göras. Om en bedömning är nödvändig, visa hur åtgärden är förenlig med bestämmelserna i artiklarna 30 och 110 i EUF-fördraget. I detta sammanhang kan det hänvisas till de uppgifter som lämnats i fråga </w:t>
      </w:r>
      <w:r w:rsidR="002256E6">
        <w:fldChar w:fldCharType="begin"/>
      </w:r>
      <w:r w:rsidR="002256E6">
        <w:instrText xml:space="preserve"> REF _Ref172736116 \w \h </w:instrText>
      </w:r>
      <w:r w:rsidR="002256E6">
        <w:fldChar w:fldCharType="separate"/>
      </w:r>
      <w:r w:rsidR="00DB6207">
        <w:t>5</w:t>
      </w:r>
      <w:r w:rsidR="002256E6">
        <w:fldChar w:fldCharType="end"/>
      </w:r>
      <w:r>
        <w:t>.</w:t>
      </w:r>
      <w:r w:rsidR="002256E6">
        <w:fldChar w:fldCharType="begin"/>
      </w:r>
      <w:r w:rsidR="002256E6">
        <w:instrText xml:space="preserve"> REF _Ref172736090 \r \h </w:instrText>
      </w:r>
      <w:r w:rsidR="002256E6">
        <w:fldChar w:fldCharType="separate"/>
      </w:r>
      <w:r w:rsidR="00DB6207">
        <w:t>ii</w:t>
      </w:r>
      <w:r w:rsidR="002256E6">
        <w:fldChar w:fldCharType="end"/>
      </w:r>
      <w:r>
        <w:t xml:space="preserve"> ovan.</w:t>
      </w:r>
    </w:p>
    <w:p w14:paraId="333F5B86" w14:textId="36575F7E" w:rsidR="00CC29A8" w:rsidRPr="00F83660" w:rsidRDefault="00544B04" w:rsidP="00B36913">
      <w:pPr>
        <w:tabs>
          <w:tab w:val="left" w:leader="dot" w:pos="9072"/>
        </w:tabs>
        <w:spacing w:before="120" w:after="120"/>
        <w:ind w:left="567"/>
        <w:jc w:val="both"/>
        <w:rPr>
          <w:color w:val="000000"/>
        </w:rPr>
      </w:pPr>
      <w:r>
        <w:rPr>
          <w:color w:val="000000"/>
        </w:rP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Negativt villkor: stödet får inte påverka handeln på ett otillbörligt sätt i en omfattning som strider mot det gemensamma intresset</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Minimering av snedvridning av konkurrens och handel</w:t>
            </w:r>
          </w:p>
        </w:tc>
      </w:tr>
    </w:tbl>
    <w:p w14:paraId="40A64058" w14:textId="230E5E86" w:rsidR="00EC33DD" w:rsidRDefault="00EC33DD" w:rsidP="00A46DF5">
      <w:pPr>
        <w:spacing w:before="360" w:after="120"/>
        <w:rPr>
          <w:i/>
          <w:color w:val="000000"/>
        </w:rPr>
      </w:pPr>
      <w:r>
        <w:rPr>
          <w:i/>
          <w:color w:val="000000"/>
        </w:rPr>
        <w:t>Observera att avsnitten 2.1.1 och 2.1.2 är alternativa. När det gäller ärenden som är berättigade till en förenklad metod i enlighet med avsnitt 2.1.1 nedan krävs inga svar under avsnitt 2.1.2.</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Förenklad metod för harmoniserade miljöskatter</w:t>
            </w:r>
          </w:p>
        </w:tc>
      </w:tr>
    </w:tbl>
    <w:p w14:paraId="3BC9FD96" w14:textId="596445AB" w:rsidR="00877483" w:rsidRDefault="001D4B25" w:rsidP="00506D80">
      <w:pPr>
        <w:spacing w:before="360" w:after="120"/>
        <w:rPr>
          <w:i/>
          <w:color w:val="000000"/>
        </w:rPr>
      </w:pPr>
      <w:r>
        <w:rPr>
          <w:i/>
          <w:color w:val="000000"/>
        </w:rPr>
        <w:t>För att lämna information i detta avsnitt, se avsnitt 4.7.1.3 (punkterna 297–300) i riktlinjerna. Om miljöskatterna är harmoniserade får kommissionen tillämpa en förenklad strategi för att bedöma om stödet är nödvändigt och proportionellt. Inom ramen för direktiv 2003/96/EG får kommissionen tillämpa en förenklad strategi för skattenedsättning som följer unionens lägsta skattenivå i enlighet med punkterna 298 och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Klargör om åtgärden/åtgärderna omfattas av direktiv 2003/96/EG.</w:t>
      </w:r>
    </w:p>
    <w:p w14:paraId="31537933" w14:textId="77777777" w:rsidR="00877483" w:rsidRPr="00F83660" w:rsidRDefault="00877483" w:rsidP="00877483">
      <w:pPr>
        <w:tabs>
          <w:tab w:val="left" w:leader="dot" w:pos="9072"/>
        </w:tabs>
        <w:spacing w:before="120" w:after="120"/>
        <w:ind w:left="567"/>
        <w:jc w:val="both"/>
        <w:rPr>
          <w:color w:val="000000"/>
        </w:rPr>
      </w:pPr>
      <w:r>
        <w:rPr>
          <w:color w:val="000000"/>
        </w:rPr>
        <w:tab/>
      </w:r>
    </w:p>
    <w:p w14:paraId="428D2E7F" w14:textId="37A8A54F" w:rsidR="00877483" w:rsidRDefault="00877483" w:rsidP="00877483">
      <w:pPr>
        <w:pStyle w:val="ListParagraph"/>
        <w:numPr>
          <w:ilvl w:val="0"/>
          <w:numId w:val="50"/>
        </w:numPr>
        <w:spacing w:before="120" w:after="120"/>
        <w:ind w:left="567" w:hanging="567"/>
        <w:contextualSpacing w:val="0"/>
        <w:jc w:val="both"/>
      </w:pPr>
      <w:r>
        <w:t>Om så är fallet, och för att det ska gå att bedöma efterlevnaden av punkt 298 i riktlinjerna, gör följande:</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Ange den lägsta tillämpliga unionsskattenivån och den tillämpliga skattesats som stödmottagaren betalat inom ramen för åtgärden.</w:t>
      </w:r>
    </w:p>
    <w:p w14:paraId="0ACDDF07" w14:textId="265B0E6C" w:rsidR="001D4B25" w:rsidRPr="00F83660" w:rsidRDefault="001D4B25" w:rsidP="00A13410">
      <w:pPr>
        <w:tabs>
          <w:tab w:val="left" w:leader="dot" w:pos="9072"/>
        </w:tabs>
        <w:spacing w:before="120" w:after="120"/>
        <w:ind w:left="567"/>
        <w:jc w:val="both"/>
        <w:rPr>
          <w:color w:val="000000"/>
        </w:rPr>
      </w:pPr>
      <w:r>
        <w:rPr>
          <w:color w:val="000000"/>
        </w:rPr>
        <w:tab/>
      </w:r>
    </w:p>
    <w:p w14:paraId="02CEA156" w14:textId="6A56B921" w:rsidR="001D4B25" w:rsidRDefault="001D4B25" w:rsidP="00A46DF5">
      <w:pPr>
        <w:pStyle w:val="ListParagraph"/>
        <w:numPr>
          <w:ilvl w:val="0"/>
          <w:numId w:val="125"/>
        </w:numPr>
        <w:spacing w:before="120" w:after="120"/>
        <w:ind w:left="1434" w:hanging="357"/>
        <w:jc w:val="both"/>
      </w:pPr>
      <w:r>
        <w:t>Ange och förklara kriterierna för urval av stödmottagare. Förklara i svaret på vilket sätt dessa är objektiva och transparenta.</w:t>
      </w:r>
    </w:p>
    <w:p w14:paraId="0F12525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5C8B23FD" w14:textId="443E453E" w:rsidR="001D4B25" w:rsidRDefault="001D4B25" w:rsidP="00A46DF5">
      <w:pPr>
        <w:pStyle w:val="ListParagraph"/>
        <w:numPr>
          <w:ilvl w:val="0"/>
          <w:numId w:val="125"/>
        </w:numPr>
        <w:spacing w:before="120" w:after="120"/>
        <w:ind w:left="1434" w:hanging="357"/>
        <w:jc w:val="both"/>
      </w:pPr>
      <w:r>
        <w:lastRenderedPageBreak/>
        <w:t>Förklara och bekräfta att stödet beviljas på samma sätt till alla företag inom samma sektor, om de befinner sig i en liknande faktisk situation.</w:t>
      </w:r>
    </w:p>
    <w:p w14:paraId="04E9126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0B049966" w14:textId="63CE693B" w:rsidR="001D4B25" w:rsidRPr="001D4B25" w:rsidRDefault="001D4B25" w:rsidP="00A46DF5">
      <w:pPr>
        <w:pStyle w:val="ListParagraph"/>
        <w:numPr>
          <w:ilvl w:val="0"/>
          <w:numId w:val="125"/>
        </w:numPr>
        <w:spacing w:before="120" w:after="120"/>
        <w:ind w:left="1434" w:hanging="357"/>
        <w:jc w:val="both"/>
      </w:pPr>
      <w:r>
        <w:t>Bekräfta att ett öppet offentligt samråd på förhand har genomförts i de fall där de sektorer som är berättigade till nedsättningar har beskrivits korrekt och att en förteckning över de största stödmottagarna för varje sektor har lämnats in. Lämna relevanta bevis för att detta samråd ägt rum.</w:t>
      </w:r>
    </w:p>
    <w:p w14:paraId="2399528D" w14:textId="77777777" w:rsidR="00A13410" w:rsidRPr="00F83660" w:rsidRDefault="00A13410" w:rsidP="00A13410">
      <w:pPr>
        <w:tabs>
          <w:tab w:val="left" w:leader="dot" w:pos="9072"/>
        </w:tabs>
        <w:spacing w:before="120" w:after="120"/>
        <w:ind w:left="567"/>
        <w:jc w:val="both"/>
        <w:rPr>
          <w:color w:val="000000"/>
        </w:rPr>
      </w:pPr>
      <w:r>
        <w:rPr>
          <w:color w:val="000000"/>
        </w:rP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För att det ska gå att bedöma om punkt 299 i riktlinjerna efterlevs, gör följande:</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Ange om stödet beviljas i form av en nedsättning av skattenivån eller som ett fast årligt ersättningsbelopp (återbetalning av skatt), eller som en kombination av dessa. </w:t>
      </w:r>
    </w:p>
    <w:p w14:paraId="29E4F3F8" w14:textId="77777777" w:rsidR="00835EF1" w:rsidRPr="00F83660" w:rsidRDefault="00835EF1" w:rsidP="0006694C">
      <w:pPr>
        <w:tabs>
          <w:tab w:val="left" w:leader="dot" w:pos="9072"/>
        </w:tabs>
        <w:spacing w:before="120" w:after="120"/>
        <w:ind w:left="567"/>
        <w:jc w:val="both"/>
        <w:rPr>
          <w:color w:val="000000"/>
        </w:rPr>
      </w:pPr>
      <w:r>
        <w:rPr>
          <w:color w:val="000000"/>
        </w:rP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Om (delar av) stödet beviljas i form av en skatteåterbetalning, bekräfta att i) skatteåterbetalningsbeloppet beräknas på grundval av historiska uppgifter, dvs. produktionsnivån och den förbrukning eller de föroreningar som observerats för företaget under ett givet basår, och att ii) nivån på skatteåterbetalningen inte överskrider unionens lägsta skattenivå som annars skulle betalas för basåret.</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rPr>
          <w:color w:val="000000"/>
        </w:rP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Ingående bedömning av åtgärden/åtgärderna</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Om miljöskatterna inte är harmoniserade eller om stödmottagarna betalar mindre än unionens lägsta nivå av den harmoniserade skatt när detta är tillåtet enligt det direktiv 2003/96/EG krävs en ingående bedömning av stödets nödvändighet och proportionalitet.</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Stödets nödvändighet</w:t>
            </w:r>
          </w:p>
        </w:tc>
      </w:tr>
    </w:tbl>
    <w:p w14:paraId="3754E3F1" w14:textId="25BB5508" w:rsidR="00663008" w:rsidRPr="00F83660" w:rsidRDefault="6695A805" w:rsidP="6637E879">
      <w:pPr>
        <w:spacing w:before="360" w:after="120"/>
        <w:jc w:val="both"/>
        <w:rPr>
          <w:i/>
          <w:iCs/>
          <w:color w:val="000000"/>
        </w:rPr>
      </w:pPr>
      <w:r>
        <w:rPr>
          <w:i/>
        </w:rPr>
        <w:t>För att lämna information i detta avsnitt, se avsnitt 3.2.1.1, i den mån det är tillämpligt på åtgärden/åtgärderna, och avsnitt 4.7.1.3.1 (punkterna 301–303) i riktlinjerna.</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För att det ska gå att bedöma om de tillämpliga kraven i avsnitt 3.2.1.1 i riktlinjerna efterlevs, beskriv hur åtgärden/åtgärderna är inriktade på en situation där de kan åstadkomma en väsentlig utveckling som marknaden inte kan åstadkomma på egen hand. Hänvisa i svaret till marknadsmisslyckanden enligt beskrivningen i punkt 34 i riktlinjerna och förklara varför andra politiska strategier och åtgärder som redan införts enligt punkt 35 i riktlinjerna inte är tillräckliga för att åtgärda dessa marknadsmisslyckanden.</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För att det ska gå att bedöma om punkt 302 i riktlinjerna efterlevs, ange om följande villkor är uppfyllda:</w:t>
      </w:r>
    </w:p>
    <w:p w14:paraId="1B5AA814" w14:textId="0C243847" w:rsidR="00E05657" w:rsidRDefault="00E05657" w:rsidP="00A46DF5">
      <w:pPr>
        <w:pStyle w:val="ListParagraph"/>
        <w:numPr>
          <w:ilvl w:val="0"/>
          <w:numId w:val="127"/>
        </w:numPr>
        <w:spacing w:before="120" w:after="120"/>
        <w:ind w:left="1434" w:hanging="357"/>
        <w:jc w:val="both"/>
      </w:pPr>
      <w:r>
        <w:lastRenderedPageBreak/>
        <w:t>Urvalet av stödmottagare bygger på objektiva och transparenta kriterier och stödet beviljas på samma sätt för alla stödberättigade företag som verkar i samma näringsverksamhetssektor och som befinner sig i samma eller en liknande faktisk situation med avseende på stödåtgärdens syften.</w:t>
      </w:r>
    </w:p>
    <w:p w14:paraId="47208D9B"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074ABB4B" w14:textId="1443CED6" w:rsidR="00E05657" w:rsidRDefault="00E05657" w:rsidP="00A46DF5">
      <w:pPr>
        <w:pStyle w:val="ListParagraph"/>
        <w:numPr>
          <w:ilvl w:val="0"/>
          <w:numId w:val="127"/>
        </w:numPr>
        <w:spacing w:before="120" w:after="120"/>
        <w:ind w:left="1434" w:hanging="357"/>
        <w:jc w:val="both"/>
      </w:pPr>
      <w:r>
        <w:t>Miljöskatten eller den skatteliknande miljöavgiften skulle utan nedsättning leda till en väsentlig ökning av produktionskostnaderna, beräknade som en andel av bruttoförädlingsvärdet, för varje sektor eller kategori av stödmottagare (t.ex. baserat på siffror från representativa stödmottagare eller sammanlagda siffror för sektorn eller kategorin av stödmottagare).</w:t>
      </w:r>
    </w:p>
    <w:p w14:paraId="0E21FEDF" w14:textId="4C672574" w:rsidR="00CC0461" w:rsidRPr="00CC0461" w:rsidRDefault="00CC0461" w:rsidP="00CC0461">
      <w:pPr>
        <w:tabs>
          <w:tab w:val="left" w:leader="dot" w:pos="9072"/>
        </w:tabs>
        <w:spacing w:before="120" w:after="120"/>
        <w:ind w:left="567"/>
        <w:jc w:val="both"/>
        <w:rPr>
          <w:color w:val="000000"/>
        </w:rPr>
      </w:pPr>
      <w:r>
        <w:rPr>
          <w:color w:val="000000"/>
        </w:rPr>
        <w:tab/>
      </w:r>
    </w:p>
    <w:p w14:paraId="32D00C6E" w14:textId="1AD9A2B1" w:rsidR="00E05657" w:rsidRDefault="00E05657" w:rsidP="00A46DF5">
      <w:pPr>
        <w:pStyle w:val="ListParagraph"/>
        <w:numPr>
          <w:ilvl w:val="0"/>
          <w:numId w:val="127"/>
        </w:numPr>
        <w:spacing w:before="120" w:after="120"/>
        <w:ind w:left="1434" w:hanging="357"/>
        <w:jc w:val="both"/>
      </w:pPr>
      <w:r>
        <w:t>Den betydande ökningen av produktionskostnaderna kunde inte föras över på kunderna utan att leda till betydande minskningar av försäljningsvolymerna (t.ex. på grundval av hänvisningar till konkurrens från företag i jurisdiktioner som inte omfattas av skatten och graden av utbytbarhet för den berörda produkten).</w:t>
      </w:r>
    </w:p>
    <w:p w14:paraId="27EF4614"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1927C45E" w14:textId="26DBA233" w:rsidR="006E4D23" w:rsidRDefault="00CC0461" w:rsidP="00CC0461">
      <w:pPr>
        <w:pStyle w:val="ListParagraph"/>
        <w:numPr>
          <w:ilvl w:val="0"/>
          <w:numId w:val="50"/>
        </w:numPr>
        <w:spacing w:before="120" w:after="120"/>
        <w:ind w:left="567" w:hanging="567"/>
        <w:contextualSpacing w:val="0"/>
        <w:jc w:val="both"/>
      </w:pPr>
      <w:r>
        <w:t xml:space="preserve">I fråga om skattenedsättningar för biodrivmedel, flytande biobränslen och biomassabränslen, och för att det ska gå att bedöma </w:t>
      </w:r>
      <w:r w:rsidR="0050448F">
        <w:t xml:space="preserve">om </w:t>
      </w:r>
      <w:r>
        <w:t>punkt 303 i riktlinjerna efterlevs, var god</w:t>
      </w:r>
    </w:p>
    <w:p w14:paraId="54638E3E" w14:textId="69F50F83" w:rsidR="006E4D23" w:rsidRDefault="00CC0461" w:rsidP="00A46DF5">
      <w:pPr>
        <w:pStyle w:val="ListParagraph"/>
        <w:numPr>
          <w:ilvl w:val="0"/>
          <w:numId w:val="128"/>
        </w:numPr>
        <w:spacing w:before="120" w:after="120"/>
        <w:ind w:left="1434" w:hanging="357"/>
        <w:jc w:val="both"/>
      </w:pPr>
      <w:r>
        <w:t>bekräfta att det kommer att finnas en mekanism för att verifiera att åtgärden fortfarande är nödvändig, med tillämpning av villkoren för nödvändighet i avsnitt 4.1.3.1 i riktlinjerna,</w:t>
      </w:r>
    </w:p>
    <w:p w14:paraId="58427951"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78306363" w14:textId="7960F2C6" w:rsidR="006E4D23" w:rsidRDefault="00F878EE" w:rsidP="00A46DF5">
      <w:pPr>
        <w:pStyle w:val="ListParagraph"/>
        <w:numPr>
          <w:ilvl w:val="0"/>
          <w:numId w:val="128"/>
        </w:numPr>
        <w:spacing w:before="120" w:after="120"/>
        <w:ind w:left="1434" w:hanging="357"/>
        <w:jc w:val="both"/>
      </w:pPr>
      <w:r>
        <w:t xml:space="preserve">förklara hur denna mekanism kommer att fungera, och </w:t>
      </w:r>
    </w:p>
    <w:p w14:paraId="5567A88D"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1CC0747E" w14:textId="612C531C" w:rsidR="00CC0461" w:rsidRDefault="004B495A" w:rsidP="00A46DF5">
      <w:pPr>
        <w:pStyle w:val="ListParagraph"/>
        <w:numPr>
          <w:ilvl w:val="0"/>
          <w:numId w:val="128"/>
        </w:numPr>
        <w:spacing w:before="120" w:after="120"/>
        <w:ind w:left="1434" w:hanging="357"/>
        <w:jc w:val="both"/>
      </w:pPr>
      <w:r>
        <w:t>bekräfta att medlemsstaten kommer att vidta lämpliga åtgärder, såsom upphävande av undantaget eller en sänkning av stödnivån, och ange vilka lämpliga åtgärder som konkret kommer att tillämpas.</w:t>
      </w:r>
    </w:p>
    <w:p w14:paraId="67DAC904" w14:textId="7C413165" w:rsidR="00CC0461" w:rsidRPr="00CC0461" w:rsidRDefault="00CC0461" w:rsidP="00AE5E48">
      <w:pPr>
        <w:tabs>
          <w:tab w:val="left" w:leader="dot" w:pos="9072"/>
        </w:tabs>
        <w:spacing w:before="120" w:after="120"/>
        <w:ind w:left="567"/>
        <w:jc w:val="both"/>
        <w:rPr>
          <w:color w:val="000000"/>
        </w:rPr>
      </w:pPr>
      <w:r>
        <w:rPr>
          <w:color w:val="000000"/>
        </w:rP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Stödets lämplighet</w:t>
            </w:r>
          </w:p>
        </w:tc>
      </w:tr>
    </w:tbl>
    <w:p w14:paraId="6227BC57" w14:textId="2AC58623" w:rsidR="0009768A" w:rsidRDefault="1626403F" w:rsidP="00AE5E48">
      <w:pPr>
        <w:spacing w:before="360" w:after="120"/>
        <w:jc w:val="both"/>
        <w:rPr>
          <w:i/>
          <w:iCs/>
          <w:color w:val="000000"/>
        </w:rPr>
      </w:pPr>
      <w:r>
        <w:rPr>
          <w:i/>
        </w:rPr>
        <w:t>För att lämna information i detta avsnitt, se avsnitt 3.2.1.2, i den mån det är tillämpligt på åtgärden/åtgärderna, och avsnitt 4.7.1.3.2 (punkterna 304–306) i riktlinjerna.</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För att det ska gå att bedöma om de tillämpliga kraven i avsnitt 3.2.1.2 i riktlinjerna efterlevs, beskriv varför åtgärden/åtgärderna är ett lämpligt politiskt instrument för att uppnå det avsedda målet med stödet, dvs. det får inte finnas ett mindre snedvridande policy- och stödinstrument som kan uppnå samma resultat, med beaktande av andra politiska instrument och olika stödinstrument som skulle kunna genomföras som ett alternativ.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lastRenderedPageBreak/>
        <w:t>För att det ska gå att bedöma om punkt 305 i riktlinjerna efterlevs, bekräfta i) att åtgärden/åtgärderna har en varaktighet på högst 10 år och ii) att en eventuell ny anmälan kommer att baseras på en ny bedömning av åtgärdens/åtgärdernas lämplighet.</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Om (delar av) stödet beviljas i form av en skatteåterbetalning, och för att det ska gå att bedöma om punkt 306 i riktlinjerna efterlevs, bör skatteåterbetalningsbeloppet beräknas på grundval av historiska uppgifter, dvs. produktionsnivån och den förbrukning eller de föroreningar som observerats för företaget under ett givet basår.</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Stödets proportionalitet</w:t>
            </w:r>
          </w:p>
        </w:tc>
      </w:tr>
    </w:tbl>
    <w:p w14:paraId="322B0DC4" w14:textId="2E7D7E33" w:rsidR="00863406" w:rsidRPr="00FC6878" w:rsidRDefault="00863406" w:rsidP="2368A16B">
      <w:pPr>
        <w:spacing w:before="360" w:after="120"/>
        <w:jc w:val="both"/>
        <w:rPr>
          <w:i/>
          <w:iCs/>
        </w:rPr>
      </w:pPr>
      <w:r>
        <w:rPr>
          <w:i/>
        </w:rPr>
        <w:t xml:space="preserve">För att lämna information i detta avsnitt, se avsnitt 4.7.1.3.3 (punkterna 307–309) i riktlinjerna.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För att det ska gå att bedöma om punkt 308 i riktlinjerna efterlevs (minst ett av följande villkor måste vara uppfyllt), lämna någon av följande uppgifter:</w:t>
      </w:r>
      <w:bookmarkEnd w:id="8"/>
    </w:p>
    <w:p w14:paraId="07E9565A" w14:textId="5F95AEC5" w:rsidR="006F256F" w:rsidRDefault="270F0651" w:rsidP="00A46DF5">
      <w:pPr>
        <w:pStyle w:val="ListParagraph"/>
        <w:numPr>
          <w:ilvl w:val="0"/>
          <w:numId w:val="129"/>
        </w:numPr>
        <w:spacing w:before="120" w:after="120"/>
        <w:ind w:left="1434" w:hanging="357"/>
        <w:jc w:val="both"/>
      </w:pPr>
      <w:r>
        <w:t>Ange om varje stödmottagare betalar minst 20 % av det nominella beloppet av den skatt eller den skatteliknande miljöavgift som annars skulle vara tillämplig för stödmottagaren i avsaknad av nedsättningen.</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Eller ange om i) skattenedsättningen eller avgiftsnedsättningen inte överstiger 100 % av den nationella miljöskatten eller skatteliknande miljöavgiften. ii) Ett villkor för nedsättningen av skatten eller avgiften är att medlemsstaten och stödmottagarna eller sammanslutningarna av stödmottagare ingår avtal genom vilka stödmottagarna eller sammanslutningarna av stödmottagare åtar sig att nå miljöskyddsmål som har samma effekt som om stödmottagarna eller sammanslutningarna av stödmottagare skulle betala minst 20 % av den nationella skatten eller avgiften</w:t>
      </w:r>
      <w:r w:rsidR="00B40F1D">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För att det ska gå att bedöma om punkt 309 riktlinjerna efterlevs, och om alternativ ii) i fråga väljs</w:t>
      </w:r>
      <w:r>
        <w:fldChar w:fldCharType="begin"/>
      </w:r>
      <w:r>
        <w:instrText xml:space="preserve"> REF _Ref172812423 \w \h </w:instrText>
      </w:r>
      <w:r>
        <w:fldChar w:fldCharType="separate"/>
      </w:r>
      <w:r w:rsidR="002A1216">
        <w:t>22</w:t>
      </w:r>
      <w:r>
        <w:fldChar w:fldCharType="end"/>
      </w:r>
      <w:r>
        <w:t>, beskriv följande:</w:t>
      </w:r>
    </w:p>
    <w:p w14:paraId="02DB823F" w14:textId="1AC5E3AC" w:rsidR="00E72A73" w:rsidRDefault="00E72A73" w:rsidP="00A46DF5">
      <w:pPr>
        <w:pStyle w:val="ListParagraph"/>
        <w:numPr>
          <w:ilvl w:val="0"/>
          <w:numId w:val="130"/>
        </w:numPr>
        <w:spacing w:before="120" w:after="120"/>
        <w:ind w:left="1434" w:hanging="357"/>
        <w:jc w:val="both"/>
      </w:pPr>
      <w:r>
        <w:t>Innehållet i de tillämpliga avtalen, inbegripet de specifika målen och den fastställda tidsplanen för att uppnå dem.</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Hur en oberoende och regelbunden övervakning av åtagandena i avtalen kommer att säkerställas.</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lastRenderedPageBreak/>
        <w:t>Hur avtalen kommer att regelbundet ses över med beaktande av den tekniska utvecklingen och utvecklingen på andra områden, och hur det ska föreskrivas effektiva sanktioner om åtagandena inte fullgörs.</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Kumulering</w:t>
            </w:r>
          </w:p>
        </w:tc>
      </w:tr>
    </w:tbl>
    <w:p w14:paraId="56B46737" w14:textId="5C12CBC3" w:rsidR="001D0CD2" w:rsidRPr="001D0CD2" w:rsidRDefault="00B21377" w:rsidP="001D0CD2">
      <w:pPr>
        <w:spacing w:before="360" w:after="120"/>
        <w:jc w:val="both"/>
        <w:rPr>
          <w:i/>
          <w:iCs/>
        </w:rPr>
      </w:pPr>
      <w:r>
        <w:rPr>
          <w:i/>
        </w:rPr>
        <w:t>För att lämna information i detta avsnitt, se punkterna 56–57 i riktlinjerna.</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Klargör om stödet inom ramen för åtgärden/ åtgärderna kan beviljas samtidigt inom ramen för flera stödordningar eller kumuleras med stöd för särskilda ändamål eller stöd av mindre betydelse i förhållande till samma stödberättigande kostnader, om detta inte redan anges i del I </w:t>
      </w:r>
      <w:proofErr w:type="spellStart"/>
      <w:r>
        <w:t>i</w:t>
      </w:r>
      <w:proofErr w:type="spellEnd"/>
      <w:r>
        <w:t xml:space="preserve"> det allmänna anmälningsformuläret och för att visa att punkt 56 i riktlinjerna efterlevs. Om så är fallet, lämna närmare uppgifter om dessa stödordningar, stöd för särskilda ändamål eller stöd av mindre betydelse och hur stödet kommer att kumuleras.</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Om punkt 56 i riktlinjerna är tillämplig, motivera hur det totala stödbelopp som beviljas inom ramen för åtgärden/åtgärderna till ett projekt eller en verksamhet inte leder till överkompensation eller överskrider det högsta stödbelopp som tillåts enligt punkt 308 i riktlinjerna. Ange, för varje åtgärd som det stöd som beviljas inom ramen för åtgärden/åtgärderna kan kumuleras med, den metod som används för att säkerställa att villkoren i punkt 56 i riktlinjerna efterlevs.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Om punkt 57 i riktlinjerna är tillämplig, dvs. om det stöd som beviljas inom ramen för åtgärden eller åtgärderna kombineras med en centralt förvaltad unionsfinansiering</w:t>
      </w:r>
      <w:r w:rsidR="009B2F61" w:rsidRPr="009548AA">
        <w:rPr>
          <w:vertAlign w:val="superscript"/>
        </w:rPr>
        <w:footnoteReference w:id="8"/>
      </w:r>
      <w:r>
        <w:t xml:space="preserve"> (som inte utgör statligt stöd), motivera hur den totala offentliga finansiering som beviljas för samma stödberättigande kostnader inte leder till överkompensation.</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Öppenhet</w:t>
            </w:r>
          </w:p>
        </w:tc>
      </w:tr>
    </w:tbl>
    <w:p w14:paraId="30CC4C47" w14:textId="5C8853FB" w:rsidR="006773CE" w:rsidRPr="007C0A44" w:rsidRDefault="006773CE" w:rsidP="2368A16B">
      <w:pPr>
        <w:spacing w:before="360" w:after="120"/>
        <w:jc w:val="both"/>
        <w:rPr>
          <w:i/>
          <w:iCs/>
        </w:rPr>
      </w:pPr>
      <w:r>
        <w:rPr>
          <w:i/>
        </w:rPr>
        <w:t xml:space="preserve">För att lämna information i detta avsnitt, se avsnitt 3.2.1.4 (punkterna 58–62) i riktlinjerna.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Bekräfta att medlemsstaten kommer att efterleva de krav på öppenhet som fastställs i punkterna 58–61 i riktlinjerna.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Ange den internetlänk där man kommer att offentliggöra den fullständiga texten till den godkända stödordningen eller beslutet om beviljande av individuellt stöd och dess genomförandebestämmelser, och information om varje individuellt stöd som beviljats </w:t>
      </w:r>
      <w:r>
        <w:lastRenderedPageBreak/>
        <w:t xml:space="preserve">för särskilda ändamål eller inom ramen för en stödordning som godkänts på grundval av dessa riktlinjer och som överstiger 100 000 euro.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50448F"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Undvikande av otillbörliga negativa effekter på handel och konkurrens</w:t>
            </w:r>
          </w:p>
        </w:tc>
      </w:tr>
    </w:tbl>
    <w:p w14:paraId="6F1494DE" w14:textId="5F2BAE4F" w:rsidR="00A80F29" w:rsidRPr="00B215FD" w:rsidRDefault="00A80F29" w:rsidP="00A80F29">
      <w:pPr>
        <w:spacing w:before="360" w:after="120"/>
        <w:jc w:val="both"/>
        <w:rPr>
          <w:i/>
          <w:iCs/>
        </w:rPr>
      </w:pPr>
      <w:r>
        <w:rPr>
          <w:i/>
        </w:rPr>
        <w:t>För att lämna information i detta avsnitt, se avsnitt 3.2.2 i riktlinjerna, i den mån det är tillämpligt på åtgärden/åtgärderna.</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För att det ska gå att bedöma om de tillämpliga kraven i avsnitt 3.2.2 i riktlinjerna efterlevs, beskriv hur åtgärden/åtgärderna mildrar eventuella uppenbart negativa effekter på konkurrens och handel.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För att det ska gå att bedöma om punkt 70 i riktlinjerna efterlevs, gör följande:</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Om det inte redan gjorts i svaret på fråga </w:t>
      </w:r>
      <w:r w:rsidR="0031791E">
        <w:fldChar w:fldCharType="begin"/>
      </w:r>
      <w:r w:rsidR="0031791E">
        <w:instrText xml:space="preserve"> REF _Ref175221297 \r \h </w:instrText>
      </w:r>
      <w:r w:rsidR="0031791E">
        <w:fldChar w:fldCharType="separate"/>
      </w:r>
      <w:r w:rsidR="0031791E">
        <w:t>20</w:t>
      </w:r>
      <w:r w:rsidR="0031791E">
        <w:fldChar w:fldCharType="end"/>
      </w:r>
      <w:r>
        <w:t xml:space="preserve">ovan, bekräfta att stödordningens längd är högst 10 år från och med den dag då kommissionen meddelar sitt beslut om att förklara stödet förenligt med den inre marknaden.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Bekräfta att en förlängning av åtgärdens varaktighet utöver den maximala perioden kommer att kräva en ny anmälan av åtgärden/åtgärderna.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Avvägning mellan stödets positiva och negativa effekter på konkurrens och handel</w:t>
            </w:r>
          </w:p>
        </w:tc>
      </w:tr>
    </w:tbl>
    <w:p w14:paraId="3513408C" w14:textId="56B6BA12" w:rsidR="00265702" w:rsidRPr="00863406" w:rsidRDefault="00265702" w:rsidP="2368A16B">
      <w:pPr>
        <w:spacing w:before="360" w:after="120"/>
        <w:jc w:val="both"/>
        <w:rPr>
          <w:i/>
          <w:iCs/>
          <w:color w:val="000000"/>
        </w:rPr>
      </w:pPr>
      <w:r>
        <w:rPr>
          <w:i/>
        </w:rPr>
        <w:t>För att lämna information i detta avsnitt, se avsnitt 3.3 (punkterna 71–76) i riktlinjerna, i den mån det är tillämpligt på åtgärden/åtgärderna.</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För att det ska gå att bedöma om punkt 3.3 i riktlinjerna efterlevs, gör följande:</w:t>
      </w:r>
    </w:p>
    <w:p w14:paraId="3EA00BDB" w14:textId="1514E259" w:rsidR="004B2EF3" w:rsidRPr="00564B1B" w:rsidRDefault="00A24718" w:rsidP="00A46DF5">
      <w:pPr>
        <w:pStyle w:val="ListParagraph"/>
        <w:numPr>
          <w:ilvl w:val="0"/>
          <w:numId w:val="132"/>
        </w:numPr>
        <w:spacing w:before="120" w:after="120"/>
        <w:ind w:left="1434" w:hanging="357"/>
        <w:jc w:val="both"/>
      </w:pPr>
      <w:r>
        <w:t>Motivera hur de positiva effekterna av åtgärden/åtgärderna generellt uppväger de negativa effekterna.</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Klargör, när det gäller tillämpningen av punkt 75 i riktlinjerna, huruvida åtgärden/åtgärderna innehåller inslag för att underlätta deltagandet av små och medelstora företag. Om så är fallet, lämna information om dessa inslag och motivera hur de positiva effekterna av att man säkerställer att små och medelstora företag deltar i och godtar åtgärden/åtgärderna uppväger de eventuella snedvridande effekterna.</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När det gäller tillämpningen av punkt 76 c i riktlinjerna, ange huruvida stödåtgärden/stödåtgärderna omfattas av en tidsbegränsning.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Avsnitt C: Utvärdering</w:t>
            </w:r>
          </w:p>
        </w:tc>
      </w:tr>
    </w:tbl>
    <w:p w14:paraId="6A4ADF8D" w14:textId="77777777" w:rsidR="00C33721" w:rsidRPr="006725F7" w:rsidRDefault="00C33721" w:rsidP="006725F7">
      <w:pPr>
        <w:spacing w:before="360" w:after="120"/>
        <w:jc w:val="both"/>
        <w:rPr>
          <w:i/>
          <w:iCs/>
          <w:color w:val="000000"/>
        </w:rPr>
      </w:pPr>
      <w:r>
        <w:rPr>
          <w:i/>
          <w:color w:val="000000"/>
        </w:rPr>
        <w:t>För att lämna information i detta avsnitt, se punkt 76 a och kapitel 5 (punkterna 455–463) i riktlinjerna.</w:t>
      </w:r>
    </w:p>
    <w:p w14:paraId="61A6C035" w14:textId="1219DDD6" w:rsidR="00017826" w:rsidRPr="00017826" w:rsidRDefault="00017826" w:rsidP="00017826">
      <w:pPr>
        <w:numPr>
          <w:ilvl w:val="0"/>
          <w:numId w:val="50"/>
        </w:numPr>
        <w:spacing w:before="120" w:after="120"/>
        <w:ind w:left="567" w:hanging="567"/>
        <w:jc w:val="both"/>
      </w:pPr>
      <w:r>
        <w:t>Om åtgärden/åtgärderna överskrider de budget-/utgiftströskelvärdena som avses i punkt 456 i riktlinjerna, ange antingen varför medlemsstaten anser att undantaget i punkt 457 i riktlinjerna bör tillämpas, eller bifoga en bilaga till detta formulär för kompletterande information som innehåller ett utkast till utvärderingsplan som täcker det tillämpningsområde som anges i punkt 458 i riktlinjerna</w:t>
      </w:r>
      <w:r w:rsidRPr="00017826">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Om ett utkast till utvärderingsplan tillhandahålls, ska följande göras:</w:t>
      </w:r>
    </w:p>
    <w:p w14:paraId="4C066F02" w14:textId="4C06AB69" w:rsidR="00017826" w:rsidRPr="00017826" w:rsidRDefault="00017826" w:rsidP="00017826">
      <w:pPr>
        <w:numPr>
          <w:ilvl w:val="0"/>
          <w:numId w:val="120"/>
        </w:numPr>
        <w:spacing w:before="120" w:after="120"/>
        <w:jc w:val="both"/>
      </w:pPr>
      <w:r>
        <w:t>Lämna nedan en sammanfattning av det utkast till utvärderingsplan som finns i bilagan.</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Bekräfta att punkt 460 i riktlinjerna kommer att iakttas.</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Ange datum och internetlänk där utvärderingsplanen kommer att finnas tillgänglig för allmänheten.</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För att det ska gå att bedöma om punkt 459 b i riktlinjerna efterlevs, och om stödordningen för närvarande inte är föremål för en efterhandsutvärdering och dess varaktighet överstiger tre år, bekräfta att medlemsstaten kommer att anmäla ett utkast till utvärderingsplan inom 30 arbetsdagar efter en betydande ändring som ökar stödordningens budget till mer än 150 miljoner euro under ett givet år eller till mer än 750 miljoner euro under stödordningens totala varaktighet.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För att det ska gå att bedöma om punkt 459 c i riktlinjerna efterlevs och om stödordningen för närvarande inte är föremål för en efterhandsutvärdering, ange nedan ett åtagande om att medlemsstaten kommer att anmäla ett utkast till utvärderingsplan inom 30 arbetsdagar efter att i de officiella räkenskaperna ha redovisat utgifter på över 150 miljoner euro under föregående år.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För att kunna göra en bedömning av om punkt 461 i riktlinjerna efterlevs gäller följande:</w:t>
      </w:r>
    </w:p>
    <w:p w14:paraId="3B57C2B7" w14:textId="77777777" w:rsidR="00017826" w:rsidRPr="00017826" w:rsidRDefault="00017826" w:rsidP="00017826">
      <w:pPr>
        <w:numPr>
          <w:ilvl w:val="0"/>
          <w:numId w:val="121"/>
        </w:numPr>
        <w:spacing w:before="120" w:after="120"/>
        <w:jc w:val="both"/>
      </w:pPr>
      <w:r>
        <w:t>Klargör om den oberoende experten redan har valts eller kommer att väljas i framtiden.</w:t>
      </w:r>
    </w:p>
    <w:p w14:paraId="30D5C112" w14:textId="77777777" w:rsidR="00017826" w:rsidRPr="00017826" w:rsidRDefault="00017826" w:rsidP="00017826">
      <w:pPr>
        <w:spacing w:before="120" w:after="120"/>
        <w:ind w:left="567"/>
        <w:jc w:val="both"/>
      </w:pPr>
      <w:r>
        <w:lastRenderedPageBreak/>
        <w:t>…………………………………………………………………………………..</w:t>
      </w:r>
    </w:p>
    <w:p w14:paraId="135C9A2C" w14:textId="77777777" w:rsidR="00017826" w:rsidRPr="00017826" w:rsidRDefault="00017826" w:rsidP="00017826">
      <w:pPr>
        <w:numPr>
          <w:ilvl w:val="0"/>
          <w:numId w:val="121"/>
        </w:numPr>
        <w:spacing w:before="120" w:after="120"/>
        <w:jc w:val="both"/>
      </w:pPr>
      <w:r>
        <w:t>Lämna information om förfarandet för val av expert.</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Förklara hur experten är oberoende av den beviljande myndigheten.</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För att det ska gå att ytterligare bedöma om punkt 461 i riktlinjerna efterlevs, gör följande: </w:t>
      </w:r>
    </w:p>
    <w:p w14:paraId="2E5EF1CD" w14:textId="59962384" w:rsidR="00017826" w:rsidRPr="00017826" w:rsidRDefault="00017826" w:rsidP="00017826">
      <w:pPr>
        <w:numPr>
          <w:ilvl w:val="0"/>
          <w:numId w:val="122"/>
        </w:numPr>
        <w:spacing w:before="120" w:after="120"/>
        <w:jc w:val="both"/>
      </w:pPr>
      <w:r>
        <w:t xml:space="preserve">Ange de tidsfrister medlemsstaten föreslagit för inlämning av </w:t>
      </w:r>
      <w:proofErr w:type="spellStart"/>
      <w:r>
        <w:t>interimsutvärderingsrapporten</w:t>
      </w:r>
      <w:proofErr w:type="spellEnd"/>
      <w:r>
        <w:t xml:space="preserve">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Bekräfta att </w:t>
      </w:r>
      <w:proofErr w:type="spellStart"/>
      <w:r>
        <w:t>interimsutvärderingsrapporten</w:t>
      </w:r>
      <w:proofErr w:type="spellEnd"/>
      <w:r>
        <w:t xml:space="preserve"> och den slutliga utvärderingsrapporten kommer att offentliggöras. Ange datum och internetlänk där dessa rapporter kommer att finnas tillgängliga för allmänheten.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Avsnitt D: Rapportering och övervakning</w:t>
            </w:r>
          </w:p>
        </w:tc>
      </w:tr>
    </w:tbl>
    <w:p w14:paraId="6975FD00" w14:textId="7876D36D" w:rsidR="006725F7" w:rsidRPr="006725F7" w:rsidRDefault="006725F7" w:rsidP="006725F7">
      <w:pPr>
        <w:spacing w:before="360" w:after="120"/>
        <w:jc w:val="both"/>
        <w:rPr>
          <w:i/>
          <w:iCs/>
          <w:color w:val="000000"/>
        </w:rPr>
      </w:pPr>
      <w:r>
        <w:rPr>
          <w:i/>
          <w:color w:val="000000"/>
        </w:rPr>
        <w:t>För att lämna information i detta avsnitt, se avsnitt 6 (punkterna 464–465) i riktlinjerna.</w:t>
      </w:r>
    </w:p>
    <w:p w14:paraId="29B090CF" w14:textId="307F0833" w:rsidR="004B0C34" w:rsidRPr="0051324D" w:rsidRDefault="006725F7" w:rsidP="006725F7">
      <w:pPr>
        <w:numPr>
          <w:ilvl w:val="0"/>
          <w:numId w:val="50"/>
        </w:numPr>
        <w:spacing w:before="120" w:after="120"/>
        <w:ind w:left="567" w:hanging="567"/>
        <w:jc w:val="both"/>
      </w:pPr>
      <w:r>
        <w:t>Bekräfta att medlemsstaten kommer att efterleva de krav på rapportering och övervakning som anges i avsnitt 6, punkterna 464 och 465, i riktlinjerna.</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rsidR="007356C6">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EUT C 80, 18.2.2022, s. 1.</w:t>
      </w:r>
    </w:p>
  </w:footnote>
  <w:footnote w:id="3">
    <w:p w14:paraId="0B630B34" w14:textId="1A949931" w:rsidR="00EA14A3" w:rsidRDefault="00EA14A3" w:rsidP="00EA14A3">
      <w:pPr>
        <w:pStyle w:val="FootnoteText"/>
      </w:pPr>
      <w:r>
        <w:rPr>
          <w:rStyle w:val="FootnoteReference"/>
        </w:rPr>
        <w:footnoteRef/>
      </w:r>
      <w:r>
        <w:tab/>
        <w:t xml:space="preserve">Observera att varaktigheten för en stödordning är den period under vilken stöd kan sökas och det kan fattas beslut om (och därför omfattar den tid som krävs för myndigheternas godkännande av stödansökningarna). Med varaktighet avses här inte varaktigheten för de avtal som ingås inom ramen för stödordningen och som kan fortsätta att löpa efter åtgärdens varaktighet. </w:t>
      </w:r>
    </w:p>
  </w:footnote>
  <w:footnote w:id="4">
    <w:p w14:paraId="3A1CFF23" w14:textId="4C37DE38" w:rsidR="0091313C" w:rsidRPr="0067348B" w:rsidRDefault="0091313C" w:rsidP="0091313C">
      <w:pPr>
        <w:pStyle w:val="FootnoteText"/>
      </w:pPr>
      <w:r>
        <w:rPr>
          <w:rStyle w:val="FootnoteReference"/>
        </w:rPr>
        <w:footnoteRef/>
      </w:r>
      <w:r>
        <w:tab/>
        <w:t>Observera att en ändring av den faktiska eller beräknade budgeten kan utgöra en ändring av stöd, vilket kräver en ny anmälan.</w:t>
      </w:r>
    </w:p>
  </w:footnote>
  <w:footnote w:id="5">
    <w:p w14:paraId="74B9E2E9" w14:textId="09EFDCF0" w:rsidR="007B4268" w:rsidRPr="007B4268" w:rsidRDefault="007B4268">
      <w:pPr>
        <w:pStyle w:val="FootnoteText"/>
      </w:pPr>
      <w:r>
        <w:rPr>
          <w:rStyle w:val="FootnoteReference"/>
        </w:rPr>
        <w:footnoteRef/>
      </w:r>
      <w:r>
        <w:tab/>
        <w:t>Hänvisningar i denna delfråga till ”avgift” bör förstås som om de även omfattar miljöskatter.</w:t>
      </w:r>
    </w:p>
  </w:footnote>
  <w:footnote w:id="6">
    <w:p w14:paraId="771807DF" w14:textId="77777777" w:rsidR="004B0D99" w:rsidRPr="00FC5A51" w:rsidRDefault="004B0D99" w:rsidP="004B0D99">
      <w:pPr>
        <w:pStyle w:val="FootnoteText"/>
      </w:pPr>
      <w:r>
        <w:rPr>
          <w:rStyle w:val="FootnoteReference"/>
        </w:rPr>
        <w:footnoteRef/>
      </w:r>
      <w:r>
        <w:tab/>
        <w:t>Till exempel genom att jämföra den normala sats som skulle tillämpas med nedsättningar av den normala sats som skulle tillämpas utan nedsättningen, det totala antalet företag som skulle vara skyldiga att betala skatten eller avgiften eller andra indikatorer som återspeglar en faktisk förändring i miljöskadligt beteende.</w:t>
      </w:r>
    </w:p>
  </w:footnote>
  <w:footnote w:id="7">
    <w:p w14:paraId="415B82D4" w14:textId="52C53E38" w:rsidR="00B40F1D" w:rsidRPr="00B40F1D" w:rsidRDefault="00B40F1D">
      <w:pPr>
        <w:pStyle w:val="FootnoteText"/>
      </w:pPr>
      <w:r>
        <w:rPr>
          <w:rStyle w:val="FootnoteReference"/>
        </w:rPr>
        <w:footnoteRef/>
      </w:r>
      <w:r>
        <w:tab/>
        <w:t>Sådana avtal eller åtaganden kan bland annat avse en minskning av energiförbrukningen, en minskning av utsläpp och andra föroreningar eller andra miljöskyddsåtgärder.</w:t>
      </w:r>
    </w:p>
  </w:footnote>
  <w:footnote w:id="8">
    <w:p w14:paraId="389D3F63" w14:textId="77777777" w:rsidR="00044DC5" w:rsidRDefault="00044DC5">
      <w:pPr>
        <w:pStyle w:val="FootnoteText"/>
      </w:pPr>
      <w:r>
        <w:rPr>
          <w:rStyle w:val="FootnoteReference"/>
        </w:rPr>
        <w:footnoteRef/>
      </w:r>
      <w:r>
        <w:tab/>
        <w:t>Centralt förvaltad unionsfinansiering är unionsfinansiering som förvaltas centralt av Europeiska unionens institutioner, byråer, gemensamma företag eller dess andra organ som inte direkt eller indirekt står under medlemsstatens kontroll.</w:t>
      </w:r>
    </w:p>
  </w:footnote>
  <w:footnote w:id="9">
    <w:p w14:paraId="1A49E979" w14:textId="13D70967" w:rsidR="00017826" w:rsidRDefault="00017826" w:rsidP="00017826">
      <w:pPr>
        <w:pStyle w:val="FootnoteText"/>
      </w:pPr>
      <w:r>
        <w:rPr>
          <w:rStyle w:val="FootnoteReference"/>
        </w:rPr>
        <w:footnoteRef/>
      </w:r>
      <w:r>
        <w:tab/>
        <w:t xml:space="preserve">Mallen till formuläret för kompletterande information för anmälan av en utvärderingsplan (del III.8) finns här: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48F"/>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v-S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4.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3462</Words>
  <Characters>20427</Characters>
  <Application>Microsoft Office Word</Application>
  <DocSecurity>0</DocSecurity>
  <Lines>453</Lines>
  <Paragraphs>162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HOLGERSSON Ola (DGT)</cp:lastModifiedBy>
  <cp:revision>7</cp:revision>
  <cp:lastPrinted>2022-04-12T14:59:00Z</cp:lastPrinted>
  <dcterms:created xsi:type="dcterms:W3CDTF">2024-08-22T12:39:00Z</dcterms:created>
  <dcterms:modified xsi:type="dcterms:W3CDTF">2024-10-04T14:53:00Z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