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Deel III.6</w:t>
            </w:r>
          </w:p>
          <w:p w14:paraId="6E9C4C7E" w14:textId="620BA570" w:rsidR="000442F5" w:rsidRPr="009916D5" w:rsidRDefault="001F242D" w:rsidP="007B485D">
            <w:pPr>
              <w:pStyle w:val="Heading2"/>
              <w:spacing w:before="240" w:after="240"/>
              <w:jc w:val="center"/>
              <w:rPr>
                <w:sz w:val="32"/>
                <w:szCs w:val="32"/>
              </w:rPr>
            </w:pPr>
            <w:r>
              <w:rPr>
                <w:sz w:val="32"/>
              </w:rPr>
              <w:t>Formulier aanvullende informatie voor staatssteun verleend in het kader van de richtsnoeren staatssteun ten behoeve van klimaat, milieubescherming en energie 2022</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Hoofdstuk 4.7.1 – Steun in de vorm van kortingen op milieubelastingen of -heffingen</w:t>
            </w:r>
          </w:p>
        </w:tc>
      </w:tr>
    </w:tbl>
    <w:p w14:paraId="27F0F629" w14:textId="4927A87E" w:rsidR="000442F5" w:rsidRPr="00711243" w:rsidRDefault="000442F5" w:rsidP="004779D5">
      <w:pPr>
        <w:spacing w:before="360" w:after="120"/>
        <w:ind w:right="-142"/>
        <w:jc w:val="both"/>
        <w:rPr>
          <w:i/>
          <w:iCs/>
        </w:rPr>
      </w:pPr>
      <w:r>
        <w:rPr>
          <w:i/>
        </w:rPr>
        <w:t>Dit formulier aanvullende informatie moet worden gebruikt voor het aanmelden van steun die valt onder de richtsnoeren staatssteun ten behoeve van klimaat, milieubescherming en energie 2022 (hierna “de richtsnoeren” genoemd).</w:t>
      </w:r>
    </w:p>
    <w:p w14:paraId="622044AE" w14:textId="108684F2" w:rsidR="009E2EA1" w:rsidRPr="00711243" w:rsidRDefault="0072538B" w:rsidP="6EC7D551">
      <w:pPr>
        <w:spacing w:before="120" w:after="120"/>
        <w:ind w:right="-142"/>
        <w:jc w:val="both"/>
        <w:rPr>
          <w:i/>
          <w:iCs/>
        </w:rPr>
      </w:pPr>
      <w:r>
        <w:rPr>
          <w:i/>
        </w:rPr>
        <w:t xml:space="preserve">Dit formulier aanvullende informatie heeft betrekking op maatregelen die onder hoofdstuk 4.7.1 van de richtsnoeren vallen. Indien de aanmelding maatregelen omvat die onder meer dan één hoofdstuk van de richtsnoeren vallen, vul dan ook het formulier aanvullende informatie in dat betrekking heeft op het desbetreffende hoofdstuk van de richtsnoeren. </w:t>
      </w:r>
    </w:p>
    <w:p w14:paraId="516CA0D8" w14:textId="13E1AC51" w:rsidR="00D85EEE" w:rsidRDefault="009E2EA1" w:rsidP="0BD92DCE">
      <w:pPr>
        <w:spacing w:before="120" w:after="120"/>
        <w:ind w:right="-142"/>
        <w:jc w:val="both"/>
      </w:pPr>
      <w:r>
        <w:rPr>
          <w:i/>
        </w:rPr>
        <w:t>Alle documenten die lidstaten als bijlagen bij dit formulier aanvullende informatie verstrekken, moeten genummerd zijn en de nummers van de documenten moeten worden aangegeven in de desbetreffende afdelingen van dit formulier.</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Afdeling A: Samenvatting van de belangrijkste kenmerken van de maatregel(en)</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Achtergrond en doelstelling(en) van de maatregel(en)</w:t>
      </w:r>
    </w:p>
    <w:p w14:paraId="7E6887E3" w14:textId="3DC69D1A" w:rsidR="00EA14A3" w:rsidRDefault="00D3344D" w:rsidP="00EA14A3">
      <w:pPr>
        <w:pStyle w:val="ListParagraph"/>
        <w:numPr>
          <w:ilvl w:val="0"/>
          <w:numId w:val="67"/>
        </w:numPr>
        <w:spacing w:after="240"/>
        <w:ind w:left="993" w:hanging="142"/>
        <w:jc w:val="both"/>
      </w:pPr>
      <w:r>
        <w:t xml:space="preserve">Indien dit nog niet is besproken in afdeling 5.2 van het formulier algemene informatie (deel  I), geef dan de achtergrond en de hoofddoelstelling, met inbegrip van het verband met milieudoelstellingen van de Unie die met de maatregel moeten worden ondersteund.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Indien dit nog niet is besproken in afdeling 5.2 van het formulier algemene informatie (deel  I), geef aan welke andere doelstellingen met de maatregel worden nagestreefd. Leg voor doelstellingen die niet uitsluitend betrekking hebben op het milieu uit of zij tot verstoringen van de interne markt kunnen leiden.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Inwerkingtreding en looptijd</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Indien de informatie nog niet is verstrekt in afdeling 5.5 van het formulier algemene informatie (deel I), vermeld:</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voor een steunregeling: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de datum waarop de regeling naar verwachting in werking zal treden;</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de looptijd van de regeling</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voor individuele steun: de (geplande) datum van toekenning van de steun (belofte van de steun) en de betalingsdatum (eerste betalingsdatum indien verschillende opeenvolgende betalingen zijn gepland):</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Begunstigde(n):</w:t>
      </w:r>
    </w:p>
    <w:p w14:paraId="5266FC05" w14:textId="60C34F9E" w:rsidR="00BC5DDD" w:rsidRDefault="00CF3861" w:rsidP="00C52CFD">
      <w:pPr>
        <w:pStyle w:val="ListParagraph"/>
        <w:numPr>
          <w:ilvl w:val="0"/>
          <w:numId w:val="68"/>
        </w:numPr>
        <w:spacing w:after="240"/>
        <w:ind w:hanging="229"/>
        <w:jc w:val="both"/>
        <w:rPr>
          <w:szCs w:val="24"/>
        </w:rPr>
      </w:pPr>
      <w:r>
        <w:t>Indien dit nog niet is vermeld in afdeling 3 van het formulier algemene informatie (deel I), beschrijf dan de (potentiële) begunstigde(n) van de maatregel(en).</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lastRenderedPageBreak/>
        <w:t>Vermeld de locatie van de begunstigde(n) (d.w.z. of alleen economische entiteiten in de desbetreffende lidstaten of ook in andere lidstaten in aanmerking komen voor deelname aan de maatregel).</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Geef aan, om te beoordelen of aan punt 15 van de richtsnoeren is voldaan,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Indien dit het geval is, geef dan informatie over het bedrag aan steun dat nog moet worden teruggevorderd, zodat de Commissie hiermee rekening kan houden bij de beoordeling van de steunmaatregel(en).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Bevestig dat de maatregelen geen steun inhouden voor activiteiten die buiten het toepassingsgebied van de richtsnoeren vallen (zie punt 13 van de richtsnoeren). Als dat niet het geval is, verstrek dan nadere informatie.</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Budget en financiering van de maatregel(en)</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aanbestedingen), geef dan een geraamd budget op, met inbegrip van de aannames die zijn gebruikt om het respectieve geraamde budget te berekenen.</w:t>
      </w:r>
      <w:r>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Aangezien de maatregel een milieubelasting of -heffing</w:t>
      </w:r>
      <w:r>
        <w:rPr>
          <w:rStyle w:val="FootnoteReference"/>
          <w:rFonts w:cs="Arial Unicode MS"/>
          <w:lang w:bidi="si-LK"/>
        </w:rPr>
        <w:footnoteReference w:id="5"/>
      </w:r>
      <w:r>
        <w:t xml:space="preserve"> betreft, gelieve te verduidelijken of:</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de heffing bij wet of een andere wetgevingshandeling is vastgesteld. Zo ja, vermeld de rechtshandeling, het nummer en de datum waarop deze is vastgesteld en in werking is getreden, en de internetlink naar de rechtshandeling;</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de korting op de heffing wordt gefinancierd door een verhoging van de heffing voor andere verbruikers.</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lastRenderedPageBreak/>
        <w:t>de heffing zowel op binnenlandse als op ingevoerde producten wordt geheven;</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de maatregelen in gelijke mate ten goede zullen komen aan binnenlandse en ingevoerde producenten;</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de maatregel met de heffing volledig of slechts gedeeltelijk wordt gefinancierd. Indien met de heffing de maatregel slechts gedeeltelijk wordt gefinancierd, vermeld dan de andere financieringsbronnen van de maatregel en hun respectieve aandeel;</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met de heffing waarmee de maatregel wordt gefinancierd ook andere steunmaatregelen worden gefinancierd. Indien dit het geval is, vermeld dan de andere steunmaatregelen die met de betrokken heffing worden gefinancierd.</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Afdeling B: Verenigbaarheidsbeoordeling van de steun</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Positieve voorwaarde: de steun moet de ontwikkeling van een economische bedrijvigheid vergemakkelijken</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Bijdrage aan de ontwikkeling van een economische activiteit, stimulerend effect, motivering van de steun en omvang van de ondersteunde activiteiten</w:t>
            </w:r>
          </w:p>
        </w:tc>
      </w:tr>
    </w:tbl>
    <w:p w14:paraId="2870642B" w14:textId="029644F0" w:rsidR="000442F5" w:rsidRPr="00DB40A5" w:rsidRDefault="000442F5" w:rsidP="7963440A">
      <w:pPr>
        <w:spacing w:before="360" w:after="120"/>
        <w:jc w:val="both"/>
        <w:rPr>
          <w:i/>
          <w:iCs/>
        </w:rPr>
      </w:pPr>
      <w:r>
        <w:rPr>
          <w:i/>
        </w:rPr>
        <w:t xml:space="preserve">Voor de informatie die in deze afdeling moet worden verstrekt, zie de afdelingen 3.1.1 en 3.1.2 </w:t>
      </w:r>
      <w:bookmarkStart w:id="4" w:name="_Hlk172821826"/>
      <w:r>
        <w:rPr>
          <w:i/>
        </w:rPr>
        <w:t>voor zover zij van toepassing zijn op de maatregel(en)</w:t>
      </w:r>
      <w:bookmarkEnd w:id="4"/>
      <w:r>
        <w:rPr>
          <w:i/>
        </w:rPr>
        <w:t xml:space="preserve">, en de afdelingen 4.7.1.1 en 4.7.1.2 (punten 293 tot en met 296) van de richtsnoeren.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Artikel 107, lid 3, punt c), VWEU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Steun die op grond van die bepaling van het Verdrag verenigbaar is, moet dus bijdragen tot de ontwikkeling van bepaalde vormen van economische bedrijvigheid. </w:t>
      </w:r>
    </w:p>
    <w:p w14:paraId="52F709B3" w14:textId="79C6C83F" w:rsidR="00EE2FCC" w:rsidRPr="00864DCD" w:rsidRDefault="00CB486E" w:rsidP="00864DCD">
      <w:pPr>
        <w:pStyle w:val="ListParagraph"/>
        <w:spacing w:before="120" w:after="120"/>
        <w:ind w:left="567"/>
        <w:contextualSpacing w:val="0"/>
        <w:jc w:val="both"/>
      </w:pPr>
      <w:r>
        <w:t>Geef aan, om te beoordelen of aan punt 23 van de richtsnoeren is voldaan, welke economische activiteiten met behulp van de steun zullen worden vergemakkelijkt en hoe de ontwikkeling van die activiteiten wordt ondersteund.</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 xml:space="preserve">Alleen indien steun een stimulerend effect heeft, kan deze worden beschouwd als een maatregel die een economische activiteit vergemakkelijkt. Geef aan, om te beoordelen </w:t>
      </w:r>
      <w:r>
        <w:lastRenderedPageBreak/>
        <w:t>of aan afdeling 3.1.2 van de richtsnoeren is voldaan, hoe de maatregel(en) “de begunstigde ervan ertoe aanzet(ten) zijn gedrag te veranderen, extra economische activiteiten te ondernemen of milieuvriendelijkere economische activiteiten te ondernemen, die hij zonder de steun niet zou uitvoeren, dan wel beperkt of anders zou uitvoeren” in het licht van de motivering van de steun zoals toegelicht in afdeling 4.7.1.1. van de richtsnoeren.</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Beschrijf, om te beoordelen of aan punt 293 van de richtsnoeren is voldaan, i) waarom “kortingen op milieubelastingen of -heffingen [die] ongunstig kunnen uitwerken op de milieubeschermingsdoelstelling, (…) niettemin misschien toch noodzakelijk [kunnen] zijn” en waarom “de begunstigden anders een zodanig concurrentienadeel zouden ondervinden dat het sowieso niet doenbaar zou zijn om de milieubelasting of -heffing in te voeren.”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Beschrijf, om te beoordelen of aan punt 294 van de richtsnoeren is voldaan:</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waarom “het verlenen van een gunstigere behandeling aan sommige ondernemingen het mogelijk [kan] maken een hoger algemeen niveau van bijdrage aan de milieubelastingen of -heffingen te bereiken”;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waarom “kortingen op milieubelastingen of -heffingen dan ook indirect [kunnen] bijdragen aan een hoger niveau van milieubescherming”; en﻿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hoe de lidstaat waarborgt dat die kortingen “de algemene doelstelling van de milieubelasting of -heffing om milieuschadelijk gedrag te ontmoedigen niet ondermijnen en/of [...] de kosten van dergelijk gedrag niet verhogen wanneer er geen bevredigende alternatieven voorhanden zijn”.</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Verstrek, om te beoordelen of aan punt 295 van de richtsnoeren is voldaan, de in punt 296 van de CEEAG beschreven informatie:</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een beschrijving van de sectoren of categorieën begunstigden die voor de kortingen in aanmerking komen,</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een lijst van de grootste begunstigden in elke betrokken sector, hun omzet, marktaandeel, de omvang van de belastinggrondslag en het aandeel van de milieubelasting of -heffing in hun winst vóór belasting met en zonder de korting (deze mag worden verstrekt in een afzonderlijke bijlage bij dit formulier aanvullende informatie),</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een beschrijving van de situatie van deze begunstigden waarin wordt uitgelegd waarom zij niet in staat zouden zijn het normale tarief van de milieubelasting of -heffing te betalen,</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lastRenderedPageBreak/>
        <w:t>een toelichting van de wijze waarop de belasting- of heffingskorting zou bijdragen tot een daadwerkelijke verhoging van het niveau van milieubescherming in vergelijking met het niveau van milieubescherming dat zonder kortingen zou worden bereikt</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Geen schending van relevante bepalingen van het Unierecht</w:t>
            </w:r>
          </w:p>
        </w:tc>
      </w:tr>
    </w:tbl>
    <w:p w14:paraId="243B3743" w14:textId="21186291" w:rsidR="00DE1D68" w:rsidRDefault="00DE1D68" w:rsidP="00DE1D68">
      <w:pPr>
        <w:spacing w:before="360" w:after="120"/>
        <w:jc w:val="both"/>
        <w:rPr>
          <w:i/>
        </w:rPr>
      </w:pPr>
      <w:r>
        <w:rPr>
          <w:i/>
        </w:rPr>
        <w:t xml:space="preserve">Voor de informatie die in deze afdeling moet worden verstrekt, zie afdeling 3.1.3 (punt 33) van de richtsnoeren.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Verstrek informatie om te bevestigen dat de relevante bepalingen van het EU-recht worden nageleefd, overeenkomstig punt 33 van de richtsnoeren.</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Indien een heffing wordt gebruikt om de maatregel(en) te financieren, verduidelijk dan of moet worden nagegaan of de artikelen 30 en 110 VWEU worden nageleefd. Indien dit het geval is, toon dan aan hoe de maatregel in overeenstemming is met de artikelen 30 en 110 VWEU. In dit verband kan worden verwezen naar de in vraag </w:t>
      </w:r>
      <w:r>
        <w:fldChar w:fldCharType="begin"/>
      </w:r>
      <w:r>
        <w:instrText xml:space="preserve"> REF _Ref172736116 \w \h </w:instrText>
      </w:r>
      <w:r>
        <w:fldChar w:fldCharType="separate"/>
      </w:r>
      <w:r>
        <w:t>5</w:t>
      </w:r>
      <w:r>
        <w:fldChar w:fldCharType="end"/>
      </w:r>
      <w:r>
        <w:t>.</w:t>
      </w:r>
      <w:r>
        <w:fldChar w:fldCharType="begin"/>
      </w:r>
      <w:r>
        <w:instrText xml:space="preserve"> REF _Ref172736090 \r \h </w:instrText>
      </w:r>
      <w:r>
        <w:fldChar w:fldCharType="separate"/>
      </w:r>
      <w:r>
        <w:t>ii</w:t>
      </w:r>
      <w:r>
        <w:fldChar w:fldCharType="end"/>
      </w:r>
      <w:r>
        <w:t xml:space="preserve"> hierboven verstrekte informatie.</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Verstoringen van de mededinging en het handelsverkeer tot een minimum beperken</w:t>
            </w:r>
          </w:p>
        </w:tc>
      </w:tr>
    </w:tbl>
    <w:p w14:paraId="40A64058" w14:textId="230E5E86" w:rsidR="00EC33DD" w:rsidRDefault="00EC33DD" w:rsidP="00A46DF5">
      <w:pPr>
        <w:spacing w:before="360" w:after="120"/>
        <w:rPr>
          <w:i/>
          <w:color w:val="000000"/>
        </w:rPr>
      </w:pPr>
      <w:r>
        <w:rPr>
          <w:i/>
          <w:color w:val="000000"/>
        </w:rPr>
        <w:t>De afdelingen 2.1.1 en 2.1.2 zijn alternatief. Voor gevallen die in aanmerking komen voor een vereenvoudigde aanpak overeenkomstig afdeling 2.1.1 hieronder, zijn antwoorden onder afdeling 2.1.2 niet vereist.</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Vereenvoudigde aanpak voor geharmoniseerde milieubelastingen</w:t>
            </w:r>
          </w:p>
        </w:tc>
      </w:tr>
    </w:tbl>
    <w:p w14:paraId="3BC9FD96" w14:textId="596445AB" w:rsidR="00877483" w:rsidRDefault="001D4B25" w:rsidP="00506D80">
      <w:pPr>
        <w:spacing w:before="360" w:after="120"/>
        <w:rPr>
          <w:i/>
          <w:color w:val="000000"/>
        </w:rPr>
      </w:pPr>
      <w:r>
        <w:rPr>
          <w:i/>
          <w:color w:val="000000"/>
        </w:rPr>
        <w:t xml:space="preserve">Voor de informatie die in deze afdeling moet worden verstrekt, zie afdeling 4.7.1.3 (punten 297 tot en met 300) van de richtsnoeren. Indien milieubelastingen worden geharmoniseerd, kan de Commissie een vereenvoudigde aanpak toepassen om de noodzaak en evenredigheid van de steun te beoordelen. In het kader van Richtlijn 2003/96/EG kan de </w:t>
      </w:r>
      <w:r>
        <w:rPr>
          <w:i/>
          <w:color w:val="000000"/>
        </w:rPr>
        <w:lastRenderedPageBreak/>
        <w:t>Commissie een vereenvoudigde aanpak toepassen voor belastingkortingen die in overeenstemming zijn met het in de punten 298 en 299 beschreven Unieminimumbelastingniveau.</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Gelieve te verduidelijken of de maatregel(en) binnen het toepassingsgebied van Richtlijn 2003/96/EG valt (vallen).</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Zo ja, en om te beoordelen of aan punt 298 van de richtsnoeren is voldaan, verstrek de volgende informatie:</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Vermeld het toepasselijke Unieminimumbelastingniveau en het toepasselijke belastingtarief dat de begunstigde in het kader van de maatregel heeft betaald.</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Vermeld de criteria voor de selectie van begunstigden en licht deze toe. Licht in uw antwoord toe waarom deze objectief en transparant zijn.</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Licht toe en bevestig dat de steun wordt voor alle ondernemingen in dezelfde sector op dezelfde wijze toegekend indien zij zich in een vergelijkbare feitelijke situatie bevinden.</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Bevestig dat er een voorafgaande open publieke consultatie is gehouden waarbij de voor de kortingen in aanmerking komende sectoren naar behoren worden beschreven en een lijst van de grootste begunstigden voor elke sector is verstrekt. Verstrek relevante bewijsstukken voor deze consultatie.</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Om te beoordelen of aan punt 299 van de richtsnoeren is voldaan:</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Leg uit of de steun wordt toegekend in de vorm van een verlaging van het belastingtarief of als een vast jaarlijks compensatiebedrag (teruggaaf van belasting), of als een combinatie van beide.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Indien de steun (deels) wordt toegekend als een belastingteruggaaf, bevestig dan dat i) het bedrag van de belastingteruggaaf wordt berekend op basis van historische gegevens, d.w.z. het niveau van productie en het verbruik dat of de verontreiniging die in een bepaald referentiejaar voor de onderneming werd waargenomen; en ii) het niveau van de belastingteruggaaf niet hoger is dan het Unieminimumbelastingbedrag dat anders voor het basisjaar verschuldigd zou zijn.</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Diepgaande beoordeling van de maatregel(en)</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 xml:space="preserve">Indien milieubelastingen niet geharmoniseerd zijn of de begunstigden minder betalen dan het minimumniveau van de geharmoniseerde belasting in de Unie, voor zover toegestaan door </w:t>
      </w:r>
      <w:r>
        <w:rPr>
          <w:i/>
        </w:rPr>
        <w:lastRenderedPageBreak/>
        <w:t>Richtlijn 2003/96/EG, is een grondige beoordeling van de noodzaak en evenredigheid van de steun nodig.</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Noodzaak van de steun</w:t>
            </w:r>
          </w:p>
        </w:tc>
      </w:tr>
    </w:tbl>
    <w:p w14:paraId="3754E3F1" w14:textId="25BB5508" w:rsidR="00663008" w:rsidRPr="00F83660" w:rsidRDefault="6695A805" w:rsidP="6637E879">
      <w:pPr>
        <w:spacing w:before="360" w:after="120"/>
        <w:jc w:val="both"/>
        <w:rPr>
          <w:i/>
          <w:iCs/>
          <w:color w:val="000000"/>
        </w:rPr>
      </w:pPr>
      <w:r>
        <w:rPr>
          <w:i/>
        </w:rPr>
        <w:t>Voor de informatie die in deze afdeling moet worden verstrekt, zie afdeling 3.2.1.1 voor zover deze van toepassing is op de maatregel(en), en afdeling 4.7.1.3.1 (punten 301 tot en met 303) van de richtsnoeren.</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Beschrijf, om te beoordelen of aan de vereisten van afdeling 3.2.1.1 van richtsnoeren is voldaan, hoe de maatregel(en) gericht is (zijn) op een situatie waar steun kan zorgen voor een wezenlijke verbetering die de markt alleen niet tot stand kan brengen. Verwijs in uw antwoord naar vormen van marktfalen zoals beschreven in punt 34 van de richtsnoeren, voor zover van toepassing, en leg uit waarom andere beleidslijnen en maatregelen die reeds van voorhanden zijn, zoals vermeld in punt 35 van de CEEAG, niet volstaan om deze aan te pakken.</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Geef aan, om te beoordelen of aan punt 302 van de richtsnoeren is voldaan, of aan de volgende voorwaarden is voldaan:</w:t>
      </w:r>
    </w:p>
    <w:p w14:paraId="1B5AA814" w14:textId="0C243847" w:rsidR="00E05657" w:rsidRDefault="00E05657" w:rsidP="00A46DF5">
      <w:pPr>
        <w:pStyle w:val="ListParagraph"/>
        <w:numPr>
          <w:ilvl w:val="0"/>
          <w:numId w:val="127"/>
        </w:numPr>
        <w:spacing w:before="120" w:after="120"/>
        <w:ind w:left="1434" w:hanging="357"/>
        <w:jc w:val="both"/>
      </w:pPr>
      <w:r>
        <w:t>De selectie van de begunstigden is gebaseerd op objectieve en transparante criteria en de steun wordt op dezelfde wijze toegekend voor alle in aanmerking komende ondernemingen die in dezelfde economische sector actief zijn en zich, wat betreft de doelstellingen van de steunmaatregel, in dezelfde of een vergelijkbare feitelijke situatie bevinden;</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De milieubelasting of -heffing zou zonder de korting leiden tot een aanzienlijke toename van de productiekosten, berekend als een percentage van de bruto toegevoegde waarde voor elke sector of categorie begunstigden (bv. op basis van cijfers van representatieve begunstigden of geaggregeerde cijfers voor de sector of categorie begunstigden);</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t>De aanzienlijke toename van de productiekosten kan niet aan klanten worden doorberekend zonder dat dit tot aanzienlijk omzetverlies leidt (bv. op basis van verwijzingen naar concurrentie van ondernemingen in rechtsgebieden die niet aan de belasting zijn onderworpen en de mate van substitueerbaarheid van het betrokken product);</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Voor belastingverlagingen voor biobrandstoffen, vloeibare biomassa en biomassabrandstoffen, om te beoordelen of aan punt 303 van de richtsnoeren is voldaan:</w:t>
      </w:r>
    </w:p>
    <w:p w14:paraId="54638E3E" w14:textId="69F50F83" w:rsidR="006E4D23" w:rsidRDefault="00CC0461" w:rsidP="00A46DF5">
      <w:pPr>
        <w:pStyle w:val="ListParagraph"/>
        <w:numPr>
          <w:ilvl w:val="0"/>
          <w:numId w:val="128"/>
        </w:numPr>
        <w:spacing w:before="120" w:after="120"/>
        <w:ind w:left="1434" w:hanging="357"/>
        <w:jc w:val="both"/>
      </w:pPr>
      <w:r>
        <w:t>Bevestig dat er een mechanisme zal zijn om na te gaan of de maatregel nog steeds noodzakelijk is, waarbij de noodzakelijkheidsvoorwaarden van punt 4.1.3.1 van de richtsnoeren worden toegepast;</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7960F2C6" w:rsidR="006E4D23" w:rsidRDefault="00F878EE" w:rsidP="00A46DF5">
      <w:pPr>
        <w:pStyle w:val="ListParagraph"/>
        <w:numPr>
          <w:ilvl w:val="0"/>
          <w:numId w:val="128"/>
        </w:numPr>
        <w:spacing w:before="120" w:after="120"/>
        <w:ind w:left="1434" w:hanging="357"/>
        <w:jc w:val="both"/>
      </w:pPr>
      <w:r>
        <w:t xml:space="preserve">Leg uit hoe dit mechanisme zal werken; en﻿ </w:t>
      </w:r>
    </w:p>
    <w:p w14:paraId="5567A88D" w14:textId="77777777" w:rsidR="006E4D23" w:rsidRPr="00F83660" w:rsidRDefault="006E4D23" w:rsidP="00A46DF5">
      <w:pPr>
        <w:tabs>
          <w:tab w:val="left" w:leader="dot" w:pos="9072"/>
        </w:tabs>
        <w:spacing w:before="120" w:after="120"/>
        <w:ind w:left="567"/>
        <w:jc w:val="both"/>
        <w:rPr>
          <w:color w:val="000000"/>
        </w:rPr>
      </w:pPr>
      <w:r>
        <w:lastRenderedPageBreak/>
        <w:tab/>
      </w:r>
    </w:p>
    <w:p w14:paraId="1CC0747E" w14:textId="612C531C" w:rsidR="00CC0461" w:rsidRDefault="004B495A" w:rsidP="00A46DF5">
      <w:pPr>
        <w:pStyle w:val="ListParagraph"/>
        <w:numPr>
          <w:ilvl w:val="0"/>
          <w:numId w:val="128"/>
        </w:numPr>
        <w:spacing w:before="120" w:after="120"/>
        <w:ind w:left="1434" w:hanging="357"/>
        <w:jc w:val="both"/>
      </w:pPr>
      <w:r>
        <w:t>Bevestig dat de lidstaat passende maatregelen zal nemen, zoals beëindiging van de vrijstelling of een verlaging van het steunniveau, en specificeer welke passende maatregelen concreet zullen worden toegepast.</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Geschiktheid van de steun</w:t>
            </w:r>
          </w:p>
        </w:tc>
      </w:tr>
    </w:tbl>
    <w:p w14:paraId="6227BC57" w14:textId="2AC58623" w:rsidR="0009768A" w:rsidRDefault="1626403F" w:rsidP="00AE5E48">
      <w:pPr>
        <w:spacing w:before="360" w:after="120"/>
        <w:jc w:val="both"/>
        <w:rPr>
          <w:i/>
          <w:iCs/>
          <w:color w:val="000000"/>
        </w:rPr>
      </w:pPr>
      <w:r>
        <w:rPr>
          <w:i/>
        </w:rPr>
        <w:t>Voor de informatie die in deze afdeling moet worden verstrekt, zie afdeling 3.2.1.2 voor zover deze van toepassing is op de maatregel(en), en afdeling 4.7.1.3.2 (punten 304 tot en met 306) van de richtsnoeren.</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Beschrijf, om te beoordelen of aan de toepasselijke vereisten van afdeling 3.2.1.2 van de richtsnoeren is voldaan, waarom de maatregel(en) een geschikt beleidsinstrument is (zijn) om de beoogde doelstelling van de steun te bereiken, d.w.z. dat er geen minder verstorend beleids- en steuninstrument mag zijn waarmee dezelfde resultaten kunnen worden bereikt, rekening houdend met andere beleidsinstrumenten en verschillende steuninstrumenten die als alternatief kunnen worden toegepast.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Bevestig, om te beoordelen of aan punt 305 van de richtsnoeren is voldaan, dat i) de looptijd van de maatregel(en) maximaal tien jaar bedraagt en ii) elke heraanmelding gebaseerd zal zijn op een herbeoordeling van de geschiktheid van de maatregel(en).</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Indien de steun (deels) wordt toegekend als een belastingteruggaaf en om te beoordelen of aan punt 306 van de richtsnoeren is voldaan, bevestig dat het bedrag van de belastingteruggaaf wordt berekend op basis van historische gegevens, d.w.z. het niveau van productie en het verbruik dat of de verontreiniging die in een bepaald referentiejaar voor de onderneming werd waargenomen.</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Evenredigheid van de steun</w:t>
            </w:r>
          </w:p>
        </w:tc>
      </w:tr>
    </w:tbl>
    <w:p w14:paraId="322B0DC4" w14:textId="2E7D7E33" w:rsidR="00863406" w:rsidRPr="00FC6878" w:rsidRDefault="00863406" w:rsidP="2368A16B">
      <w:pPr>
        <w:spacing w:before="360" w:after="120"/>
        <w:jc w:val="both"/>
        <w:rPr>
          <w:i/>
          <w:iCs/>
        </w:rPr>
      </w:pPr>
      <w:r>
        <w:rPr>
          <w:i/>
        </w:rPr>
        <w:t xml:space="preserve">Voor de informatie die in deze afdeling moet worden verstrekt, zie afdeling 4.7.1.3.3 (punten 307 tot en met 309) van de richtsnoeren.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Verstrek, om te beoordelen of aan punt 308 van de richtsnoeren (dat vereist dat ten minste één van de volgende voorwaarden is vervuld) is voldaan, een van de volgende gegevens te verstrekken:</w:t>
      </w:r>
      <w:bookmarkEnd w:id="8"/>
    </w:p>
    <w:p w14:paraId="07E9565A" w14:textId="5F95AEC5" w:rsidR="006F256F" w:rsidRDefault="270F0651" w:rsidP="00A46DF5">
      <w:pPr>
        <w:pStyle w:val="ListParagraph"/>
        <w:numPr>
          <w:ilvl w:val="0"/>
          <w:numId w:val="129"/>
        </w:numPr>
        <w:spacing w:before="120" w:after="120"/>
        <w:ind w:left="1434" w:hanging="357"/>
        <w:jc w:val="both"/>
      </w:pPr>
      <w:r>
        <w:t>Geef aan of elke begunstigde van de steun ten minste 20 % betaalt van het nominale bedrag van de milieubelasting of -heffing die zonder de korting op die begunstigde van toepassing zou zijn;</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lastRenderedPageBreak/>
        <w:t>of geef aan of i) de belasting- of heffingskorting niet meer dan 100 % van de nationale milieubelasting of -heffing bedraagt; ii) de belastingkorting afhankelijk wordt gesteld van het sluiten van overeenkomsten tussen de lidstaat en de begunstigden of verenigingen van begunstigden, waarbij deze begunstigden of verenigingen van begunstigden zich ertoe verbinden de milieubeschermingsdoelstellingen te verwezenlijken die hetzelfde effect hebben als wanneer begunstigden of verenigingen van begunstigden ten minste 20 % van de nationale belasting betalen</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Indien gebruik wordt gemaakt van optie ii. van vraag </w:t>
      </w:r>
      <w:r>
        <w:fldChar w:fldCharType="begin"/>
      </w:r>
      <w:r>
        <w:instrText xml:space="preserve"> REF _Ref172812423 \w \h </w:instrText>
      </w:r>
      <w:r>
        <w:fldChar w:fldCharType="separate"/>
      </w:r>
      <w:r>
        <w:t>22</w:t>
      </w:r>
      <w:r>
        <w:fldChar w:fldCharType="end"/>
      </w:r>
      <w:r>
        <w:t>, en om te beoordelen of aan punt 309 van de richtsnoeren is voldaan, beschrijf dan:</w:t>
      </w:r>
    </w:p>
    <w:p w14:paraId="02DB823F" w14:textId="1AC5E3AC" w:rsidR="00E72A73" w:rsidRDefault="00E72A73" w:rsidP="00A46DF5">
      <w:pPr>
        <w:pStyle w:val="ListParagraph"/>
        <w:numPr>
          <w:ilvl w:val="0"/>
          <w:numId w:val="130"/>
        </w:numPr>
        <w:spacing w:before="120" w:after="120"/>
        <w:ind w:left="1434" w:hanging="357"/>
        <w:jc w:val="both"/>
      </w:pPr>
      <w:r>
        <w:t>de kern van de toepasselijke overeenkomsten, met inbegrip van de specifieke streefdoelen en het vaste tijdschema om deze te bereiken;</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hoe de onafhankelijke en regelmatige monitoring van de verbintenissen in de overeenkomsten zal worden gegarandeerd;</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hoe de overeenkomsten periodiek worden herzien in het licht van technologische en andere ontwikkelingen en effectieve sancties bevatten voor het geval de verbintenissen niet worden nagekomen.</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Cumulatie</w:t>
            </w:r>
          </w:p>
        </w:tc>
      </w:tr>
    </w:tbl>
    <w:p w14:paraId="56B46737" w14:textId="5C12CBC3" w:rsidR="001D0CD2" w:rsidRPr="001D0CD2" w:rsidRDefault="00B21377" w:rsidP="001D0CD2">
      <w:pPr>
        <w:spacing w:before="360" w:after="120"/>
        <w:jc w:val="both"/>
        <w:rPr>
          <w:i/>
          <w:iCs/>
        </w:rPr>
      </w:pPr>
      <w:r>
        <w:rPr>
          <w:i/>
        </w:rPr>
        <w:t>Voor de informatie die in deze afdeling moet worden verstrekt, zie de punten 56 en 57 van de richtsnoeren.</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Verduidelijk, voor zover dit niet reeds is gedaan in deel I van het algemene aanmeldingsformulier en om na te gaan of aan punt 56 van de richtsnoeren is voldaan, of de steun in het kader van de maatregel(en) gelijktijdig op grond van meerdere steunregelingen kan worden toegekend of kan worden gecumuleerd met ad-hocsteun of de-minimissteun met betrekking tot dezelfde in aanmerking komende kosten. Indien dit het geval is, verstrek dan nadere bijzonderheden over die steunregelingen, ad-hocsteun of de-minimissteun en hoe de steun zal worden gecumuleerd.</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Indien punt 56 van de richtsnoeren van toepassing is, onderbouw dan hoe het totale bedrag aan steun dat in het kader van de maatregelen voor een project of een activiteit wordt toegekend, niet leidt tot overcompensatie en het op grond van punt 308 van de richtsnoeren toegestane maximale steunbedrag niet overschrijdt. Geef aan, voor elke maatregel waarmee de in het kader van de steunmaatregel(en) verleende steun kan </w:t>
      </w:r>
      <w:r>
        <w:lastRenderedPageBreak/>
        <w:t xml:space="preserve">worden gecumuleerd, welke methode wordt gebruikt om de voorwaarden van punt 56 van de richtsnoeren na te leven.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Indien punt 57 van de richtsnoeren van toepassing is, d.w.z. dat de in het kader van de maatregel(en) verleende steun wordt gecombineerd met centraal beheerde Uniefinanciering</w:t>
      </w:r>
      <w:r>
        <w:rPr>
          <w:vertAlign w:val="superscript"/>
        </w:rPr>
        <w:footnoteReference w:id="8"/>
      </w:r>
      <w:r>
        <w:t xml:space="preserve"> (die geen staatssteun vormt), onderbouw dan hoe het totale bedrag aan overheidsfinanciering dat voor dezelfde in aanmerking komende kosten wordt toegekend, niet tot overcompensatie leidt.</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Transparantie</w:t>
            </w:r>
          </w:p>
        </w:tc>
      </w:tr>
    </w:tbl>
    <w:p w14:paraId="30CC4C47" w14:textId="5C8853FB" w:rsidR="006773CE" w:rsidRPr="007C0A44" w:rsidRDefault="006773CE" w:rsidP="2368A16B">
      <w:pPr>
        <w:spacing w:before="360" w:after="120"/>
        <w:jc w:val="both"/>
        <w:rPr>
          <w:i/>
          <w:iCs/>
        </w:rPr>
      </w:pPr>
      <w:r>
        <w:rPr>
          <w:i/>
        </w:rPr>
        <w:t xml:space="preserve">Voor de informatie die in deze afdeling moet worden verstrekt, zie afdeling 3.2.1.4 (punten 58 tot en met 62) van de richtsnoeren.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Bevestig dat de lidstaat zal voldoen aan de voorwaarden inzake transparantie van de punten 58 tot en met 61 van de richtsnoeren.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Geef de internetlink(s) waar de volledige tekst van de goedgekeurde steunregeling of de subsidiebeschikking voor individuele steun en de uitvoeringsbepalingen ervan, en informatie over iedere individuele steunverlening die ad-hoc of in het kader van een op grond van deze richtsnoeren goedgekeurde steunregeling is toegekend en meer dan 100 000 EUR bedraagt, wordt bekendgemaakt.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923A82"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Vermijden van ongewenste negatieve effecten op de mededinging en het handelsverkeer</w:t>
            </w:r>
          </w:p>
        </w:tc>
      </w:tr>
    </w:tbl>
    <w:p w14:paraId="6F1494DE" w14:textId="5F2BAE4F" w:rsidR="00A80F29" w:rsidRPr="00B215FD" w:rsidRDefault="00A80F29" w:rsidP="00A80F29">
      <w:pPr>
        <w:spacing w:before="360" w:after="120"/>
        <w:jc w:val="both"/>
        <w:rPr>
          <w:i/>
          <w:iCs/>
        </w:rPr>
      </w:pPr>
      <w:r>
        <w:rPr>
          <w:i/>
        </w:rPr>
        <w:t>Voor de informatie die in deze afdeling moet worden verstrekt, zie afdeling  3.2.2 van de richtsnoeren, voor zover deze van toepassing is op de maatregel(en).</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Beschrijf, om te beoordelen of aan de toepasselijke vereisten van afdeling 3.2.2 van de richtsnoeren is voldaan, hoe de maatregel(en) eventuele kennelijk negatieve effecten op de mededinging en het handelsverkeer beperkt (beperken).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Om te beoordelen of aan punt 70 van de richtsnoeren is voldaan:</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Indien dit niet reeds gebeurd is in het antwoord op vraag </w:t>
      </w:r>
      <w:r>
        <w:fldChar w:fldCharType="begin"/>
      </w:r>
      <w:r>
        <w:instrText xml:space="preserve"> REF _Ref175221297 \r \h </w:instrText>
      </w:r>
      <w:r>
        <w:fldChar w:fldCharType="separate"/>
      </w:r>
      <w:r>
        <w:t>20</w:t>
      </w:r>
      <w:r>
        <w:fldChar w:fldCharType="end"/>
      </w:r>
      <w:r>
        <w:t xml:space="preserve"> hierboven, bevestig dat de looptijd van de regeling maximaal tien jaar is, te rekenen vanaf </w:t>
      </w:r>
      <w:r>
        <w:lastRenderedPageBreak/>
        <w:t xml:space="preserve">de datum van kennisgeving van het besluit van de Commissie waarbij de steun verenigbaar werd verklaard;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Gelieve te bevestigen dat een verlenging van de looptijd van de maatregel na die maximumperiode een nieuwe aanmelding van de maatregel (en) vereist.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Afweging tussen de positieve effecten van de steun en de negatieve effecten ervan op de mededinging en het handelsverkeer</w:t>
            </w:r>
          </w:p>
        </w:tc>
      </w:tr>
    </w:tbl>
    <w:p w14:paraId="3513408C" w14:textId="56B6BA12" w:rsidR="00265702" w:rsidRPr="00863406" w:rsidRDefault="00265702" w:rsidP="2368A16B">
      <w:pPr>
        <w:spacing w:before="360" w:after="120"/>
        <w:jc w:val="both"/>
        <w:rPr>
          <w:i/>
          <w:iCs/>
          <w:color w:val="000000"/>
        </w:rPr>
      </w:pPr>
      <w:r>
        <w:rPr>
          <w:i/>
        </w:rPr>
        <w:t>Voor de informatie die in deze afdeling moet worden verstrekt, zie afdeling 3.3 (punten 71 tot en met 76) van de richtsnoeren, voor zover deze van toepassing is op de maatregel(en).</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Om te beoordelen of aan de toepasselijke vereisten van afdeling 3.3. van de richtsnoeren is voldaan:</w:t>
      </w:r>
    </w:p>
    <w:p w14:paraId="3EA00BDB" w14:textId="1514E259" w:rsidR="004B2EF3" w:rsidRPr="00564B1B" w:rsidRDefault="00A24718" w:rsidP="00A46DF5">
      <w:pPr>
        <w:pStyle w:val="ListParagraph"/>
        <w:numPr>
          <w:ilvl w:val="0"/>
          <w:numId w:val="132"/>
        </w:numPr>
        <w:spacing w:before="120" w:after="120"/>
        <w:ind w:left="1434" w:hanging="357"/>
        <w:jc w:val="both"/>
      </w:pPr>
      <w:r>
        <w:t>Leg uit hoe de positieve effecten van de maatregel(en) over het algemeen opwegen tegen de negatieve effecten;</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Verduidelijk, voor de toepassing van punt 75 van de richtsnoeren, of de maatregel(en) elementen bevat(ten) om de deelname van kmo’s te vergemakkelijken. Indien dit het geval is, geef dan informatie over die elementen en onderbouw hoe de positieve effecten van het waarborgen van de deelname en aanvaarding van kmo’s in de maatregelen opwegen tegen de mogelijke verstorende effecten.</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Wat de toepassing van punt 76, c), van de richtsnoeren betreft, geef aan of de steunmaatregel(en) in de tijd beperkt is (zijn).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Afdeling C: Evaluatie</w:t>
            </w:r>
          </w:p>
        </w:tc>
      </w:tr>
    </w:tbl>
    <w:p w14:paraId="6A4ADF8D" w14:textId="77777777" w:rsidR="00C33721" w:rsidRPr="006725F7" w:rsidRDefault="00C33721" w:rsidP="006725F7">
      <w:pPr>
        <w:spacing w:before="360" w:after="120"/>
        <w:jc w:val="both"/>
        <w:rPr>
          <w:i/>
          <w:iCs/>
          <w:color w:val="000000"/>
        </w:rPr>
      </w:pPr>
      <w:r>
        <w:rPr>
          <w:i/>
          <w:color w:val="000000"/>
        </w:rPr>
        <w:t>Voor de informatie die in deze afdeling moet worden verstrekt, zie punt 76, a), en hoofdstuk 5 (punten 455 tot en met 463) van de richtsnoeren.</w:t>
      </w:r>
    </w:p>
    <w:p w14:paraId="61A6C035" w14:textId="1219DDD6" w:rsidR="00017826" w:rsidRPr="00017826" w:rsidRDefault="00017826" w:rsidP="00017826">
      <w:pPr>
        <w:numPr>
          <w:ilvl w:val="0"/>
          <w:numId w:val="50"/>
        </w:numPr>
        <w:spacing w:before="120" w:after="120"/>
        <w:ind w:left="567" w:hanging="567"/>
        <w:jc w:val="both"/>
      </w:pPr>
      <w:r>
        <w:t xml:space="preserve">Indien de maatregelen de budget- of uitgavendrempels in punt 456 van de richtsnoeren overschrijden, leg dan uit waarom de uitzondering in punt 457 van de richtsnoeren volgens de lidstaat van toepassing moet zijn, of voeg bij dit formulier aanvullende </w:t>
      </w:r>
      <w:r>
        <w:lastRenderedPageBreak/>
        <w:t>informatie voor staatssteun een bijlage die een ontwerp-evaluatieplan bevat dat de in punt 458 van de richtsnoeren vermelde werkingssfeer bestrijkt</w:t>
      </w:r>
      <w:r>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Indien een ontwerp-evaluatieplan wordt verstrekt:</w:t>
      </w:r>
    </w:p>
    <w:p w14:paraId="4C066F02" w14:textId="4C06AB69" w:rsidR="00017826" w:rsidRPr="00017826" w:rsidRDefault="00017826" w:rsidP="00017826">
      <w:pPr>
        <w:numPr>
          <w:ilvl w:val="0"/>
          <w:numId w:val="120"/>
        </w:numPr>
        <w:spacing w:before="120" w:after="120"/>
        <w:jc w:val="both"/>
      </w:pPr>
      <w:r>
        <w:t>verstrek dan hieronder een samenvatting van dat ontwerp-evaluatieplan dat in de bijlage is opgenomen;</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bevestig dat punt 460 van de richtsnoeren zal worden nageleefd;</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vermeld dan de datum en de internetlink waarop het evaluatieplan openbaar zal worden gemaakt.</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Bevestig, om te beoordelen of aan punt 459, b), van de richtsnoeren is voldaan, indien momenteel voor de steunregeling geen evaluatie achteraf moet worden uitgevoerd en de looptijd ervan meer dan drie jaar bedraagt, dat de lidstaat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Om te beoordelen of aan punt 459, c), van de richtsnoeren is voldaan, en indien momenteel voor de steunregeling geen evaluatie achteraf moet worden uitgevoerd, geef hieronder de toezegging dat de lidstaat uiterlijk </w:t>
      </w:r>
      <w:r>
        <w:rPr>
          <w:shd w:val="clear" w:color="auto" w:fill="FFFFFF"/>
        </w:rPr>
        <w:t>dertig werkdagen na de vastlegging in de officiële boekhouding van meer dan 150 miljoen EUR aan uitgaven in het voorafgaande jaar</w:t>
      </w:r>
      <w:r>
        <w:t xml:space="preserve">, een ontwerp-evaluatieplan zal aanmelden.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Om te beoordelen of aan punt 461 van de richtsnoeren is voldaan:</w:t>
      </w:r>
    </w:p>
    <w:p w14:paraId="3B57C2B7" w14:textId="77777777" w:rsidR="00017826" w:rsidRPr="00017826" w:rsidRDefault="00017826" w:rsidP="00017826">
      <w:pPr>
        <w:numPr>
          <w:ilvl w:val="0"/>
          <w:numId w:val="121"/>
        </w:numPr>
        <w:spacing w:before="120" w:after="120"/>
        <w:jc w:val="both"/>
      </w:pPr>
      <w:r>
        <w:t>geef aan of de onafhankelijke deskundige reeds is geselecteerd of in de toekomst zal worden geselecteerd;</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verstrek informatie over de procedure voor de selectie van de deskundige;</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onderbouw hoe de deskundige onafhankelijk is van de toekennende autoriteit.</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Om nader te beoordelen of aan punt 461 van de richtsnoeren is voldaan: </w:t>
      </w:r>
    </w:p>
    <w:p w14:paraId="2E5EF1CD" w14:textId="59962384" w:rsidR="00017826" w:rsidRPr="00017826" w:rsidRDefault="00017826" w:rsidP="00017826">
      <w:pPr>
        <w:numPr>
          <w:ilvl w:val="0"/>
          <w:numId w:val="122"/>
        </w:numPr>
        <w:spacing w:before="120" w:after="120"/>
        <w:jc w:val="both"/>
      </w:pPr>
      <w:r>
        <w:t xml:space="preserve">vermeld de door de lidstaat voorgestelde termijnen voor de indiening van het tussentijdse en het eindevaluatieverslag. Het eindevaluatieverslag moet tijdig bij de Commissie worden ingediend zodat zij de eventuele verlenging van de </w:t>
      </w:r>
      <w:r>
        <w:lastRenderedPageBreak/>
        <w:t>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bevestig dat het tussentijdse en het eindevaluatieverslag openbaar zullen worden gemaakt. Vermeld dan de datum en de internetlink waarop die verslagen openbaar zullen worden gemaakt.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Afdeling D: Rapportage en monitoring</w:t>
            </w:r>
          </w:p>
        </w:tc>
      </w:tr>
    </w:tbl>
    <w:p w14:paraId="6975FD00" w14:textId="7876D36D" w:rsidR="006725F7" w:rsidRPr="006725F7" w:rsidRDefault="006725F7" w:rsidP="006725F7">
      <w:pPr>
        <w:spacing w:before="360" w:after="120"/>
        <w:jc w:val="both"/>
        <w:rPr>
          <w:i/>
          <w:iCs/>
          <w:color w:val="000000"/>
        </w:rPr>
      </w:pPr>
      <w:r>
        <w:rPr>
          <w:i/>
          <w:color w:val="000000"/>
        </w:rPr>
        <w:t>Voor de informatie die in deze afdeling moet worden verstrekt, zie afdeling 6 (punten 464 en 465) van de richtsnoeren.</w:t>
      </w:r>
    </w:p>
    <w:p w14:paraId="29B090CF" w14:textId="307F0833" w:rsidR="004B0C34" w:rsidRPr="0051324D" w:rsidRDefault="006725F7" w:rsidP="006725F7">
      <w:pPr>
        <w:numPr>
          <w:ilvl w:val="0"/>
          <w:numId w:val="50"/>
        </w:numPr>
        <w:spacing w:before="120" w:after="120"/>
        <w:ind w:left="567" w:hanging="567"/>
        <w:jc w:val="both"/>
      </w:pPr>
      <w:r>
        <w:t>Bevestig dat de lidstaat zal voldoen aan de voorwaarden inzake rapportage en monitoring van afdeling 6 (punten 464 en 465) van de richtsnoeren.</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PB C 80 van 18.2.2022, blz. 1.</w:t>
      </w:r>
    </w:p>
  </w:footnote>
  <w:footnote w:id="3">
    <w:p w14:paraId="0B630B34" w14:textId="1A949931" w:rsidR="00EA14A3" w:rsidRDefault="00EA14A3" w:rsidP="00EA14A3">
      <w:pPr>
        <w:pStyle w:val="FootnoteText"/>
      </w:pPr>
      <w:r>
        <w:rPr>
          <w:rStyle w:val="FootnoteReference"/>
        </w:rPr>
        <w:footnoteRef/>
      </w:r>
      <w:r>
        <w:t xml:space="preserve"> </w:t>
      </w:r>
      <w:r>
        <w:tab/>
        <w:t xml:space="preserve">De looptijd van een steunregeling is de periode waarin steun kan worden aangevraagd en waarin tot verlening van de steun kan worden besloten (dus met inbegrip van de tijd die de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4">
    <w:p w14:paraId="3A1CFF23" w14:textId="4C37DE38" w:rsidR="0091313C" w:rsidRPr="0067348B" w:rsidRDefault="0091313C" w:rsidP="0091313C">
      <w:pPr>
        <w:pStyle w:val="FootnoteText"/>
      </w:pPr>
      <w:r>
        <w:rPr>
          <w:rStyle w:val="FootnoteReference"/>
        </w:rPr>
        <w:footnoteRef/>
      </w:r>
      <w:r>
        <w:tab/>
        <w:t>Een wijziging van het werkelijke of het geraamde budget kan een wijziging van de steun inhouden, waarvoor een nieuwe aanmelding vereist is.</w:t>
      </w:r>
    </w:p>
  </w:footnote>
  <w:footnote w:id="5">
    <w:p w14:paraId="74B9E2E9" w14:textId="09EFDCF0" w:rsidR="007B4268" w:rsidRPr="007B4268" w:rsidRDefault="007B4268">
      <w:pPr>
        <w:pStyle w:val="FootnoteText"/>
      </w:pPr>
      <w:r>
        <w:rPr>
          <w:rStyle w:val="FootnoteReference"/>
        </w:rPr>
        <w:footnoteRef/>
      </w:r>
      <w:r>
        <w:t xml:space="preserve"> </w:t>
      </w:r>
      <w:r>
        <w:tab/>
        <w:t>Wanneer in deze subvraag naar een “heffing” wordt verwezen, worden daarmee ook milieubelastingen bedoeld.</w:t>
      </w:r>
    </w:p>
  </w:footnote>
  <w:footnote w:id="6">
    <w:p w14:paraId="771807DF" w14:textId="77777777" w:rsidR="004B0D99" w:rsidRPr="00FC5A51" w:rsidRDefault="004B0D99" w:rsidP="004B0D99">
      <w:pPr>
        <w:pStyle w:val="FootnoteText"/>
      </w:pPr>
      <w:r>
        <w:rPr>
          <w:rStyle w:val="FootnoteReference"/>
        </w:rPr>
        <w:footnoteRef/>
      </w:r>
      <w:r>
        <w:t xml:space="preserve"> </w:t>
      </w:r>
      <w:r>
        <w:tab/>
        <w:t>Bijvoorbeeld door het standaardtarief dat met de kortingen zou worden toegepast, te vergelijken met het standaardtarief dat zonder de kortingen zou worden toegepast, het aantal ondernemingen dat in totaal aan de belasting of heffing onderworpen zou zijn of andere indicatoren die een daadwerkelijke verandering in milieuschadelijk gedrag weerspiegelen.</w:t>
      </w:r>
    </w:p>
  </w:footnote>
  <w:footnote w:id="7">
    <w:p w14:paraId="415B82D4" w14:textId="52C53E38" w:rsidR="00B40F1D" w:rsidRPr="00B40F1D" w:rsidRDefault="00B40F1D">
      <w:pPr>
        <w:pStyle w:val="FootnoteText"/>
      </w:pPr>
      <w:r>
        <w:rPr>
          <w:rStyle w:val="FootnoteReference"/>
        </w:rPr>
        <w:footnoteRef/>
      </w:r>
      <w:r>
        <w:t xml:space="preserve"> </w:t>
      </w:r>
      <w:r>
        <w:tab/>
        <w:t>Dergelijke overeenkomsten of verbintenissen kunnen onder meer betrekking hebben op een verlaging van het energieverbruik, een reductie van emissies en andere verontreinigende stoffen, of een andere maatregel ten behoeve van milieubescherming.</w:t>
      </w:r>
    </w:p>
  </w:footnote>
  <w:footnote w:id="8">
    <w:p w14:paraId="389D3F63" w14:textId="77777777" w:rsidR="00044DC5" w:rsidRDefault="00044DC5">
      <w:pPr>
        <w:pStyle w:val="FootnoteText"/>
      </w:pPr>
      <w:r>
        <w:rPr>
          <w:rStyle w:val="FootnoteReference"/>
        </w:rPr>
        <w:footnoteRef/>
      </w:r>
      <w:r>
        <w:t xml:space="preserve"> </w:t>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9">
    <w:p w14:paraId="1A49E979" w14:textId="13D70967" w:rsidR="00017826" w:rsidRDefault="00017826" w:rsidP="00017826">
      <w:pPr>
        <w:pStyle w:val="FootnoteText"/>
      </w:pPr>
      <w:r>
        <w:rPr>
          <w:rStyle w:val="FootnoteReference"/>
        </w:rPr>
        <w:footnoteRef/>
      </w:r>
      <w:r>
        <w:t xml:space="preserve"> </w:t>
      </w:r>
      <w:r>
        <w:tab/>
        <w:t xml:space="preserve">Het model voor het formulier aanvullende informatie voor de aanmelding van een evaluatieplan (deel III.8) is hier te vinden: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3A8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2.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4258</Words>
  <Characters>21932</Characters>
  <Application>Microsoft Office Word</Application>
  <DocSecurity>0</DocSecurity>
  <Lines>498</Lines>
  <Paragraphs>185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IDZERDA Renee (DGT)</cp:lastModifiedBy>
  <cp:revision>7</cp:revision>
  <cp:lastPrinted>2022-04-12T14:59:00Z</cp:lastPrinted>
  <dcterms:created xsi:type="dcterms:W3CDTF">2024-08-22T12:39:00Z</dcterms:created>
  <dcterms:modified xsi:type="dcterms:W3CDTF">2024-10-08T09:15:00Z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