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Partea III.6</w:t>
            </w:r>
          </w:p>
          <w:p w14:paraId="6E9C4C7E" w14:textId="620BA570" w:rsidR="000442F5" w:rsidRPr="009916D5" w:rsidRDefault="001F242D" w:rsidP="007B485D">
            <w:pPr>
              <w:pStyle w:val="Heading2"/>
              <w:spacing w:before="240" w:after="240"/>
              <w:jc w:val="center"/>
              <w:rPr>
                <w:sz w:val="32"/>
                <w:szCs w:val="32"/>
              </w:rPr>
            </w:pPr>
            <w:r>
              <w:rPr>
                <w:sz w:val="32"/>
              </w:rPr>
              <w:t>Fișă de informații suplimentare privind ajutoarele de stat acordate în temeiul Orientărilor din 2022 privind ajutoarele de stat pentru climă, protecția mediului și energie („OACME”)</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Capitolul 4.7.1. – Ajutoarele sub formă de reduceri ale taxelor de mediu fiscale și parafiscale</w:t>
            </w:r>
          </w:p>
        </w:tc>
      </w:tr>
    </w:tbl>
    <w:p w14:paraId="27F0F629" w14:textId="4927A87E" w:rsidR="000442F5" w:rsidRPr="00711243" w:rsidRDefault="000442F5" w:rsidP="004779D5">
      <w:pPr>
        <w:spacing w:before="360" w:after="120"/>
        <w:ind w:right="-142"/>
        <w:jc w:val="both"/>
        <w:rPr>
          <w:i/>
          <w:iCs/>
        </w:rPr>
      </w:pPr>
      <w:r>
        <w:rPr>
          <w:i/>
        </w:rPr>
        <w:t>Prezenta fișă de informații suplimentare trebuie utilizată pentru notificarea oricărui ajutor care face obiectul Orientărilor din 2022 privind ajutoarele de stat pentru climă, protecția mediului și energie (denumite în continuare „OACME”).</w:t>
      </w:r>
    </w:p>
    <w:p w14:paraId="622044AE" w14:textId="108684F2" w:rsidR="009E2EA1" w:rsidRPr="00711243" w:rsidRDefault="0072538B" w:rsidP="6EC7D551">
      <w:pPr>
        <w:spacing w:before="120" w:after="120"/>
        <w:ind w:right="-142"/>
        <w:jc w:val="both"/>
        <w:rPr>
          <w:i/>
          <w:iCs/>
        </w:rPr>
      </w:pPr>
      <w:r>
        <w:rPr>
          <w:i/>
        </w:rPr>
        <w:t xml:space="preserve">Prezenta fișă de informații suplimentare se referă la măsurile cuprinse în capitolul 4.7.1 din OACME. În cazul în care notificarea include măsuri care fac obiectul mai multor capitole din OACME, vă rugăm să completați, de asemenea, de îndată ce este disponibilă, fișa de informații suplimentare care se referă la capitolul respectiv din OACME. </w:t>
      </w:r>
    </w:p>
    <w:p w14:paraId="516CA0D8" w14:textId="13E1AC51" w:rsidR="00D85EEE" w:rsidRDefault="009E2EA1" w:rsidP="0BD92DCE">
      <w:pPr>
        <w:spacing w:before="120" w:after="120"/>
        <w:ind w:right="-142"/>
        <w:jc w:val="both"/>
      </w:pPr>
      <w:r>
        <w:rPr>
          <w:i/>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Secțiunea A: Rezumatul principalelor caracteristici ale măsurii (măsurilor)</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Contextul și obiectivul (obiectivele) măsurii (măsurilor):</w:t>
      </w:r>
    </w:p>
    <w:p w14:paraId="7E6887E3" w14:textId="3DC69D1A" w:rsidR="00EA14A3" w:rsidRDefault="00D3344D" w:rsidP="00EA14A3">
      <w:pPr>
        <w:pStyle w:val="ListParagraph"/>
        <w:numPr>
          <w:ilvl w:val="0"/>
          <w:numId w:val="67"/>
        </w:numPr>
        <w:spacing w:after="240"/>
        <w:ind w:left="993" w:hanging="142"/>
        <w:jc w:val="both"/>
      </w:pPr>
      <w:r>
        <w:t xml:space="preserve">Dacă nu au fost deja discutate în secțiunea 5.2 din Formularul de informații generale (Partea I), vă rugăm să furnizați contextul și obiectivul principal, inclusiv relația cu orice obiective de mediu ale Uniunii pe care măsura urmărește să le sprijine.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Dacă nu au fost deja discutate în secțiunea 5.2 din Formularul de informații generale (Partea I), vă rugăm să indicați orice alte obiective vizate de măsură. Pentru orice obiective care nu sunt în întregime legate de mediu, vă rugăm să explicați dacă acestea pot duce la denaturări ale pieței interne.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Intrare în vigoare și durată:</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Dacă nu au fost deja furnizate în secțiunea 5.5 din Formularul de informații generale (Partea I), vă rugăm să indicați:</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pentru o schemă de ajutoare: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data de la care se prevede intrarea în vigoare a schemei;</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durata schemei</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pentru ajutorul individual: data (planificată) pentru acordarea ajutorului (promisiunea ajutorului) și data plății (data primei plăți în cazul în care sunt prevăzute diferite plăți succesive).</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Beneficiar(i):</w:t>
      </w:r>
    </w:p>
    <w:p w14:paraId="5266FC05" w14:textId="60C34F9E" w:rsidR="00BC5DDD" w:rsidRDefault="00CF3861" w:rsidP="00C52CFD">
      <w:pPr>
        <w:pStyle w:val="ListParagraph"/>
        <w:numPr>
          <w:ilvl w:val="0"/>
          <w:numId w:val="68"/>
        </w:numPr>
        <w:spacing w:after="240"/>
        <w:ind w:hanging="229"/>
        <w:jc w:val="both"/>
        <w:rPr>
          <w:szCs w:val="24"/>
        </w:rPr>
      </w:pPr>
      <w:r>
        <w:t>Dacă acest lucru nu a fost deja făcut în secțiunea 3 din Formularul de informații generale (Partea I), vă rugăm să descrieți beneficiarul potențial (beneficiarii potențiali) al (ai) măsurii (măsurilor).</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lastRenderedPageBreak/>
        <w:t>Vă rugăm să indicați locul în care se află beneficiarul (beneficiarii) (și anume dacă numai entitățile economice situate în statele membre respective sau și în alte state membre sunt eligibile să participe la măsură).</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Pentru a evalua conformitatea cu punctul 15 din OACME, vă rugăm să precizați dacă se acordă ajutor în cadrul măsurii (măsurilor) în favoarea unei întreprinderi (în mod individual sau ca parte a unei scheme) care face obiectul unui ordin de recuperare neexecutat în urma unei decizii anterioare a Comisiei de declarare a unui ajutor ca fiind ilegal și incompatibil cu piața internă.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În caz afirmativ, vă rugăm să furnizați informații cu privire la cuantumul ajutorului care nu a fost încă recuperat, astfel încât Comisia să țină seama de acesta în evaluarea măsurii (măsurilor) de ajutor.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Vă rugăm să confirmați că măsura (măsurile) nu implică ajutoare pentru activități care nu intră în domeniul de aplicare al OACME (a se vedea punctul 13 din OACME). În caz contrar, vă rugăm să furnizați detalii.</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Bugetul și finanțarea măsurii (măsurilor)</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Dacă nu au fost deja menționate în tabelul de la secțiunea 7.1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254DD4EB" w:rsidR="00726A89" w:rsidRDefault="00416F74" w:rsidP="000E7801">
      <w:pPr>
        <w:pStyle w:val="ListParagraph"/>
        <w:numPr>
          <w:ilvl w:val="0"/>
          <w:numId w:val="69"/>
        </w:numPr>
        <w:spacing w:before="120" w:after="120"/>
        <w:ind w:left="993" w:hanging="284"/>
        <w:contextualSpacing w:val="0"/>
        <w:jc w:val="both"/>
        <w:rPr>
          <w:rFonts w:cs="Arial Unicode MS"/>
        </w:rPr>
      </w:pPr>
      <w:bookmarkStart w:id="3" w:name="_Ref172736090"/>
      <w:r>
        <w:t>Î</w:t>
      </w:r>
      <w:r w:rsidR="007B4268">
        <w:t>n cazul în care măsura se referă la o taxă de mediu fiscală sau parafiscală</w:t>
      </w:r>
      <w:r w:rsidR="007B4268">
        <w:rPr>
          <w:rStyle w:val="FootnoteReference"/>
          <w:rFonts w:cs="Arial Unicode MS"/>
          <w:lang w:bidi="si-LK"/>
        </w:rPr>
        <w:footnoteReference w:id="5"/>
      </w:r>
      <w:r w:rsidR="007B4268">
        <w:t>, vă rugăm să clarificați dacă:</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taxa este stabilită prin lege sau prin orice alt act legislativ; în caz afirmativ, vă rugăm să furnizați actul juridic, numărul și data la care a fost adoptat și a intrat în vigoare, linkul către actul juridic;</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reducerea taxei este finanțată prin majorarea taxei pentru alți consumatori;</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taxa se aplică în mod egal produselor naționale și celor importate;</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lastRenderedPageBreak/>
        <w:t>măsura va aduce beneficii în egală măsură produselor naționale și produselor importate;</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taxa finanțează integral măsura sau doar parțial. În cazul în care taxa finanțează doar parțial măsura, indicați celelalte surse de finanțare ale măsurii și proporția acestora;</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taxa care finanțează măsura finanțează și alte măsuri de ajutor. În caz afirmativ, indicați celelalte măsuri de ajutor finanțate prin taxa în cauză.</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Secțiunea B: Evaluarea compatibilității ajutorului</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Condiție pozitivă: ajutorul trebuie să faciliteze dezvoltarea unei activități economice</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Contribuția la dezvoltarea unei activități economice, efectul stimulativ, justificarea ajutorului și domeniul de aplicare al activităților care beneficiază de sprijin</w:t>
            </w:r>
          </w:p>
        </w:tc>
      </w:tr>
    </w:tbl>
    <w:p w14:paraId="2870642B" w14:textId="029644F0" w:rsidR="000442F5" w:rsidRPr="00DB40A5" w:rsidRDefault="000442F5" w:rsidP="7963440A">
      <w:pPr>
        <w:spacing w:before="360" w:after="120"/>
        <w:jc w:val="both"/>
        <w:rPr>
          <w:i/>
          <w:iCs/>
        </w:rPr>
      </w:pPr>
      <w:r>
        <w:rPr>
          <w:i/>
        </w:rPr>
        <w:t>Pentru a furniza informațiile din prezenta secțiune, vă rugăm să consultați secțiunile 3.1.1 și 3.1.2</w:t>
      </w:r>
      <w:r>
        <w:t xml:space="preserve">, </w:t>
      </w:r>
      <w:bookmarkStart w:id="4" w:name="_Hlk172821826"/>
      <w:r>
        <w:rPr>
          <w:i/>
        </w:rPr>
        <w:t>în măsura în care sunt aplicabile măsurii (măsurilor)</w:t>
      </w:r>
      <w:bookmarkEnd w:id="4"/>
      <w:r>
        <w:t xml:space="preserve"> </w:t>
      </w:r>
      <w:r>
        <w:rPr>
          <w:i/>
        </w:rPr>
        <w:t xml:space="preserve">și </w:t>
      </w:r>
      <w:r>
        <w:rPr>
          <w:i/>
          <w:color w:val="000000"/>
        </w:rPr>
        <w:t>secțiunile 4.7.1.1 și 4.7.1.2 (punctele 293-296)</w:t>
      </w:r>
      <w:r>
        <w:rPr>
          <w:i/>
        </w:rPr>
        <w:t xml:space="preserve"> din OACME.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Articolul 107 alineatul (3) litera (c) din TFUE prevede că Comisia poate declara compatibile „ajutoarele destinate să faciliteze dezvoltarea anumitor activități sau a anumitor regiuni economice, în cazul în care acestea nu modifică în mod nefavorabil condițiile schimburilor comerciale într-o măsură care contravine interesului comun”. Prin urmare, ajutoarele compatibile în temeiul dispoziției respective din tratat trebuie să contribuie la dezvoltarea anumitor activități economice. </w:t>
      </w:r>
    </w:p>
    <w:p w14:paraId="52F709B3" w14:textId="79C6C83F" w:rsidR="00EE2FCC" w:rsidRPr="00864DCD" w:rsidRDefault="00CB486E" w:rsidP="00864DCD">
      <w:pPr>
        <w:pStyle w:val="ListParagraph"/>
        <w:spacing w:before="120" w:after="120"/>
        <w:ind w:left="567"/>
        <w:contextualSpacing w:val="0"/>
        <w:jc w:val="both"/>
      </w:pPr>
      <w:r>
        <w:t>Pentru a evalua conformitatea cu punctul 23 din OACME, vă rugăm să identificați activitățile economice care vor fi facilitate ca urmare a ajutorului și modul în care este sprijinită dezvoltarea acestor activități.</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Se poate considera că ajutorul facilitează o activitate economică numai dacă are un efect stimulativ. Pentru a evalua conformitatea cu secțiunea 3.1.2 din OACME, vă rugăm să explicați modul în care măsura (măsurile) „determină beneficiarul să își schimbe comportamentul, să se implice într-o activitate economică suplimentară sau într-o activitate economică care respectă mediul, pe care, în absența ajutorului, nu ar desfășura-o sau ar desfășura-o în mod limitat sau diferit”, luând în considerare justificarea ajutorului, așa cum se explică în secțiunea 4.7.1.1 din OACME.</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lastRenderedPageBreak/>
        <w:t xml:space="preserve">Pentru a evalua conformitatea cu punctul 293 din OACME, vă rugăm să explicați (i) motivul pentru care „reducerile taxelor de mediu fiscale sau parafiscale [care] pot avea efecte negative asupra obiectivului protecției mediului (…) pot fi totuși necesare” și (ii) motivul pentru care „beneficiarii ar avea un dezavantaj concurențial atât de mare, încât, de la bun început, introducerea taxei de mediu fiscale sau parafiscale nu ar fi fost deloc fezabilă”.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Pentru a verifica conformitatea cu punctul 294 din OACME, vă rugăm să descrieți:</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motivul pentru care „acordarea unui tratament mai favorabil unor întreprinderi poate permite atingerea unui nivel general mai ridicat de contribuție la taxele de mediu fiscale sau parafiscale”;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motivul pentru care „reducerile taxelor sau impozitelor de mediu pot contribui în mod indirect la un nivel mai ridicat de protecție a mediului” și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modul în care statul membru se asigură că astfel de reduceri nu compromit „obiectivul general al taxei de mediu fiscale sau parafiscale de a descuraja comportamentele dăunătoare mediului și/sau de a crește costurile acestui comportament în cazul în care nu sunt disponibile alternative satisfăcătoare”.</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Pentru a evalua conformitatea cu punctul 295 din OACME, vă rugăm să furnizați informațiile descrise la punctul 296 din OACME:</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o descriere a sectoarelor sau categoriilor de beneficiari eligibile pentru reduceri;</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o listă a principalilor beneficiari pentru fiecare sector în cauză, cifra de afaceri, cotele de piață, dimensiunea bazei impozabile a acestora și proporția pe care taxa sau impozitul de mediu le-ar reprezenta în profitul lor înainte de impozitare, cu și fără reducere (care poate fi furnizată într-o anexă separată la prezenta fișă de informații suplimentare);</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o descriere a situației beneficiarilor respectivi, explicând de ce aceștia nu ar fi în măsură să plătească cota standard a taxei sau impozitului de mediu;</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o explicație cu privire la modul în care taxa sau impozitul redus ar contribui la o creștere reală a nivelului de protecție a mediului în comparație cu nivelul de protecție a mediului care trebuie atins în lipsa acestor reduceri</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lastRenderedPageBreak/>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Absența încălcării vreunei dispoziții relevante din dreptul Uniunii</w:t>
            </w:r>
          </w:p>
        </w:tc>
      </w:tr>
    </w:tbl>
    <w:p w14:paraId="243B3743" w14:textId="21186291" w:rsidR="00DE1D68" w:rsidRDefault="00DE1D68" w:rsidP="00DE1D68">
      <w:pPr>
        <w:spacing w:before="360" w:after="120"/>
        <w:jc w:val="both"/>
        <w:rPr>
          <w:i/>
        </w:rPr>
      </w:pPr>
      <w:r>
        <w:rPr>
          <w:i/>
        </w:rPr>
        <w:t xml:space="preserve">Pentru a furniza informațiile din prezenta secțiune, vă rugăm să consultați secțiunea 3.1.3 (punctul 33) din OACME.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Vă rugăm să furnizați informații pentru a confirma conformitatea cu dispozițiile relevante ale dreptului Uniunii, în conformitate cu punctul 33 din OACME.</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În cazul în care se utilizează o taxă pentru finanțarea măsurii (măsurilor), vă rugăm să clarificați dacă trebuie efectuată evaluarea conformității cu articolele 30 și 110 din TFUE. În caz afirmativ, vă rugăm să demonstrați modul în care măsura respectă dispozițiile articolelor 30 și 110 din TFUE. În acest context, se pot face trimiteri la informațiile prezentate la întrebarea </w:t>
      </w:r>
      <w:r>
        <w:fldChar w:fldCharType="begin"/>
      </w:r>
      <w:r>
        <w:instrText xml:space="preserve"> REF _Ref172736116 \w \h </w:instrText>
      </w:r>
      <w:r>
        <w:fldChar w:fldCharType="separate"/>
      </w:r>
      <w:r>
        <w:t>5</w:t>
      </w:r>
      <w:r>
        <w:fldChar w:fldCharType="end"/>
      </w:r>
      <w:r>
        <w:t>.</w:t>
      </w:r>
      <w:r>
        <w:fldChar w:fldCharType="begin"/>
      </w:r>
      <w:r>
        <w:instrText xml:space="preserve"> REF _Ref172736090 \r \h </w:instrText>
      </w:r>
      <w:r>
        <w:fldChar w:fldCharType="separate"/>
      </w:r>
      <w:r>
        <w:t>ii</w:t>
      </w:r>
      <w:r>
        <w:fldChar w:fldCharType="end"/>
      </w:r>
      <w:r>
        <w:t>. de mai sus.</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Reducerea la minimum a denaturărilor în ceea ce privește concurența și schimburile comerciale</w:t>
            </w:r>
          </w:p>
        </w:tc>
      </w:tr>
    </w:tbl>
    <w:p w14:paraId="40A64058" w14:textId="230E5E86" w:rsidR="00EC33DD" w:rsidRDefault="00EC33DD" w:rsidP="00A46DF5">
      <w:pPr>
        <w:spacing w:before="360" w:after="120"/>
        <w:rPr>
          <w:i/>
          <w:color w:val="000000"/>
        </w:rPr>
      </w:pPr>
      <w:r>
        <w:rPr>
          <w:i/>
          <w:color w:val="000000"/>
        </w:rPr>
        <w:t>Vă atragem atenția asupra faptului că secțiunile 2.1.1 și 2.1.2 sunt alternative. Pentru cazurile care sunt eligibile pentru o abordare simplificată în conformitate cu secțiunea 2.1.1 de mai jos, nu este necesar să se ofere răspunsuri la secțiunea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O abordare simplificată pentru taxele de mediu armonizate</w:t>
            </w:r>
          </w:p>
        </w:tc>
      </w:tr>
    </w:tbl>
    <w:p w14:paraId="3BC9FD96" w14:textId="596445AB" w:rsidR="00877483" w:rsidRDefault="001D4B25" w:rsidP="00506D80">
      <w:pPr>
        <w:spacing w:before="360" w:after="120"/>
        <w:rPr>
          <w:i/>
          <w:color w:val="000000"/>
        </w:rPr>
      </w:pPr>
      <w:r>
        <w:rPr>
          <w:i/>
          <w:color w:val="000000"/>
        </w:rPr>
        <w:t>Pentru a furniza informațiile din prezenta secțiune, vă rugăm să consultați secțiunea 4.7.1.3 (punctele 297-300) din OACME. Dacă taxele de mediu sunt armonizate, Comisia poate aplica o metodă simplificată pentru a evalua necesitatea și proporționalitatea ajutorului. În contextul Directivei 2003/96/CE, Comisia poate aplica o metodă simplificată pentru reducerile fiscale, cu respectarea nivelului minim al taxei Uniunii prevăzute la punctele 298 și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Vă rugăm să clarificați dacă măsura (măsurile) intră în domeniul de aplicare al Directivei 2003/96/CE.</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În caz afirmativ și pentru a evalua conformitatea cu punctul 298 din OACME, vă rugăm să furnizați următoarele informații:</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lastRenderedPageBreak/>
        <w:t>Vă rugăm să indicați nivelul minim aplicabil al taxei Uniunii și rata de impozitare aplicabilă plătită de beneficiar în cadrul măsurii.</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Vă rugăm să furnizați și să explicați criteriile de selecție a beneficiarilor. În răspunsul dumneavoastră, vă rugăm să explicați de ce acestea sunt obiective și transparente.</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Vă rugăm să explicați și să confirmați că ajutorul se acordă în același mod tuturor întreprinderilor din același sector, dacă acestea se află într-o situație factuală similară.</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Vă rugăm să confirmați că a fost efectuată o consultare publică deschisă </w:t>
      </w:r>
      <w:r>
        <w:rPr>
          <w:i/>
        </w:rPr>
        <w:t>ex ante</w:t>
      </w:r>
      <w:r>
        <w:t xml:space="preserve"> în cadrul căreia sectoarele eligibile pentru reduceri au fost descrise în mod corespunzător și a fost furnizată o listă a celor mai mari beneficiari pentru fiecare sector. Vă rugăm să furnizați dovezi relevante pentru această consultare.</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Pentru a verifica conformitatea cu punctul 299 din OACME,</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vă rugăm să explicați dacă ajutorul se acordă sub forma unei reduceri a ratei de impozitare sau a unei compensații anuale fixe (rambursarea taxei) sau a unei combinații a celor două;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în cazul în care ajutorul sau o parte din acesta se acordă sub formă de rambursare de taxe, vă rugăm să confirmați că (i) cuantumul rambursării de taxe este calculat pe baza datelor istorice, și anume nivelul producției și al consumului sau al poluării constatat în cazul întreprinderii într-un anumit an de bază și că (ii) nivelul rambursării taxei nu depășește cuantumul minim al taxelor Uniunii care ar fi de plătit, în caz contrar, pentru anul de bază.</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Evaluarea aprofundată a măsurii (măsurilor)</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În cazul în care taxele de mediu nu sunt armonizate sau beneficiarii plătesc mai puțin decât nivelul minim al taxei armonizate stabilit la nivelul Uniunii, dacă Directiva 2003/96/CE permite acest lucru, este necesară o evaluare temeinică a necesității și proporționalității ajutorului.</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F50A28">
            <w:pPr>
              <w:pStyle w:val="Heading1"/>
              <w:keepNext/>
              <w:numPr>
                <w:ilvl w:val="3"/>
                <w:numId w:val="117"/>
              </w:numPr>
              <w:ind w:left="907" w:right="-28" w:hanging="907"/>
              <w:rPr>
                <w:color w:val="000000"/>
                <w:sz w:val="24"/>
                <w:szCs w:val="24"/>
              </w:rPr>
            </w:pPr>
            <w:r>
              <w:rPr>
                <w:color w:val="000000"/>
                <w:sz w:val="24"/>
              </w:rPr>
              <w:lastRenderedPageBreak/>
              <w:t>Necesitatea ajutorului</w:t>
            </w:r>
          </w:p>
        </w:tc>
      </w:tr>
    </w:tbl>
    <w:p w14:paraId="3754E3F1" w14:textId="254EB2E5" w:rsidR="00663008" w:rsidRPr="00F83660" w:rsidRDefault="6695A805" w:rsidP="6637E879">
      <w:pPr>
        <w:spacing w:before="360" w:after="120"/>
        <w:jc w:val="both"/>
        <w:rPr>
          <w:i/>
          <w:iCs/>
          <w:color w:val="000000"/>
        </w:rPr>
      </w:pPr>
      <w:r>
        <w:rPr>
          <w:i/>
          <w:color w:val="000000"/>
        </w:rPr>
        <w:t>Pentru a furniza informațiile din prezenta secțiune, vă rugăm să consultați secțiunea 3.2.1.1</w:t>
      </w:r>
      <w:r>
        <w:rPr>
          <w:i/>
        </w:rPr>
        <w:t xml:space="preserve">, </w:t>
      </w:r>
      <w:r>
        <w:rPr>
          <w:i/>
          <w:color w:val="000000"/>
        </w:rPr>
        <w:t>în măsura în care este aplicabilă măsurii (măsurilor)</w:t>
      </w:r>
      <w:r>
        <w:rPr>
          <w:i/>
        </w:rPr>
        <w:t xml:space="preserve"> și </w:t>
      </w:r>
      <w:r>
        <w:rPr>
          <w:i/>
          <w:color w:val="000000"/>
        </w:rPr>
        <w:t>secțiunea 4.7.1.3.1 (punctele</w:t>
      </w:r>
      <w:r w:rsidR="00AE07FA">
        <w:rPr>
          <w:i/>
          <w:color w:val="000000"/>
        </w:rPr>
        <w:t> </w:t>
      </w:r>
      <w:r>
        <w:rPr>
          <w:i/>
          <w:color w:val="000000"/>
        </w:rPr>
        <w:t>301</w:t>
      </w:r>
      <w:r w:rsidR="00AE07FA">
        <w:rPr>
          <w:i/>
          <w:color w:val="000000"/>
        </w:rPr>
        <w:t>­</w:t>
      </w:r>
      <w:r>
        <w:rPr>
          <w:i/>
          <w:color w:val="000000"/>
        </w:rPr>
        <w:t>303)</w:t>
      </w:r>
      <w:r>
        <w:rPr>
          <w:i/>
        </w:rPr>
        <w:t xml:space="preserve"> din OACME.</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Pentru a evalua conformitatea cu cerințele aplicabile prevăzute în secțiunea 3.2.1.1 din OACME, vă rugăm să descrieți modul în care măsura (măsurile) vizează o situație în care aceasta (acestea) poate (pot) genera o dezvoltare semnificativă pe care piața nu o poate realiza singură. În răspunsul dumneavoastră, vă rugăm să faceți referire la disfuncționalitățile pieței, astfel cum sunt descrise la punctul 34 din OACME, după caz, și să explicați de ce alte politici și măsuri deja în vigoare, astfel cum se menționează la punctul 35 din OACME, nu sunt suficiente pentru a le remedia.</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Pentru a verifica conformitatea cu punctul 302 din OACME, vă rugăm să descrieți dacă sunt îndeplinite următoarele condiții:</w:t>
      </w:r>
    </w:p>
    <w:p w14:paraId="1B5AA814" w14:textId="0C243847" w:rsidR="00E05657" w:rsidRDefault="00E05657" w:rsidP="00A46DF5">
      <w:pPr>
        <w:pStyle w:val="ListParagraph"/>
        <w:numPr>
          <w:ilvl w:val="0"/>
          <w:numId w:val="127"/>
        </w:numPr>
        <w:spacing w:before="120" w:after="120"/>
        <w:ind w:left="1434" w:hanging="357"/>
        <w:jc w:val="both"/>
      </w:pPr>
      <w:r>
        <w:t>selecția beneficiarilor se bazează pe criterii obiective și transparente, iar ajutoarele se acordă, în principiu, în același mod tuturor întreprinderilor eligibile care își desfășoară activitatea în același sector de activitate economică și care se află într-o situație de fapt identică sau similară în ceea ce privește scopurile sau obiectivele măsurii de ajutor;</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taxa de mediu fiscală sau parafiscală fără reducere ar duce la o creștere substanțială a costurilor de producție, calculată ca o proporție a valorii adăugate brute pentru fiecare sector sau categorie de beneficiari (de exemplu, pe baza cifrelor beneficiarilor reprezentativi sau a cifrelor agregate pentru sectorul sau categoria de beneficiari);</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044CC85F" w:rsidR="00E05657" w:rsidRDefault="00E05657" w:rsidP="00A46DF5">
      <w:pPr>
        <w:pStyle w:val="ListParagraph"/>
        <w:numPr>
          <w:ilvl w:val="0"/>
          <w:numId w:val="127"/>
        </w:numPr>
        <w:spacing w:before="120" w:after="120"/>
        <w:ind w:left="1434" w:hanging="357"/>
        <w:jc w:val="both"/>
      </w:pPr>
      <w:r>
        <w:t>creșterea substanțială a costurilor de producție nu ar putea fi transferată consumatorilor fără a determina scăderi semnificative ale volumului vânzărilor (de exemplu, pe baza referințelor la concurența din partea întreprinderilor din jurisdicții care nu sunt supuse taxei și la gradul de substituibilitate a produsului relevant)</w:t>
      </w:r>
      <w:r w:rsidR="00416F74">
        <w:t>.</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În ceea ce privește reducerile fiscale pentru biocombustibili, biolichide și combustibili din biomasă, pentru a evalua conformitatea cu punctul 303 din OACME, vă rugăm:</w:t>
      </w:r>
    </w:p>
    <w:p w14:paraId="54638E3E" w14:textId="28F81CEE" w:rsidR="006E4D23" w:rsidRDefault="00CC0461" w:rsidP="00A46DF5">
      <w:pPr>
        <w:pStyle w:val="ListParagraph"/>
        <w:numPr>
          <w:ilvl w:val="0"/>
          <w:numId w:val="128"/>
        </w:numPr>
        <w:spacing w:before="120" w:after="120"/>
        <w:ind w:left="1434" w:hanging="357"/>
        <w:jc w:val="both"/>
      </w:pPr>
      <w:r>
        <w:t>să confirmați că va exista un mecanism de verificare a faptului că măsura este în continuare necesară, aplicând condițiile de necesitate prevăzute în secțiunea</w:t>
      </w:r>
      <w:r w:rsidR="00AE07FA">
        <w:t> </w:t>
      </w:r>
      <w:r>
        <w:t>4.1.3.1. din OACME;</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7960F2C6" w:rsidR="006E4D23" w:rsidRDefault="00F878EE" w:rsidP="00A46DF5">
      <w:pPr>
        <w:pStyle w:val="ListParagraph"/>
        <w:numPr>
          <w:ilvl w:val="0"/>
          <w:numId w:val="128"/>
        </w:numPr>
        <w:spacing w:before="120" w:after="120"/>
        <w:ind w:left="1434" w:hanging="357"/>
        <w:jc w:val="both"/>
      </w:pPr>
      <w:r>
        <w:t xml:space="preserve">să explicați modul în care va funcționa acest mecanism și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lastRenderedPageBreak/>
        <w:t>să confirmați că statul membru va lua măsurile adecvate, cum ar fi încetarea scutirii sau o reducere a nivelului de sprijin, și să precizați ce măsuri adecvate vor fi aplicate în mod concret.</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Caracterul adecvat al ajutorului</w:t>
            </w:r>
          </w:p>
        </w:tc>
      </w:tr>
    </w:tbl>
    <w:p w14:paraId="6227BC57" w14:textId="77683174" w:rsidR="0009768A" w:rsidRDefault="1626403F" w:rsidP="00AE5E48">
      <w:pPr>
        <w:spacing w:before="360" w:after="120"/>
        <w:jc w:val="both"/>
        <w:rPr>
          <w:i/>
          <w:iCs/>
          <w:color w:val="000000"/>
        </w:rPr>
      </w:pPr>
      <w:r>
        <w:rPr>
          <w:i/>
          <w:color w:val="000000"/>
        </w:rPr>
        <w:t>Pentru a furniza informațiile din prezenta secțiune, vă rugăm să consultați secțiunea 3.2.1.2</w:t>
      </w:r>
      <w:r>
        <w:rPr>
          <w:i/>
        </w:rPr>
        <w:t xml:space="preserve">, </w:t>
      </w:r>
      <w:r>
        <w:rPr>
          <w:i/>
          <w:color w:val="000000"/>
        </w:rPr>
        <w:t>în măsura în care este aplicabilă măsurii (măsurilor)</w:t>
      </w:r>
      <w:r>
        <w:rPr>
          <w:i/>
        </w:rPr>
        <w:t xml:space="preserve"> și </w:t>
      </w:r>
      <w:r>
        <w:rPr>
          <w:i/>
          <w:color w:val="000000"/>
        </w:rPr>
        <w:t>secțiunea 4.7.1.3.2 (punctele</w:t>
      </w:r>
      <w:r w:rsidR="00AE07FA">
        <w:rPr>
          <w:i/>
          <w:color w:val="000000"/>
        </w:rPr>
        <w:t> </w:t>
      </w:r>
      <w:r>
        <w:rPr>
          <w:i/>
          <w:color w:val="000000"/>
        </w:rPr>
        <w:t>304</w:t>
      </w:r>
      <w:r w:rsidR="00AE07FA">
        <w:rPr>
          <w:i/>
          <w:color w:val="000000"/>
        </w:rPr>
        <w:t>­</w:t>
      </w:r>
      <w:r>
        <w:rPr>
          <w:i/>
          <w:color w:val="000000"/>
        </w:rPr>
        <w:t>306)</w:t>
      </w:r>
      <w:r>
        <w:rPr>
          <w:i/>
        </w:rPr>
        <w:t xml:space="preserve"> din OACME.</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Pentru a evalua conformitatea cu cerințele aplicabile prevăzute în secțiunea 3.2.1.2 din OACME, vă rugăm să descrieți motivul pentru care măsura (măsurile) este (sunt) un instrument de politică adecvat pentru atingerea obiectivului urmărit al ajutorului, ceea ce înseamnă că nu trebuie să existe o politică și un instrument de ajutor care permit obținerea acelorași rezultate în condițiile unui efect de denaturare mai redus, luând în considerare alte instrumente de politică și diferite instrumente de ajutor care ar putea fi puse în aplicare ca alternativă.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Pentru a evalua conformitatea cu punctul 305 din OACME, vă rugăm să confirmați că (i) durata măsurii (măsurilor) este de maximum 10 ani și (ii) orice renotificare se va baza pe o reevaluare a caracterului adecvat al măsurii (măsurilor).</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În cazul în care ajutorul sau o parte din acesta se acordă sub formă de rambursare de taxe, pentru a evalua conformitatea cu punctul 306 din OACME, vă rugăm să confirmați că cuantumul rambursării de taxe va fi calculat pe baza datelor istorice, și anume nivelul producției și al consumului sau al poluării constatat în cazul întreprinderii într-un anumit an de bază.</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Proporționalitatea ajutorului</w:t>
            </w:r>
          </w:p>
        </w:tc>
      </w:tr>
    </w:tbl>
    <w:p w14:paraId="322B0DC4" w14:textId="2E7D7E33" w:rsidR="00863406" w:rsidRPr="00FC6878" w:rsidRDefault="00863406" w:rsidP="2368A16B">
      <w:pPr>
        <w:spacing w:before="360" w:after="120"/>
        <w:jc w:val="both"/>
        <w:rPr>
          <w:i/>
          <w:iCs/>
        </w:rPr>
      </w:pPr>
      <w:r>
        <w:rPr>
          <w:i/>
        </w:rPr>
        <w:t xml:space="preserve">Pentru a furniza informațiile din prezenta secțiune, vă rugăm să consultați secțiunea 4.7.1.3.3 (punctele 307-309) din OACME.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Pentru a evalua conformitatea cu punctul 308 din OACME (care impune îndeplinirea cel puțin a uneia dintre următoarele condiții), vă rugăm să furnizați oricare dintre următoarele informații:</w:t>
      </w:r>
      <w:bookmarkEnd w:id="8"/>
    </w:p>
    <w:p w14:paraId="07E9565A" w14:textId="5F95AEC5" w:rsidR="006F256F" w:rsidRDefault="270F0651" w:rsidP="00A46DF5">
      <w:pPr>
        <w:pStyle w:val="ListParagraph"/>
        <w:numPr>
          <w:ilvl w:val="0"/>
          <w:numId w:val="129"/>
        </w:numPr>
        <w:spacing w:before="120" w:after="120"/>
        <w:ind w:left="1434" w:hanging="357"/>
        <w:jc w:val="both"/>
      </w:pPr>
      <w:r>
        <w:t>vă rugăm să indicați dacă fiecare beneficiar al ajutorului plătește cel puțin 20 % din valoarea nominală a taxei de mediu fiscale sau parafiscale care ar fi aplicabilă beneficiarului respectiv în caz contrar în lipsa reducerii;</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 xml:space="preserve">sau vă rugăm să precizați dacă (i) reducerea taxei sau a impozitului nu depășește 100 % din taxa de mediu fiscală sau parafiscală națională; (ii) </w:t>
      </w:r>
      <w:r>
        <w:lastRenderedPageBreak/>
        <w:t>reducerea de taxe sau impozite este condiționată de încheierea unor acorduri între statul membru și beneficiari sau asociațiile de beneficiari prin care beneficiarii sau asociațiile de beneficiari se angajează să realizeze obiective de protecție a mediului care au același efect ca în cazul în care beneficiarii sau asociațiile de beneficiari ar plăti cel puțin 20 % din cuantumul taxei naționale</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În cazul în care se alege opțiunea ii. de la întrebarea </w:t>
      </w:r>
      <w:r>
        <w:fldChar w:fldCharType="begin"/>
      </w:r>
      <w:r>
        <w:instrText xml:space="preserve"> REF _Ref172812423 \w \h </w:instrText>
      </w:r>
      <w:r>
        <w:fldChar w:fldCharType="separate"/>
      </w:r>
      <w:r>
        <w:t>22</w:t>
      </w:r>
      <w:r>
        <w:fldChar w:fldCharType="end"/>
      </w:r>
      <w:r>
        <w:t>, pentru a verifica conformitatea cu punctul 309 din OACME, vă rugăm să descrieți:</w:t>
      </w:r>
    </w:p>
    <w:p w14:paraId="02DB823F" w14:textId="1AC5E3AC" w:rsidR="00E72A73" w:rsidRDefault="00E72A73" w:rsidP="00A46DF5">
      <w:pPr>
        <w:pStyle w:val="ListParagraph"/>
        <w:numPr>
          <w:ilvl w:val="0"/>
          <w:numId w:val="130"/>
        </w:numPr>
        <w:spacing w:before="120" w:after="120"/>
        <w:ind w:left="1434" w:hanging="357"/>
        <w:jc w:val="both"/>
      </w:pPr>
      <w:r>
        <w:t>conținutul acordurilor aplicabile, inclusiv obiectivele specifice și calendarul fixat pentru atingerea acestora;</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modul în care se va asigura monitorizarea independentă și cu regularitate a angajamentelor asumate în cadrul acordurilor;</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modul în care acordurile sunt revizuite periodic în funcție de evoluțiile tehnologice și de alt tip și prevăd un regim de sancțiuni eficace aplicabile în cazul în care nu se respectă angajamentele.</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Cumularea</w:t>
            </w:r>
          </w:p>
        </w:tc>
      </w:tr>
    </w:tbl>
    <w:p w14:paraId="56B46737" w14:textId="5C12CBC3" w:rsidR="001D0CD2" w:rsidRPr="001D0CD2" w:rsidRDefault="00B21377" w:rsidP="001D0CD2">
      <w:pPr>
        <w:spacing w:before="360" w:after="120"/>
        <w:jc w:val="both"/>
        <w:rPr>
          <w:i/>
          <w:iCs/>
        </w:rPr>
      </w:pPr>
      <w:r>
        <w:rPr>
          <w:i/>
        </w:rPr>
        <w:t>Pentru a furniza informațiile din prezenta secțiune, vă rugăm să consultați punctele 56-57 din OACME.</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În măsura în care nu au fost deja furnizate în Partea I din formularul general de notificare și pentru a verifica conformitatea cu punctul 56 din OACME, vă rugăm să clarificați dacă ajutoarele din cadrul măsurii (măsurilor) pot fi acordate simultan în cadrul mai multor scheme de ajutoare sau pot fi cumulate cu ajutoare ad-hoc sau </w:t>
      </w:r>
      <w:r>
        <w:rPr>
          <w:i/>
        </w:rPr>
        <w:t>de minimis</w:t>
      </w:r>
      <w:r>
        <w:t xml:space="preserve"> în legătură cu aceleași costuri eligibile. În acest caz, vă rugăm să furnizați detalii cu privire la respectivele scheme de ajutoare, ajutoare ad hoc sau ajutoare </w:t>
      </w:r>
      <w:r>
        <w:rPr>
          <w:i/>
          <w:iCs/>
        </w:rPr>
        <w:t>de minimis</w:t>
      </w:r>
      <w:r>
        <w:t xml:space="preserve"> și cu privire la modul în care vor fi cumulate ajutoarele.</w:t>
      </w:r>
    </w:p>
    <w:p w14:paraId="4705E62C" w14:textId="77777777" w:rsidR="00D13239" w:rsidRPr="002A3B51" w:rsidRDefault="002A3B51" w:rsidP="009548AA">
      <w:pPr>
        <w:tabs>
          <w:tab w:val="left" w:leader="dot" w:pos="9072"/>
        </w:tabs>
        <w:spacing w:before="120" w:after="120"/>
        <w:ind w:left="567"/>
        <w:jc w:val="both"/>
      </w:pPr>
      <w:r>
        <w:tab/>
      </w:r>
    </w:p>
    <w:p w14:paraId="485C0D4F" w14:textId="21D8531F" w:rsidR="007257F0" w:rsidRPr="00EE2D70" w:rsidRDefault="5B4586FB" w:rsidP="00AF338D">
      <w:pPr>
        <w:pStyle w:val="ListParagraph"/>
        <w:numPr>
          <w:ilvl w:val="0"/>
          <w:numId w:val="50"/>
        </w:numPr>
        <w:spacing w:before="120" w:after="120"/>
        <w:ind w:left="567" w:hanging="567"/>
        <w:contextualSpacing w:val="0"/>
        <w:jc w:val="both"/>
      </w:pPr>
      <w:r>
        <w:t xml:space="preserve">În cazul în care se aplică punctul 56 din OACME, vă rugăm să justificați modul în care valoarea totală a ajutorului acordat în cadrul măsurii (măsurilor) pentru un proiect sau o activitate nu conduce la supracompensare sau la depășirea cuantumului maxim al ajutorului permis în temeiul punctului 308 din OACME. </w:t>
      </w:r>
      <w:r w:rsidR="00C37B67">
        <w:t xml:space="preserve">Vă rugăm să precizați, pentru </w:t>
      </w:r>
      <w:r w:rsidR="00C37B67" w:rsidRPr="00C37B67">
        <w:t>fiecare măsură cu care poate fi cumulat ajutorul acordat în cadrul măsurii (măsurilor) de ajutor notificate, metoda utilizată</w:t>
      </w:r>
      <w:r w:rsidR="00C37B67">
        <w:t xml:space="preserve"> pentru asigurarea conformității cu condițiile prevăzute la punctul 56 din OACME</w:t>
      </w:r>
      <w:r>
        <w:t xml:space="preserve">.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lastRenderedPageBreak/>
        <w:t>În cazul în care se aplică punctul 57 din OACME, și anume ajutorul acordat în cadrul măsurii (măsurilor) este combinat cu finanțare din partea Uniunii gestionată la nivel central</w:t>
      </w:r>
      <w:r>
        <w:rPr>
          <w:vertAlign w:val="superscript"/>
        </w:rPr>
        <w:footnoteReference w:id="8"/>
      </w:r>
      <w:r>
        <w:t xml:space="preserve"> (care nu constituie ajutor de stat), vă rugăm să justificați modul în care cuantumul total al finanțării publice acordate în legătură cu aceleași costuri eligibile nu conduce la supracompensare.</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Transparență</w:t>
            </w:r>
          </w:p>
        </w:tc>
      </w:tr>
    </w:tbl>
    <w:p w14:paraId="30CC4C47" w14:textId="5C8853FB" w:rsidR="006773CE" w:rsidRPr="007C0A44" w:rsidRDefault="006773CE" w:rsidP="2368A16B">
      <w:pPr>
        <w:spacing w:before="360" w:after="120"/>
        <w:jc w:val="both"/>
        <w:rPr>
          <w:i/>
          <w:iCs/>
        </w:rPr>
      </w:pPr>
      <w:r>
        <w:rPr>
          <w:i/>
        </w:rPr>
        <w:t xml:space="preserve">Pentru a furniza informațiile din prezenta secțiune, vă rugăm să consultați secțiunea 3.2.1.4 (punctele 58-62) din OACME.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Vă rugăm să confirmați că statul membru va respecta cerințele privind transparența prevăzute la punctele 58-61 din OACME.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Vă rugăm să furnizați linkul (linkurile) unde vor fi publicate textul integral al schemei de ajutoare aprobate sau al deciziei privind acordarea unui ajutor individual și al dispozițiilor de punere în aplicare a acesteia, precum și informații privind fiecare ajutor individual, acordat ad hoc sau în cadrul unei scheme de ajutoare, care a fost aprobat pe baza prezentelor orientări și care depășește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416F74"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Evitarea efectelor negative nejustificate asupra concurenței și a schimburilor comerciale</w:t>
            </w:r>
          </w:p>
        </w:tc>
      </w:tr>
    </w:tbl>
    <w:p w14:paraId="6F1494DE" w14:textId="5F2BAE4F" w:rsidR="00A80F29" w:rsidRPr="00B215FD" w:rsidRDefault="00A80F29" w:rsidP="00A80F29">
      <w:pPr>
        <w:spacing w:before="360" w:after="120"/>
        <w:jc w:val="both"/>
        <w:rPr>
          <w:i/>
          <w:iCs/>
        </w:rPr>
      </w:pPr>
      <w:r>
        <w:rPr>
          <w:i/>
        </w:rPr>
        <w:t>Pentru a furniza informațiile din prezenta secțiune, vă rugăm să consultați secțiunea 3.2.2 din OACME, în măsura în care este aplicabilă măsurii (măsurilor).</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Pentru a verifica conformitatea cu cerințele aplicabile prevăzute în secțiunea 3.2.2 din OACME, vă rugăm să descrieți modul în care măsura (măsurile) atenuează orice efecte vădit negative asupra concurenței și a schimburilor comerciale.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Pentru a verifica conformitatea cu punctul 70 din OACME:</w:t>
      </w:r>
    </w:p>
    <w:p w14:paraId="20F0B01A" w14:textId="5FAA92E1" w:rsidR="00A80F29" w:rsidRPr="009E0FCA" w:rsidRDefault="002902E4" w:rsidP="00A46DF5">
      <w:pPr>
        <w:pStyle w:val="ListParagraph"/>
        <w:numPr>
          <w:ilvl w:val="0"/>
          <w:numId w:val="131"/>
        </w:numPr>
        <w:spacing w:before="120" w:after="120"/>
        <w:ind w:left="1434" w:hanging="357"/>
        <w:jc w:val="both"/>
      </w:pPr>
      <w:r>
        <w:t>d</w:t>
      </w:r>
      <w:r w:rsidR="00434479">
        <w:t xml:space="preserve">acă nu ați făcut deja acest lucru în răspunsul la întrebarea </w:t>
      </w:r>
      <w:r w:rsidR="00434479">
        <w:fldChar w:fldCharType="begin"/>
      </w:r>
      <w:r w:rsidR="00434479">
        <w:instrText xml:space="preserve"> REF _Ref175221297 \r \h </w:instrText>
      </w:r>
      <w:r w:rsidR="00434479">
        <w:fldChar w:fldCharType="separate"/>
      </w:r>
      <w:r w:rsidR="00434479">
        <w:t>20</w:t>
      </w:r>
      <w:r w:rsidR="00434479">
        <w:fldChar w:fldCharType="end"/>
      </w:r>
      <w:r w:rsidR="00434479">
        <w:t xml:space="preserve"> de mai sus, vă rugăm să confirmați că durata schemei este de maximum 10 ani de la data notificării deciziei Comisiei prin care ajutorul este declarat compatibil</w:t>
      </w:r>
      <w:r>
        <w:t>;</w:t>
      </w:r>
      <w:r w:rsidR="00434479">
        <w:t xml:space="preserve"> </w:t>
      </w:r>
    </w:p>
    <w:p w14:paraId="4CA09E80" w14:textId="77777777" w:rsidR="00A80F29" w:rsidRPr="009E0FCA" w:rsidRDefault="00A80F29" w:rsidP="00A80F29">
      <w:pPr>
        <w:tabs>
          <w:tab w:val="left" w:leader="dot" w:pos="9072"/>
        </w:tabs>
        <w:spacing w:before="120" w:after="120"/>
        <w:ind w:left="567"/>
        <w:jc w:val="both"/>
      </w:pPr>
      <w:r>
        <w:tab/>
      </w:r>
    </w:p>
    <w:p w14:paraId="48ED7229" w14:textId="0583217D" w:rsidR="00A80F29" w:rsidRPr="009E0FCA" w:rsidRDefault="002902E4" w:rsidP="00A46DF5">
      <w:pPr>
        <w:pStyle w:val="ListParagraph"/>
        <w:numPr>
          <w:ilvl w:val="0"/>
          <w:numId w:val="131"/>
        </w:numPr>
        <w:spacing w:before="120" w:after="120"/>
        <w:ind w:left="1434" w:hanging="357"/>
        <w:jc w:val="both"/>
      </w:pPr>
      <w:r>
        <w:t>v</w:t>
      </w:r>
      <w:r w:rsidR="00A80F29">
        <w:t xml:space="preserve">ă rugăm să confirmați că o prelungire a duratei măsurii dincolo de această perioadă maximă va necesita o nouă notificare a măsurii (măsurilor). </w:t>
      </w:r>
    </w:p>
    <w:p w14:paraId="58416AAE" w14:textId="77777777" w:rsidR="00A80F29" w:rsidRPr="009E0FCA" w:rsidRDefault="00A80F29" w:rsidP="00A80F29">
      <w:pPr>
        <w:tabs>
          <w:tab w:val="left" w:leader="dot" w:pos="9072"/>
        </w:tabs>
        <w:spacing w:before="120" w:after="120"/>
        <w:ind w:left="567"/>
        <w:jc w:val="both"/>
      </w:pPr>
      <w:r>
        <w:lastRenderedPageBreak/>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Evaluarea efectelor pozitive ale ajutorului în raport cu efectele negative asupra concurenței și a schimburilor comerciale</w:t>
            </w:r>
          </w:p>
        </w:tc>
      </w:tr>
    </w:tbl>
    <w:p w14:paraId="3513408C" w14:textId="56B6BA12" w:rsidR="00265702" w:rsidRPr="00863406" w:rsidRDefault="00265702" w:rsidP="2368A16B">
      <w:pPr>
        <w:spacing w:before="360" w:after="120"/>
        <w:jc w:val="both"/>
        <w:rPr>
          <w:i/>
          <w:iCs/>
          <w:color w:val="000000"/>
        </w:rPr>
      </w:pPr>
      <w:r>
        <w:rPr>
          <w:i/>
        </w:rPr>
        <w:t>Pentru a furniza informațiile din prezenta secțiune, vă rugăm să consultați secțiunea 3.3 (punctele 71-76) din OACME, în măsura în care este aplicabilă măsurii (măsurilor).</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Pentru a verifica conformitatea cu cerințele aplicabile din secțiunea 3.3 din OACME:</w:t>
      </w:r>
    </w:p>
    <w:p w14:paraId="3EA00BDB" w14:textId="1514E259" w:rsidR="004B2EF3" w:rsidRPr="00564B1B" w:rsidRDefault="00A24718" w:rsidP="00A46DF5">
      <w:pPr>
        <w:pStyle w:val="ListParagraph"/>
        <w:numPr>
          <w:ilvl w:val="0"/>
          <w:numId w:val="132"/>
        </w:numPr>
        <w:spacing w:before="120" w:after="120"/>
        <w:ind w:left="1434" w:hanging="357"/>
        <w:jc w:val="both"/>
      </w:pPr>
      <w:r>
        <w:t>vă rugăm să justificați modul în care, în general, efectele pozitive ale măsurii (măsurilor) depășesc efectele negative;</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în ceea ce privește aplicarea punctului 75 din OACME, vă rugăm să clarificați dacă măsura (măsurile) include (includ) caracteristici pentru a facilita participarea IMM-urilor. În caz afirmativ, vă rugăm să furnizați informații cu privire la aceste caracteristici și să justificați modul în care efectele pozitive ale asigurării participării și acceptării IMM-urilor la măsură (măsuri) depășesc posibilele efecte de denaturare;</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în ceea ce privește aplicarea punctului 76 litera (c) din OACME, vă rugăm să precizați dacă măsura (măsurile) de ajutor este (sunt) supusă (supuse) unei limite de timp.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Secțiunea C: Evaluare</w:t>
            </w:r>
          </w:p>
        </w:tc>
      </w:tr>
    </w:tbl>
    <w:p w14:paraId="6A4ADF8D" w14:textId="77777777" w:rsidR="00C33721" w:rsidRPr="006725F7" w:rsidRDefault="00C33721" w:rsidP="006725F7">
      <w:pPr>
        <w:spacing w:before="360" w:after="120"/>
        <w:jc w:val="both"/>
        <w:rPr>
          <w:i/>
          <w:iCs/>
          <w:color w:val="000000"/>
        </w:rPr>
      </w:pPr>
      <w:r>
        <w:rPr>
          <w:i/>
          <w:color w:val="000000"/>
        </w:rPr>
        <w:t>Pentru a furniza informațiile din prezenta secțiune, vă rugăm să consultați punctul 76 litera (a) și capitolul 5 (punctele 455-463) din OACME.</w:t>
      </w:r>
    </w:p>
    <w:p w14:paraId="61A6C035" w14:textId="1219DDD6" w:rsidR="00017826" w:rsidRPr="00017826" w:rsidRDefault="00017826" w:rsidP="00017826">
      <w:pPr>
        <w:numPr>
          <w:ilvl w:val="0"/>
          <w:numId w:val="50"/>
        </w:numPr>
        <w:spacing w:before="120" w:after="120"/>
        <w:ind w:left="567" w:hanging="567"/>
        <w:jc w:val="both"/>
      </w:pPr>
      <w:r>
        <w:t>În cazul în care măsura (măsurile) depășește (depășesc) pragurile bugetare/de cheltuieli de la punctul 456 din OACME, vă rugăm fie să explicați de ce, în opinia statului membru, ar trebui să se aplice excepția de la punctul 457 din OACME, fie să anexați la prezenta fișă de informații suplimentare o anexă care să includă un proiect de plan de evaluare care să acopere domeniul de aplicare menționat la punctul 458 din OACME</w:t>
      </w:r>
      <w:r>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În cazul în care se furnizează un proiect de plan de evaluare, vă rugăm:</w:t>
      </w:r>
    </w:p>
    <w:p w14:paraId="4C066F02" w14:textId="4C06AB69" w:rsidR="00017826" w:rsidRPr="00017826" w:rsidRDefault="00017826" w:rsidP="00017826">
      <w:pPr>
        <w:numPr>
          <w:ilvl w:val="0"/>
          <w:numId w:val="120"/>
        </w:numPr>
        <w:spacing w:before="120" w:after="120"/>
        <w:jc w:val="both"/>
      </w:pPr>
      <w:r>
        <w:t>să furnizați în continuare un rezumat al respectivului proiect de plan de evaluare inclus în anexă;</w:t>
      </w:r>
    </w:p>
    <w:p w14:paraId="2DDD8DDF" w14:textId="77777777" w:rsidR="00017826" w:rsidRPr="00017826" w:rsidRDefault="00017826" w:rsidP="0006694C">
      <w:pPr>
        <w:spacing w:before="120" w:after="120"/>
        <w:ind w:left="567"/>
        <w:jc w:val="both"/>
      </w:pPr>
      <w:r>
        <w:lastRenderedPageBreak/>
        <w:t>………………………………………………………………………………….</w:t>
      </w:r>
    </w:p>
    <w:p w14:paraId="27987E4D" w14:textId="77777777" w:rsidR="00017826" w:rsidRPr="00017826" w:rsidRDefault="00017826" w:rsidP="00017826">
      <w:pPr>
        <w:numPr>
          <w:ilvl w:val="0"/>
          <w:numId w:val="120"/>
        </w:numPr>
        <w:spacing w:before="120" w:after="120"/>
        <w:jc w:val="both"/>
      </w:pPr>
      <w:r>
        <w:t>să confirmați că punctul 460 din OACME va fi respectat;</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să indicați data și linkul la care planul de evaluare va fi pus la dispoziția publicului.</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Pentru a verifica conformitatea cu punctul 459 litera (b) din OACME, în cazul în care schema de ajutoare nu face în prezent obiectul unei evaluări </w:t>
      </w:r>
      <w:r>
        <w:rPr>
          <w:i/>
        </w:rPr>
        <w:t>ex post</w:t>
      </w:r>
      <w:r>
        <w:t xml:space="preserve"> și durata sa depășește trei ani, vă rugăm să confirmați că statul membru va notifica un proiect de plan de evaluare în termen de 30 de zile lucrătoare de la o modificare semnificativă care majorează bugetul schemei la peste 150 de milioane EUR în orice an sau la 750 de milioane EUR pe durata totală a schemei.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Pentru a verifica conformitatea cu punctul 459 litera (c) din OACME, în cazul în care schema de ajutoare nu face în prezent obiectul unei evaluări </w:t>
      </w:r>
      <w:r>
        <w:rPr>
          <w:i/>
        </w:rPr>
        <w:t>ex post</w:t>
      </w:r>
      <w:r>
        <w:t xml:space="preserve">, vă rugăm să furnizați mai jos angajamentul că statul membru va notifica un proiect de plan de evaluare </w:t>
      </w:r>
      <w:r>
        <w:rPr>
          <w:shd w:val="clear" w:color="auto" w:fill="FFFFFF"/>
        </w:rPr>
        <w:t>în termen de 30 de zile lucrătoare de la contabilizarea oficială a unor cheltuieli de peste 150 de milioane EUR în anul precedent</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Pentru a verifica conformitatea cu punctul 461 din OACME:</w:t>
      </w:r>
    </w:p>
    <w:p w14:paraId="3B57C2B7" w14:textId="3DEC6DAD" w:rsidR="00017826" w:rsidRPr="00017826" w:rsidRDefault="002902E4" w:rsidP="00017826">
      <w:pPr>
        <w:numPr>
          <w:ilvl w:val="0"/>
          <w:numId w:val="121"/>
        </w:numPr>
        <w:spacing w:before="120" w:after="120"/>
        <w:jc w:val="both"/>
      </w:pPr>
      <w:r>
        <w:t>v</w:t>
      </w:r>
      <w:r w:rsidR="00017826">
        <w:t>ă rugăm să clarificați dacă expertul independent a fost deja selectat sau dacă va fi selectat în viitor</w:t>
      </w:r>
      <w:r>
        <w:t>;</w:t>
      </w:r>
    </w:p>
    <w:p w14:paraId="30D5C112" w14:textId="77777777" w:rsidR="00017826" w:rsidRPr="00017826" w:rsidRDefault="00017826" w:rsidP="00017826">
      <w:pPr>
        <w:spacing w:before="120" w:after="120"/>
        <w:ind w:left="567"/>
        <w:jc w:val="both"/>
      </w:pPr>
      <w:r>
        <w:t>…………………………………………………………………………………..</w:t>
      </w:r>
    </w:p>
    <w:p w14:paraId="135C9A2C" w14:textId="2AF1152C" w:rsidR="00017826" w:rsidRPr="00017826" w:rsidRDefault="002902E4" w:rsidP="00017826">
      <w:pPr>
        <w:numPr>
          <w:ilvl w:val="0"/>
          <w:numId w:val="121"/>
        </w:numPr>
        <w:spacing w:before="120" w:after="120"/>
        <w:jc w:val="both"/>
      </w:pPr>
      <w:r>
        <w:t>v</w:t>
      </w:r>
      <w:r w:rsidR="00017826">
        <w:t>ă rugăm să furnizați informații privind procedura de selecție a expertului</w:t>
      </w:r>
      <w:r>
        <w:t>;</w:t>
      </w:r>
    </w:p>
    <w:p w14:paraId="62933A29" w14:textId="77777777" w:rsidR="00017826" w:rsidRPr="00017826" w:rsidRDefault="00017826" w:rsidP="00017826">
      <w:pPr>
        <w:spacing w:before="120" w:after="120"/>
        <w:ind w:left="567"/>
        <w:jc w:val="both"/>
      </w:pPr>
      <w:r>
        <w:t>………………………………………………………………………………….</w:t>
      </w:r>
    </w:p>
    <w:p w14:paraId="452B2F3B" w14:textId="31DB8530" w:rsidR="00017826" w:rsidRPr="00017826" w:rsidRDefault="002902E4" w:rsidP="00017826">
      <w:pPr>
        <w:numPr>
          <w:ilvl w:val="0"/>
          <w:numId w:val="121"/>
        </w:numPr>
        <w:spacing w:before="120" w:after="120"/>
        <w:jc w:val="both"/>
      </w:pPr>
      <w:r>
        <w:t>v</w:t>
      </w:r>
      <w:r w:rsidR="00017826">
        <w:t>ă rugăm să justificați modul în care expertul este independent de autoritatea care acordă ajutorul.</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Pentru a verifica mai în detaliu conformitatea cu punctul 461 din OACME: </w:t>
      </w:r>
    </w:p>
    <w:p w14:paraId="2E5EF1CD" w14:textId="6F269DFC" w:rsidR="00017826" w:rsidRPr="00017826" w:rsidRDefault="002902E4" w:rsidP="00017826">
      <w:pPr>
        <w:numPr>
          <w:ilvl w:val="0"/>
          <w:numId w:val="122"/>
        </w:numPr>
        <w:spacing w:before="120" w:after="120"/>
        <w:jc w:val="both"/>
      </w:pPr>
      <w:r>
        <w:t>v</w:t>
      </w:r>
      <w:r w:rsidR="00017826">
        <w:t>ă rugăm să furnizați termenele propuse ale statului membru pentru transmiterea raportului de evaluare intermediar și final. Vă atragem atenția asupra faptului că raportul final de evaluare trebuie transmis Comisiei în timp util pentru a permite analizarea posibilității de prelungire a schemei de ajutoare și cel târziu cu 9 luni înainte de expirarea acesteia, în conformitate cu punctul 463 din OACME. Vă atragem atenția asupra faptului că acest termen-limită ar putea fi redus pentru schemele care declanșează cerința de evaluare în ultimii doi ani de punere în aplicare</w:t>
      </w:r>
      <w:r>
        <w:t>;</w:t>
      </w:r>
    </w:p>
    <w:p w14:paraId="0B6F035E" w14:textId="3977E49F" w:rsidR="00017826" w:rsidRPr="00017826" w:rsidRDefault="00017826" w:rsidP="00017826">
      <w:pPr>
        <w:tabs>
          <w:tab w:val="left" w:leader="dot" w:pos="9072"/>
        </w:tabs>
        <w:spacing w:before="120" w:after="120"/>
        <w:ind w:left="567"/>
        <w:jc w:val="both"/>
      </w:pPr>
      <w:r>
        <w:tab/>
      </w:r>
    </w:p>
    <w:p w14:paraId="73C06F3F" w14:textId="6703029B" w:rsidR="00B2631C" w:rsidRDefault="002902E4" w:rsidP="00017826">
      <w:pPr>
        <w:numPr>
          <w:ilvl w:val="0"/>
          <w:numId w:val="122"/>
        </w:numPr>
        <w:spacing w:before="120" w:after="120"/>
        <w:jc w:val="both"/>
      </w:pPr>
      <w:r>
        <w:t>v</w:t>
      </w:r>
      <w:r w:rsidR="00017826">
        <w:t xml:space="preserve">ă rugăm să confirmați că raportul de evaluare intermediar și cel final vor fi făcute publice. Vă rugăm să indicați data și linkul la care rapoartele respective vor fi puse la dispoziția publicului.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Secțiunea D: Raportarea și monitorizarea</w:t>
            </w:r>
          </w:p>
        </w:tc>
      </w:tr>
    </w:tbl>
    <w:p w14:paraId="6975FD00" w14:textId="7876D36D" w:rsidR="006725F7" w:rsidRPr="006725F7" w:rsidRDefault="006725F7" w:rsidP="006725F7">
      <w:pPr>
        <w:spacing w:before="360" w:after="120"/>
        <w:jc w:val="both"/>
        <w:rPr>
          <w:i/>
          <w:iCs/>
          <w:color w:val="000000"/>
        </w:rPr>
      </w:pPr>
      <w:r>
        <w:rPr>
          <w:i/>
          <w:color w:val="000000"/>
        </w:rPr>
        <w:t>Pentru a furniza informațiile din prezenta secțiune, vă rugăm să consultați secțiunea 6 (punctele 464-465) din OACME.</w:t>
      </w:r>
    </w:p>
    <w:p w14:paraId="29B090CF" w14:textId="307F0833" w:rsidR="004B0C34" w:rsidRPr="0051324D" w:rsidRDefault="006725F7" w:rsidP="006725F7">
      <w:pPr>
        <w:numPr>
          <w:ilvl w:val="0"/>
          <w:numId w:val="50"/>
        </w:numPr>
        <w:spacing w:before="120" w:after="120"/>
        <w:ind w:left="567" w:hanging="567"/>
        <w:jc w:val="both"/>
      </w:pPr>
      <w:r>
        <w:t>Vă rugăm să confirmați că statul membru va respecta cerințele de raportare și monitorizare prevăzute în secțiunea 6, punctele 464 și 465 din OACME.</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D5AC8" w14:textId="77777777" w:rsidR="00A54686" w:rsidRDefault="00A54686" w:rsidP="000442F5">
      <w:r>
        <w:separator/>
      </w:r>
    </w:p>
  </w:endnote>
  <w:endnote w:type="continuationSeparator" w:id="0">
    <w:p w14:paraId="5C7595D3" w14:textId="77777777" w:rsidR="00A54686" w:rsidRDefault="00A54686" w:rsidP="000442F5">
      <w:r>
        <w:continuationSeparator/>
      </w:r>
    </w:p>
  </w:endnote>
  <w:endnote w:type="continuationNotice" w:id="1">
    <w:p w14:paraId="2A24B484" w14:textId="77777777" w:rsidR="00A54686" w:rsidRDefault="00A54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7DAF1" w14:textId="77777777" w:rsidR="00A54686" w:rsidRDefault="00A54686" w:rsidP="000442F5">
      <w:r>
        <w:separator/>
      </w:r>
    </w:p>
  </w:footnote>
  <w:footnote w:type="continuationSeparator" w:id="0">
    <w:p w14:paraId="259B4107" w14:textId="77777777" w:rsidR="00A54686" w:rsidRDefault="00A54686" w:rsidP="000442F5">
      <w:r>
        <w:continuationSeparator/>
      </w:r>
    </w:p>
  </w:footnote>
  <w:footnote w:type="continuationNotice" w:id="1">
    <w:p w14:paraId="1EC5969C" w14:textId="77777777" w:rsidR="00A54686" w:rsidRDefault="00A54686"/>
  </w:footnote>
  <w:footnote w:id="2">
    <w:p w14:paraId="5FC68F0E" w14:textId="77777777" w:rsidR="00044DC5" w:rsidRPr="0067348B" w:rsidRDefault="00044DC5" w:rsidP="007B485D">
      <w:pPr>
        <w:pStyle w:val="FootnoteText"/>
      </w:pPr>
      <w:r>
        <w:rPr>
          <w:rStyle w:val="FootnoteReference"/>
        </w:rPr>
        <w:footnoteRef/>
      </w:r>
      <w:r>
        <w:tab/>
        <w:t>JO C 80, 18.2.2022, p. 1.</w:t>
      </w:r>
    </w:p>
  </w:footnote>
  <w:footnote w:id="3">
    <w:p w14:paraId="0B630B34" w14:textId="1A949931" w:rsidR="00EA14A3" w:rsidRDefault="00EA14A3" w:rsidP="00EA14A3">
      <w:pPr>
        <w:pStyle w:val="FootnoteText"/>
      </w:pPr>
      <w:r>
        <w:rPr>
          <w:rStyle w:val="FootnoteReference"/>
        </w:rPr>
        <w:footnoteRef/>
      </w:r>
      <w:r>
        <w:tab/>
        <w:t xml:space="preserve">Vă atragem atenția asupra faptului că, în cazul unei scheme de ajutoare, durata este perioada în care ajutoarele pot fi solicitate și decise (incluzând, prin urmare, și timpul necesar autorităților naționale pentru aprobarea cererilor de ajutoare). Durata menționată la această întrebare nu se referă la durata contractelor încheiate în cadrul schemei de ajutoare, care pot continua după perioada de valabilitate a măsurii. </w:t>
      </w:r>
    </w:p>
  </w:footnote>
  <w:footnote w:id="4">
    <w:p w14:paraId="3A1CFF23" w14:textId="4C37DE38" w:rsidR="0091313C" w:rsidRPr="0067348B" w:rsidRDefault="0091313C" w:rsidP="0091313C">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5">
    <w:p w14:paraId="74B9E2E9" w14:textId="09EFDCF0" w:rsidR="007B4268" w:rsidRPr="007B4268" w:rsidRDefault="007B4268">
      <w:pPr>
        <w:pStyle w:val="FootnoteText"/>
      </w:pPr>
      <w:r>
        <w:rPr>
          <w:rStyle w:val="FootnoteReference"/>
        </w:rPr>
        <w:footnoteRef/>
      </w:r>
      <w:r>
        <w:tab/>
        <w:t>Trimiterile la „taxă” din această întrebare secundară ar trebui înțelese ca incluzând și taxele de mediu fiscale.</w:t>
      </w:r>
    </w:p>
  </w:footnote>
  <w:footnote w:id="6">
    <w:p w14:paraId="771807DF" w14:textId="77777777" w:rsidR="004B0D99" w:rsidRPr="00FC5A51" w:rsidRDefault="004B0D99" w:rsidP="004B0D99">
      <w:pPr>
        <w:pStyle w:val="FootnoteText"/>
      </w:pPr>
      <w:r>
        <w:rPr>
          <w:rStyle w:val="FootnoteReference"/>
        </w:rPr>
        <w:footnoteRef/>
      </w:r>
      <w:r>
        <w:tab/>
        <w:t>De exemplu, prin compararea cotei standard care ar fi aplicată dacă se acordă reducerile cu cota standard care ar fi aplicată în lipsa reducerilor, a numărului de întreprinderi care ar fi supuse taxei sau impozitului în total sau a altor indicatori care reflectă schimbarea reală înregistrată de comportamentul dăunător mediului.</w:t>
      </w:r>
    </w:p>
  </w:footnote>
  <w:footnote w:id="7">
    <w:p w14:paraId="415B82D4" w14:textId="52C53E38" w:rsidR="00B40F1D" w:rsidRPr="00B40F1D" w:rsidRDefault="00B40F1D">
      <w:pPr>
        <w:pStyle w:val="FootnoteText"/>
      </w:pPr>
      <w:r>
        <w:rPr>
          <w:rStyle w:val="FootnoteReference"/>
        </w:rPr>
        <w:footnoteRef/>
      </w:r>
      <w:r>
        <w:tab/>
        <w:t>Aceste acorduri sau angajamente pot avea ca obiect, printre altele, reducerea consumului de energie, reducerea emisiilor și a altor poluanți sau oricare altă măsură de protecție a mediului.</w:t>
      </w:r>
    </w:p>
  </w:footnote>
  <w:footnote w:id="8">
    <w:p w14:paraId="389D3F63" w14:textId="77777777" w:rsidR="00044DC5" w:rsidRDefault="00044DC5">
      <w:pPr>
        <w:pStyle w:val="FootnoteText"/>
      </w:pPr>
      <w:r>
        <w:rPr>
          <w:rStyle w:val="FootnoteReference"/>
        </w:rPr>
        <w:footnoteRef/>
      </w:r>
      <w:r>
        <w:t xml:space="preserve"> </w:t>
      </w:r>
      <w:r>
        <w:tab/>
        <w:t>Finanțările din partea Uniunii gestionate la nivel central constituie fonduri ale Uniunii gestionate la nivel central de instituții, de agenții, de întreprinderi comune sau de alte organisme ale Uniunii Europene care nu se află în mod direct sau indirect sub controlul statului membru.</w:t>
      </w:r>
    </w:p>
  </w:footnote>
  <w:footnote w:id="9">
    <w:p w14:paraId="1A49E979" w14:textId="13D70967" w:rsidR="00017826" w:rsidRDefault="00017826" w:rsidP="00017826">
      <w:pPr>
        <w:pStyle w:val="FootnoteText"/>
      </w:pPr>
      <w:r>
        <w:rPr>
          <w:rStyle w:val="FootnoteReference"/>
        </w:rPr>
        <w:footnoteRef/>
      </w:r>
      <w:r>
        <w:t xml:space="preserve"> </w:t>
      </w:r>
      <w:r>
        <w:tab/>
        <w:t xml:space="preserve">Modelul fișei de informații suplimentare pentru notificarea unui plan de evaluare (partea III.8) este disponibil la adresa: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02E4"/>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16F74"/>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686"/>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07FA"/>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37B67"/>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0A28"/>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val="ro-RO"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ro-RO"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ro-RO"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4026</Words>
  <Characters>22349</Characters>
  <Application>Microsoft Office Word</Application>
  <DocSecurity>0</DocSecurity>
  <Lines>475</Lines>
  <Paragraphs>163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NEAGU Simona Gabriela (DGT)</cp:lastModifiedBy>
  <cp:revision>11</cp:revision>
  <cp:lastPrinted>2022-04-12T14:59:00Z</cp:lastPrinted>
  <dcterms:created xsi:type="dcterms:W3CDTF">2024-08-22T12:39:00Z</dcterms:created>
  <dcterms:modified xsi:type="dcterms:W3CDTF">2024-10-08T10:37:00Z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