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Osa III.6</w:t>
            </w:r>
          </w:p>
          <w:p w14:paraId="6E9C4C7E" w14:textId="620BA570" w:rsidR="000442F5" w:rsidRPr="009916D5" w:rsidRDefault="001F242D" w:rsidP="007B485D">
            <w:pPr>
              <w:pStyle w:val="Heading2"/>
              <w:spacing w:before="240" w:after="240"/>
              <w:jc w:val="center"/>
              <w:rPr>
                <w:sz w:val="32"/>
                <w:szCs w:val="32"/>
              </w:rPr>
            </w:pPr>
            <w:r>
              <w:rPr>
                <w:sz w:val="32"/>
              </w:rPr>
              <w:t>Lisätietolomake – Ilmastotoimiin, ympäristönsuojeluun ja energia-alalle myönnettävää valtiontukea koskevien vuoden 2022 suuntaviivojen</w:t>
            </w:r>
            <w:r>
              <w:rPr>
                <w:sz w:val="32"/>
                <w:szCs w:val="32"/>
                <w:vertAlign w:val="superscript"/>
              </w:rPr>
              <w:footnoteReference w:id="2"/>
            </w:r>
            <w:r>
              <w:rPr>
                <w:sz w:val="32"/>
              </w:rPr>
              <w:t xml:space="preserve"> mukaisesti myönnetty valtiontuki</w:t>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4.7.1 luku – Ympäristöverohuojennusten tai ympäristöperusteisten veronluonteisten maksujen alennusten muodossa myönnettävä tuki</w:t>
            </w:r>
          </w:p>
        </w:tc>
      </w:tr>
    </w:tbl>
    <w:p w14:paraId="27F0F629" w14:textId="4927A87E" w:rsidR="000442F5" w:rsidRPr="00711243" w:rsidRDefault="000442F5" w:rsidP="004779D5">
      <w:pPr>
        <w:spacing w:before="360" w:after="120"/>
        <w:ind w:right="-142"/>
        <w:jc w:val="both"/>
        <w:rPr>
          <w:i/>
          <w:iCs/>
        </w:rPr>
      </w:pPr>
      <w:r>
        <w:rPr>
          <w:i/>
        </w:rPr>
        <w:t>Tätä lisätietolomaketta on käytettävä ilmoitettaessa tuesta, joka kuuluu ilmastotoimiin, ympäristönsuojeluun ja energia-alalle myönnettävää valtiontukea koskevien vuoden 2022 suuntaviivojen, jäljempänä ’suuntaviivat’, soveltamisalaan.</w:t>
      </w:r>
    </w:p>
    <w:p w14:paraId="622044AE" w14:textId="108684F2" w:rsidR="009E2EA1" w:rsidRPr="00711243" w:rsidRDefault="0072538B" w:rsidP="6EC7D551">
      <w:pPr>
        <w:spacing w:before="120" w:after="120"/>
        <w:ind w:right="-142"/>
        <w:jc w:val="both"/>
        <w:rPr>
          <w:i/>
          <w:iCs/>
        </w:rPr>
      </w:pPr>
      <w:r>
        <w:rPr>
          <w:i/>
        </w:rPr>
        <w:t xml:space="preserve">Tämä lisätietolomake koskee suuntaviivojen 4.7.1 luvun piiriin kuuluvia toimenpiteitä. Jos ilmoitus koskee toimenpiteitä, jotka kuuluvat useamman kuin yhden suuntaviivojen luvun piiriin, täyttäkää kaikkia kyseeseen tulevia lukuja koskevat lisätietolomakkeet, kun ne tulevat saataville. </w:t>
      </w:r>
    </w:p>
    <w:p w14:paraId="516CA0D8" w14:textId="13E1AC51" w:rsidR="00D85EEE" w:rsidRDefault="009E2EA1" w:rsidP="0BD92DCE">
      <w:pPr>
        <w:spacing w:before="120" w:after="120"/>
        <w:ind w:right="-142"/>
        <w:jc w:val="both"/>
      </w:pPr>
      <w:r>
        <w:rPr>
          <w:i/>
        </w:rPr>
        <w:t>Kaikki asiakirjat, jotka jäsenvaltiot esittävät tämän lisätietolomakkeen liitteinä, on numeroitava, ja asiakirjojen numerot on mainittava tämän lisätietolomakkeen asianomaisissa jaksoissa.</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Jakso A: Yhteenveto toimenpiteen tärkeimmistä ominaispiirteistä</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Toimenpiteen tausta ja tavoitteet:</w:t>
      </w:r>
    </w:p>
    <w:p w14:paraId="7E6887E3" w14:textId="3DC69D1A" w:rsidR="00EA14A3" w:rsidRDefault="00D3344D" w:rsidP="00EA14A3">
      <w:pPr>
        <w:pStyle w:val="ListParagraph"/>
        <w:numPr>
          <w:ilvl w:val="0"/>
          <w:numId w:val="67"/>
        </w:numPr>
        <w:spacing w:after="240"/>
        <w:ind w:left="993" w:hanging="142"/>
        <w:jc w:val="both"/>
      </w:pPr>
      <w:r>
        <w:t xml:space="preserve">Ilmoittakaa tausta ja päätavoite, mukaan lukien mahdolliset yhteydet unionin ympäristötavoitteisiin, joita toimenpiteellä on tarkoitus tukea, jos asiaa ei ole jo käsitelty yleistietolomakkeen (osa I) kohdassa 5.2.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Ilmoittakaa toimenpiteen mahdolliset muut tavoitteet, ellei niitä ole jo käsitelty yleistietolomakkeen (osa I) kohdassa 5.2. Jos tavoitteet eivät liity ainoastaan ympäristöön, selittäkää, voivatko ne johtaa sisämarkkinoiden vääristymiseen.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Voimaantulo ja kesto:</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Jos asiaa ei ole jo käsitelty yleistietolomakkeen (osa I) kohdassa 5.5, ilmoittakaa</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tukiohjelman tapauksessa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päivämäärä, josta alkaen ohjelman on tarkoitus tulla voimaan;</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ohjelman kesto;</w:t>
      </w:r>
      <w:r>
        <w:rPr>
          <w:rStyle w:val="FootnoteReference"/>
          <w:rFonts w:cs="Arial Unicode MS"/>
          <w:bCs/>
          <w:lang w:bidi="si-LK"/>
        </w:rPr>
        <w:footnoteReference w:id="3"/>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yksittäisen tuen tapauksessa tuen (suunniteltu) myöntämispäivä (lupaus tuesta) ja maksupäivä (ensimmäinen maksupäivä, jos maksu tehdään osissa):</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Tuensaaja(t):</w:t>
      </w:r>
    </w:p>
    <w:p w14:paraId="5266FC05" w14:textId="60C34F9E" w:rsidR="00BC5DDD" w:rsidRDefault="00CF3861" w:rsidP="00C52CFD">
      <w:pPr>
        <w:pStyle w:val="ListParagraph"/>
        <w:numPr>
          <w:ilvl w:val="0"/>
          <w:numId w:val="68"/>
        </w:numPr>
        <w:spacing w:after="240"/>
        <w:ind w:hanging="229"/>
        <w:jc w:val="both"/>
        <w:rPr>
          <w:szCs w:val="24"/>
        </w:rPr>
      </w:pPr>
      <w:r>
        <w:t>Kuvailkaa toimenpiteen (mahdolliset) tuensaajat, ellei niitä ole jo ilmoitettu yleistietolomakkeen (osa I) kohdassa 3.</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Ilmoittakaa tuensaajien sijainti (ts. voivatko toimenpiteeseen osallistua ainoastaan asianomaisissa jäsenvaltioissa vai myös muissa jäsenvaltioissa sijaitsevat taloudelliset yksiköt).</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Täsmentäkää suuntaviivojen 15 kappaleen noudattamisen arvioimiseksi, myönnetäänkö toimenpiteestä (yksittäistä tai ohjelman osana) tukea yritykselle, </w:t>
      </w:r>
      <w:r>
        <w:lastRenderedPageBreak/>
        <w:t xml:space="preserve">jolle on annettu aiempaan komission päätökseen perustuva perintämääräys tuen sääntöjenvastaisuuden ja sisämarkkinoille soveltumattomuuden </w:t>
      </w:r>
      <w:proofErr w:type="gramStart"/>
      <w:r>
        <w:t>takia</w:t>
      </w:r>
      <w:proofErr w:type="gramEnd"/>
      <w:r>
        <w:t xml:space="preserve"> mutta perintämääräys on vielä maksamatta.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Jos kyllä, antakaa tiedot vielä perimättä olevan tuen määrästä, jotta komissio voi ottaa sen huomioon arvioidessaan tukitoimenpidettä.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Vahvistakaa, että toimenpiteeseen ei sisälly tukea toimintoihin, jotka eivät kuulu suuntaviivojen soveltamisalaan (ks. suuntaviivojen 13 kappale). Muussa tapauksessa antakaa lisätietoa.</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Toimenpiteen budjetti ja rahoitus</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rFonts w:cs="Arial Unicode MS"/>
          <w:bCs/>
          <w:vertAlign w:val="superscript"/>
          <w:lang w:bidi="si-LK"/>
        </w:rPr>
        <w:footnoteReference w:id="4"/>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Koska toimenpide koskee ympäristöperusteista veroa / veronluonteista maksua</w:t>
      </w:r>
      <w:r>
        <w:rPr>
          <w:rStyle w:val="FootnoteReference"/>
          <w:rFonts w:cs="Arial Unicode MS"/>
          <w:lang w:bidi="si-LK"/>
        </w:rPr>
        <w:footnoteReference w:id="5"/>
      </w:r>
      <w:r>
        <w:t>, täsmentäkää,</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säädetäänkö maksusta laissa tai muussa säädöksessä; jos kyllä, ilmoittakaa säädöksen nimi, numero, antamis- ja voimaantulopäivä sekä linkki säädökseen;</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rahoitetaanko maksun alennus korottamalla maksua muiden kuluttajien osalta;</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kohdistuuko maksu yhtäläisesti kotimaisiin tuotteisiin ja tuontituotteisiin;</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hyödyttääkö toimenpide yhtä lailla kotimaisia tuottajia ja tuontituotteiden tuottajia;</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rahoitetaanko toimenpide maksuilla kokonaan vai vain osittain. Jos toimenpide rahoitetaan maksuilla vain osittain, ilmoittakaa toimenpiteen muut rahoituslähteet ja niiden osuudet;</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lastRenderedPageBreak/>
        <w:t>rahoitetaanko toimenpiteen rahoittamiseksi perittävillä maksuilla myös muita tukitoimenpiteitä. Jos kyllä, luetelkaa tässä muut kyseisillä maksuilla rahoitettavat tukitoimenpiteet.</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Jakso B: Tuen sisämarkkinoille soveltuvuuden arviointi</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Positiivinen edellytys: tuen on edistettävä tietyn taloudellisen toiminnan kehitystä</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Tietyn taloudellisen toiminnan kehityksen edistäminen, kannustava vaikutus, tuen perustelut ja tuetun toiminnan laajuus</w:t>
            </w:r>
          </w:p>
        </w:tc>
      </w:tr>
    </w:tbl>
    <w:p w14:paraId="2870642B" w14:textId="029644F0" w:rsidR="000442F5" w:rsidRPr="00DB40A5" w:rsidRDefault="000442F5" w:rsidP="7963440A">
      <w:pPr>
        <w:spacing w:before="360" w:after="120"/>
        <w:jc w:val="both"/>
        <w:rPr>
          <w:i/>
          <w:iCs/>
        </w:rPr>
      </w:pPr>
      <w:r>
        <w:rPr>
          <w:i/>
        </w:rPr>
        <w:t>Tämän jakson tietoja varten ks. suuntaviivojen 3.1.1 ja 3.1.2 kohta</w:t>
      </w:r>
      <w:bookmarkStart w:id="4" w:name="_Hlk172821826"/>
      <w:r>
        <w:rPr>
          <w:i/>
        </w:rPr>
        <w:t xml:space="preserve"> siltä osin kuin ne ovat sovellettavissa toimenpiteeseen</w:t>
      </w:r>
      <w:bookmarkEnd w:id="4"/>
      <w:r>
        <w:rPr>
          <w:i/>
        </w:rPr>
        <w:t xml:space="preserve"> sekä 4.7.1.1 ja 4.7.1.2 kohta (293–296 kappale).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SEUT-sopimuksen 107 artiklan 3 kohdan c alakohdan mukaan komissio voi pitää sisämarkkinoille soveltuvana ”tukea tietyn taloudellisen toiminnan tai talousalueen kehityksen edistämiseen, jos tuki ei muuta kaupankäynnin edellytyksiä yhteisen edun kanssa ristiriitaisella tavalla”. Sen vuoksi kyseisen määräyksen mukaisen tuen on edistettävä tietyn taloudellisen toiminnan kehitystä. </w:t>
      </w:r>
    </w:p>
    <w:p w14:paraId="52F709B3" w14:textId="79C6C83F" w:rsidR="00EE2FCC" w:rsidRPr="00864DCD" w:rsidRDefault="00CB486E" w:rsidP="00864DCD">
      <w:pPr>
        <w:pStyle w:val="ListParagraph"/>
        <w:spacing w:before="120" w:after="120"/>
        <w:ind w:left="567"/>
        <w:contextualSpacing w:val="0"/>
        <w:jc w:val="both"/>
      </w:pPr>
      <w:r>
        <w:t>Yksilöikää suuntaviivojen 23 kappaleen noudattamisen arvioimiseksi taloudellinen toiminta, jota tuella edistetään, ja se, miten kyseistä toimintaa tuetaan.</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Tuen voidaan katsoa edistävän taloudellista toimintaa vain, jos sillä on kannustava vaikutus. Selostakaa suuntaviivojen 3.1.2 kohdan noudattamisen arvioimiseksi, miten toimenpide ”kannustaa tuensaajaa muuttamaan käyttäytymistään, harjoittamaan lisää taloudellista toimintaa tai harjoittamaan ympäristöystävällisempää taloudellista toimintaa, jota se ei harjoittaisi ilman tukea tai harjoittaisi rajallisemmin tai eri tavalla”, kun otetaan huomioon suuntaviivojen 4.7.1.1 kohdassa selitetyt tuen perustelut.</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Kuvatkaa suuntaviivojen 293 kappaleen noudattamisen arvioimiseksi, i) miksi ”ympäristöön liittyvien verojen tai veronluonteisten maksujen </w:t>
      </w:r>
      <w:proofErr w:type="gramStart"/>
      <w:r>
        <w:t>alennukset[</w:t>
      </w:r>
      <w:proofErr w:type="gramEnd"/>
      <w:r>
        <w:t xml:space="preserve">, jotka] voivat vaikuttaa kielteisesti ympäristönsuojelutavoitteeseen, (...) voivat kuitenkin olla tarpeen”, ja ii) miksi ”tuensaajille aiheutuisi muutoin sellainen kilpailuhaitta, ettei ympäristöveron tai ympäristöperusteisen veronluonteisen maksun käyttöönotto olisi käytännössä lainkaan toteutettavissa”.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Kuvatkaa suuntaviivojen 294 kappaleen noudattamisen arvioimiseksi seuraavat:</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Miksi ”suotuisamman kohtelun myöntäminen joillekin yrityksille voi mahdollistaa ympäristöperusteisista veroista tai veronluonteisista maksuista saatavan kokonaismäärän korkeamman tason”. </w:t>
      </w:r>
    </w:p>
    <w:p w14:paraId="174DA2CF" w14:textId="035147B1" w:rsidR="00830262" w:rsidRDefault="00830262" w:rsidP="00A46DF5">
      <w:pPr>
        <w:tabs>
          <w:tab w:val="left" w:leader="dot" w:pos="9072"/>
        </w:tabs>
        <w:spacing w:before="120" w:after="120"/>
        <w:ind w:left="567"/>
        <w:jc w:val="both"/>
      </w:pPr>
      <w:r>
        <w:lastRenderedPageBreak/>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Miksi ”ympäristöön liittyvien verojen tai maksujen alennukset voivat (...) välillisesti edistää ympäristönsuojelun tason parantumista”.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Miten jäsenvaltio varmistaa, että tällaiset alennukset eivät vaaranna ”ympäristöperusteisen veron tai veronluonteisen maksun yleistä tavoitetta eli ympäristölle haitallisen toiminnan estämistä ja/tai tällaisen käyttäytymisen kustannusten lisäämistä, jos tyydyttäviä vaihtoehtoja ei ole saatavilla”.</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Antakaa suuntaviivojen 295 kappaleen noudattamisen arvioimiseksi suuntaviivojen 296 kappaleessa kuvatut tiedot:</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Kuvaus alennuksiin oikeutetuista toimialoista tai tuensaajaluokista.</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Luettelo kunkin toimialan suurimmista tuensaajista, niiden liikevaihto, markkinaosuudet, veropohjan koko ja ympäristöveron tai -maksun osuus niiden liikevoitosta ennen veroja alennuksen kanssa ja ilman alennusta (voidaan toimittaa tämän lisätietolomakkeen erillisenä liitteenä).</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Kyseisten tuensaajien tilannetta koskeva kuvaus, josta käy ilmi syyt, miksi ne eivät kykenisi maksamaan ympäristöveroa tai -maksua täysimääräisenä.</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Selvitys siitä, miten veron tai maksun alennus osaltaan edistäisi ympäristönsuojelun tason tosiasiallista nousua verrattuna ympäristönsuojelun tasoon, joka saavutettaisiin ilman alennuksia</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Mitään asiaan liittyvää unionin oikeuden säännöstä ei rikota</w:t>
            </w:r>
          </w:p>
        </w:tc>
      </w:tr>
    </w:tbl>
    <w:p w14:paraId="243B3743" w14:textId="21186291" w:rsidR="00DE1D68" w:rsidRDefault="00DE1D68" w:rsidP="00DE1D68">
      <w:pPr>
        <w:spacing w:before="360" w:after="120"/>
        <w:jc w:val="both"/>
        <w:rPr>
          <w:i/>
        </w:rPr>
      </w:pPr>
      <w:r>
        <w:rPr>
          <w:i/>
        </w:rPr>
        <w:t xml:space="preserve">Tämän jakson tietoja varten ks. suuntaviivojen 3.1.3 kohta (33 kappale).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Antakaa tiedot, jotka vahvistavat, että asiaa koskevia EU:n lainsäädännön säännöksiä on noudatettu suuntaviivojen 33 kappaleen mukaisesti.</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Jos toimenpiteen rahoittamiseksi peritään maksuja, täsmentäkää, onko toimenpidettä tarpeen arvioida SEUT-sopimuksen 30 ja 110 artiklan näkökulmasta. Jos kyllä, osoittakaa, millä tavoin toimenpide on SEUT-sopimuksen 30 ja 110 artiklan määräysten </w:t>
      </w:r>
      <w:r>
        <w:lastRenderedPageBreak/>
        <w:t xml:space="preserve">mukainen. Tässä yhteydessä voidaan viitata edellä kysymyksen </w:t>
      </w:r>
      <w:r>
        <w:fldChar w:fldCharType="begin"/>
      </w:r>
      <w:r>
        <w:instrText xml:space="preserve"> REF _Ref172736116 \w \h </w:instrText>
      </w:r>
      <w:r>
        <w:fldChar w:fldCharType="separate"/>
      </w:r>
      <w:r>
        <w:t>5</w:t>
      </w:r>
      <w:r>
        <w:fldChar w:fldCharType="end"/>
      </w:r>
      <w:r>
        <w:t xml:space="preserve"> luetelmakohdan </w:t>
      </w:r>
      <w:r>
        <w:fldChar w:fldCharType="begin"/>
      </w:r>
      <w:r>
        <w:instrText xml:space="preserve"> REF _Ref172736090 \r \h </w:instrText>
      </w:r>
      <w:r>
        <w:fldChar w:fldCharType="separate"/>
      </w:r>
      <w:r>
        <w:t>ii</w:t>
      </w:r>
      <w:r>
        <w:fldChar w:fldCharType="end"/>
      </w:r>
      <w:r>
        <w:t xml:space="preserve"> yhteydessä esitettyihin tietoihin.</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Negatiivinen edellytys: tuki ei saa perusteettomasti vaikuttaa kaupankäynnin edellytyksiin yhteisen edun vastaisesti</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Kilpailun ja kaupan vääristymien minimointi</w:t>
            </w:r>
          </w:p>
        </w:tc>
      </w:tr>
    </w:tbl>
    <w:p w14:paraId="40A64058" w14:textId="230E5E86" w:rsidR="00EC33DD" w:rsidRDefault="00EC33DD" w:rsidP="00A46DF5">
      <w:pPr>
        <w:spacing w:before="360" w:after="120"/>
        <w:rPr>
          <w:i/>
          <w:color w:val="000000"/>
        </w:rPr>
      </w:pPr>
      <w:r>
        <w:rPr>
          <w:i/>
          <w:color w:val="000000"/>
        </w:rPr>
        <w:t>Huom. Kohdat 2.1.1 ja 2.1.2 ovat toisilleen vaihtoehtoisia. Tapauksissa, joihin voidaan soveltaa kohdan 2.1.1 mukaista yksinkertaistettua lähestymistapaa, ei tarvitse vastata kohdan 2.1.2 kysymyksiin.</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Yksinkertaistettu lähestymistapa yhdenmukaistettuihin ympäristöveroihin</w:t>
            </w:r>
          </w:p>
        </w:tc>
      </w:tr>
    </w:tbl>
    <w:p w14:paraId="3BC9FD96" w14:textId="596445AB" w:rsidR="00877483" w:rsidRDefault="001D4B25" w:rsidP="00506D80">
      <w:pPr>
        <w:spacing w:before="360" w:after="120"/>
        <w:rPr>
          <w:i/>
          <w:color w:val="000000"/>
        </w:rPr>
      </w:pPr>
      <w:r>
        <w:rPr>
          <w:i/>
          <w:color w:val="000000"/>
        </w:rPr>
        <w:t>Tämän jakson tietoja varten ks. suuntaviivojen 4.7.1.3 kohta (297–300 kappale). Jos ympäristöverot on yhdenmukaistettu, komissio voi soveltaa yksinkertaistettua lähestymistapaa arvioidessaan tuen tarpeellisuutta ja oikeasuhteisuutta. Direktiivin 2003/96/EY yhteydessä komissio voi soveltaa yksinkertaistettua lähestymistapaa veronalennuksiin, jotka noudattavat unionin verotuksen vähimmäistasoa 298 ja 299 kappaleen mukaisesti.</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Täsmentäkää, kuuluuko toimenpide direktiivin 2003/96/EY soveltamisalaan.</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Jos kyllä, antakaa seuraavat tiedot suuntaviivojen 298 kappaleen noudattamisen arvioimiseksi:</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Ilmoittakaa sovellettava unionin vähimmäisvero ja tuensaajan toimenpiteen perusteella maksama vero.</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Esittäkää ja selittäkää tuensaajien valintakriteerit. Selittäkää vastauksessanne, miksi kriteerit ovat objektiivisia ja läpinäkyviä.</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Selittäkää ja vahvistakaa, että tukea myönnetään samalla tavoin kaikille saman toimialan yrityksille, jos ne ovat samanlaisessa tilanteessa.</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Vahvistakaa, että etukäteen on järjestetty avoin julkinen kuuleminen, jossa alennukseen oikeutetut toimialat on asianmukaisesti kuvattu ja kullekin toimialalle on laadittu luettelo suurimmista tuensaajista. Esittäkää näyttöä kuulemisesta.</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Suuntaviivojen 299 kappaleen noudattamisen arvioimiseksi:</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lastRenderedPageBreak/>
        <w:t xml:space="preserve">Selittäkää, myönnetäänkö tuki veroasteen alennuksena vai kiinteänä vuotuisena korvauksena (veronpalautuksena) vai näiden kahden yhdistelmänä.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Jos tuki (tai osa siitä) myönnetään veronpalautuksena, vahvistakaa, että i) veronpalautuksen määrä lasketaan aiempien tietojen perusteella eli yrityksen tuotannon, kulutuksen tai sen aiheuttaman pilaantumisen perusteella tiettynä perusvuonna, ja ii) veronpalautuksen määrä ei ylitä muutoin maksettavaksi tulevaa unionin vähimmäisveron määrää kyseisenä perusvuonna.</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Toimenpiteen perusteellinen arviointi</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Jos ympäristöveroja ei ole yhdenmukaistettu tai tuensaajat maksavat vähemmän kuin direktiivissä 2003/96/EY vahvistetun unionin yhdenmukaistetun veron vähimmäistason, jos se on direktiivin nojalla sallittua, tuen tarpeellisuutta ja oikeasuhteisuutta on arvioitava perusteellisesti.</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Tuen tarpeellisuus</w:t>
            </w:r>
          </w:p>
        </w:tc>
      </w:tr>
    </w:tbl>
    <w:p w14:paraId="3754E3F1" w14:textId="25BB5508" w:rsidR="00663008" w:rsidRPr="00F83660" w:rsidRDefault="6695A805" w:rsidP="6637E879">
      <w:pPr>
        <w:spacing w:before="360" w:after="120"/>
        <w:jc w:val="both"/>
        <w:rPr>
          <w:i/>
          <w:iCs/>
          <w:color w:val="000000"/>
        </w:rPr>
      </w:pPr>
      <w:r>
        <w:rPr>
          <w:i/>
          <w:color w:val="000000"/>
        </w:rPr>
        <w:t>Tämän jakson tietoja varten ks. suuntaviivojen 3.2.1.1 kohta siltä osin kuin se on sovellettavissa toimenpiteeseen</w:t>
      </w:r>
      <w:r>
        <w:rPr>
          <w:i/>
        </w:rPr>
        <w:t xml:space="preserve"> sekä 4.7.1.3.1 kohta (301–303 kappale).</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Kuvailkaa suuntaviivojen 3.2.1.1 kohdan vaatimusten noudattamisen arvioimiseksi, millä tavoin toimenpide on kohdennettu tilanteeseen, jossa se voi johtaa sellaiseen olennaiseen kehitykseen, jota markkinat eivät yksin pysty saavuttamaan. Viitatkaa vastauksessanne soveltuvin osin suuntaviivojen 34 kappaleessa kuvattuihin markkinoiden toimintapuutteisiin ja selittäkää, miksi muut suuntaviivojen 35 kappaleessa mainitut jo käytössä olevat politiikat ja toimenpiteet eivät ole riittäviä niiden korjaamiseksi.</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Selittäkää suuntaviivojen 302 kappaleen noudattamisen arvioimiseksi, täyttyvätkö seuraavat edellytykset:</w:t>
      </w:r>
    </w:p>
    <w:p w14:paraId="1B5AA814" w14:textId="0C243847" w:rsidR="00E05657" w:rsidRDefault="00E05657" w:rsidP="00A46DF5">
      <w:pPr>
        <w:pStyle w:val="ListParagraph"/>
        <w:numPr>
          <w:ilvl w:val="0"/>
          <w:numId w:val="127"/>
        </w:numPr>
        <w:spacing w:before="120" w:after="120"/>
        <w:ind w:left="1434" w:hanging="357"/>
        <w:jc w:val="both"/>
      </w:pPr>
      <w:r>
        <w:t>tuensaajien valinta perustuu objektiivisiin ja läpinäkyviin kriteereihin ja tukea myönnetään samalla tavalla kaikille samalla toimialalla toimiville tukikelpoisille yrityksille, jotka ovat samassa tai samankaltaisessa tosiasiallisessa tilanteessa tukitoimenpiteen tavoitteiden tai päämäärien osalta;</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r>
        <w:t>ympäristöperusteinen vero tai veroluonteinen maksu johtaisi ilman alennusta tuotantokustannusten huomattavaan lisääntymiseen laskettuna osuutena bruttoarvonlisäyksestä kullakin toimialalla tai kussakin tuensaajien luokassa (esim. edustavia tuensaajia koskevien lukujen taikka toimialaa tai tuensaajien luokkaa koskevien koottujen lukujen perusteella);</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lastRenderedPageBreak/>
        <w:t>tuotantokustannusten huomattavaa kasvua ei olisi mahdollista siirtää asiakkaille ilman tästä johtuvaa myyntimäärien merkittävää pienentymistä (perusteena esim. viittaukset sellaisilla lainkäyttöalueilla toimivien yritysten taholta tulevaan kilpailuun, joilla veroa ei sovelleta, ja asianomaisen tuotteen korvattavuuden asteeseen).</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Antakaa suuntaviivojen 303 kappaleen noudattamisen arvioimiseksi biopolttoaineiden, bionesteiden ja biomassapolttoaineiden veronalennusten osalta seuraavat tiedot:</w:t>
      </w:r>
    </w:p>
    <w:p w14:paraId="54638E3E" w14:textId="69F50F83" w:rsidR="006E4D23" w:rsidRDefault="00CC0461" w:rsidP="00A46DF5">
      <w:pPr>
        <w:pStyle w:val="ListParagraph"/>
        <w:numPr>
          <w:ilvl w:val="0"/>
          <w:numId w:val="128"/>
        </w:numPr>
        <w:spacing w:before="120" w:after="120"/>
        <w:ind w:left="1434" w:hanging="357"/>
        <w:jc w:val="both"/>
      </w:pPr>
      <w:r>
        <w:t>vahvistakaa, että käytössä on mekanismi, jolla varmistetaan, että toimenpide pysyy tarpeellisena, soveltaen suuntaviivojen 4.1.3.1 kohdassa esitettyjä tarpeellisuuden edellytyksiä;</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7960F2C6" w:rsidR="006E4D23" w:rsidRDefault="00F878EE" w:rsidP="00A46DF5">
      <w:pPr>
        <w:pStyle w:val="ListParagraph"/>
        <w:numPr>
          <w:ilvl w:val="0"/>
          <w:numId w:val="128"/>
        </w:numPr>
        <w:spacing w:before="120" w:after="120"/>
        <w:ind w:left="1434" w:hanging="357"/>
        <w:jc w:val="both"/>
      </w:pPr>
      <w:r>
        <w:t xml:space="preserve">selittäkää, miten tämä mekanismi toimii; </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612C531C" w:rsidR="00CC0461" w:rsidRDefault="004B495A" w:rsidP="00A46DF5">
      <w:pPr>
        <w:pStyle w:val="ListParagraph"/>
        <w:numPr>
          <w:ilvl w:val="0"/>
          <w:numId w:val="128"/>
        </w:numPr>
        <w:spacing w:before="120" w:after="120"/>
        <w:ind w:left="1434" w:hanging="357"/>
        <w:jc w:val="both"/>
      </w:pPr>
      <w:r>
        <w:t>vahvistakaa, että jäsenvaltio tulee toteuttamaan aiheelliset toimenpiteet, esimerkiksi lopettaa poikkeusjärjestelyn tai alentaa tukitasoa, ja täsmentäkää asianmukaiset konkreettiset toimenpiteet.</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Tuen tarkoituksenmukaisuus</w:t>
            </w:r>
          </w:p>
        </w:tc>
      </w:tr>
    </w:tbl>
    <w:p w14:paraId="6227BC57" w14:textId="2AC58623" w:rsidR="0009768A" w:rsidRDefault="1626403F" w:rsidP="00AE5E48">
      <w:pPr>
        <w:spacing w:before="360" w:after="120"/>
        <w:jc w:val="both"/>
        <w:rPr>
          <w:i/>
          <w:iCs/>
          <w:color w:val="000000"/>
        </w:rPr>
      </w:pPr>
      <w:r>
        <w:rPr>
          <w:i/>
          <w:color w:val="000000"/>
        </w:rPr>
        <w:t>Tämän jakson tietoja varten ks. suuntaviivojen 3.2.1.2 kohta siltä osin kuin se on sovellettavissa toimenpiteeseen</w:t>
      </w:r>
      <w:r>
        <w:rPr>
          <w:i/>
        </w:rPr>
        <w:t xml:space="preserve"> sekä 4.7.1.3.2 kohta (304–306 kappale).</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Kuvailkaa suuntaviivojen 3.2.1.2 kohdan vaatimusten noudattamisen arvioimiseksi, miksi toimenpide on tarkoituksenmukainen keino saavuttaa tuen tavoite, toisin sanoen käytettävissä ei saa olla kilpailua vähemmän vääristävää toimintamuotoa ja tukivälinettä, jolla voidaan saavuttaa samat tulokset, kun otetaan huomioon muut toimintamuodot ja tukivälineet, jotka voitaisiin toteuttaa vaihtoehtona.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Vahvistakaa suuntaviivojen 305 kappaleen noudattamisen arvioimiseksi, että i) toimenpiteen kesto on enintään 10 vuotta ja ii) toimenpiteestä tehdään uusi ilmoitus ainoastaan, jos sen tarkoituksenmukaisuutta on arvioitu uudelleen.</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Jos tuki (tai osa siitä) myönnetään veronpalautuksena, vahvistakaa suuntaviivojen 306 kappaleen noudattamisen arvioimiseksi, että veronpalautuksen määrä lasketaan aiempien tietojen perusteella eli yrityksen tuotannon, kulutuksen tai sen aiheuttaman pilaantumisen perusteella tiettynä perusvuonna.</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Tuen oikeasuhteisuus</w:t>
            </w:r>
          </w:p>
        </w:tc>
      </w:tr>
    </w:tbl>
    <w:p w14:paraId="322B0DC4" w14:textId="2E7D7E33" w:rsidR="00863406" w:rsidRPr="00FC6878" w:rsidRDefault="00863406" w:rsidP="2368A16B">
      <w:pPr>
        <w:spacing w:before="360" w:after="120"/>
        <w:jc w:val="both"/>
        <w:rPr>
          <w:i/>
          <w:iCs/>
        </w:rPr>
      </w:pPr>
      <w:r>
        <w:rPr>
          <w:i/>
        </w:rPr>
        <w:lastRenderedPageBreak/>
        <w:t xml:space="preserve">Tämän jakson tietoja varten ks. suuntaviivojen 4.7.1.3.3 kohta (307–309 kappale).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Antakaa suuntaviivojen 308 kappaleen (jossa edellytetään, että vähintään yksi seuraavista edellytyksistä täyttyy) noudattamisen arvioimiseksi jompikumpi seuraavista tiedoista:</w:t>
      </w:r>
      <w:bookmarkEnd w:id="8"/>
    </w:p>
    <w:p w14:paraId="07E9565A" w14:textId="5F95AEC5" w:rsidR="006F256F" w:rsidRDefault="270F0651" w:rsidP="00A46DF5">
      <w:pPr>
        <w:pStyle w:val="ListParagraph"/>
        <w:numPr>
          <w:ilvl w:val="0"/>
          <w:numId w:val="129"/>
        </w:numPr>
        <w:spacing w:before="120" w:after="120"/>
        <w:ind w:left="1434" w:hanging="357"/>
        <w:jc w:val="both"/>
      </w:pPr>
      <w:r>
        <w:t>Ilmoittakaa, maksaako kukin tuensaaja vähintään 20 prosenttia siitä ympäristöveron tai veronluonteisen ympäristömaksun nimellismäärästä, jota sovellettaisiin kyseiseen tuensaajaan ilman alennusta.</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Ilmoittakaa, pitääkö paikkansa, i) että veron tai maksun alennus ei ole yli 100 prosenttia kansallisesta ympäristöperusteisesta verosta tai veronluonteisesta maksusta tai ii) että veron tai maksun alennuksen ehtona on, että jäsenvaltio ja tuensaajat tai tuensaajien yhteenliittymät tekevät sopimuksia, joilla tuensaajat tai tuensaajien yhteenliittymät sitoutuvat saavuttamaan ympäristönsuojelutavoitteet, joilla on sama vaikutus kuin sillä, että tuensaajat tai tuensaajien yhteenliittymät maksaisivat vähintään 20 prosenttia kansallisesta verosta tai maksusta</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Jos valitsitte kysymyksen </w:t>
      </w:r>
      <w:r>
        <w:fldChar w:fldCharType="begin"/>
      </w:r>
      <w:r>
        <w:instrText xml:space="preserve"> REF _Ref172812423 \w \h </w:instrText>
      </w:r>
      <w:r>
        <w:fldChar w:fldCharType="separate"/>
      </w:r>
      <w:r>
        <w:t>22</w:t>
      </w:r>
      <w:r>
        <w:fldChar w:fldCharType="end"/>
      </w:r>
      <w:r>
        <w:t xml:space="preserve"> luetelmakohdan ii, kuvatkaa suuntaviivojen 309 kappaleen noudattamisen arvioimiseksi seuraavat:</w:t>
      </w:r>
    </w:p>
    <w:p w14:paraId="02DB823F" w14:textId="1AC5E3AC" w:rsidR="00E72A73" w:rsidRDefault="00E72A73" w:rsidP="00A46DF5">
      <w:pPr>
        <w:pStyle w:val="ListParagraph"/>
        <w:numPr>
          <w:ilvl w:val="0"/>
          <w:numId w:val="130"/>
        </w:numPr>
        <w:spacing w:before="120" w:after="120"/>
        <w:ind w:left="1434" w:hanging="357"/>
        <w:jc w:val="both"/>
      </w:pPr>
      <w:r>
        <w:t>sovellettavien sopimusten sisältö, mukaan lukien tavoitteet sekä kiinteät määräajat niiden saavuttamiselle;</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miten sopimuksiin sisältyvien sitoumusten riippumattomasta ja säännöllisestä seurannasta huolehditaan;</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miten sopimuksia tarkistetaan säännöllisesti teknologisen ja muun kehityksen mukaan ja määrätään tehokkaista seuraamuksista, jos sitoumuksia ei noudateta.</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Kasautuminen</w:t>
            </w:r>
          </w:p>
        </w:tc>
      </w:tr>
    </w:tbl>
    <w:p w14:paraId="56B46737" w14:textId="5C12CBC3" w:rsidR="001D0CD2" w:rsidRPr="001D0CD2" w:rsidRDefault="00B21377" w:rsidP="001D0CD2">
      <w:pPr>
        <w:spacing w:before="360" w:after="120"/>
        <w:jc w:val="both"/>
        <w:rPr>
          <w:i/>
          <w:iCs/>
        </w:rPr>
      </w:pPr>
      <w:r>
        <w:rPr>
          <w:i/>
        </w:rPr>
        <w:t>Tämän jakson tietoja varten ks. suuntaviivojen 56–57 kappale.</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Täsmentäkää suuntaviivojen 56 kappaleen noudattamisen todentamiseksi, voidaanko toimenpiteen mukaista tukea myöntää samanaikaisesti useista tukiohjelmista tai voiko se kasautua samoihin tukikelpoisiin kustannuksiin kohdistuvan tapauskohtaisen tai vähämerkityksisen tuen kanssa, siltä osin kuin asiaa ei ole jo ilmoitettu yleisen ilmoituslomakkeen osassa I. Jos näin on, esittäkää tiedot kyseisistä tukiohjelmista, tapauskohtaisesta tuesta tai vähämerkityksisestä tuesta sekä siitä, miten tuki kasautuu.</w:t>
      </w:r>
    </w:p>
    <w:p w14:paraId="4705E62C" w14:textId="77777777" w:rsidR="00D13239" w:rsidRPr="002A3B51" w:rsidRDefault="002A3B51" w:rsidP="009548AA">
      <w:pPr>
        <w:tabs>
          <w:tab w:val="left" w:leader="dot" w:pos="9072"/>
        </w:tabs>
        <w:spacing w:before="120" w:after="120"/>
        <w:ind w:left="567"/>
        <w:jc w:val="both"/>
      </w:pPr>
      <w:r>
        <w:lastRenderedPageBreak/>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Jos kyseessä on suuntaviivojen 56 kappaleen mukainen tilanne, perustelkaa, miten toimenpiteestä hankkeelle tai toiminnalle myönnettävän tuen kokonaismäärä ei johda ylikompensaatioon tai ylitä suuntaviivojen 308 kappaleessa kuvattuja sallittuja tuen enimmäismääriä. Täsmentäkää kullekin toimenpiteelle, jonka kanssa toimenpiteestä myönnetty tuki voi kasautua, menetelmä, jolla varmistetaan suuntaviivojen 56 kappaleessa kuvattujen ehtojen täyttyminen.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Jos kyseessä on suuntaviivojen 57 kappaleen mukainen tilanne eli jos toimenpiteestä myönnetty tuki yhdistetään keskitetysti hallinnoituun unionin rahoitukseen</w:t>
      </w:r>
      <w:r>
        <w:rPr>
          <w:vertAlign w:val="superscript"/>
        </w:rPr>
        <w:footnoteReference w:id="8"/>
      </w:r>
      <w:r>
        <w:t xml:space="preserve"> (joka ei ole valtiontukea), perustelkaa, miten samoihin tukikelpoisiin kustannuksiin myönnetyn julkisen rahoituksen kokonaismäärä ei johda ylikompensaatioon.</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Läpinäkyvyys</w:t>
            </w:r>
          </w:p>
        </w:tc>
      </w:tr>
    </w:tbl>
    <w:p w14:paraId="30CC4C47" w14:textId="5C8853FB" w:rsidR="006773CE" w:rsidRPr="007C0A44" w:rsidRDefault="006773CE" w:rsidP="2368A16B">
      <w:pPr>
        <w:spacing w:before="360" w:after="120"/>
        <w:jc w:val="both"/>
        <w:rPr>
          <w:i/>
          <w:iCs/>
        </w:rPr>
      </w:pPr>
      <w:r>
        <w:rPr>
          <w:i/>
        </w:rPr>
        <w:t xml:space="preserve">Tämän jakson tietoja varten ks. suuntaviivojen 3.2.1.4 kohta (58–62 kappale).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Vahvistakaa, että jäsenvaltio noudattaa suuntaviivojen 58–61 kappaleessa kuvattuja läpinäkyvyysvaatimuksia.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Antakaa linkki verkkosivulle, jolla julkaistaan hyväksytyn tukiohjelman tai yksittäisen tuen myöntämistä koskevan päätöksen ja sen täytäntöönpanosääntöjen koko teksti ja tiedot kustakin yksittäisestä tuesta, joka on myönnetty tapauskohtaisesti tai suuntaviivojen perusteella hyväksytyn tukiohjelman puitteissa ja joka ylittää 100 000 euroa.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9A2EA5"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Kilpailuun ja kauppaan kohdistuvien kohtuuttomien kielteisten vaikutusten välttäminen</w:t>
            </w:r>
          </w:p>
        </w:tc>
      </w:tr>
    </w:tbl>
    <w:p w14:paraId="6F1494DE" w14:textId="5F2BAE4F" w:rsidR="00A80F29" w:rsidRPr="00B215FD" w:rsidRDefault="00A80F29" w:rsidP="00A80F29">
      <w:pPr>
        <w:spacing w:before="360" w:after="120"/>
        <w:jc w:val="both"/>
        <w:rPr>
          <w:i/>
          <w:iCs/>
        </w:rPr>
      </w:pPr>
      <w:r>
        <w:rPr>
          <w:i/>
        </w:rPr>
        <w:t>Tämän jakson tietoja varten ks. suuntaviivojen 3.2.2 kohta siltä osin kuin se on sovellettavissa toimenpiteeseen.</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Kuvailkaa suuntaviivojen 3.2.2 jakson vaatimusten noudattamisen arvioimiseksi, miten toimenpiteessä vähennetään kilpailuun ja kauppaan kohdistuvia ilmeisen kielteisiä vaikutuksia.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Suuntaviivojen 70 kappaleen noudattamisen arvioimiseksi:</w:t>
      </w:r>
    </w:p>
    <w:p w14:paraId="20F0B01A" w14:textId="2387F0F7" w:rsidR="00A80F29" w:rsidRPr="009E0FCA" w:rsidRDefault="00434479" w:rsidP="00A46DF5">
      <w:pPr>
        <w:pStyle w:val="ListParagraph"/>
        <w:numPr>
          <w:ilvl w:val="0"/>
          <w:numId w:val="131"/>
        </w:numPr>
        <w:spacing w:before="120" w:after="120"/>
        <w:ind w:left="1434" w:hanging="357"/>
        <w:jc w:val="both"/>
      </w:pPr>
      <w:r>
        <w:lastRenderedPageBreak/>
        <w:t xml:space="preserve">Vahvistakaa, että ohjelman kesto on enintään 10 vuotta siitä, kun komissio on antanut tiedoksi päätöksensä, jolla se toteaa tuen sisämarkkinoille soveltuvaksi, ellei tätä vahvistusta ole jo annettu kysymyksen </w:t>
      </w:r>
      <w:r>
        <w:fldChar w:fldCharType="begin"/>
      </w:r>
      <w:r>
        <w:instrText xml:space="preserve"> REF _Ref175221297 \r \h </w:instrText>
      </w:r>
      <w:r>
        <w:fldChar w:fldCharType="separate"/>
      </w:r>
      <w:r>
        <w:t>20</w:t>
      </w:r>
      <w:r>
        <w:fldChar w:fldCharType="end"/>
      </w:r>
      <w:r>
        <w:t xml:space="preserve"> yhteydessä.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Vahvistakaa, että toimenpiteen keston jatkaminen yli kyseisen enimmäisajan edellyttää uutta ilmoitusta toimenpiteestä.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Tuen myönteisten vaikutusten punnitseminen suhteessa kilpailuun ja kauppaan kohdistuviin kielteisiin vaikutuksiin</w:t>
            </w:r>
          </w:p>
        </w:tc>
      </w:tr>
    </w:tbl>
    <w:p w14:paraId="3513408C" w14:textId="56B6BA12" w:rsidR="00265702" w:rsidRPr="00863406" w:rsidRDefault="00265702" w:rsidP="2368A16B">
      <w:pPr>
        <w:spacing w:before="360" w:after="120"/>
        <w:jc w:val="both"/>
        <w:rPr>
          <w:i/>
          <w:iCs/>
          <w:color w:val="000000"/>
        </w:rPr>
      </w:pPr>
      <w:r>
        <w:rPr>
          <w:i/>
        </w:rPr>
        <w:t>Tämän jakson tietoja varten ks. suuntaviivojen 3.3 kohta (71–76 kappale) siltä osin kuin se on sovellettavissa toimenpiteeseen.</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Suuntaviivojen 3.3 kohdan vaatimusten noudattamisen arvioimiseksi:</w:t>
      </w:r>
    </w:p>
    <w:p w14:paraId="3EA00BDB" w14:textId="1514E259" w:rsidR="004B2EF3" w:rsidRPr="00564B1B" w:rsidRDefault="00A24718" w:rsidP="00A46DF5">
      <w:pPr>
        <w:pStyle w:val="ListParagraph"/>
        <w:numPr>
          <w:ilvl w:val="0"/>
          <w:numId w:val="132"/>
        </w:numPr>
        <w:spacing w:before="120" w:after="120"/>
        <w:ind w:left="1434" w:hanging="357"/>
        <w:jc w:val="both"/>
      </w:pPr>
      <w:r>
        <w:t>Perustelkaa, miten toimenpiteen myönteiset vaikutukset ovat yleisesti ottaen suuremmat kuin kielteiset vaikutukset.</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Selventäkää suuntaviivojen 75 kappaleen noudattamisen todentamiseksi, sisältyykö toimenpiteeseen piirteitä, jotka helpottavat pk-yritysten osallistumista. Jos kyllä, antakaa tiedot näistä piirteistä ja perustelkaa, miten myönteiset vaikutukset siitä, että varmistetaan pk-yritysten osallistuminen ja hyväksyminen toimenpiteeseen, ovat suuremmat kuin mahdolliset kilpailua vääristävät vaikutukset.</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Täsmentäkää, rajoitetaanko tukitoimenpiteiden kestoa suuntaviivojen 76 kappaleen c kohdan mukaisesti.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Jakso C: Arviointi</w:t>
            </w:r>
          </w:p>
        </w:tc>
      </w:tr>
    </w:tbl>
    <w:p w14:paraId="6A4ADF8D" w14:textId="77777777" w:rsidR="00C33721" w:rsidRPr="006725F7" w:rsidRDefault="00C33721" w:rsidP="006725F7">
      <w:pPr>
        <w:spacing w:before="360" w:after="120"/>
        <w:jc w:val="both"/>
        <w:rPr>
          <w:i/>
          <w:iCs/>
          <w:color w:val="000000"/>
        </w:rPr>
      </w:pPr>
      <w:r>
        <w:rPr>
          <w:i/>
          <w:color w:val="000000"/>
        </w:rPr>
        <w:t>Tämän jakson tietoja varten ks. suuntaviivojen 76 kappaleen a kohta ja 5 luku (455–463 kappale).</w:t>
      </w:r>
    </w:p>
    <w:p w14:paraId="61A6C035" w14:textId="1219DDD6" w:rsidR="00017826" w:rsidRPr="00017826" w:rsidRDefault="00017826" w:rsidP="00017826">
      <w:pPr>
        <w:numPr>
          <w:ilvl w:val="0"/>
          <w:numId w:val="50"/>
        </w:numPr>
        <w:spacing w:before="120" w:after="120"/>
        <w:ind w:left="567" w:hanging="567"/>
        <w:jc w:val="both"/>
      </w:pPr>
      <w:r>
        <w:t xml:space="preserve">Jos toimenpide ylittää suuntaviivojen 456 kappaleessa esitetyt budjetin/menojen kynnysarvot, selittäkää, miksi jäsenvaltion mielestä olisi sovellettava suuntaviivojen 457 kappaleen mukaista poikkeusta, tai liittäkää tähän lisätietolomakkeeseen liite, joka </w:t>
      </w:r>
      <w:r>
        <w:lastRenderedPageBreak/>
        <w:t>sisältää luonnoksen suuntaviivojen 458 kappaleessa mainitut seikat kattavaksi arviointisuunnitelmaksi</w:t>
      </w:r>
      <w:r>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Jos toimitatte arviointisuunnitelman luonnoksen,</w:t>
      </w:r>
    </w:p>
    <w:p w14:paraId="4C066F02" w14:textId="4C06AB69" w:rsidR="00017826" w:rsidRPr="00017826" w:rsidRDefault="00017826" w:rsidP="00017826">
      <w:pPr>
        <w:numPr>
          <w:ilvl w:val="0"/>
          <w:numId w:val="120"/>
        </w:numPr>
        <w:spacing w:before="120" w:after="120"/>
        <w:jc w:val="both"/>
      </w:pPr>
      <w:r>
        <w:t>esittäkää alla yhteenveto liitteessä olevasta arviointisuunnitelman luonnoksesta;</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vahvistakaa, että suuntaviivojen 460 kappaletta noudatetaan;</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antakaa linkki verkkosivulle, jolla arviointisuunnitelma julkaistaan, ja ilmoittakaa julkaisemisen päivämäärä.</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Jos tukiohjelmaan ei tällä hetkellä sovelleta jälkiarviointia ja sen kesto on yli kolme vuotta, vahvistakaa suuntaviivojen 459 kappaleen b kohdan noudattamisen arvioimiseksi, että jäsenvaltio ilmoittaa arviointisuunnitelman luonnoksen 30 työpäivän kuluessa merkittävästä muutoksesta, joka kasvattaa ohjelman budjetin jonakin vuotena yli 150 miljoonaan euroon tai ohjelman koko keston aikana yli 750 miljoonaan euroon.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Jos tukiohjelmaan ei tällä hetkellä sovelleta jälkiarviointia, esittäkää suuntaviivojen 459 kappaleen c kohdan noudattamisen arvioimiseksi alla sitoumus, jonka mukaan jäsenvaltio ilmoittaa arviointisuunnitelman luonnoksen 30 työpäivän kuluessa siitä, kun viralliseen tilinpäätökseen on kirjattu yli 150 miljoonan euron menot edelliseltä vuodelta.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Selittäkää suuntaviivojen 461 kappaleen noudattamisen arvioimiseksi seuraavat:</w:t>
      </w:r>
    </w:p>
    <w:p w14:paraId="3B57C2B7" w14:textId="77777777" w:rsidR="00017826" w:rsidRPr="00017826" w:rsidRDefault="00017826" w:rsidP="00017826">
      <w:pPr>
        <w:numPr>
          <w:ilvl w:val="0"/>
          <w:numId w:val="121"/>
        </w:numPr>
        <w:spacing w:before="120" w:after="120"/>
        <w:jc w:val="both"/>
      </w:pPr>
      <w:r>
        <w:t>täsmentäkää, onko riippumaton asiantuntija jo valittu vai valitaanko tämä tulevaisuudessa;</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antakaa tiedot asiantuntijan valintamenettelystä;</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perustelkaa, miten asiantuntija on riippumaton tuen myöntävästä viranomaisesta.</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Selittäkää suuntaviivojen 461 kappaleen noudattamisen tarkemmaksi arvioimiseksi seuraavat: </w:t>
      </w:r>
    </w:p>
    <w:p w14:paraId="2E5EF1CD" w14:textId="59962384" w:rsidR="00017826" w:rsidRPr="00017826" w:rsidRDefault="00017826" w:rsidP="00017826">
      <w:pPr>
        <w:numPr>
          <w:ilvl w:val="0"/>
          <w:numId w:val="122"/>
        </w:numPr>
        <w:spacing w:before="120" w:after="120"/>
        <w:jc w:val="both"/>
      </w:pPr>
      <w:r>
        <w:t xml:space="preserve">Ilmoittakaa jäsenvaltion ehdottamat määräajat väliarviointiraportin ja lopullisen arviointiraportin toimittamiselle. Huomatkaa, että suuntaviivojen </w:t>
      </w:r>
      <w:r>
        <w:lastRenderedPageBreak/>
        <w:t>463 kappaleen mukaan jälkiarviointiraportti on toimitettava komissiolle riittävän ajoissa, jotta komissio voi arvioida tukijärjestelmän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Vahvistakaa, että väliarviointiraportti ja lopullinen arviointiraportti julkistetaan. Antakaa linkki verkkosivulle, jolla raportit julkaistaan, ja ilmoittakaa julkaisemisen päivämäärä.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Jakso D: Raportointi ja seuranta</w:t>
            </w:r>
          </w:p>
        </w:tc>
      </w:tr>
    </w:tbl>
    <w:p w14:paraId="6975FD00" w14:textId="7876D36D" w:rsidR="006725F7" w:rsidRPr="006725F7" w:rsidRDefault="006725F7" w:rsidP="006725F7">
      <w:pPr>
        <w:spacing w:before="360" w:after="120"/>
        <w:jc w:val="both"/>
        <w:rPr>
          <w:i/>
          <w:iCs/>
          <w:color w:val="000000"/>
        </w:rPr>
      </w:pPr>
      <w:r>
        <w:rPr>
          <w:i/>
          <w:color w:val="000000"/>
        </w:rPr>
        <w:t>Tämän jakson tietoja varten ks. suuntaviivojen 6 luku (464–465 kappale).</w:t>
      </w:r>
    </w:p>
    <w:p w14:paraId="29B090CF" w14:textId="307F0833" w:rsidR="004B0C34" w:rsidRPr="0051324D" w:rsidRDefault="006725F7" w:rsidP="006725F7">
      <w:pPr>
        <w:numPr>
          <w:ilvl w:val="0"/>
          <w:numId w:val="50"/>
        </w:numPr>
        <w:spacing w:before="120" w:after="120"/>
        <w:ind w:left="567" w:hanging="567"/>
        <w:jc w:val="both"/>
      </w:pPr>
      <w:r>
        <w:t>Vahvistakaa, että jäsenvaltio noudattaa suuntaviivojen 6 luvun 464 ja 465 kappaleessa esitettyjä raportointi- ja seurantavaatimuksia.</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EUVL C 80, 18.2.2022, s. 1.</w:t>
      </w:r>
    </w:p>
  </w:footnote>
  <w:footnote w:id="3">
    <w:p w14:paraId="0B630B34" w14:textId="1A949931" w:rsidR="00EA14A3" w:rsidRDefault="00EA14A3" w:rsidP="00EA14A3">
      <w:pPr>
        <w:pStyle w:val="FootnoteText"/>
      </w:pPr>
      <w:r>
        <w:rPr>
          <w:rStyle w:val="FootnoteReference"/>
        </w:rPr>
        <w:footnoteRef/>
      </w:r>
      <w:r>
        <w:tab/>
        <w:t xml:space="preserve">Huomatkaa, että tukiohjelman kesto on se ajanjakso, jona tukea voidaan hakea ja jona siitä voidaan päättää (mukaan lukien aika, jonka viranomaiset tarvitsevat tukihakemusten hyväksymiseen). Tässä kysymyksessä tarkoitettu kesto ei liity tukiohjelman puitteissa tehtyjen sopimusten kestoon, vaan sopimukset voivat jatkua myös toimenpiteen päättymisen jälkeen. </w:t>
      </w:r>
    </w:p>
  </w:footnote>
  <w:footnote w:id="4">
    <w:p w14:paraId="3A1CFF23" w14:textId="4C37DE38" w:rsidR="0091313C" w:rsidRPr="0067348B" w:rsidRDefault="0091313C" w:rsidP="0091313C">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74B9E2E9" w14:textId="09EFDCF0" w:rsidR="007B4268" w:rsidRPr="007B4268" w:rsidRDefault="007B4268">
      <w:pPr>
        <w:pStyle w:val="FootnoteText"/>
      </w:pPr>
      <w:r>
        <w:rPr>
          <w:rStyle w:val="FootnoteReference"/>
        </w:rPr>
        <w:footnoteRef/>
      </w:r>
      <w:r>
        <w:t xml:space="preserve"> </w:t>
      </w:r>
      <w:r>
        <w:tab/>
        <w:t>Tässä olevat viittaukset ”maksuun” olisi ymmärrettävä siten, että ne kattavat myös ympäristöperusteiset verot.</w:t>
      </w:r>
    </w:p>
  </w:footnote>
  <w:footnote w:id="6">
    <w:p w14:paraId="771807DF" w14:textId="77777777" w:rsidR="004B0D99" w:rsidRPr="00FC5A51" w:rsidRDefault="004B0D99" w:rsidP="004B0D99">
      <w:pPr>
        <w:pStyle w:val="FootnoteText"/>
      </w:pPr>
      <w:r>
        <w:rPr>
          <w:rStyle w:val="FootnoteReference"/>
        </w:rPr>
        <w:footnoteRef/>
      </w:r>
      <w:r>
        <w:t xml:space="preserve"> </w:t>
      </w:r>
      <w:r>
        <w:tab/>
        <w:t>Esimerkiksi vertaamalla vakioverokantaa, jota sovellettaisiin alennusten kanssa, vakioverokantaan, jota sovellettaisiin ilman alennuksia, niiden yritysten lukumäärää, jotka olisivat veron tai maksun alaisia kokonaisuudessaan, tai muita indikaattoreita, jotka kuvastavat todellista muutosta ympäristölle haitallisessa käyttäytymisessä.</w:t>
      </w:r>
    </w:p>
  </w:footnote>
  <w:footnote w:id="7">
    <w:p w14:paraId="415B82D4" w14:textId="52C53E38" w:rsidR="00B40F1D" w:rsidRPr="00B40F1D" w:rsidRDefault="00B40F1D">
      <w:pPr>
        <w:pStyle w:val="FootnoteText"/>
      </w:pPr>
      <w:r>
        <w:rPr>
          <w:rStyle w:val="FootnoteReference"/>
        </w:rPr>
        <w:footnoteRef/>
      </w:r>
      <w:r>
        <w:t xml:space="preserve"> </w:t>
      </w:r>
      <w:r>
        <w:tab/>
        <w:t>Tällaiset sopimukset tai sitoumukset voivat liittyä muun muassa energiankulutuksen vähentämiseen, päästöjen ja muiden epäpuhtauksien vähentämiseen tai muuhun ympäristönsuojeluun liittyvään toimenpiteeseen.</w:t>
      </w:r>
    </w:p>
  </w:footnote>
  <w:footnote w:id="8">
    <w:p w14:paraId="389D3F63" w14:textId="77777777" w:rsidR="00044DC5" w:rsidRDefault="00044DC5">
      <w:pPr>
        <w:pStyle w:val="FootnoteText"/>
      </w:pPr>
      <w:r>
        <w:rPr>
          <w:rStyle w:val="FootnoteReference"/>
        </w:rPr>
        <w:footnoteRef/>
      </w:r>
      <w:r>
        <w:t xml:space="preserve"> </w:t>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9">
    <w:p w14:paraId="1A49E979" w14:textId="1F359626" w:rsidR="00017826" w:rsidRDefault="00017826" w:rsidP="00017826">
      <w:pPr>
        <w:pStyle w:val="FootnoteText"/>
      </w:pPr>
      <w:r>
        <w:rPr>
          <w:rStyle w:val="FootnoteReference"/>
        </w:rPr>
        <w:footnoteRef/>
      </w:r>
      <w:r>
        <w:t xml:space="preserve"> </w:t>
      </w:r>
      <w:r>
        <w:tab/>
        <w:t xml:space="preserve">Arviointisuunnitelman ilmoittamiseen käytettävän lisätietolomakkeen malli (osa III.8) on saatavilla täällä: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2EA5"/>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2482</Words>
  <Characters>20286</Characters>
  <Application>Microsoft Office Word</Application>
  <DocSecurity>0</DocSecurity>
  <Lines>441</Lines>
  <Paragraphs>155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MERILAINEN Anne (DGT)</cp:lastModifiedBy>
  <cp:revision>7</cp:revision>
  <cp:lastPrinted>2022-04-12T14:59:00Z</cp:lastPrinted>
  <dcterms:created xsi:type="dcterms:W3CDTF">2024-08-22T12:39:00Z</dcterms:created>
  <dcterms:modified xsi:type="dcterms:W3CDTF">2024-10-08T10:47:00Z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