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Del III.6</w:t>
            </w:r>
          </w:p>
          <w:p w14:paraId="6E9C4C7E" w14:textId="620BA570" w:rsidR="000442F5" w:rsidRPr="009916D5" w:rsidRDefault="001F242D" w:rsidP="007B485D">
            <w:pPr>
              <w:pStyle w:val="Heading2"/>
              <w:spacing w:before="240" w:after="240"/>
              <w:jc w:val="center"/>
              <w:rPr>
                <w:sz w:val="32"/>
                <w:szCs w:val="32"/>
              </w:rPr>
            </w:pPr>
            <w:r>
              <w:rPr>
                <w:sz w:val="32"/>
              </w:rPr>
              <w:t>Obrazec za dodatne informacije o državni pomoči, dodeljeni na podlagi Smernic o državni pomoči za podnebje, varstvo okolja in energijo iz leta 2022 (CEEAG)</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 xml:space="preserve">Poglavje 4.7.1 – Pomoč v obliki znižanj </w:t>
            </w:r>
            <w:proofErr w:type="spellStart"/>
            <w:r>
              <w:rPr>
                <w:sz w:val="32"/>
              </w:rPr>
              <w:t>okoljskih</w:t>
            </w:r>
            <w:proofErr w:type="spellEnd"/>
            <w:r>
              <w:rPr>
                <w:sz w:val="32"/>
              </w:rPr>
              <w:t xml:space="preserve"> davkov ali davkom podobnih dajatev</w:t>
            </w:r>
          </w:p>
        </w:tc>
      </w:tr>
    </w:tbl>
    <w:p w14:paraId="27F0F629" w14:textId="4927A87E" w:rsidR="000442F5" w:rsidRPr="00711243" w:rsidRDefault="000442F5" w:rsidP="004779D5">
      <w:pPr>
        <w:spacing w:before="36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622044AE" w14:textId="108684F2" w:rsidR="009E2EA1" w:rsidRPr="00711243" w:rsidRDefault="0072538B" w:rsidP="6EC7D551">
      <w:pPr>
        <w:spacing w:before="120" w:after="120"/>
        <w:ind w:right="-142"/>
        <w:jc w:val="both"/>
        <w:rPr>
          <w:i/>
          <w:iCs/>
        </w:rPr>
      </w:pPr>
      <w:r>
        <w:rPr>
          <w:i/>
        </w:rPr>
        <w:t xml:space="preserve">Ta obrazec za dodatne informacije se nanaša na ukrepe iz poglavja 4.7.1 Smernic. Če so v priglasitev vključeni ukrepi, ki so zajeti v več kot enem poglavju Smernic, izpolnite tudi ustrezni obrazec za dodatne informacije, ki se nanaša na zadevno poglavje Smernic, ko bo na voljo. </w:t>
      </w:r>
    </w:p>
    <w:p w14:paraId="516CA0D8" w14:textId="13E1AC51" w:rsidR="00D85EEE" w:rsidRDefault="009E2EA1" w:rsidP="0BD92DCE">
      <w:pPr>
        <w:spacing w:before="120" w:after="120"/>
        <w:ind w:right="-142"/>
        <w:jc w:val="both"/>
      </w:pPr>
      <w:r>
        <w:rPr>
          <w:i/>
        </w:rPr>
        <w:t>Vse dokumente, ki jih države članice zagotovijo kot priloge k temu obrazcu za dodatne informacije, je treba oštevilčiti in številke dokumentov navesti v ustreznih oddelkih tega obrazca za dodatne informacije.</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Oddelek A: Povzetek glavnih značilnosti priglašenega ukrepa</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Ozadje in cilji priglašenega ukrepa:</w:t>
      </w:r>
    </w:p>
    <w:p w14:paraId="7E6887E3" w14:textId="3DC69D1A" w:rsidR="00EA14A3" w:rsidRDefault="00D3344D" w:rsidP="00EA14A3">
      <w:pPr>
        <w:pStyle w:val="ListParagraph"/>
        <w:numPr>
          <w:ilvl w:val="0"/>
          <w:numId w:val="67"/>
        </w:numPr>
        <w:spacing w:after="240"/>
        <w:ind w:left="993" w:hanging="142"/>
        <w:jc w:val="both"/>
      </w:pPr>
      <w:r>
        <w:t xml:space="preserve">Če to še ni bilo obravnavano v oddelku 5.2 obrazca za splošne informacije (del I), navedite ozadje in glavni cilj, vključno s povezavo z morebitnimi </w:t>
      </w:r>
      <w:proofErr w:type="spellStart"/>
      <w:r>
        <w:t>okoljskimi</w:t>
      </w:r>
      <w:proofErr w:type="spellEnd"/>
      <w:r>
        <w:t xml:space="preserve"> cilji Unije, ki naj bi jih ukrep podprl.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Če to še ni bilo obravnavano v oddelku 5.2 obrazca za splošne informacije (del I), navedite vse druge cilje ukrepa. Za vse cilje, ki niso izključno </w:t>
      </w:r>
      <w:proofErr w:type="spellStart"/>
      <w:r>
        <w:t>okoljski</w:t>
      </w:r>
      <w:proofErr w:type="spellEnd"/>
      <w:r>
        <w:t xml:space="preserve">, pojasnite, ali bi lahko povzročili kakršno koli izkrivljanje notranjega trga.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Začetek veljavnosti in trajanje:</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Če to še ni bilo navedeno v oddelku 5.5 obrazca za splošne informacije (del I), navedite: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za sheme pomoči: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datum, od katerega naj bi shema začela veljati,</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trajanje sheme</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za individualno pomoč: (načrtovani) datum dodelitve pomoči (obljuba pomoči) in datum plačila (če so predvidena različna zaporedna plačila, datum prvega plačila).</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Upravičenci:</w:t>
      </w:r>
    </w:p>
    <w:p w14:paraId="5266FC05" w14:textId="60C34F9E" w:rsidR="00BC5DDD" w:rsidRDefault="00CF3861" w:rsidP="00C52CFD">
      <w:pPr>
        <w:pStyle w:val="ListParagraph"/>
        <w:numPr>
          <w:ilvl w:val="0"/>
          <w:numId w:val="68"/>
        </w:numPr>
        <w:spacing w:after="240"/>
        <w:ind w:hanging="229"/>
        <w:jc w:val="both"/>
        <w:rPr>
          <w:szCs w:val="24"/>
        </w:rPr>
      </w:pPr>
      <w:r>
        <w:t>Če to še ni bilo navedeno v oddelku 3 obrazca za splošne informacije (del I), opišite (potencialne) upravičence ukrepa.</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Navedite lokacijo upravičencev (tj. če so do sodelovanja v ukrepu upravičeni le gospodarski subjekti s sedežem v zadevni državi članici ali tudi tisti, ki imajo sedež v drugih državah članicah).</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lastRenderedPageBreak/>
        <w:t xml:space="preserve">Za presojo skladnosti s točko 15 Smernic navedite, ali se pomoč v okviru ukrepa dodeljuje podjetju (individualno ali v okviru sheme), ki je naslovnik neporavnanega naloga za vračilo na podlagi predhodnega sklepa Komisije, s katerim je bila pomoč razglašena za nezakonito in nezdružljivo z notranjim trgom.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Če je odgovor pritrdilen, zagotovite informacije o znesku pomoči, ki ga je še treba vrniti, da ga Komisija upošteva pri presoji ukrepa pomoči.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Potrdite, da ukrep ne vključuje pomoči za dejavnosti, ki ne spadajo na področje uporabe Smernic (glej točko 13 Smernic). Sicer navedite podrobnosti.</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Proračun in financiranje ukrepa</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Če to še ni navedeno v preglednici v oddelku 7.1 obrazca za splošne informacije (del I), navedite letni in/ali skupni proračun za celotno trajanje ukrepa; če skupni proračun ni znan (ker je na primer odvisen od rezultatov razpisov), navedite približno oceno proračuna, vključno s predpostavkami, uporabljenimi za izračun zadevne ocene proračuna.</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 xml:space="preserve">Ker ukrep zadeva </w:t>
      </w:r>
      <w:proofErr w:type="spellStart"/>
      <w:r>
        <w:t>okoljski</w:t>
      </w:r>
      <w:proofErr w:type="spellEnd"/>
      <w:r>
        <w:t xml:space="preserve"> davek ali davku podobno dajatev</w:t>
      </w:r>
      <w:r>
        <w:rPr>
          <w:rStyle w:val="FootnoteReference"/>
          <w:rFonts w:cs="Arial Unicode MS"/>
          <w:lang w:bidi="si-LK"/>
        </w:rPr>
        <w:footnoteReference w:id="5"/>
      </w:r>
      <w:r>
        <w:t>, navedite, ali:</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je dajatev določena z zakonom ali drugim zakonodajnim aktom; če je odgovor pritrdilen, navedite pravni akt, njegovo številko ter datuma sprejetja in začetka veljavnosti akta ter spletno povezavo do pravnega akta;</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se znižanje dajatve financira z zvišanjem dajatve za druge potrošnike;</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se dajatev v enaki meri naloži na domače in uvožene proizvode;</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bo ukrep enako koristil domačim in tujim proizvodom;</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se ukrep z dajatvijo financira v celoti ali le delno. Če se ukrep z dajatvijo financira le delno, navedite druge vire financiranja ukrepa in njihov ustrezni delež;</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lastRenderedPageBreak/>
        <w:t>se z dajatvijo, s katero se financira ukrep, financirajo tudi drugi ukrepi pomoči. Če je tako, navedite druge ukrepe pomoči, ki se financirajo z zadevno dajatvijo.</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Oddelek B: Ocena združljivosti pomoči</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Pozitivni pogoj: pomoč mora pospeševati razvoj gospodarske dejavnosti</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Prispevek k razvoju gospodarske dejavnosti, spodbujevalni učinek, utemeljitev pomoči in obseg podprtih dejavnosti</w:t>
            </w:r>
          </w:p>
        </w:tc>
      </w:tr>
    </w:tbl>
    <w:p w14:paraId="2870642B" w14:textId="029644F0" w:rsidR="000442F5" w:rsidRPr="00DB40A5" w:rsidRDefault="000442F5" w:rsidP="7963440A">
      <w:pPr>
        <w:spacing w:before="360" w:after="120"/>
        <w:jc w:val="both"/>
        <w:rPr>
          <w:i/>
          <w:iCs/>
        </w:rPr>
      </w:pPr>
      <w:r>
        <w:rPr>
          <w:i/>
        </w:rPr>
        <w:t>Za zagotovitev informacij v tem oddelku glej oddelka 3.1.1 in 3.1.2,</w:t>
      </w:r>
      <w:bookmarkStart w:id="4" w:name="_Hlk172821826"/>
      <w:r>
        <w:t xml:space="preserve"> </w:t>
      </w:r>
      <w:r>
        <w:rPr>
          <w:i/>
        </w:rPr>
        <w:t>kolikor se uporabljata v okviru ukrepa</w:t>
      </w:r>
      <w:r>
        <w:t>,</w:t>
      </w:r>
      <w:bookmarkEnd w:id="4"/>
      <w:r>
        <w:rPr>
          <w:i/>
        </w:rPr>
        <w:t xml:space="preserve"> ter oddelka 4.7.1.1.in 4.7.1.2 (točke 293–296) Smernic.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Člen 107(3), točka (c),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52F709B3" w14:textId="79C6C83F" w:rsidR="00EE2FCC" w:rsidRPr="00864DCD" w:rsidRDefault="00CB486E" w:rsidP="00864DCD">
      <w:pPr>
        <w:pStyle w:val="ListParagraph"/>
        <w:spacing w:before="120" w:after="120"/>
        <w:ind w:left="567"/>
        <w:contextualSpacing w:val="0"/>
        <w:jc w:val="both"/>
      </w:pPr>
      <w:r>
        <w:t>Za presojo skladnosti s točko 23 Smernic opredelite gospodarske dejavnosti, ki se bodo pospeševale s pomočjo, in navedite, kako se bo podpiral razvoj navedenih dejavnosti.</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Za pomoč se lahko šteje, da pospešuje gospodarsko dejavnost, samo, če ima spodbujevalni učinek. Za presojo skladnosti z oddelkom 3.1.2 Smernic pojasnite, kako ukrep upravičenca „spodbudi k spremembi ravnanja ali izvajanju dodatne gospodarske dejavnosti ali okolju prijaznejše gospodarske dejavnosti, ki je brez pomoči ne bi izvajal ali bi jo izvajal v omejenem obsegu ali na drugačen način“, glede na utemeljitev pomoči, kot je pojasnjena v oddelku 4.7.1.1 Smernic.</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Za presojo skladnosti s točko 293 Smernic opišite, (i) zakaj so lahko znižanja </w:t>
      </w:r>
      <w:proofErr w:type="spellStart"/>
      <w:r>
        <w:t>okoljskih</w:t>
      </w:r>
      <w:proofErr w:type="spellEnd"/>
      <w:r>
        <w:t xml:space="preserve"> davkov ali davkom podobnih dajatev, ki lahko negativno vplivajo na cilj varstva okolja, vseeno potrebna, in (ii) zakaj bi bili upravičenci sicer postavljeni v tako podrejen konkurenčni položaj, da uvedba </w:t>
      </w:r>
      <w:proofErr w:type="spellStart"/>
      <w:r>
        <w:t>okoljskega</w:t>
      </w:r>
      <w:proofErr w:type="spellEnd"/>
      <w:r>
        <w:t xml:space="preserve"> davka ali davku podobne dajatve sploh ne bi bila izvedljiva.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Za presojo skladnosti s točko 294 Smernic pojasnite: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zakaj „lahko ugodnejša obravnava nekaterih podjetij omogoči doseganje višje splošne ravni prispevka za </w:t>
      </w:r>
      <w:proofErr w:type="spellStart"/>
      <w:r>
        <w:t>okoljske</w:t>
      </w:r>
      <w:proofErr w:type="spellEnd"/>
      <w:r>
        <w:t xml:space="preserve"> davke ali davkom podobne dajatve“;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zakaj „lahko v nekaterih okoliščinah znižanja </w:t>
      </w:r>
      <w:proofErr w:type="spellStart"/>
      <w:r>
        <w:t>okoljskih</w:t>
      </w:r>
      <w:proofErr w:type="spellEnd"/>
      <w:r>
        <w:t xml:space="preserve"> davkov ali dajatev posredno prispevajo k višji ravni varstva okolja“; in </w:t>
      </w:r>
    </w:p>
    <w:p w14:paraId="4734A3ED" w14:textId="4188D531" w:rsidR="00830262" w:rsidRDefault="00830262" w:rsidP="00A46DF5">
      <w:pPr>
        <w:tabs>
          <w:tab w:val="left" w:leader="dot" w:pos="9072"/>
        </w:tabs>
        <w:spacing w:before="120" w:after="120"/>
        <w:ind w:left="567"/>
        <w:jc w:val="both"/>
      </w:pPr>
      <w:r>
        <w:lastRenderedPageBreak/>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 xml:space="preserve">kako država članica zagotavlja, da takšna znižanja „[ne ogrozijo] splošnega cilja </w:t>
      </w:r>
      <w:proofErr w:type="spellStart"/>
      <w:r>
        <w:t>okoljskih</w:t>
      </w:r>
      <w:proofErr w:type="spellEnd"/>
      <w:r>
        <w:t xml:space="preserve"> davkov ali davkom podobnih dajatev, da bi odvračali od okolju škodljivega ravnanja in/ali povečali stroške takega ravnanja, kadar zadovoljive alternative niso na voljo“.</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Za presojo skladnosti s točko 295 Smernic predložite informacije, ki so opisane v točki 296 Smernic:</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opis sektorjev ali kategorij upravičencev, upravičenih do znižanj;</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 xml:space="preserve">seznam največjih upravičencev v vsakem zadevnem sektorju, njihov promet, tržne deleže, velikost davčne osnove in delež, ki bi ga </w:t>
      </w:r>
      <w:proofErr w:type="spellStart"/>
      <w:r>
        <w:t>okoljski</w:t>
      </w:r>
      <w:proofErr w:type="spellEnd"/>
      <w:r>
        <w:t xml:space="preserve"> davek ali dajatev predstavljala v njihovem dobičku pred davkom z znižanjem in brez njega (ki se lahko predloži v ločeni prilogi k temu obrazcu za dodatne informacije);</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opis položaja teh upravičencev s pojasnilom, zakaj ne bi mogli plačati standardne stopnje </w:t>
      </w:r>
      <w:proofErr w:type="spellStart"/>
      <w:r>
        <w:t>okoljskega</w:t>
      </w:r>
      <w:proofErr w:type="spellEnd"/>
      <w:r>
        <w:t xml:space="preserve"> davka ali dajatve;</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pojasnilo, kako bi znižani davki ali dajatve prispevali k dejanskemu povečanju ravni varstva okolja v primerjavi z ravnjo varstva okolja, ki bi bila dosežena brez znižanj</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Neobstoj kršitve ustreznih določb prava Unije</w:t>
            </w:r>
          </w:p>
        </w:tc>
      </w:tr>
    </w:tbl>
    <w:p w14:paraId="243B3743" w14:textId="21186291" w:rsidR="00DE1D68" w:rsidRDefault="00DE1D68" w:rsidP="00DE1D68">
      <w:pPr>
        <w:spacing w:before="360" w:after="120"/>
        <w:jc w:val="both"/>
        <w:rPr>
          <w:i/>
        </w:rPr>
      </w:pPr>
      <w:r>
        <w:rPr>
          <w:i/>
        </w:rPr>
        <w:t xml:space="preserve">Za zagotovitev informacij v tem oddelku glej oddelek 3.1.3 (točka 33) Smernic.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Zagotovite informacije za potrditev skladnosti z ustreznimi določbami prava EU v skladu s točko 33 Smernic.</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Če se za financiranje ukrepa uporablja dajatev, pojasnite, ali je potrebna presoja skladnosti s členoma 30 in 110 PDEU. Če je odgovor pritrdilen, dokažite, kako ukrep izpolnjuje določbe členov 30 in 110 PDEU. V zvezi s tem se je mogoče sklicevati na informacije, predložene v okviru vprašanja </w:t>
      </w:r>
      <w:r>
        <w:fldChar w:fldCharType="begin"/>
      </w:r>
      <w:r>
        <w:instrText xml:space="preserve"> REF _Ref172736116 \w \h </w:instrText>
      </w:r>
      <w:r>
        <w:fldChar w:fldCharType="separate"/>
      </w:r>
      <w:r>
        <w:t>5</w:t>
      </w:r>
      <w:r>
        <w:fldChar w:fldCharType="end"/>
      </w:r>
      <w:r>
        <w:t>(</w:t>
      </w:r>
      <w:r>
        <w:fldChar w:fldCharType="begin"/>
      </w:r>
      <w:r>
        <w:instrText xml:space="preserve"> REF _Ref172736090 \r \h </w:instrText>
      </w:r>
      <w:r>
        <w:fldChar w:fldCharType="separate"/>
      </w:r>
      <w:r>
        <w:t>ii</w:t>
      </w:r>
      <w:r>
        <w:fldChar w:fldCharType="end"/>
      </w:r>
      <w:r>
        <w:t>) zgoraj.</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lastRenderedPageBreak/>
              <w:t>Negativni pogoj: pomoč ne sme neupravičeno spreminjati trgovinskih pogojev v obsegu, ki bi bil v nasprotju s skupnimi interesi</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Čim večje zmanjšanje izkrivljanja konkurence in trgovine</w:t>
            </w:r>
          </w:p>
        </w:tc>
      </w:tr>
    </w:tbl>
    <w:p w14:paraId="40A64058" w14:textId="230E5E86" w:rsidR="00EC33DD" w:rsidRDefault="00EC33DD" w:rsidP="00A46DF5">
      <w:pPr>
        <w:spacing w:before="360" w:after="120"/>
        <w:rPr>
          <w:i/>
          <w:color w:val="000000"/>
        </w:rPr>
      </w:pPr>
      <w:r>
        <w:rPr>
          <w:i/>
          <w:color w:val="000000"/>
        </w:rPr>
        <w:t>Upoštevajte, da sta oddelka 2.1.1 in 2.1.2 izbirna. Za primere, ki so upravičeni do poenostavljenega pristopa v skladu z oddelkom 2.1.1 spodaj, odgovori v oddelku 2.1.2 niso potrebni.</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 xml:space="preserve">Poenostavljen pristop za usklajene </w:t>
            </w:r>
            <w:proofErr w:type="spellStart"/>
            <w:r>
              <w:rPr>
                <w:color w:val="000000"/>
                <w:sz w:val="24"/>
              </w:rPr>
              <w:t>okoljske</w:t>
            </w:r>
            <w:proofErr w:type="spellEnd"/>
            <w:r>
              <w:rPr>
                <w:color w:val="000000"/>
                <w:sz w:val="24"/>
              </w:rPr>
              <w:t xml:space="preserve"> davke</w:t>
            </w:r>
          </w:p>
        </w:tc>
      </w:tr>
    </w:tbl>
    <w:p w14:paraId="3BC9FD96" w14:textId="596445AB" w:rsidR="00877483" w:rsidRDefault="001D4B25" w:rsidP="00506D80">
      <w:pPr>
        <w:spacing w:before="360" w:after="120"/>
        <w:rPr>
          <w:i/>
          <w:color w:val="000000"/>
        </w:rPr>
      </w:pPr>
      <w:r>
        <w:rPr>
          <w:i/>
          <w:color w:val="000000"/>
        </w:rPr>
        <w:t xml:space="preserve">Za zagotovitev informacij v tem oddelku glej oddelek 4.7.1.3 (točke 297–300) Smernic. Če so </w:t>
      </w:r>
      <w:proofErr w:type="spellStart"/>
      <w:r>
        <w:rPr>
          <w:i/>
          <w:color w:val="000000"/>
        </w:rPr>
        <w:t>okoljski</w:t>
      </w:r>
      <w:proofErr w:type="spellEnd"/>
      <w:r>
        <w:rPr>
          <w:i/>
          <w:color w:val="000000"/>
        </w:rPr>
        <w:t xml:space="preserve"> davki usklajeni, lahko Komisija za presojo nujnosti in sorazmernosti pomoči uporabi poenostavljen pristop. V okviru Direktive 2003/96/ES lahko Komisija uporabi poenostavljeni pristop za znižanja davkov ob upoštevanju najnižje davčne stopnje Unije iz točk 298 in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Pojasnite, ali ukrepi spadajo na področje uporabe Direktive 2003/96/ES.</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Če je odgovor pritrdilen, za preverjanje skladnosti s točko 298 Smernic zagotovite naslednje informacije:</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navedite najnižjo veljavno davčno stopnjo Unije in veljavno davčno stopnjo, ki jo je upravičenec plačal v okviru ukrepa;</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navedite in pojasnite merila za izbor upravičencev. V odgovoru pojasnite, zakaj so ta objektivna in pregledna;</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pojasnite in potrdite, da se pomoč dodeli enako za vsa podjetja v istem sektorju, če so v podobnem dejanskem položaju;</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potrdite, da je bilo izvedeno predhodno odprto javno posvetovanje, v katerem so bili ustrezno opisani sektorji, upravičeni do znižanj, in predložen seznam največjih upravičencev za vsak sektor. Predložite ustrezna dokazila za to posvetovanje.</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Za presojo skladnosti s točko 299 Smernic:</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pojasnite, ali se pomoč dodeli v obliki znižanja davčne stopnje, fiksnega zneska letnega nadomestila (vračila davka) ali kombinacije navedenega;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 xml:space="preserve">če se pomoč (ali del pomoči) dodeli v obliki vračila davka, potrdite, da se (i) znesek vračila davka izračuna na podlagi preteklih podatkov, tj. ravni proizvodnje, potrošnje ali onesnaževanja, ugotovljene za podjetje v zadevnem </w:t>
      </w:r>
      <w:r>
        <w:lastRenderedPageBreak/>
        <w:t>referenčnem letu; in da (ii) raven vračila davka ne presega najnižjega zneska davka v Uniji, ki bi ga bilo sicer treba plačati za referenčno leto.</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Poglobljena ocena ukrepa</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 xml:space="preserve">Kadar </w:t>
      </w:r>
      <w:proofErr w:type="spellStart"/>
      <w:r>
        <w:rPr>
          <w:i/>
        </w:rPr>
        <w:t>okoljski</w:t>
      </w:r>
      <w:proofErr w:type="spellEnd"/>
      <w:r>
        <w:rPr>
          <w:i/>
        </w:rPr>
        <w:t xml:space="preserve"> davki niso usklajeni ali upravičenci plačujejo znesek, ki je nižji od najnižje stopnje usklajenega davka Unije, kadar to dovoljuje Direktiva 2003/96/ES, je potrebna poglobljena ocena nujnosti in sorazmernosti pomoči.</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Nujnost pomoči</w:t>
            </w:r>
          </w:p>
        </w:tc>
      </w:tr>
    </w:tbl>
    <w:p w14:paraId="3754E3F1" w14:textId="25BB5508" w:rsidR="00663008" w:rsidRPr="00F83660" w:rsidRDefault="6695A805" w:rsidP="6637E879">
      <w:pPr>
        <w:spacing w:before="360" w:after="120"/>
        <w:jc w:val="both"/>
        <w:rPr>
          <w:i/>
          <w:iCs/>
          <w:color w:val="000000"/>
        </w:rPr>
      </w:pPr>
      <w:r>
        <w:rPr>
          <w:i/>
          <w:color w:val="000000"/>
        </w:rPr>
        <w:t xml:space="preserve">Za zagotovitev informacij v tem oddelku glej oddelek 3.2.1.1, </w:t>
      </w:r>
      <w:r>
        <w:rPr>
          <w:i/>
        </w:rPr>
        <w:t xml:space="preserve"> </w:t>
      </w:r>
      <w:r>
        <w:rPr>
          <w:i/>
          <w:color w:val="000000"/>
        </w:rPr>
        <w:t>kolikor se uporablja v okviru ukrepa</w:t>
      </w:r>
      <w:r>
        <w:rPr>
          <w:i/>
        </w:rPr>
        <w:t>, ter oddelek 4.7.1.3.1 (točke 301–303) Smernic.</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Za presojo skladnosti z veljavnimi zahtevami iz oddelka 3.2.1.1 Smernic opišite, kako je ukrep ciljno usmerjen v stanje, v katerem lahko doseže bistveno izboljšanje, ki ga trg sam ne more doseči. V odgovoru se sklicujte na nedelovanje trga, kot je opisano v točki 34 Smernic, kakor je ustrezno, in pojasnite, zakaj druge politike in ukrepi, ki so že vzpostavljeni, kot je navedeno v točki 35 Smernic, ne zadostujejo za njihovo odpravo.</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Za presojo skladnosti s točko 302 Smernic pojasnite, ali so izpolnjeni naslednji pogoji:</w:t>
      </w:r>
    </w:p>
    <w:p w14:paraId="1B5AA814" w14:textId="0C243847" w:rsidR="00E05657" w:rsidRDefault="00E05657" w:rsidP="00A46DF5">
      <w:pPr>
        <w:pStyle w:val="ListParagraph"/>
        <w:numPr>
          <w:ilvl w:val="0"/>
          <w:numId w:val="127"/>
        </w:numPr>
        <w:spacing w:before="120" w:after="120"/>
        <w:ind w:left="1434" w:hanging="357"/>
        <w:jc w:val="both"/>
      </w:pPr>
      <w:r>
        <w:t>upravičenci se izberejo na podlagi objektivnih in preglednih meril, pomoč pa se dodeli enako za vsa upravičena podjetja, ki poslujejo v istem sektorju gospodarske dejavnosti in so v zvezi s cilji ukrepa pomoči v istem ali podobnem dejanskem položaju;</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proofErr w:type="spellStart"/>
      <w:r>
        <w:t>okoljski</w:t>
      </w:r>
      <w:proofErr w:type="spellEnd"/>
      <w:r>
        <w:t xml:space="preserve"> davek ali davku podobna dajatev bi brez znižanja povzročila precejšnje povišanje proizvodnih stroškov, izračunanih kot delež bruto dodane vrednosti za vsak sektor ali kategorijo upravičencev (npr. na podlagi zneskov reprezentativnih upravičencev ali skupnih zneskov za sektor ali kategorijo upravičencev);</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precejšnjega povišanja proizvodnih stroškov ne bi bilo mogoče prenesti na stranke, ne da bi to povzročilo znatno zmanjšanje obsega prodaje (npr. na podlagi sklicevanja na konkurenco podjetij v jurisdikcijah, za katere ne velja davek, in na stopnjo zamenljivosti zadevnega izdelka).</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 xml:space="preserve">Kar zadeva znižanja davkov za pogonska </w:t>
      </w:r>
      <w:proofErr w:type="spellStart"/>
      <w:r>
        <w:t>biogoriva</w:t>
      </w:r>
      <w:proofErr w:type="spellEnd"/>
      <w:r>
        <w:t xml:space="preserve">, druga tekoča </w:t>
      </w:r>
      <w:proofErr w:type="spellStart"/>
      <w:r>
        <w:t>biogoriva</w:t>
      </w:r>
      <w:proofErr w:type="spellEnd"/>
      <w:r>
        <w:t xml:space="preserve"> in </w:t>
      </w:r>
      <w:proofErr w:type="spellStart"/>
      <w:r>
        <w:t>biomasna</w:t>
      </w:r>
      <w:proofErr w:type="spellEnd"/>
      <w:r>
        <w:t xml:space="preserve"> goriva, za presojo skladnosti s točko 303 Smernic:</w:t>
      </w:r>
    </w:p>
    <w:p w14:paraId="54638E3E" w14:textId="69F50F83" w:rsidR="006E4D23" w:rsidRDefault="00CC0461" w:rsidP="00A46DF5">
      <w:pPr>
        <w:pStyle w:val="ListParagraph"/>
        <w:numPr>
          <w:ilvl w:val="0"/>
          <w:numId w:val="128"/>
        </w:numPr>
        <w:spacing w:before="120" w:after="120"/>
        <w:ind w:left="1434" w:hanging="357"/>
        <w:jc w:val="both"/>
      </w:pPr>
      <w:r>
        <w:t>potrdite, da bo vzpostavljen mehanizem za preverjanje, ali je ukrep ob uporabi pogojev nujnosti iz oddelka 4.1.3.1 Smernic še vedno potreben;</w:t>
      </w:r>
    </w:p>
    <w:p w14:paraId="58427951" w14:textId="77777777" w:rsidR="006E4D23" w:rsidRPr="00F83660" w:rsidRDefault="006E4D23" w:rsidP="00A46DF5">
      <w:pPr>
        <w:tabs>
          <w:tab w:val="left" w:leader="dot" w:pos="9072"/>
        </w:tabs>
        <w:spacing w:before="120" w:after="120"/>
        <w:ind w:left="567"/>
        <w:jc w:val="both"/>
        <w:rPr>
          <w:color w:val="000000"/>
        </w:rPr>
      </w:pPr>
      <w:r>
        <w:lastRenderedPageBreak/>
        <w:tab/>
      </w:r>
    </w:p>
    <w:p w14:paraId="78306363" w14:textId="7960F2C6" w:rsidR="006E4D23" w:rsidRDefault="00F878EE" w:rsidP="00A46DF5">
      <w:pPr>
        <w:pStyle w:val="ListParagraph"/>
        <w:numPr>
          <w:ilvl w:val="0"/>
          <w:numId w:val="128"/>
        </w:numPr>
        <w:spacing w:before="120" w:after="120"/>
        <w:ind w:left="1434" w:hanging="357"/>
        <w:jc w:val="both"/>
      </w:pPr>
      <w:r>
        <w:t xml:space="preserve">pojasnite, kako bo ta mehanizem deloval; in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potrdite, da bo država članica sprejela ustrezne ukrepe, kot je prenehanje veljavnosti izjeme ali znižanje ravni podpore, in navedite, kateri ustrezni ukrepi se bodo dejansko izvedli.</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Ustreznost pomoči</w:t>
            </w:r>
          </w:p>
        </w:tc>
      </w:tr>
    </w:tbl>
    <w:p w14:paraId="6227BC57" w14:textId="2AC58623" w:rsidR="0009768A" w:rsidRDefault="1626403F" w:rsidP="00AE5E48">
      <w:pPr>
        <w:spacing w:before="360" w:after="120"/>
        <w:jc w:val="both"/>
        <w:rPr>
          <w:i/>
          <w:iCs/>
          <w:color w:val="000000"/>
        </w:rPr>
      </w:pPr>
      <w:r>
        <w:rPr>
          <w:i/>
          <w:color w:val="000000"/>
        </w:rPr>
        <w:t>Za zagotovitev informacij v tem oddelku glej oddelek 3.2.1.2,</w:t>
      </w:r>
      <w:r>
        <w:rPr>
          <w:i/>
        </w:rPr>
        <w:t xml:space="preserve"> </w:t>
      </w:r>
      <w:r>
        <w:rPr>
          <w:i/>
          <w:color w:val="000000"/>
        </w:rPr>
        <w:t>kolikor se uporablja v okviru ukrepa</w:t>
      </w:r>
      <w:r>
        <w:rPr>
          <w:i/>
        </w:rPr>
        <w:t>, ter oddelek 4.7.1.3.2 (točke 304–306) Smernic.</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Za presojo skladnosti z veljavnimi zahtevami iz oddelka 3.2.1.2 Smernic opišite, zakaj je ukrep ustrezen instrument politike za doseganje predvidenega cilja pomoči, kar pomeni, da ne sme obstajati manj izkrivljajoč instrument politike in pomoči, s katerim bi bilo mogoče doseči enake rezultate ob upoštevanju drugih instrumentov politike in različnih instrumentov pomoči, ki bi se lahko izvajali namesto ukrepa.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Za presojo skladnosti s točko 305 Smernic potrdite, da (i) ukrep traja največ 10 let in (ii) da bo vsaka ponovna priglasitev temeljila na ponovni presoji ustreznosti ukrepa.</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Če se pomoč (ali del pomoči) dodeli v obliki vračila davka, za presojanje skladnosti s točko 306 Smernic potrdite, da bo znesek vračila davka izračunan na podlagi preteklih podatkov, tj. ravni proizvodnje, potrošnje ali onesnaževanja, ugotovljene za podjetje v zadevnem referenčnem letu.</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Sorazmernost pomoči</w:t>
            </w:r>
          </w:p>
        </w:tc>
      </w:tr>
    </w:tbl>
    <w:p w14:paraId="322B0DC4" w14:textId="2E7D7E33" w:rsidR="00863406" w:rsidRPr="00FC6878" w:rsidRDefault="00863406" w:rsidP="2368A16B">
      <w:pPr>
        <w:spacing w:before="360" w:after="120"/>
        <w:jc w:val="both"/>
        <w:rPr>
          <w:i/>
          <w:iCs/>
        </w:rPr>
      </w:pPr>
      <w:r>
        <w:rPr>
          <w:i/>
        </w:rPr>
        <w:t xml:space="preserve">Za zagotovitev informacij v tem oddelku glej oddelek 4.7.1.3.3. (točke 307–309) Smernic.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Za presojo skladnosti s točko 308 Smernic (ki zahteva, da je izpolnjen vsaj eden od naslednjih pogojev) navedite eno od naslednjih informacij:</w:t>
      </w:r>
      <w:bookmarkEnd w:id="8"/>
    </w:p>
    <w:p w14:paraId="07E9565A" w14:textId="5F95AEC5" w:rsidR="006F256F" w:rsidRDefault="270F0651" w:rsidP="00A46DF5">
      <w:pPr>
        <w:pStyle w:val="ListParagraph"/>
        <w:numPr>
          <w:ilvl w:val="0"/>
          <w:numId w:val="129"/>
        </w:numPr>
        <w:spacing w:before="120" w:after="120"/>
        <w:ind w:left="1434" w:hanging="357"/>
        <w:jc w:val="both"/>
      </w:pPr>
      <w:r>
        <w:t xml:space="preserve">navedite, ali vsak upravičenec do pomoči plača vsaj 20 % nominalnega zneska </w:t>
      </w:r>
      <w:proofErr w:type="spellStart"/>
      <w:r>
        <w:t>okoljskega</w:t>
      </w:r>
      <w:proofErr w:type="spellEnd"/>
      <w:r>
        <w:t xml:space="preserve"> davka ali davku podobne dajatve, ki bi se uporabljal zanj brez znižanja;</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ali pa navedite, ali (i) znižanje davka ali dajatve ne presega 100 % nacionalnega </w:t>
      </w:r>
      <w:proofErr w:type="spellStart"/>
      <w:r>
        <w:t>okoljskega</w:t>
      </w:r>
      <w:proofErr w:type="spellEnd"/>
      <w:r>
        <w:t xml:space="preserve"> davka ali davku podobne dajatve; (ii) je znižanje davka ali dajatve odvisno od sklenitve sporazumov med državo članico in upravičenci ali združenji upravičencev, s katerimi se upravičenci ali združenja upravičencev zavežejo, da bodo dosegli cilje varstva okolja, ki imajo enak </w:t>
      </w:r>
      <w:r>
        <w:lastRenderedPageBreak/>
        <w:t>učinek, kot če bi upravičenci ali združenja upravičencev plačali vsaj 20 % nacionalnega davka ali dajatve</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Pri sklicevanju na možnost (ii) iz vprašanja </w:t>
      </w:r>
      <w:r>
        <w:fldChar w:fldCharType="begin"/>
      </w:r>
      <w:r>
        <w:instrText xml:space="preserve"> REF _Ref172812423 \w \h </w:instrText>
      </w:r>
      <w:r>
        <w:fldChar w:fldCharType="separate"/>
      </w:r>
      <w:r>
        <w:t>22</w:t>
      </w:r>
      <w:r>
        <w:fldChar w:fldCharType="end"/>
      </w:r>
      <w:r>
        <w:t xml:space="preserve"> za presojo skladnosti s točko 309 Smernic pojasnite:</w:t>
      </w:r>
    </w:p>
    <w:p w14:paraId="02DB823F" w14:textId="1AC5E3AC" w:rsidR="00E72A73" w:rsidRDefault="00E72A73" w:rsidP="00A46DF5">
      <w:pPr>
        <w:pStyle w:val="ListParagraph"/>
        <w:numPr>
          <w:ilvl w:val="0"/>
          <w:numId w:val="130"/>
        </w:numPr>
        <w:spacing w:before="120" w:after="120"/>
        <w:ind w:left="1434" w:hanging="357"/>
        <w:jc w:val="both"/>
      </w:pPr>
      <w:r>
        <w:t>vsebino veljavnih sporazumov, vključno s specifičnimi cilji in določenim časovnim okvirjem za njihovo doseganje;</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kako se bo zagotavljalo neodvisno in pravočasno spremljanje obveznosti iz sporazumov;</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kako se sporazumi redno revidirajo glede na tehnološke in druge spremembe ter vključujejo učinkovite kazni za neizpolnjevanje obveznosti.</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Kumulacija</w:t>
            </w:r>
          </w:p>
        </w:tc>
      </w:tr>
    </w:tbl>
    <w:p w14:paraId="56B46737" w14:textId="5C12CBC3" w:rsidR="001D0CD2" w:rsidRPr="001D0CD2" w:rsidRDefault="00B21377" w:rsidP="001D0CD2">
      <w:pPr>
        <w:spacing w:before="360" w:after="120"/>
        <w:jc w:val="both"/>
        <w:rPr>
          <w:i/>
          <w:iCs/>
        </w:rPr>
      </w:pPr>
      <w:r>
        <w:rPr>
          <w:i/>
        </w:rPr>
        <w:t>Za zagotovitev informacij v tem oddelku glej točki 56 in 57 Smernic.</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Če še ni tako določeno v delu I splošnega obrazca za priglasitev in da se preveri skladnost s točko 56 Smernic, pojasnite, ali se lahko pomoč v okviru ukrepa dodeli sočasno na podlagi več shem pomoči ali skupaj z </w:t>
      </w:r>
      <w:r>
        <w:rPr>
          <w:i/>
          <w:iCs/>
        </w:rPr>
        <w:t>ad hoc</w:t>
      </w:r>
      <w:r>
        <w:t xml:space="preserve"> pomočjo ali pomočjo </w:t>
      </w:r>
      <w:r>
        <w:rPr>
          <w:i/>
        </w:rPr>
        <w:t xml:space="preserve">de </w:t>
      </w:r>
      <w:proofErr w:type="spellStart"/>
      <w:r>
        <w:rPr>
          <w:i/>
        </w:rPr>
        <w:t>minimis</w:t>
      </w:r>
      <w:proofErr w:type="spellEnd"/>
      <w:r>
        <w:t xml:space="preserve"> v zvezi z istimi upravičenimi stroški. Če je tako, navedite podrobnosti o navedenih shemah pomoči, </w:t>
      </w:r>
      <w:r>
        <w:rPr>
          <w:i/>
          <w:iCs/>
        </w:rPr>
        <w:t>ad hoc</w:t>
      </w:r>
      <w:r>
        <w:t xml:space="preserve"> pomoči ali pomoči </w:t>
      </w:r>
      <w:r>
        <w:rPr>
          <w:i/>
        </w:rPr>
        <w:t xml:space="preserve">de </w:t>
      </w:r>
      <w:proofErr w:type="spellStart"/>
      <w:r>
        <w:rPr>
          <w:i/>
        </w:rPr>
        <w:t>minimis</w:t>
      </w:r>
      <w:proofErr w:type="spellEnd"/>
      <w:r>
        <w:t xml:space="preserve"> in o tem, kako se bo pomoč kumulirala.</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Če se uporablja točka 56 Smernic, pojasnite, kako skupni znesek pomoči za posamezni projekt ali dejavnost ne vodi do prekomernega nadomestila ali ne presega najvišjega zneska pomoči, dovoljenega na podlagi točke 308 Smernic. Za vsak ukrep, s katerim se lahko pomoč, dodeljena na podlagi ukrepa pomoči, kumulira, navedite metodo, uporabljeno za zagotovitev skladnosti s pogoji iz točke 56 Smernic.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Če se uporablja točka 57 Smernic, tj. pomoč, dodeljena na podlagi ukrepa, se združi s centralno upravljanimi sredstvi Unije</w:t>
      </w:r>
      <w:r>
        <w:rPr>
          <w:vertAlign w:val="superscript"/>
        </w:rPr>
        <w:footnoteReference w:id="8"/>
      </w:r>
      <w:r>
        <w:t xml:space="preserve"> (ki ne pomenijo državne pomoči), utemeljite, kako skupni znesek javnega financiranja, dodeljen v zvezi z istimi upravičenimi stroški, ne privede do prekomernega nadomestila.</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Preglednost</w:t>
            </w:r>
          </w:p>
        </w:tc>
      </w:tr>
    </w:tbl>
    <w:p w14:paraId="30CC4C47" w14:textId="5C8853FB" w:rsidR="006773CE" w:rsidRPr="007C0A44" w:rsidRDefault="006773CE" w:rsidP="2368A16B">
      <w:pPr>
        <w:spacing w:before="360" w:after="120"/>
        <w:jc w:val="both"/>
        <w:rPr>
          <w:i/>
          <w:iCs/>
        </w:rPr>
      </w:pPr>
      <w:r>
        <w:rPr>
          <w:i/>
        </w:rPr>
        <w:t xml:space="preserve">Za zagotovitev informacij v tem oddelku glej oddelek 3.2.1.4 (točke 58–62) Smernic.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Navedite spletno povezavo, na kateri bodo objavljeni celotno besedilo odobrene sheme pomoči ali sklepa o dodelitvi individualne pomoči in njegovih izvedbenih določb ter informacije o vsaki individualni pomoči, ki je bila dodeljena </w:t>
      </w:r>
      <w:r>
        <w:rPr>
          <w:i/>
          <w:iCs/>
        </w:rPr>
        <w:t>ad hoc</w:t>
      </w:r>
      <w:r>
        <w:t xml:space="preserve"> ali v okviru sheme pomoči, odobrene na podlagi Smernic, in ki presega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5B2F17"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Preprečevanje neupravičenih negativnih učinkov za konkurenco in trgovino</w:t>
            </w:r>
          </w:p>
        </w:tc>
      </w:tr>
    </w:tbl>
    <w:p w14:paraId="6F1494DE" w14:textId="5F2BAE4F" w:rsidR="00A80F29" w:rsidRPr="00B215FD" w:rsidRDefault="00A80F29" w:rsidP="00A80F29">
      <w:pPr>
        <w:spacing w:before="360" w:after="120"/>
        <w:jc w:val="both"/>
        <w:rPr>
          <w:i/>
          <w:iCs/>
        </w:rPr>
      </w:pPr>
      <w:r>
        <w:rPr>
          <w:i/>
        </w:rPr>
        <w:t xml:space="preserve">Za zagotovitev informacij v tem oddelku glej oddelek 3.2.2 Smernic, </w:t>
      </w:r>
      <w:r>
        <w:rPr>
          <w:i/>
          <w:color w:val="000000"/>
        </w:rPr>
        <w:t>kolikor se uporablja v okviru ukrepa</w:t>
      </w:r>
      <w:r>
        <w:rPr>
          <w:i/>
        </w:rPr>
        <w:t>.</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Za presojo skladnosti z veljavnimi zahtevami iz oddelka 3.2.2 Smernic opišite, kako ukrepi blažijo morebitne očitne negativne učinke na konkurenco in trgovino.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Za preverjanje skladnosti s točko 70 Smernic:</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če tega še niste storili, v odgovoru na vprašanje </w:t>
      </w:r>
      <w:r>
        <w:fldChar w:fldCharType="begin"/>
      </w:r>
      <w:r>
        <w:instrText xml:space="preserve"> REF _Ref175221297 \r \h </w:instrText>
      </w:r>
      <w:r>
        <w:fldChar w:fldCharType="separate"/>
      </w:r>
      <w:r>
        <w:t>20</w:t>
      </w:r>
      <w:r>
        <w:fldChar w:fldCharType="end"/>
      </w:r>
      <w:r>
        <w:t xml:space="preserve"> zgoraj potrdite, da trajanje sheme ne presega deset let od datuma obvestila o sklepu Komisije o razglasitvi državne pomoči za združljivo;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potrdite, da bo za podaljšanje trajanja ukrepa preko najdaljšega dovoljenega obdobja, potrebna ponovna priglasitev ukrepa.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Primerjava pozitivnih učinkov pomoči z negativnimi učinki na konkurenco in trgovino</w:t>
            </w:r>
          </w:p>
        </w:tc>
      </w:tr>
    </w:tbl>
    <w:p w14:paraId="3513408C" w14:textId="56B6BA12" w:rsidR="00265702" w:rsidRPr="00863406" w:rsidRDefault="00265702" w:rsidP="2368A16B">
      <w:pPr>
        <w:spacing w:before="360" w:after="120"/>
        <w:jc w:val="both"/>
        <w:rPr>
          <w:i/>
          <w:iCs/>
          <w:color w:val="000000"/>
        </w:rPr>
      </w:pPr>
      <w:r>
        <w:rPr>
          <w:i/>
        </w:rPr>
        <w:t xml:space="preserve">Za zagotovitev informacij v tem oddelku glej oddelek 3.3 (točke 71–76) Smernic, </w:t>
      </w:r>
      <w:r>
        <w:rPr>
          <w:i/>
          <w:color w:val="000000"/>
        </w:rPr>
        <w:t>kolikor se uporablja v okviru ukrepa</w:t>
      </w:r>
      <w:r>
        <w:rPr>
          <w:i/>
        </w:rPr>
        <w:t>.</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Za preverjanje skladnosti z veljavnimi zahtevami iz oddelka 3.3 Smernic:</w:t>
      </w:r>
    </w:p>
    <w:p w14:paraId="3EA00BDB" w14:textId="1514E259" w:rsidR="004B2EF3" w:rsidRPr="00564B1B" w:rsidRDefault="00A24718" w:rsidP="00A46DF5">
      <w:pPr>
        <w:pStyle w:val="ListParagraph"/>
        <w:numPr>
          <w:ilvl w:val="0"/>
          <w:numId w:val="132"/>
        </w:numPr>
        <w:spacing w:before="120" w:after="120"/>
        <w:ind w:left="1434" w:hanging="357"/>
        <w:jc w:val="both"/>
      </w:pPr>
      <w:r>
        <w:t>utemeljite, kako pozitivni učinki ukrepa na splošno presegajo negativne učinke;</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lastRenderedPageBreak/>
        <w:t>kar zadeva uporabo točke 75 Smernic pojasnite, ali ukrep vključuje značilnosti za olajšanje udeležbe MSP. Če je tako, zagotovite informacije o navedenih značilnostih in utemeljite, kako pozitivni učinki zagotavljanja udeležbe in sprejemanja MSP v ukrepu presegajo morebitne izkrivljajoče učinke;</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kar zadeva uporabo točke 76(c) Smernic, navedite, ali je ukrep pomoči časovno omejen.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Oddelek C: Ocenjevanje</w:t>
            </w:r>
          </w:p>
        </w:tc>
      </w:tr>
    </w:tbl>
    <w:p w14:paraId="6A4ADF8D" w14:textId="77777777" w:rsidR="00C33721" w:rsidRPr="006725F7" w:rsidRDefault="00C33721" w:rsidP="006725F7">
      <w:pPr>
        <w:spacing w:before="360" w:after="120"/>
        <w:jc w:val="both"/>
        <w:rPr>
          <w:i/>
          <w:iCs/>
          <w:color w:val="000000"/>
        </w:rPr>
      </w:pPr>
      <w:r>
        <w:rPr>
          <w:i/>
          <w:color w:val="000000"/>
        </w:rPr>
        <w:t>Za zagotovitev informacij v tem oddelku glej točko 76(a) in poglavje 5 (točke 455–463) Smernic.</w:t>
      </w:r>
    </w:p>
    <w:p w14:paraId="61A6C035" w14:textId="1219DDD6" w:rsidR="00017826" w:rsidRPr="00017826" w:rsidRDefault="00017826" w:rsidP="00017826">
      <w:pPr>
        <w:numPr>
          <w:ilvl w:val="0"/>
          <w:numId w:val="50"/>
        </w:numPr>
        <w:spacing w:before="120" w:after="120"/>
        <w:ind w:left="567" w:hanging="567"/>
        <w:jc w:val="both"/>
      </w:pPr>
      <w:r>
        <w:t>Če ukrep presega pragove za proračun / odhodke iz točke 456 Smernic, pojasnite, zakaj bi se morala po mnenju države članice uporabljati izjema iz točke 457 Smernic, ali pa temu obrazcu za dodatne informacije priložite prilogo, ki vključuje osnutek načrta ocenjevanja za področje uporabe iz točke 458 Smernic</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Če je predložen osnutek načrta ocenjevanja:</w:t>
      </w:r>
    </w:p>
    <w:p w14:paraId="4C066F02" w14:textId="4C06AB69" w:rsidR="00017826" w:rsidRPr="00017826" w:rsidRDefault="00017826" w:rsidP="00017826">
      <w:pPr>
        <w:numPr>
          <w:ilvl w:val="0"/>
          <w:numId w:val="120"/>
        </w:numPr>
        <w:spacing w:before="120" w:after="120"/>
        <w:jc w:val="both"/>
      </w:pPr>
      <w:r>
        <w:t>v nadaljevanju predložite povzetek navedenega osnutka načrta ocenjevanja, vključenega v Prilogo;</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potrdite, da se bo pri tem upoštevala točka 460 Smernic;</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navedite datum in spletno povezavo, na kateri bo načrt ocenjevanja javno dostopen.</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Za presojo skladnosti s točko 459(b) Smernic, če shema pomoči trenutno ni predmet naknadne ocene in traja več kot tri leta, potrdite, da bo država članica osnutek načrta ocenjevanja priglasila v 30 delovnih dneh po pomembni spremembi, s katero se je proračun sheme povečal na več kot 150 milijonov EUR v katerem koli zadevnem letu ali 750 milijonov EUR v celotnem obdobju trajanja sheme.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Za presojo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41A6D3D4" w14:textId="637C6AAB" w:rsidR="00017826" w:rsidRPr="00017826" w:rsidRDefault="00017826" w:rsidP="0006694C">
      <w:pPr>
        <w:tabs>
          <w:tab w:val="left" w:leader="dot" w:pos="9072"/>
        </w:tabs>
        <w:spacing w:before="120" w:after="120"/>
        <w:ind w:left="567"/>
        <w:jc w:val="both"/>
      </w:pPr>
      <w:r>
        <w:lastRenderedPageBreak/>
        <w:tab/>
      </w:r>
    </w:p>
    <w:p w14:paraId="38193D77" w14:textId="714DE2D1" w:rsidR="00017826" w:rsidRPr="00017826" w:rsidRDefault="00017826" w:rsidP="00017826">
      <w:pPr>
        <w:numPr>
          <w:ilvl w:val="0"/>
          <w:numId w:val="50"/>
        </w:numPr>
        <w:spacing w:before="120" w:after="120"/>
        <w:ind w:left="567" w:hanging="567"/>
        <w:jc w:val="both"/>
      </w:pPr>
      <w:r>
        <w:t>Za presojo skladnosti s točko 461 Smernic:</w:t>
      </w:r>
    </w:p>
    <w:p w14:paraId="3B57C2B7" w14:textId="77777777" w:rsidR="00017826" w:rsidRPr="00017826" w:rsidRDefault="00017826" w:rsidP="00017826">
      <w:pPr>
        <w:numPr>
          <w:ilvl w:val="0"/>
          <w:numId w:val="121"/>
        </w:numPr>
        <w:spacing w:before="120" w:after="120"/>
        <w:jc w:val="both"/>
      </w:pPr>
      <w:r>
        <w:t>pojasnite, ali je bil neodvisni strokovnjak že izbran ali bo izbran v prihodnosti;</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zagotovite informacije o postopku za izbiro strokovnjaka;</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utemeljite, kako je zagotovljena strokovnjakova neodvisnost od organa, ki dodeli pomoč.</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Za nadaljnjo presojo skladnosti s točko 461 Smernic: </w:t>
      </w:r>
    </w:p>
    <w:p w14:paraId="2E5EF1CD" w14:textId="59962384" w:rsidR="00017826" w:rsidRPr="00017826" w:rsidRDefault="00017826" w:rsidP="00017826">
      <w:pPr>
        <w:numPr>
          <w:ilvl w:val="0"/>
          <w:numId w:val="122"/>
        </w:numPr>
        <w:spacing w:before="120" w:after="120"/>
        <w:jc w:val="both"/>
      </w:pPr>
      <w:r>
        <w:t>Navedite predlagane roke držav članic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Potrdite, da bosta vmesno in končno ocenjevalno poročilo objavljeni. Navedite datum in spletno povezavo, na kateri bosta navedeni poročili javno dostopni.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Oddelek D: Poročanje in spremljanje</w:t>
            </w:r>
          </w:p>
        </w:tc>
      </w:tr>
    </w:tbl>
    <w:p w14:paraId="6975FD00" w14:textId="7876D36D" w:rsidR="006725F7" w:rsidRPr="006725F7" w:rsidRDefault="006725F7" w:rsidP="006725F7">
      <w:pPr>
        <w:spacing w:before="360" w:after="120"/>
        <w:jc w:val="both"/>
        <w:rPr>
          <w:i/>
          <w:iCs/>
          <w:color w:val="000000"/>
        </w:rPr>
      </w:pPr>
      <w:r>
        <w:rPr>
          <w:i/>
          <w:color w:val="000000"/>
        </w:rPr>
        <w:t>Za zagotovitev informacij v tem oddelku glej oddelek 6 (točki 464 in 465) Smernic.</w:t>
      </w:r>
    </w:p>
    <w:p w14:paraId="29B090CF" w14:textId="307F0833" w:rsidR="004B0C34" w:rsidRPr="0051324D" w:rsidRDefault="006725F7" w:rsidP="006725F7">
      <w:pPr>
        <w:numPr>
          <w:ilvl w:val="0"/>
          <w:numId w:val="50"/>
        </w:numPr>
        <w:spacing w:before="120" w:after="120"/>
        <w:ind w:left="567" w:hanging="567"/>
        <w:jc w:val="both"/>
      </w:pPr>
      <w:r>
        <w:t>Potrdite, da bo država članica izpolnjevala zahteve glede poročanja in spremljanja iz oddelka 6, točki 464 in 465, Smernic.</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UL C 80, 18.2.2022, str. 1.</w:t>
      </w:r>
    </w:p>
  </w:footnote>
  <w:footnote w:id="3">
    <w:p w14:paraId="0B630B34" w14:textId="1A949931" w:rsidR="00EA14A3" w:rsidRDefault="00EA14A3" w:rsidP="00EA14A3">
      <w:pPr>
        <w:pStyle w:val="FootnoteText"/>
      </w:pPr>
      <w:r>
        <w:rPr>
          <w:rStyle w:val="FootnoteReference"/>
        </w:rPr>
        <w:footnoteRef/>
      </w:r>
      <w:r>
        <w:t xml:space="preserve"> </w:t>
      </w:r>
      <w:r>
        <w:tab/>
      </w:r>
      <w:r>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4">
    <w:p w14:paraId="3A1CFF23" w14:textId="4C37DE38" w:rsidR="0091313C" w:rsidRPr="0067348B" w:rsidRDefault="0091313C" w:rsidP="0091313C">
      <w:pPr>
        <w:pStyle w:val="FootnoteText"/>
      </w:pPr>
      <w:r>
        <w:rPr>
          <w:rStyle w:val="FootnoteReference"/>
        </w:rPr>
        <w:footnoteRef/>
      </w:r>
      <w:r>
        <w:tab/>
      </w:r>
      <w:r>
        <w:t>Upoštevajte, da lahko sprememba dejanskega proračuna ali ocene proračuna pomeni spremembo pomoči, ki jo je treba na novo priglasiti.</w:t>
      </w:r>
    </w:p>
  </w:footnote>
  <w:footnote w:id="5">
    <w:p w14:paraId="74B9E2E9" w14:textId="09EFDCF0" w:rsidR="007B4268" w:rsidRPr="007B4268" w:rsidRDefault="007B4268">
      <w:pPr>
        <w:pStyle w:val="FootnoteText"/>
      </w:pPr>
      <w:r>
        <w:rPr>
          <w:rStyle w:val="FootnoteReference"/>
        </w:rPr>
        <w:footnoteRef/>
      </w:r>
      <w:r>
        <w:t xml:space="preserve"> </w:t>
      </w:r>
      <w:r>
        <w:tab/>
      </w:r>
      <w:r>
        <w:t xml:space="preserve">Sklicevanja na dajatev v tem podvprašanju je treba razumeti tako, da zajema tudi </w:t>
      </w:r>
      <w:proofErr w:type="spellStart"/>
      <w:r>
        <w:t>okoljske</w:t>
      </w:r>
      <w:proofErr w:type="spellEnd"/>
      <w:r>
        <w:t xml:space="preserve"> davke.</w:t>
      </w:r>
    </w:p>
  </w:footnote>
  <w:footnote w:id="6">
    <w:p w14:paraId="771807DF" w14:textId="77777777" w:rsidR="004B0D99" w:rsidRPr="00FC5A51" w:rsidRDefault="004B0D99" w:rsidP="004B0D99">
      <w:pPr>
        <w:pStyle w:val="FootnoteText"/>
      </w:pPr>
      <w:r>
        <w:rPr>
          <w:rStyle w:val="FootnoteReference"/>
        </w:rPr>
        <w:footnoteRef/>
      </w:r>
      <w:r>
        <w:t xml:space="preserve"> </w:t>
      </w:r>
      <w:r>
        <w:tab/>
      </w:r>
      <w:r>
        <w:t>Na primer s primerjavo standardne stopnje, ki bi se uporabljala z znižanji ali brez njih, skupnega števila podjetij, za katera bi veljali davki ali dajatve, ali drugih kazalnikov, ki odražajo dejansko spremembo okolju škodljivega ravnanja.</w:t>
      </w:r>
    </w:p>
  </w:footnote>
  <w:footnote w:id="7">
    <w:p w14:paraId="415B82D4" w14:textId="52C53E38" w:rsidR="00B40F1D" w:rsidRPr="00B40F1D" w:rsidRDefault="00B40F1D">
      <w:pPr>
        <w:pStyle w:val="FootnoteText"/>
      </w:pPr>
      <w:r>
        <w:rPr>
          <w:rStyle w:val="FootnoteReference"/>
        </w:rPr>
        <w:footnoteRef/>
      </w:r>
      <w:r>
        <w:t xml:space="preserve"> </w:t>
      </w:r>
      <w:r>
        <w:tab/>
      </w:r>
      <w:r>
        <w:t xml:space="preserve">Taki sporazumi ali zaveze se lahko med drugim nanašajo na zmanjšanje porabe energije, zmanjšanje emisij in drugih onesnaževal ali katere koli druge </w:t>
      </w:r>
      <w:proofErr w:type="spellStart"/>
      <w:r>
        <w:t>okoljske</w:t>
      </w:r>
      <w:proofErr w:type="spellEnd"/>
      <w:r>
        <w:t xml:space="preserve"> ukrepe.</w:t>
      </w:r>
    </w:p>
  </w:footnote>
  <w:footnote w:id="8">
    <w:p w14:paraId="389D3F63" w14:textId="77777777" w:rsidR="00044DC5" w:rsidRDefault="00044DC5">
      <w:pPr>
        <w:pStyle w:val="FootnoteText"/>
      </w:pPr>
      <w:r>
        <w:rPr>
          <w:rStyle w:val="FootnoteReference"/>
        </w:rPr>
        <w:footnoteRef/>
      </w:r>
      <w:r>
        <w:tab/>
      </w:r>
      <w:r>
        <w:t>Centralno upravljana sredstva Unije so sredstva Unije, ki jih centralno upravljajo institucije, agencije, skupna podjetja ali drugi organi Evropske unije, ki niso pod neposrednim ali posrednim nadzorom držav članic.</w:t>
      </w:r>
    </w:p>
  </w:footnote>
  <w:footnote w:id="9">
    <w:p w14:paraId="1A49E979" w14:textId="13D70967" w:rsidR="00017826" w:rsidRDefault="00017826" w:rsidP="00017826">
      <w:pPr>
        <w:pStyle w:val="FootnoteText"/>
      </w:pPr>
      <w:r>
        <w:rPr>
          <w:rStyle w:val="FootnoteReference"/>
        </w:rPr>
        <w:footnoteRef/>
      </w:r>
      <w:r>
        <w:t xml:space="preserve"> </w:t>
      </w:r>
      <w:r>
        <w:tab/>
      </w:r>
      <w:r>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F76A2F56"/>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F70887B2"/>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5C103454"/>
    <w:lvl w:ilvl="0" w:tplc="4404A89A">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2F7E7804"/>
    <w:lvl w:ilvl="0" w:tplc="4404A89A">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878A36D4"/>
    <w:lvl w:ilvl="0" w:tplc="4404A89A">
      <w:start w:val="1"/>
      <w:numFmt w:val="lowerRoman"/>
      <w:lvlText w:val="(%1.)"/>
      <w:lvlJc w:val="right"/>
      <w:pPr>
        <w:ind w:left="1550" w:hanging="360"/>
      </w:pPr>
      <w:rPr>
        <w:rFonts w:ascii="Times New Roman" w:hAnsi="Times New Roman" w:hint="default"/>
        <w:b w:val="0"/>
        <w:i w:val="0"/>
        <w:sz w:val="24"/>
      </w:rPr>
    </w:lvl>
    <w:lvl w:ilvl="1" w:tplc="43F20880">
      <w:start w:val="1"/>
      <w:numFmt w:val="lowerLetter"/>
      <w:lvlText w:val="(%2)"/>
      <w:lvlJc w:val="left"/>
      <w:pPr>
        <w:ind w:left="2270" w:hanging="360"/>
      </w:pPr>
      <w:rPr>
        <w:rFonts w:hint="default"/>
      </w:rPr>
    </w:lvl>
    <w:lvl w:ilvl="2" w:tplc="B986DB0A">
      <w:start w:val="1"/>
      <w:numFmt w:val="bullet"/>
      <w:lvlText w:val="⸻"/>
      <w:lvlJc w:val="left"/>
      <w:pPr>
        <w:ind w:left="3170" w:hanging="360"/>
      </w:pPr>
      <w:rPr>
        <w:rFonts w:ascii="Times New Roman" w:eastAsia="Times New Roman" w:hAnsi="Times New Roman" w:cs="Times New Roman"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617A0C00"/>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B6E04FBE"/>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925AED50"/>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9544CCCE"/>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24A40C12"/>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5D167F34"/>
    <w:lvl w:ilvl="0" w:tplc="4404A89A">
      <w:start w:val="1"/>
      <w:numFmt w:val="lowerRoman"/>
      <w:lvlText w:val="(%1.)"/>
      <w:lvlJc w:val="right"/>
      <w:pPr>
        <w:ind w:left="1287" w:hanging="360"/>
      </w:pPr>
      <w:rPr>
        <w:rFonts w:ascii="Times New Roman" w:hAnsi="Times New Roman" w:hint="default"/>
        <w:b w:val="0"/>
        <w:i w:val="0"/>
        <w:sz w:val="24"/>
      </w:rPr>
    </w:lvl>
    <w:lvl w:ilvl="1" w:tplc="43F20880">
      <w:start w:val="1"/>
      <w:numFmt w:val="lowerLetter"/>
      <w:lvlText w:val="(%2)"/>
      <w:lvlJc w:val="left"/>
      <w:pPr>
        <w:ind w:left="2270"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5896CD82"/>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8EB8C8B6"/>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9558E10A"/>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666E0FBE"/>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F054717C"/>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1572FC66"/>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17"/>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3055</Words>
  <Characters>17658</Characters>
  <Application>Microsoft Office Word</Application>
  <DocSecurity>0</DocSecurity>
  <Lines>383</Lines>
  <Paragraphs>156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ERJAVEC Nina (DGT)</cp:lastModifiedBy>
  <cp:revision>7</cp:revision>
  <cp:lastPrinted>2022-04-12T14:59:00Z</cp:lastPrinted>
  <dcterms:created xsi:type="dcterms:W3CDTF">2024-08-22T12:39:00Z</dcterms:created>
  <dcterms:modified xsi:type="dcterms:W3CDTF">2024-10-02T13:26:00Z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