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Část III.6</w:t>
            </w:r>
          </w:p>
          <w:p w14:paraId="6E9C4C7E" w14:textId="620BA570" w:rsidR="000442F5" w:rsidRPr="009916D5" w:rsidRDefault="001F242D" w:rsidP="007B485D">
            <w:pPr>
              <w:pStyle w:val="Heading2"/>
              <w:spacing w:before="240" w:after="240"/>
              <w:jc w:val="center"/>
              <w:rPr>
                <w:sz w:val="32"/>
                <w:szCs w:val="32"/>
              </w:rPr>
            </w:pPr>
            <w:r>
              <w:rPr>
                <w:sz w:val="32"/>
              </w:rPr>
              <w:t>Doplňkový informační list pro státní podporu poskytovanou podle Pokynů pro státní podporu v oblasti klimatu, životního prostředí a energetiky 2022</w:t>
            </w:r>
            <w:r>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rFonts w:eastAsia="SimSun"/>
                <w:sz w:val="32"/>
                <w:szCs w:val="32"/>
              </w:rPr>
            </w:pPr>
            <w:r>
              <w:rPr>
                <w:sz w:val="32"/>
              </w:rPr>
              <w:t>Kapitola 4.7.1 – Podpora v podobě snížení ekologických daní a parafiskálních poplatků</w:t>
            </w:r>
          </w:p>
        </w:tc>
      </w:tr>
    </w:tbl>
    <w:p w14:paraId="27F0F629" w14:textId="4927A87E" w:rsidR="000442F5" w:rsidRPr="00711243" w:rsidRDefault="000442F5" w:rsidP="004779D5">
      <w:pPr>
        <w:spacing w:before="360" w:after="120"/>
        <w:ind w:right="-142"/>
        <w:jc w:val="both"/>
        <w:rPr>
          <w:i/>
          <w:iCs/>
        </w:rPr>
      </w:pPr>
      <w:r>
        <w:rPr>
          <w:i/>
        </w:rPr>
        <w:t>Tento doplňkový informační list musí být použit k oznámení podpor, na něž se vztahují Pokyny pro státní podporu v oblasti klimatu, životního prostředí a energetiky 2022 (dále jen „pokyny“).</w:t>
      </w:r>
    </w:p>
    <w:p w14:paraId="622044AE" w14:textId="108684F2" w:rsidR="009E2EA1" w:rsidRPr="00711243" w:rsidRDefault="0072538B" w:rsidP="6EC7D551">
      <w:pPr>
        <w:spacing w:before="120" w:after="120"/>
        <w:ind w:right="-142"/>
        <w:jc w:val="both"/>
        <w:rPr>
          <w:i/>
          <w:iCs/>
        </w:rPr>
      </w:pPr>
      <w:r>
        <w:rPr>
          <w:i/>
        </w:rPr>
        <w:t xml:space="preserve">Tento doplňkový informační list se týká opatření uvedených v kapitole 4.7.1 pokynů. Pokud oznámení obsahuje opatření, která spadají do více než jedné kapitoly pokynů, vyplňte také příslušný doplňkový informační list, který se týká příslušné kapitoly pokynů, jakmile bude k dispozici. </w:t>
      </w:r>
    </w:p>
    <w:p w14:paraId="516CA0D8" w14:textId="13E1AC51" w:rsidR="00D85EEE" w:rsidRDefault="009E2EA1" w:rsidP="0BD92DCE">
      <w:pPr>
        <w:spacing w:before="120" w:after="120"/>
        <w:ind w:right="-142"/>
        <w:jc w:val="both"/>
      </w:pPr>
      <w:r>
        <w:rPr>
          <w:i/>
        </w:rPr>
        <w:t>Veškeré dokumenty, které členské státy poskytnou jako přílohy tohoto doplňkového informačního listu, musí být očíslovány a čísla dokumentů musí být uvedena v příslušných oddílech tohoto doplňkového informačního listu.</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Oddíl A: Shrnutí hlavních charakteristik opatření</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Souvislosti a cíl(e) opatření</w:t>
      </w:r>
    </w:p>
    <w:p w14:paraId="7E6887E3" w14:textId="3DC69D1A" w:rsidR="00EA14A3" w:rsidRDefault="00D3344D" w:rsidP="00EA14A3">
      <w:pPr>
        <w:pStyle w:val="ListParagraph"/>
        <w:numPr>
          <w:ilvl w:val="0"/>
          <w:numId w:val="67"/>
        </w:numPr>
        <w:spacing w:after="240"/>
        <w:ind w:left="993" w:hanging="142"/>
        <w:jc w:val="both"/>
      </w:pPr>
      <w:r>
        <w:t xml:space="preserve">Pokud již nebyly projednány v oddíle 5.2 formuláře pro poskytnutí obecných informací (část I), uveďte souvislosti a hlavní cíl, včetně vztahu k případným environmentálním cílům Unie, které mají opatření podpořit.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Pokud již nebyly projednány v oddíle 5.2 formuláře pro poskytnutí obecných informací (část I), uveďte veškeré další cíle, které opatření sleduje. U všech cílů, které nejsou čistě environmentální, vysvětlete, zda mohou vést k případným narušením vnitřního trhu.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Vstup v platnost a doba platnosti:</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Není-li již uvedeno v oddíle 5.5 formuláře pro poskytnutí obecných informací (část I), uveďte:</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V případě režimu podpory: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datum předpokládaného vstupu režimu v platnost;</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dobu trvání režimu</w:t>
      </w:r>
      <w:r>
        <w:rPr>
          <w:rStyle w:val="FootnoteReference"/>
          <w:rFonts w:cs="Arial Unicode MS"/>
          <w:bCs/>
          <w:lang w:bidi="si-LK"/>
        </w:rPr>
        <w:footnoteReference w:id="3"/>
      </w:r>
      <w:r>
        <w:t>.</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V případě jednotlivé podpory: (plánované) datum poskytnutí podpory (příslib podpory) a datum platby (datum první platby, pokud se předpokládají různé postupné platby):</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rFonts w:cs="Arial Unicode MS"/>
          <w:b/>
        </w:rPr>
      </w:pPr>
      <w:r>
        <w:rPr>
          <w:b/>
        </w:rPr>
        <w:t>Příjemce/příjemci:</w:t>
      </w:r>
    </w:p>
    <w:p w14:paraId="5266FC05" w14:textId="60C34F9E" w:rsidR="00BC5DDD" w:rsidRDefault="00CF3861" w:rsidP="00C52CFD">
      <w:pPr>
        <w:pStyle w:val="ListParagraph"/>
        <w:numPr>
          <w:ilvl w:val="0"/>
          <w:numId w:val="68"/>
        </w:numPr>
        <w:spacing w:after="240"/>
        <w:ind w:hanging="229"/>
        <w:jc w:val="both"/>
        <w:rPr>
          <w:szCs w:val="24"/>
        </w:rPr>
      </w:pPr>
      <w:r>
        <w:t>Popište (potenciálního) příjemce ((potenciální) příjemce) opatření, nejsou-li již uvedeni v oddíle 3 formuláře pro poskytnutí obecných informací (část I).</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Uveďte umístění příjemce (příjemců) (tj. zda se opatření mohou účastnit pouze hospodářské subjekty nacházející se v příslušných členských státech nebo i v jiných členských státech).</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lastRenderedPageBreak/>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V případě kladné odpovědi uveďte informace o částce podpory, která má být ještě navrácena, aby ji Komise mohla zohlednit při posuzování opatření podpory.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Potvrďte, že opatření nezahrnuje (opatření nezahrnují) podporu na činnosti, které nespadají do oblasti působnosti pokynů (viz bod 13 pokynů). V opačném případě uveďte podrobnosti.</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rFonts w:cs="Arial Unicode MS"/>
          <w:b/>
          <w:bCs/>
        </w:rPr>
      </w:pPr>
      <w:bookmarkStart w:id="2" w:name="_Ref172736116"/>
      <w:r>
        <w:rPr>
          <w:b/>
        </w:rPr>
        <w:t>Rozpočet a financování opatření</w:t>
      </w:r>
      <w:bookmarkEnd w:id="2"/>
      <w:r>
        <w:rPr>
          <w:b/>
        </w:rPr>
        <w:t>:</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rFonts w:cs="Arial Unicode MS"/>
          <w:bCs/>
        </w:rPr>
      </w:pPr>
      <w: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Pr>
          <w:rFonts w:cs="Arial Unicode MS"/>
          <w:bCs/>
          <w:vertAlign w:val="superscript"/>
          <w:lang w:bidi="si-LK"/>
        </w:rPr>
        <w:footnoteReference w:id="4"/>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vzhledem k tomu, že se opatření týká ekologické daně / parafiskálního poplatku</w:t>
      </w:r>
      <w:r>
        <w:rPr>
          <w:rStyle w:val="FootnoteReference"/>
          <w:rFonts w:cs="Arial Unicode MS"/>
          <w:lang w:bidi="si-LK"/>
        </w:rPr>
        <w:footnoteReference w:id="5"/>
      </w:r>
      <w:r>
        <w:t>, objasněte, zda:</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je poplatek stanoven zákonem nebo jiným právním aktem; v případě kladné odpovědi uveďte právní akt, číslo a datum jeho přijetí a vstupu v platnost, internetový odkaz na právní akt;</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snížení poplatku je financováno zvýšením poplatku pro jiné spotřebitele;</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je poplatek uvalen rovnoměrně na domácí i dovážené výrobky;</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z opatření budou mít stejný prospěch domácí i dovážené výrobky;</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je poplatkem financováno opatření plně, nebo pouze částečně. Pokud je opatření financováno poplatkem pouze částečně, uveďte další zdroje financování opatření a jejich příslušný podíl.</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lastRenderedPageBreak/>
        <w:t>jsou poplatkem, jímž je financováno opatření, financována i další opatření podpory. Pokud ano, uveďte další opatření podpory financovaná dotyčným poplatkem.</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Oddíl B: Posouzení slučitelnosti podpory</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Pozitivní podmínka: podpora musí usnadňovat rozvoj určité hospodářské činnosti</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Příspěvek k rozvoji hospodářské činnosti, motivační účinek, odůvodnění podpory a rozsah podporovaných činností</w:t>
            </w:r>
          </w:p>
        </w:tc>
      </w:tr>
    </w:tbl>
    <w:p w14:paraId="2870642B" w14:textId="029644F0" w:rsidR="000442F5" w:rsidRPr="00DB40A5" w:rsidRDefault="000442F5" w:rsidP="7963440A">
      <w:pPr>
        <w:spacing w:before="360" w:after="120"/>
        <w:jc w:val="both"/>
        <w:rPr>
          <w:i/>
          <w:iCs/>
        </w:rPr>
      </w:pPr>
      <w:r>
        <w:rPr>
          <w:i/>
        </w:rPr>
        <w:t xml:space="preserve">Pro poskytnutí informací v tomto oddíle viz oddíly 3.1.1 a 3.1.2 </w:t>
      </w:r>
      <w:bookmarkStart w:id="4" w:name="_Hlk172821826"/>
      <w:r>
        <w:rPr>
          <w:i/>
        </w:rPr>
        <w:t>v rozsahu, v jakém jsou použitelné na opatření</w:t>
      </w:r>
      <w:bookmarkEnd w:id="4"/>
      <w:r>
        <w:rPr>
          <w:i/>
        </w:rPr>
        <w:t xml:space="preserve">, a </w:t>
      </w:r>
      <w:r>
        <w:rPr>
          <w:i/>
          <w:color w:val="000000"/>
        </w:rPr>
        <w:t xml:space="preserve">oddíly 4.7.1.1. a 4.7.1.2 (body 293–296) </w:t>
      </w:r>
      <w:r>
        <w:rPr>
          <w:i/>
        </w:rPr>
        <w:t xml:space="preserve">pokynů.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Ustanovení čl. 107 odst. 3 písm. c) SFEU stanoví, že Komise může prohlásit za slučitelné „podpory, které mají usnadnit rozvoj určitých hospodářských činností nebo hospodářských oblastí, pokud nemění podmínky obchodu v takové míře, jež by byla v rozporu se společným zájmem“. Slučitelné podpory podle tohoto ustanovení Smlouvy proto musí přispívat k rozvoji určité hospodářské činnosti. </w:t>
      </w:r>
    </w:p>
    <w:p w14:paraId="52F709B3" w14:textId="79C6C83F" w:rsidR="00EE2FCC" w:rsidRPr="00864DCD" w:rsidRDefault="00CB486E" w:rsidP="00864DCD">
      <w:pPr>
        <w:pStyle w:val="ListParagraph"/>
        <w:spacing w:before="120" w:after="120"/>
        <w:ind w:left="567"/>
        <w:contextualSpacing w:val="0"/>
        <w:jc w:val="both"/>
      </w:pPr>
      <w:r>
        <w:t>Za účelem posouzení souladu s bodem 23 pokynů identifikujte hospodářské činnosti, které budou v důsledku podpory usnadněny, a způsob, jakým je podporován rozvoj těchto činností.</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U podpory lze mít za to, že usnadňuje hospodářskou činnost, pouze tehdy, jestliže má motivační účinek. Za účelem posouzení souladu s oddílem 3.1.2 pokynů vysvětlete, jak opatření motivuje (opatření motivují) „příjemce, aby změnil své chování a zahájil další hospodářskou činnost nebo ekologičtější hospodářskou činnost, kterou by bez poskytnutí podpory nevykonával nebo by ji vykonával omezeným nebo jiným způsobem“, s ohledem na odůvodnění podpory, jak je vysvětleno v oddíle 4.7.1.1 pokynů.</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Za účelem posouzení souladu s bodem 293 pokynů popište, i) proč „snížení ekologických daní nebo parafiskálních </w:t>
      </w:r>
      <w:proofErr w:type="gramStart"/>
      <w:r>
        <w:t>poplatků[</w:t>
      </w:r>
      <w:proofErr w:type="gramEnd"/>
      <w:r>
        <w:t xml:space="preserve">, které] může mít na dosažení cíle ochrany životního prostředí negativní dopad, může být přesto nutné“, a ii) proč „by se příjemci jinak dostali do takové konkurenční nevýhody, že by vůbec nebylo reálné ekologickou daň nebo parafiskální poplatek zavést“.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Za účelem posouzení souladu s bodem 294 pokynů popište:</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lastRenderedPageBreak/>
        <w:t xml:space="preserve">proč „poskytnutí příznivějšího zacházení některým podnikům může umožnit dosažení vyšší obecné úrovně ekologických daní nebo parafiskálních poplatků“; </w:t>
      </w:r>
    </w:p>
    <w:p w14:paraId="174DA2CF" w14:textId="035147B1" w:rsidR="00830262" w:rsidRDefault="00830262" w:rsidP="00A46DF5">
      <w:pPr>
        <w:tabs>
          <w:tab w:val="left" w:leader="dot" w:pos="9072"/>
        </w:tabs>
        <w:spacing w:before="120" w:after="120"/>
        <w:ind w:left="567"/>
        <w:jc w:val="both"/>
      </w:pPr>
      <w:r>
        <w:tab/>
      </w:r>
    </w:p>
    <w:p w14:paraId="5B5631DF" w14:textId="203A79AE" w:rsidR="00D22DFA" w:rsidRPr="00FA24AC" w:rsidRDefault="004B0D99" w:rsidP="00A46DF5">
      <w:pPr>
        <w:pStyle w:val="ListParagraph"/>
        <w:numPr>
          <w:ilvl w:val="0"/>
          <w:numId w:val="116"/>
        </w:numPr>
        <w:spacing w:before="120" w:after="120"/>
        <w:ind w:left="1434" w:hanging="357"/>
        <w:jc w:val="both"/>
        <w:rPr>
          <w:szCs w:val="24"/>
        </w:rPr>
      </w:pPr>
      <w:r>
        <w:t xml:space="preserve">proč „snížení ekologických daní nebo poplatků může nepřímo přispět ke zvýšení ochrany životního prostředí“, a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jak členský stát zajistí, aby takové snížení nenarušilo „celkový cíl ekologických daní nebo parafiskálních poplatků, kterým je odrazovat od chování, které poškozuje životní prostředí, a/nebo zvyšovat náklady na takové chování, pokud nejsou k dispozici uspokojivé alternativy“.</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Za účelem posouzení souladu s bodem 295 pokynů poskytněte informace popsané v bodě 296 pokynů:</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popis odvětví nebo kategorií příjemců podpory způsobilých pro snížení;</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seznam hlavních příjemců podpory v každém příslušném odvětví, jejich obrat, podíl na trhu, výši daňového základu a podíl na jejich zisku před zdaněním, který by představovala daná ekologická daň nebo poplatek se snížením a bez něj (lze předložit v samostatné příloze k tomuto doplňkovému informačnímu listu);</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popis situace těchto příjemců a vysvětlení, proč by nebyli schopni platit standardní sazbu ekologické daně nebo poplatku.</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Vysvětlení, jak by snížená daň nebo poplatek přispěly ke skutečnému zvýšení úrovně ochrany životního prostředí ve srovnání s úrovní ochrany životního prostředí, které by bylo dosaženo bez snížení</w:t>
      </w:r>
      <w:r>
        <w:rPr>
          <w:rStyle w:val="FootnoteReference"/>
          <w:szCs w:val="24"/>
        </w:rPr>
        <w:footnoteReference w:id="6"/>
      </w:r>
      <w:r>
        <w:t>.</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Nedošlo k porušení žádného příslušného ustanovení práva Unie</w:t>
            </w:r>
          </w:p>
        </w:tc>
      </w:tr>
    </w:tbl>
    <w:p w14:paraId="243B3743" w14:textId="21186291" w:rsidR="00DE1D68" w:rsidRDefault="00DE1D68" w:rsidP="00DE1D68">
      <w:pPr>
        <w:spacing w:before="360" w:after="120"/>
        <w:jc w:val="both"/>
        <w:rPr>
          <w:i/>
        </w:rPr>
      </w:pPr>
      <w:r>
        <w:rPr>
          <w:i/>
        </w:rPr>
        <w:t xml:space="preserve">Pro poskytnutí informací v tomto oddíle viz oddíl 3.1.3 (bod 33) pokynů.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Poskytněte informace potvrzující soulad s příslušnými ustanoveními právních předpisů EU v souladu s bodem 33 pokynů.</w:t>
      </w:r>
    </w:p>
    <w:p w14:paraId="3C6D34A5" w14:textId="3EAA3816" w:rsidR="00B36913" w:rsidRDefault="00B36913" w:rsidP="00B36913">
      <w:pPr>
        <w:tabs>
          <w:tab w:val="left" w:leader="dot" w:pos="9072"/>
        </w:tabs>
        <w:spacing w:before="120" w:after="120"/>
        <w:ind w:left="567"/>
        <w:jc w:val="both"/>
      </w:pPr>
      <w: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lastRenderedPageBreak/>
        <w:t xml:space="preserve">Pokud se k financování opatření používá poplatek, objasněte, zda je třeba provést posouzení souladu s články 30 a 110 SFEU. V případě kladné odpovědi prokažte, jak je opatření v souladu s ustanoveními článků 30 a 110 SFEU. V této souvislosti lze odkázat na informace předložené výše v otázce </w:t>
      </w:r>
      <w:r>
        <w:fldChar w:fldCharType="begin"/>
      </w:r>
      <w:r>
        <w:instrText xml:space="preserve"> REF _Ref172736116 \w \h </w:instrText>
      </w:r>
      <w:r>
        <w:fldChar w:fldCharType="separate"/>
      </w:r>
      <w:r>
        <w:t>5</w:t>
      </w:r>
      <w:r>
        <w:fldChar w:fldCharType="end"/>
      </w:r>
      <w:r>
        <w:t>.</w:t>
      </w:r>
      <w:r>
        <w:fldChar w:fldCharType="begin"/>
      </w:r>
      <w:r>
        <w:instrText xml:space="preserve"> REF _Ref172736090 \r \h </w:instrText>
      </w:r>
      <w:r>
        <w:fldChar w:fldCharType="separate"/>
      </w:r>
      <w:r>
        <w:t>ii</w:t>
      </w:r>
      <w:r>
        <w:fldChar w:fldCharType="end"/>
      </w:r>
      <w:r>
        <w:t>.</w:t>
      </w:r>
    </w:p>
    <w:p w14:paraId="333F5B86" w14:textId="36575F7E" w:rsidR="00CC29A8" w:rsidRPr="00F83660" w:rsidRDefault="00544B04" w:rsidP="00B36913">
      <w:pPr>
        <w:tabs>
          <w:tab w:val="left" w:leader="dot" w:pos="9072"/>
        </w:tabs>
        <w:spacing w:before="120" w:after="120"/>
        <w:ind w:left="567"/>
        <w:jc w:val="both"/>
        <w:rPr>
          <w:color w:val="000000"/>
        </w:rPr>
      </w:pPr>
      <w: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Negativní podmínka: podpora nemůže nepatřičně měnit podmínky obchodu v takové míře, jež by byla v rozporu se společným zájmem</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Minimalizace narušení hospodářské soutěže a obchodu</w:t>
            </w:r>
          </w:p>
        </w:tc>
      </w:tr>
    </w:tbl>
    <w:p w14:paraId="40A64058" w14:textId="230E5E86" w:rsidR="00EC33DD" w:rsidRDefault="00EC33DD" w:rsidP="00A46DF5">
      <w:pPr>
        <w:spacing w:before="360" w:after="120"/>
        <w:rPr>
          <w:i/>
          <w:color w:val="000000"/>
        </w:rPr>
      </w:pPr>
      <w:r>
        <w:rPr>
          <w:i/>
          <w:color w:val="000000"/>
        </w:rPr>
        <w:t>Upozorňujeme, že oddíly 2.1.1 a 2.1.2 jsou alternativní. V případech, které jsou způsobilé pro zjednodušený přístup v souladu s oddílem 2.1.1 níže, se odpovědi v oddíle 2.1.2 nevyžadují.</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Zjednodušený přístup u harmonizovaných ekologických daní</w:t>
            </w:r>
          </w:p>
        </w:tc>
      </w:tr>
    </w:tbl>
    <w:p w14:paraId="3BC9FD96" w14:textId="596445AB" w:rsidR="00877483" w:rsidRDefault="001D4B25" w:rsidP="00506D80">
      <w:pPr>
        <w:spacing w:before="360" w:after="120"/>
        <w:rPr>
          <w:i/>
          <w:color w:val="000000"/>
        </w:rPr>
      </w:pPr>
      <w:r>
        <w:rPr>
          <w:i/>
          <w:color w:val="000000"/>
        </w:rPr>
        <w:t>Pro poskytnutí informací v tomto oddíle viz oddíl 4.7.1.3 (body 297–300) pokynů. Při harmonizaci ekologických daní může Komise uplatnit zjednodušený přístup k posouzení nezbytnosti a přiměřenosti podpory. V souvislosti se směrnicí 2003/96/ES může Komise uplatnit zjednodušený přístup ke snížení daně, který zachovává minimální úroveň zdanění v Unii uvedenou v bodech 298 a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Objasněte prosím, zda opatření spadají do oblasti působnosti směrnice 2003/96/ES.</w:t>
      </w:r>
    </w:p>
    <w:p w14:paraId="31537933" w14:textId="77777777" w:rsidR="00877483" w:rsidRPr="00F83660" w:rsidRDefault="00877483" w:rsidP="00877483">
      <w:pPr>
        <w:tabs>
          <w:tab w:val="left" w:leader="dot" w:pos="9072"/>
        </w:tabs>
        <w:spacing w:before="120" w:after="120"/>
        <w:ind w:left="567"/>
        <w:jc w:val="both"/>
        <w:rPr>
          <w:color w:val="000000"/>
        </w:rPr>
      </w:pPr>
      <w:r>
        <w:tab/>
      </w:r>
    </w:p>
    <w:p w14:paraId="428D2E7F" w14:textId="37A8A54F" w:rsidR="00877483" w:rsidRDefault="00877483" w:rsidP="00877483">
      <w:pPr>
        <w:pStyle w:val="ListParagraph"/>
        <w:numPr>
          <w:ilvl w:val="0"/>
          <w:numId w:val="50"/>
        </w:numPr>
        <w:spacing w:before="120" w:after="120"/>
        <w:ind w:left="567" w:hanging="567"/>
        <w:contextualSpacing w:val="0"/>
        <w:jc w:val="both"/>
      </w:pPr>
      <w:r>
        <w:t>Pokud je odpověď kladná, poskytněte rovněž za účelem posouzení souladu s bodem 298 pokynů následující informace:</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Uveďte minimální použitelnou úroveň zdanění v Unii a příslušnou sazbu daně zaplacenou příjemcem v rámci opatření.</w:t>
      </w:r>
    </w:p>
    <w:p w14:paraId="0ACDDF07" w14:textId="265B0E6C" w:rsidR="001D4B25" w:rsidRPr="00F83660" w:rsidRDefault="001D4B25" w:rsidP="00A13410">
      <w:pPr>
        <w:tabs>
          <w:tab w:val="left" w:leader="dot" w:pos="9072"/>
        </w:tabs>
        <w:spacing w:before="120" w:after="120"/>
        <w:ind w:left="567"/>
        <w:jc w:val="both"/>
        <w:rPr>
          <w:color w:val="000000"/>
        </w:rPr>
      </w:pPr>
      <w:r>
        <w:tab/>
      </w:r>
    </w:p>
    <w:p w14:paraId="02CEA156" w14:textId="6A56B921" w:rsidR="001D4B25" w:rsidRDefault="001D4B25" w:rsidP="00A46DF5">
      <w:pPr>
        <w:pStyle w:val="ListParagraph"/>
        <w:numPr>
          <w:ilvl w:val="0"/>
          <w:numId w:val="125"/>
        </w:numPr>
        <w:spacing w:before="120" w:after="120"/>
        <w:ind w:left="1434" w:hanging="357"/>
        <w:jc w:val="both"/>
      </w:pPr>
      <w:r>
        <w:t>Uveďte a vysvětlete kritéria pro výběr příjemců. Ve své odpovědi vysvětlete, proč jsou objektivní a transparentní.</w:t>
      </w:r>
    </w:p>
    <w:p w14:paraId="0F12525D" w14:textId="77777777" w:rsidR="001D4B25" w:rsidRPr="00F83660" w:rsidRDefault="001D4B25" w:rsidP="00A13410">
      <w:pPr>
        <w:tabs>
          <w:tab w:val="left" w:leader="dot" w:pos="9072"/>
        </w:tabs>
        <w:spacing w:before="120" w:after="120"/>
        <w:ind w:left="567"/>
        <w:jc w:val="both"/>
        <w:rPr>
          <w:color w:val="000000"/>
        </w:rPr>
      </w:pPr>
      <w:r>
        <w:tab/>
      </w:r>
    </w:p>
    <w:p w14:paraId="5C8B23FD" w14:textId="7E5AC559" w:rsidR="001D4B25" w:rsidRDefault="001D4B25" w:rsidP="00A46DF5">
      <w:pPr>
        <w:pStyle w:val="ListParagraph"/>
        <w:numPr>
          <w:ilvl w:val="0"/>
          <w:numId w:val="125"/>
        </w:numPr>
        <w:spacing w:before="120" w:after="120"/>
        <w:ind w:left="1434" w:hanging="357"/>
        <w:jc w:val="both"/>
      </w:pPr>
      <w:r>
        <w:t>Vysvětlete a potvrďte, že podpora je udělována stejným způsobem všem podnikům v tomtéž odvětví, pokud jsou v podobné faktické situaci.</w:t>
      </w:r>
    </w:p>
    <w:p w14:paraId="04E9126D" w14:textId="77777777" w:rsidR="001D4B25" w:rsidRPr="00F83660" w:rsidRDefault="001D4B25" w:rsidP="00A13410">
      <w:pPr>
        <w:tabs>
          <w:tab w:val="left" w:leader="dot" w:pos="9072"/>
        </w:tabs>
        <w:spacing w:before="120" w:after="120"/>
        <w:ind w:left="567"/>
        <w:jc w:val="both"/>
        <w:rPr>
          <w:color w:val="000000"/>
        </w:rPr>
      </w:pPr>
      <w: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Potvrďte, že byla provedena otevřená veřejná konzultace </w:t>
      </w:r>
      <w:r>
        <w:rPr>
          <w:i/>
        </w:rPr>
        <w:t>ex ante</w:t>
      </w:r>
      <w:r>
        <w:t>, při níž byla řádně popsána odvětví způsobilá pro snížení a byl poskytnut seznam největších příjemců v každém odvětví. Poskytněte příslušné důkazy o této konzultaci.</w:t>
      </w:r>
    </w:p>
    <w:p w14:paraId="2399528D" w14:textId="77777777" w:rsidR="00A13410" w:rsidRPr="00F83660" w:rsidRDefault="00A13410" w:rsidP="00A13410">
      <w:pPr>
        <w:tabs>
          <w:tab w:val="left" w:leader="dot" w:pos="9072"/>
        </w:tabs>
        <w:spacing w:before="120" w:after="120"/>
        <w:ind w:left="567"/>
        <w:jc w:val="both"/>
        <w:rPr>
          <w:color w:val="000000"/>
        </w:rPr>
      </w:pPr>
      <w:r>
        <w:tab/>
      </w:r>
    </w:p>
    <w:p w14:paraId="6FDCFB15" w14:textId="505BCBD9" w:rsidR="00835EF1" w:rsidRDefault="00835EF1" w:rsidP="00E8439E">
      <w:pPr>
        <w:pStyle w:val="ListParagraph"/>
        <w:keepNext/>
        <w:numPr>
          <w:ilvl w:val="0"/>
          <w:numId w:val="50"/>
        </w:numPr>
        <w:spacing w:before="120" w:after="120"/>
        <w:ind w:left="567" w:hanging="567"/>
        <w:contextualSpacing w:val="0"/>
        <w:jc w:val="both"/>
      </w:pPr>
      <w:bookmarkStart w:id="5" w:name="_Ref175220904"/>
      <w:r>
        <w:lastRenderedPageBreak/>
        <w:t>Za účelem posouzení souladu s bodem 299 pokynů:</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vysvětlete, zda je podpora poskytnuta ve formě snížení sazby daně nebo jako stanovená výše roční náhrady (vrácení daně) nebo jako kombinace obou těchto možností; </w:t>
      </w:r>
    </w:p>
    <w:p w14:paraId="29E4F3F8" w14:textId="77777777" w:rsidR="00835EF1" w:rsidRPr="00F83660" w:rsidRDefault="00835EF1" w:rsidP="0006694C">
      <w:pPr>
        <w:tabs>
          <w:tab w:val="left" w:leader="dot" w:pos="9072"/>
        </w:tabs>
        <w:spacing w:before="120" w:after="120"/>
        <w:ind w:left="567"/>
        <w:jc w:val="both"/>
        <w:rPr>
          <w:color w:val="000000"/>
        </w:rPr>
      </w:pPr>
      <w: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pokud je (část) podpory poskytnuta ve formě vrácené daně, potvrďte, že i) se výše vrácené daně vypočítá na základě údajů za minulá období, to znamená podle úrovně produkce a spotřeby či znečištění zjištěné u podniku v daném referenčním roce, a ii) výše vrácené daně nepřekračuje minimální výši daně v Unii, která by byla jinak splatná za daný referenční rok.</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Podrobné posouzení opatření</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Pokud jsou ekologické daně neharmonizované nebo pokud příjemci platí méně, než je minimální úroveň harmonizované daně v Unii v případě, že ji směrnice 2003/96/ES umožňuje, je třeba provést podrobné posouzení nezbytnosti a přiměřenosti podpory.</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Nezbytnost podpory</w:t>
            </w:r>
          </w:p>
        </w:tc>
      </w:tr>
    </w:tbl>
    <w:p w14:paraId="3754E3F1" w14:textId="25BB5508" w:rsidR="00663008" w:rsidRPr="00F83660" w:rsidRDefault="6695A805" w:rsidP="6637E879">
      <w:pPr>
        <w:spacing w:before="360" w:after="120"/>
        <w:jc w:val="both"/>
        <w:rPr>
          <w:i/>
          <w:iCs/>
          <w:color w:val="000000"/>
        </w:rPr>
      </w:pPr>
      <w:r>
        <w:rPr>
          <w:i/>
          <w:color w:val="000000"/>
        </w:rPr>
        <w:t>Pro poskytnutí informací v tomto oddíle viz oddíl 3.2.1.1 v rozsahu, v jakém je použitelný na opatření</w:t>
      </w:r>
      <w:r>
        <w:rPr>
          <w:i/>
        </w:rPr>
        <w:t xml:space="preserve">, a </w:t>
      </w:r>
      <w:r>
        <w:rPr>
          <w:i/>
          <w:color w:val="000000"/>
        </w:rPr>
        <w:t xml:space="preserve">oddíl 4.7.1.3.1 (body 301–303) </w:t>
      </w:r>
      <w:r>
        <w:rPr>
          <w:i/>
        </w:rPr>
        <w:t>pokynů.</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 xml:space="preserve">Za účelem posouzení souladu s příslušnými požadavky oddílu 3.2.1.1 pokynů popište, jak je opatření zaměřeno na situaci, kdy podpora může vést k podstatnému zlepšení, jehož trh nemůže dosáhnout sám o sobě. Ve své odpovědi uveďte případná selhání trhu popsaná v bodě 34 pokynů a vysvětlete, proč jiné již zavedené politiky a opatření, jak je uvedeno v bodě 35 pokynů, k jejich řešení </w:t>
      </w:r>
      <w:proofErr w:type="gramStart"/>
      <w:r>
        <w:t>nestačí</w:t>
      </w:r>
      <w:proofErr w:type="gramEnd"/>
      <w:r>
        <w:t>.</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Za účelem posouzení souladu s bodem 302 pokynů popište, zda jsou splněny tyto podmínky:</w:t>
      </w:r>
    </w:p>
    <w:p w14:paraId="1B5AA814" w14:textId="0C243847" w:rsidR="00E05657" w:rsidRDefault="00E05657" w:rsidP="00A46DF5">
      <w:pPr>
        <w:pStyle w:val="ListParagraph"/>
        <w:numPr>
          <w:ilvl w:val="0"/>
          <w:numId w:val="127"/>
        </w:numPr>
        <w:spacing w:before="120" w:after="120"/>
        <w:ind w:left="1434" w:hanging="357"/>
        <w:jc w:val="both"/>
      </w:pPr>
      <w:r>
        <w:t>výběr příjemců je založen na objektivních a transparentních kritériích a podpora je udělována stejným způsobem všem způsobilým podnikům působícím v tomtéž odvětví hospodářské činnosti, které jsou z hlediska záměrů nebo cílů daného opatření podpory ve stejné nebo podobné faktické situaci;</w:t>
      </w:r>
    </w:p>
    <w:p w14:paraId="47208D9B" w14:textId="77777777" w:rsidR="00CC0461" w:rsidRPr="00F83660" w:rsidRDefault="00CC0461" w:rsidP="00CC0461">
      <w:pPr>
        <w:tabs>
          <w:tab w:val="left" w:leader="dot" w:pos="9072"/>
        </w:tabs>
        <w:spacing w:before="120" w:after="120"/>
        <w:ind w:left="567"/>
        <w:jc w:val="both"/>
        <w:rPr>
          <w:color w:val="000000"/>
        </w:rPr>
      </w:pPr>
      <w:r>
        <w:tab/>
      </w:r>
    </w:p>
    <w:p w14:paraId="074ABB4B" w14:textId="1443CED6" w:rsidR="00E05657" w:rsidRDefault="00E05657" w:rsidP="00A46DF5">
      <w:pPr>
        <w:pStyle w:val="ListParagraph"/>
        <w:numPr>
          <w:ilvl w:val="0"/>
          <w:numId w:val="127"/>
        </w:numPr>
        <w:spacing w:before="120" w:after="120"/>
        <w:ind w:left="1434" w:hanging="357"/>
        <w:jc w:val="both"/>
      </w:pPr>
      <w:r>
        <w:t>ekologická daň nebo parafiskální poplatek bez snížení by vedly k výraznému zvýšení výrobních nákladů vypočtených jako podíl hrubé přidané hodnoty pro každé odvětví či každou kategorii příjemců (např. na základě údajů reprezentativních příjemců nebo souhrnných údajů pro odvětví či kategorii příjemců);</w:t>
      </w:r>
    </w:p>
    <w:p w14:paraId="0E21FEDF" w14:textId="4C672574" w:rsidR="00CC0461" w:rsidRPr="00CC0461" w:rsidRDefault="00CC0461" w:rsidP="00CC0461">
      <w:pPr>
        <w:tabs>
          <w:tab w:val="left" w:leader="dot" w:pos="9072"/>
        </w:tabs>
        <w:spacing w:before="120" w:after="120"/>
        <w:ind w:left="567"/>
        <w:jc w:val="both"/>
        <w:rPr>
          <w:color w:val="000000"/>
        </w:rPr>
      </w:pPr>
      <w:r>
        <w:tab/>
      </w:r>
    </w:p>
    <w:p w14:paraId="32D00C6E" w14:textId="1AD9A2B1" w:rsidR="00E05657" w:rsidRDefault="00E05657" w:rsidP="00A46DF5">
      <w:pPr>
        <w:pStyle w:val="ListParagraph"/>
        <w:numPr>
          <w:ilvl w:val="0"/>
          <w:numId w:val="127"/>
        </w:numPr>
        <w:spacing w:before="120" w:after="120"/>
        <w:ind w:left="1434" w:hanging="357"/>
        <w:jc w:val="both"/>
      </w:pPr>
      <w:r>
        <w:lastRenderedPageBreak/>
        <w:t>výrazné zvýšení výrobních nákladů by nebylo možné přenést na zákazníky, aniž by to vedlo k významnému snížení objemu prodeje (např. na základě odkazů na hospodářskou soutěž ze strany podniků v jurisdikcích, které dani nepodléhají, a míry zastupitelnosti relevantního výrobku);</w:t>
      </w:r>
    </w:p>
    <w:p w14:paraId="27EF4614" w14:textId="77777777" w:rsidR="00CC0461" w:rsidRPr="00F83660" w:rsidRDefault="00CC0461" w:rsidP="00CC0461">
      <w:pPr>
        <w:tabs>
          <w:tab w:val="left" w:leader="dot" w:pos="9072"/>
        </w:tabs>
        <w:spacing w:before="120" w:after="120"/>
        <w:ind w:left="567"/>
        <w:jc w:val="both"/>
        <w:rPr>
          <w:color w:val="000000"/>
        </w:rPr>
      </w:pPr>
      <w:r>
        <w:tab/>
      </w:r>
    </w:p>
    <w:p w14:paraId="1927C45E" w14:textId="623FAF23" w:rsidR="006E4D23" w:rsidRDefault="00CC0461" w:rsidP="00CC0461">
      <w:pPr>
        <w:pStyle w:val="ListParagraph"/>
        <w:numPr>
          <w:ilvl w:val="0"/>
          <w:numId w:val="50"/>
        </w:numPr>
        <w:spacing w:before="120" w:after="120"/>
        <w:ind w:left="567" w:hanging="567"/>
        <w:contextualSpacing w:val="0"/>
        <w:jc w:val="both"/>
      </w:pPr>
      <w:r>
        <w:t>V případě snížení daní na biopaliva, biokapaliny a paliva z biomasy za účelem posouzení souladu s bodem 303 pokynů:</w:t>
      </w:r>
    </w:p>
    <w:p w14:paraId="54638E3E" w14:textId="69F50F83" w:rsidR="006E4D23" w:rsidRDefault="00CC0461" w:rsidP="00A46DF5">
      <w:pPr>
        <w:pStyle w:val="ListParagraph"/>
        <w:numPr>
          <w:ilvl w:val="0"/>
          <w:numId w:val="128"/>
        </w:numPr>
        <w:spacing w:before="120" w:after="120"/>
        <w:ind w:left="1434" w:hanging="357"/>
        <w:jc w:val="both"/>
      </w:pPr>
      <w:r>
        <w:t>potvrďte, že bude zaveden mechanismus s cílem ověřit, že je dané opatření stále nezbytné, a to za použití podmínek nezbytnosti stanovených v oddíle 4.1.3.1 pokynů;</w:t>
      </w:r>
    </w:p>
    <w:p w14:paraId="58427951" w14:textId="77777777" w:rsidR="006E4D23" w:rsidRPr="00F83660" w:rsidRDefault="006E4D23" w:rsidP="00A46DF5">
      <w:pPr>
        <w:tabs>
          <w:tab w:val="left" w:leader="dot" w:pos="9072"/>
        </w:tabs>
        <w:spacing w:before="120" w:after="120"/>
        <w:ind w:left="567"/>
        <w:jc w:val="both"/>
        <w:rPr>
          <w:color w:val="000000"/>
        </w:rPr>
      </w:pPr>
      <w:r>
        <w:tab/>
      </w:r>
    </w:p>
    <w:p w14:paraId="78306363" w14:textId="7960F2C6" w:rsidR="006E4D23" w:rsidRDefault="00F878EE" w:rsidP="00A46DF5">
      <w:pPr>
        <w:pStyle w:val="ListParagraph"/>
        <w:numPr>
          <w:ilvl w:val="0"/>
          <w:numId w:val="128"/>
        </w:numPr>
        <w:spacing w:before="120" w:after="120"/>
        <w:ind w:left="1434" w:hanging="357"/>
        <w:jc w:val="both"/>
      </w:pPr>
      <w:r>
        <w:t xml:space="preserve">vysvětlete, jak bude tento mechanismus fungovat, a </w:t>
      </w:r>
    </w:p>
    <w:p w14:paraId="5567A88D" w14:textId="77777777" w:rsidR="006E4D23" w:rsidRPr="00F83660" w:rsidRDefault="006E4D23" w:rsidP="00A46DF5">
      <w:pPr>
        <w:tabs>
          <w:tab w:val="left" w:leader="dot" w:pos="9072"/>
        </w:tabs>
        <w:spacing w:before="120" w:after="120"/>
        <w:ind w:left="567"/>
        <w:jc w:val="both"/>
        <w:rPr>
          <w:color w:val="000000"/>
        </w:rPr>
      </w:pPr>
      <w:r>
        <w:tab/>
      </w:r>
    </w:p>
    <w:p w14:paraId="1CC0747E" w14:textId="612C531C" w:rsidR="00CC0461" w:rsidRDefault="004B495A" w:rsidP="00A46DF5">
      <w:pPr>
        <w:pStyle w:val="ListParagraph"/>
        <w:numPr>
          <w:ilvl w:val="0"/>
          <w:numId w:val="128"/>
        </w:numPr>
        <w:spacing w:before="120" w:after="120"/>
        <w:ind w:left="1434" w:hanging="357"/>
        <w:jc w:val="both"/>
      </w:pPr>
      <w:r>
        <w:t>potvrďte, že členský stát přijme vhodná opatření, jako je ukončení platnosti výjimky nebo snížení úrovně podpory, a upřesněte, která vhodná opatření budou konkrétně uplatňována.</w:t>
      </w:r>
    </w:p>
    <w:p w14:paraId="67DAC904" w14:textId="7C413165" w:rsidR="00CC0461" w:rsidRPr="00CC0461" w:rsidRDefault="00CC0461" w:rsidP="00AE5E48">
      <w:pPr>
        <w:tabs>
          <w:tab w:val="left" w:leader="dot" w:pos="9072"/>
        </w:tabs>
        <w:spacing w:before="120" w:after="120"/>
        <w:ind w:left="567"/>
        <w:jc w:val="both"/>
        <w:rPr>
          <w:color w:val="000000"/>
        </w:rPr>
      </w:pPr>
      <w: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Vhodnost podpory</w:t>
            </w:r>
          </w:p>
        </w:tc>
      </w:tr>
    </w:tbl>
    <w:p w14:paraId="6227BC57" w14:textId="2AC58623" w:rsidR="0009768A" w:rsidRDefault="1626403F" w:rsidP="00AE5E48">
      <w:pPr>
        <w:spacing w:before="360" w:after="120"/>
        <w:jc w:val="both"/>
        <w:rPr>
          <w:i/>
          <w:iCs/>
          <w:color w:val="000000"/>
        </w:rPr>
      </w:pPr>
      <w:r>
        <w:rPr>
          <w:i/>
          <w:color w:val="000000"/>
        </w:rPr>
        <w:t>Pro poskytnutí informací v tomto oddíle viz oddíl 3.2.1.2 v rozsahu, v jakém je použitelný na opatření</w:t>
      </w:r>
      <w:r>
        <w:rPr>
          <w:i/>
        </w:rPr>
        <w:t xml:space="preserve">, a </w:t>
      </w:r>
      <w:r>
        <w:rPr>
          <w:i/>
          <w:color w:val="000000"/>
        </w:rPr>
        <w:t xml:space="preserve">oddíl 4.7.1.3.2 (body 304–306) </w:t>
      </w:r>
      <w:r>
        <w:rPr>
          <w:i/>
        </w:rPr>
        <w:t>pokynů.</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Za účelem posouzení souladu s platnými požadavky oddílu 3.2.1.2 pokynů popište, proč je opatření vhodným nástrojem politiky k dosažení zamýšleného cíle podpory, tj. nesmí existovat narušující politika a nástroj podpory schopný dosáhnout stejných výsledků, s přihlédnutím k jiným politickým nástrojům a různým nástrojům podpory, které by mohly být provedeny alternativně.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Za účelem posouzení souladu s bodem 305 pokynů potvrďte, že i) doba trvání opatření je nejvýše 10 let a ii) jakékoli opětovné oznámení bude založeno na novém vyhodnocení vhodnosti opatření.</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pokud je (část) podpory poskytnuta ve formě vrácené daně, za účelem posouzení souladu s bodem 306 pokynů potvrďte, že se výše vrácené daně vypočítá na základě údajů za minulá období, to znamená podle úrovně produkce a spotřeby či znečištění zjištěné u podniku v daném referenčním roce.</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E8439E">
            <w:pPr>
              <w:pStyle w:val="Heading1"/>
              <w:keepNext/>
              <w:numPr>
                <w:ilvl w:val="3"/>
                <w:numId w:val="117"/>
              </w:numPr>
              <w:rPr>
                <w:sz w:val="24"/>
                <w:szCs w:val="24"/>
              </w:rPr>
            </w:pPr>
            <w:r>
              <w:rPr>
                <w:sz w:val="24"/>
              </w:rPr>
              <w:lastRenderedPageBreak/>
              <w:t>Přiměřenost podpory</w:t>
            </w:r>
          </w:p>
        </w:tc>
      </w:tr>
    </w:tbl>
    <w:p w14:paraId="322B0DC4" w14:textId="2E7D7E33" w:rsidR="00863406" w:rsidRPr="00FC6878" w:rsidRDefault="00863406" w:rsidP="00E8439E">
      <w:pPr>
        <w:keepNext/>
        <w:spacing w:before="360" w:after="120"/>
        <w:jc w:val="both"/>
        <w:rPr>
          <w:i/>
          <w:iCs/>
        </w:rPr>
      </w:pPr>
      <w:r>
        <w:rPr>
          <w:i/>
        </w:rPr>
        <w:t xml:space="preserve">Pro poskytnutí informací v tomto oddíle viz oddíl 4.7.1.3.3 (body 307–309) pokynů.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Za účelem posouzení souladu s bodem 308 pokynů (požadavek, aby byla splněna alespoň jedna z následujících podmínek) poskytněte některou z těchto informací:</w:t>
      </w:r>
      <w:bookmarkEnd w:id="8"/>
    </w:p>
    <w:p w14:paraId="07E9565A" w14:textId="5F95AEC5" w:rsidR="006F256F" w:rsidRDefault="270F0651" w:rsidP="00A46DF5">
      <w:pPr>
        <w:pStyle w:val="ListParagraph"/>
        <w:numPr>
          <w:ilvl w:val="0"/>
          <w:numId w:val="129"/>
        </w:numPr>
        <w:spacing w:before="120" w:after="120"/>
        <w:ind w:left="1434" w:hanging="357"/>
        <w:jc w:val="both"/>
      </w:pPr>
      <w:r>
        <w:t>uveďte, zda každý příjemce podpory uhradí alespoň 20 % nominální výše ekologické daně nebo parafiskálního poplatku, který by byl v případě tohoto příjemce jinak použitelný, pokud by ke snížení nedošlo.</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 xml:space="preserve">Nebo uveďte, zda i) snížení daně nebo poplatku </w:t>
      </w:r>
      <w:proofErr w:type="gramStart"/>
      <w:r>
        <w:t>nepřekročí</w:t>
      </w:r>
      <w:proofErr w:type="gramEnd"/>
      <w:r>
        <w:t xml:space="preserve"> 100 % vnitrostátní ekologické daně nebo parafiskálního poplatku; ii) snížení daně nebo poplatku je podmíněno uzavřením dohod mezi členským státem a příjemci nebo sdruženími příjemců, v nichž se příjemci nebo sdružení příjemců zavážou, že splní cíle v oblasti ochrany životního prostředí, které mají stejný účinek jako v případě, kdy by příjemci nebo sdružení příjemců uhradili alespoň 20 % vnitrostátní daně nebo poplatku</w:t>
      </w:r>
      <w:r>
        <w:rPr>
          <w:rStyle w:val="FootnoteReference"/>
          <w:lang w:eastAsia="en-GB"/>
        </w:rPr>
        <w:footnoteReference w:id="7"/>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Pokud se využívá možnost ii) otázky </w:t>
      </w:r>
      <w:r>
        <w:fldChar w:fldCharType="begin"/>
      </w:r>
      <w:r>
        <w:instrText xml:space="preserve"> REF _Ref172812423 \w \h </w:instrText>
      </w:r>
      <w:r>
        <w:fldChar w:fldCharType="separate"/>
      </w:r>
      <w:r>
        <w:t>22</w:t>
      </w:r>
      <w:r>
        <w:fldChar w:fldCharType="end"/>
      </w:r>
      <w:r>
        <w:t xml:space="preserve"> za účelem posouzení souladu s bodem 309 pokynů, popište:</w:t>
      </w:r>
    </w:p>
    <w:p w14:paraId="02DB823F" w14:textId="1AC5E3AC" w:rsidR="00E72A73" w:rsidRDefault="00E72A73" w:rsidP="00A46DF5">
      <w:pPr>
        <w:pStyle w:val="ListParagraph"/>
        <w:numPr>
          <w:ilvl w:val="0"/>
          <w:numId w:val="130"/>
        </w:numPr>
        <w:spacing w:before="120" w:after="120"/>
        <w:ind w:left="1434" w:hanging="357"/>
        <w:jc w:val="both"/>
      </w:pPr>
      <w:r>
        <w:t>předmět platných dohod, včetně konkrétních cílů a časového rámce pro dosažení cílů;</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jak bude zajištěno nezávislé a pravidelné sledování plnění závazků uvedených v dohodách;</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jak budou dohody pravidelně revidovány s ohledem na technologický a jiný vývoj a stanoveny účinné sankce v případě nedodržení závazků.</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Kumulace</w:t>
            </w:r>
          </w:p>
        </w:tc>
      </w:tr>
    </w:tbl>
    <w:p w14:paraId="56B46737" w14:textId="5C12CBC3" w:rsidR="001D0CD2" w:rsidRPr="001D0CD2" w:rsidRDefault="00B21377" w:rsidP="001D0CD2">
      <w:pPr>
        <w:spacing w:before="360" w:after="120"/>
        <w:jc w:val="both"/>
        <w:rPr>
          <w:i/>
          <w:iCs/>
        </w:rPr>
      </w:pPr>
      <w:r>
        <w:rPr>
          <w:i/>
        </w:rPr>
        <w:t>Pro poskytnutí informací v tomto oddíle viz body 56–57 pokynů.</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Pokud to již není uvedeno v části I obecného oznamovacího formuláře a s cílem ověřit soulad s bodem 56 pokynů, objasněte, zda může být podpora poskytovaná na základě opatření poskytnuta souběžně na základě několika režimů podpory nebo kumulována s podporou </w:t>
      </w:r>
      <w:r>
        <w:rPr>
          <w:i/>
        </w:rPr>
        <w:t>ad hoc</w:t>
      </w:r>
      <w:r>
        <w:t xml:space="preserve"> nebo podporou </w:t>
      </w:r>
      <w:r>
        <w:rPr>
          <w:i/>
        </w:rPr>
        <w:t>de minimis</w:t>
      </w:r>
      <w:r>
        <w:t xml:space="preserve"> ve vztahu ke stejným způsobilým nákladům. Pokud ano, uveďte podrobnosti o těchto režimech podpory, podpoře </w:t>
      </w:r>
      <w:r>
        <w:rPr>
          <w:i/>
        </w:rPr>
        <w:t>ad hoc</w:t>
      </w:r>
      <w:r>
        <w:t xml:space="preserve"> nebo podpoře </w:t>
      </w:r>
      <w:r>
        <w:rPr>
          <w:i/>
        </w:rPr>
        <w:t>de minimis</w:t>
      </w:r>
      <w:r>
        <w:t xml:space="preserve"> a způsobu kumulace podpory.</w:t>
      </w:r>
    </w:p>
    <w:p w14:paraId="4705E62C" w14:textId="77777777" w:rsidR="00D13239" w:rsidRPr="002A3B51" w:rsidRDefault="002A3B51" w:rsidP="009548AA">
      <w:pPr>
        <w:tabs>
          <w:tab w:val="left" w:leader="dot" w:pos="9072"/>
        </w:tabs>
        <w:spacing w:before="120" w:after="120"/>
        <w:ind w:left="567"/>
        <w:jc w:val="both"/>
      </w:pPr>
      <w:r>
        <w:lastRenderedPageBreak/>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Pokud se použije bod 56 pokynů, zdůvodněte, jak celková výše podpory poskytnuté na základě opatření na projekt nebo činnost nepovede k nadměrným náhradám nebo nepřesáhne maximální výši podpory povolenou podle bodu 308 pokynů. U každého opatření, se kterým je možné kumulovat podporu poskytnutou na základě opatření podpory, uveďte metodu použitou k zajištění souladu s podmínkami stanovenými v bodě 56 pokynů.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V případě, že se použije bod 57 pokynů, tj. podpora poskytnutá na základě opatření je kombinována s centrálně řízeným financováním ze strany Unie</w:t>
      </w:r>
      <w:r>
        <w:rPr>
          <w:vertAlign w:val="superscript"/>
        </w:rPr>
        <w:footnoteReference w:id="8"/>
      </w:r>
      <w:r>
        <w:t xml:space="preserve"> (které nepředstavuje státní podporu), zdůvodněte, jak celková částka veřejného financování poskytnutá na tytéž způsobilé náklady nevede k nadměrným náhradám.</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Transparentnost</w:t>
            </w:r>
          </w:p>
        </w:tc>
      </w:tr>
    </w:tbl>
    <w:p w14:paraId="30CC4C47" w14:textId="5C8853FB" w:rsidR="006773CE" w:rsidRPr="007C0A44" w:rsidRDefault="006773CE" w:rsidP="2368A16B">
      <w:pPr>
        <w:spacing w:before="360" w:after="120"/>
        <w:jc w:val="both"/>
        <w:rPr>
          <w:i/>
          <w:iCs/>
        </w:rPr>
      </w:pPr>
      <w:r>
        <w:rPr>
          <w:i/>
        </w:rPr>
        <w:t xml:space="preserve">Pro poskytnutí informací v tomto oddíle viz oddíl 3.2.1.4 (body 58–62) pokynů.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Potvrďte, že členské státy </w:t>
      </w:r>
      <w:proofErr w:type="gramStart"/>
      <w:r>
        <w:t>dodrží</w:t>
      </w:r>
      <w:proofErr w:type="gramEnd"/>
      <w:r>
        <w:t xml:space="preserve"> požadavky na transparentnost stanovené v bodech 58–61 pokynů.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rFonts w:eastAsia="Times New Roman"/>
          <w:szCs w:val="24"/>
        </w:rPr>
      </w:pPr>
      <w:r>
        <w:t xml:space="preserve">Uveďte internetový odkaz, kde bude zveřejněno úplné znění schváleného režimu podpory nebo rozhodnutí o udělení jednotlivé podpory a jeho prováděcí ustanovení a informace o každé jednotlivé podpoře udělené </w:t>
      </w:r>
      <w:r>
        <w:rPr>
          <w:i/>
        </w:rPr>
        <w:t>ad hoc</w:t>
      </w:r>
      <w:r>
        <w:t xml:space="preserve"> nebo na základě režimu podpory schváleného podle těchto pokynů, která je vyšší než 100 000 EUR.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C14772" w:rsidRDefault="00A80F29" w:rsidP="00A80F29">
      <w:pPr>
        <w:tabs>
          <w:tab w:val="left" w:leader="dot" w:pos="9072"/>
        </w:tabs>
        <w:spacing w:before="120" w:after="1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Zamezení nežádoucím negativním účinkům na hospodářskou soutěž a obchod</w:t>
            </w:r>
          </w:p>
        </w:tc>
      </w:tr>
    </w:tbl>
    <w:p w14:paraId="6F1494DE" w14:textId="5F2BAE4F" w:rsidR="00A80F29" w:rsidRPr="00B215FD" w:rsidRDefault="00A80F29" w:rsidP="00A80F29">
      <w:pPr>
        <w:spacing w:before="360" w:after="120"/>
        <w:jc w:val="both"/>
        <w:rPr>
          <w:i/>
          <w:iCs/>
        </w:rPr>
      </w:pPr>
      <w:r>
        <w:rPr>
          <w:i/>
        </w:rPr>
        <w:t xml:space="preserve">Pro poskytnutí informací v tomto oddíle viz oddíl 3.2.2 pokynů </w:t>
      </w:r>
      <w:r>
        <w:rPr>
          <w:i/>
          <w:color w:val="000000"/>
        </w:rPr>
        <w:t>v rozsahu, v jakém je použitelný na opatření</w:t>
      </w:r>
      <w:r>
        <w:rPr>
          <w:i/>
        </w:rPr>
        <w:t>.</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Za účelem posouzení souladu s příslušnými požadavky oddílu 3.2.2 pokynů popište, jak opatření zmírňuje jakékoli zjevně negativní účinky na hospodářskou soutěž a obchod.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Za účelem posouzení souladu s bodem 70 pokynů:</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Pokud jste již neučinili v odpovědi na otázku </w:t>
      </w:r>
      <w:r>
        <w:fldChar w:fldCharType="begin"/>
      </w:r>
      <w:r>
        <w:instrText xml:space="preserve"> REF _Ref175221297 \r \h </w:instrText>
      </w:r>
      <w:r>
        <w:fldChar w:fldCharType="separate"/>
      </w:r>
      <w:r>
        <w:t>20</w:t>
      </w:r>
      <w:r>
        <w:fldChar w:fldCharType="end"/>
      </w:r>
      <w:r>
        <w:t xml:space="preserve"> výše, potvrďte, že doba trvání režimu je maximálně deset let ode dne oznámení rozhodnutí Komise o slučitelnosti dané podpory. </w:t>
      </w:r>
    </w:p>
    <w:p w14:paraId="4CA09E80" w14:textId="77777777" w:rsidR="00A80F29" w:rsidRPr="009E0FCA" w:rsidRDefault="00A80F29" w:rsidP="00A80F29">
      <w:pPr>
        <w:tabs>
          <w:tab w:val="left" w:leader="dot" w:pos="9072"/>
        </w:tabs>
        <w:spacing w:before="120" w:after="120"/>
        <w:ind w:left="567"/>
        <w:jc w:val="both"/>
      </w:pPr>
      <w:r>
        <w:lastRenderedPageBreak/>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Potvrďte, že prodloužení doby trvání opatření nad tuto maximální dobu bude vyžadovat nové oznámení opatření.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Zvažování pozitivních účinků podpory oproti negativním účinkům na hospodářskou soutěž a obchod</w:t>
            </w:r>
          </w:p>
        </w:tc>
      </w:tr>
    </w:tbl>
    <w:p w14:paraId="3513408C" w14:textId="56B6BA12" w:rsidR="00265702" w:rsidRPr="00863406" w:rsidRDefault="00265702" w:rsidP="2368A16B">
      <w:pPr>
        <w:spacing w:before="360" w:after="120"/>
        <w:jc w:val="both"/>
        <w:rPr>
          <w:i/>
          <w:iCs/>
          <w:color w:val="000000"/>
        </w:rPr>
      </w:pPr>
      <w:r>
        <w:rPr>
          <w:i/>
        </w:rPr>
        <w:t xml:space="preserve">Pro poskytnutí informací v tomto oddíle viz oddíl 3.3 (body 71–76) pokynů </w:t>
      </w:r>
      <w:r>
        <w:rPr>
          <w:i/>
          <w:color w:val="000000"/>
        </w:rPr>
        <w:t>v rozsahu, v jakém je použitelný na opatření</w:t>
      </w:r>
      <w:r>
        <w:rPr>
          <w:i/>
        </w:rPr>
        <w:t>.</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Za účelem posouzení souladu s platnými požadavky oddílu 3.3 pokynů:</w:t>
      </w:r>
    </w:p>
    <w:p w14:paraId="3EA00BDB" w14:textId="1514E259" w:rsidR="004B2EF3" w:rsidRPr="00564B1B" w:rsidRDefault="00A24718" w:rsidP="00A46DF5">
      <w:pPr>
        <w:pStyle w:val="ListParagraph"/>
        <w:numPr>
          <w:ilvl w:val="0"/>
          <w:numId w:val="132"/>
        </w:numPr>
        <w:spacing w:before="120" w:after="120"/>
        <w:ind w:left="1434" w:hanging="357"/>
        <w:jc w:val="both"/>
      </w:pPr>
      <w:r>
        <w:t>zdůvodněte, jak pozitivní účinky opatření obecně převažují nad negativními účinky;</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pokud jde o použití bodu 75 pokynů objasněte, zda opatření zahrnuje/zahrnují prvky usnadňující účast malých a středních podniků. V případě kladné odpovědi uveďte informace o těchto prvcích a zdůvodněte, jak pozitivní účinky zajištění účasti a přijetí malých a středních podniků v rámci opatření převažují nad možnými rušivými účinky;</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pokud jde o uplatnění bodu 76 písm. c) pokynů, uveďte, zda opatření podpory podléhá časovému omezení.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Oddíl C: Hodnocení</w:t>
            </w:r>
          </w:p>
        </w:tc>
      </w:tr>
    </w:tbl>
    <w:p w14:paraId="6A4ADF8D" w14:textId="77777777" w:rsidR="00C33721" w:rsidRPr="006725F7" w:rsidRDefault="00C33721" w:rsidP="006725F7">
      <w:pPr>
        <w:spacing w:before="360" w:after="120"/>
        <w:jc w:val="both"/>
        <w:rPr>
          <w:i/>
          <w:iCs/>
          <w:color w:val="000000"/>
        </w:rPr>
      </w:pPr>
      <w:r>
        <w:rPr>
          <w:i/>
          <w:color w:val="000000"/>
        </w:rPr>
        <w:t>Pro poskytnutí informací v tomto oddíle viz bod 76 písm. a) a kapitola 5 (body 455–463) pokynů.</w:t>
      </w:r>
    </w:p>
    <w:p w14:paraId="61A6C035" w14:textId="1219DDD6" w:rsidR="00017826" w:rsidRPr="00017826" w:rsidRDefault="00017826" w:rsidP="00017826">
      <w:pPr>
        <w:numPr>
          <w:ilvl w:val="0"/>
          <w:numId w:val="50"/>
        </w:numPr>
        <w:spacing w:before="120" w:after="120"/>
        <w:ind w:left="567" w:hanging="567"/>
        <w:jc w:val="both"/>
      </w:pPr>
      <w:r>
        <w:t>Pokud opatření překračuje/překračují prahové hodnoty rozpočtu/výdajů uvedené v bodě 456 pokynů, vysvětlete, proč by se podle názoru členského státu měla uplatnit výjimka uvedená v bodě 457 pokynů, nebo k tomuto doplňkovému informačnímu listu přiložte přílohu, která obsahuje návrh plánu hodnocení pokrývajícího rozsah uvedený v bodě 458 pokynů</w:t>
      </w:r>
      <w:r>
        <w:rPr>
          <w:vertAlign w:val="superscript"/>
          <w:lang w:eastAsia="en-GB"/>
        </w:rPr>
        <w:footnoteReference w:id="9"/>
      </w:r>
      <w:r>
        <w:t>.</w:t>
      </w:r>
    </w:p>
    <w:p w14:paraId="5528A0D2" w14:textId="77777777" w:rsidR="00017826" w:rsidRPr="00017826" w:rsidRDefault="00017826" w:rsidP="00017826">
      <w:pPr>
        <w:spacing w:before="120" w:after="120"/>
        <w:ind w:firstLine="567"/>
        <w:jc w:val="both"/>
      </w:pPr>
      <w:r>
        <w:t>........................................................................................................</w:t>
      </w:r>
    </w:p>
    <w:p w14:paraId="12AE83E4" w14:textId="77777777" w:rsidR="00017826" w:rsidRPr="00017826" w:rsidRDefault="00017826" w:rsidP="00017826">
      <w:pPr>
        <w:numPr>
          <w:ilvl w:val="0"/>
          <w:numId w:val="50"/>
        </w:numPr>
        <w:spacing w:before="120" w:after="120"/>
        <w:ind w:left="567" w:hanging="567"/>
        <w:jc w:val="both"/>
      </w:pPr>
      <w:r>
        <w:t>Pokud je k dispozici návrh plánu hodnocení:</w:t>
      </w:r>
    </w:p>
    <w:p w14:paraId="4C066F02" w14:textId="4C06AB69" w:rsidR="00017826" w:rsidRPr="00017826" w:rsidRDefault="00017826" w:rsidP="00017826">
      <w:pPr>
        <w:numPr>
          <w:ilvl w:val="0"/>
          <w:numId w:val="120"/>
        </w:numPr>
        <w:spacing w:before="120" w:after="120"/>
        <w:jc w:val="both"/>
      </w:pPr>
      <w:r>
        <w:t>níže uveďte shrnutí tohoto návrhu plánu hodnocení, který je uveden v příloze;</w:t>
      </w:r>
    </w:p>
    <w:p w14:paraId="2DDD8DDF" w14:textId="77777777" w:rsidR="00017826" w:rsidRPr="00017826" w:rsidRDefault="00017826" w:rsidP="0006694C">
      <w:pPr>
        <w:spacing w:before="120" w:after="120"/>
        <w:ind w:left="567"/>
        <w:jc w:val="both"/>
      </w:pPr>
      <w:r>
        <w:lastRenderedPageBreak/>
        <w:t>………………………………………………………………………………….</w:t>
      </w:r>
    </w:p>
    <w:p w14:paraId="27987E4D" w14:textId="77777777" w:rsidR="00017826" w:rsidRPr="00017826" w:rsidRDefault="00017826" w:rsidP="00017826">
      <w:pPr>
        <w:numPr>
          <w:ilvl w:val="0"/>
          <w:numId w:val="120"/>
        </w:numPr>
        <w:spacing w:before="120" w:after="120"/>
        <w:jc w:val="both"/>
      </w:pPr>
      <w:r>
        <w:t>potvrďte, že bude dodržen bod 460 pokynů;</w:t>
      </w:r>
    </w:p>
    <w:p w14:paraId="20322518" w14:textId="77777777" w:rsidR="00017826" w:rsidRPr="00017826" w:rsidRDefault="00017826" w:rsidP="0006694C">
      <w:pPr>
        <w:spacing w:before="120" w:after="120"/>
        <w:ind w:left="567"/>
        <w:jc w:val="both"/>
      </w:pPr>
      <w:r>
        <w:t xml:space="preserve">…………………………………………………………………………………. </w:t>
      </w:r>
    </w:p>
    <w:p w14:paraId="3EC5CA62" w14:textId="77777777" w:rsidR="00017826" w:rsidRPr="00017826" w:rsidRDefault="00017826" w:rsidP="00017826">
      <w:pPr>
        <w:numPr>
          <w:ilvl w:val="0"/>
          <w:numId w:val="120"/>
        </w:numPr>
        <w:spacing w:before="120" w:after="120"/>
        <w:jc w:val="both"/>
      </w:pPr>
      <w:r>
        <w:t>uveďte datum a internetový odkaz, kde bude plán hodnocení veřejně dostupný.</w:t>
      </w:r>
    </w:p>
    <w:p w14:paraId="44F1E213" w14:textId="77777777" w:rsidR="00017826" w:rsidRPr="00017826" w:rsidRDefault="00017826" w:rsidP="0006694C">
      <w:pPr>
        <w:spacing w:before="120" w:after="120"/>
        <w:ind w:left="567"/>
        <w:jc w:val="both"/>
      </w:pP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Za účelem posouzení souladu s bodem 459 písm. b) pokynů, pokud režim podpory v současné době nepodléhá hodnocení </w:t>
      </w:r>
      <w:r>
        <w:rPr>
          <w:i/>
        </w:rPr>
        <w:t>ex post</w:t>
      </w:r>
      <w:r>
        <w:t xml:space="preserve"> a jeho trvání přesahuje tři roky, potvrďte, že členský stát oznámí návrh plánu hodnocení do 30 pracovních dnů poté, co došlo k významné změně vedoucí k navýšení rozpočtu režimu na částku přesahující 150 milionů EUR v kterémkoli daném roce nebo 750 milionů EUR za celkovou dobu trvání režimu.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Za účelem posouzení souladu s bodem 459 písm. c) pokynů, pokud režim podpory v současné době nepodléhá hodnocení </w:t>
      </w:r>
      <w:r>
        <w:rPr>
          <w:i/>
        </w:rPr>
        <w:t>ex post</w:t>
      </w:r>
      <w:r>
        <w:t xml:space="preserve">, uveďte níže závazek, že členský stát oznámí návrh plánu hodnocení </w:t>
      </w:r>
      <w:r>
        <w:rPr>
          <w:shd w:val="clear" w:color="auto" w:fill="FFFFFF"/>
        </w:rPr>
        <w:t>do 30 pracovních dnů poté, co byly v oficiálních účtech zaznamenány výdaje překračující 150 milionů EUR v minulém roce</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Za účelem posouzení souladu s bodem 461 pokynů:</w:t>
      </w:r>
    </w:p>
    <w:p w14:paraId="3B57C2B7" w14:textId="77777777" w:rsidR="00017826" w:rsidRPr="00017826" w:rsidRDefault="00017826" w:rsidP="00017826">
      <w:pPr>
        <w:numPr>
          <w:ilvl w:val="0"/>
          <w:numId w:val="121"/>
        </w:numPr>
        <w:spacing w:before="120" w:after="120"/>
        <w:jc w:val="both"/>
      </w:pPr>
      <w:r>
        <w:t>Upřesněte, zda již byl vybrán nezávislý odborník, nebo zda bude vybrán v budoucnu.</w:t>
      </w:r>
    </w:p>
    <w:p w14:paraId="30D5C112" w14:textId="77777777" w:rsidR="00017826" w:rsidRPr="00017826" w:rsidRDefault="00017826" w:rsidP="00017826">
      <w:pPr>
        <w:spacing w:before="120" w:after="120"/>
        <w:ind w:left="567"/>
        <w:jc w:val="both"/>
      </w:pPr>
      <w:r>
        <w:t>…………………………………………………………………………………..</w:t>
      </w:r>
    </w:p>
    <w:p w14:paraId="135C9A2C" w14:textId="77777777" w:rsidR="00017826" w:rsidRPr="00017826" w:rsidRDefault="00017826" w:rsidP="00017826">
      <w:pPr>
        <w:numPr>
          <w:ilvl w:val="0"/>
          <w:numId w:val="121"/>
        </w:numPr>
        <w:spacing w:before="120" w:after="120"/>
        <w:jc w:val="both"/>
      </w:pPr>
      <w:r>
        <w:t>Uveďte informace o výběrovém řízení na odborníka.</w:t>
      </w:r>
    </w:p>
    <w:p w14:paraId="62933A29" w14:textId="77777777" w:rsidR="00017826" w:rsidRPr="00017826" w:rsidRDefault="00017826" w:rsidP="00017826">
      <w:pPr>
        <w:spacing w:before="120" w:after="120"/>
        <w:ind w:left="567"/>
        <w:jc w:val="both"/>
      </w:pPr>
      <w:r>
        <w:t>………………………………………………………………………………….</w:t>
      </w:r>
    </w:p>
    <w:p w14:paraId="452B2F3B" w14:textId="77777777" w:rsidR="00017826" w:rsidRPr="00017826" w:rsidRDefault="00017826" w:rsidP="00017826">
      <w:pPr>
        <w:numPr>
          <w:ilvl w:val="0"/>
          <w:numId w:val="121"/>
        </w:numPr>
        <w:spacing w:before="120" w:after="120"/>
        <w:jc w:val="both"/>
      </w:pPr>
      <w:r>
        <w:t>Zdůvodněte, jak je odborník nezávislý na orgánu, který poskytuje podporu.</w:t>
      </w:r>
    </w:p>
    <w:p w14:paraId="24BFB956" w14:textId="77777777" w:rsidR="00017826" w:rsidRPr="00017826" w:rsidRDefault="00017826" w:rsidP="00017826">
      <w:pPr>
        <w:spacing w:before="120" w:after="120"/>
        <w:ind w:left="567"/>
        <w:jc w:val="both"/>
      </w:pP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Za účelem dalšího posouzení souladu s bodem 461 pokynů: </w:t>
      </w:r>
    </w:p>
    <w:p w14:paraId="2E5EF1CD" w14:textId="59962384" w:rsidR="00017826" w:rsidRPr="00017826" w:rsidRDefault="00017826" w:rsidP="00017826">
      <w:pPr>
        <w:numPr>
          <w:ilvl w:val="0"/>
          <w:numId w:val="122"/>
        </w:numPr>
        <w:spacing w:before="120" w:after="120"/>
        <w:jc w:val="both"/>
      </w:pPr>
      <w:r>
        <w:t>Uveďte lhůty navrhované členským státem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Potvrďte, že průběžná a závěrečná hodnotící zpráva budou zveřejněny. Uveďte datum a internetový odkaz, kde budou tyto zprávy veřejně dostupné.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E8439E">
            <w:pPr>
              <w:keepNext/>
              <w:spacing w:before="70" w:after="70"/>
              <w:ind w:left="374"/>
              <w:jc w:val="center"/>
              <w:rPr>
                <w:rFonts w:eastAsia="Times New Roman"/>
                <w:b/>
                <w:iCs/>
                <w:sz w:val="32"/>
                <w:szCs w:val="32"/>
              </w:rPr>
            </w:pPr>
            <w:r>
              <w:rPr>
                <w:b/>
                <w:sz w:val="32"/>
              </w:rPr>
              <w:lastRenderedPageBreak/>
              <w:t>Oddíl D: Předkládání zpráv a sledování</w:t>
            </w:r>
          </w:p>
        </w:tc>
      </w:tr>
    </w:tbl>
    <w:p w14:paraId="6975FD00" w14:textId="7876D36D" w:rsidR="006725F7" w:rsidRPr="006725F7" w:rsidRDefault="006725F7" w:rsidP="00E8439E">
      <w:pPr>
        <w:keepNext/>
        <w:spacing w:before="360" w:after="120"/>
        <w:jc w:val="both"/>
        <w:rPr>
          <w:i/>
          <w:iCs/>
          <w:color w:val="000000"/>
        </w:rPr>
      </w:pPr>
      <w:r>
        <w:rPr>
          <w:i/>
          <w:color w:val="000000"/>
        </w:rPr>
        <w:t>Pro poskytnutí informací v tomto oddíle viz oddíl 6 (body 464–465) pokynů.</w:t>
      </w:r>
    </w:p>
    <w:p w14:paraId="29B090CF" w14:textId="307F0833" w:rsidR="004B0C34" w:rsidRPr="0051324D" w:rsidRDefault="006725F7" w:rsidP="006725F7">
      <w:pPr>
        <w:numPr>
          <w:ilvl w:val="0"/>
          <w:numId w:val="50"/>
        </w:numPr>
        <w:spacing w:before="120" w:after="120"/>
        <w:ind w:left="567" w:hanging="567"/>
        <w:jc w:val="both"/>
      </w:pPr>
      <w:r>
        <w:t>Potvrďte, že členský stát splní požadavky na předkládání zpráv a sledování stanovené v oddíle 6 bodech 464 a 465 pokynů.</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t>Úř. věst. C 80, 18.2.2022, s. 1.</w:t>
      </w:r>
    </w:p>
  </w:footnote>
  <w:footnote w:id="3">
    <w:p w14:paraId="0B630B34" w14:textId="27EB67F8" w:rsidR="00EA14A3" w:rsidRDefault="00EA14A3" w:rsidP="00EA14A3">
      <w:pPr>
        <w:pStyle w:val="FootnoteText"/>
      </w:pPr>
      <w:r>
        <w:rPr>
          <w:rStyle w:val="FootnoteReference"/>
        </w:rPr>
        <w:footnoteRef/>
      </w:r>
      <w:r>
        <w:tab/>
        <w:t xml:space="preserve">Upozorňujeme, že u režimu podpory se dobou trvání rozumí doba, během níž lze o podporu žádat a rozhodnout o ní (tedy i včetně doby potřebné ke schválení žádostí o podporu orgány). Doba trvání uvedená v této otázce se netýká doby trvání smluv uzavřených v rámci režimu podpory, které mohou pokračovat i po skončení doby trvání opatření. </w:t>
      </w:r>
    </w:p>
  </w:footnote>
  <w:footnote w:id="4">
    <w:p w14:paraId="3A1CFF23" w14:textId="4C37DE38" w:rsidR="0091313C" w:rsidRPr="0067348B" w:rsidRDefault="0091313C" w:rsidP="0091313C">
      <w:pPr>
        <w:pStyle w:val="FootnoteText"/>
      </w:pPr>
      <w:r>
        <w:rPr>
          <w:rStyle w:val="FootnoteReference"/>
        </w:rPr>
        <w:footnoteRef/>
      </w:r>
      <w:r>
        <w:tab/>
        <w:t>Upozorňujeme, že změna skutečného nebo odhadovaného rozpočtu může znamenat změnu podpory, která vyžaduje nové oznámení.</w:t>
      </w:r>
    </w:p>
  </w:footnote>
  <w:footnote w:id="5">
    <w:p w14:paraId="74B9E2E9" w14:textId="0D0057EF" w:rsidR="007B4268" w:rsidRPr="007B4268" w:rsidRDefault="007B4268">
      <w:pPr>
        <w:pStyle w:val="FootnoteText"/>
      </w:pPr>
      <w:r>
        <w:rPr>
          <w:rStyle w:val="FootnoteReference"/>
        </w:rPr>
        <w:footnoteRef/>
      </w:r>
      <w:r>
        <w:tab/>
        <w:t>Odkazy na „poplatky“ v této podotázce by měly být chápány tak, že zahrnují rovněž ekologické daně.</w:t>
      </w:r>
    </w:p>
  </w:footnote>
  <w:footnote w:id="6">
    <w:p w14:paraId="771807DF" w14:textId="613A2033" w:rsidR="004B0D99" w:rsidRPr="00FC5A51" w:rsidRDefault="004B0D99" w:rsidP="004B0D99">
      <w:pPr>
        <w:pStyle w:val="FootnoteText"/>
      </w:pPr>
      <w:r>
        <w:rPr>
          <w:rStyle w:val="FootnoteReference"/>
        </w:rPr>
        <w:footnoteRef/>
      </w:r>
      <w:r>
        <w:tab/>
        <w:t>Například porovnáním použitelné základní sazby se sníženími s použitelnou základní sazbou bez snížení, počtu podniků, které by podléhaly celkové dani nebo poplatku, nebo jiných ukazatelů odrážejících skutečnou změnu chování, které poškozuje životní prostředí.</w:t>
      </w:r>
    </w:p>
  </w:footnote>
  <w:footnote w:id="7">
    <w:p w14:paraId="415B82D4" w14:textId="0DF21D19" w:rsidR="00B40F1D" w:rsidRPr="00B40F1D" w:rsidRDefault="00B40F1D">
      <w:pPr>
        <w:pStyle w:val="FootnoteText"/>
      </w:pPr>
      <w:r>
        <w:rPr>
          <w:rStyle w:val="FootnoteReference"/>
        </w:rPr>
        <w:footnoteRef/>
      </w:r>
      <w:r>
        <w:tab/>
        <w:t>Tyto dohody nebo závazky se mohou kromě jiného týkat snížení spotřeby energie, snížení emisí a jiných znečišťujících látek nebo jakýchkoli jiných opatření na ochranu životního prostředí.</w:t>
      </w:r>
    </w:p>
  </w:footnote>
  <w:footnote w:id="8">
    <w:p w14:paraId="389D3F63" w14:textId="1C52F005" w:rsidR="00044DC5" w:rsidRDefault="00044DC5">
      <w:pPr>
        <w:pStyle w:val="FootnoteText"/>
      </w:pPr>
      <w:r>
        <w:rPr>
          <w:rStyle w:val="FootnoteReference"/>
        </w:rPr>
        <w:footnoteRef/>
      </w:r>
      <w:r>
        <w:tab/>
        <w:t>Centrálně řízené financování ze strany Unie je financování ze strany Unie, které řídí orgány, agentury, společné podniky nebo jiné subjekty Evropské unie, které nejsou přímo ani nepřímo pod kontrolou členského státu.</w:t>
      </w:r>
    </w:p>
  </w:footnote>
  <w:footnote w:id="9">
    <w:p w14:paraId="1A49E979" w14:textId="34CEC28A" w:rsidR="00017826" w:rsidRDefault="00017826" w:rsidP="00017826">
      <w:pPr>
        <w:pStyle w:val="FootnoteText"/>
      </w:pPr>
      <w:r>
        <w:rPr>
          <w:rStyle w:val="FootnoteReference"/>
        </w:rPr>
        <w:footnoteRef/>
      </w:r>
      <w:r>
        <w:tab/>
        <w:t xml:space="preserve">Vzor doplňkového informačního listu pro oznámení plánu hodnocení (část III.8) je k dispozici zde: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5D40"/>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4772"/>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439E"/>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cs-CZ"/>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3431</Words>
  <Characters>17675</Characters>
  <Application>Microsoft Office Word</Application>
  <DocSecurity>0</DocSecurity>
  <Lines>401</Lines>
  <Paragraphs>149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DUCHON Jana (DGT)</cp:lastModifiedBy>
  <cp:revision>9</cp:revision>
  <cp:lastPrinted>2022-04-12T14:59:00Z</cp:lastPrinted>
  <dcterms:created xsi:type="dcterms:W3CDTF">2024-08-22T12:39:00Z</dcterms:created>
  <dcterms:modified xsi:type="dcterms:W3CDTF">2024-10-07T10:46:00Z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