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Cuid III.6</w:t>
            </w:r>
          </w:p>
          <w:p w14:paraId="6E9C4C7E" w14:textId="620BA570" w:rsidR="000442F5" w:rsidRPr="009916D5" w:rsidRDefault="001F242D" w:rsidP="007B485D">
            <w:pPr>
              <w:pStyle w:val="Heading2"/>
              <w:spacing w:before="240" w:after="240"/>
              <w:jc w:val="center"/>
              <w:rPr>
                <w:sz w:val="32"/>
                <w:szCs w:val="32"/>
              </w:rPr>
            </w:pPr>
            <w:r>
              <w:rPr>
                <w:sz w:val="32"/>
              </w:rPr>
              <w:t>Bileog faisnéise forlíontaí maidir le Státchabhair a dheonaítear faoi na Treoirlínte maidir le Státchabhair le haghaidh na haeráide, chosaint an chomhshaoil agus an fhuinnimh 2022 (‘CEEAG’)</w:t>
            </w:r>
            <w:r>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Caibidil 4.7.1 – Cabhair i bhfoirm laghduithe ar chánacha comhshaoil nó ar thobhaigh pharaifioscacha</w:t>
            </w:r>
          </w:p>
        </w:tc>
      </w:tr>
    </w:tbl>
    <w:p w14:paraId="27F0F629" w14:textId="4927A87E" w:rsidR="000442F5" w:rsidRPr="00711243" w:rsidRDefault="000442F5" w:rsidP="004779D5">
      <w:pPr>
        <w:spacing w:before="360" w:after="120"/>
        <w:ind w:right="-142"/>
        <w:jc w:val="both"/>
        <w:rPr>
          <w:i/>
          <w:iCs/>
        </w:rPr>
      </w:pPr>
      <w:r>
        <w:rPr>
          <w:i/>
        </w:rPr>
        <w:t>Ní mór an bhileog faisnéise forlíontaí seo a úsáid chun fógra a thabhairt faoi aon chabhair a chumhdaítear sna Treoirlínte maidir le Státchabhair le haghaidh na haeráide, chosaint an chomhshaoil agus an fhuinnimh 2022 (dá ngairtear ‘CEEAG’ anseo feasta).</w:t>
      </w:r>
    </w:p>
    <w:p w14:paraId="622044AE" w14:textId="108684F2" w:rsidR="009E2EA1" w:rsidRPr="00711243" w:rsidRDefault="0072538B" w:rsidP="6EC7D551">
      <w:pPr>
        <w:spacing w:before="120" w:after="120"/>
        <w:ind w:right="-142"/>
        <w:jc w:val="both"/>
        <w:rPr>
          <w:i/>
          <w:iCs/>
        </w:rPr>
      </w:pPr>
      <w:r>
        <w:rPr>
          <w:i/>
        </w:rPr>
        <w:t xml:space="preserve">Baineann an bhileog faisnéise forlíontaí seo le bearta a chumhdaítear i gCaibidil 4.7.1 CEEAG. Má áirítear san fhógra bearta a chumhdaítear i níos mó ná caibidil amháin CEEAG, líon isteach freisin an bhileog faisnéise forlíontaí a bhaineann leis an gcaibidil lena mbaineann de na Treoirlínte a luaithe a bheidh sí ar fáil. </w:t>
      </w:r>
    </w:p>
    <w:p w14:paraId="516CA0D8" w14:textId="13E1AC51" w:rsidR="00D85EEE" w:rsidRDefault="009E2EA1" w:rsidP="0BD92DCE">
      <w:pPr>
        <w:spacing w:before="120" w:after="120"/>
        <w:ind w:right="-142"/>
        <w:jc w:val="both"/>
      </w:pPr>
      <w:r>
        <w:rPr>
          <w:i/>
        </w:rPr>
        <w:t>Na doiciméid uile a sholáthraíonn na Ballstáit mar iarscríbhinní a ghabhann leis an mbileog faisnéise forlíontaí sin, ní mór iad a bheith uimhrithe agus ní mór uimhreacha doiciméid a bheith léirithe sna ranna ábhartha den bhileog faisnéise forlíontaí sin.</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20A6FF90" w:rsidR="000442F5" w:rsidRPr="009916D5" w:rsidRDefault="00193E48" w:rsidP="007B7B48">
            <w:pPr>
              <w:spacing w:before="120" w:after="120"/>
              <w:jc w:val="center"/>
              <w:rPr>
                <w:b/>
                <w:iCs/>
                <w:sz w:val="32"/>
                <w:szCs w:val="32"/>
              </w:rPr>
            </w:pPr>
            <w:r>
              <w:br w:type="page"/>
            </w:r>
            <w:r>
              <w:br w:type="page"/>
            </w:r>
            <w:r>
              <w:rPr>
                <w:b/>
                <w:sz w:val="32"/>
              </w:rPr>
              <w:t>Roinn A: Achoimre ar phríom</w:t>
            </w:r>
            <w:r w:rsidR="00BF4EF7">
              <w:rPr>
                <w:b/>
                <w:sz w:val="32"/>
              </w:rPr>
              <w:t>h</w:t>
            </w:r>
            <w:r w:rsidR="00BF4EF7">
              <w:rPr>
                <w:b/>
                <w:sz w:val="32"/>
              </w:rPr>
              <w:noBreakHyphen/>
            </w:r>
            <w:r>
              <w:rPr>
                <w:b/>
                <w:sz w:val="32"/>
              </w:rPr>
              <w:t>shaintréithe an bhirt/na mbeart</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Cúlra agus cuspóir/cuspóirí an bhirt/na mbeart:</w:t>
      </w:r>
    </w:p>
    <w:p w14:paraId="7E6887E3" w14:textId="5168D153" w:rsidR="00EA14A3" w:rsidRDefault="00D3344D" w:rsidP="00EA14A3">
      <w:pPr>
        <w:pStyle w:val="ListParagraph"/>
        <w:numPr>
          <w:ilvl w:val="0"/>
          <w:numId w:val="67"/>
        </w:numPr>
        <w:spacing w:after="240"/>
        <w:ind w:left="993" w:hanging="142"/>
        <w:jc w:val="both"/>
      </w:pPr>
      <w:r>
        <w:t xml:space="preserve">Más rud é nár pléadh iad cheana féin faoi roinn 5.2 den Fhoirm Faisnéise Ginearálta (Cuid I), tabhair an cúlra agus an príomhchuspóir, lena </w:t>
      </w:r>
      <w:r w:rsidR="00BF4EF7">
        <w:t>n</w:t>
      </w:r>
      <w:r w:rsidR="00BF4EF7">
        <w:noBreakHyphen/>
      </w:r>
      <w:r>
        <w:t xml:space="preserve">áirítear an nasc le haon spriocanna de chuid an Aontais a bhfuil sé beartaithe leis an mbeart tacú leo.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Más rud é nár pléadh iad cheana féin faoi roinn 5.2 den Fhoirm Faisnéise Ginearálta (Cuid I), sonraigh aon chuspóir eile atá á shaothrú leis an mbeart. I gcás aon chuspóir nach cuspóir comhshaoil amach is amach é, mínigh cé acu a d’fhéadfadh nó nach bhféadfadh aon saobhadh ar an margadh inmheánach a bheith mar thoradh air.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Teacht i bhfeidhm agus fad:</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Más rud é nár pléadh iad cheana féin faoi roinn 5.5 den Fhoirm Faisnéise Ginearálta (Cuid I), tabhair:</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Le haghaidh scéim cabhrach: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an dáta óna mbeartaítear go dtiocfaidh an scéim i bhfeidhm;</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fad na scéime</w:t>
      </w:r>
      <w:r>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Le haghaidh cabhair aonair: dáta (beartaithe) deonaithe na cabhrach (gealltanas na cabhrach) agus an dáta íocaíochta (an chéad dáta íocaíochta má dhéantar foráil maidir le híocaíochtaí éagsúla i ndiaidh a chéile):</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Tairbhí/tairbhithe:</w:t>
      </w:r>
    </w:p>
    <w:p w14:paraId="5266FC05" w14:textId="60C34F9E" w:rsidR="00BC5DDD" w:rsidRDefault="00CF3861" w:rsidP="00C52CFD">
      <w:pPr>
        <w:pStyle w:val="ListParagraph"/>
        <w:numPr>
          <w:ilvl w:val="0"/>
          <w:numId w:val="68"/>
        </w:numPr>
        <w:spacing w:after="240"/>
        <w:ind w:hanging="229"/>
        <w:jc w:val="both"/>
        <w:rPr>
          <w:szCs w:val="24"/>
        </w:rPr>
      </w:pPr>
      <w:r>
        <w:t>Mura bhfuil sé curtha ar fáil cheana faoi roinn 3 den Fhoirm Faisnéise Ginearálta (Cuid I), tabhair tuairisc ar thairbhí (féideartha) an bhirt/na mbeart;</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lastRenderedPageBreak/>
        <w:t>Sonraigh suíomh an tairbhí/na dtairbhithe (i.e. mura bhfuil ach eintitis eacnamaíocha atá lonnaithe sna Ballstáit lena mbaineann nó i mBallstáit eile freisin incháilithe chun páirt a ghlacadh sa bheart).</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t xml:space="preserve">Chun measúnú a dhéanamh ar chomhlíonadh phointe 15 CEEAG, sonraigh an ndeonaítear cabhair faoin mbeart/faoi na bearta i bhfabhar gnóthas (gnóthas aonair nó cuid de scéim) atá faoi réir ordú gnóthaithe gan íoc tar éis cinneadh roimhe sin ón gCoimisiún lena ndearbhaítear go bhfuil cabhair neamhdhleathach agus neamh‐chomhoiriúnach leis an margadh inmheánach.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Más amhlaidh, tabhair faisnéis maidir leis an méid cabhrach atá fós le haisghabháil ionas go gcuirfidh an Coimisiún san áireamh é sa mheasúnú ar an mbeart chabhrach/ar na bearta cabhrach.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Deimhnigh nach mbaineann an beart/na bearta le cabhair le haghaidh gníomhaíochtaí nach dtagann faoi raon feidhme chur i bhfeidhm na dTreoirlínte (féach pointe 13 CEEAG). Murab amhlaidh, tabhair sonraí.</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rPr>
        <w:t>Buiséad agus maoiniú an bhirt/na mbeart</w:t>
      </w:r>
      <w:bookmarkEnd w:id="2"/>
      <w:r>
        <w:rPr>
          <w:b/>
        </w:rPr>
        <w:t>:</w:t>
      </w:r>
    </w:p>
    <w:p w14:paraId="55F66F73" w14:textId="4B5A727A"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 xml:space="preserve">Mura bhfuil sé luaite cheana sa tábla faoi roinn 7.1 den Fhoirm Faisnéise Ginearálta (Cuid I), tabhair an buiséad bliantúil agus/nó an buiséad iomlán le haghaidh fhad iomlán an bhirt/na mbeart; murab eol an buiséad iomlán (mar shampla braitheann sé ar thorthaí na dtairiscintí), sonraigh buiséad measta, lena </w:t>
      </w:r>
      <w:r w:rsidR="00BF4EF7">
        <w:t>n</w:t>
      </w:r>
      <w:r w:rsidR="00BF4EF7">
        <w:noBreakHyphen/>
      </w:r>
      <w:r>
        <w:t>áirítear na toimhdí a úsáideadh chun an buiséad measta lena mbaineann a ríomh.</w:t>
      </w:r>
      <w:r>
        <w:rPr>
          <w:rFonts w:cs="Arial Unicode MS"/>
          <w:bCs/>
          <w:vertAlign w:val="superscript"/>
          <w:lang w:bidi="si-LK"/>
        </w:rPr>
        <w:footnoteReference w:id="4"/>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ós rud é go mbaineann an beart le cáin chomhshaoil/tobhach paraifhioscach</w:t>
      </w:r>
      <w:r>
        <w:rPr>
          <w:rStyle w:val="FootnoteReference"/>
          <w:rFonts w:cs="Arial Unicode MS"/>
          <w:lang w:bidi="si-LK"/>
        </w:rPr>
        <w:footnoteReference w:id="5"/>
      </w:r>
      <w:r>
        <w:t>, soiléirigh an méid seo a leanas:</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an le dlí nó le haon ghníomh reachtach eile a shocraítear an tobhach; más amhlaidh, tabhair an gníomh dlí, uimhir agus dáta a ghlactha agus a theacht i bhfeidhm, an nasc idirlín chuig an ngníomh dlí;</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an maoinítear an laghdú tobhaigh tríd an tobhach a ardú do thomhaltóirí eile;</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an ngearrtar an tobhach go cothrom ar tháirgí intíre agus allmhairithe;</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lastRenderedPageBreak/>
        <w:t>an rachaidh an beart chun tairbhe go cothrom do tháirgeoirí intíre agus do tháirgeoirí allmhairithe;</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an maoinítear an beart go hiomlán nó go páirteach leis an tobhach. Mura maoinítear an beart ach go páirteach leis an tobhach, sonraigh foinsí eile maoinithe an bhirt agus cion gach foinse acu sin.</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an maoinítear bearta cabhrach eile leis an tobhach lena maoinítear an beart. Más amhlaidh, sonraigh na bearta cabhrach eile a mhaoinítear leis an tobhach lena mbaineann.</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Roinn B: Measúnú comhoiriúnachta ar an gcabhair</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Coinníoll dearfach: ní mór forbairt gníomhaíochta eacnamaíche a éascú leis an gcabhair</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Rannchuidiú le forbairt gníomhaíochta eacnamaíche, éifeacht dreasachta, réasúnaíocht na cabhrach agus raon feidhme na ngníomhaíochtaí a dtacaítear leo</w:t>
            </w:r>
          </w:p>
        </w:tc>
      </w:tr>
    </w:tbl>
    <w:p w14:paraId="2870642B" w14:textId="029644F0" w:rsidR="000442F5" w:rsidRPr="00DB40A5" w:rsidRDefault="000442F5" w:rsidP="7963440A">
      <w:pPr>
        <w:spacing w:before="360" w:after="120"/>
        <w:jc w:val="both"/>
        <w:rPr>
          <w:i/>
          <w:iCs/>
        </w:rPr>
      </w:pPr>
      <w:r>
        <w:rPr>
          <w:i/>
        </w:rPr>
        <w:t>Chun an fhaisnéis sa roinn seo a sholáthar, féach ranna 3.1.1 agus 3.1.2,</w:t>
      </w:r>
      <w:bookmarkStart w:id="4" w:name="_Hlk172821826"/>
      <w:r>
        <w:rPr>
          <w:i/>
        </w:rPr>
        <w:t xml:space="preserve"> a mhéid atá siad infheidhme maidir leis an mbeart/na bearta</w:t>
      </w:r>
      <w:bookmarkEnd w:id="4"/>
      <w:r>
        <w:rPr>
          <w:i/>
        </w:rPr>
        <w:t xml:space="preserve">, agus </w:t>
      </w:r>
      <w:r>
        <w:rPr>
          <w:i/>
          <w:color w:val="000000"/>
        </w:rPr>
        <w:t>ranna 4.7.1.1 agus 4.7.1.2 (pointí 293-296)</w:t>
      </w:r>
      <w:r>
        <w:rPr>
          <w:i/>
        </w:rPr>
        <w:t xml:space="preserve"> CEEAG. </w:t>
      </w:r>
    </w:p>
    <w:p w14:paraId="7ABF90FF" w14:textId="10B3288E" w:rsidR="00864DCD" w:rsidRPr="00DB40A5" w:rsidRDefault="006B6657" w:rsidP="00FC6014">
      <w:pPr>
        <w:pStyle w:val="ListParagraph"/>
        <w:numPr>
          <w:ilvl w:val="0"/>
          <w:numId w:val="50"/>
        </w:numPr>
        <w:spacing w:before="120" w:after="120"/>
        <w:ind w:left="567" w:hanging="567"/>
        <w:contextualSpacing w:val="0"/>
        <w:jc w:val="both"/>
      </w:pPr>
      <w:r>
        <w:t xml:space="preserve">Le hAirteagal 107(3)(c) CFAE foráiltear go bhféadfaidh an Coimisiún a dhearbhú go bhfuil cabhair áirithe ag luí leis an margadh inmheánach, is é sin ‘cabhair chun forbairt gníomhaíochtaí eacnamaíocha áirithe nó limistéar eacnamaíoch áirithe a éascú, nuair nach </w:t>
      </w:r>
      <w:r w:rsidR="00BF4EF7">
        <w:t>n</w:t>
      </w:r>
      <w:r w:rsidR="00BF4EF7">
        <w:noBreakHyphen/>
      </w:r>
      <w:r>
        <w:t xml:space="preserve">athraíonn an chabhair sin dálaí trádála an oiread go mbeadh dochar ann don leas coiteann’. Dá bhrí sin, le cabhair a luíonn leis an margadh inmheánach faoin bhforáil sin den Chonradh ní mór rannchuidiú le forbairt gníomhaíochta eacnamaíche áirithe. </w:t>
      </w:r>
    </w:p>
    <w:p w14:paraId="52F709B3" w14:textId="79C6C83F" w:rsidR="00EE2FCC" w:rsidRPr="00864DCD" w:rsidRDefault="00CB486E" w:rsidP="00864DCD">
      <w:pPr>
        <w:pStyle w:val="ListParagraph"/>
        <w:spacing w:before="120" w:after="120"/>
        <w:ind w:left="567"/>
        <w:contextualSpacing w:val="0"/>
        <w:jc w:val="both"/>
      </w:pPr>
      <w:r>
        <w:t>Chun measúnú a dhéanamh ar chomhlíonadh phointe 23 CEEAG, sainaithin na gníomhaíochtaí eacnamaíocha a éascófar mar thoradh ar an gcabhair agus conas a thacaítear le forbairt na ngníomhaíochtaí sin.</w:t>
      </w:r>
    </w:p>
    <w:p w14:paraId="6A3BF1A4" w14:textId="77777777" w:rsidR="000442F5" w:rsidRDefault="000442F5" w:rsidP="000442F5">
      <w:pPr>
        <w:tabs>
          <w:tab w:val="left" w:leader="dot" w:pos="9072"/>
        </w:tabs>
        <w:spacing w:before="120" w:after="120"/>
        <w:ind w:left="567"/>
        <w:jc w:val="both"/>
      </w:pPr>
      <w:r>
        <w:tab/>
      </w:r>
    </w:p>
    <w:p w14:paraId="6D343402" w14:textId="3C4BBDEE" w:rsidR="004B0D99" w:rsidRPr="00864DCD" w:rsidRDefault="004B0D99" w:rsidP="004B0D99">
      <w:pPr>
        <w:pStyle w:val="ListParagraph"/>
        <w:numPr>
          <w:ilvl w:val="0"/>
          <w:numId w:val="50"/>
        </w:numPr>
        <w:spacing w:before="120" w:after="120"/>
        <w:ind w:left="567" w:hanging="567"/>
        <w:contextualSpacing w:val="0"/>
        <w:jc w:val="both"/>
      </w:pPr>
      <w:r>
        <w:t xml:space="preserve">Ní féidir a mheas go </w:t>
      </w:r>
      <w:r w:rsidR="00BF4EF7">
        <w:t>n</w:t>
      </w:r>
      <w:r w:rsidR="00BF4EF7">
        <w:noBreakHyphen/>
      </w:r>
      <w:r>
        <w:t>éascaíonn cabhair gníomhaíocht eacnamaíoch ach amháin má tá éifeacht dreasachta aici. Chun measúnú a dhéanamh ar chomhlíonadh roinn 3.1.2 CEEAG, mínigh conas a ‘spreagann [an beart/na bearta] an tairbhí chun a iompraíocht a athrú, chun dul i mbun gníomhaíocht eacnamaíoch bhreise nó gníomhaíocht eacnamaíoch atá níos neamhdhíobhálaí don chomhshaol, nach ndéanfadh sé gan an chabhair nó a dhéanfadh sé ar bhealach srianta nó éagsúil’, i bhfianaise na réasúnaíochta leis an gcabhair mar a mhínítear i roinn 4.7.1.1 CEEAG.</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lastRenderedPageBreak/>
        <w:t xml:space="preserve">Chun measúnú a dhéanamh ar chomhlíonadh phointe 293 CEEAG, tabhair tuairisc ar (i) laghduithe ar chánacha comhshaoil nó ar thobhaigh pharaifhioscacha a d’fhéadfadh tionchar diúltach a imirt ar chuspóir na cosanta comhshaoil, cén fáth a bhféadfadh gá a bheith leo, mar sin féin, agus (ii) cén fáth a bhféadfadh, murach sin, na tairbhithe a bheith faoi mhíbhuntáiste iomaíoch chomh mór sin nach mbeadh sé indéanta an cháin chomhshaoil nó an tobhach paraifhioscach a thabhairt isteach ar an gcéad dul síos.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Chun measúnú a dhéanamh ar chomhlíonadh phointe 294 CEEAG, tabhair tuairisc ar an méid seo a leanas:</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cén fáth a bhféadfaí ‘leibhéal ginearálta ranníocaíochta níos airde do na cánacha comhshaoil nó do thobhaigh pharaifhioscacha’ a bhaint amach ‘trí chóireáil níos fabhraí a dheonú do roinnt gnóthas’; </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t xml:space="preserve">cén fáth ar féidir ‘le laghduithe ar chánacha nó tobhaigh chomhshaoil cur go hindíreach le leibhéal níos airde cosanta comhshaoil’; agus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conas a áirithíonn an Ballstát nach ndéanfaí le laghdaithe den sórt sin ‘an bonn a bhaint de chuspóir foriomlán na cánach comhshaoil nó an tobhaigh pharaifhioscaigh chun iompraíocht dhíobhálach don chomhshaol a dhíspreagadh agus/nó chun an costas a bhaineann le hiompraíocht den sórt sin a mhéadú i gcás nach bhfuil roghanna malartacha sásúla ar fáil’</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Chun measúnú a dhéanamh ar chomhlíonadh phointe 295 CEEAG, tabhair an fhaisnéis a dtugtar tuairisc uirthi i bpointe 296 CEEAG:</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Tuairisc ar na hearnálacha nó ar na catagóirí tairbhithe atá incháilithe le haghaidh na laghduithe</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Liosta de na tairbhithe is mó i ngach earnáil lena mbaineann, a láimhdeachas, a sciartha den mhargadh, méid an bhoinn cánach agus an chuid a bheadh sa cháin nó sa tobhach comhshaoil ina mbrabús réamhchánach, i dteannta an laghdaithe agus ina éagmais (is féidir liosta a chur ar fáil in iarscríbhinn ar leith a ghabhann leis an mbileog faisnéise forlíontaí seo).</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Tuairisc ar chás na dtairbhithe sin ina mínítear cén fáth nach mbeidís in ann an ráta caighdeánach cánach nó tobhaigh comhshaoil a íoc.</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Míniú ar an gcaoi a gcuirfeadh an cháin laghdaithe nó an tobhach laghdaithe le méadú iarbhír ar leibhéal na cosanta comhshaoil i gcomparáid le leibhéal na cosanta comhshaoil atá le baint amach in éagmais laghduithe</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lastRenderedPageBreak/>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Gan sárú ar aon fhoráil ábhartha de dhlí an Aontais</w:t>
            </w:r>
          </w:p>
        </w:tc>
      </w:tr>
    </w:tbl>
    <w:p w14:paraId="243B3743" w14:textId="21186291" w:rsidR="00DE1D68" w:rsidRDefault="00DE1D68" w:rsidP="00DE1D68">
      <w:pPr>
        <w:spacing w:before="360" w:after="120"/>
        <w:jc w:val="both"/>
        <w:rPr>
          <w:i/>
        </w:rPr>
      </w:pPr>
      <w:r>
        <w:rPr>
          <w:i/>
        </w:rPr>
        <w:t xml:space="preserve">Chun an fhaisnéis sa roinn seo a sholáthar, féach roinn 3.1.3 (pointe 33) CEEAG.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Tabhair faisnéis chun comhlíonadh fhorálacha ábhartha dhlí an Aontais a dheimhniú, i gcomhréir le pointe 33 CEEAG.</w:t>
      </w:r>
    </w:p>
    <w:p w14:paraId="3C6D34A5" w14:textId="3EAA3816" w:rsidR="00B36913" w:rsidRDefault="00B36913" w:rsidP="00B36913">
      <w:pPr>
        <w:tabs>
          <w:tab w:val="left" w:leader="dot" w:pos="9072"/>
        </w:tabs>
        <w:spacing w:before="120" w:after="120"/>
        <w:ind w:left="567"/>
        <w:jc w:val="both"/>
      </w:pPr>
      <w: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Má úsáidtear tobhach chun an beart/na bearta a mhaoiniú, soiléirigh an gá an measúnú a dhéanamh ar chomhlíonadh Airteagail 30 agus 110 CFAE. Más gá, léirigh conas a chomhlíonann an beart forálacha Airteagail 30 agus 110 CFAE. Sa chomhthéacs sin, is féidir tagairt a dhéanamh don fhaisnéis a chuirtear isteach faoi cheist </w:t>
      </w:r>
      <w:r>
        <w:fldChar w:fldCharType="begin"/>
      </w:r>
      <w:r>
        <w:instrText xml:space="preserve"> REF _Ref172736116 \w \h </w:instrText>
      </w:r>
      <w:r>
        <w:fldChar w:fldCharType="separate"/>
      </w:r>
      <w:r>
        <w:t>5</w:t>
      </w:r>
      <w:r>
        <w:fldChar w:fldCharType="end"/>
      </w:r>
      <w:r>
        <w:t>.</w:t>
      </w:r>
      <w:r>
        <w:fldChar w:fldCharType="begin"/>
      </w:r>
      <w:r>
        <w:instrText xml:space="preserve"> REF _Ref172736090 \r \h </w:instrText>
      </w:r>
      <w:r>
        <w:fldChar w:fldCharType="separate"/>
      </w:r>
      <w:r>
        <w:t>ii</w:t>
      </w:r>
      <w:r>
        <w:fldChar w:fldCharType="end"/>
      </w:r>
      <w:r>
        <w:t>. thuas.</w:t>
      </w:r>
    </w:p>
    <w:p w14:paraId="333F5B86" w14:textId="36575F7E" w:rsidR="00CC29A8" w:rsidRPr="00F83660" w:rsidRDefault="00544B04" w:rsidP="00B36913">
      <w:pPr>
        <w:tabs>
          <w:tab w:val="left" w:leader="dot" w:pos="9072"/>
        </w:tabs>
        <w:spacing w:before="120" w:after="120"/>
        <w:ind w:left="567"/>
        <w:jc w:val="both"/>
        <w:rPr>
          <w:color w:val="000000"/>
        </w:rPr>
      </w:pPr>
      <w: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Coinníoll diúltach: ní féidir leis an gcabhair difear míchuí a dhéanamh do choinníollacha trádála an oiread is go mbeadh dochar ann don leas coiteann</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Íoslaghdú ar shaobhadh iomaíochta agus trádála</w:t>
            </w:r>
          </w:p>
        </w:tc>
      </w:tr>
    </w:tbl>
    <w:p w14:paraId="40A64058" w14:textId="230E5E86" w:rsidR="00EC33DD" w:rsidRDefault="00EC33DD" w:rsidP="00A46DF5">
      <w:pPr>
        <w:spacing w:before="360" w:after="120"/>
        <w:rPr>
          <w:i/>
          <w:color w:val="000000"/>
        </w:rPr>
      </w:pPr>
      <w:r>
        <w:rPr>
          <w:i/>
          <w:color w:val="000000"/>
        </w:rPr>
        <w:t>Tabhair faoi deara gur ranna malartacha iad roinn 2.1.1 agus roinn 2.1.2. Maidir le cásanna atá incháilithe le haghaidh cur chuige simplithe i gcomhréir le roinn 2.1.1 thíos, ní gá freagraí faoi roinn 2.1.2 a thabhairt.</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Cur chuige simplithe maidir le cánacha comhshaoil comhchuibhithe</w:t>
            </w:r>
          </w:p>
        </w:tc>
      </w:tr>
    </w:tbl>
    <w:p w14:paraId="3BC9FD96" w14:textId="596445AB" w:rsidR="00877483" w:rsidRDefault="001D4B25" w:rsidP="00506D80">
      <w:pPr>
        <w:spacing w:before="360" w:after="120"/>
        <w:rPr>
          <w:i/>
          <w:color w:val="000000"/>
        </w:rPr>
      </w:pPr>
      <w:r>
        <w:rPr>
          <w:i/>
          <w:color w:val="000000"/>
        </w:rPr>
        <w:t>Chun an fhaisnéis sa roinn seo a sholáthar, féach roinn 4.7.1.3 (pointí 297-300) CEEAG. Nuair a dhéantar cánacha comhshaoil a chomhchuibhiú, féadfaidh an Coimisiún cur chuige simplithe a chur i bhfeidhm chun riachtanas agus comhréireacht na cabhrach a mheasúnú. I gcomhthéacs Threoir 2003/96/CE, féadfaidh an Coimisiún cur chuige simplithe a chur i bhfeidhm maidir le laghduithe ar cháin agus urraim á tabhairt d’íosleibhéal cánach an Aontais a leagtar amach i bpointí 298 agus 299.</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Soiléirigh cé acu a thagann nó nach dtagann an beart/na bearta faoi raon feidhme Threoir 2003/96/CE.</w:t>
      </w:r>
    </w:p>
    <w:p w14:paraId="31537933" w14:textId="77777777" w:rsidR="00877483" w:rsidRPr="00F83660" w:rsidRDefault="00877483" w:rsidP="00877483">
      <w:pPr>
        <w:tabs>
          <w:tab w:val="left" w:leader="dot" w:pos="9072"/>
        </w:tabs>
        <w:spacing w:before="120" w:after="120"/>
        <w:ind w:left="567"/>
        <w:jc w:val="both"/>
        <w:rPr>
          <w:color w:val="000000"/>
        </w:rPr>
      </w:pPr>
      <w:r>
        <w:tab/>
      </w:r>
    </w:p>
    <w:p w14:paraId="428D2E7F" w14:textId="37A8A54F" w:rsidR="00877483" w:rsidRDefault="00877483" w:rsidP="00877483">
      <w:pPr>
        <w:pStyle w:val="ListParagraph"/>
        <w:numPr>
          <w:ilvl w:val="0"/>
          <w:numId w:val="50"/>
        </w:numPr>
        <w:spacing w:before="120" w:after="120"/>
        <w:ind w:left="567" w:hanging="567"/>
        <w:contextualSpacing w:val="0"/>
        <w:jc w:val="both"/>
      </w:pPr>
      <w:r>
        <w:t>Má thagann, agus chun measúnú a dhéanamh ar chomhlíonadh phointe 298 CEEAG, tabhair an fhaisnéis seo a leanas:</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lastRenderedPageBreak/>
        <w:t>Cuir in iúl íosleibhéal cánach an Aontais is infheidhme agus an ráta cánach is infheidhme a d’íoc an tairbhí faoin mbeart.</w:t>
      </w:r>
    </w:p>
    <w:p w14:paraId="0ACDDF07" w14:textId="265B0E6C" w:rsidR="001D4B25" w:rsidRPr="00F83660" w:rsidRDefault="001D4B25" w:rsidP="00A13410">
      <w:pPr>
        <w:tabs>
          <w:tab w:val="left" w:leader="dot" w:pos="9072"/>
        </w:tabs>
        <w:spacing w:before="120" w:after="120"/>
        <w:ind w:left="567"/>
        <w:jc w:val="both"/>
        <w:rPr>
          <w:color w:val="000000"/>
        </w:rPr>
      </w:pPr>
      <w:r>
        <w:tab/>
      </w:r>
    </w:p>
    <w:p w14:paraId="02CEA156" w14:textId="6A56B921" w:rsidR="001D4B25" w:rsidRDefault="001D4B25" w:rsidP="00A46DF5">
      <w:pPr>
        <w:pStyle w:val="ListParagraph"/>
        <w:numPr>
          <w:ilvl w:val="0"/>
          <w:numId w:val="125"/>
        </w:numPr>
        <w:spacing w:before="120" w:after="120"/>
        <w:ind w:left="1434" w:hanging="357"/>
        <w:jc w:val="both"/>
      </w:pPr>
      <w:r>
        <w:t>Tabhair agus mínigh na critéir maidir le roghnú na dtairbhithe. I do fhreagra, mínigh cén fáth a bhfuil siad sin oibiachtúil agus trédhearcach.</w:t>
      </w:r>
    </w:p>
    <w:p w14:paraId="0F12525D" w14:textId="77777777" w:rsidR="001D4B25" w:rsidRPr="00F83660" w:rsidRDefault="001D4B25" w:rsidP="00A13410">
      <w:pPr>
        <w:tabs>
          <w:tab w:val="left" w:leader="dot" w:pos="9072"/>
        </w:tabs>
        <w:spacing w:before="120" w:after="120"/>
        <w:ind w:left="567"/>
        <w:jc w:val="both"/>
        <w:rPr>
          <w:color w:val="000000"/>
        </w:rPr>
      </w:pPr>
      <w:r>
        <w:tab/>
      </w:r>
    </w:p>
    <w:p w14:paraId="5C8B23FD" w14:textId="443E453E" w:rsidR="001D4B25" w:rsidRDefault="001D4B25" w:rsidP="00A46DF5">
      <w:pPr>
        <w:pStyle w:val="ListParagraph"/>
        <w:numPr>
          <w:ilvl w:val="0"/>
          <w:numId w:val="125"/>
        </w:numPr>
        <w:spacing w:before="120" w:after="120"/>
        <w:ind w:left="1434" w:hanging="357"/>
        <w:jc w:val="both"/>
      </w:pPr>
      <w:r>
        <w:t>Deimhnigh go ndeonaítear an chabhair ar an mbealach céanna le haghaidh na ngnóthas uile san earnáil chéanna má tá siad i staid fhíorasach chomhchosúil, agus tabhair tuairisc air sin.</w:t>
      </w:r>
    </w:p>
    <w:p w14:paraId="04E9126D" w14:textId="77777777" w:rsidR="001D4B25" w:rsidRPr="00F83660" w:rsidRDefault="001D4B25" w:rsidP="00A13410">
      <w:pPr>
        <w:tabs>
          <w:tab w:val="left" w:leader="dot" w:pos="9072"/>
        </w:tabs>
        <w:spacing w:before="120" w:after="120"/>
        <w:ind w:left="567"/>
        <w:jc w:val="both"/>
        <w:rPr>
          <w:color w:val="000000"/>
        </w:rPr>
      </w:pPr>
      <w:r>
        <w:tab/>
      </w:r>
    </w:p>
    <w:p w14:paraId="0B049966" w14:textId="63CE693B" w:rsidR="001D4B25" w:rsidRPr="001D4B25" w:rsidRDefault="001D4B25" w:rsidP="00A46DF5">
      <w:pPr>
        <w:pStyle w:val="ListParagraph"/>
        <w:numPr>
          <w:ilvl w:val="0"/>
          <w:numId w:val="125"/>
        </w:numPr>
        <w:spacing w:before="120" w:after="120"/>
        <w:ind w:left="1434" w:hanging="357"/>
        <w:jc w:val="both"/>
      </w:pPr>
      <w:r>
        <w:t xml:space="preserve">Deimhnigh go ndearnadh comhairliúchán poiblí oscailte </w:t>
      </w:r>
      <w:r>
        <w:rPr>
          <w:i/>
        </w:rPr>
        <w:t>ex ante</w:t>
      </w:r>
      <w:r>
        <w:t xml:space="preserve"> inar tugadh tuairisc cheart ar na hearnálacha atá incháilithe le haghaidh na laghduithe agus inar soláthraíodh liosta de na tairbhithe is mó i ngach earnáil. Tabhair fianaise ábhartha maidir leis an gcomhairliúchán sin.</w:t>
      </w:r>
    </w:p>
    <w:p w14:paraId="2399528D" w14:textId="77777777" w:rsidR="00A13410" w:rsidRPr="00F83660" w:rsidRDefault="00A13410" w:rsidP="00A13410">
      <w:pPr>
        <w:tabs>
          <w:tab w:val="left" w:leader="dot" w:pos="9072"/>
        </w:tabs>
        <w:spacing w:before="120" w:after="120"/>
        <w:ind w:left="567"/>
        <w:jc w:val="both"/>
        <w:rPr>
          <w:color w:val="000000"/>
        </w:rPr>
      </w:pPr>
      <w: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Chun measúnú a dhéanamh ar chomhlíonadh phointe 299 CEEAG, déan an méid seo a leanas:</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sonraigh cé acu a dheonaítear nó nach ndeonaítear an chabhair i bhfoirm laghdú ar an ráta cánach nó mar mhéid cúitimh bliantúil seasta (aisíocaíocht cánach), nó mar chomhcheangal den dá rud; </w:t>
      </w:r>
    </w:p>
    <w:p w14:paraId="29E4F3F8" w14:textId="77777777" w:rsidR="00835EF1" w:rsidRPr="00F83660" w:rsidRDefault="00835EF1" w:rsidP="0006694C">
      <w:pPr>
        <w:tabs>
          <w:tab w:val="left" w:leader="dot" w:pos="9072"/>
        </w:tabs>
        <w:spacing w:before="120" w:after="120"/>
        <w:ind w:left="567"/>
        <w:jc w:val="both"/>
        <w:rPr>
          <w:color w:val="000000"/>
        </w:rPr>
      </w:pPr>
      <w:r>
        <w:tab/>
      </w:r>
    </w:p>
    <w:p w14:paraId="0AB82F98" w14:textId="6B7BD8F2" w:rsidR="00835EF1" w:rsidRDefault="00A13410" w:rsidP="00A46DF5">
      <w:pPr>
        <w:pStyle w:val="ListParagraph"/>
        <w:numPr>
          <w:ilvl w:val="0"/>
          <w:numId w:val="126"/>
        </w:numPr>
        <w:spacing w:before="120" w:after="120"/>
        <w:ind w:left="1434" w:hanging="357"/>
        <w:jc w:val="both"/>
      </w:pPr>
      <w:bookmarkStart w:id="6" w:name="_Ref175220906"/>
      <w:r>
        <w:t xml:space="preserve">i gcás ina bhfuil an chabhair (nó cuid di) i bhfoirm aisíocaíocht cánach, deimhnigh (i) go ríomhtar méid na haisíocaíochta cánach ar bhonn sonraí stairiúla, is é sin le rá an leibhéal táirgeachta, agus an </w:t>
      </w:r>
      <w:r w:rsidR="00BF4EF7">
        <w:t>t</w:t>
      </w:r>
      <w:r w:rsidR="00BF4EF7">
        <w:noBreakHyphen/>
      </w:r>
      <w:r>
        <w:t>ídiú nó an truailliú a thaifeadtar i gcás an ghnóthais i mbonnbhliain ar leith; agus (ii) nach dtéann leibhéal na haisíocaíochta cánach thar íosmhéid cánach an Aontais a bheadh dlite don bhonnbhliain murach sin.</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Measúnú cuimsitheach ar an mbeart/na bearta</w:t>
            </w:r>
          </w:p>
        </w:tc>
      </w:tr>
    </w:tbl>
    <w:p w14:paraId="3AF87F76" w14:textId="3D84024B" w:rsidR="00835EF1" w:rsidRPr="00017826" w:rsidRDefault="00017826" w:rsidP="00506D80">
      <w:pPr>
        <w:pStyle w:val="ListParagraph"/>
        <w:spacing w:before="360" w:after="120"/>
        <w:ind w:left="0"/>
        <w:contextualSpacing w:val="0"/>
        <w:jc w:val="both"/>
        <w:rPr>
          <w:i/>
          <w:iCs/>
        </w:rPr>
      </w:pPr>
      <w:r>
        <w:rPr>
          <w:i/>
        </w:rPr>
        <w:t>I gcás ina bhfuil cánacha comhshaoil neam</w:t>
      </w:r>
      <w:r w:rsidR="00BF4EF7">
        <w:rPr>
          <w:i/>
        </w:rPr>
        <w:t>h</w:t>
      </w:r>
      <w:r w:rsidR="00BF4EF7">
        <w:rPr>
          <w:i/>
        </w:rPr>
        <w:noBreakHyphen/>
      </w:r>
      <w:r>
        <w:rPr>
          <w:i/>
        </w:rPr>
        <w:t xml:space="preserve">chomhchuibhithe nó ina </w:t>
      </w:r>
      <w:r w:rsidR="00BF4EF7">
        <w:rPr>
          <w:i/>
        </w:rPr>
        <w:t>n</w:t>
      </w:r>
      <w:r w:rsidR="00BF4EF7">
        <w:rPr>
          <w:i/>
        </w:rPr>
        <w:noBreakHyphen/>
      </w:r>
      <w:r>
        <w:rPr>
          <w:i/>
        </w:rPr>
        <w:t>íocann na tairbhithe níos lú ná íosleibhéal an Aontais maidir leis an gcáin chomhchuibhithe i gcás ina gceadaítear sin le Treoir 2003/96/CE, tá gá le measúnú cuimsitheach ar riachtanas agus comhréireacht na cabhrach.</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Riachtanas na cabhrach</w:t>
            </w:r>
          </w:p>
        </w:tc>
      </w:tr>
    </w:tbl>
    <w:p w14:paraId="3754E3F1" w14:textId="25BB5508" w:rsidR="00663008" w:rsidRPr="00F83660" w:rsidRDefault="6695A805" w:rsidP="6637E879">
      <w:pPr>
        <w:spacing w:before="360" w:after="120"/>
        <w:jc w:val="both"/>
        <w:rPr>
          <w:i/>
          <w:iCs/>
          <w:color w:val="000000"/>
        </w:rPr>
      </w:pPr>
      <w:r>
        <w:rPr>
          <w:i/>
          <w:color w:val="000000"/>
        </w:rPr>
        <w:t>Chun</w:t>
      </w:r>
      <w:r>
        <w:rPr>
          <w:i/>
        </w:rPr>
        <w:t xml:space="preserve"> an fhaisnéis </w:t>
      </w:r>
      <w:r>
        <w:rPr>
          <w:i/>
          <w:color w:val="000000"/>
        </w:rPr>
        <w:t>sa roinn seo a sholáthar, féach roinn 3.2.1.1</w:t>
      </w:r>
      <w:r>
        <w:rPr>
          <w:i/>
        </w:rPr>
        <w:t>, a mhéid atá sí infheidhme maidir leis an mbeart/na bearta</w:t>
      </w:r>
      <w:r>
        <w:rPr>
          <w:i/>
          <w:color w:val="000000"/>
        </w:rPr>
        <w:t>, agus roinn 4.7.1.3.1 (pointí 301-303) CEEAG</w:t>
      </w:r>
      <w:r>
        <w:rPr>
          <w:i/>
        </w:rPr>
        <w:t>.</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lastRenderedPageBreak/>
        <w:t>Chun measúnú a dhéanamh ar chomhlíonadh na gceanglas is infheidhme i roinn 3.2.1.1 CEEAG, tabhair tuairisc ar an gcaoi a bhfuil an beart/na bearta dírithe ar chás inar féidir leis/leo forbairt ábhartha a dhéanamh nach féidir leis an margadh amháin a bhaint amach. I do fhreagra, déan tagairt do chlistí margaidh mar a thugtar tuairisc orthu i bpointe 34 CEEAG, de réir mar is infheidhme, agus mínigh cén fáth nach leor beartais agus bearta eile atá i bhfeidhm cheana féin mar a luaitear i bpointe 35 CEEAG chun aghaidh a thabhairt orthu sin.</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Chun measúnú a dhéanamh ar chomhlíonadh phointe 302 CEEAG, sonraigh cé acu a chomhlíontar na coinníollacha seo a leanas nó nach gcomhlíontar:</w:t>
      </w:r>
    </w:p>
    <w:p w14:paraId="1B5AA814" w14:textId="0C243847" w:rsidR="00E05657" w:rsidRDefault="00E05657" w:rsidP="00A46DF5">
      <w:pPr>
        <w:pStyle w:val="ListParagraph"/>
        <w:numPr>
          <w:ilvl w:val="0"/>
          <w:numId w:val="127"/>
        </w:numPr>
        <w:spacing w:before="120" w:after="120"/>
        <w:ind w:left="1434" w:hanging="357"/>
        <w:jc w:val="both"/>
      </w:pPr>
      <w:r>
        <w:t>tá roghnú na dtairbhithe bunaithe ar chritéir oibiachtúla thrédhearcacha, agus deonaítear an chabhair ar an mbealach céanna le haghaidh na ngnóthas incháilithe uile atá ag oibriú san earnáil chéanna gníomhaíochta eacnamaíche lena mbaineann an cás fíorasach céanna nó i gcás fíorasach comhchosúil maidir le haidhmeanna nó cuspóirí an bhirt cabhrach;</w:t>
      </w:r>
    </w:p>
    <w:p w14:paraId="47208D9B" w14:textId="77777777" w:rsidR="00CC0461" w:rsidRPr="00F83660" w:rsidRDefault="00CC0461" w:rsidP="00CC0461">
      <w:pPr>
        <w:tabs>
          <w:tab w:val="left" w:leader="dot" w:pos="9072"/>
        </w:tabs>
        <w:spacing w:before="120" w:after="120"/>
        <w:ind w:left="567"/>
        <w:jc w:val="both"/>
        <w:rPr>
          <w:color w:val="000000"/>
        </w:rPr>
      </w:pPr>
      <w:r>
        <w:tab/>
      </w:r>
    </w:p>
    <w:p w14:paraId="074ABB4B" w14:textId="52317EEA" w:rsidR="00E05657" w:rsidRDefault="00E05657" w:rsidP="00A46DF5">
      <w:pPr>
        <w:pStyle w:val="ListParagraph"/>
        <w:numPr>
          <w:ilvl w:val="0"/>
          <w:numId w:val="127"/>
        </w:numPr>
        <w:spacing w:before="120" w:after="120"/>
        <w:ind w:left="1434" w:hanging="357"/>
        <w:jc w:val="both"/>
      </w:pPr>
      <w:r>
        <w:t xml:space="preserve">bheadh méadú suntasach ar chostais táirgthe de toradh na cánach comhshaoil nó an tobhaigh pharaifhioscaigh gan an laghdú, arna ríomh mar sciar den oll-bhreisluach i gcás na </w:t>
      </w:r>
      <w:r w:rsidR="00BF4EF7">
        <w:t>n</w:t>
      </w:r>
      <w:r w:rsidR="00BF4EF7">
        <w:noBreakHyphen/>
      </w:r>
      <w:r>
        <w:t>earnálacha uile nó i gcás chatagóirí uile na dtairbhithe (e.g. bunaithe ar fhigiúirí ó thairbhithe ionadaíocha nó ar fhigiúirí comhiomlánaithe don earnáil nó don chatagóir tairbhithe);</w:t>
      </w:r>
    </w:p>
    <w:p w14:paraId="0E21FEDF" w14:textId="4C672574" w:rsidR="00CC0461" w:rsidRPr="00CC0461" w:rsidRDefault="00CC0461" w:rsidP="00CC0461">
      <w:pPr>
        <w:tabs>
          <w:tab w:val="left" w:leader="dot" w:pos="9072"/>
        </w:tabs>
        <w:spacing w:before="120" w:after="120"/>
        <w:ind w:left="567"/>
        <w:jc w:val="both"/>
        <w:rPr>
          <w:color w:val="000000"/>
        </w:rPr>
      </w:pPr>
      <w:r>
        <w:tab/>
      </w:r>
    </w:p>
    <w:p w14:paraId="32D00C6E" w14:textId="1AD9A2B1" w:rsidR="00E05657" w:rsidRDefault="00E05657" w:rsidP="00A46DF5">
      <w:pPr>
        <w:pStyle w:val="ListParagraph"/>
        <w:numPr>
          <w:ilvl w:val="0"/>
          <w:numId w:val="127"/>
        </w:numPr>
        <w:spacing w:before="120" w:after="120"/>
        <w:ind w:left="1434" w:hanging="357"/>
        <w:jc w:val="both"/>
      </w:pPr>
      <w:r>
        <w:t>ní fhéadfaí an méadú suntasach ar chostais táirgthe a chur ar aghaidh chuig custaiméirí gan laghduithe suntasacha ar mhéideanna díolacháin a bheith mar thoradh air (e.g. bunaithe ar thagairtí d’iomaíocht ó ghnóthais i ndlínsí nach bhfuil faoi réir na cánach agus ar mhéid inionadaitheachta an táirge ábhartha);</w:t>
      </w:r>
    </w:p>
    <w:p w14:paraId="27EF4614" w14:textId="77777777" w:rsidR="00CC0461" w:rsidRPr="00F83660" w:rsidRDefault="00CC0461" w:rsidP="00CC0461">
      <w:pPr>
        <w:tabs>
          <w:tab w:val="left" w:leader="dot" w:pos="9072"/>
        </w:tabs>
        <w:spacing w:before="120" w:after="120"/>
        <w:ind w:left="567"/>
        <w:jc w:val="both"/>
        <w:rPr>
          <w:color w:val="000000"/>
        </w:rPr>
      </w:pPr>
      <w:r>
        <w:tab/>
      </w:r>
    </w:p>
    <w:p w14:paraId="1927C45E" w14:textId="623FAF23" w:rsidR="006E4D23" w:rsidRDefault="00CC0461" w:rsidP="00CC0461">
      <w:pPr>
        <w:pStyle w:val="ListParagraph"/>
        <w:numPr>
          <w:ilvl w:val="0"/>
          <w:numId w:val="50"/>
        </w:numPr>
        <w:spacing w:before="120" w:after="120"/>
        <w:ind w:left="567" w:hanging="567"/>
        <w:contextualSpacing w:val="0"/>
        <w:jc w:val="both"/>
      </w:pPr>
      <w:r>
        <w:t>I gcás laghduithe cánach ar bhithbhreoslaí, ar bhithleachtanna agus ar bhreoslaí bithmhaise, chun measúnú a dhéanamh ar chomhlíonadh phointe 303 CEEAG, déan an méid seo a leanas:</w:t>
      </w:r>
    </w:p>
    <w:p w14:paraId="54638E3E" w14:textId="69F50F83" w:rsidR="006E4D23" w:rsidRDefault="00CC0461" w:rsidP="00A46DF5">
      <w:pPr>
        <w:pStyle w:val="ListParagraph"/>
        <w:numPr>
          <w:ilvl w:val="0"/>
          <w:numId w:val="128"/>
        </w:numPr>
        <w:spacing w:before="120" w:after="120"/>
        <w:ind w:left="1434" w:hanging="357"/>
        <w:jc w:val="both"/>
      </w:pPr>
      <w:r>
        <w:t>deimhniú go mbeidh sásra i bhfeidhm chun a fhíorú go bhfuil gá leis an mbeart go fóill, agus coinníollacha riachtanais roinn 4.1.3.1. CEEAG á gcur i bhfeidhm;</w:t>
      </w:r>
    </w:p>
    <w:p w14:paraId="58427951" w14:textId="77777777" w:rsidR="006E4D23" w:rsidRPr="00F83660" w:rsidRDefault="006E4D23" w:rsidP="00A46DF5">
      <w:pPr>
        <w:tabs>
          <w:tab w:val="left" w:leader="dot" w:pos="9072"/>
        </w:tabs>
        <w:spacing w:before="120" w:after="120"/>
        <w:ind w:left="567"/>
        <w:jc w:val="both"/>
        <w:rPr>
          <w:color w:val="000000"/>
        </w:rPr>
      </w:pPr>
      <w:r>
        <w:tab/>
      </w:r>
    </w:p>
    <w:p w14:paraId="78306363" w14:textId="30BCBDC4" w:rsidR="006E4D23" w:rsidRDefault="00F878EE" w:rsidP="00A46DF5">
      <w:pPr>
        <w:pStyle w:val="ListParagraph"/>
        <w:numPr>
          <w:ilvl w:val="0"/>
          <w:numId w:val="128"/>
        </w:numPr>
        <w:spacing w:before="120" w:after="120"/>
        <w:ind w:left="1434" w:hanging="357"/>
        <w:jc w:val="both"/>
      </w:pPr>
      <w:r>
        <w:t xml:space="preserve">tabhair míniú ar an gcaoi a </w:t>
      </w:r>
      <w:r w:rsidR="00BF4EF7">
        <w:t>n</w:t>
      </w:r>
      <w:r w:rsidR="00BF4EF7">
        <w:noBreakHyphen/>
      </w:r>
      <w:r>
        <w:t xml:space="preserve">oibreoidh an sásra sin; agus </w:t>
      </w:r>
    </w:p>
    <w:p w14:paraId="5567A88D" w14:textId="77777777" w:rsidR="006E4D23" w:rsidRPr="00F83660" w:rsidRDefault="006E4D23" w:rsidP="00A46DF5">
      <w:pPr>
        <w:tabs>
          <w:tab w:val="left" w:leader="dot" w:pos="9072"/>
        </w:tabs>
        <w:spacing w:before="120" w:after="120"/>
        <w:ind w:left="567"/>
        <w:jc w:val="both"/>
        <w:rPr>
          <w:color w:val="000000"/>
        </w:rPr>
      </w:pPr>
      <w:r>
        <w:tab/>
      </w:r>
    </w:p>
    <w:p w14:paraId="1CC0747E" w14:textId="612C531C" w:rsidR="00CC0461" w:rsidRDefault="004B495A" w:rsidP="00A46DF5">
      <w:pPr>
        <w:pStyle w:val="ListParagraph"/>
        <w:numPr>
          <w:ilvl w:val="0"/>
          <w:numId w:val="128"/>
        </w:numPr>
        <w:spacing w:before="120" w:after="120"/>
        <w:ind w:left="1434" w:hanging="357"/>
        <w:jc w:val="both"/>
      </w:pPr>
      <w:r>
        <w:t>deimhniú go ndéanfaidh an Ballstát bearta iomchuí, amhail deireadh a chur leis an díolúine nó an leibhéal tacaíochta a laghdú, agus na bearta iomchuí a chuirfear i bhfeidhm go nithiúil a shonrú.</w:t>
      </w:r>
    </w:p>
    <w:p w14:paraId="67DAC904" w14:textId="7C413165" w:rsidR="00CC0461" w:rsidRPr="00CC0461" w:rsidRDefault="00CC0461" w:rsidP="00AE5E48">
      <w:pPr>
        <w:tabs>
          <w:tab w:val="left" w:leader="dot" w:pos="9072"/>
        </w:tabs>
        <w:spacing w:before="120" w:after="120"/>
        <w:ind w:left="567"/>
        <w:jc w:val="both"/>
        <w:rPr>
          <w:color w:val="000000"/>
        </w:rPr>
      </w:pPr>
      <w: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Oiriúnacht na cabhrach</w:t>
            </w:r>
          </w:p>
        </w:tc>
      </w:tr>
    </w:tbl>
    <w:p w14:paraId="6227BC57" w14:textId="2AC58623" w:rsidR="0009768A" w:rsidRDefault="1626403F" w:rsidP="00AE5E48">
      <w:pPr>
        <w:spacing w:before="360" w:after="120"/>
        <w:jc w:val="both"/>
        <w:rPr>
          <w:i/>
          <w:iCs/>
          <w:color w:val="000000"/>
        </w:rPr>
      </w:pPr>
      <w:r>
        <w:rPr>
          <w:i/>
          <w:color w:val="000000"/>
        </w:rPr>
        <w:lastRenderedPageBreak/>
        <w:t>Chun</w:t>
      </w:r>
      <w:r>
        <w:rPr>
          <w:i/>
        </w:rPr>
        <w:t xml:space="preserve"> an fhaisnéis </w:t>
      </w:r>
      <w:r>
        <w:rPr>
          <w:i/>
          <w:color w:val="000000"/>
        </w:rPr>
        <w:t>sa roinn seo a sholáthar, féach roinn 3.2.1.2</w:t>
      </w:r>
      <w:r>
        <w:rPr>
          <w:i/>
        </w:rPr>
        <w:t>, a mhéid atá sí infheidhme maidir leis an mbeart/na bearta</w:t>
      </w:r>
      <w:r>
        <w:rPr>
          <w:i/>
          <w:color w:val="000000"/>
        </w:rPr>
        <w:t>, agus roinn 4.7.1.3.2 (pointí 304-306) CEEAG</w:t>
      </w:r>
      <w:r>
        <w:rPr>
          <w:i/>
        </w:rPr>
        <w:t>.</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Chun measúnú a dhéanamh ar chomhlíonadh na gceanglas is infheidhme i roinn 3.2.1.2 CEEAG, tabhair tuairisc ar an bhfáth gur ionstraim beartais iomchuí é an beart/na bearta chun cuspóir beartaithe na cabhrach a bhaint amach, is é sin le rá nár cheart beartas agus ionstraim chabhrach nach bhfuil chomh saobhach céanna a bheith ann agus atá in ann na torthaí céanna a bhaint amach, agus ionstraimí beartais eile agus ionstraimí cabhrach éagsúla a d’fhéadfaí a chur chun feidhme mar rogha mhalartach á gcur san áireamh.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Chun measúnú a dhéanamh ar chomhlíonadh phointe 305 CEEAG, deimhnigh (i) gurb é 10 mbliana ar a mhéad fad an bhirt/na mbeart agus (ii) go mbeidh aon athfhógra bunaithe ar athmheastóireacht ar oiriúnacht an bhirt/na mbeart.</w:t>
      </w:r>
      <w:bookmarkEnd w:id="7"/>
    </w:p>
    <w:p w14:paraId="75FB5F42" w14:textId="6DC1E55F" w:rsidR="007E0289" w:rsidRDefault="007E0289" w:rsidP="00917DB8">
      <w:pPr>
        <w:tabs>
          <w:tab w:val="left" w:leader="dot" w:pos="9072"/>
        </w:tabs>
        <w:spacing w:before="120" w:after="120"/>
        <w:ind w:left="567"/>
        <w:jc w:val="both"/>
      </w:pPr>
      <w:r>
        <w:tab/>
      </w:r>
    </w:p>
    <w:p w14:paraId="73DDE613" w14:textId="543F39E4" w:rsidR="00D06D81" w:rsidRDefault="00D06D81" w:rsidP="00917DB8">
      <w:pPr>
        <w:pStyle w:val="ListParagraph"/>
        <w:numPr>
          <w:ilvl w:val="0"/>
          <w:numId w:val="50"/>
        </w:numPr>
        <w:spacing w:before="120" w:after="120"/>
        <w:ind w:left="567" w:hanging="567"/>
        <w:contextualSpacing w:val="0"/>
        <w:jc w:val="both"/>
      </w:pPr>
      <w:r>
        <w:t xml:space="preserve">I gcás ina bhfuil an chabhair (nó cuid di) i bhfoirm aisíocaíocht cánach, chun measúnú a dhéanamh ar chomhlíonadh phointe 306 CEEAG, deimhnigh go ríomhfar méid na haisíocaíochta cánach ar bhonn sonraí stairiúla, is é sin le rá an leibhéal táirgeachta, agus an </w:t>
      </w:r>
      <w:r w:rsidR="00BF4EF7">
        <w:t>t</w:t>
      </w:r>
      <w:r w:rsidR="00BF4EF7">
        <w:noBreakHyphen/>
      </w:r>
      <w:r>
        <w:t>ídiú nó an truailliú a thaifeadtar i gcás an ghnóthais i mbonnbhliain ar leith.</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Comhréireacht na cabhrach</w:t>
            </w:r>
          </w:p>
        </w:tc>
      </w:tr>
    </w:tbl>
    <w:p w14:paraId="322B0DC4" w14:textId="2E7D7E33" w:rsidR="00863406" w:rsidRPr="00FC6878" w:rsidRDefault="00863406" w:rsidP="2368A16B">
      <w:pPr>
        <w:spacing w:before="360" w:after="120"/>
        <w:jc w:val="both"/>
        <w:rPr>
          <w:i/>
          <w:iCs/>
        </w:rPr>
      </w:pPr>
      <w:r>
        <w:rPr>
          <w:i/>
        </w:rPr>
        <w:t xml:space="preserve">Chun an fhaisnéis sa roinn seo a thabhairt, féach roinn 4.7.1.3.3. (pointí 307-309) CEEAG.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Chun measúnú a dhéanamh ar chomhlíonadh phointe 308 CEEAG (lena gceanglaítear go gcomhlíonfar ceann amháin ar a laghad de na coinníollacha seo a leanas), tabhair ceachtar den dá mhír faisnéise seo a leanas:</w:t>
      </w:r>
      <w:bookmarkEnd w:id="8"/>
    </w:p>
    <w:p w14:paraId="07E9565A" w14:textId="5F95AEC5" w:rsidR="006F256F" w:rsidRDefault="270F0651" w:rsidP="00A46DF5">
      <w:pPr>
        <w:pStyle w:val="ListParagraph"/>
        <w:numPr>
          <w:ilvl w:val="0"/>
          <w:numId w:val="129"/>
        </w:numPr>
        <w:spacing w:before="120" w:after="120"/>
        <w:ind w:left="1434" w:hanging="357"/>
        <w:jc w:val="both"/>
      </w:pPr>
      <w:r>
        <w:t>Sonraigh an íocfaidh gach tairbhí cabhrach ar a laghad 20 % de mhéid ainmniúil na cánach comhshaoil nó an tobhaigh pharaifhioscaigh a bheadh infheidhme murach sin maidir leis an tairbhí sin in éagmais an laghdaithe.</w:t>
      </w:r>
    </w:p>
    <w:p w14:paraId="2463CF58" w14:textId="77777777" w:rsidR="00B40F1D" w:rsidRPr="00441F0B" w:rsidRDefault="00B40F1D" w:rsidP="00E72A73">
      <w:pPr>
        <w:tabs>
          <w:tab w:val="left" w:leader="dot" w:pos="9072"/>
        </w:tabs>
        <w:spacing w:before="120" w:after="120"/>
        <w:ind w:left="567"/>
        <w:jc w:val="both"/>
      </w:pPr>
      <w:r>
        <w:tab/>
      </w:r>
    </w:p>
    <w:p w14:paraId="580AB854" w14:textId="5D71E7B5" w:rsidR="006F256F" w:rsidRDefault="000A7724" w:rsidP="00A46DF5">
      <w:pPr>
        <w:pStyle w:val="ListParagraph"/>
        <w:numPr>
          <w:ilvl w:val="0"/>
          <w:numId w:val="129"/>
        </w:numPr>
        <w:spacing w:before="120" w:after="120"/>
        <w:ind w:left="1434" w:hanging="357"/>
        <w:jc w:val="both"/>
      </w:pPr>
      <w:r>
        <w:t xml:space="preserve">Nó sonraigh (i) an bhfuil an laghdú cánach nó tobhaigh níos mó ná 100 % den cháin náisiúnta chomhshaoil nó den tobhach paraifhioscach; (ii) an bhfuil an laghdú cánach nó tobhaigh coinníollach ar chomhaontuithe a thabhairt i gcrích idir an Ballstát agus na tairbhithe nó comhlachais tairbhithe ina ndéanfaidh na tairbhithe nó na comhlachais tairbhithe gealltanas cuspóirí maidir le cosaint an chomhshaoil a bhaint amach a bhfuil an éifeacht chéanna acu is a bheadh ann dá </w:t>
      </w:r>
      <w:r w:rsidR="00BF4EF7">
        <w:t>n</w:t>
      </w:r>
      <w:r w:rsidR="00BF4EF7">
        <w:noBreakHyphen/>
      </w:r>
      <w:r>
        <w:t>íocfadh tairbhithe nó comhlachais tairbhithe 20 % ar a laghad den cháin náisiúnta nó den tobhach náisiúnta</w:t>
      </w:r>
      <w:r>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lastRenderedPageBreak/>
        <w:t xml:space="preserve">Má bhraitear ar rogha ii de cheist </w:t>
      </w:r>
      <w:r>
        <w:fldChar w:fldCharType="begin"/>
      </w:r>
      <w:r>
        <w:instrText xml:space="preserve"> REF _Ref172812423 \w \h </w:instrText>
      </w:r>
      <w:r>
        <w:fldChar w:fldCharType="separate"/>
      </w:r>
      <w:r>
        <w:t>22</w:t>
      </w:r>
      <w:r>
        <w:fldChar w:fldCharType="end"/>
      </w:r>
      <w:r>
        <w:t>, chun measúnú a dhéanamh ar chomhlíonadh phointe 309 CEEAG, tabhair tuairisc ar an méid seo a leanas:</w:t>
      </w:r>
    </w:p>
    <w:p w14:paraId="02DB823F" w14:textId="3AB75D6E" w:rsidR="00E72A73" w:rsidRDefault="00E72A73" w:rsidP="00A46DF5">
      <w:pPr>
        <w:pStyle w:val="ListParagraph"/>
        <w:numPr>
          <w:ilvl w:val="0"/>
          <w:numId w:val="130"/>
        </w:numPr>
        <w:spacing w:before="120" w:after="120"/>
        <w:ind w:left="1434" w:hanging="357"/>
        <w:jc w:val="both"/>
      </w:pPr>
      <w:r>
        <w:t xml:space="preserve">substaint na gcomhaontuithe is infheidhme, lena </w:t>
      </w:r>
      <w:r w:rsidR="00BF4EF7">
        <w:t>n</w:t>
      </w:r>
      <w:r w:rsidR="00BF4EF7">
        <w:noBreakHyphen/>
      </w:r>
      <w:r>
        <w:t>áirítear na spriocanna sonracha agus an sceideal ama socraithe chun iad a bhaint amach;</w:t>
      </w:r>
    </w:p>
    <w:p w14:paraId="7CE866F6" w14:textId="5A84462D" w:rsidR="00990F13" w:rsidRDefault="00B40F1D" w:rsidP="00E72A73">
      <w:pPr>
        <w:tabs>
          <w:tab w:val="left" w:leader="dot" w:pos="9072"/>
        </w:tabs>
        <w:spacing w:before="120" w:after="120"/>
        <w:ind w:left="567"/>
        <w:jc w:val="both"/>
      </w:pPr>
      <w:r>
        <w:tab/>
      </w:r>
    </w:p>
    <w:p w14:paraId="1C7FD8D7" w14:textId="29944CDB" w:rsidR="006F256F" w:rsidRDefault="00434479" w:rsidP="00A46DF5">
      <w:pPr>
        <w:pStyle w:val="ListParagraph"/>
        <w:numPr>
          <w:ilvl w:val="0"/>
          <w:numId w:val="130"/>
        </w:numPr>
        <w:spacing w:before="120" w:after="120"/>
        <w:ind w:left="1434" w:hanging="357"/>
        <w:jc w:val="both"/>
      </w:pPr>
      <w:r>
        <w:t xml:space="preserve">an chaoi a </w:t>
      </w:r>
      <w:r w:rsidR="00BF4EF7">
        <w:t>n</w:t>
      </w:r>
      <w:r w:rsidR="00BF4EF7">
        <w:noBreakHyphen/>
      </w:r>
      <w:r>
        <w:t>áiritheofar faireachán neamhspleách agus rialta ar na gealltanais sna comhaontuithe;</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conas a dhéanfar athbhreithniú ar na comhaontuithe go tréimhsiúil i bhfianaise forbairtí teicneolaíochta agus forbairtí eile agus déanfar foráil iontu maidir le pionóis éifeachtacha i gcás nach gcomhlíonfar na gealltanais.</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Carnadh</w:t>
            </w:r>
          </w:p>
        </w:tc>
      </w:tr>
    </w:tbl>
    <w:p w14:paraId="56B46737" w14:textId="5C12CBC3" w:rsidR="001D0CD2" w:rsidRPr="001D0CD2" w:rsidRDefault="00B21377" w:rsidP="001D0CD2">
      <w:pPr>
        <w:spacing w:before="360" w:after="120"/>
        <w:jc w:val="both"/>
        <w:rPr>
          <w:i/>
          <w:iCs/>
        </w:rPr>
      </w:pPr>
      <w:r>
        <w:rPr>
          <w:i/>
        </w:rPr>
        <w:t>Chun an fhaisnéis sa roinn seo a sholáthar, féach pointí 56-57 CEEAG.</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A mhéid nár soláthraíodh cheana faoi Chuid I den fhoirm fógra ghinearálta agus chun comhlíonadh phointe 56 CEEAG a fhíorú, soiléirigh an bhféadfaí an chabhair faoin mbeart nó faoi na bearta a dhámhachtain i gcomhthráth faoi roinnt scéimeanna cabhrach nó a charnadh le cabhair </w:t>
      </w:r>
      <w:r>
        <w:rPr>
          <w:i/>
        </w:rPr>
        <w:t>ad hoc</w:t>
      </w:r>
      <w:r>
        <w:t xml:space="preserve"> nó </w:t>
      </w:r>
      <w:r>
        <w:rPr>
          <w:i/>
        </w:rPr>
        <w:t>de minimis</w:t>
      </w:r>
      <w:r>
        <w:t xml:space="preserve"> i ndáil leis na costais incháilithe chéanna. Más amhlaidh an cás, tabhair sonraí maidir leis na scéimeanna cabhrach sin, cabhair </w:t>
      </w:r>
      <w:r>
        <w:rPr>
          <w:i/>
        </w:rPr>
        <w:t>ad hoc</w:t>
      </w:r>
      <w:r>
        <w:t xml:space="preserve"> nó cabhair </w:t>
      </w:r>
      <w:r>
        <w:rPr>
          <w:i/>
        </w:rPr>
        <w:t>de minimis</w:t>
      </w:r>
      <w:r>
        <w:t xml:space="preserve"> agus conas a charnfar an chabhair.</w:t>
      </w:r>
    </w:p>
    <w:p w14:paraId="4705E62C" w14:textId="77777777" w:rsidR="00D13239" w:rsidRPr="002A3B51" w:rsidRDefault="002A3B51" w:rsidP="009548AA">
      <w:pPr>
        <w:tabs>
          <w:tab w:val="left" w:leader="dot" w:pos="9072"/>
        </w:tabs>
        <w:spacing w:before="120" w:after="120"/>
        <w:ind w:left="567"/>
        <w:jc w:val="both"/>
      </w:pPr>
      <w:r>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I gcás ina bhfuil pointe 56 CEEAG infheidhme, tabhair údar le conas nach mbeidh róchúiteamh mar thoradh ar mhéid iomlán na cabhrach a dheonaítear faoin mbeart nó faoi na bearta le haghaidh tionscadail nó gníomhaíochta ná nach sáraíonn sé uasmhéid na cabhrach a cheadaítear faoi phointe 308 CEEAG. Sonraigh, le haghaidh gach birt ar féidir an chabhair a dheonaítear faoin mbeart/faoi na bearta cabhrach a charnadh leis, an modh a úsáidtear chun comhlíonadh na gcoinníollacha a leagtar amach i bpointe 56 CEEAG a áirithiú.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I gcás ina bhfuil pointe 57 CEEAG infheidhme, i.e. déantar an chabhair a dheonaítear faoin mbeart/faoi na bearta a chomhcheangal le cistiú ón Aontas a bhainistítear go lárnach</w:t>
      </w:r>
      <w:r>
        <w:rPr>
          <w:vertAlign w:val="superscript"/>
        </w:rPr>
        <w:footnoteReference w:id="8"/>
      </w:r>
      <w:r>
        <w:t xml:space="preserve"> (nach Státchabhair é), tabhair údar leis an gcaoi nach mbeidh róchúiteamh mar thoradh ar mhéid iomlán an chistithe phoiblí a dheonaítear i ndáil leis na costais incháilithe chéanna.</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lastRenderedPageBreak/>
              <w:t>Trédhearcacht</w:t>
            </w:r>
          </w:p>
        </w:tc>
      </w:tr>
    </w:tbl>
    <w:p w14:paraId="30CC4C47" w14:textId="5C8853FB" w:rsidR="006773CE" w:rsidRPr="007C0A44" w:rsidRDefault="006773CE" w:rsidP="2368A16B">
      <w:pPr>
        <w:spacing w:before="360" w:after="120"/>
        <w:jc w:val="both"/>
        <w:rPr>
          <w:i/>
          <w:iCs/>
        </w:rPr>
      </w:pPr>
      <w:r>
        <w:rPr>
          <w:i/>
          <w:color w:val="000000"/>
        </w:rPr>
        <w:t xml:space="preserve">Chun </w:t>
      </w:r>
      <w:r>
        <w:rPr>
          <w:i/>
        </w:rPr>
        <w:t xml:space="preserve">an fhaisnéis </w:t>
      </w:r>
      <w:r>
        <w:rPr>
          <w:i/>
          <w:color w:val="000000"/>
        </w:rPr>
        <w:t>sa roinn seo a sholáthar</w:t>
      </w:r>
      <w:r>
        <w:rPr>
          <w:i/>
        </w:rPr>
        <w:t xml:space="preserve">, féach roinn 3.2.1.4 (pointí 58-62) CEEAG.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Deimhnigh go gcomhlíonfaidh an Ballstát na ceanglais maidir le trédhearcacht dá bhforáiltear i bpointí 58-61 CEEAG.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Tabhair an nasc/na naisc idirlín ina bhfoilseofar téacs iomlán na scéime cabhrach formheasta nó an chinnidh deonaithe cabhrach aonair agus a fhorálacha cur chun feidhme, agus faisnéis maidir le gach dámhachtain cabhrach aonair a deonaíodh </w:t>
      </w:r>
      <w:r>
        <w:rPr>
          <w:i/>
        </w:rPr>
        <w:t>ad hoc</w:t>
      </w:r>
      <w:r>
        <w:t xml:space="preserve"> nó faoi scéim cabhrach a formheasadh ar bhonn na dtreoirlínte seo agus ar mó ná EUR 100 000 í.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BF4EF7"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Seachaint éifeachtaí diúltacha míchuí ar an iomaíocht agus ar an trádáil</w:t>
            </w:r>
          </w:p>
        </w:tc>
      </w:tr>
    </w:tbl>
    <w:p w14:paraId="6F1494DE" w14:textId="5F2BAE4F" w:rsidR="00A80F29" w:rsidRPr="00B215FD" w:rsidRDefault="00A80F29" w:rsidP="00A80F29">
      <w:pPr>
        <w:spacing w:before="360" w:after="120"/>
        <w:jc w:val="both"/>
        <w:rPr>
          <w:i/>
          <w:iCs/>
        </w:rPr>
      </w:pPr>
      <w:r>
        <w:rPr>
          <w:i/>
          <w:color w:val="000000"/>
        </w:rPr>
        <w:t>Chun</w:t>
      </w:r>
      <w:r>
        <w:rPr>
          <w:i/>
        </w:rPr>
        <w:t xml:space="preserve"> an fhaisnéis sa roinn seo a sholáthar, féach roinn 3.2.2 CEEAG, a mhéid atá sí infheidhme maidir leis an mbeart/na bearta.</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Chun measúnú a dhéanamh ar chomhlíonadh na gceanglas i roinn 3.2.2 CEEAG, tabhair tuairisc ar an gcaoi a maolaíonn an beart/na bearta aon éifeacht dhiúltach fhollasach ar an iomaíocht agus ar an trádáil.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Chun measúnú a dhéanamh ar chomhlíonadh phointe 70 CEEAG, déan an méid seo a leanas:</w:t>
      </w:r>
    </w:p>
    <w:p w14:paraId="20F0B01A" w14:textId="2387F0F7" w:rsidR="00A80F29" w:rsidRPr="009E0FCA" w:rsidRDefault="00434479" w:rsidP="00A46DF5">
      <w:pPr>
        <w:pStyle w:val="ListParagraph"/>
        <w:numPr>
          <w:ilvl w:val="0"/>
          <w:numId w:val="131"/>
        </w:numPr>
        <w:spacing w:before="120" w:after="120"/>
        <w:ind w:left="1434" w:hanging="357"/>
        <w:jc w:val="both"/>
      </w:pPr>
      <w:r>
        <w:t xml:space="preserve">Mura ndearnadh amhlaidh sa fhreagra ar cheist </w:t>
      </w:r>
      <w:r>
        <w:fldChar w:fldCharType="begin"/>
      </w:r>
      <w:r>
        <w:instrText xml:space="preserve"> REF _Ref175221297 \r \h </w:instrText>
      </w:r>
      <w:r>
        <w:fldChar w:fldCharType="separate"/>
      </w:r>
      <w:r>
        <w:t>20</w:t>
      </w:r>
      <w:r>
        <w:fldChar w:fldCharType="end"/>
      </w:r>
      <w:r>
        <w:t xml:space="preserve"> thuas, deimhnigh go mbaineann uastréimhse 10 mbliana ar a mhéad leis an scéim, ón dáta a thugtar fógra faoin gcinneadh ón gCoimisiún lena ndearbhaítear go bhfuil an chabhair comhoiriúnach. </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Deimhnigh go mbeidh gá le fógra nua maidir leis an mbeart/na bearta chun fad an bhirt a shíneadh thar an uastréimhse sin.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Éifeachtaí dearfacha na cabhrach a chur i gcomparáid leis na héifeachtaí diúltacha ar an iomaíocht agus ar an trádáil</w:t>
            </w:r>
          </w:p>
        </w:tc>
      </w:tr>
    </w:tbl>
    <w:p w14:paraId="3513408C" w14:textId="56B6BA12" w:rsidR="00265702" w:rsidRPr="00863406" w:rsidRDefault="00265702" w:rsidP="2368A16B">
      <w:pPr>
        <w:spacing w:before="360" w:after="120"/>
        <w:jc w:val="both"/>
        <w:rPr>
          <w:i/>
          <w:iCs/>
          <w:color w:val="000000"/>
        </w:rPr>
      </w:pPr>
      <w:r>
        <w:rPr>
          <w:i/>
          <w:color w:val="000000"/>
        </w:rPr>
        <w:t>Chun</w:t>
      </w:r>
      <w:r>
        <w:rPr>
          <w:i/>
        </w:rPr>
        <w:t xml:space="preserve"> an fhaisnéis sa roinn seo a sholáthar, </w:t>
      </w:r>
      <w:r>
        <w:rPr>
          <w:i/>
          <w:color w:val="000000"/>
        </w:rPr>
        <w:t>féach roinn 3.3 (pointí 71-76) CEEAG,</w:t>
      </w:r>
      <w:r>
        <w:rPr>
          <w:i/>
        </w:rPr>
        <w:t xml:space="preserve"> a mhéid atá sí infheidhme maidir leis an mbeart/na bearta.</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Chun measúnú a dhéanamh ar chomhlíonadh na gceanglas infheidhme i bpointe 3.3 CEEAG, déan an méid seo a leanas:</w:t>
      </w:r>
    </w:p>
    <w:p w14:paraId="3EA00BDB" w14:textId="1514E259" w:rsidR="004B2EF3" w:rsidRPr="00564B1B" w:rsidRDefault="00A24718" w:rsidP="00A46DF5">
      <w:pPr>
        <w:pStyle w:val="ListParagraph"/>
        <w:numPr>
          <w:ilvl w:val="0"/>
          <w:numId w:val="132"/>
        </w:numPr>
        <w:spacing w:before="120" w:after="120"/>
        <w:ind w:left="1434" w:hanging="357"/>
        <w:jc w:val="both"/>
      </w:pPr>
      <w:r>
        <w:lastRenderedPageBreak/>
        <w:t>tabhair údar leis an gcaoi gur mó, go ginearálta, éifeachtaí dearfacha an bhirt/na mbeart ná na héifeachtaí diúltacha;</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a mhéid a bhaineann le cur i bhfeidhm phointe 75 CEEAG, soiléirigh cé acu atá nó nach bhfuil gnéithe sa bheart nó sna bearta a dtugtar fógra ina leith chun rannpháirtíocht FBManna a éascú. Más amhlaidh, tabhair faisnéis maidir leis na gnéithe sin agus tabhair údar leis an gcaoi gur mó na héifeachtaí dearfacha a bhaineann le rannpháirtíocht agus glacadh FBManna a áirithiú sa bheart/sna bearta ná na hiarmhairtí saobhacha a d’fhéadfadh a bheith ann;</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a mhéid a bhaineann le cur i bhfeidhm phointe 76(c) CEEAG, sonraigh cé acu atá nó nach bhfuil an beart cabhrach nó na bearta cabhrach faoi réir teorainn ama.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Roinn C: Meastóireacht</w:t>
            </w:r>
          </w:p>
        </w:tc>
      </w:tr>
    </w:tbl>
    <w:p w14:paraId="6A4ADF8D" w14:textId="77777777" w:rsidR="00C33721" w:rsidRPr="006725F7" w:rsidRDefault="00C33721" w:rsidP="006725F7">
      <w:pPr>
        <w:spacing w:before="360" w:after="120"/>
        <w:jc w:val="both"/>
        <w:rPr>
          <w:i/>
          <w:iCs/>
          <w:color w:val="000000"/>
        </w:rPr>
      </w:pPr>
      <w:r>
        <w:rPr>
          <w:i/>
          <w:color w:val="000000"/>
        </w:rPr>
        <w:t>Chun an fhaisnéis sa roinn seo a sholáthar, féach pointe 76(a) agus Caibidil 5 (pointí 455-463) CEEAG.</w:t>
      </w:r>
    </w:p>
    <w:p w14:paraId="61A6C035" w14:textId="1219DDD6" w:rsidR="00017826" w:rsidRPr="00017826" w:rsidRDefault="00017826" w:rsidP="00017826">
      <w:pPr>
        <w:numPr>
          <w:ilvl w:val="0"/>
          <w:numId w:val="50"/>
        </w:numPr>
        <w:spacing w:before="120" w:after="120"/>
        <w:ind w:left="567" w:hanging="567"/>
        <w:jc w:val="both"/>
      </w:pPr>
      <w:r>
        <w:t>I gcás ina sáraíonn an beart/na bearta na tairseacha buiséid/caiteachais i bpointe 456 CEEAG, mínigh cén fáth, i dtuairim an Bhallstáit, ar cheart feidhm a bheith ag an eisceacht i bpointe 457 CEEAG, nó cuir iarscríbhinn i gceangal leis an mbileog faisnéise forlíontaí seo ina bhfuil dréachtphlean meastóireachta ina gcumhdaítear an raon feidhme a luaitear i bpointe 458 CEEAG.</w:t>
      </w:r>
      <w:r>
        <w:rPr>
          <w:vertAlign w:val="superscript"/>
          <w:lang w:eastAsia="en-GB"/>
        </w:rPr>
        <w:footnoteReference w:id="9"/>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Má sholáthraítear dréachtphlean meastóireachta, déan an méid seo a leanas:</w:t>
      </w:r>
    </w:p>
    <w:p w14:paraId="4C066F02" w14:textId="4C06AB69" w:rsidR="00017826" w:rsidRPr="00017826" w:rsidRDefault="00017826" w:rsidP="00017826">
      <w:pPr>
        <w:numPr>
          <w:ilvl w:val="0"/>
          <w:numId w:val="120"/>
        </w:numPr>
        <w:spacing w:before="120" w:after="120"/>
        <w:jc w:val="both"/>
      </w:pPr>
      <w:r>
        <w:t>tabhair thíos achoimre ar an dréachtphlean meastóireachta sin atá san Iarscríbhinn.</w:t>
      </w:r>
    </w:p>
    <w:p w14:paraId="2DDD8DDF" w14:textId="77777777" w:rsidR="00017826" w:rsidRPr="00017826" w:rsidRDefault="00017826" w:rsidP="0006694C">
      <w:pPr>
        <w:spacing w:before="120" w:after="120"/>
        <w:ind w:left="567"/>
        <w:jc w:val="both"/>
      </w:pPr>
      <w:r>
        <w:t>………………………………………………………………………………….</w:t>
      </w:r>
    </w:p>
    <w:p w14:paraId="27987E4D" w14:textId="16AF7098" w:rsidR="00017826" w:rsidRPr="00017826" w:rsidRDefault="00017826" w:rsidP="00017826">
      <w:pPr>
        <w:numPr>
          <w:ilvl w:val="0"/>
          <w:numId w:val="120"/>
        </w:numPr>
        <w:spacing w:before="120" w:after="120"/>
        <w:jc w:val="both"/>
      </w:pPr>
      <w:r>
        <w:t xml:space="preserve">Deimhnigh go </w:t>
      </w:r>
      <w:r w:rsidR="00BF4EF7">
        <w:t>n</w:t>
      </w:r>
      <w:r w:rsidR="00BF4EF7">
        <w:noBreakHyphen/>
      </w:r>
      <w:r>
        <w:t>urramófar pointe 460 CEEAG.</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tabhair an dáta agus an nasc idirlín ina mbeidh an plean meastóireachta ar fáil go poiblí.</w:t>
      </w:r>
    </w:p>
    <w:p w14:paraId="44F1E213" w14:textId="77777777" w:rsidR="00017826" w:rsidRPr="00017826" w:rsidRDefault="00017826" w:rsidP="0006694C">
      <w:pPr>
        <w:spacing w:before="120" w:after="120"/>
        <w:ind w:left="567"/>
        <w:jc w:val="both"/>
      </w:pP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Chun measúnú a dhéanamh ar chomhlíonadh phointe 459(b) CEEAG, i gcás nach bhfuil an scéim cabhrach faoi réir meastóireacht </w:t>
      </w:r>
      <w:r>
        <w:rPr>
          <w:i/>
        </w:rPr>
        <w:t>ex post</w:t>
      </w:r>
      <w:r>
        <w:t xml:space="preserve"> faoi láthair agus gur faide í ná 3 bliana, deimhnigh go dtabharfaidh an Ballstát fógra faoi dhréachtphlean meastóireachta </w:t>
      </w:r>
      <w:r>
        <w:lastRenderedPageBreak/>
        <w:t xml:space="preserve">laistigh de 30 lá oibre tar éis modhnú mór lena méadófar buiséad na scéime go dtí os cionn EUR 150 milliún in aon bhliain ar leith nó EUR 750 milliún thar thréimhse iomlán na scéime.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Chun measúnú a dhéanamh ar chomhlíonadh phointe 459(c) CEEAG, i gcás nach bhfuil an scéim cabhrach faoi réir meastóireacht </w:t>
      </w:r>
      <w:r>
        <w:rPr>
          <w:i/>
        </w:rPr>
        <w:t>ex post</w:t>
      </w:r>
      <w:r>
        <w:t xml:space="preserve"> faoi láthair, tabhair gealltanas thíos go dtabharfaidh an Ballstát fógra faoi dhréachtphlean meastóireachta </w:t>
      </w:r>
      <w:r>
        <w:rPr>
          <w:shd w:val="clear" w:color="auto" w:fill="FFFFFF"/>
        </w:rPr>
        <w:t>laistigh de 30 lá oibre tar éis caiteachas os cionn EUR 150 milliún sa bhliain roimhe sin a thaifeadadh i gcuntais oifigiúla</w:t>
      </w:r>
      <w:r>
        <w:t xml:space="preserve">.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Chun measúnú a dhéanamh ar chomhlíonadh phointe 461 CEEAG, tabhair an fhaisnéis seo a leanas:</w:t>
      </w:r>
    </w:p>
    <w:p w14:paraId="3B57C2B7" w14:textId="77777777" w:rsidR="00017826" w:rsidRPr="00017826" w:rsidRDefault="00017826" w:rsidP="00017826">
      <w:pPr>
        <w:numPr>
          <w:ilvl w:val="0"/>
          <w:numId w:val="121"/>
        </w:numPr>
        <w:spacing w:before="120" w:after="120"/>
        <w:jc w:val="both"/>
      </w:pPr>
      <w:r>
        <w:t>Soiléirigh cé acu a roghnaíodh an saineolaí neamhspleách cheana féin nó a roghnófar é amach anseo.</w:t>
      </w:r>
    </w:p>
    <w:p w14:paraId="30D5C112" w14:textId="77777777" w:rsidR="00017826" w:rsidRPr="00017826" w:rsidRDefault="00017826" w:rsidP="00017826">
      <w:pPr>
        <w:spacing w:before="120" w:after="120"/>
        <w:ind w:left="567"/>
        <w:jc w:val="both"/>
      </w:pPr>
      <w:r>
        <w:t>…………………………………………………………………………………..</w:t>
      </w:r>
    </w:p>
    <w:p w14:paraId="135C9A2C" w14:textId="77777777" w:rsidR="00017826" w:rsidRPr="00017826" w:rsidRDefault="00017826" w:rsidP="00017826">
      <w:pPr>
        <w:numPr>
          <w:ilvl w:val="0"/>
          <w:numId w:val="121"/>
        </w:numPr>
        <w:spacing w:before="120" w:after="120"/>
        <w:jc w:val="both"/>
      </w:pPr>
      <w:r>
        <w:t>Tabhair faisnéis faoin nós imeachta chun an saineolaí a roghnú.</w:t>
      </w:r>
    </w:p>
    <w:p w14:paraId="62933A29" w14:textId="77777777" w:rsidR="00017826" w:rsidRPr="00017826" w:rsidRDefault="00017826" w:rsidP="00017826">
      <w:pPr>
        <w:spacing w:before="120" w:after="120"/>
        <w:ind w:left="567"/>
        <w:jc w:val="both"/>
      </w:pPr>
      <w:r>
        <w:t>………………………………………………………………………………….</w:t>
      </w:r>
    </w:p>
    <w:p w14:paraId="452B2F3B" w14:textId="77777777" w:rsidR="00017826" w:rsidRPr="00017826" w:rsidRDefault="00017826" w:rsidP="00017826">
      <w:pPr>
        <w:numPr>
          <w:ilvl w:val="0"/>
          <w:numId w:val="121"/>
        </w:numPr>
        <w:spacing w:before="120" w:after="120"/>
        <w:jc w:val="both"/>
      </w:pPr>
      <w:r>
        <w:t>Tabhair údar leis an gcaoi a bhfuil an saineolaí neamhspleách ar an údarás deonúcháin.</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Chun measúnú a dhéanamh a thuilleadh ar chomhlíonadh phointe 461 CEEAG, tabhair an fhaisnéis seo a leanas: </w:t>
      </w:r>
    </w:p>
    <w:p w14:paraId="2E5EF1CD" w14:textId="59962384" w:rsidR="00017826" w:rsidRPr="00017826" w:rsidRDefault="00017826" w:rsidP="00017826">
      <w:pPr>
        <w:numPr>
          <w:ilvl w:val="0"/>
          <w:numId w:val="122"/>
        </w:numPr>
        <w:spacing w:before="120" w:after="120"/>
        <w:jc w:val="both"/>
      </w:pPr>
      <w:r>
        <w:t>Tabhair na sprioc-amanna atá beartaithe ag an mBallstát chun an tuarascáil mheastóireachta eatramhach agus chríochnaitheach a chur isteach. Tabhair faoi deara nach mór an tuarascáil mheastóireachta chríochnaitheach a chur faoi bhráid an Choimisiúin in am trátha ionas gur féidir measúnú a dhéanamh ar fhadú féideartha na scéime cabhrach agus, ar a dhéanaí, 9 mí sula rachaidh sí in éag, i gcomhréir le pointe 463 CEEAG. Tabhair faoi deara go bhféadfaí an sprioc-am sin a laghdú i gcás scéimeanna a spreagann an ceanglas meastóireachta le linn an 2 bhliain dheireanacha dá gcur chun feidhme.</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Deimhnigh go gcuirfear an tuarascáil mheastóireachta eatramhach agus chríochnaitheach ar fáil go poiblí. Tabhair an dáta agus an nasc idirlín ina mbeidh na tuarascálacha sin le fáil go poiblí.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t>Roinn D: Tuairisciú agus faireachán</w:t>
            </w:r>
          </w:p>
        </w:tc>
      </w:tr>
    </w:tbl>
    <w:p w14:paraId="6975FD00" w14:textId="7876D36D" w:rsidR="006725F7" w:rsidRPr="006725F7" w:rsidRDefault="006725F7" w:rsidP="006725F7">
      <w:pPr>
        <w:spacing w:before="360" w:after="120"/>
        <w:jc w:val="both"/>
        <w:rPr>
          <w:i/>
          <w:iCs/>
          <w:color w:val="000000"/>
        </w:rPr>
      </w:pPr>
      <w:r>
        <w:rPr>
          <w:i/>
          <w:color w:val="000000"/>
        </w:rPr>
        <w:t>Chun an fhaisnéis sa roinn seo a sholáthar, féach Roinn 6 (pointí 464-465) CEEAG.</w:t>
      </w:r>
    </w:p>
    <w:p w14:paraId="29B090CF" w14:textId="307F0833" w:rsidR="004B0C34" w:rsidRPr="0051324D" w:rsidRDefault="006725F7" w:rsidP="006725F7">
      <w:pPr>
        <w:numPr>
          <w:ilvl w:val="0"/>
          <w:numId w:val="50"/>
        </w:numPr>
        <w:spacing w:before="120" w:after="120"/>
        <w:ind w:left="567" w:hanging="567"/>
        <w:jc w:val="both"/>
      </w:pPr>
      <w:r>
        <w:t>Deimhnigh go gcomhlíonfaidh an Ballstát na ceanglais maidir le tuairisciú agus faireachán a atá i Roinn 6, pointí 464 agus 465, CEEAG.</w:t>
      </w:r>
    </w:p>
    <w:p w14:paraId="60F22464" w14:textId="74DA9173" w:rsidR="00697188" w:rsidRPr="00711243" w:rsidRDefault="004B0C34" w:rsidP="006725F7">
      <w:pPr>
        <w:tabs>
          <w:tab w:val="left" w:leader="dot" w:pos="9072"/>
        </w:tabs>
        <w:spacing w:before="120" w:after="120"/>
        <w:ind w:left="567"/>
        <w:jc w:val="both"/>
      </w:pPr>
      <w:r>
        <w:lastRenderedPageBreak/>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IO C 80, 18.2.2022, lch. 1.</w:t>
      </w:r>
    </w:p>
  </w:footnote>
  <w:footnote w:id="3">
    <w:p w14:paraId="0B630B34" w14:textId="1A949931" w:rsidR="00EA14A3" w:rsidRDefault="00EA14A3" w:rsidP="00EA14A3">
      <w:pPr>
        <w:pStyle w:val="FootnoteText"/>
      </w:pPr>
      <w:r>
        <w:rPr>
          <w:rStyle w:val="FootnoteReference"/>
        </w:rPr>
        <w:footnoteRef/>
      </w:r>
      <w:r>
        <w:t xml:space="preserve"> </w:t>
      </w:r>
      <w:r>
        <w:tab/>
        <w:t xml:space="preserve">Tabhair faoi deara, i gcás scéim cabhrach, gurb é an fad an tréimhse ar lena linn a fhéadfar iarratas a dhéanamh ar chabhair agus cinneadh a dhéanamh ina leith (lena n‐áirítear freisin, dá bhrí sin, an t‐am is gá do na húdaráis chun na hiarratais ar chabhair a fhormheas). Ní bhaineann an fad dá dtagraítear faoin gceist sin le fad na gconarthaí a thugtar i gcrích faoin scéim cabhrach, a fhéadfaidh leanúint ar aghaidh níos faide ná fad an bhirt. </w:t>
      </w:r>
    </w:p>
  </w:footnote>
  <w:footnote w:id="4">
    <w:p w14:paraId="3A1CFF23" w14:textId="4C37DE38" w:rsidR="0091313C" w:rsidRPr="0067348B" w:rsidRDefault="0091313C" w:rsidP="0091313C">
      <w:pPr>
        <w:pStyle w:val="FootnoteText"/>
      </w:pPr>
      <w:r>
        <w:rPr>
          <w:rStyle w:val="FootnoteReference"/>
        </w:rPr>
        <w:footnoteRef/>
      </w:r>
      <w:r>
        <w:tab/>
        <w:t>Tabhair faoi deara go bhféadfadh athrú ar chabhair a bheith i gceist le hathrú ar an mbuiséad iarbhír nó measta, rud a mbeadh fógra nua riachtanach ina leith.</w:t>
      </w:r>
    </w:p>
  </w:footnote>
  <w:footnote w:id="5">
    <w:p w14:paraId="74B9E2E9" w14:textId="09EFDCF0" w:rsidR="007B4268" w:rsidRPr="007B4268" w:rsidRDefault="007B4268">
      <w:pPr>
        <w:pStyle w:val="FootnoteText"/>
      </w:pPr>
      <w:r>
        <w:rPr>
          <w:rStyle w:val="FootnoteReference"/>
        </w:rPr>
        <w:footnoteRef/>
      </w:r>
      <w:r>
        <w:t xml:space="preserve"> </w:t>
      </w:r>
      <w:r>
        <w:tab/>
        <w:t>Tagairtí san fhocheist seo do ‘tobhach’, ba cheart iad a thuiscint mar thagairtí lena gcumhdaítear cánacha comhshaoil freisin.</w:t>
      </w:r>
    </w:p>
  </w:footnote>
  <w:footnote w:id="6">
    <w:p w14:paraId="771807DF" w14:textId="77777777" w:rsidR="004B0D99" w:rsidRPr="00FC5A51" w:rsidRDefault="004B0D99" w:rsidP="004B0D99">
      <w:pPr>
        <w:pStyle w:val="FootnoteText"/>
      </w:pPr>
      <w:r>
        <w:rPr>
          <w:rStyle w:val="FootnoteReference"/>
        </w:rPr>
        <w:footnoteRef/>
      </w:r>
      <w:r>
        <w:t xml:space="preserve"> </w:t>
      </w:r>
      <w:r>
        <w:tab/>
        <w:t>Mar shampla, tríd an ráta caighdeánach a chuirfí chun feidhme a chur i gcomparáid leis na laghduithe ar an ráta caighdeánach a chuirfí chun feidhme gan na laghduithe, líon iomlán na ngnóthas a bheadh faoi réir na cánach nó an tobhaigh, nó táscairí eile lena léireofaí an t-athrú iarbhír ar iompraíocht dhíobhálach don chomhshaol.</w:t>
      </w:r>
    </w:p>
  </w:footnote>
  <w:footnote w:id="7">
    <w:p w14:paraId="415B82D4" w14:textId="52C53E38" w:rsidR="00B40F1D" w:rsidRPr="00B40F1D" w:rsidRDefault="00B40F1D">
      <w:pPr>
        <w:pStyle w:val="FootnoteText"/>
      </w:pPr>
      <w:r>
        <w:rPr>
          <w:rStyle w:val="FootnoteReference"/>
        </w:rPr>
        <w:footnoteRef/>
      </w:r>
      <w:r>
        <w:t xml:space="preserve"> </w:t>
      </w:r>
      <w:r>
        <w:tab/>
        <w:t>Féadfaidh comhaontuithe nó gealltanais den sórt sin a bheith bainteach, i measc nithe eile, le laghdú ar ídiú fuinnimh, le laghdú ar astaíochtaí agus truailleáin eile, nó le haon bheart eile chun an comhshaol a chosaint.</w:t>
      </w:r>
    </w:p>
  </w:footnote>
  <w:footnote w:id="8">
    <w:p w14:paraId="389D3F63" w14:textId="77777777" w:rsidR="00044DC5" w:rsidRDefault="00044DC5">
      <w:pPr>
        <w:pStyle w:val="FootnoteText"/>
      </w:pPr>
      <w:r>
        <w:rPr>
          <w:rStyle w:val="FootnoteReference"/>
        </w:rPr>
        <w:footnoteRef/>
      </w:r>
      <w:r>
        <w:t xml:space="preserve"> </w:t>
      </w:r>
      <w:r>
        <w:tab/>
        <w:t>Is éard is cistiú ón Aontas a bhainistítear go lárnach ann cistiú ón Aontas atá á bhainistiú go lárnach ag institiúidí, gníomhaireachta, comhghnóthais nó comhlachtaí eile de chuid an Aontais Eorpaigh nach bhfuil faoi rialú go díreach nó go hindíreach ag na Ballstáit.</w:t>
      </w:r>
    </w:p>
  </w:footnote>
  <w:footnote w:id="9">
    <w:p w14:paraId="1A49E979" w14:textId="13D70967" w:rsidR="00017826" w:rsidRDefault="00017826" w:rsidP="00017826">
      <w:pPr>
        <w:pStyle w:val="FootnoteText"/>
      </w:pPr>
      <w:r>
        <w:rPr>
          <w:rStyle w:val="FootnoteReference"/>
        </w:rPr>
        <w:footnoteRef/>
      </w:r>
      <w:r>
        <w:t xml:space="preserve"> </w:t>
      </w:r>
      <w:r>
        <w:tab/>
        <w:t xml:space="preserve">Tá an teimpléad don bhileog faisnéise forlíontaí chun fógra a thabhairt faoi phlean meastóireachta (Cuid III.8) le fáil anseo: </w:t>
      </w:r>
      <w:hyperlink w:anchor="evaluation-plan" w:history="1">
        <w:r>
          <w:rPr>
            <w:rStyle w:val="Hyperlink"/>
          </w:rPr>
          <w:t>https://competition-policy.ec.europa.eu/state-aid/legislation/forms-notifications-and-reporting_ga#evaluation-plan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4EF7"/>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3F8A"/>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ga-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ga-I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ga-I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ga-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6F75F5F-0AF8-4EE9-BF18-4B373B1334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14</Pages>
  <Words>4009</Words>
  <Characters>21370</Characters>
  <Application>Microsoft Office Word</Application>
  <DocSecurity>0</DocSecurity>
  <Lines>464</Lines>
  <Paragraphs>164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O'FLAHERTY Flyn (DGT)</cp:lastModifiedBy>
  <cp:revision>8</cp:revision>
  <cp:lastPrinted>2022-04-12T14:59:00Z</cp:lastPrinted>
  <dcterms:created xsi:type="dcterms:W3CDTF">2024-08-22T12:39:00Z</dcterms:created>
  <dcterms:modified xsi:type="dcterms:W3CDTF">2024-10-03T13:22:00Z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