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 xml:space="preserve">III.6 dalis</w:t>
            </w:r>
          </w:p>
          <w:p w14:paraId="6E9C4C7E" w14:textId="620BA570" w:rsidR="000442F5" w:rsidRPr="009916D5" w:rsidRDefault="001F242D" w:rsidP="007B485D">
            <w:pPr>
              <w:pStyle w:val="Heading2"/>
              <w:spacing w:before="240" w:after="240"/>
              <w:jc w:val="center"/>
              <w:rPr>
                <w:sz w:val="32"/>
                <w:szCs w:val="32"/>
              </w:rPr>
            </w:pPr>
            <w:r>
              <w:rPr>
                <w:sz w:val="32"/>
              </w:rPr>
              <w:t xml:space="preserve">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w:t>
            </w:r>
            <w:r>
              <w:rPr>
                <w:sz w:val="32"/>
                <w:vertAlign w:val="superscript"/>
              </w:rPr>
              <w:t xml:space="preserve"> </w:t>
            </w:r>
            <w:bookmarkEnd w:id="0"/>
            <w:bookmarkEnd w:id="1"/>
          </w:p>
          <w:p w14:paraId="7D2F63E6" w14:textId="557FC649" w:rsidR="002B52B3" w:rsidRPr="002D5A79" w:rsidRDefault="002B52B3" w:rsidP="00952D58">
            <w:pPr>
              <w:jc w:val="center"/>
              <w:rPr>
                <w:sz w:val="32"/>
                <w:szCs w:val="32"/>
                <w:rFonts w:eastAsia="SimSun"/>
              </w:rPr>
            </w:pPr>
            <w:r>
              <w:rPr>
                <w:sz w:val="32"/>
              </w:rPr>
              <w:t xml:space="preserve">4.7.1 skyrius. Pagalba aplinkosaugos arba parafiskalinių mokesčių sumažinimo forma</w:t>
            </w:r>
          </w:p>
        </w:tc>
      </w:tr>
    </w:tbl>
    <w:p w14:paraId="27F0F629" w14:textId="4927A87E" w:rsidR="000442F5" w:rsidRPr="00711243" w:rsidRDefault="000442F5" w:rsidP="004779D5">
      <w:pPr>
        <w:spacing w:before="36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622044AE" w14:textId="108684F2" w:rsidR="009E2EA1" w:rsidRPr="00711243" w:rsidRDefault="0072538B" w:rsidP="6EC7D551">
      <w:pPr>
        <w:spacing w:before="120" w:after="120"/>
        <w:ind w:right="-142"/>
        <w:jc w:val="both"/>
        <w:rPr>
          <w:i/>
          <w:iCs/>
        </w:rPr>
      </w:pPr>
      <w:r>
        <w:rPr>
          <w:i/>
        </w:rPr>
        <w:t xml:space="preserve">Šioje formoje pateikiama papildoma informacija apie priemones, kurioms taikomas PKAAE gairių 4.7.1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516CA0D8" w14:textId="13E1AC51" w:rsidR="00D85EEE" w:rsidRDefault="009E2EA1" w:rsidP="0BD92DCE">
      <w:pPr>
        <w:spacing w:before="120" w:after="120"/>
        <w:ind w:right="-142"/>
        <w:jc w:val="both"/>
      </w:pPr>
      <w:r>
        <w:rPr>
          <w:i/>
        </w:rPr>
        <w:t xml:space="preserve">Valstybės narės turi sunumeruoti visus prie šios papildomos informacijos pateikimo formos pridedamus dokumentus ir nurodyti dokumentų numerius atitinkamose šios formos skirsniuose.</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pagrindinių charakteristikų santrauka</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 xml:space="preserve">Priemonės (-ių) aplinkybės ir tikslas (-ai)</w:t>
      </w:r>
    </w:p>
    <w:p w14:paraId="7E6887E3" w14:textId="3DC69D1A" w:rsidR="00EA14A3" w:rsidRDefault="00D3344D" w:rsidP="00EA14A3">
      <w:pPr>
        <w:pStyle w:val="ListParagraph"/>
        <w:numPr>
          <w:ilvl w:val="0"/>
          <w:numId w:val="67"/>
        </w:numPr>
        <w:spacing w:after="240"/>
        <w:ind w:left="993" w:hanging="142"/>
        <w:jc w:val="both"/>
      </w:pPr>
      <w:r>
        <w:t xml:space="preserve">Jei dar nenurodėte formos „Bendroji informacija“ 5.2 skirsnyje (I dalis),</w:t>
      </w:r>
      <w:r>
        <w:t xml:space="preserve"> </w:t>
      </w:r>
      <w:r>
        <w:t xml:space="preserve">nurodykite priemonės aplinkybes ir pagrindinį tikslą, įskaitant ryšį su bet kokiais Sąjungos aplinkosauginiais tikslais, kurių siekimą ketinama remti.</w:t>
      </w:r>
      <w:r>
        <w:t xml:space="preserv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Jei dar nenurodėte formos „Bendroji informacija“ 5.2 skirsnyje (I dalis),</w:t>
      </w:r>
      <w:r>
        <w:t xml:space="preserve"> </w:t>
      </w:r>
      <w:r>
        <w:t xml:space="preserve">nurodykite visus kitus ja siekiamus tikslus.</w:t>
      </w:r>
      <w:r>
        <w:t xml:space="preserve"> </w:t>
      </w:r>
      <w:r>
        <w:t xml:space="preserve">Jei tikslai yra ne vien aplinkosauginiai, paaiškinkite, ar juos pasiekus gali būti iškraipoma vidaus rinka.</w:t>
      </w:r>
      <w:r>
        <w:t xml:space="preserve">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 xml:space="preserve">Įsigaliojimas ir taikymo trukmė</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 xml:space="preserve">Jei dar nenurodėte formos „Bendroji informacija“ 5.5 skirsnyje (I dalis), pateikite šią informaciją.</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Pagalbos schemos atveju nurodykite:</w:t>
      </w:r>
      <w:r>
        <w:t xml:space="preserve">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 xml:space="preserve">numatomą pagalbos schemos įsigaliojimo datą;</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 xml:space="preserve">schemos taikymo trukmę</w:t>
      </w:r>
      <w:r>
        <w:rPr>
          <w:rStyle w:val="FootnoteReference"/>
          <w:rFonts w:cs="Arial Unicode MS"/>
          <w:bCs/>
          <w:lang w:bidi="si-LK"/>
        </w:rPr>
        <w:footnoteReference w:id="3"/>
      </w:r>
      <w:r>
        <w:t xml:space="preserve">.</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 xml:space="preserve">Individualios pagalbos atveju nurodykite</w:t>
      </w:r>
      <w:r>
        <w:t xml:space="preserve"> </w:t>
      </w:r>
      <w:r>
        <w:t xml:space="preserve">(planuojamą) pagalbos suteikimo datą (pažado suteikti pagalbą datą) ir mokėjimo datą (pirmojo mokėjimo datą, jei numatomi įvairūs paskesni mokėjimai):</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b/>
          <w:rFonts w:cs="Arial Unicode MS"/>
        </w:rPr>
      </w:pPr>
      <w:r>
        <w:rPr>
          <w:b/>
        </w:rPr>
        <w:t xml:space="preserve">Pagalbos gavėjas (-ai)</w:t>
      </w:r>
    </w:p>
    <w:p w14:paraId="5266FC05" w14:textId="60C34F9E" w:rsidR="00BC5DDD" w:rsidRDefault="00CF3861" w:rsidP="00C52CFD">
      <w:pPr>
        <w:pStyle w:val="ListParagraph"/>
        <w:numPr>
          <w:ilvl w:val="0"/>
          <w:numId w:val="68"/>
        </w:numPr>
        <w:spacing w:after="240"/>
        <w:ind w:hanging="229"/>
        <w:jc w:val="both"/>
        <w:rPr>
          <w:szCs w:val="24"/>
        </w:rPr>
      </w:pPr>
      <w:r>
        <w:t xml:space="preserve">Jei dar nenurodėte „Bendrosios informacijos formos“ 3 skirsnyje (I dalis), apibūdinkite (galimą) priemonės (-ių) pagalbos gavėją (-us).</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 xml:space="preserve">Nurodykite pagalbos gavėjo (-ų) vietą (t. y. ar teisę dalyvauti priemonėje turi tik atitinkamose valstybėse narėse esantys ūkio subjektai, ar ir kitose valstybėse narėse esantys ūkio subjektai).</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Jei taip, pateikite informaciją apie pagalbos sumą, kuri dar nesusigrąžinta, kad Komisija į ją atsižvelgtų vertindama pagalbos priemonę (-es).</w:t>
      </w:r>
      <w:r>
        <w:t xml:space="preserve">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b/>
          <w:bCs/>
          <w:rFonts w:cs="Arial Unicode MS"/>
        </w:rPr>
      </w:pPr>
      <w:bookmarkStart w:id="2" w:name="_Ref172736116"/>
      <w:r>
        <w:rPr>
          <w:b/>
        </w:rPr>
        <w:t xml:space="preserve">Priemonės (-ių) biudžetas ir finansavimas</w:t>
      </w:r>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 xml:space="preserve">.</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 xml:space="preserve">kadangi priemonė susijusi su aplinkosaugos ir (arba) parafiskaliniu mokesčiu</w:t>
      </w:r>
      <w:r>
        <w:rPr>
          <w:rStyle w:val="FootnoteReference"/>
          <w:rFonts w:cs="Arial Unicode MS"/>
          <w:lang w:bidi="si-LK"/>
        </w:rPr>
        <w:footnoteReference w:id="5"/>
      </w:r>
      <w:r>
        <w:t xml:space="preserve">, paaiškinkite, ar:</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 xml:space="preserve">mokesčio sumažinimas finansuojamas didinant mokestį kitiems vartotojams;</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 xml:space="preserve">mokestis vienodai taikomas ir vidaus, ir importuojamiems produktams;</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 xml:space="preserve">priemonė bus vienodai naudinga ir vidaus, ir importuojamų produktų gamintojams;</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 xml:space="preserve">priemonė finansuojama iš mokesčio, iš kurio finansuojamos ir kitos pagalbos priemonės.</w:t>
      </w:r>
      <w:r>
        <w:t xml:space="preserve"> </w:t>
      </w:r>
      <w:r>
        <w:t xml:space="preserve">Jei taip, nurodykite tas kitas iš atitinkamo mokesčio finansuojamas pagalbos priemones.</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 xml:space="preserve">Indėlis į ekonominės veiklos plėtrą, skatinamasis poveikis, pagalbos pagrindimas, taikymo sritis ir remiamos veiklos rūšys</w:t>
            </w:r>
          </w:p>
        </w:tc>
      </w:tr>
    </w:tbl>
    <w:p w14:paraId="2870642B" w14:textId="029644F0" w:rsidR="000442F5" w:rsidRPr="00DB40A5" w:rsidRDefault="000442F5" w:rsidP="7963440A">
      <w:pPr>
        <w:spacing w:before="360" w:after="120"/>
        <w:jc w:val="both"/>
        <w:rPr>
          <w:i/>
          <w:iCs/>
        </w:rPr>
      </w:pPr>
      <w:r>
        <w:rPr>
          <w:i/>
        </w:rPr>
        <w:t xml:space="preserve">Kad pateiktumėte šiame skirsnyje prašomą informaciją, žr. PKAAE gairių 3.1.1 ir 3.1.2 skirsnius </w:t>
      </w:r>
      <w:bookmarkStart w:id="4" w:name="_Hlk172821826"/>
      <w:r>
        <w:rPr>
          <w:i/>
        </w:rPr>
        <w:t xml:space="preserve">tiek, kiek jie taikytini priemonei (-ėms),</w:t>
      </w:r>
      <w:bookmarkEnd w:id="4"/>
      <w:r>
        <w:rPr>
          <w:i/>
        </w:rPr>
        <w:t xml:space="preserve"> ir 4.7.1.1 ir 4.7.1.2 skirsnius (293–296 punktus).</w:t>
      </w:r>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SESV 107 straipsnio 3 dalies c punkte nustatyta, kad Komisija gali pripažinti, kad suderinama yra „pagalba, skirta tam tikros ekonominės veiklos rūšių arba tam tikrų ekonomikos sričių plėtrai skatinti, jei ji netrikdo prekybos sąlygų taip, kad prieštarautų bendram interesui“.</w:t>
      </w:r>
      <w:r>
        <w:t xml:space="preserve"> </w:t>
      </w:r>
      <w:r>
        <w:t xml:space="preserve">Todėl pagal šią Sutarties nuostatą suderinama pagalba turi prisidėti prie tam tikros ekonominės veiklos plėtros.</w:t>
      </w:r>
      <w:r>
        <w:t xml:space="preserve"> </w:t>
      </w:r>
    </w:p>
    <w:p w14:paraId="52F709B3" w14:textId="79C6C83F" w:rsidR="00EE2FCC" w:rsidRPr="00864DCD" w:rsidRDefault="00CB486E" w:rsidP="00864DCD">
      <w:pPr>
        <w:pStyle w:val="ListParagraph"/>
        <w:spacing w:before="120" w:after="120"/>
        <w:ind w:left="567"/>
        <w:contextualSpacing w:val="0"/>
        <w:jc w:val="both"/>
      </w:pPr>
      <w:r>
        <w:t xml:space="preserve">Kad būtų galima įvertinti, ar laikomasi PKAAE gairių 23 punkto, nurodykite, kokią ekonominę veiklą skatins pagalba ir kaip remiama šios veiklos plėtra.</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3.1.2 skirsnio, paaiškinkite, kaip priemonė (-ės) „paskatina pagalbos gavėją keisti elgesį, imtis papildomos ekonominės veiklos arba aplinkai palankesnės ekonominės veiklos, kurios jis be pagalbos nevykdytų arba vykdytų ribotai ar kitaip“, atsižvelgiant į pagalbos pagrindimą, paaiškintą PKAAE gairių 4.7.1.1 skirsnyje.</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Kad būtų galima įvertinti, ar laikomasi PKAAE gairių 293 punkto, apibūdinkite i) kodėl aplinkosaugos arba parafiskalinių mokesčių sumažinimas, kuris gali neigiamai paveikti aplinkos apsaugos tikslą, vis dėlto gali būti reikalingas ir ii) kodėl „dėl aplinkosaugos arba parafiskalinio mokesčio pagalbos gavėjai atsidurtų tokioje nepalankioje konkurencinėje padėtyje, kad nebūtų įmanoma apskritai nustatyti tokio mokesčio“.</w:t>
      </w:r>
      <w:r>
        <w:t xml:space="preserv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 xml:space="preserve">Kad būtų galima įvertinti, ar laikomasi PKAAE gairių 294 punkto, apibūdinkite: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kodėl „kai kurioms įmonėms taikant palankesnes sąlygas, gali būti surinkta daugiau aplinkosaugos arba parafiskalinių mokesčių“;</w:t>
      </w:r>
      <w:r>
        <w:t xml:space="preserv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kodėl „sumažinant aplinkosaugos ar parafiskalinius mokesčius galima netiesiogiai padėti gerinti aplinkos apsaugą“</w:t>
      </w:r>
      <w:r>
        <w:t xml:space="preserve"> </w:t>
      </w:r>
      <w:r>
        <w:t xml:space="preserve">ir</w:t>
      </w:r>
      <w:r>
        <w:t xml:space="preserve">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 xml:space="preserve">kaip valstybė narė užtikrina, kad toks sumažinimas netrukdo „siekti bendro aplinkosaugos arba parafiskalinio mokesčio tikslo – atgrasyti nuo aplinkai žalingo elgesio ir (arba) padidinti už tokį elgesį tenkančias išlaidas, kai tinkamų alternatyvų nėra“.</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 xml:space="preserve">Kad būtų galima įvertinti, ar laikomasi PKAAE gairių 295 punkto, pateikite informaciją, nurodytą PKAAE gairių 296 punkte:</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pagalbos gavėjų, kuriems gali būti taikomi sumažinti mokesčiai, sektorių arba kategorijų aprašymą,</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 xml:space="preserve">didžiausių pagalbos gavėjų kiekviename atitinkamame sektoriuje sąrašą, jų apyvartą, rinkos dalis, mokesčio bazės dydį ir ikimokestinio pelno dalį, sumažinus aplinkosaugos mokestį ir jo nesumažinus (tai gali būti pateikta atskirame šios papildomos informacijos pateikimo formos priede),</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tų pagalbos gavėjų padėties aprašymą, paaiškinant, kodėl jie negalėtų mokėti standartinio aplinkosaugos mokesčio tarifo,</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 xml:space="preserve">paaiškinimą, kaip sumažintu mokesčiu būtų prisidedama prie faktinio aplinkos apsaugos lygio padidėjimo, palyginti su aplinkos apsaugos lygiu, kuris turi būti pasiektas netaikant sumažintų mokesčių</w:t>
      </w:r>
      <w:r>
        <w:rPr>
          <w:rStyle w:val="FootnoteReference"/>
          <w:szCs w:val="24"/>
        </w:rPr>
        <w:footnoteReference w:id="6"/>
      </w:r>
      <w:r>
        <w:t xml:space="preserve">.</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 xml:space="preserve">Nepažeidžiama jokia atitinkama Sąjungos teisės nuostata</w:t>
            </w:r>
          </w:p>
        </w:tc>
      </w:tr>
    </w:tbl>
    <w:p w14:paraId="243B3743" w14:textId="21186291" w:rsidR="00DE1D68" w:rsidRDefault="00DE1D68" w:rsidP="00DE1D68">
      <w:pPr>
        <w:spacing w:before="360" w:after="120"/>
        <w:jc w:val="both"/>
        <w:rPr>
          <w:i/>
        </w:rPr>
      </w:pPr>
      <w:r>
        <w:rPr>
          <w:i/>
        </w:rPr>
        <w:t xml:space="preserve">Kad pateiktumėte šiame skirsnyje prašomą informaciją, žr. PKAAE gairių 3.1.3 skirsnį (33 punktą).</w:t>
      </w:r>
      <w:r>
        <w:rPr>
          <w:i/>
        </w:rPr>
        <w:t xml:space="preserv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 xml:space="preserve">Pateikite informaciją ir patvirtinkite, kad laikomasi atitinkamų ES teisės nuostatų, kaip nurodyta PKAAE gairių 33 punkte.</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t xml:space="preserve"> </w:t>
      </w:r>
      <w:r>
        <w:t xml:space="preserve">Atsižvelgiant į tai, galima remtis pirmiau pateiktame </w:t>
      </w:r>
      <w:r>
        <w:fldChar w:fldCharType="begin" w:dirty="true"/>
      </w:r>
      <w:r>
        <w:instrText xml:space="preserve"> REF _Ref172736116 \w \h </w:instrText>
      </w:r>
      <w:r/>
      <w:r>
        <w:fldChar w:fldCharType="separate"/>
      </w:r>
      <w:r>
        <w:t xml:space="preserve">5</w:t>
      </w:r>
      <w:r>
        <w:fldChar w:fldCharType="end"/>
      </w:r>
      <w:r>
        <w:t xml:space="preserve"> punkto </w:t>
      </w:r>
      <w:r>
        <w:fldChar w:fldCharType="begin" w:dirty="true"/>
      </w:r>
      <w:r>
        <w:instrText xml:space="preserve"> REF _Ref172736090 \r \h </w:instrText>
      </w:r>
      <w:r/>
      <w:r>
        <w:fldChar w:fldCharType="separate"/>
      </w:r>
      <w:r>
        <w:t xml:space="preserve">ii</w:t>
      </w:r>
      <w:r>
        <w:fldChar w:fldCharType="end"/>
      </w:r>
      <w:r>
        <w:t xml:space="preserve"> papunktyje nurodyta informacija.</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 xml:space="preserve">Konkurencijos ir prekybos iškraipymo mažinimas</w:t>
            </w:r>
          </w:p>
        </w:tc>
      </w:tr>
    </w:tbl>
    <w:p w14:paraId="40A64058" w14:textId="230E5E86" w:rsidR="00EC33DD" w:rsidRDefault="00EC33DD" w:rsidP="00A46DF5">
      <w:pPr>
        <w:spacing w:before="360" w:after="120"/>
        <w:rPr>
          <w:i/>
          <w:color w:val="000000"/>
        </w:rPr>
      </w:pPr>
      <w:r>
        <w:rPr>
          <w:i/>
          <w:color w:val="000000"/>
        </w:rPr>
        <w:t xml:space="preserve">Atkreipkite dėmesį, kad reikia užpildyti </w:t>
      </w:r>
      <w:r>
        <w:rPr>
          <w:i/>
          <w:color w:val="000000"/>
        </w:rPr>
        <w:t xml:space="preserve">tik 2.1.1 arba 2.1.2 skirsnį</w:t>
      </w:r>
      <w:r>
        <w:rPr>
          <w:i/>
          <w:color w:val="000000"/>
        </w:rPr>
        <w:t xml:space="preserve">.</w:t>
      </w:r>
      <w:r>
        <w:rPr>
          <w:i/>
          <w:color w:val="000000"/>
        </w:rPr>
        <w:t xml:space="preserve"> </w:t>
      </w:r>
      <w:r>
        <w:rPr>
          <w:i/>
          <w:color w:val="000000"/>
        </w:rPr>
        <w:t xml:space="preserve">Tais atvejais, kai gali būti taikomas supaprastintas metodas pagal 2.1.1 skirsnį, informacijos pagal 2.1.2 skirsnį pateikti nereikia.</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 xml:space="preserve">Suderintiems aplinkosaugos mokesčiams taikytinas supaprastintas metodas</w:t>
            </w:r>
          </w:p>
        </w:tc>
      </w:tr>
    </w:tbl>
    <w:p w14:paraId="3BC9FD96" w14:textId="596445AB" w:rsidR="00877483" w:rsidRDefault="001D4B25" w:rsidP="00506D80">
      <w:pPr>
        <w:spacing w:before="360" w:after="120"/>
        <w:rPr>
          <w:i/>
          <w:color w:val="000000"/>
        </w:rPr>
      </w:pPr>
      <w:r>
        <w:rPr>
          <w:i/>
          <w:color w:val="000000"/>
        </w:rPr>
        <w:t xml:space="preserve">Kad</w:t>
      </w:r>
      <w:r>
        <w:rPr>
          <w:i/>
          <w:color w:val="000000"/>
        </w:rPr>
        <w:t xml:space="preserve"> pateiktumėte šiame skirsnyje prašomą informaciją, žr. PKAAE gairių 4.7.1.3 skirsnį (297–300 punktus).</w:t>
      </w:r>
      <w:r>
        <w:rPr>
          <w:i/>
          <w:color w:val="000000"/>
        </w:rPr>
        <w:t xml:space="preserve"> </w:t>
      </w:r>
      <w:r>
        <w:rPr>
          <w:i/>
          <w:color w:val="000000"/>
        </w:rPr>
        <w:t xml:space="preserve">Jeigu aplinkosaugos mokesčiai yra suvienodinti, Komisija gali vertinti pagalbos būtinumą ir proporcingumą supaprastinta tvarka.</w:t>
      </w:r>
      <w:r>
        <w:rPr>
          <w:i/>
          <w:color w:val="000000"/>
        </w:rPr>
        <w:t xml:space="preserve"> </w:t>
      </w:r>
      <w:r>
        <w:rPr>
          <w:i/>
          <w:color w:val="000000"/>
        </w:rPr>
        <w:t xml:space="preserve">Pagal Direktyvą 2003/96/EB Komisija mokesčių sumažinimui gali taikyti supaprastintą metodą, kuriuo laikomasi 298 ir 299 punktuose nustatyto Sąjungos mažiausio mokesčių lygio.</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 xml:space="preserve">Paaiškinkite, ar priemonė (-ės) patenka į Direktyvos 2003/96/EB taikymo sritį.</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 xml:space="preserve">Jei taip, kad būtų galima įvertinti, ar laikomasi PKAAE gairių 298 punkto, pateikite toliau nurodytą informaciją:</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 xml:space="preserve">nurodykite mažiausią taikytiną Sąjungos mokesčių lygį ir taikytiną mokesčio tarifą, kurį paramos gavėjas sumokėjo pagal priemonę;</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 xml:space="preserve">nurodykite ir paaiškinkite paramos gavėjų atrankos kriterijus.</w:t>
      </w:r>
      <w:r>
        <w:t xml:space="preserve"> </w:t>
      </w:r>
      <w:r>
        <w:t xml:space="preserve">Atsakydami paaiškinkite, kodėl jie yra objektyvūs ir skaidrūs;</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 xml:space="preserve">paaiškinkite ir patvirtinkite, kad pagalba teikiama tokiu pačiu būdu visoms įmonėms, vykdančioms veiklą tame pačiame sektoriuje, jei jų faktinė padėtis yra panaši;</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patvirtinkite, kad buvo surengtos </w:t>
      </w:r>
      <w:r>
        <w:rPr>
          <w:i/>
          <w:iCs/>
        </w:rPr>
        <w:t xml:space="preserve">ex ante</w:t>
      </w:r>
      <w:r>
        <w:t xml:space="preserve"> atviros viešos konsultacijos, kuriose aiškiai apibrėžti sektoriai, kuriems gali būti sumažinti mokesčiai, ir pateiktas didžiausių kiekvieno sektoriaus pagalbos gavėjų sąrašas.</w:t>
      </w:r>
      <w:r>
        <w:t xml:space="preserve"> </w:t>
      </w:r>
      <w:r>
        <w:t xml:space="preserve">Pateikite šioms konsultacijoms svarbių įrodymų.</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 xml:space="preserve">Kad būtų galima įvertinti, ar laikomasi PKAAE gairių 299 punkto:</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paaiškinkite, ar pagalba teikiama sumažinto mokesčio tarifo forma arba fiksuotos metinės kompensacijos sumos (mokesčio grąžinimo) forma, arba derinant abu būdus;</w:t>
      </w:r>
      <w:r>
        <w:t xml:space="preserve">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 xml:space="preserve">kai pagalba (jos dalis) teikiama kaip mokesčio grąžinimas, patvirtinkite, kad i) grąžintina mokesčio suma apskaičiuojama remiantis ankstesnių laikotarpių duomenimis, t. y. įmonės gamybos apimtimi ir suvartojimu arba tarša atitinkamais ataskaitiniais metais;</w:t>
      </w:r>
      <w:r>
        <w:t xml:space="preserve"> </w:t>
      </w:r>
      <w:r>
        <w:t xml:space="preserve">ir ii) grąžintina mokesčio suma neviršija Sąjungos minimalios mokesčio sumos, kuri kitu atveju būtų mokėtina už bazinius metus.</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 xml:space="preserve">Nuodugnus priemonės (-ių) vertinimas</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 xml:space="preserve">Kai aplinkosaugos mokesčiai yra nesuderinti arba pagalbos gavėjai moka mažiau nei Sąjungos minimalus suderinto mokesčio lygis, kai tai leidžiama pagal Direktyvą 2003/96/EB, reikia atlikti išsamų pagalbos būtinumo ir proporcingumo vertinimą.</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 xml:space="preserve">Pagalbos būtinumas</w:t>
            </w:r>
          </w:p>
        </w:tc>
      </w:tr>
    </w:tbl>
    <w:p w14:paraId="3754E3F1" w14:textId="25BB5508" w:rsidR="00663008" w:rsidRPr="00F83660" w:rsidRDefault="6695A805" w:rsidP="6637E879">
      <w:pPr>
        <w:spacing w:before="360" w:after="120"/>
        <w:jc w:val="both"/>
        <w:rPr>
          <w:i/>
          <w:iCs/>
          <w:color w:val="000000"/>
        </w:rPr>
      </w:pPr>
      <w:r>
        <w:rPr>
          <w:i/>
        </w:rPr>
        <w:t xml:space="preserve">Kad pateiktumėte šiame skirsnyje prašomą informaciją, žr. PKAAE gairių 3.2.1.1 skirsnį tiek, kiek jis taikytinas priemonei (-ėms), ir 4.7.1.3.1 skirsnį (301–303 punktus).</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Kad būtų galima įvertinti, ar laikomasi pagal PKAAE gairių 3.2.1.1 skirsnį taikytinų reikalavimų, apibūdinkite, kaip priemone (-ėmis) galima iš esmės pagerinti padėtį taip, kaip rinka pati to negali padaryti.</w:t>
      </w:r>
      <w:r>
        <w:t xml:space="preserve"> </w:t>
      </w:r>
      <w:r>
        <w:t xml:space="preserve">Atsakydami nurodykite rinkos nepakankamumo rūšis, aprašytas atitinkamai PKAAE gairių 34 punkte, ir paaiškinkite, kodėl jau taikomos kitų sričių politikos ir priemonių, nurodytų PKAAE gairių 35 punkte, nepakanka tokiam nepakankamumui pašalinti.</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 xml:space="preserve">Kad būtų galima įvertinti, ar laikomasi PKAAE gairių 302 punkto, pateikite informacijos, ar įvykdytos šios sąlygos:</w:t>
      </w:r>
    </w:p>
    <w:p w14:paraId="1B5AA814" w14:textId="0C243847" w:rsidR="00E05657" w:rsidRDefault="00E05657" w:rsidP="00A46DF5">
      <w:pPr>
        <w:pStyle w:val="ListParagraph"/>
        <w:numPr>
          <w:ilvl w:val="0"/>
          <w:numId w:val="127"/>
        </w:numPr>
        <w:spacing w:before="120" w:after="120"/>
        <w:ind w:left="1434" w:hanging="357"/>
        <w:jc w:val="both"/>
      </w:pPr>
      <w:r>
        <w:t xml:space="preserve">pagalbos gavėjai atrenkami remiantis objektyviais ir skaidriais kriterijais, o pagalba teikiama vienodai visoms reikalavimus atitinkančioms įmonėms, veikiančioms tame pačiame ekonominės veiklos sektoriuje ir esančioms tokioje pačioje arba panašioje faktinėje padėtyje, atsižvelgiant į pagalbos priemonės tikslus ar uždavinius;</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 xml:space="preserve">nesumažinus aplinkosaugos arba parafiskalinio mokesčio, labai padidėtų gamybos sąnaudos, kurios skaičiuojamos kaip kiekvieno sektoriaus ar pagalbos gavėjų kategorijos bendrosios pridėtinės vertės dalis (pvz., remiantis reprezentatyvių paramos gavėjų duomenimis arba apibendrintais sektoriaus ar paramos gavėjų kategorijos duomenimis);</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 xml:space="preserve">labai padidėjusių gamybos sąnaudų vartotojams neįmanoma perkelti taip, kad smarkiai nesumažėtų pardavimo apimtis (pvz., remiantis nuorodomis į įmonių konkurenciją jurisdikcijose, kuriose mokestis netaikomas, ir atitinkamo produkto pakeičiamumo laipsnį);</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 xml:space="preserve">kad būtų galima įvertinti, ar laikomasi PKAAE gairių 303 punkto, mokesčių biodegalams, skystiesiems bioproduktams ir biomasės kurui sumažinimo atveju</w:t>
      </w:r>
    </w:p>
    <w:p w14:paraId="54638E3E" w14:textId="69F50F83" w:rsidR="006E4D23" w:rsidRDefault="00CC0461" w:rsidP="00A46DF5">
      <w:pPr>
        <w:pStyle w:val="ListParagraph"/>
        <w:numPr>
          <w:ilvl w:val="0"/>
          <w:numId w:val="128"/>
        </w:numPr>
        <w:spacing w:before="120" w:after="120"/>
        <w:ind w:left="1434" w:hanging="357"/>
        <w:jc w:val="both"/>
      </w:pPr>
      <w:r>
        <w:t xml:space="preserve">patvirtinkite, kad bus įdiegtas mechanizmas, kuris leistų patikrinti, ar priemonė vis dar būtina, taikant PKAAE gairių 4.1.3.1 skirsnyje nustatytas būtinumo sąlygas;</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paaiškinkite, kaip šis mechanizmas veiks,</w:t>
      </w:r>
      <w:r>
        <w:t xml:space="preserve"> </w:t>
      </w:r>
      <w:r>
        <w:t xml:space="preserve">ir</w:t>
      </w:r>
      <w:r>
        <w:t xml:space="preserve">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 xml:space="preserve">patvirtinkite, kad valstybė narė imsis atitinkamų priemonių, pavyzdžiui, panaikins atleidimą nuo mokesčio arba sumažins paramos dydį, ir nurodykite, kokios atitinkamos priemonės bus konkrečiai taikomos.</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 xml:space="preserve">Pagalbos tinkamumas</w:t>
            </w:r>
          </w:p>
        </w:tc>
      </w:tr>
    </w:tbl>
    <w:p w14:paraId="6227BC57" w14:textId="2AC58623" w:rsidR="0009768A" w:rsidRDefault="1626403F" w:rsidP="00AE5E48">
      <w:pPr>
        <w:spacing w:before="360" w:after="120"/>
        <w:jc w:val="both"/>
        <w:rPr>
          <w:i/>
          <w:iCs/>
          <w:color w:val="000000"/>
        </w:rPr>
      </w:pPr>
      <w:r>
        <w:rPr>
          <w:i/>
        </w:rPr>
        <w:t xml:space="preserve">Kad pateiktumėte šiame skirsnyje prašomą informaciją, žr. PKAAE gairių 3.2.1.2 skirsnį tiek, kiek jis taikytinas priemonei (-ėms), ir 4.7.1.3.2 skirsnį (304–306 punktus).</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Kad būtų galima įvertinti, ar laikomasi pagal PKAAE gairių 3.2.1.2 skirsnį taikytinų reikalavimų, apibūdinkite, kodėl priemonė (-ės) yra tinkama (-os) politikos priemonė (-ės) numatytam pagalbos tikslui pasiekti, t. y. neturi būti kitos mažesnio iškreipiamojo poveikio politikos ir pagalbos priemonės, kuria būtų galima pasiekti tokių pat rezultatų, atsižvelgiant į kitas politikos priemones ir įvairias pagalbos priemones, kurias būtų galima taikyti kaip alternatyvą.</w:t>
      </w:r>
      <w:r>
        <w:t xml:space="preserve">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 xml:space="preserve">Kad būtų galima įvertinti, ar laikomasi PKAAE gairių 305 punkto, patvirtinkite, kad i) priemonės (-ių) taikymo trukmė yra ne ilgesnė kaip 10 metų ir ii) pakartotinis pranešimas priklausys nuo pakartotinio priemonės (-ių) tinkamumo vertinimo.</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 xml:space="preserve">Kai pagalba teikiama kaip mokesčio grąžinimas, kad būtų galima įvertinti, ar laikomasi PKAAE gairių 306 punkto, patvirtinkite, kad grąžintina mokesčio suma bus apskaičiuojama remiantis ankstesnių laikotarpių duomenimis, t. y. įmonės gamybos apimtimi ir suvartojimu arba tarša atitinkamais ataskaitiniais metais.</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 xml:space="preserve">Pagalbos proporcingumas</w:t>
            </w:r>
          </w:p>
        </w:tc>
      </w:tr>
    </w:tbl>
    <w:p w14:paraId="322B0DC4" w14:textId="2E7D7E33" w:rsidR="00863406" w:rsidRPr="00FC6878" w:rsidRDefault="00863406" w:rsidP="2368A16B">
      <w:pPr>
        <w:spacing w:before="360" w:after="120"/>
        <w:jc w:val="both"/>
        <w:rPr>
          <w:i/>
          <w:iCs/>
        </w:rPr>
      </w:pPr>
      <w:r>
        <w:rPr>
          <w:i/>
        </w:rPr>
        <w:t xml:space="preserve">Kad pateiktumėte šiame skirsnyje prašomą informaciją, žr. PKAAE gairių 4.7.1.3.3 skirsnį (307–309 punktus).</w:t>
      </w:r>
      <w:r>
        <w:rPr>
          <w:i/>
        </w:rPr>
        <w:t xml:space="preserve">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 xml:space="preserve">Kad būtų galima įvertinti, ar laikomasi PKAAE gairių 308 punkto (kuriame reikalaujama, kad būtų įvykdyta bent viena iš šių sąlygų), užpildykite vieną iš punktų:</w:t>
      </w:r>
      <w:bookmarkEnd w:id="8"/>
    </w:p>
    <w:p w14:paraId="07E9565A" w14:textId="5F95AEC5" w:rsidR="006F256F" w:rsidRDefault="270F0651" w:rsidP="00A46DF5">
      <w:pPr>
        <w:pStyle w:val="ListParagraph"/>
        <w:numPr>
          <w:ilvl w:val="0"/>
          <w:numId w:val="129"/>
        </w:numPr>
        <w:spacing w:before="120" w:after="120"/>
        <w:ind w:left="1434" w:hanging="357"/>
        <w:jc w:val="both"/>
      </w:pPr>
      <w:r>
        <w:t xml:space="preserve">nurodykite, ar kiekvienas pagalbos gavėjas moka ne mažiau kaip 20 % nominalios aplinkosaugos arba parafiskalinio mokesčio sumos, kuri būtų taikoma tam pagalbos gavėjui, jei mokestis nebūtų sumažintas;</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arba nurodykite, ar i) mokesčio sumažinimas yra ne didesnis nei 100 proc. nacionalinio aplinkosaugos arba parafiskalinio mokesčio;</w:t>
      </w:r>
      <w:r>
        <w:t xml:space="preserve"> </w:t>
      </w:r>
      <w:r>
        <w:t xml:space="preserve">ii) mokesčio lengvata taikoma, tik jei valstybė narė ir pagalbos gavėjai arba pagalbos gavėjų asociacijos sudaro susitarimus, kuriais pagalbos gavėjai arba pagalbos gavėjų asociacijos įsipareigoja siekti aplinkos apsaugos tikslų, kurių poveikis yra toks pats kaip ir tuo atveju, jeigu pagalbos gavėjai arba pagalbos gavėjų asociacijos sumokėtų bent 20 % nacionalinio mokesčio</w:t>
      </w:r>
      <w:r>
        <w:rPr>
          <w:rStyle w:val="FootnoteReference"/>
          <w:lang w:eastAsia="en-GB"/>
        </w:rPr>
        <w:footnoteReference w:id="7"/>
      </w:r>
      <w:r>
        <w:t xml:space="preserve">.</w:t>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Jei pateikėte informaciją </w:t>
      </w:r>
      <w:r>
        <w:fldChar w:fldCharType="begin" w:dirty="true"/>
      </w:r>
      <w:r>
        <w:instrText xml:space="preserve"> REF _Ref172812423 \w \h </w:instrText>
      </w:r>
      <w:r/>
      <w:r>
        <w:fldChar w:fldCharType="separate"/>
      </w:r>
      <w:r>
        <w:t xml:space="preserve">22</w:t>
      </w:r>
      <w:r>
        <w:fldChar w:fldCharType="end"/>
      </w:r>
      <w:r>
        <w:t xml:space="preserve"> punkto ii papunktyje, kad būtų galima įvertinti, ar laikomasi PKAAE gairių 309 punkto, apibūdinkite:</w:t>
      </w:r>
    </w:p>
    <w:p w14:paraId="02DB823F" w14:textId="1AC5E3AC" w:rsidR="00E72A73" w:rsidRDefault="00E72A73" w:rsidP="00A46DF5">
      <w:pPr>
        <w:pStyle w:val="ListParagraph"/>
        <w:numPr>
          <w:ilvl w:val="0"/>
          <w:numId w:val="130"/>
        </w:numPr>
        <w:spacing w:before="120" w:after="120"/>
        <w:ind w:left="1434" w:hanging="357"/>
        <w:jc w:val="both"/>
      </w:pPr>
      <w:r>
        <w:t xml:space="preserve">taikytinų susitarimų turinį, įskaitant konkrečius tikslus ir nustatytus jų pasiekimo terminus;</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 xml:space="preserve">kaip bus užtikrinta nepriklausoma ir reguliari tuose susitarimuose nustatytų įsipareigojimų vykdymo stebėsena;</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 xml:space="preserve">kaip susitarimai yra periodiškai peržiūrimi atsižvelgiant į technologijų bei kitokius pokyčius ir juose nustatomos veiksmingos sankcijos už įpareigojimų nevykdymą.</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 xml:space="preserve">Sumavimas</w:t>
            </w:r>
          </w:p>
        </w:tc>
      </w:tr>
    </w:tbl>
    <w:p w14:paraId="56B46737" w14:textId="5C12CBC3" w:rsidR="001D0CD2" w:rsidRPr="001D0CD2" w:rsidRDefault="00B21377" w:rsidP="001D0CD2">
      <w:pPr>
        <w:spacing w:before="360" w:after="120"/>
        <w:jc w:val="both"/>
        <w:rPr>
          <w:i/>
          <w:iCs/>
        </w:rPr>
      </w:pPr>
      <w:r>
        <w:rPr>
          <w:i/>
        </w:rPr>
        <w:t xml:space="preserve">Kad pateiktumėte šiame skirsnyje prašomą informaciją, žr. PKAAE gairių 56–57 punktus.</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Kad būtų galima patikrinti, ar laikomasi PKAAE gairių 56 punkto, paaiškinkite, ar pagalba pagal priemonę (-es) gali būti suteikta vienu metu pagal kelias pagalbos schemas arba sumuojama su </w:t>
      </w:r>
      <w:r>
        <w:rPr>
          <w:i/>
        </w:rPr>
        <w:t xml:space="preserve">ad hoc</w:t>
      </w:r>
      <w:r>
        <w:t xml:space="preserve"> arba </w:t>
      </w:r>
      <w:r>
        <w:rPr>
          <w:i/>
          <w:iCs/>
        </w:rPr>
        <w:t xml:space="preserve">de minimis</w:t>
      </w:r>
      <w:r>
        <w:t xml:space="preserve"> pagalba tų pačių finansuoti tinkamų išlaidų atžvilgiu, jei šios informacijos dar nenurodėte formos „Bendroji informacija“ I dalyje.</w:t>
      </w:r>
      <w:r>
        <w:t xml:space="preserve"> </w:t>
      </w:r>
      <w:r>
        <w:t xml:space="preserve">Jei taip, pateikite išsamią informaciją apie tas pagalbos schemas, </w:t>
      </w:r>
      <w:r>
        <w:rPr>
          <w:i/>
        </w:rPr>
        <w:t xml:space="preserve">ad hoc</w:t>
      </w:r>
      <w:r>
        <w:t xml:space="preserve"> pagalbą arba </w:t>
      </w:r>
      <w:r>
        <w:rPr>
          <w:i/>
        </w:rPr>
        <w:t xml:space="preserve">de minimis</w:t>
      </w:r>
      <w:r>
        <w:t xml:space="preserve"> pagalbą ir apie tai, kaip bus sumuojama pagalba.</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Jei taikomas PKAAE gairių 56 punktas, pagrįskite, kodėl dėl bendros pagal priemonę (-es) projektui ar veiklai skirtos pagalbos sumos nesusidaro kompensacijos permoka arba neviršijama didžiausia pagalbos suma, leidžiama pagal PKAAE gairių 308 punktą.</w:t>
      </w:r>
      <w:r>
        <w:t xml:space="preserve"> </w:t>
      </w:r>
      <w:r>
        <w:t xml:space="preserve">Kiekvienos priemonės, pagal kurias teikiamą pagalbą galima sumuoti su pagal priemonę (-es) teikiama pagalba, atveju nurodykite metodą, kuriuo užtikrinama, kad būtų laikomasi PKAAE gairių 56 punkte nustatytų sąlygų.</w:t>
      </w:r>
      <w:r>
        <w:t xml:space="preserve">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 xml:space="preserve">Jei taikomas PKAAE gairių 57 punktas (t. y. pagal priemonę (-es) teikiama pagalba yra derinama su centralizuotai valdomu Sąjungos finansavimu</w:t>
      </w:r>
      <w:r>
        <w:rPr>
          <w:vertAlign w:val="superscript"/>
        </w:rPr>
        <w:footnoteReference w:id="8"/>
      </w:r>
      <w:r>
        <w:t xml:space="preserve">, kuris nėra valstybės pagalba), pagrįskite, kodėl dėl bendros viešojo finansavimo sumos, skiriamos toms pačioms tinkamoms finansuoti išlaidoms padengti, nesusidaro kompensacijos permoka.</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 xml:space="preserve">Skaidrumas</w:t>
            </w:r>
          </w:p>
        </w:tc>
      </w:tr>
    </w:tbl>
    <w:p w14:paraId="30CC4C47" w14:textId="5C8853FB" w:rsidR="006773CE" w:rsidRPr="007C0A44" w:rsidRDefault="006773CE" w:rsidP="2368A16B">
      <w:pPr>
        <w:spacing w:before="360" w:after="120"/>
        <w:jc w:val="both"/>
        <w:rPr>
          <w:i/>
          <w:iCs/>
        </w:rPr>
      </w:pPr>
      <w:r>
        <w:rPr>
          <w:i/>
          <w:color w:val="000000"/>
        </w:rPr>
        <w:t xml:space="preserve">Kad</w:t>
      </w:r>
      <w:r>
        <w:rPr>
          <w:i/>
          <w:color w:val="000000"/>
        </w:rPr>
        <w:t xml:space="preserve"> pateiktumėte šiame skirsnyje prašomą informaciją, žr. PKAAE gairių 3.2.1.4 skirsnį (58–62 punktus).</w:t>
      </w:r>
      <w:r>
        <w:rPr>
          <w:i/>
        </w:rPr>
        <w:t xml:space="preserve">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Pateikite interneto nuorodą (-as) į puslapį, kuriame bus paskelbtas visas patvirtintos pagalbos schemos arba sprendimo dėl individualios pagalbos skyrimo ir jos įgyvendinimo nuostatų tekstas ir informacija apie kiekvieną individualią pagalbą, skirtą </w:t>
      </w:r>
      <w:r>
        <w:rPr>
          <w:i/>
          <w:iCs/>
        </w:rPr>
        <w:t xml:space="preserve">ad hoc</w:t>
      </w:r>
      <w:r>
        <w:t xml:space="preserve"> arba pagal pagalbos schemą, patvirtintą remiantis šiomis gairėmis ir viršijančią 100 000 EUR.</w:t>
      </w:r>
      <w:r>
        <w:t xml:space="preserve">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 xml:space="preserve">Nederamo neigiamo poveikio konkurencijai ir prekybai vengimas</w:t>
            </w:r>
          </w:p>
        </w:tc>
      </w:tr>
    </w:tbl>
    <w:p w14:paraId="6F1494DE" w14:textId="5F2BAE4F" w:rsidR="00A80F29" w:rsidRPr="00B215FD" w:rsidRDefault="00A80F29" w:rsidP="00A80F29">
      <w:pPr>
        <w:spacing w:before="360" w:after="120"/>
        <w:jc w:val="both"/>
        <w:rPr>
          <w:i/>
          <w:iCs/>
        </w:rPr>
      </w:pPr>
      <w:r>
        <w:rPr>
          <w:i/>
        </w:rPr>
        <w:t xml:space="preserve">Kad pateiktumėte šiame skirsnyje prašomą informaciją, žr. PKAAE gairių 3.2.2 skirsnį tiek, kiek jis taikytinas priemonei (-ėms).</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Kad būtų galima įvertinti, ar laikomasi pagal PKAAE gairių 3.2.2 skirsnį taikytinų reikalavimų, apibūdinkite, kaip priemone (-ėmis) mažinamas bet koks akivaizdus neigiamas poveikis konkurencijai ir prekybai.</w:t>
      </w:r>
      <w:r>
        <w:t xml:space="preserve">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 xml:space="preserve">Kad būtų galima įvertinti, ar laikomasi PKAAE gairių 70 punkto:</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jei dar nepatvirtinote pateikdami informaciją </w:t>
      </w:r>
      <w:r>
        <w:fldChar w:fldCharType="begin" w:dirty="true"/>
      </w:r>
      <w:r>
        <w:instrText xml:space="preserve"> REF _Ref175221297 \r \h </w:instrText>
      </w:r>
      <w:r/>
      <w:r>
        <w:fldChar w:fldCharType="separate"/>
      </w:r>
      <w:r>
        <w:t xml:space="preserve">20</w:t>
      </w:r>
      <w:r>
        <w:fldChar w:fldCharType="end"/>
      </w:r>
      <w:r>
        <w:t xml:space="preserve"> punkte, patvirtinkite, kad schemos taikymo trukmė yra ne ilgesnė kaip dešimt metų nuo pranešimo apie Komisijos sprendimą, kuriuo pagalba pripažįstama suderinama, dienos;</w:t>
      </w:r>
      <w:r>
        <w:t xml:space="preserve">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Patvirtinkite, kad pratęsus priemonės taikymo trukmę ilgesniam laikotarpiui nei tas ilgiausias laikotarpis, reikės iš naujo pranešti apie priemonę (-es).</w:t>
      </w:r>
      <w:r>
        <w:t xml:space="preserve">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 xml:space="preserve">Teigiamo pagalbos poveikio ir neigiamo poveikio konkurencijai ir prekybai pasvėrimas</w:t>
            </w:r>
          </w:p>
        </w:tc>
      </w:tr>
    </w:tbl>
    <w:p w14:paraId="3513408C" w14:textId="56B6BA12" w:rsidR="00265702" w:rsidRPr="00863406" w:rsidRDefault="00265702" w:rsidP="2368A16B">
      <w:pPr>
        <w:spacing w:before="360" w:after="120"/>
        <w:jc w:val="both"/>
        <w:rPr>
          <w:i/>
          <w:iCs/>
          <w:color w:val="000000"/>
        </w:rPr>
      </w:pPr>
      <w:r>
        <w:rPr>
          <w:i/>
        </w:rPr>
        <w:t xml:space="preserve">Kad pateiktumėte šiame skirsnyje prašomą informaciją, žr. PKAAE gairių 3.3 skirsnį (71–76 punktus) tiek, kiek jis taikytinas priemonei (-ėms).</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 xml:space="preserve">Kad būtų galima įvertinti, ar laikomasi pagal PKAAE gairių 3.3 skirsnį taikytinų reikalavimų:</w:t>
      </w:r>
    </w:p>
    <w:p w14:paraId="3EA00BDB" w14:textId="1514E259" w:rsidR="004B2EF3" w:rsidRPr="00564B1B" w:rsidRDefault="00A24718" w:rsidP="00A46DF5">
      <w:pPr>
        <w:pStyle w:val="ListParagraph"/>
        <w:numPr>
          <w:ilvl w:val="0"/>
          <w:numId w:val="132"/>
        </w:numPr>
        <w:spacing w:before="120" w:after="120"/>
        <w:ind w:left="1434" w:hanging="357"/>
        <w:jc w:val="both"/>
      </w:pPr>
      <w:r>
        <w:t xml:space="preserve">pagrįskite, kaip teigiamas priemonės (-ių) poveikis apskritai nusveria neigiamą poveikį;</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 xml:space="preserve">dėl PKAAE gairių 75 punkto taikymo paaiškinkite, ar priemonė (-ės) turi aspektų, kuriais MVĮ sudaromos palankesnės sąlygos dalyvauti.</w:t>
      </w:r>
      <w:r>
        <w:t xml:space="preserve"> </w:t>
      </w:r>
      <w:r>
        <w:t xml:space="preserve">Jei taip, pateikite informacijos apie tuos aspektus ir pagrįskite, kaip teigiamas MVĮ dalyvavimo ir pritarimo jų dalyvavimui priemonėje (-se) užtikrinimo poveikis nusveria galimą iškreipiamąjį poveikį.</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Dėl PKAAE gairių 76 punkto c papunkčio taikymo nurodykite, ar pagalbos priemonė (-ės) būtų taikoma (-os) ribotą laiką.</w:t>
      </w:r>
      <w:r>
        <w:t xml:space="preserve">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 xml:space="preserve">C skirsnis.</w:t>
            </w:r>
            <w:r>
              <w:rPr>
                <w:b/>
                <w:sz w:val="32"/>
              </w:rPr>
              <w:t xml:space="preserve"> </w:t>
            </w:r>
            <w:r>
              <w:rPr>
                <w:b/>
                <w:sz w:val="32"/>
              </w:rPr>
              <w:t xml:space="preserve">Vertinimas</w:t>
            </w:r>
          </w:p>
        </w:tc>
      </w:tr>
    </w:tbl>
    <w:p w14:paraId="6A4ADF8D" w14:textId="77777777" w:rsidR="00C33721" w:rsidRPr="006725F7" w:rsidRDefault="00C33721" w:rsidP="006725F7">
      <w:pPr>
        <w:spacing w:before="360" w:after="120"/>
        <w:jc w:val="both"/>
        <w:rPr>
          <w:i/>
          <w:iCs/>
          <w:color w:val="000000"/>
        </w:rPr>
      </w:pPr>
      <w:r>
        <w:rPr>
          <w:i/>
          <w:color w:val="000000"/>
        </w:rPr>
        <w:t xml:space="preserve">Kad pateiktumėte šiame skirsnyje prašomą informaciją, žr. PKAAE gairių 76 punkto a papunktį ir 5 skyrių (455–463 punktus).</w:t>
      </w:r>
    </w:p>
    <w:p w14:paraId="61A6C035" w14:textId="1219DDD6" w:rsidR="00017826" w:rsidRPr="00017826" w:rsidRDefault="00017826" w:rsidP="00017826">
      <w:pPr>
        <w:numPr>
          <w:ilvl w:val="0"/>
          <w:numId w:val="50"/>
        </w:numPr>
        <w:spacing w:before="120" w:after="120"/>
        <w:ind w:left="567" w:hanging="567"/>
        <w:jc w:val="both"/>
      </w:pPr>
      <w:r>
        <w:t xml:space="preserve">Jei priemonė (-ės) viršija PKAAE gairių 456 punkte nustatytas biudžeto ir (arba) išlaidų ribas, paaiškinkite, kodėl, valstybės narės požiūriu, turėtų būti taikoma PKAAE gairių 457 punkte nustatyta išimtis, arba šios papildomos informacijos pateikimo formos priede pateikite, be kita ko, vertinimo plano projektą, apimantį PKAAE gairių 458 punkte nurodytą taikymo sritį</w:t>
      </w:r>
      <w:r>
        <w:rPr>
          <w:vertAlign w:val="superscript"/>
          <w:lang w:eastAsia="en-GB"/>
        </w:rPr>
        <w:footnoteReference w:id="9"/>
      </w:r>
      <w:r>
        <w:t xml:space="preserve">.</w:t>
      </w:r>
    </w:p>
    <w:p w14:paraId="5528A0D2" w14:textId="77777777" w:rsidR="00017826" w:rsidRPr="00017826" w:rsidRDefault="00017826" w:rsidP="00017826">
      <w:pPr>
        <w:spacing w:before="120" w:after="120"/>
        <w:ind w:firstLine="567"/>
        <w:jc w:val="both"/>
      </w:pPr>
      <w:r>
        <w:t xml:space="preserve">……………………………………………………………………………………………</w:t>
      </w:r>
    </w:p>
    <w:p w14:paraId="12AE83E4" w14:textId="77777777" w:rsidR="00017826" w:rsidRPr="00017826" w:rsidRDefault="00017826" w:rsidP="00017826">
      <w:pPr>
        <w:numPr>
          <w:ilvl w:val="0"/>
          <w:numId w:val="50"/>
        </w:numPr>
        <w:spacing w:before="120" w:after="120"/>
        <w:ind w:left="567" w:hanging="567"/>
        <w:jc w:val="both"/>
      </w:pPr>
      <w:r>
        <w:t xml:space="preserve">Jei pateikiamas vertinimo plano projektas:</w:t>
      </w:r>
    </w:p>
    <w:p w14:paraId="4C066F02" w14:textId="4C06AB69" w:rsidR="00017826" w:rsidRPr="00017826" w:rsidRDefault="00017826" w:rsidP="00017826">
      <w:pPr>
        <w:numPr>
          <w:ilvl w:val="0"/>
          <w:numId w:val="120"/>
        </w:numPr>
        <w:spacing w:before="120" w:after="120"/>
        <w:jc w:val="both"/>
      </w:pPr>
      <w:r>
        <w:t xml:space="preserve">pateikite šios pranešimo formos priede pateikto vertinimo plano projekto santrauką;</w:t>
      </w:r>
    </w:p>
    <w:p w14:paraId="2DDD8DDF" w14:textId="77777777" w:rsidR="00017826" w:rsidRPr="00017826" w:rsidRDefault="00017826" w:rsidP="0006694C">
      <w:pPr>
        <w:spacing w:before="120" w:after="120"/>
        <w:ind w:left="567"/>
        <w:jc w:val="both"/>
      </w:pPr>
      <w:r>
        <w:t xml:space="preserve">………………………………………………………………………………….</w:t>
      </w:r>
    </w:p>
    <w:p w14:paraId="27987E4D" w14:textId="77777777" w:rsidR="00017826" w:rsidRPr="00017826" w:rsidRDefault="00017826" w:rsidP="00017826">
      <w:pPr>
        <w:numPr>
          <w:ilvl w:val="0"/>
          <w:numId w:val="120"/>
        </w:numPr>
        <w:spacing w:before="120" w:after="120"/>
        <w:jc w:val="both"/>
      </w:pPr>
      <w:r>
        <w:t xml:space="preserve">patvirtinkite, kad bus laikomasi PKAAE gairių 460 punkto;</w:t>
      </w:r>
    </w:p>
    <w:p w14:paraId="20322518" w14:textId="77777777" w:rsidR="00017826" w:rsidRPr="00017826" w:rsidRDefault="00017826" w:rsidP="0006694C">
      <w:pPr>
        <w:spacing w:before="120" w:after="120"/>
        <w:ind w:left="567"/>
        <w:jc w:val="both"/>
      </w:pPr>
      <w:r>
        <w:t xml:space="preserve">………………………………………………………………………………….</w:t>
      </w:r>
      <w:r>
        <w:t xml:space="preserve"> </w:t>
      </w:r>
    </w:p>
    <w:p w14:paraId="3EC5CA62" w14:textId="77777777" w:rsidR="00017826" w:rsidRPr="00017826" w:rsidRDefault="00017826" w:rsidP="00017826">
      <w:pPr>
        <w:numPr>
          <w:ilvl w:val="0"/>
          <w:numId w:val="120"/>
        </w:numPr>
        <w:spacing w:before="120" w:after="120"/>
        <w:jc w:val="both"/>
      </w:pPr>
      <w:r>
        <w:t xml:space="preserve">pateikite interneto nuorodą į vertinimo planą ir nurodykite, nuo kada jis bus skelbiamas viešai.</w:t>
      </w:r>
    </w:p>
    <w:p w14:paraId="44F1E213" w14:textId="77777777" w:rsidR="00017826" w:rsidRPr="00017826" w:rsidRDefault="00017826" w:rsidP="0006694C">
      <w:pPr>
        <w:spacing w:before="120" w:after="120"/>
        <w:ind w:left="567"/>
        <w:jc w:val="both"/>
      </w:pPr>
      <w:r>
        <w:t xml:space="preserve">………………………………………………………………………………….</w:t>
      </w: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Jeigu pagalbos schemos </w:t>
      </w:r>
      <w:r>
        <w:rPr>
          <w:i/>
        </w:rPr>
        <w:t xml:space="preserve">ex post</w:t>
      </w:r>
      <w:r>
        <w:t xml:space="preserve"> vertinimas šiuo metu neatliekamas ir jos taikymo trukmė viršija trejus metus, kad būtų galima įvertinti, ar laikomasi PKAAE gairių 459 punkto b papunkčio, patvirtinkite, kad valstybė narė vertinimo plano projektą pateiks per 30 darbo dienų po reikšmingo pakeitimo, dėl kurio schemos biudžetas padidėjo ir viršija 150 mln. EUR bet kuriais metais arba 750 mln. EUR per visą schemos taikymo trukmę.</w:t>
      </w:r>
      <w:r>
        <w:t xml:space="preserve">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Jeigu pagalbos schemos </w:t>
      </w:r>
      <w:r>
        <w:rPr>
          <w:i/>
        </w:rPr>
        <w:t xml:space="preserve">ex post</w:t>
      </w:r>
      <w:r>
        <w:t xml:space="preserve"> vertinimas šiuo metu neatliekamas, kad būtų galima įvertinti,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 xml:space="preserve">Kad būtų galima įvertinti, ar laikomasi PKAAE gairių 461 punkto:</w:t>
      </w:r>
    </w:p>
    <w:p w14:paraId="3B57C2B7" w14:textId="77777777" w:rsidR="00017826" w:rsidRPr="00017826" w:rsidRDefault="00017826" w:rsidP="00017826">
      <w:pPr>
        <w:numPr>
          <w:ilvl w:val="0"/>
          <w:numId w:val="121"/>
        </w:numPr>
        <w:spacing w:before="120" w:after="120"/>
        <w:jc w:val="both"/>
      </w:pPr>
      <w:r>
        <w:t xml:space="preserve">patikslinkite, ar nepriklausomas ekspertas jau atrinktas, ar bus atrinktas;</w:t>
      </w:r>
    </w:p>
    <w:p w14:paraId="30D5C112" w14:textId="77777777" w:rsidR="00017826" w:rsidRPr="00017826" w:rsidRDefault="00017826" w:rsidP="00017826">
      <w:pPr>
        <w:spacing w:before="120" w:after="120"/>
        <w:ind w:left="567"/>
        <w:jc w:val="both"/>
      </w:pPr>
      <w:r>
        <w:t xml:space="preserve">…………………………………………………………………………………..</w:t>
      </w:r>
    </w:p>
    <w:p w14:paraId="135C9A2C" w14:textId="77777777" w:rsidR="00017826" w:rsidRPr="00017826" w:rsidRDefault="00017826" w:rsidP="00017826">
      <w:pPr>
        <w:numPr>
          <w:ilvl w:val="0"/>
          <w:numId w:val="121"/>
        </w:numPr>
        <w:spacing w:before="120" w:after="120"/>
        <w:jc w:val="both"/>
      </w:pPr>
      <w:r>
        <w:t xml:space="preserve">pateikite informaciją apie eksperto atrankos procedūrą;</w:t>
      </w:r>
    </w:p>
    <w:p w14:paraId="62933A29" w14:textId="77777777" w:rsidR="00017826" w:rsidRPr="00017826" w:rsidRDefault="00017826" w:rsidP="00017826">
      <w:pPr>
        <w:spacing w:before="120" w:after="120"/>
        <w:ind w:left="567"/>
        <w:jc w:val="both"/>
      </w:pPr>
      <w:r>
        <w:t xml:space="preserve">………………………………………………………………………………….</w:t>
      </w:r>
    </w:p>
    <w:p w14:paraId="452B2F3B" w14:textId="77777777" w:rsidR="00017826" w:rsidRPr="00017826" w:rsidRDefault="00017826" w:rsidP="00017826">
      <w:pPr>
        <w:numPr>
          <w:ilvl w:val="0"/>
          <w:numId w:val="121"/>
        </w:numPr>
        <w:spacing w:before="120" w:after="120"/>
        <w:jc w:val="both"/>
      </w:pPr>
      <w:r>
        <w:t xml:space="preserve">pagrįskite, kodėl ekspertas nepriklauso nuo pagalbą teikiančios institucijos.</w:t>
      </w:r>
    </w:p>
    <w:p w14:paraId="24BFB956" w14:textId="77777777" w:rsidR="00017826" w:rsidRPr="00017826" w:rsidRDefault="00017826" w:rsidP="00017826">
      <w:pPr>
        <w:spacing w:before="120" w:after="120"/>
        <w:ind w:left="567"/>
        <w:jc w:val="both"/>
      </w:pPr>
      <w:r>
        <w:t xml:space="preserve">…………………………………………………………………………………..</w:t>
      </w: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Kad būtų galima išsamiau įvertinti, ar laikomasi PKAAE gairių 461 punkto:</w:t>
      </w:r>
      <w:r>
        <w:t xml:space="preserve"> </w:t>
      </w:r>
    </w:p>
    <w:p w14:paraId="2E5EF1CD" w14:textId="59962384" w:rsidR="00017826" w:rsidRPr="00017826" w:rsidRDefault="00017826" w:rsidP="00017826">
      <w:pPr>
        <w:numPr>
          <w:ilvl w:val="0"/>
          <w:numId w:val="122"/>
        </w:numPr>
        <w:spacing w:before="120" w:after="120"/>
        <w:jc w:val="both"/>
      </w:pPr>
      <w:r>
        <w:t xml:space="preserve">nurodykite siūlomus valstybės narės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b/>
                <w:iCs/>
                <w:sz w:val="32"/>
                <w:szCs w:val="32"/>
                <w:rFonts w:eastAsia="Times New Roman"/>
              </w:rPr>
            </w:pPr>
            <w:r>
              <w:rPr>
                <w:b/>
                <w:sz w:val="32"/>
              </w:rPr>
              <w:t xml:space="preserve">D skirsnis.</w:t>
            </w:r>
            <w:r>
              <w:rPr>
                <w:b/>
                <w:sz w:val="32"/>
              </w:rPr>
              <w:t xml:space="preserve"> </w:t>
            </w:r>
            <w:r>
              <w:rPr>
                <w:b/>
                <w:sz w:val="32"/>
              </w:rPr>
              <w:t xml:space="preserve">Ataskaitų teikimas ir stebėsena</w:t>
            </w:r>
          </w:p>
        </w:tc>
      </w:tr>
    </w:tbl>
    <w:p w14:paraId="6975FD00" w14:textId="7876D36D" w:rsidR="006725F7" w:rsidRPr="006725F7" w:rsidRDefault="006725F7" w:rsidP="006725F7">
      <w:pPr>
        <w:spacing w:before="360" w:after="120"/>
        <w:jc w:val="both"/>
        <w:rPr>
          <w:i/>
          <w:iCs/>
          <w:color w:val="000000"/>
        </w:rPr>
      </w:pPr>
      <w:r>
        <w:rPr>
          <w:i/>
          <w:color w:val="000000"/>
        </w:rPr>
        <w:t xml:space="preserve">Kad pateiktumėte šiame skirsnyje prašomą informaciją, žr. PKAAE gairių 6 skirsnį (464–465 punktus).</w:t>
      </w:r>
    </w:p>
    <w:p w14:paraId="29B090CF" w14:textId="307F0833" w:rsidR="004B0C34" w:rsidRPr="0051324D" w:rsidRDefault="006725F7" w:rsidP="006725F7">
      <w:pPr>
        <w:numPr>
          <w:ilvl w:val="0"/>
          <w:numId w:val="50"/>
        </w:numPr>
        <w:spacing w:before="120" w:after="120"/>
        <w:ind w:left="567" w:hanging="567"/>
        <w:jc w:val="both"/>
      </w:pPr>
      <w:r>
        <w:t xml:space="preserve">Patvirtinkite, kad valstybė narė laikysis PKAAE gairių 6 skirsnio 464 ir 465 punktuose nustatytų ataskaitų teikimo ir stebėsenos reikalavimų.</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 xml:space="preserve">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r>
      <w:r>
        <w:t xml:space="preserve">OL C 80, 2022 2 18, p. 1.</w:t>
      </w:r>
    </w:p>
  </w:footnote>
  <w:footnote w:id="3">
    <w:p w14:paraId="0B630B34" w14:textId="1A949931" w:rsidR="00EA14A3" w:rsidRDefault="00EA14A3" w:rsidP="00EA14A3">
      <w:pPr>
        <w:pStyle w:val="FootnoteText"/>
      </w:pPr>
      <w:r>
        <w:rPr>
          <w:rStyle w:val="FootnoteReference"/>
        </w:rPr>
        <w:footnoteRef/>
      </w:r>
      <w:r>
        <w:tab/>
      </w:r>
      <w:r>
        <w:t xml:space="preserve">Atkreipkite dėmesį, kad pagalbos schemos taikymo trukmė – tai laikotarpis, per kurį galima prašyti pagalbos ir priimti sprendimą ją suteikti (taigi, taip pat įskaičiuojamas laikas, kurio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r>
        <w:t xml:space="preserve"> </w:t>
      </w:r>
    </w:p>
  </w:footnote>
  <w:footnote w:id="4">
    <w:p w14:paraId="3A1CFF23" w14:textId="4C37DE38" w:rsidR="0091313C" w:rsidRPr="0067348B" w:rsidRDefault="0091313C" w:rsidP="0091313C">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74B9E2E9" w14:textId="09EFDCF0" w:rsidR="007B4268" w:rsidRPr="007B4268" w:rsidRDefault="007B4268">
      <w:pPr>
        <w:pStyle w:val="FootnoteText"/>
      </w:pPr>
      <w:r>
        <w:rPr>
          <w:rStyle w:val="FootnoteReference"/>
        </w:rPr>
        <w:footnoteRef/>
      </w:r>
      <w:r>
        <w:t xml:space="preserve"> </w:t>
      </w:r>
      <w:r>
        <w:tab/>
      </w:r>
      <w:r>
        <w:t xml:space="preserve">Šios klausimo dalies nuorodos į mokestį turėtų būti suprantamos kaip apimančios ir aplinkosaugos mokesčius.</w:t>
      </w:r>
    </w:p>
  </w:footnote>
  <w:footnote w:id="6">
    <w:p w14:paraId="771807DF" w14:textId="77777777" w:rsidR="004B0D99" w:rsidRPr="00FC5A51" w:rsidRDefault="004B0D99" w:rsidP="004B0D99">
      <w:pPr>
        <w:pStyle w:val="FootnoteText"/>
      </w:pPr>
      <w:r>
        <w:rPr>
          <w:rStyle w:val="FootnoteReference"/>
        </w:rPr>
        <w:footnoteRef/>
      </w:r>
      <w:r>
        <w:t xml:space="preserve"> </w:t>
      </w:r>
      <w:r>
        <w:tab/>
      </w:r>
      <w:r>
        <w:t xml:space="preserve">Pavyzdžiui, lyginant standartinį tarifą, taikytiną sumažintų mokesčių atveju, su standartiniu tarifu, taikytinu nesumažintų mokesčių atveju, bendrą įmonių, kurioms būtų taikomas mokestis, skaičių arba kitus rodiklius, rodančius faktinį aplinkai žalingo elgesio pokytį.</w:t>
      </w:r>
    </w:p>
  </w:footnote>
  <w:footnote w:id="7">
    <w:p w14:paraId="415B82D4" w14:textId="52C53E38" w:rsidR="00B40F1D" w:rsidRPr="00B40F1D" w:rsidRDefault="00B40F1D">
      <w:pPr>
        <w:pStyle w:val="FootnoteText"/>
      </w:pPr>
      <w:r>
        <w:rPr>
          <w:rStyle w:val="FootnoteReference"/>
        </w:rPr>
        <w:footnoteRef/>
      </w:r>
      <w:r>
        <w:t xml:space="preserve"> </w:t>
      </w:r>
      <w:r>
        <w:tab/>
      </w:r>
      <w:r>
        <w:t xml:space="preserve">Tokie susitarimai arba įsipareigojimai gali būti susiję, be kita ko, su energijos vartojimo mažinimu, šiltnamio efektą sukeliančių dujų ir kitų teršalų kiekio mažinimu arba bet kuria kita aplinkos apsaugos priemone.</w:t>
      </w:r>
    </w:p>
  </w:footnote>
  <w:footnote w:id="8">
    <w:p w14:paraId="389D3F63" w14:textId="77777777" w:rsidR="00044DC5" w:rsidRDefault="00044DC5">
      <w:pPr>
        <w:pStyle w:val="FootnoteText"/>
      </w:pPr>
      <w:r>
        <w:rPr>
          <w:rStyle w:val="FootnoteReference"/>
        </w:rPr>
        <w:footnoteRef/>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9">
    <w:p w14:paraId="1A49E979" w14:textId="13D70967" w:rsidR="00017826" w:rsidRDefault="00017826" w:rsidP="00017826">
      <w:pPr>
        <w:pStyle w:val="FootnoteText"/>
      </w:pPr>
      <w:r>
        <w:rPr>
          <w:rStyle w:val="FootnoteReference"/>
        </w:rPr>
        <w:footnoteRef/>
      </w:r>
      <w:r>
        <w:tab/>
      </w:r>
      <w:r>
        <w:t xml:space="preserve">Pranešimo apie vertinimo planą papildomos informacijos pateikimo formos (III.8 dalis) šablonas pateikiamas adresu</w:t>
      </w:r>
      <w:r>
        <w:t xml:space="preserve"> </w:t>
      </w:r>
      <w:hyperlink w:anchor="evaluation-plan" w:history="1">
        <w:r>
          <w:rPr>
            <w:rStyle w:val="Hyperlink"/>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dirty" w:grammar="dirty"/>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val="lt-L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t-L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t-L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3814</Words>
  <Characters>19648</Characters>
  <Application>Microsoft Office Word</Application>
  <DocSecurity>0</DocSecurity>
  <Lines>446</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ACKERT Hannes (COMP)</cp:lastModifiedBy>
  <cp:revision>6</cp:revision>
  <cp:lastPrinted>2022-04-12T14:59:00Z</cp:lastPrinted>
  <dcterms:created xsi:type="dcterms:W3CDTF">2024-08-22T12:39:00Z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