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Μέρος III.6</w:t>
            </w:r>
          </w:p>
          <w:p w14:paraId="6E9C4C7E" w14:textId="620BA570" w:rsidR="000442F5" w:rsidRPr="009916D5" w:rsidRDefault="001F242D" w:rsidP="007B485D">
            <w:pPr>
              <w:pStyle w:val="Heading2"/>
              <w:spacing w:before="240" w:after="240"/>
              <w:jc w:val="center"/>
              <w:rPr>
                <w:sz w:val="32"/>
                <w:szCs w:val="32"/>
              </w:rPr>
            </w:pPr>
            <w:r>
              <w:rPr>
                <w:sz w:val="32"/>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Κεφάλαιο 4.7.1 – Ενισχύσεις με τη μορφή μειώσεων φόρων και εισφορών εξομοιούμενων προς φόρους στον τομέα του περιβάλλοντος</w:t>
            </w:r>
          </w:p>
        </w:tc>
      </w:tr>
    </w:tbl>
    <w:p w14:paraId="27F0F629" w14:textId="4927A87E" w:rsidR="000442F5" w:rsidRPr="00711243" w:rsidRDefault="000442F5" w:rsidP="004779D5">
      <w:pPr>
        <w:spacing w:before="36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της προστασίας του περιβάλλοντος και της ενέργειας (στο εξής: ΚΓΕΚΕΠ).</w:t>
      </w:r>
    </w:p>
    <w:p w14:paraId="622044AE" w14:textId="108684F2" w:rsidR="009E2EA1" w:rsidRPr="00711243" w:rsidRDefault="0072538B" w:rsidP="6EC7D55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4.7.1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516CA0D8" w14:textId="13E1AC51" w:rsidR="00D85EEE" w:rsidRDefault="009E2EA1" w:rsidP="0BD92DCE">
      <w:pPr>
        <w:spacing w:before="120" w:after="120"/>
        <w:ind w:right="-142"/>
        <w:jc w:val="both"/>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του/των μέτρου/-ων</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Ιστορικό και στόχος/-οι του/των μέτρου/-ων:</w:t>
      </w:r>
    </w:p>
    <w:p w14:paraId="7E6887E3" w14:textId="3DC69D1A" w:rsidR="00EA14A3" w:rsidRDefault="00D3344D" w:rsidP="00EA14A3">
      <w:pPr>
        <w:pStyle w:val="ListParagraph"/>
        <w:numPr>
          <w:ilvl w:val="0"/>
          <w:numId w:val="67"/>
        </w:numPr>
        <w:spacing w:after="240"/>
        <w:ind w:left="993" w:hanging="142"/>
        <w:jc w:val="both"/>
      </w:pPr>
      <w:r>
        <w:t xml:space="preserve">Εάν δεν γίνεται ήδη σχετική αναφορά στο τμήμα 5.2 του εντύπου γενικών πληροφοριών (μέρος I), αναφέρετε το ιστορικό και τον κύριο στόχο, συμπεριλαμβανομένης της σχέσης με τυχόν περιβαλλοντικούς στόχους της Ένωσης στη στήριξη των οποίων αποσκοπεί το μέτρο.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Εάν δεν γίνεται ήδη σχετική αναφορά στο τμήμα 5.2 του εντύπου γενικών πληροφοριών (μέρος I), 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στην εσωτερική αγορά.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Έναρξη ισχύος και διάρκεια:</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Εφόσον δεν γίνεται ήδη σχετική αναφορά στο τμήμα 5.5 του εντύπου γενικών πληροφοριών (μέρος I), αναφέρετε:</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Για καθεστώς ενισχύσεων: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την ημερομηνία από την οποία προγραμματίζεται να τεθεί σε ισχύ το καθεστώς·</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τη διάρκεια του καθεστώτος</w:t>
      </w:r>
      <w:r w:rsidRPr="0096487F">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Για μεμονωμένες ενισχύσεις: την (προγραμματισμένη) ημερομηνία χορήγησης της ενίσχυσης (υπόσχεση ενίσχυσης) και την ημερομηνία πληρωμής (πρώτη ημερομηνία πληρωμής εάν προβλέπονται πολλές διαδοχικές πληρωμές):</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Δικαιούχος/-οι:</w:t>
      </w:r>
    </w:p>
    <w:p w14:paraId="5266FC05" w14:textId="60C34F9E" w:rsidR="00BC5DDD" w:rsidRDefault="00CF3861" w:rsidP="00C52CFD">
      <w:pPr>
        <w:pStyle w:val="ListParagraph"/>
        <w:numPr>
          <w:ilvl w:val="0"/>
          <w:numId w:val="68"/>
        </w:numPr>
        <w:spacing w:after="240"/>
        <w:ind w:hanging="229"/>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Αναφέρετε τον τόπο εγκατάστασης του δικαιούχου ή των δικαιούχων (δηλ. εάν είναι επιλέξιμες για συμμετοχή στο μέτρο μόνο οικονομικές οντότητες εγκατεστημένες στα αντίστοιχα κράτη μέλη ή και σε άλλα κράτη μέλη).</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Προϋπολογισμός και χρηματοδότηση του/των μέτρου/-ων</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0091313C" w:rsidRPr="0091313C">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δεδομένου ότι το μέτρο αφορά περιβαλλοντικό φόρο / εισφορά εξομοιούμενη προς φόρο</w:t>
      </w:r>
      <w:r>
        <w:rPr>
          <w:rStyle w:val="FootnoteReference"/>
          <w:rFonts w:cs="Arial Unicode MS"/>
          <w:lang w:bidi="si-LK"/>
        </w:rPr>
        <w:footnoteReference w:id="5"/>
      </w:r>
      <w:r>
        <w:t>, διευκρινίστε αν:</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η μείωση της εισφοράς χρηματοδοτείται με αύξηση της εισφοράς για άλλους καταναλωτές·</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lastRenderedPageBreak/>
        <w:t>η εισφορά επιβάλλεται εξίσου στα εγχώρια και στα εισαγόμενα προϊόντα·</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το μέτρο θα ωφελήσει εξίσου τα εγχώρια και τα εισαγόμενα προϊόντα·</w:t>
      </w:r>
    </w:p>
    <w:p w14:paraId="136E5A46" w14:textId="77777777" w:rsidR="00726A89" w:rsidRDefault="00726A89" w:rsidP="00A46DF5">
      <w:pPr>
        <w:tabs>
          <w:tab w:val="left" w:leader="dot" w:pos="9072"/>
        </w:tabs>
        <w:spacing w:before="120" w:after="120"/>
        <w:ind w:left="567"/>
        <w:jc w:val="both"/>
      </w:pPr>
      <w:r>
        <w:tab/>
      </w:r>
    </w:p>
    <w:p w14:paraId="337A3C82" w14:textId="73A75238" w:rsidR="00726A89" w:rsidRDefault="00726A89" w:rsidP="000E7801">
      <w:pPr>
        <w:pStyle w:val="ListParagraph"/>
        <w:numPr>
          <w:ilvl w:val="1"/>
          <w:numId w:val="69"/>
        </w:numPr>
        <w:spacing w:before="120" w:after="120"/>
        <w:jc w:val="both"/>
        <w:rPr>
          <w:rFonts w:cs="Arial Unicode MS"/>
        </w:rPr>
      </w:pPr>
      <w:r>
        <w:t>η εισφορά χρηματοδοτεί πλήρως το μέτρο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r w:rsidR="008905D1">
        <w:t>·</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η εισφορά που χρηματοδοτεί το μέτρο χρηματοδοτεί και άλλα μέτρα ενίσχυσης. Εάν ναι, αναφέρετε τα άλλα μέτρα ενίσχυσης που χρηματοδοτούνται από τη σχετική εισφορά.</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Τμήμα Β: Αξιολόγηση της συμβατότητας της ενίσχυσης</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Θετική προϋπόθεση: η ενίσχυση πρέπει να προωθεί την ανάπτυξη οικονομικής δραστηριότητας</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Συμβολή στην ανάπτυξη οικονομικής δραστηριότητας, δημιουργία κινήτρων, σκεπτικό για τη χορήγηση ενίσχυσης και πεδίο εφαρμογής των υποστηριζόμενων δραστηριοτήτων</w:t>
            </w:r>
          </w:p>
        </w:tc>
      </w:tr>
    </w:tbl>
    <w:p w14:paraId="2870642B" w14:textId="029644F0" w:rsidR="000442F5" w:rsidRPr="00DB40A5" w:rsidRDefault="000442F5" w:rsidP="7963440A">
      <w:pPr>
        <w:spacing w:before="360" w:after="120"/>
        <w:jc w:val="both"/>
        <w:rPr>
          <w:i/>
          <w:iCs/>
        </w:rPr>
      </w:pPr>
      <w:r>
        <w:rPr>
          <w:i/>
        </w:rPr>
        <w:t xml:space="preserve">Για να συμπληρώσετε τις πληροφορίες στο παρόν τμήμα, συμβουλευτείτε τα τμήματα 3.1.1 και 3.1.2, </w:t>
      </w:r>
      <w:bookmarkStart w:id="4" w:name="_Hlk172821826"/>
      <w:r>
        <w:rPr>
          <w:i/>
        </w:rPr>
        <w:t>στον βαθμό που εφαρμόζονται στο/α μέτρο/-α</w:t>
      </w:r>
      <w:bookmarkEnd w:id="4"/>
      <w:r>
        <w:rPr>
          <w:i/>
        </w:rPr>
        <w:t xml:space="preserve">, και τα </w:t>
      </w:r>
      <w:r>
        <w:rPr>
          <w:i/>
          <w:color w:val="000000"/>
        </w:rPr>
        <w:t xml:space="preserve">τμήματα 4.7.1.1.και 4.7.1.2 (σημεία 293 έως 296) των </w:t>
      </w:r>
      <w:r>
        <w:rPr>
          <w:i/>
        </w:rPr>
        <w:t xml:space="preserve">ΚΓΕΚΕΠ.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Το άρθρο 107 παράγραφος 3 στοιχείο γ) της ΣΛΕΕ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52F709B3" w14:textId="79C6C83F" w:rsidR="00EE2FCC" w:rsidRPr="00864DCD" w:rsidRDefault="00CB486E" w:rsidP="00864DCD">
      <w:pPr>
        <w:pStyle w:val="ListParagraph"/>
        <w:spacing w:before="120" w:after="120"/>
        <w:ind w:left="567"/>
        <w:contextualSpacing w:val="0"/>
        <w:jc w:val="both"/>
      </w:pPr>
      <w:r>
        <w:t>Προκειμένου να αξιολογηθεί η συμμόρφωση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Μια ενίσχυση μπορεί να θεωρηθεί ότι προωθεί μια οικονομική δραστηριότητα μόνο εάν έχει χαρακτήρα κινήτρου. Προκειμένου να αξιολογηθεί η συμμόρφωση με το τμήμα 3.1.2 των ΚΓΕΚΕΠ, εξηγήστε τον τρόπο με τον οποίο το/τα μέτρο/-α «ωθεί[-ούν] τον δικαιούχο να αλλάξει τη συμπεριφορά του, να ασκήσει πρόσθετη οικονομική </w:t>
      </w:r>
      <w:r>
        <w:lastRenderedPageBreak/>
        <w:t>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 με βάση το σκεπτικό για τη χορήγηση ενίσχυσης όπως εξηγείται στο τμήμα 4.7.1.1 των ΚΓΕΚΕΠ.</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Προκειμένου να αξιολογηθεί η συμμόρφωση με το σημείο 293 των ΚΓΕΚΕΠ, εξηγήστε i) τον λόγο για τον οποίο «οι μειώσεις σε περιβαλλοντικούς φόρους ή εισφορές εξομοιούμενες προς φόρους μπορεί να έχουν δυσμενείς επιπτώσεις στην επίτευξη του στόχου της προστασίας του περιβάλλοντος, (...) μπορεί παρόλα αυτά να απαιτείται» και ii) τον λόγο για τον οποίο «οι δικαιούχοι θα περιέρχονταν διαφορετικά σε δυσμενή ανταγωνιστική θέση, γεγονός που δεν θα καθιστούσε εξαρχής εφικτή την επιβολή του περιβαλλοντικού φόρου ή εισφοράς εξομοιούμενης προς φόρο».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Προκειμένου να αξιολογηθεί η συμμόρφωση με το σημείο 294 των ΚΓΕΚΕΠ, εξηγήστε:</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τον λόγο για τον οποίο «η ευνοϊκότερη μεταχείριση ορισμένων επιχειρήσεων μπορεί να επιτρέψει την επίτευξη υψηλότερου γενικού επιπέδου συνεισφοράς στους περιβαλλοντικούς φόρους ή εισφορές εξομοιούμενες προς φόρους»·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τον λόγο για τον οποίο «οι μειώσεις σε περιβαλλοντικούς φόρους ή εισφορές μπορούν να συμβάλουν τουλάχιστον έμμεσα σε ένα υψηλότερο επίπεδο προστασίας του περιβάλλοντος»· και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τον τρόπο με τον οποίο το κράτος μέλος διασφαλίζει ότι οι μειώσεις αυτές «δεν υπονομεύουν τον γενικό στόχο του περιβαλλοντικού φόρου ή εισφοράς εξομοιούμενη προς φόρο να αποθαρρύνει την επιζήμια για το περιβάλλον συμπεριφορά και/ή να αυξάνει το κόστος της συμπεριφοράς αυτής, όταν δεν υπάρχουν ικανοποιητικές εναλλακτικές λύσεις».</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Για την αξιολόγηση της συμμόρφωσης με το σημείο 295 των ΚΓΕΚΕΠ, παραθέστε τις πληροφορίες που περιγράφονται στο σημείο 296 των ΚΓΕΚΕΠ:</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Περιγραφή των τομέων ή των κατηγοριών δικαιούχων που είναι επιλέξιμοι για τις μειώσεις</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Κατάλογο των μεγαλύτερων δικαιούχων σε κάθε σχετικό τομέα, του κύκλου εργασιών τους, των μεριδίων αγοράς, του μεγέθους της φορολογικής βάσης και του ποσοστού που θα αντιπροσώπευε ο περιβαλλοντικός φόρος ή εισφορά στα προ φόρων κέρδη τους με και χωρίς τη μείωση (οι πληροφορίες αυτές μπορούν να παρασχεθούν σε ξεχωριστό παράρτημα του παρόντος συμπληρωματικού δελτίου πληροφοριών).</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Περιγραφή της κατάστασης των εν λόγω δικαιούχων, που εξηγεί τους λόγους για τους οποίους δεν θα ήταν σε θέση να καταβάλουν τον κανονικό συντελεστή περιβαλλοντικού φόρου ή εισφοράς.</w:t>
      </w:r>
    </w:p>
    <w:p w14:paraId="5D6BA1D6" w14:textId="77777777" w:rsidR="004B0D99" w:rsidRPr="00A64CD0" w:rsidRDefault="004B0D99" w:rsidP="000E7801">
      <w:pPr>
        <w:tabs>
          <w:tab w:val="left" w:leader="dot" w:pos="9072"/>
        </w:tabs>
        <w:spacing w:before="120" w:after="120"/>
        <w:ind w:left="567"/>
        <w:jc w:val="both"/>
      </w:pPr>
      <w:r>
        <w:lastRenderedPageBreak/>
        <w:tab/>
      </w:r>
    </w:p>
    <w:p w14:paraId="052C8090" w14:textId="77777777" w:rsidR="004B0D99" w:rsidRDefault="004B0D99" w:rsidP="00A46DF5">
      <w:pPr>
        <w:pStyle w:val="ListParagraph"/>
        <w:numPr>
          <w:ilvl w:val="0"/>
          <w:numId w:val="124"/>
        </w:numPr>
        <w:spacing w:before="120" w:after="120"/>
        <w:ind w:left="1434" w:hanging="357"/>
        <w:jc w:val="both"/>
        <w:rPr>
          <w:szCs w:val="24"/>
        </w:rPr>
      </w:pPr>
      <w:r>
        <w:t>Επεξήγηση του τρόπου με τον οποίο η μείωση του φόρου ή της εισφοράς θα συνέβαλε στην πραγματική αύξηση του επιπέδου προστασίας του περιβάλλοντος σε σύγκριση με το επίπεδο προστασίας του περιβάλλοντος που θα επιτευχθεί χωρίς μειώσεις</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Απουσία παραβίασης οποιασδήποτε σχετικής διάταξης του δικαίου της Ένωσης</w:t>
            </w:r>
          </w:p>
        </w:tc>
      </w:tr>
    </w:tbl>
    <w:p w14:paraId="243B3743" w14:textId="21186291" w:rsidR="00DE1D68" w:rsidRDefault="00DE1D68" w:rsidP="00DE1D68">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Εάν χρησιμοποιείται εισφορά για τη χρηματοδότηση του μέτρου ή των μέτρων, διευκρινίστε αν πρέπει να διενεργηθεί η αξιολόγηση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 Στο πλαίσιο αυτό, μπορείτε να αναφέρετε τις πληροφορίες που υποβλήθηκαν στο πλαίσιο της ερώτησης </w:t>
      </w:r>
      <w:r w:rsidR="002256E6">
        <w:fldChar w:fldCharType="begin"/>
      </w:r>
      <w:r w:rsidR="002256E6">
        <w:instrText xml:space="preserve"> REF _Ref172736116 \w \h </w:instrText>
      </w:r>
      <w:r w:rsidR="002256E6">
        <w:fldChar w:fldCharType="separate"/>
      </w:r>
      <w:r w:rsidR="00DB6207">
        <w:t>5</w:t>
      </w:r>
      <w:r w:rsidR="002256E6">
        <w:fldChar w:fldCharType="end"/>
      </w:r>
      <w:r>
        <w:t xml:space="preserve"> σημείο </w:t>
      </w:r>
      <w:proofErr w:type="spellStart"/>
      <w:r w:rsidR="002256E6">
        <w:fldChar w:fldCharType="begin"/>
      </w:r>
      <w:r w:rsidR="002256E6">
        <w:instrText xml:space="preserve"> REF _Ref172736090 \r \h </w:instrText>
      </w:r>
      <w:r w:rsidR="002256E6">
        <w:fldChar w:fldCharType="separate"/>
      </w:r>
      <w:r w:rsidR="00DB6207">
        <w:t>ii</w:t>
      </w:r>
      <w:proofErr w:type="spellEnd"/>
      <w:r w:rsidR="002256E6">
        <w:fldChar w:fldCharType="end"/>
      </w:r>
      <w:r>
        <w:t>.</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Ελαχιστοποίηση των στρεβλώσεων του ανταγωνισμού και των συναλλαγών</w:t>
            </w:r>
          </w:p>
        </w:tc>
      </w:tr>
    </w:tbl>
    <w:p w14:paraId="40A64058" w14:textId="230E5E86" w:rsidR="00EC33DD" w:rsidRDefault="00EC33DD" w:rsidP="00A46DF5">
      <w:pPr>
        <w:spacing w:before="360" w:after="120"/>
        <w:rPr>
          <w:i/>
          <w:color w:val="000000"/>
        </w:rPr>
      </w:pPr>
      <w:r>
        <w:rPr>
          <w:i/>
          <w:color w:val="000000"/>
        </w:rPr>
        <w:t>Επισημαίνεται ότι τα τμήματα 2.1.1 και 2.1.2 είναι εναλλακτικού χαρακτήρα. Για τις περιπτώσεις που είναι επιλέξιμες για απλουστευμένη προσέγγιση σύμφωνα με το τμήμα 2.1.1 κατωτέρω, δεν χρειάζεται να απαντήσετε στο τμήμα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Απλουστευμένη προσέγγιση για εναρμονισμένους περιβαλλοντικούς φόρους</w:t>
            </w:r>
          </w:p>
        </w:tc>
      </w:tr>
    </w:tbl>
    <w:p w14:paraId="3BC9FD96" w14:textId="596445AB" w:rsidR="00877483" w:rsidRDefault="001D4B25" w:rsidP="00506D80">
      <w:pPr>
        <w:spacing w:before="360" w:after="120"/>
        <w:rPr>
          <w:i/>
          <w:color w:val="000000"/>
        </w:rPr>
      </w:pPr>
      <w:r>
        <w:rPr>
          <w:i/>
          <w:color w:val="000000"/>
        </w:rPr>
        <w:t xml:space="preserve">Για να συμπληρώσετε τις πληροφορίες στο παρόν τμήμα, συμβουλευτείτε το τμήμα 4.7.1.3 (σημεία 297-300) των ΚΓΕΚΕΠ. Κατά την εναρμόνιση των περιβαλλοντικών φόρων, η Επιτροπή μπορεί να εφαρμόζει μια απλουστευμένη προσέγγιση για την αξιολόγηση της </w:t>
      </w:r>
      <w:r>
        <w:rPr>
          <w:i/>
          <w:color w:val="000000"/>
        </w:rPr>
        <w:lastRenderedPageBreak/>
        <w:t>αναγκαιότητας και της αναλογικότητας της ενίσχυσης. Στο πλαίσιο της οδηγίας 2003/96/ΕΚ, η Επιτροπή μπορεί να εφαρμόζει απλουστευμένη προσέγγιση για μειώσεις φόρων τηρώντας το ελάχιστο ενωσιακό επίπεδο φόρου που ορίζεται στις παραγράφους 298 και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Διευκρινίστε αν το μέτρο ή τα μέτρα εμπίπτουν στο πεδίο εφαρμογής της οδηγίας 2003/96/ΕΚ.</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Σε περίπτωση καταφατικής απάντησης, και για την αξιολόγηση της συμμόρφωσης με το σημείο 298 των ΚΓΕΚΕΠ, παραθέστε τις εξής πληροφορίες:</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Αναφέρετε το ελάχιστο εφαρμοστέο ενωσιακό φορολογικό επίπεδο και τον εφαρμοστέο φορολογικό συντελεστή που καταβάλλεται από τον δικαιούχο στο πλαίσιο του μέτρου.</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Αναφέρετε και εξηγήστε τα κριτήρια για την επιλογή των δικαιούχων. Στην απάντησή σας, εξηγήστε τους λόγους για τους οποίους τα κριτήρια αυτά είναι αντικειμενικά και διαφανή.</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Εξηγήστε και επιβεβαιώστε ότι ενίσχυση χορηγείται με τον ίδιο τρόπο για όλες τις επιχειρήσεις του ίδιου τομέα, εάν αντιμετωπίζουν την ίδια πραγματική κατάσταση.</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Επιβεβαιώστε ότι έχει διεξαχθεί εκ των προτέρων ανοικτή δημόσια διαβούλευση, στο πλαίσιο της οποίας έχουν περιγραφεί επακριβώς οι τομείς που είναι επιλέξιμοι για μειώσεις και έχει παρασχεθεί κατάλογος των μεγαλύτερων δικαιούχων για κάθε τομέα. Παραθέστε σχετικά αποδεικτικά στοιχεία για την εν λόγω διαβούλευση.</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Για την αξιολόγηση της συμμόρφωσης με το σημείο 299 των ΚΓΕΚΕΠ:</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εξηγήστε αν η ενίσχυση χορηγείται υπό μορφή μείωσης του φορολογικού συντελεστή ή ως καθορισμένο ποσό ετήσιας αντιστάθμισης (επιστροφή φόρου) ή ως συνδυασμό αμφοτέρων·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αν η ενίσχυση (ή μέρος αυτής) έχει τη μορφή επιστροφής φόρου, επιβεβαιώστε ότι i) το ποσό της επιστροφής φόρου υπολογίζεται βάσει προηγούμενων δεδομένων, δηλαδή του επιπέδου παραγωγής, και της κατανάλωσης ή ρύπανσης που έχει παρατηρηθεί για την επιχείρηση σε δεδομένο έτος βάσης· και ii) το επίπεδο της επιστροφής φόρου δεν υπερβαίνει το ελάχιστο ενωσιακό ποσό φόρου που θα οφειλόταν διαφορετικά για το έτος βάσης.</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Λεπτομερής αξιολόγηση του/των μέτρου/-ων</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lastRenderedPageBreak/>
        <w:t>Όταν οι περιβαλλοντικοί φόροι δεν είναι εναρμονισμένοι ή οι δικαιούχοι καταβάλλουν λιγότερο από το ελάχιστο ενωσιακό επίπεδο του εναρμονισμένου φόρου, όπου επιτρέπεται από την οδηγία 2003/96/ΕΚ, απαιτείται διεξοδική αξιολόγηση της αναγκαιότητας και της αναλογικότητας της ενίσχυσης.</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Αναγκαιότητα της ενίσχυσης</w:t>
            </w:r>
          </w:p>
        </w:tc>
      </w:tr>
    </w:tbl>
    <w:p w14:paraId="3754E3F1" w14:textId="25BB5508" w:rsidR="00663008" w:rsidRPr="00F83660" w:rsidRDefault="6695A805" w:rsidP="6637E879">
      <w:pPr>
        <w:spacing w:before="360" w:after="120"/>
        <w:jc w:val="both"/>
        <w:rPr>
          <w:i/>
          <w:iCs/>
          <w:color w:val="000000"/>
        </w:rPr>
      </w:pPr>
      <w:r>
        <w:rPr>
          <w:i/>
          <w:color w:val="000000"/>
        </w:rPr>
        <w:t>Για να συμπληρώσετε τις πληροφορίες στο παρόν τμήμα, συμβουλευτείτε το τμήμα 3.2.1.1, εφόσον εφαρμόζεται στο/στα μέτρο/-α</w:t>
      </w:r>
      <w:r>
        <w:rPr>
          <w:i/>
        </w:rPr>
        <w:t xml:space="preserve">, και το </w:t>
      </w:r>
      <w:r>
        <w:rPr>
          <w:i/>
          <w:color w:val="000000"/>
        </w:rPr>
        <w:t xml:space="preserve">τμήμα 4.7.1.3.1 (σημεία 301 έως 303) των </w:t>
      </w:r>
      <w:r>
        <w:rPr>
          <w:i/>
        </w:rPr>
        <w:t>ΚΓΕΚΕΠ.</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Προκειμένου να αξιολογηθεί η συμμόρφωση με τις εφαρμοστέες απαιτήσεις του τμήματος 3.2.1.1 των ΚΓΕΚΕΠ, περιγράψτε τον τρόπο με τον οποίο το/τα μέτρο/-α στοχεύει/-ουν σε καταστάσεις στις οποίες μπορεί/-ούν να οδηγήσει/-ουν σε ουσιαστική ανάπτυξη την οποία η αγορά δεν μπορεί να επιτύχει από μόνη της. Στην απάντησή σας, αναφέρετε τις ανεπάρκειες της αγοράς, όπως περιγράφονται στο σημείο 34 των ΚΓΕΚΕΠ, κατά περίπτωση, και εξηγήστε τους λόγους για τους οποίους άλλες πολιτικές και μέτρα που εφαρμόζονται ήδη, όπως αναφέρεται στο σημείο 35 των ΚΓΕΚΕΠ, δεν επαρκούν για την αντιμετώπισή τους.</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Για την αξιολόγηση της συμμόρφωσης με το σημείο 302 των ΚΓΕΚΕΠ, περιγράψτε αν πληρούνται οι ακόλουθες προϋποθέσεις:</w:t>
      </w:r>
    </w:p>
    <w:p w14:paraId="1B5AA814" w14:textId="0C243847" w:rsidR="00E05657" w:rsidRDefault="00E05657" w:rsidP="00A46DF5">
      <w:pPr>
        <w:pStyle w:val="ListParagraph"/>
        <w:numPr>
          <w:ilvl w:val="0"/>
          <w:numId w:val="127"/>
        </w:numPr>
        <w:spacing w:before="120" w:after="120"/>
        <w:ind w:left="1434" w:hanging="357"/>
        <w:jc w:val="both"/>
      </w:pPr>
      <w:r>
        <w:t>η επιλογή των δικαιούχων βασίζεται σε αντικειμενικά και διαφανή κριτήρια και η ενίσχυση χορηγείται κατά τον ίδιο τρόπο σε όλες τις επιλέξιμες επιχειρήσεις που δραστηριοποιούνται στον ίδιο τομέα οικονομικής δραστηριότητας και βρίσκονται στην ίδια ή παρόμοια πραγματική κατάσταση όσον αφορά τους σκοπούς ή τους στόχους του μέτρου ενίσχυσης·</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ο περιβαλλοντικός φόρος ή εισφορά εξομοιούμενη προς φόρο χωρίς τη μείωση θα οδηγούσε σε σημαντική αύξηση του κόστους παραγωγής, το οποίο υπολογίζεται ως ποσοστό της ακαθάριστης προστιθέμενης αξίας για κάθε τομέα ή κατηγορία δικαιούχων (π.χ. βάσει αριθμητικών στοιχείων αντιπροσωπευτικών δικαιούχων ή συγκεντρωτικών στοιχείων για τον τομέα ή την κατηγορία δικαιούχων)·</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η σημαντική αύξηση του κόστους παραγωγής δεν μπορεί να μετακυλιστεί στους καταναλωτές χωρίς να σημειωθεί σημαντική μείωση του όγκου πωλήσεων. (π.χ. βάσει αναφορών στον ανταγωνισμό από επιχειρήσεις σε δικαιοδοσίες που δεν υπόκεινται στον φόρο και της δυνατότητας υποκατάστασης του σχετικού προϊόντος).</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Όσον αφορά τις φορολογικές μειώσεις για τα βιοκαύσιμα, τα βιορευστά και τα καύσιμα βιομάζας, προκειμένου να αξιολογηθεί η συμμόρφωση με το σημείο 303 των ΚΓΕΚΕΠ:</w:t>
      </w:r>
    </w:p>
    <w:p w14:paraId="54638E3E" w14:textId="69F50F83" w:rsidR="006E4D23" w:rsidRDefault="00CC0461" w:rsidP="00A46DF5">
      <w:pPr>
        <w:pStyle w:val="ListParagraph"/>
        <w:numPr>
          <w:ilvl w:val="0"/>
          <w:numId w:val="128"/>
        </w:numPr>
        <w:spacing w:before="120" w:after="120"/>
        <w:ind w:left="1434" w:hanging="357"/>
        <w:jc w:val="both"/>
      </w:pPr>
      <w:r>
        <w:lastRenderedPageBreak/>
        <w:t>επιβεβαιώστε ότι θα θεσπιστεί μηχανισμός που επαληθεύει ότι το μέτρο εξακολουθεί να είναι αναγκαίο, εφαρμόζοντας τους όρους αναγκαιότητας του τμήματος 4.1.3.1. των ΚΓΕΚΕΠ·</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εξηγήστε πώς θα λειτουργήσει ο μηχανισμός αυτός· και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επιβεβαιώστε ότι το κράτος μέλος θα λάβει τα κατάλληλα μέτρα, όπως η κατάργηση της απαλλαγής ή η μείωση του επιπέδου στήριξης, και προσδιορίστε ποια κατάλληλα μέτρα θα εφαρμοστούν συγκεκριμένα.</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Καταλληλότητα της ενίσχυσης</w:t>
            </w:r>
          </w:p>
        </w:tc>
      </w:tr>
    </w:tbl>
    <w:p w14:paraId="6227BC57" w14:textId="2AC58623" w:rsidR="0009768A" w:rsidRDefault="1626403F" w:rsidP="00AE5E48">
      <w:pPr>
        <w:spacing w:before="360" w:after="120"/>
        <w:jc w:val="both"/>
        <w:rPr>
          <w:i/>
          <w:iCs/>
          <w:color w:val="000000"/>
        </w:rPr>
      </w:pPr>
      <w:r>
        <w:rPr>
          <w:i/>
          <w:color w:val="000000"/>
        </w:rPr>
        <w:t>Για να συμπληρώσετε τις πληροφορίες στο παρόν τμήμα, συμβουλευτείτε το τμήμα 3.2.1.2, εφόσον εφαρμόζεται στο/στα μέτρο/-α</w:t>
      </w:r>
      <w:r>
        <w:rPr>
          <w:i/>
        </w:rPr>
        <w:t xml:space="preserve">, και το </w:t>
      </w:r>
      <w:r>
        <w:rPr>
          <w:i/>
          <w:color w:val="000000"/>
        </w:rPr>
        <w:t xml:space="preserve">τμήμα 4.7.1.3.2 (σημεία 304 έως 306) των </w:t>
      </w:r>
      <w:r>
        <w:rPr>
          <w:i/>
        </w:rPr>
        <w:t>ΚΓΕΚΕΠ.</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Για την αξιολόγηση της συμμόρφωσης με τις εφαρμοστέες απαιτήσεις του τμήματος 3.2.1.2 των ΚΓΕΚΕΠ, περιγράψτε τους λόγους για τους οποίους το/τα μέτρο/-α είναι κατάλληλο μέσο πολιτικής για την επίτευξη του επιδιωκόμενου στόχου της ενίσχυσης, δηλαδή δεν πρέπει να υπάρχει λιγότερο στρεβλωτική πολιτική και μέσο ενίσχυσης που να μπορεί να επιτύχει το ίδιο αποτέλεσμα, λαμβανομένων υπόψη άλλων μέσων πολιτικής και διαφορετικών μέσων ενίσχυσης που θα μπορούσαν να εφαρμοστούν εναλλακτικά.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Για την αξιολόγηση της συμμόρφωσης με το σημείο 305 των ΚΓΕΚΕΠ, επιβεβαιώστε ότι i) η διάρκεια του μέτρου ή των μέτρων είναι 10 έτη κατ’ ανώτατο όριο και ii) κάθε εκ νέου κοινοποίηση θα βασίζεται σε επαναξιολόγηση της καταλληλότητας του μέτρου ή των μέτρων.</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Αν (μέρος της) ενίσχυσης έχει τη μορφή επιστροφής φόρου, για την αξιολόγηση της συμμόρφωσης με το σημείο 306 των ΚΓΕΚΕΠ, επιβεβαιώστε ότι το ποσό της επιστροφής φόρου θα υπολογιστεί βάσει προηγούμενων δεδομένων, δηλαδή του επιπέδου παραγωγής, και της κατανάλωσης ή ρύπανσης που έχει παρατηρηθεί για την επιχείρηση σε δεδομένο έτος βάσης.</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Αναλογικότητα της ενίσχυσης</w:t>
            </w:r>
          </w:p>
        </w:tc>
      </w:tr>
    </w:tbl>
    <w:p w14:paraId="322B0DC4" w14:textId="2E7D7E33" w:rsidR="00863406" w:rsidRPr="00FC6878" w:rsidRDefault="00863406" w:rsidP="2368A16B">
      <w:pPr>
        <w:spacing w:before="360" w:after="120"/>
        <w:jc w:val="both"/>
        <w:rPr>
          <w:i/>
          <w:iCs/>
        </w:rPr>
      </w:pPr>
      <w:r>
        <w:rPr>
          <w:i/>
        </w:rPr>
        <w:t xml:space="preserve">Για να συμπληρώσετε τις πληροφορίες στο παρόν τμήμα, συμβουλευτείτε το τμήμα 4.7.1.3.3. (σημεία 307-309) των ΚΓΕΚΕΠ.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lastRenderedPageBreak/>
        <w:t>Προκειμένου να αξιολογηθεί η συμμόρφωση με το σημείο 308 των ΚΓΕΚΕΠ (που απαιτεί να πληρούται τουλάχιστον μία από τις ακόλουθες προϋποθέσεις), παραθέστε μία από τις ακόλουθες πληροφορίες:</w:t>
      </w:r>
      <w:bookmarkEnd w:id="8"/>
    </w:p>
    <w:p w14:paraId="07E9565A" w14:textId="5F95AEC5" w:rsidR="006F256F" w:rsidRDefault="270F0651" w:rsidP="00A46DF5">
      <w:pPr>
        <w:pStyle w:val="ListParagraph"/>
        <w:numPr>
          <w:ilvl w:val="0"/>
          <w:numId w:val="129"/>
        </w:numPr>
        <w:spacing w:before="120" w:after="120"/>
        <w:ind w:left="1434" w:hanging="357"/>
        <w:jc w:val="both"/>
      </w:pPr>
      <w:r>
        <w:t>Αναφέρετε αν κάθε δικαιούχος της ενίσχυσης καταβάλλει τουλάχιστον το 20 % του ονομαστικού ποσού του περιβαλλοντικού φόρου ή εισφοράς εξομοιούμενης προς φόρο που διαφορετικά θα εφαρμοζόταν στον εν λόγω δικαιούχο εάν δεν υπήρχε η μείωση.</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Διαφορετικά αναφέρετε αν i) η μείωση του φόρου ή της εισφοράς δεν υπερβαίνει το 100 % του εθνικού περιβαλλοντικού φόρου ή της εισφοράς εξομοιούμενης προς φόρο· ii) η μείωση του φόρου ή της εισφοράς προϋποθέτει τη σύναψη συμφωνιών μεταξύ του κράτους μέλους και των δικαιούχων ή των ενώσεων των δικαιούχων, σύμφωνα με τις οποίες οι δικαιούχοι ή οι ενώσεις των δικαιούχων δεσμεύονται για την επίτευξη στόχων περιβαλλοντικής προστασίας που έχουν το ίδιο αποτέλεσμα που θα επιτυγχάνονταν εάν οι δικαιούχοι ή οι ενώσεις των δικαιούχων κατέβαλλαν τουλάχιστον το 20 % των εθνικών φόρων ή της εισφοράς</w:t>
      </w:r>
      <w:r w:rsidR="00B40F1D">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Αν επιλέξετε την επιλογή </w:t>
      </w:r>
      <w:proofErr w:type="spellStart"/>
      <w:r>
        <w:t>ii</w:t>
      </w:r>
      <w:proofErr w:type="spellEnd"/>
      <w:r>
        <w:t>) στην ερώτηση </w:t>
      </w:r>
      <w:r>
        <w:fldChar w:fldCharType="begin"/>
      </w:r>
      <w:r>
        <w:instrText xml:space="preserve"> REF _Ref172812423 \w \h </w:instrText>
      </w:r>
      <w:r>
        <w:fldChar w:fldCharType="separate"/>
      </w:r>
      <w:r w:rsidR="002A1216">
        <w:t>22</w:t>
      </w:r>
      <w:r>
        <w:fldChar w:fldCharType="end"/>
      </w:r>
      <w:r>
        <w:t>, για την αξιολόγηση της συμμόρφωσης με το σημείο 309 των ΚΓΕΚΕΠ, εξηγήστε:</w:t>
      </w:r>
    </w:p>
    <w:p w14:paraId="02DB823F" w14:textId="1AC5E3AC" w:rsidR="00E72A73" w:rsidRDefault="00E72A73" w:rsidP="00A46DF5">
      <w:pPr>
        <w:pStyle w:val="ListParagraph"/>
        <w:numPr>
          <w:ilvl w:val="0"/>
          <w:numId w:val="130"/>
        </w:numPr>
        <w:spacing w:before="120" w:after="120"/>
        <w:ind w:left="1434" w:hanging="357"/>
        <w:jc w:val="both"/>
      </w:pPr>
      <w:r>
        <w:t>το περιεχόμενο των εφαρμοστέων συμφωνιών, συμπεριλαμβανομένων των ειδικών στόχων και του καθορισμένου χρονοδιαγράμματος για την επίτευξή τους·</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τον τρόπο με τον οποίο θα διασφαλίζεται η ανεξάρτητη και τακτική παρακολούθηση των δεσμεύσεων που περιλαμβάνονται στις συμφωνίες·</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τον τρόπο με τον οποίο οι συμφωνίες αναθεωρούνται ανά τακτά χρονικά διαστήματα υπό το φως των τεχνολογικών και λοιπών εξελίξεων και προβλέπουν την επιβολή αποτελεσματικών κυρώσεων σε περίπτωση μη τήρησης των δεσμεύσεων.</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Σώρευση</w:t>
            </w:r>
          </w:p>
        </w:tc>
      </w:tr>
    </w:tbl>
    <w:p w14:paraId="56B46737" w14:textId="5C12CBC3" w:rsidR="001D0CD2" w:rsidRPr="001D0CD2" w:rsidRDefault="00B21377" w:rsidP="001D0CD2">
      <w:pPr>
        <w:spacing w:before="360" w:after="120"/>
        <w:jc w:val="both"/>
        <w:rPr>
          <w:i/>
          <w:iCs/>
        </w:rPr>
      </w:pPr>
      <w:r>
        <w:rPr>
          <w:i/>
        </w:rPr>
        <w:t>Για να συμπληρώσετε τις πληροφορίες στο παρόν τμήμα, συμβουλευτείτε τα σημεία 56 και 57 των ΚΓΕΚΕΠ.</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Εφόσον δεν γίνεται ήδη σχετική αναφορά στο μέρος I του γενικού εντύπου κοινοποίησης, και προκειμένου να επαληθευτεί η συμμόρφωση με το σημείο 56 των ΚΓΕΚΕΠ, διευκρινίστε αν η ενίσχυση στο πλαίσιο του μέτρου ή των μέτρων μπορεί να </w:t>
      </w:r>
      <w:r>
        <w:lastRenderedPageBreak/>
        <w:t>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Εάν έχει εφαρμογή το σημείο 56 των ΚΓΕΚΕΠ, αιτιολογήστε τον τρόπο με τον οποίο το συνολικό ποσό της ενίσχυσης που χορηγείται στο πλαίσιο του μέτρου ή των μέτρων για το έργο ή τη δραστηριότητα δεν οδηγεί σε υπεραντιστάθμιση ούτε υπερβαίνει το μέγιστο ποσό της ενίσχυσης που επιτρέπεται βάσει του σημείου 308 των ΚΓΕΚΕΠ. Προσδιορίστε, για κάθε μέτρο με το οποίο μπορεί να σωρευτεί η ενίσχυση που χορηγείται στο πλαίσιο του μέτρου ή των μέτρων ενίσχυσης, τη μέθοδο που χρησιμοποιείται για τη διασφάλιση της συμμόρφωσης με τις προϋποθέσεις που καθορίζονται στο σημείο 56 των ΚΓΕΚΕΠ.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Αν έχει εφαρμογή το σημείο 57 των ΚΓΕΚΕΠ, δηλαδή η ενίσχυση που χορηγείται στο πλαίσιο του μέτρου ή των μέτρων συνδυάζεται με ενωσιακή χρηματοδότηση υπό κεντρική διαχείριση</w:t>
      </w:r>
      <w:r w:rsidR="009B2F61" w:rsidRPr="009548AA">
        <w:rPr>
          <w:vertAlign w:val="superscript"/>
        </w:rPr>
        <w:footnoteReference w:id="8"/>
      </w:r>
      <w:r>
        <w:t xml:space="preserve"> (η οποία δεν συνιστά κρατική ενίσχυση), αιτιολογήστε τον τρόπο με τον οποίο το συνολικό ποσό της δημόσιας χρηματοδότησης που χορηγείται σε σχέση με τις ίδιες επιλέξιμες δαπάνες δεν οδηγεί σε υπεραντιστάθμιση.</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Διαφάνεια</w:t>
            </w:r>
          </w:p>
        </w:tc>
      </w:tr>
    </w:tbl>
    <w:p w14:paraId="30CC4C47" w14:textId="5C8853FB" w:rsidR="006773CE" w:rsidRPr="007C0A44" w:rsidRDefault="006773CE" w:rsidP="2368A16B">
      <w:pPr>
        <w:spacing w:before="360" w:after="120"/>
        <w:jc w:val="both"/>
        <w:rPr>
          <w:i/>
          <w:iCs/>
        </w:rPr>
      </w:pPr>
      <w:r>
        <w:rPr>
          <w:i/>
          <w:color w:val="000000"/>
        </w:rPr>
        <w:t xml:space="preserve">Για να </w:t>
      </w:r>
      <w:r>
        <w:rPr>
          <w:i/>
        </w:rPr>
        <w:t xml:space="preserve">συμπληρώσετε τις πληροφορίες </w:t>
      </w:r>
      <w:r>
        <w:rPr>
          <w:i/>
          <w:color w:val="000000"/>
        </w:rPr>
        <w:t>στο παρόν τμήμα</w:t>
      </w:r>
      <w:r>
        <w:rPr>
          <w:i/>
        </w:rPr>
        <w:t xml:space="preserve">, συμβουλευτείτε το τμήμα 3.2.1.4 (σημεία 58-62) των ΚΓΕΚΕΠ.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 έως 61 των ΚΓΕΚΕΠ.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Παραθέστε τον/τους διαδικτυακό/-ούς σύνδεσμο/-ους στον/στους οποίο /-ους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κατευθυντήριες γραμμές και υπερβαίνει τα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667C43"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Αποφυγή αδικαιολόγητων αρνητικών συνεπειών για τον ανταγωνισμό και τις συναλλαγές</w:t>
            </w:r>
          </w:p>
        </w:tc>
      </w:tr>
    </w:tbl>
    <w:p w14:paraId="6F1494DE" w14:textId="5F2BAE4F" w:rsidR="00A80F29" w:rsidRPr="00B215FD" w:rsidRDefault="00A80F29" w:rsidP="00A80F29">
      <w:pPr>
        <w:spacing w:before="360" w:after="120"/>
        <w:jc w:val="both"/>
        <w:rPr>
          <w:i/>
          <w:iCs/>
        </w:rPr>
      </w:pPr>
      <w:r>
        <w:rPr>
          <w:i/>
          <w:color w:val="000000"/>
        </w:rPr>
        <w:lastRenderedPageBreak/>
        <w:t xml:space="preserve">Για να </w:t>
      </w:r>
      <w:r>
        <w:rPr>
          <w:i/>
        </w:rPr>
        <w:t xml:space="preserve">συμπληρώσετε τις πληροφορίες στο παρόν τμήμα, συμβουλευτείτε το τμήμα 3.2.2 των ΚΓΕΚΕΠ, </w:t>
      </w:r>
      <w:r>
        <w:rPr>
          <w:i/>
          <w:color w:val="000000"/>
        </w:rPr>
        <w:t>εφόσον εφαρμόζεται στο/στα μέτρο/-α</w:t>
      </w:r>
      <w:r>
        <w:rPr>
          <w:i/>
        </w:rPr>
        <w:t>.</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Για την αξιολόγηση της συμμόρφωσης με τις εφαρμοστέες απαιτήσεις του τμήματος 3.2.2 των ΚΓΕΚΕΠ, περιγράψτε τον τρόπο με τον οποίο το μέτρο ή τα μέτρα μετριάζουν τυχόν εμφανώς αρνητικές επιπτώσεις στον ανταγωνισμό και τις συναλλαγές.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Για την επαλήθευση της συμμόρφωσης με το σημείο 70 των ΚΓΕΚΕΠ:</w:t>
      </w:r>
    </w:p>
    <w:p w14:paraId="20F0B01A" w14:textId="14427698" w:rsidR="00A80F29" w:rsidRPr="009E0FCA" w:rsidRDefault="00434479" w:rsidP="00A46DF5">
      <w:pPr>
        <w:pStyle w:val="ListParagraph"/>
        <w:numPr>
          <w:ilvl w:val="0"/>
          <w:numId w:val="131"/>
        </w:numPr>
        <w:spacing w:before="120" w:after="120"/>
        <w:ind w:left="1434" w:hanging="357"/>
        <w:jc w:val="both"/>
      </w:pPr>
      <w:r>
        <w:t>Εάν δεν το έχει ήδη πράξει σε απάντηση στην ερώτηση </w:t>
      </w:r>
      <w:r w:rsidR="0031791E">
        <w:fldChar w:fldCharType="begin"/>
      </w:r>
      <w:r w:rsidR="0031791E">
        <w:instrText xml:space="preserve"> REF _Ref175221297 \r \h </w:instrText>
      </w:r>
      <w:r w:rsidR="0031791E">
        <w:fldChar w:fldCharType="separate"/>
      </w:r>
      <w:r w:rsidR="0031791E">
        <w:t>20</w:t>
      </w:r>
      <w:r w:rsidR="0031791E">
        <w:fldChar w:fldCharType="end"/>
      </w:r>
      <w:r>
        <w:t xml:space="preserve"> ανωτέρω, επιβεβαιώστε ότι η διάρκεια του καθεστώτος είναι 10 έτη κατ’ ανώτατο όριο από την ημερομηνία κοινοποίησης της απόφασης της Επιτροπής με την οποία η ενίσχυση κηρύσσεται συμβιβάσιμη.</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Επιβεβαιώστε ότι για την παράταση της διάρκειας του μέτρου πέραν της εν λόγω μέγιστης περιόδου, θα απαιτηθεί νέα κοινοποίηση του μέτρου ή των μέτρων.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Στάθμιση των θετικών επιπτώσεων της ενίσχυσης έναντι των αρνητικών επιπτώσεων στον ανταγωνισμό και τις συναλλαγές</w:t>
            </w:r>
          </w:p>
        </w:tc>
      </w:tr>
    </w:tbl>
    <w:p w14:paraId="3513408C" w14:textId="56B6BA12" w:rsidR="00265702" w:rsidRPr="00863406" w:rsidRDefault="00265702" w:rsidP="2368A16B">
      <w:pPr>
        <w:spacing w:before="360" w:after="120"/>
        <w:jc w:val="both"/>
        <w:rPr>
          <w:i/>
          <w:iCs/>
          <w:color w:val="000000"/>
        </w:rPr>
      </w:pPr>
      <w:r>
        <w:rPr>
          <w:i/>
          <w:color w:val="000000"/>
        </w:rPr>
        <w:t xml:space="preserve">Για να </w:t>
      </w:r>
      <w:r>
        <w:rPr>
          <w:i/>
        </w:rPr>
        <w:t xml:space="preserve">συμπληρώσετε τις πληροφορίες στο παρόν τμήμα, συμβουλευτείτε το τμήμα 3.3 (σημεία 71-76) των ΚΓΕΚΕΠ, </w:t>
      </w:r>
      <w:r>
        <w:rPr>
          <w:i/>
          <w:color w:val="000000"/>
        </w:rPr>
        <w:t>εφόσον εφαρμόζεται στο/στα μέτρο/-α</w:t>
      </w:r>
      <w:r>
        <w:rPr>
          <w:i/>
        </w:rPr>
        <w:t>.</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Για την επαλήθευση της συμμόρφωσης με τις εφαρμοστέες απαιτήσεις του τμήματος 3.3 των ΚΓΕΚΕΠ:</w:t>
      </w:r>
    </w:p>
    <w:p w14:paraId="3EA00BDB" w14:textId="34A7B232" w:rsidR="004B2EF3" w:rsidRPr="00564B1B" w:rsidRDefault="008905D1" w:rsidP="00A46DF5">
      <w:pPr>
        <w:pStyle w:val="ListParagraph"/>
        <w:numPr>
          <w:ilvl w:val="0"/>
          <w:numId w:val="132"/>
        </w:numPr>
        <w:spacing w:before="120" w:after="120"/>
        <w:ind w:left="1434" w:hanging="357"/>
        <w:jc w:val="both"/>
      </w:pPr>
      <w:r>
        <w:t>Α</w:t>
      </w:r>
      <w:r w:rsidR="00A24718">
        <w:t>ιτιολογήστε τον τρόπο με τον οποίο γενικά οι θετικές επιπτώσεις του μέτρου ή των μέτρων υπερτερούν των αρνητικών επιπτώσεων</w:t>
      </w:r>
      <w:r>
        <w:t>.</w:t>
      </w:r>
    </w:p>
    <w:p w14:paraId="1CF3B7F6" w14:textId="77777777" w:rsidR="004B2EF3" w:rsidRPr="00564B1B" w:rsidRDefault="004B2EF3" w:rsidP="004B2EF3">
      <w:pPr>
        <w:tabs>
          <w:tab w:val="left" w:leader="dot" w:pos="9072"/>
        </w:tabs>
        <w:spacing w:before="120" w:after="120"/>
        <w:ind w:left="567"/>
        <w:jc w:val="both"/>
      </w:pPr>
      <w:r>
        <w:tab/>
      </w:r>
    </w:p>
    <w:p w14:paraId="0697E4DC" w14:textId="6B284B70" w:rsidR="004B2EF3" w:rsidRPr="00AC1973" w:rsidRDefault="008905D1" w:rsidP="00A46DF5">
      <w:pPr>
        <w:pStyle w:val="ListParagraph"/>
        <w:numPr>
          <w:ilvl w:val="0"/>
          <w:numId w:val="132"/>
        </w:numPr>
        <w:spacing w:before="120" w:after="120"/>
        <w:ind w:left="1434" w:hanging="357"/>
        <w:jc w:val="both"/>
      </w:pPr>
      <w:r>
        <w:t>Ό</w:t>
      </w:r>
      <w:r w:rsidR="00CE692C">
        <w:t>σον αφορά την εφαρμογή του σημείου 75 των ΚΓΕΚΕΠ, διευκρινίστε αν το μέτρο ή τα μέτρα περιλαμβάνουν χαρακτηριστικά για τη διευκόλυνση της συμμετοχής των ΜΜΕ.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και της αποδοχής των ΜΜΕ στο μέτρο ή στα μέτρα υπερτερούν των πιθανών στρεβλωτικών επιπτώσεων.</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Όσον αφορά την εφαρμογή της παραγράφου 76 στοιχείο γ) των ΚΓΕΚΕΠ, διευκρινίστε αν τα μέτρα ενίσχυσης υπόκεινται σε χρονικό περιορισμό.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Τμήμα Γ: Αξιολόγηση</w:t>
            </w:r>
          </w:p>
        </w:tc>
      </w:tr>
    </w:tbl>
    <w:p w14:paraId="6A4ADF8D" w14:textId="77777777" w:rsidR="00C33721" w:rsidRPr="006725F7" w:rsidRDefault="00C33721" w:rsidP="006725F7">
      <w:pPr>
        <w:spacing w:before="360" w:after="120"/>
        <w:jc w:val="both"/>
        <w:rPr>
          <w:i/>
          <w:iCs/>
          <w:color w:val="000000"/>
        </w:rPr>
      </w:pPr>
      <w:r>
        <w:rPr>
          <w:i/>
          <w:color w:val="000000"/>
        </w:rPr>
        <w:lastRenderedPageBreak/>
        <w:t>Για να συμπληρώσετε τις πληροφορίες στο παρόν τμήμα, συμβουλευτείτε το σημείο 76 στοιχείο α) και το κεφάλαιο 5 (σημεία 455-463) των ΚΓΕΚΕΠ.</w:t>
      </w:r>
    </w:p>
    <w:p w14:paraId="61A6C035" w14:textId="1219DDD6" w:rsidR="00017826" w:rsidRPr="00017826" w:rsidRDefault="00017826" w:rsidP="00017826">
      <w:pPr>
        <w:numPr>
          <w:ilvl w:val="0"/>
          <w:numId w:val="50"/>
        </w:numPr>
        <w:spacing w:before="120" w:after="120"/>
        <w:ind w:left="567" w:hanging="567"/>
        <w:jc w:val="both"/>
      </w:pPr>
      <w:r>
        <w:t>Εάν το μέτρο ή τα μέτρα υπερβαίνουν τα κατώτατα όρια προϋπολογισμού/δαπανών του σημείου 456 των ΚΓΕΚΕΠ, εξηγήστε τους λόγους για τους οποίους θα πρέπει, κατά την άποψή του κράτους μέλους,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Pr="00017826">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Εάν παρέχεται προσχέδιο αξιολόγησης:</w:t>
      </w:r>
    </w:p>
    <w:p w14:paraId="4C066F02" w14:textId="4C06AB69" w:rsidR="00017826" w:rsidRPr="00017826" w:rsidRDefault="00017826" w:rsidP="00017826">
      <w:pPr>
        <w:numPr>
          <w:ilvl w:val="0"/>
          <w:numId w:val="120"/>
        </w:numPr>
        <w:spacing w:before="120" w:after="120"/>
        <w:jc w:val="both"/>
      </w:pPr>
      <w:r>
        <w:t>Παραθέστε κατωτέρω σύνοψη του εν λόγω προσχεδίου αξιολόγησης που περιλαμβάνεται στο παράρτημα.</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Επιβεβαιώστε ότι θα τηρηθεί το σημείο 460 των ΚΓΕΚΕΠ.</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Παραθέστε την ημερομηνία και τον διαδικτυακό σύνδεσμο δημοσιοποίησης του σχεδίου αξιολόγησης.</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Για την αξιολόγηση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το κράτος μέλος θα κοινοποιήσει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Για την αξιολόγηση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Για την αξιολόγηση της συμμόρφωσης με το σημείο 461 των ΚΓΕΚΕΠ:</w:t>
      </w:r>
    </w:p>
    <w:p w14:paraId="3B57C2B7" w14:textId="77777777" w:rsidR="00017826" w:rsidRPr="00017826" w:rsidRDefault="00017826" w:rsidP="00017826">
      <w:pPr>
        <w:numPr>
          <w:ilvl w:val="0"/>
          <w:numId w:val="121"/>
        </w:numPr>
        <w:spacing w:before="120" w:after="120"/>
        <w:jc w:val="both"/>
      </w:pPr>
      <w:r>
        <w:t>Διευκρινίστε αν ο ανεξάρτητος εμπειρογνώμονας έχει ήδη επιλεχθεί ή αν θα επιλεχτεί στο μέλλον.</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Παραθέστε πληροφορίες σχετικά με τη διαδικασία επιλογής του εμπειρογνώμονα.</w:t>
      </w:r>
    </w:p>
    <w:p w14:paraId="62933A29" w14:textId="77777777" w:rsidR="00017826" w:rsidRPr="00017826" w:rsidRDefault="00017826" w:rsidP="00017826">
      <w:pPr>
        <w:spacing w:before="120" w:after="120"/>
        <w:ind w:left="567"/>
        <w:jc w:val="both"/>
      </w:pPr>
      <w:r>
        <w:lastRenderedPageBreak/>
        <w:t>………………………………………………………………………………….</w:t>
      </w:r>
    </w:p>
    <w:p w14:paraId="452B2F3B" w14:textId="77777777" w:rsidR="00017826" w:rsidRPr="00017826" w:rsidRDefault="00017826" w:rsidP="00017826">
      <w:pPr>
        <w:numPr>
          <w:ilvl w:val="0"/>
          <w:numId w:val="121"/>
        </w:numPr>
        <w:spacing w:before="120" w:after="120"/>
        <w:jc w:val="both"/>
      </w:pPr>
      <w:r>
        <w:t>Αιτιολογήστε τον τρόπο με τον οποίο διασφαλίζεται ότι ο εμπειρογνώμονας είναι ανεξάρτητος από τη χορηγούσα αρχή.</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Για την περαιτέρω αξιολόγηση της συμμόρφωσης με το σημείο 461 των ΚΓΕΚΕΠ: </w:t>
      </w:r>
    </w:p>
    <w:p w14:paraId="2E5EF1CD" w14:textId="59962384" w:rsidR="00017826" w:rsidRPr="00017826" w:rsidRDefault="00017826" w:rsidP="00017826">
      <w:pPr>
        <w:numPr>
          <w:ilvl w:val="0"/>
          <w:numId w:val="122"/>
        </w:numPr>
        <w:spacing w:before="120" w:after="120"/>
        <w:jc w:val="both"/>
      </w:pPr>
      <w:r>
        <w:t>Παραθέστε τις προθεσμίες που προτείνει το κράτος μέλος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εννέα μήνες πριν από τη λήξη του, σύμφωνα με το σημείο 463 των ΚΓΕΚΕΠ. Σημειωτέον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Τμήμα Δ: Υποβολή εκθέσεων και παρακολούθηση</w:t>
            </w:r>
          </w:p>
        </w:tc>
      </w:tr>
    </w:tbl>
    <w:p w14:paraId="6975FD00" w14:textId="7876D36D" w:rsidR="006725F7" w:rsidRPr="006725F7" w:rsidRDefault="006725F7" w:rsidP="006725F7">
      <w:pPr>
        <w:spacing w:before="360" w:after="120"/>
        <w:jc w:val="both"/>
        <w:rPr>
          <w:i/>
          <w:iCs/>
          <w:color w:val="000000"/>
        </w:rPr>
      </w:pPr>
      <w:r>
        <w:rPr>
          <w:i/>
          <w:color w:val="000000"/>
        </w:rPr>
        <w:t>Για να συμπληρώσετε τις πληροφορίες στο παρόν τμήμα, συμβουλευτείτε το τμήμα 6 (σημεία 464-465) των ΚΓΕΚΕΠ.</w:t>
      </w:r>
    </w:p>
    <w:p w14:paraId="29B090CF" w14:textId="307F0833" w:rsidR="004B0C34" w:rsidRPr="0051324D" w:rsidRDefault="006725F7" w:rsidP="006725F7">
      <w:pPr>
        <w:numPr>
          <w:ilvl w:val="0"/>
          <w:numId w:val="50"/>
        </w:numPr>
        <w:spacing w:before="120" w:after="120"/>
        <w:ind w:left="567" w:hanging="567"/>
        <w:jc w:val="both"/>
      </w:pPr>
      <w:r>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ΕΕ C 80 της 18.2.2022, σ. 1.</w:t>
      </w:r>
    </w:p>
  </w:footnote>
  <w:footnote w:id="3">
    <w:p w14:paraId="0B630B34" w14:textId="1A949931" w:rsidR="00EA14A3" w:rsidRDefault="00EA14A3" w:rsidP="00EA14A3">
      <w:pPr>
        <w:pStyle w:val="FootnoteText"/>
      </w:pPr>
      <w:r>
        <w:rPr>
          <w:rStyle w:val="FootnoteReference"/>
        </w:rPr>
        <w:footnoteRef/>
      </w:r>
      <w:r>
        <w:t xml:space="preserve"> </w:t>
      </w:r>
      <w:r>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4">
    <w:p w14:paraId="3A1CFF23" w14:textId="4C37DE38" w:rsidR="0091313C" w:rsidRPr="0067348B" w:rsidRDefault="0091313C" w:rsidP="0091313C">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74B9E2E9" w14:textId="09EFDCF0" w:rsidR="007B4268" w:rsidRPr="007B4268" w:rsidRDefault="007B4268">
      <w:pPr>
        <w:pStyle w:val="FootnoteText"/>
      </w:pPr>
      <w:r>
        <w:rPr>
          <w:rStyle w:val="FootnoteReference"/>
        </w:rPr>
        <w:footnoteRef/>
      </w:r>
      <w:r>
        <w:t xml:space="preserve"> </w:t>
      </w:r>
      <w:r>
        <w:tab/>
        <w:t>Οι αναφορές σε «εισφορές» σε αυτό το επιμέρους ερώτημα θα πρέπει να νοούνται ως καλύπτουσες και τους περιβαλλοντικούς φόρους.</w:t>
      </w:r>
    </w:p>
  </w:footnote>
  <w:footnote w:id="6">
    <w:p w14:paraId="771807DF" w14:textId="77777777" w:rsidR="004B0D99" w:rsidRPr="00FC5A51" w:rsidRDefault="004B0D99" w:rsidP="004B0D99">
      <w:pPr>
        <w:pStyle w:val="FootnoteText"/>
      </w:pPr>
      <w:r>
        <w:rPr>
          <w:rStyle w:val="FootnoteReference"/>
        </w:rPr>
        <w:footnoteRef/>
      </w:r>
      <w:r>
        <w:t xml:space="preserve"> </w:t>
      </w:r>
      <w:r>
        <w:tab/>
        <w:t>Για παράδειγμα, συγκρίνοντας τον κανονικό συντελεστή που θα εφαρμοζόταν με τις μειώσεις με τον κανονικό συντελεστή που θα εφαρμοζόταν χωρίς τις μειώσεις, λαμβάνοντας υπόψη τον αριθμό των επιχειρήσεων που θα υπόκειντο συνολικά στον φόρο ή την εισφορά ή βάσει άλλων δεικτών που αντικατοπτρίζουν την πραγματική αλλαγή της επιζήμιας για το περιβάλλον συμπεριφοράς.</w:t>
      </w:r>
    </w:p>
  </w:footnote>
  <w:footnote w:id="7">
    <w:p w14:paraId="415B82D4" w14:textId="52C53E38" w:rsidR="00B40F1D" w:rsidRPr="00B40F1D" w:rsidRDefault="00B40F1D">
      <w:pPr>
        <w:pStyle w:val="FootnoteText"/>
      </w:pPr>
      <w:r>
        <w:rPr>
          <w:rStyle w:val="FootnoteReference"/>
        </w:rPr>
        <w:footnoteRef/>
      </w:r>
      <w:r>
        <w:t xml:space="preserve"> </w:t>
      </w:r>
      <w:r>
        <w:tab/>
        <w:t>Οι συμφωνίες ή οι δεσμεύσεις αυτές μπορεί να αποσκοπούν, μεταξύ άλλων, στη μείωση της κατανάλωσης ενέργειας, στη μείωση των εκπομπών και άλλων ρύπων, ή σε οποιαδήποτε άλλα μέτρα για την προστασία του περιβάλλοντος.</w:t>
      </w:r>
    </w:p>
  </w:footnote>
  <w:footnote w:id="8">
    <w:p w14:paraId="389D3F63" w14:textId="77777777" w:rsidR="00044DC5" w:rsidRDefault="00044DC5">
      <w:pPr>
        <w:pStyle w:val="FootnoteText"/>
      </w:pPr>
      <w:r>
        <w:rPr>
          <w:rStyle w:val="FootnoteReference"/>
        </w:rPr>
        <w:footnoteRef/>
      </w:r>
      <w:r>
        <w:t xml:space="preserve"> </w:t>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Ευρωπαϊκής Ένωσης και δεν τελεί υπό τον άμεσο ή έμμεσο έλεγχο των κρατών μελών.</w:t>
      </w:r>
    </w:p>
  </w:footnote>
  <w:footnote w:id="9">
    <w:p w14:paraId="1A49E979" w14:textId="13D70967" w:rsidR="00017826" w:rsidRDefault="00017826" w:rsidP="00017826">
      <w:pPr>
        <w:pStyle w:val="FootnoteText"/>
      </w:pPr>
      <w:r>
        <w:rPr>
          <w:rStyle w:val="FootnoteReference"/>
        </w:rPr>
        <w:footnoteRef/>
      </w:r>
      <w:r>
        <w:t xml:space="preserve"> </w:t>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rPr>
          <w:t>https://competition-policy.ec.europa.eu/state-aid/legislation/forms-notifications-and-reporting_el#evaluation-plan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078287C0"/>
    <w:lvl w:ilvl="0" w:tplc="BF6C3F54">
      <w:start w:val="1"/>
      <w:numFmt w:val="lowerRoman"/>
      <w:lvlText w:val="%1."/>
      <w:lvlJc w:val="right"/>
      <w:pPr>
        <w:ind w:left="1550"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270" w:hanging="360"/>
      </w:pPr>
      <w:rPr>
        <w:rFonts w:hint="default"/>
      </w:r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E74D930"/>
    <w:lvl w:ilvl="0" w:tplc="0EEE22A0">
      <w:start w:val="1"/>
      <w:numFmt w:val="lowerRoman"/>
      <w:lvlText w:val="%1."/>
      <w:lvlJc w:val="left"/>
      <w:pPr>
        <w:ind w:left="1287"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67C43"/>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5D1"/>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76E7A"/>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schemas.microsoft.com/office/infopath/2007/PartnerControls"/>
    <ds:schemaRef ds:uri="http://purl.org/dc/term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65e7e06b-2967-45a3-8296-3e0b01d7a66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3964</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DROSOU Melina (DGT)</cp:lastModifiedBy>
  <cp:revision>8</cp:revision>
  <cp:lastPrinted>2022-04-12T14:59:00Z</cp:lastPrinted>
  <dcterms:created xsi:type="dcterms:W3CDTF">2024-08-22T12:39:00Z</dcterms:created>
  <dcterms:modified xsi:type="dcterms:W3CDTF">2024-10-08T13:47:00Z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