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III.6. daļa</w:t>
            </w:r>
          </w:p>
          <w:p w14:paraId="6E9C4C7E" w14:textId="620BA570" w:rsidR="000442F5" w:rsidRPr="009916D5" w:rsidRDefault="001F242D" w:rsidP="007B485D">
            <w:pPr>
              <w:pStyle w:val="Heading2"/>
              <w:spacing w:before="240" w:after="240"/>
              <w:jc w:val="center"/>
              <w:rPr>
                <w:sz w:val="32"/>
                <w:szCs w:val="32"/>
              </w:rPr>
            </w:pPr>
            <w:r>
              <w:rPr>
                <w:sz w:val="32"/>
              </w:rPr>
              <w:t>Papildinformācijas lapa par valsts atbalstu, ko piešķir saskaņā ar Pamatnostādnēm par valsts atbalstu klimata, vides aizsardzības un enerģētikas pasākumiem (2022) (</w:t>
            </w:r>
            <w:r>
              <w:rPr>
                <w:i/>
                <w:iCs/>
                <w:sz w:val="32"/>
              </w:rPr>
              <w:t>CEEAG</w:t>
            </w:r>
            <w:r>
              <w:rPr>
                <w:sz w:val="32"/>
              </w:rPr>
              <w:t>)</w:t>
            </w:r>
            <w:r w:rsidR="007B485D" w:rsidRPr="001F242D">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4.7.1. nodaļa. Atbalsts vides nodokļu un parafiskālo nodevu samazinājumu veidā</w:t>
            </w:r>
          </w:p>
        </w:tc>
      </w:tr>
    </w:tbl>
    <w:p w14:paraId="27F0F629" w14:textId="4927A87E" w:rsidR="000442F5" w:rsidRPr="00711243" w:rsidRDefault="000442F5" w:rsidP="004779D5">
      <w:pPr>
        <w:spacing w:before="360" w:after="120"/>
        <w:ind w:right="-142"/>
        <w:jc w:val="both"/>
        <w:rPr>
          <w:i/>
          <w:iCs/>
        </w:rPr>
      </w:pPr>
      <w:r>
        <w:rPr>
          <w:i/>
        </w:rPr>
        <w:t xml:space="preserve">Šī papildinformācijas lapa ir jāizmanto, lai paziņotu par visu atbalstu, uz ko attiecas Pamatnostādnes par valsts atbalstu klimata, vides aizsardzības un enerģētikas pasākumiem (2022) (turpmāk </w:t>
      </w:r>
      <w:r>
        <w:t>CEEAG</w:t>
      </w:r>
      <w:r>
        <w:rPr>
          <w:i/>
        </w:rPr>
        <w:t>).</w:t>
      </w:r>
    </w:p>
    <w:p w14:paraId="622044AE" w14:textId="108684F2" w:rsidR="009E2EA1" w:rsidRPr="00711243" w:rsidRDefault="0072538B" w:rsidP="6EC7D551">
      <w:pPr>
        <w:spacing w:before="120" w:after="120"/>
        <w:ind w:right="-142"/>
        <w:jc w:val="both"/>
        <w:rPr>
          <w:i/>
          <w:iCs/>
        </w:rPr>
      </w:pPr>
      <w:r>
        <w:rPr>
          <w:i/>
        </w:rPr>
        <w:t xml:space="preserve">Šī papildinformācijas lapa attiecas uz pasākumiem, ko aptver </w:t>
      </w:r>
      <w:r>
        <w:t>CEEAG</w:t>
      </w:r>
      <w:r>
        <w:rPr>
          <w:i/>
        </w:rPr>
        <w:t xml:space="preserve"> 4.7.1. nodaļa. Ja paziņojumā ir iekļauti pasākumi, uz kuriem attiecas vairāk nekā viena </w:t>
      </w:r>
      <w:r>
        <w:t>CEEAG</w:t>
      </w:r>
      <w:r>
        <w:rPr>
          <w:i/>
        </w:rPr>
        <w:t xml:space="preserve"> nodaļa, aizpildiet arī attiecīgo papildinformācijas lapu, kas attiecas uz attiecīgo </w:t>
      </w:r>
      <w:r>
        <w:t>CEEAG</w:t>
      </w:r>
      <w:r>
        <w:rPr>
          <w:i/>
        </w:rPr>
        <w:t xml:space="preserve"> nodaļu, kad tā pieejama. </w:t>
      </w:r>
    </w:p>
    <w:p w14:paraId="516CA0D8" w14:textId="13E1AC51" w:rsidR="00D85EEE" w:rsidRDefault="009E2EA1" w:rsidP="0BD92DCE">
      <w:pPr>
        <w:spacing w:before="120" w:after="120"/>
        <w:ind w:right="-142"/>
        <w:jc w:val="both"/>
      </w:pPr>
      <w:r>
        <w:rPr>
          <w:i/>
        </w:rPr>
        <w:t>Visiem dokumentiem, ko dalībvalstis iesniedz kā šīs papildinformācijas lapas pielikumus, jābūt numurētiem, un dokumentu numuri jānorāda attiecīgajās šīs papildinformācijas lapas sadaļās.</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A sadaļa. Kopsavilkums par galvenajiem pasākumu aspektiem</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Pasākumu priekšvēsture un mērķi</w:t>
      </w:r>
    </w:p>
    <w:p w14:paraId="7E6887E3" w14:textId="3DC69D1A" w:rsidR="00EA14A3" w:rsidRDefault="00D3344D" w:rsidP="00EA14A3">
      <w:pPr>
        <w:pStyle w:val="ListParagraph"/>
        <w:numPr>
          <w:ilvl w:val="0"/>
          <w:numId w:val="67"/>
        </w:numPr>
        <w:spacing w:after="240"/>
        <w:ind w:left="993" w:hanging="142"/>
        <w:jc w:val="both"/>
      </w:pPr>
      <w:r>
        <w:t xml:space="preserve">Ja tas jau iepriekš nav izklāstīts vispārīgās informācijas veidlapas (I daļa) 5.2. sadaļā, norādiet pamatinformāciju un galveno mērķi, arī saistību ar Savienības vidiskajiem mērķrādītājiem, kurus ar pasākumu paredzēts atbalstīt.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Ja tas jau iepriekš nav izklāstīts vispārīgās informācijas veidlapas (I daļa) 5.2. sadaļā, norādiet citus ar pasākumu sasniedzamos mērķus, ja tādi ir. Attiecībā uz mērķiem, kas nav tikai vidiski, paskaidrojiet, vai tie var novest pie iekšējā tirgus izkropļojumiem.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Stāšanās spēkā un ilgums</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Ja tas jau iepriekš nav norādīts vispārīgās informācijas veidlapas (I daļa) 5.5. sadaļā, norādiet šādu informāciju:</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atbalsta shēmas gadījumā: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plānoto datumu, no kura shēma stāsies spēkā,</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shēmas ilgumu</w:t>
      </w:r>
      <w:r w:rsidRPr="0096487F">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individuāla atbalsta gadījumā: (plānoto) atbalsta piešķiršanas (atbalsta solījuma) datumu un maksājuma datumu (pirmā maksājuma datumu, ja ir paredzēti vairāki secīgi maksājumi).</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Atbalsta saņēmēji</w:t>
      </w:r>
    </w:p>
    <w:p w14:paraId="5266FC05" w14:textId="60C34F9E" w:rsidR="00BC5DDD" w:rsidRDefault="00CF3861" w:rsidP="00C52CFD">
      <w:pPr>
        <w:pStyle w:val="ListParagraph"/>
        <w:numPr>
          <w:ilvl w:val="0"/>
          <w:numId w:val="68"/>
        </w:numPr>
        <w:spacing w:after="240"/>
        <w:ind w:hanging="229"/>
        <w:jc w:val="both"/>
        <w:rPr>
          <w:szCs w:val="24"/>
        </w:rPr>
      </w:pPr>
      <w:r>
        <w:t>Ja tas nav jau norādīts vispārīgās informācijas veidlapas (I daļa) 3. sadaļā, aprakstiet (potenciālos) atbalsta saņēmējus.</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Norādiet atbalsta saņēmēju atrašanās vietu (t. i., vai pasākumā piedalīties drīkst tikai saimnieciskās vienības, kas atrodas attiecīgajā dalībvalstī, vai arī vienības citās dalībvalstīs).</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lastRenderedPageBreak/>
        <w:t xml:space="preserve">Lai varētu novērtēt atbilstību </w:t>
      </w:r>
      <w:r>
        <w:rPr>
          <w:i/>
        </w:rPr>
        <w:t>CEEAG</w:t>
      </w:r>
      <w:r>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Ja atbilde ir apstiprinoša, sniedziet informāciju par vēl atgūstamo atbalsta summu, lai Komisija to ņemtu vērā atbalsta pasākumu novērtējumā.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 xml:space="preserve">Aplieciniet, ka pasākumi neietver atbalstu darbībām, kuras neietilpst </w:t>
      </w:r>
      <w:r>
        <w:rPr>
          <w:i/>
          <w:iCs/>
        </w:rPr>
        <w:t>CEEAG</w:t>
      </w:r>
      <w:r>
        <w:t xml:space="preserve"> piemērošanas tvērumā (sk. </w:t>
      </w:r>
      <w:r>
        <w:rPr>
          <w:i/>
          <w:iCs/>
        </w:rPr>
        <w:t>CEEAG</w:t>
      </w:r>
      <w:r>
        <w:t xml:space="preserve"> 13. punktu). Pretējā gadījumā sniedziet sīkāku informāciju.</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r>
        <w:rPr>
          <w:b/>
        </w:rPr>
        <w:t>Pasākumu budžets un finansējums</w:t>
      </w:r>
      <w:bookmarkStart w:id="2" w:name="_Ref172736116"/>
      <w:bookmarkEnd w:id="2"/>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0091313C" w:rsidRPr="0091313C">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Tā kā pasākums attiecas uz vides nodokli/parafiskālo nodevu</w:t>
      </w:r>
      <w:r>
        <w:rPr>
          <w:rStyle w:val="FootnoteReference"/>
          <w:rFonts w:cs="Arial Unicode MS"/>
          <w:lang w:bidi="si-LK"/>
        </w:rPr>
        <w:footnoteReference w:id="5"/>
      </w:r>
      <w:r>
        <w:t>, precizējiet, vai</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nodeva ir noteikta ar likumu vai kādu citu leģislatīvu aktu; ja atbilde ir apstiprinoša, norādiet tiesību aktu, tā numuru un pieņemšanas un spēkā stāšanās datumu, kā arī interneta saiti uz tiesību aktu;</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nodevas samazinājums tiek finansēts, paaugstinot nodevu citiem patērētājiem;</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nodevu vienlīdz piemēro gan vietējiem, gan importētiem produktiem;</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pasākums dos labumu gan vietējiem, gan importēto produktu ražotājiem;</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nodeva pasākumu finansē pilnībā vai tikai daļēji. Ja nodeva pasākumu finansē tikai daļēji, norādiet citus pasākuma finansējuma avotus un to attiecīgo proporciju;</w:t>
      </w:r>
    </w:p>
    <w:p w14:paraId="3C505C11" w14:textId="77777777" w:rsidR="00726A89" w:rsidRDefault="00726A89" w:rsidP="00A46DF5">
      <w:pPr>
        <w:tabs>
          <w:tab w:val="left" w:leader="dot" w:pos="9072"/>
        </w:tabs>
        <w:spacing w:before="120" w:after="120"/>
        <w:ind w:left="567"/>
        <w:jc w:val="both"/>
      </w:pPr>
      <w:r>
        <w:lastRenderedPageBreak/>
        <w:tab/>
      </w:r>
    </w:p>
    <w:p w14:paraId="08FF5B37" w14:textId="45BC6D88" w:rsidR="00726A89" w:rsidRDefault="00726A89" w:rsidP="00726A89">
      <w:pPr>
        <w:pStyle w:val="ListParagraph"/>
        <w:numPr>
          <w:ilvl w:val="1"/>
          <w:numId w:val="69"/>
        </w:numPr>
        <w:spacing w:before="120" w:after="120"/>
        <w:jc w:val="both"/>
        <w:rPr>
          <w:rFonts w:cs="Arial Unicode MS"/>
        </w:rPr>
      </w:pPr>
      <w:r>
        <w:t>ar nodevu, ar ko pasākumu finansē, finansē arī citus atbalsta pasākumus. Ja jā, norādiet, kādi citi atbalsta pasākumi tiek finansēti ar attiecīgo nodevu.</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B sadaļa. Atbalsta saderības novērtējums</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Pozitīvs nosacījums: atbalstam ir jāveicina saimnieciskās darbības attīstība</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Ieguldījums saimnieciskās darbības attīstībā, stimulējošā ietekme, atbalsta pamatojums un atbalstīto darbību tvērums</w:t>
            </w:r>
          </w:p>
        </w:tc>
      </w:tr>
    </w:tbl>
    <w:p w14:paraId="2870642B" w14:textId="029644F0" w:rsidR="000442F5" w:rsidRPr="00DB40A5" w:rsidRDefault="000442F5" w:rsidP="7963440A">
      <w:pPr>
        <w:spacing w:before="360" w:after="120"/>
        <w:jc w:val="both"/>
        <w:rPr>
          <w:i/>
          <w:iCs/>
        </w:rPr>
      </w:pPr>
      <w:r>
        <w:rPr>
          <w:i/>
        </w:rPr>
        <w:t xml:space="preserve">Lai sniegtu šajā sadaļā prasīto informāciju, sk. </w:t>
      </w:r>
      <w:r>
        <w:t>CEEAG</w:t>
      </w:r>
      <w:r>
        <w:rPr>
          <w:i/>
        </w:rPr>
        <w:t xml:space="preserve"> 3.1.1. un 3.1.2. iedaļu, ciktāl tās konkrētajiem pasākumiem piemērojamas, un 4.7.1.1. un 4.7.1.2. iedaļu (293.–296. punktu).</w:t>
      </w:r>
      <w:bookmarkStart w:id="4" w:name="_Hlk172821826"/>
      <w:bookmarkEnd w:id="4"/>
      <w:r>
        <w:rPr>
          <w:i/>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LESD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Līguma noteikumu saderīgam atbalstam ir jāveicina konkrētas saimnieciskās darbības attīstība. </w:t>
      </w:r>
    </w:p>
    <w:p w14:paraId="52F709B3" w14:textId="79C6C83F" w:rsidR="00EE2FCC" w:rsidRPr="00864DCD" w:rsidRDefault="00CB486E" w:rsidP="00864DCD">
      <w:pPr>
        <w:pStyle w:val="ListParagraph"/>
        <w:spacing w:before="120" w:after="120"/>
        <w:ind w:left="567"/>
        <w:contextualSpacing w:val="0"/>
        <w:jc w:val="both"/>
      </w:pPr>
      <w:r>
        <w:t xml:space="preserve">Lai varētu novērtēt atbilstību </w:t>
      </w:r>
      <w:r>
        <w:rPr>
          <w:i/>
          <w:iCs/>
        </w:rPr>
        <w:t>CEEAG</w:t>
      </w:r>
      <w:r>
        <w:t xml:space="preserve"> 23. punktam, norādiet, kādas saimnieciskās darbības ar atbalstu tiks veicinātas, kā arī to, kā tiek atbalstīta minēto darbību attīstība.</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Uzskatīt, ka atbalsts veicina saimniecisku darbību, var tikai tad, ja tam ir stimulējoša ietekme. Lai varētu novērtēt atbilstību </w:t>
      </w:r>
      <w:r>
        <w:rPr>
          <w:i/>
          <w:iCs/>
        </w:rPr>
        <w:t>CEEAG</w:t>
      </w:r>
      <w:r>
        <w:t xml:space="preserve"> 3.1.2. iedaļai, paskaidrojiet, kā pasākumi, ievērojot </w:t>
      </w:r>
      <w:r>
        <w:rPr>
          <w:i/>
          <w:iCs/>
        </w:rPr>
        <w:t>CEEAG</w:t>
      </w:r>
      <w:r>
        <w:t xml:space="preserve"> 4.7.1.1. iedaļā norādīto atbalsta nepieciešamības pamatojumu, atbalsta saņēmēju rosina mainīt “uzvedību, iesaistīties papildu saimnieciskā darbībā vai videi nekaitīgākā saimnieciskā darbībā, ko atbalsta saņēmējs nedarītu, ja nebūtu atbalsta, vai darītu to ierobežotā vai atšķirīgā veidā”.</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Lai varētu novērtēt atbilstību </w:t>
      </w:r>
      <w:r>
        <w:rPr>
          <w:i/>
          <w:iCs/>
        </w:rPr>
        <w:t>CEEAG</w:t>
      </w:r>
      <w:r>
        <w:t xml:space="preserve"> 293. punktam, aprakstiet i) kāpēc “vides nodokļu vai parafiskālo nodevu samazinājumi [, kas] var nelabvēlīgi ietekmēt vides aizsardzības mērķi, (..) var tomēr būt nepieciešam[-i]”, un ii) kāpēc “atbalsta saņēmēji pretējā gadījumā nonāktu tik neizdevīgos konkurences apstākļos, ka vides nodokli vai parafiskālo nodevu nebūtu lietderīgi ieviest vispār”.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 xml:space="preserve">Lai varētu novērtēt atbilstību </w:t>
      </w:r>
      <w:r>
        <w:rPr>
          <w:i/>
          <w:iCs/>
        </w:rPr>
        <w:t>CEEAG</w:t>
      </w:r>
      <w:r>
        <w:t xml:space="preserve"> 294. punktam, aprakstiet</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kāpēc “labvēlīgāka attieksme pret dažiem uzņēmumiem var ļaut sasniegt augstāku vispārējo līmeni devumam vides nodokļos vai parafiskālajās nodevās”,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lastRenderedPageBreak/>
        <w:t xml:space="preserve">kāpēc “vides nodokļu vai nodevu samazinājumi var netieši sekmēt augstāku vides aizsardzības līmeni” un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kā dalībvalsts nodrošina, ka šādi samazinājumi “[negrauj] vispārējo vides nodokļa vai parafiskālās nodevas mērķi, proti, atturēšanu no videi kaitīgas rīcības un/vai izmaksu palielināšanu par šādu rīcību, ja nav pieejamas apmierinošas alternatīvas”.</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 xml:space="preserve">Lai varētu novērtēt atbilstību </w:t>
      </w:r>
      <w:r>
        <w:rPr>
          <w:i/>
          <w:iCs/>
        </w:rPr>
        <w:t>CEEAG</w:t>
      </w:r>
      <w:r>
        <w:t xml:space="preserve"> 295. punktam, sniedziet </w:t>
      </w:r>
      <w:r>
        <w:rPr>
          <w:i/>
          <w:iCs/>
        </w:rPr>
        <w:t>CEEAG</w:t>
      </w:r>
      <w:r>
        <w:t xml:space="preserve"> 296. punktā aprakstīto informāciju:</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to nozaru vai atbalsta saņēmēju kategoriju apraksts, kuras ir tiesīgas saņemt samazinājumus;</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lielāko atbalsta saņēmēju saraksts katrā attiecīgajā nozarē, to apgrozījums, tirgus daļas, nodokļa bāzes lielums un daļa, ko vides nodoklis vai nodeva veidotu to peļņā pirms nodokļiem ar samazinājumu un bez tā (šo informāciju var ietvert atsevišķā papildinformācijas lapas pielikumā);</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šo atbalsta saņēmēju situācijas apraksts un skaidrojums par to, kāpēc tie nevarētu maksāt vides nodokļa vai nodevas standarta likmi;</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skaidrojums par to, kā samazinātais nodoklis vai nodeva veicinātu vides aizsardzības līmeņa faktisko pieaugumu salīdzinājumā ar vides aizsardzības līmeni, kas tiktu sasniegts bez samazinājumiem</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Nav pārkāpts neviens relevants Savienības tiesību akta noteikums</w:t>
            </w:r>
          </w:p>
        </w:tc>
      </w:tr>
    </w:tbl>
    <w:p w14:paraId="243B3743" w14:textId="21186291" w:rsidR="00DE1D68" w:rsidRDefault="00DE1D68" w:rsidP="00DE1D68">
      <w:pPr>
        <w:spacing w:before="360" w:after="120"/>
        <w:jc w:val="both"/>
        <w:rPr>
          <w:i/>
        </w:rPr>
      </w:pPr>
      <w:r>
        <w:rPr>
          <w:i/>
        </w:rPr>
        <w:t xml:space="preserve">Lai sniegtu šajā sadaļā prasīto informāciju, sk. </w:t>
      </w:r>
      <w:r>
        <w:t>CEEAG</w:t>
      </w:r>
      <w:r>
        <w:rPr>
          <w:i/>
        </w:rPr>
        <w:t xml:space="preserve"> 3.1.3. iedaļu (33. punktu).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 xml:space="preserve">Sniedziet informāciju, kas apstiprina atbilstību relevantajiem ES tiesību aktu noteikumiem, saskaņā ar </w:t>
      </w:r>
      <w:r>
        <w:rPr>
          <w:i/>
        </w:rPr>
        <w:t>CEEAG</w:t>
      </w:r>
      <w:r>
        <w:t xml:space="preserve"> 33. punktu.</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Ja pasākumu finansēšanai izmanto nodevu, precizējiet, vai ir jānovērtē atbilstība LESD 30. un 110. pantam. Ja atbilde ir apstiprinoša, pierādiet, ka pasākums atbilst LESD 30. un 110. panta noteikumiem. Šajā kontekstā var atsaukties uz informāciju, kas iesniegta </w:t>
      </w:r>
      <w:r w:rsidR="002256E6">
        <w:fldChar w:fldCharType="begin"/>
      </w:r>
      <w:r w:rsidR="002256E6">
        <w:instrText xml:space="preserve"> REF _Ref172736116 \w \h </w:instrText>
      </w:r>
      <w:r w:rsidR="002256E6">
        <w:fldChar w:fldCharType="separate"/>
      </w:r>
      <w:r w:rsidR="00DB6207">
        <w:t>5</w:t>
      </w:r>
      <w:r w:rsidR="002256E6">
        <w:fldChar w:fldCharType="end"/>
      </w:r>
      <w:r>
        <w:t xml:space="preserve">. jautājuma </w:t>
      </w:r>
      <w:r w:rsidR="002256E6">
        <w:fldChar w:fldCharType="begin"/>
      </w:r>
      <w:r w:rsidR="002256E6">
        <w:instrText xml:space="preserve"> REF _Ref172736090 \r \h </w:instrText>
      </w:r>
      <w:r w:rsidR="002256E6">
        <w:fldChar w:fldCharType="separate"/>
      </w:r>
      <w:r w:rsidR="00DB6207">
        <w:t>ii</w:t>
      </w:r>
      <w:r w:rsidR="002256E6">
        <w:fldChar w:fldCharType="end"/>
      </w:r>
      <w:r>
        <w:t>) punktā.</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Negatīvs nosacījums: atbalsta pasākums nevar radīt tādu nepamatotu nelabvēlīgu iespaidu uz tirdzniecības apstākļiem, kas ir pretrunā kopīgām interesēm</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Konkurences un tirdzniecības izkropļojumu minimalizēšana</w:t>
            </w:r>
          </w:p>
        </w:tc>
      </w:tr>
    </w:tbl>
    <w:p w14:paraId="40A64058" w14:textId="230E5E86" w:rsidR="00EC33DD" w:rsidRDefault="00EC33DD" w:rsidP="00A46DF5">
      <w:pPr>
        <w:spacing w:before="360" w:after="120"/>
        <w:rPr>
          <w:i/>
          <w:color w:val="000000"/>
        </w:rPr>
      </w:pPr>
      <w:r>
        <w:rPr>
          <w:i/>
          <w:color w:val="000000"/>
        </w:rPr>
        <w:t>Ņemiet vērā, ka 2.1.1. un 2.1.2. iedaļa ir alternatīvas. Gadījumos, kuros saskaņā ar 2.1.1. iedaļu drīkst izmantot vienkāršotu pieeju, atbildes saskaņā ar 2.1.2. iedaļu nav jāsniedz.</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Vienkāršota pieeja saskaņotiem vides nodokļiem</w:t>
            </w:r>
          </w:p>
        </w:tc>
      </w:tr>
    </w:tbl>
    <w:p w14:paraId="3BC9FD96" w14:textId="596445AB" w:rsidR="00877483" w:rsidRDefault="001D4B25" w:rsidP="00506D80">
      <w:pPr>
        <w:spacing w:before="360" w:after="120"/>
        <w:rPr>
          <w:i/>
          <w:color w:val="000000"/>
        </w:rPr>
      </w:pPr>
      <w:r>
        <w:rPr>
          <w:i/>
          <w:color w:val="000000"/>
        </w:rPr>
        <w:t xml:space="preserve">Lai sniegtu šajā sadaļā prasīto informāciju, sk. </w:t>
      </w:r>
      <w:r>
        <w:rPr>
          <w:color w:val="000000"/>
        </w:rPr>
        <w:t>CEEAG</w:t>
      </w:r>
      <w:r>
        <w:rPr>
          <w:i/>
          <w:color w:val="000000"/>
        </w:rPr>
        <w:t xml:space="preserve"> 4.7.1.3. iedaļu (297.–300. punktu). Ja vides nodokļi ir saskaņoti, Komisija var piemērot vienkāršotu pieeju, lai novērtētu atbalsta nepieciešamību un samērīgumu. Direktīvas 2003/96/EK kontekstā Komisija nodokļu samazinājumiem var piemērot vienkāršotu pieeju, ievērojot Savienības minimālo nodokļu līmeni, kas noteikts 298. un 299. punktā.</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Precizējiet, vai pasākumi ietilpst Direktīvas 2003/96/EK darbības jomā.</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 xml:space="preserve">Ja atbilde ir apstiprinoša un lai varētu novērtēt atbilstību </w:t>
      </w:r>
      <w:r>
        <w:rPr>
          <w:i/>
          <w:iCs/>
        </w:rPr>
        <w:t>CEEAG</w:t>
      </w:r>
      <w:r>
        <w:t xml:space="preserve"> 298. punktam, sniedziet šādu informāciju:</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norādiet minimālo piemērojamo Savienības nodokļu līmeni un piemērojamo nodokļa likmi, ko atbalsta saņēmējs maksā saskaņā ar pasākumu;</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aprakstiet un paskaidrojiet atbalsta saņēmēju atlases kritērijus. Savā atbildē paskaidrojiet, kāpēc tie ir objektīvi un pārredzami;</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paskaidrojiet un apstipriniet, ka atbalsts tiek piešķirts vienādi visiem uzņēmumiem tajā pašā nozarē, ja to faktiskā situācija ir līdzīga;</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apstipriniet, ka ir notikusi atklāta </w:t>
      </w:r>
      <w:r>
        <w:rPr>
          <w:i/>
          <w:iCs/>
        </w:rPr>
        <w:t>ex ante</w:t>
      </w:r>
      <w:r>
        <w:t xml:space="preserve"> sabiedriskā apspriešana, kurā pienācīgi aprakstītas nozares, kas ir tiesīgas uz samazinājumiem, un ir sniegts katras nozares lielāko atbalsta saņēmēju saraksts. Sniedziet relevantus pierādījumus par šo apspriešanu;</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 xml:space="preserve">Lai varētu novērtēt atbilstību </w:t>
      </w:r>
      <w:r>
        <w:rPr>
          <w:i/>
          <w:iCs/>
        </w:rPr>
        <w:t>CEEAG</w:t>
      </w:r>
      <w:r>
        <w:t xml:space="preserve"> 299. punktam,</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paskaidrojiet, vai atbalstu piešķir nodokļa likmes samazinājuma veidā vai fiksētas ikgadējas kompensācijas veidā (nodokļu atmaksa), vai kombinējot abus minētos veidus; </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lastRenderedPageBreak/>
        <w:t>ja (daļu) atbalsta piešķir kā nodokļu atmaksu, apstipriniet, ka i) nodokļu atmaksas apmēru aprēķina, balstoties uz vēsturiskajiem datiem, tas ir, ražošanas līmeni un patēriņu vai piesārņojumu, kas uzņēmumam bija attiecīgajā pārskata gadā, un ii) nodokļu atmaksas līmenis nepārsniedz Savienības minimālo nodokļu apmēru, kas citādi būtu jāmaksā pārskata gadā.</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Padziļināts pasākumu novērtējums</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Ja vides nodokļi nav saskaņoti vai ja atbalsta saņēmēji maksā mazāk par Direktīvā 2003/96/EK atļauto Savienības saskaņotā nodokļa minimālo līmeni, ir jāveic padziļināts atbalsta nepieciešamības un samērīguma novērtējums.</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Atbalsta nepieciešamība</w:t>
            </w:r>
          </w:p>
        </w:tc>
      </w:tr>
    </w:tbl>
    <w:p w14:paraId="3754E3F1" w14:textId="25BB5508" w:rsidR="00663008" w:rsidRPr="00F83660" w:rsidRDefault="6695A805" w:rsidP="6637E879">
      <w:pPr>
        <w:spacing w:before="360" w:after="120"/>
        <w:jc w:val="both"/>
        <w:rPr>
          <w:i/>
          <w:iCs/>
          <w:color w:val="000000"/>
        </w:rPr>
      </w:pPr>
      <w:r>
        <w:rPr>
          <w:i/>
        </w:rPr>
        <w:t xml:space="preserve">Lai sniegtu šajā sadaļā prasīto informāciju, sk. </w:t>
      </w:r>
      <w:r>
        <w:t>CEEAG</w:t>
      </w:r>
      <w:r>
        <w:rPr>
          <w:i/>
        </w:rPr>
        <w:t xml:space="preserve"> 3.2.1.1. iedaļu, ciktāl tā konkrētajiem pasākumiem piemērojama, un 4.7.1.3.1. iedaļu (301.–303. punktu).</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 xml:space="preserve">Lai varētu novērtēt atbilstību piemērojamajām </w:t>
      </w:r>
      <w:r>
        <w:rPr>
          <w:i/>
          <w:iCs/>
        </w:rPr>
        <w:t>CEEAG</w:t>
      </w:r>
      <w:r>
        <w:t xml:space="preserve"> 3.2.1.1. iedaļas prasībām, aprakstiet, kā pasākumi ir orientēti uz situāciju, kurā tie var panākt būtiskas izmaiņas, ko tirgus viens pats nevarētu nodrošināt. Savā atbildē attiecīgā gadījumā atsaucieties uz tirgus nepilnībām, kas aprakstītas </w:t>
      </w:r>
      <w:r>
        <w:rPr>
          <w:i/>
          <w:iCs/>
        </w:rPr>
        <w:t>CEEAG</w:t>
      </w:r>
      <w:r>
        <w:t xml:space="preserve"> 34. punktā, un paskaidrojiet, kāpēc citas jau ieviestās rīcībpolitikas un pasākumi, kas minēti </w:t>
      </w:r>
      <w:r>
        <w:rPr>
          <w:i/>
          <w:iCs/>
        </w:rPr>
        <w:t>CEEAG</w:t>
      </w:r>
      <w:r>
        <w:t xml:space="preserve"> 35. punktā, nav pietiekami, lai tās novērstu.</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 xml:space="preserve">Lai varētu novērtēt atbilstību </w:t>
      </w:r>
      <w:r>
        <w:rPr>
          <w:i/>
          <w:iCs/>
        </w:rPr>
        <w:t>CEEAG</w:t>
      </w:r>
      <w:r>
        <w:t xml:space="preserve"> 302. punktam, aprakstiet, vai ir izpildīti šādi nosacījumi:</w:t>
      </w:r>
    </w:p>
    <w:p w14:paraId="1B5AA814" w14:textId="0C243847" w:rsidR="00E05657" w:rsidRDefault="00E05657" w:rsidP="00A46DF5">
      <w:pPr>
        <w:pStyle w:val="ListParagraph"/>
        <w:numPr>
          <w:ilvl w:val="0"/>
          <w:numId w:val="127"/>
        </w:numPr>
        <w:spacing w:before="120" w:after="120"/>
        <w:ind w:left="1434" w:hanging="357"/>
        <w:jc w:val="both"/>
      </w:pPr>
      <w:r>
        <w:t>atbalsta saņēmēju atlases pamatā ir objektīvi un pārredzami kritēriji, un atbalsts tiek piešķirts vienādi visiem atbalsttiesīgajiem uzņēmumiem, kuri darbojas vienā un tajā pašā saimnieciskās darbības nozarē un kuriem ir tāda pati vai līdzīga faktiskā situācija attiecībā uz atbalsta pasākuma mērķiem vai uzdevumiem;</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nesamazināts vides nodoklis vai parafiskālā nodeva izraisītu ievērojamu ražošanas izmaksu pieaugumu, ko aprēķina kā bruto pievienotās vērtības daļu katrai nozarei vai atbalsta saņēmēju kategorijai (piemēram, balstoties uz reprezentatīvu atbalsta saņēmēju skaitļiem vai nozares vai atbalsta saņēmēju kategorijas līmenī agregētiem skaitļiem);</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ražošanas izmaksu ievērojamo pieaugumu nevarētu novirzīt uz klientiem, neradot pārdošanas apjomu ievērojamu samazinājumu (piemēram, balstoties uz atsaucēm par konkurenci no uzņēmumiem jurisdikcijās, uz kurām nodoklis neattiecas, un attiecīgā produkta aizstājamības pakāpi).</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lastRenderedPageBreak/>
        <w:tab/>
      </w:r>
    </w:p>
    <w:p w14:paraId="1927C45E" w14:textId="623FAF23" w:rsidR="006E4D23" w:rsidRDefault="00CC0461" w:rsidP="00CC0461">
      <w:pPr>
        <w:pStyle w:val="ListParagraph"/>
        <w:numPr>
          <w:ilvl w:val="0"/>
          <w:numId w:val="50"/>
        </w:numPr>
        <w:spacing w:before="120" w:after="120"/>
        <w:ind w:left="567" w:hanging="567"/>
        <w:contextualSpacing w:val="0"/>
        <w:jc w:val="both"/>
      </w:pPr>
      <w:r>
        <w:t xml:space="preserve">Attiecībā uz nodokļu samazinājumiem biodegvielām, bioloģiskajiem šķidrajiem kurināmajiem un biomasas kurināmajiem/degvielām, lai varētu novērtēt atbilstību </w:t>
      </w:r>
      <w:r>
        <w:rPr>
          <w:i/>
          <w:iCs/>
        </w:rPr>
        <w:t>CEEAG</w:t>
      </w:r>
      <w:r>
        <w:t xml:space="preserve"> 303. punktam,</w:t>
      </w:r>
    </w:p>
    <w:p w14:paraId="54638E3E" w14:textId="69F50F83" w:rsidR="006E4D23" w:rsidRDefault="00CC0461" w:rsidP="00A46DF5">
      <w:pPr>
        <w:pStyle w:val="ListParagraph"/>
        <w:numPr>
          <w:ilvl w:val="0"/>
          <w:numId w:val="128"/>
        </w:numPr>
        <w:spacing w:before="120" w:after="120"/>
        <w:ind w:left="1434" w:hanging="357"/>
        <w:jc w:val="both"/>
      </w:pPr>
      <w:r>
        <w:t xml:space="preserve">apstipriniet, ka tiks ieviests mehānisms, ar kura palīdzību, piemērojot </w:t>
      </w:r>
      <w:r>
        <w:rPr>
          <w:i/>
          <w:iCs/>
        </w:rPr>
        <w:t>CEEAG</w:t>
      </w:r>
      <w:r>
        <w:t xml:space="preserve"> 4.1.3.1. iedaļā noteiktos nepieciešamības nosacījumus, tiks verificēts, vai pasākums joprojām ir nepieciešams;</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960F2C6" w:rsidR="006E4D23" w:rsidRDefault="00F878EE" w:rsidP="00A46DF5">
      <w:pPr>
        <w:pStyle w:val="ListParagraph"/>
        <w:numPr>
          <w:ilvl w:val="0"/>
          <w:numId w:val="128"/>
        </w:numPr>
        <w:spacing w:before="120" w:after="120"/>
        <w:ind w:left="1434" w:hanging="357"/>
        <w:jc w:val="both"/>
      </w:pPr>
      <w:r>
        <w:t xml:space="preserve">paskaidrojiet, kā šis mehānisms darbosies; un </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apstipriniet, ka dalībvalsts veiks piemērotus pasākumus, piemēram, beigs piemērot atbrīvojumu vai samazinās atbalsta līmeni, un konkretizējiet, kuri piemērotie pasākumi tiks izmantoti.</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Atbalsta piemērotība</w:t>
            </w:r>
          </w:p>
        </w:tc>
      </w:tr>
    </w:tbl>
    <w:p w14:paraId="6227BC57" w14:textId="2AC58623" w:rsidR="0009768A" w:rsidRDefault="1626403F" w:rsidP="00AE5E48">
      <w:pPr>
        <w:spacing w:before="360" w:after="120"/>
        <w:jc w:val="both"/>
        <w:rPr>
          <w:i/>
          <w:iCs/>
          <w:color w:val="000000"/>
        </w:rPr>
      </w:pPr>
      <w:r>
        <w:rPr>
          <w:i/>
        </w:rPr>
        <w:t xml:space="preserve">Lai sniegtu šajā sadaļā prasīto informāciju, sk. </w:t>
      </w:r>
      <w:r>
        <w:t>CEEAG</w:t>
      </w:r>
      <w:r>
        <w:rPr>
          <w:i/>
        </w:rPr>
        <w:t xml:space="preserve"> 3.2.1.2. iedaļu, ciktāl tā konkrētajiem pasākumiem piemērojama, un 4.7.1.3.2. iedaļu (304.–306. punktu).</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Lai varētu novērtēt atbilstību piemērojamajām </w:t>
      </w:r>
      <w:r>
        <w:rPr>
          <w:i/>
          <w:iCs/>
        </w:rPr>
        <w:t>CEEAG</w:t>
      </w:r>
      <w:r>
        <w:t xml:space="preserve"> 3.2.1.2. iedaļas prasībām, aprakstiet, kāpēc, ņemot vērā citus rīcībpolitikas instrumentus un dažādus atbalsta instrumentus, kurus varētu īstenot kā alternatīvu, pasākumi ir piemēroti rīcībpolitikas instrumenti paredzētā atbalsta mērķa sasniegšanai, proti, nedrīkst būt mazāk kropļojoša rīcībpolitika un atbalsta instruments, kas spēj sasniegt tādus pašus rezultātus.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 xml:space="preserve">Lai varētu novērtēt atbilstību </w:t>
      </w:r>
      <w:r>
        <w:rPr>
          <w:i/>
          <w:iCs/>
        </w:rPr>
        <w:t>CEEAG</w:t>
      </w:r>
      <w:r>
        <w:t xml:space="preserve"> 305. punktam, apstipriniet, ka i) pasākumu ilgums nepārsniedz 10 gadus un ii) atkārtots paziņojums būs balstīts uz atkārtotu pasākumu piemērotības izvērtējumu.</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 xml:space="preserve">Ja (daļu) atbalsta piešķir kā nodokļu atmaksu, tad, lai varētu novērtēt atbilstību </w:t>
      </w:r>
      <w:r>
        <w:rPr>
          <w:i/>
          <w:iCs/>
        </w:rPr>
        <w:t>CEEAG</w:t>
      </w:r>
      <w:r>
        <w:t xml:space="preserve"> 306. punktam, apstipriniet, ka nodokļu atmaksas apmērs tiks aprēķināts, balstoties uz vēsturiskajiem datiem, tas ir, ražošanas līmeni un patēriņu vai piesārņojumu, kas uzņēmumam bija attiecīgajā pārskata gadā.</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Atbalsta samērīgums</w:t>
            </w:r>
          </w:p>
        </w:tc>
      </w:tr>
    </w:tbl>
    <w:p w14:paraId="322B0DC4" w14:textId="2E7D7E33" w:rsidR="00863406" w:rsidRPr="00FC6878" w:rsidRDefault="00863406" w:rsidP="2368A16B">
      <w:pPr>
        <w:spacing w:before="360" w:after="120"/>
        <w:jc w:val="both"/>
        <w:rPr>
          <w:i/>
          <w:iCs/>
        </w:rPr>
      </w:pPr>
      <w:r>
        <w:rPr>
          <w:i/>
        </w:rPr>
        <w:t xml:space="preserve">Lai sniegtu šajā sadaļā prasīto informāciju, sk. </w:t>
      </w:r>
      <w:r>
        <w:t>CEEAG</w:t>
      </w:r>
      <w:r>
        <w:rPr>
          <w:i/>
        </w:rPr>
        <w:t xml:space="preserve"> 4.7.1.3.3. iedaļu (307.–309. punktu).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 xml:space="preserve">Lai varētu novērtēt atbilstību </w:t>
      </w:r>
      <w:r>
        <w:rPr>
          <w:i/>
          <w:iCs/>
        </w:rPr>
        <w:t>CEEAG</w:t>
      </w:r>
      <w:r>
        <w:t xml:space="preserve"> 308. punktam (kurā noteikts, ka jābūt izpildītam vismaz vienam no tālāk minētajiem nosacījumiem), sniedziet vienu no prasītajiem informācijas elementiem:</w:t>
      </w:r>
      <w:bookmarkEnd w:id="8"/>
    </w:p>
    <w:p w14:paraId="07E9565A" w14:textId="5F95AEC5" w:rsidR="006F256F" w:rsidRDefault="270F0651" w:rsidP="00A46DF5">
      <w:pPr>
        <w:pStyle w:val="ListParagraph"/>
        <w:numPr>
          <w:ilvl w:val="0"/>
          <w:numId w:val="129"/>
        </w:numPr>
        <w:spacing w:before="120" w:after="120"/>
        <w:ind w:left="1434" w:hanging="357"/>
        <w:jc w:val="both"/>
      </w:pPr>
      <w:r>
        <w:lastRenderedPageBreak/>
        <w:t>norādiet, vai katrs atbalsta saņēmējs maksā vismaz 20 % no vides nodokļa vai parafiskālās nodevas nominālās summas, kas citādi būtu piemērojama attiecīgajam atbalsta saņēmējam, ja samazinājums netiktu piemērots;</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vai norādiet, vai i) nodokļa vai nodevas samazinājums nepārsniedz 100 % valsts vides nodokļa vai parafiskālās nodevas; ii) nodokļa vai nodevas samazinājums ir atkarīgs no tā, vai starp dalībvalsti un atbalsta saņēmējiem vai atbalsta saņēmēju apvienībām tiek noslēgti līgumi, saskaņā ar kuriem atbalsta saņēmēji vai atbalsta saņēmēju apvienības apņemas sasniegt vides aizsardzības mērķus, kuriem ir tāda pati ietekme kā tad, ja atbalsta saņēmēji vai atbalsta saņēmēju apvienības maksātu vismaz 20 % no valsts nodokļa vai nodevas</w:t>
      </w:r>
      <w:r w:rsidR="00B40F1D">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Ja izvēlēts </w:t>
      </w:r>
      <w:r>
        <w:fldChar w:fldCharType="begin"/>
      </w:r>
      <w:r>
        <w:instrText xml:space="preserve"> REF _Ref172812423 \w \h </w:instrText>
      </w:r>
      <w:r>
        <w:fldChar w:fldCharType="separate"/>
      </w:r>
      <w:r w:rsidR="002A1216">
        <w:t>22</w:t>
      </w:r>
      <w:r>
        <w:fldChar w:fldCharType="end"/>
      </w:r>
      <w:r>
        <w:t xml:space="preserve">. jautājuma ii) variants, tad, lai varētu novērtēt atbilstību </w:t>
      </w:r>
      <w:r>
        <w:rPr>
          <w:i/>
          <w:iCs/>
        </w:rPr>
        <w:t>CEEAG</w:t>
      </w:r>
      <w:r>
        <w:t xml:space="preserve"> 309. punktam, aprakstiet</w:t>
      </w:r>
    </w:p>
    <w:p w14:paraId="02DB823F" w14:textId="1AC5E3AC" w:rsidR="00E72A73" w:rsidRDefault="00E72A73" w:rsidP="00A46DF5">
      <w:pPr>
        <w:pStyle w:val="ListParagraph"/>
        <w:numPr>
          <w:ilvl w:val="0"/>
          <w:numId w:val="130"/>
        </w:numPr>
        <w:spacing w:before="120" w:after="120"/>
        <w:ind w:left="1434" w:hanging="357"/>
        <w:jc w:val="both"/>
      </w:pPr>
      <w:r>
        <w:t>piemērojamo līgumu būtību, arī konkrētos mērķrādītājus un to sasniegšanai noteikto grafiku;</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kā tiks nodrošināta līgumos noteikto saistību neatkarīga un regulāra uzraudzība;</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kā līgumi tiek periodiski pārskatīti, ņemot vērā tehnoloģiju attīstību un citas norises, kā arī tajos paredz iedarbīgas soda sankcijas gadījumiem, ja saistības netiek izpildītas.</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Kumulācija</w:t>
            </w:r>
          </w:p>
        </w:tc>
      </w:tr>
    </w:tbl>
    <w:p w14:paraId="56B46737" w14:textId="5C12CBC3" w:rsidR="001D0CD2" w:rsidRPr="001D0CD2" w:rsidRDefault="00B21377" w:rsidP="001D0CD2">
      <w:pPr>
        <w:spacing w:before="360" w:after="120"/>
        <w:jc w:val="both"/>
        <w:rPr>
          <w:i/>
          <w:iCs/>
        </w:rPr>
      </w:pPr>
      <w:r>
        <w:rPr>
          <w:i/>
        </w:rPr>
        <w:t xml:space="preserve">Lai sniegtu šajā sadaļā prasīto informāciju, sk. </w:t>
      </w:r>
      <w:r>
        <w:t>CEEAG</w:t>
      </w:r>
      <w:r>
        <w:rPr>
          <w:i/>
        </w:rPr>
        <w:t xml:space="preserve"> 56.–57. punktu.</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Ciktāl tas nav jau paredzēts vispārīgās paziņojuma veidlapas I daļā un lai varētu verificēt atbilstību </w:t>
      </w:r>
      <w:r>
        <w:rPr>
          <w:i/>
          <w:iCs/>
        </w:rPr>
        <w:t>CEEAG</w:t>
      </w:r>
      <w:r>
        <w:t xml:space="preserve"> 56. punktam, precizējiet, vai atbalstu saskaņā ar pasākumiem var piešķirt vienlaikus saskaņā ar vairākām atbalsta shēmām vai kumulēt ar </w:t>
      </w:r>
      <w:r>
        <w:rPr>
          <w:i/>
          <w:iCs/>
        </w:rPr>
        <w:t>ad hoc</w:t>
      </w:r>
      <w:r>
        <w:t xml:space="preserve"> vai </w:t>
      </w:r>
      <w:r>
        <w:rPr>
          <w:i/>
          <w:iCs/>
        </w:rPr>
        <w:t>de minimis</w:t>
      </w:r>
      <w:r>
        <w:t xml:space="preserve"> atbalstu attiecībā uz tām pašām attiecināmajām izmaksām. Ja tā ir, sniedziet sīkāku informāciju par šīm atbalsta shēmām, </w:t>
      </w:r>
      <w:r>
        <w:rPr>
          <w:i/>
          <w:iCs/>
        </w:rPr>
        <w:t>ad hoc</w:t>
      </w:r>
      <w:r>
        <w:t xml:space="preserve"> atbalstu vai </w:t>
      </w:r>
      <w:r>
        <w:rPr>
          <w:i/>
          <w:iCs/>
        </w:rPr>
        <w:t>de minimis</w:t>
      </w:r>
      <w:r>
        <w:t xml:space="preserve"> atbalstu un to, kā atbalsts tiks kumulēts.</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Ja ir piemērojams </w:t>
      </w:r>
      <w:r>
        <w:rPr>
          <w:i/>
          <w:iCs/>
        </w:rPr>
        <w:t>CEEAG</w:t>
      </w:r>
      <w:r>
        <w:t xml:space="preserve"> 56. punkts, pamatojiet, kāpēc projektam vai darbībai saskaņā ar pasākumiem piešķirtā atbalsta kopsumma ne noved pie pārmērīgas kompensācijas, ne pārsniedz maksimālo atbalsta summu, kas atļauta saskaņā ar </w:t>
      </w:r>
      <w:r>
        <w:rPr>
          <w:i/>
          <w:iCs/>
        </w:rPr>
        <w:t>CEEAG</w:t>
      </w:r>
      <w:r>
        <w:t xml:space="preserve"> 308. punktu. Attiecībā uz katru pasākumu, ar kuru atbalstu, kas piešķirts saskaņā ar atbalsta </w:t>
      </w:r>
      <w:r>
        <w:lastRenderedPageBreak/>
        <w:t xml:space="preserve">pasākumiem, var kumulēt, norādiet, kādu metodi izmanto, lai nodrošinātu atbilstību </w:t>
      </w:r>
      <w:r>
        <w:rPr>
          <w:i/>
          <w:iCs/>
        </w:rPr>
        <w:t>CEEAG</w:t>
      </w:r>
      <w:r>
        <w:t xml:space="preserve"> 56. punktā izklāstītajiem nosacījumiem.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 xml:space="preserve">Ja piemērojams </w:t>
      </w:r>
      <w:r>
        <w:rPr>
          <w:i/>
          <w:iCs/>
        </w:rPr>
        <w:t>CEEAG</w:t>
      </w:r>
      <w:r>
        <w:t xml:space="preserve"> 57. punkts, t. i., atbalsts, kas piešķirts saskaņā ar pasākumiem, tiek apvienots ar centralizēti pārvaldītu Savienības finansējumu</w:t>
      </w:r>
      <w:r w:rsidR="009B2F61" w:rsidRPr="009548AA">
        <w:rPr>
          <w:vertAlign w:val="superscript"/>
        </w:rPr>
        <w:footnoteReference w:id="8"/>
      </w:r>
      <w:r>
        <w:t xml:space="preserve"> (kas par valsts atbalstu nav uzskatāms), pamatojiet, kāpēc publiskā finansējuma kopsumma, kas piešķirta attiecībā uz tām pašām attiecināmajām izmaksām, nenoved pie pārmērīgas kompensācijas.</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Pārredzamība</w:t>
            </w:r>
          </w:p>
        </w:tc>
      </w:tr>
    </w:tbl>
    <w:p w14:paraId="30CC4C47" w14:textId="5C8853FB" w:rsidR="006773CE" w:rsidRPr="007C0A44" w:rsidRDefault="006773CE" w:rsidP="2368A16B">
      <w:pPr>
        <w:spacing w:before="360" w:after="120"/>
        <w:jc w:val="both"/>
        <w:rPr>
          <w:i/>
          <w:iCs/>
        </w:rPr>
      </w:pPr>
      <w:r>
        <w:rPr>
          <w:i/>
        </w:rPr>
        <w:t xml:space="preserve">Lai sniegtu šajā sadaļā prasīto informāciju, sk. </w:t>
      </w:r>
      <w:r>
        <w:t>CEEAG</w:t>
      </w:r>
      <w:r>
        <w:rPr>
          <w:i/>
        </w:rPr>
        <w:t xml:space="preserve"> 3.2.1.4. iedaļu (58.–62. punktu).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Apstipriniet, ka dalībvalsts ievēros </w:t>
      </w:r>
      <w:r>
        <w:rPr>
          <w:i/>
          <w:iCs/>
        </w:rPr>
        <w:t>CEEAG</w:t>
      </w:r>
      <w:r>
        <w:t xml:space="preserve"> 58.–61. punktā noteiktās pārredzamības prasības.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Norādiet interneta saites, kurās tiks publicēts apstiprinātās atbalsta shēmas vai individuālā atbalsta piešķiršanas lēmuma un tā īstenošanas noteikumu pilns teksts un informācija par katru individuālo atbalstu, kas piešķirts </w:t>
      </w:r>
      <w:r>
        <w:rPr>
          <w:i/>
          <w:iCs/>
        </w:rPr>
        <w:t>ad hoc</w:t>
      </w:r>
      <w:r>
        <w:t xml:space="preserve"> vai saskaņā ar atbalsta shēmu, kura apstiprināta, balstoties uz šīm pamatnostādnēm, un kas pārsniedz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D42F9C" w:rsidRDefault="00A80F29" w:rsidP="00A80F29">
      <w:pPr>
        <w:tabs>
          <w:tab w:val="left" w:leader="dot" w:pos="9072"/>
        </w:tabs>
        <w:spacing w:before="120" w:after="120"/>
        <w:jc w:val="both"/>
        <w:rPr>
          <w:i/>
          <w:color w:val="000000"/>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Izvairīšanās no nepamatotas negatīvas ietekmes uz konkurenci un tirdzniecību</w:t>
            </w:r>
          </w:p>
        </w:tc>
      </w:tr>
    </w:tbl>
    <w:p w14:paraId="6F1494DE" w14:textId="5F2BAE4F" w:rsidR="00A80F29" w:rsidRPr="00B215FD" w:rsidRDefault="00A80F29" w:rsidP="00A80F29">
      <w:pPr>
        <w:spacing w:before="360" w:after="120"/>
        <w:jc w:val="both"/>
        <w:rPr>
          <w:i/>
          <w:iCs/>
        </w:rPr>
      </w:pPr>
      <w:r>
        <w:rPr>
          <w:i/>
        </w:rPr>
        <w:t xml:space="preserve">Lai sniegtu šajā sadaļā prasīto informāciju, sk. </w:t>
      </w:r>
      <w:r>
        <w:t>CEEAG</w:t>
      </w:r>
      <w:r>
        <w:rPr>
          <w:i/>
        </w:rPr>
        <w:t xml:space="preserve"> 3.2.2. iedaļu, ciktāl tā konkrētajiem pasākumiem piemērojama</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Lai varētu novērtēt atbilstību piemērojamajām </w:t>
      </w:r>
      <w:r>
        <w:rPr>
          <w:i/>
          <w:iCs/>
        </w:rPr>
        <w:t>CEEAG</w:t>
      </w:r>
      <w:r>
        <w:t xml:space="preserve"> 3.2.2. iedaļas prasībām, aprakstiet, kā pasākumi mīkstina jebkādu acīmredzami negatīvu ietekmi uz konkurenci un tirdzniecību.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 xml:space="preserve">Lai varētu novērtēt atbilstību </w:t>
      </w:r>
      <w:r>
        <w:rPr>
          <w:i/>
          <w:iCs/>
        </w:rPr>
        <w:t>CEEAG</w:t>
      </w:r>
      <w:r>
        <w:t xml:space="preserve"> 70. punktam,</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ja tas jau nav izdarīts atbildē uz </w:t>
      </w:r>
      <w:r w:rsidR="0031791E">
        <w:fldChar w:fldCharType="begin"/>
      </w:r>
      <w:r w:rsidR="0031791E">
        <w:instrText xml:space="preserve"> REF _Ref175221297 \r \h </w:instrText>
      </w:r>
      <w:r w:rsidR="0031791E">
        <w:fldChar w:fldCharType="separate"/>
      </w:r>
      <w:r w:rsidR="0031791E">
        <w:t>20</w:t>
      </w:r>
      <w:r w:rsidR="0031791E">
        <w:fldChar w:fldCharType="end"/>
      </w:r>
      <w:r>
        <w:t xml:space="preserve">. jautājumu, apstipriniet, ka shēmas darbības ilgums nepārsniedz 10 gadus no dienas, kad paziņots par Komisijas lēmumu, ar kuru atbalsts atzīts par saderīgu;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lastRenderedPageBreak/>
        <w:t xml:space="preserve">apstipriniet, ka pasākuma termiņa pagarināšanai pēc minētā maksimālā laikposma būs nepieciešams jauns paziņojums par pasākumu(-iem).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Atbalsta pozitīvās ietekmes izsvēršana attiecībā pret negatīvo ietekmi uz konkurenci un tirdzniecību</w:t>
            </w:r>
          </w:p>
        </w:tc>
      </w:tr>
    </w:tbl>
    <w:p w14:paraId="3513408C" w14:textId="56B6BA12" w:rsidR="00265702" w:rsidRPr="00863406" w:rsidRDefault="00265702" w:rsidP="2368A16B">
      <w:pPr>
        <w:spacing w:before="360" w:after="120"/>
        <w:jc w:val="both"/>
        <w:rPr>
          <w:i/>
          <w:iCs/>
          <w:color w:val="000000"/>
        </w:rPr>
      </w:pPr>
      <w:r>
        <w:rPr>
          <w:i/>
        </w:rPr>
        <w:t xml:space="preserve">Lai sniegtu šajā sadaļā prasīto informāciju, sk. </w:t>
      </w:r>
      <w:r>
        <w:t>CEEAG</w:t>
      </w:r>
      <w:r>
        <w:rPr>
          <w:i/>
        </w:rPr>
        <w:t xml:space="preserve"> 3.3. iedaļu (71.–76. punktu), ciktāl tā konkrētajiem pasākumiem piemērojama.</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 xml:space="preserve">Lai varētu novērtēt atbilstību piemērojamajām </w:t>
      </w:r>
      <w:r>
        <w:rPr>
          <w:i/>
          <w:iCs/>
        </w:rPr>
        <w:t>CEEAG</w:t>
      </w:r>
      <w:r>
        <w:t xml:space="preserve"> 3.3. iedaļas prasībām,</w:t>
      </w:r>
    </w:p>
    <w:p w14:paraId="3EA00BDB" w14:textId="1514E259" w:rsidR="004B2EF3" w:rsidRPr="00564B1B" w:rsidRDefault="00A24718" w:rsidP="00A46DF5">
      <w:pPr>
        <w:pStyle w:val="ListParagraph"/>
        <w:numPr>
          <w:ilvl w:val="0"/>
          <w:numId w:val="132"/>
        </w:numPr>
        <w:spacing w:before="120" w:after="120"/>
        <w:ind w:left="1434" w:hanging="357"/>
        <w:jc w:val="both"/>
      </w:pPr>
      <w:r>
        <w:t>pamatojiet, kā pasākumu pozitīvā ietekme kopumā atsver negatīvo ietekmi;</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 xml:space="preserve">attiecībā uz </w:t>
      </w:r>
      <w:r>
        <w:rPr>
          <w:i/>
          <w:iCs/>
        </w:rPr>
        <w:t>CEEAG</w:t>
      </w:r>
      <w:r>
        <w:t xml:space="preserve"> 75. punkta piemērošanu precizējiet, vai pasākumiem ir iezīmes, kas atvieglo MVU līdzdalību. Ja atbilde ir apstiprinoša, sniedziet informāciju par šīm iezīmēm un pamatojiet, kāpēc pozitīvā ietekme no tā, ka tiek nodrošināta MVU līdzdalība un pieņemšana pasākumos, atsver iespējamo kropļojošo ietekmi;</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attiecībā uz </w:t>
      </w:r>
      <w:r>
        <w:rPr>
          <w:i/>
          <w:iCs/>
        </w:rPr>
        <w:t>CEEAG</w:t>
      </w:r>
      <w:r>
        <w:t xml:space="preserve"> 76. punkta c) apakšpunkta piemērošanu norādiet, vai uz atbalsta pasākumiem attiecas laika ierobežojums.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C sadaļa. Izvērtēšana</w:t>
            </w:r>
          </w:p>
        </w:tc>
      </w:tr>
    </w:tbl>
    <w:p w14:paraId="6A4ADF8D" w14:textId="77777777" w:rsidR="00C33721" w:rsidRPr="006725F7" w:rsidRDefault="00C33721" w:rsidP="006725F7">
      <w:pPr>
        <w:spacing w:before="360" w:after="120"/>
        <w:jc w:val="both"/>
        <w:rPr>
          <w:i/>
          <w:iCs/>
          <w:color w:val="000000"/>
        </w:rPr>
      </w:pPr>
      <w:r>
        <w:rPr>
          <w:i/>
          <w:color w:val="000000"/>
        </w:rPr>
        <w:t xml:space="preserve">Lai sniegtu šajā sadaļā prasīto informāciju, sk. </w:t>
      </w:r>
      <w:r>
        <w:rPr>
          <w:color w:val="000000"/>
        </w:rPr>
        <w:t>CEEAG</w:t>
      </w:r>
      <w:r>
        <w:rPr>
          <w:i/>
          <w:color w:val="000000"/>
        </w:rPr>
        <w:t xml:space="preserve"> 76. punkta a) apakšpunktu un 5. nodaļu (455.–463. punktu).</w:t>
      </w:r>
    </w:p>
    <w:p w14:paraId="61A6C035" w14:textId="1219DDD6" w:rsidR="00017826" w:rsidRPr="00017826" w:rsidRDefault="00017826" w:rsidP="00017826">
      <w:pPr>
        <w:numPr>
          <w:ilvl w:val="0"/>
          <w:numId w:val="50"/>
        </w:numPr>
        <w:spacing w:before="120" w:after="120"/>
        <w:ind w:left="567" w:hanging="567"/>
        <w:jc w:val="both"/>
      </w:pPr>
      <w:r>
        <w:t xml:space="preserve">Ja pasākumi pārsniedz </w:t>
      </w:r>
      <w:r>
        <w:rPr>
          <w:i/>
          <w:iCs/>
        </w:rPr>
        <w:t>CEEAG</w:t>
      </w:r>
      <w:r>
        <w:t xml:space="preserve"> 456. punktā noteiktās budžeta/izdevumu sliekšņvērtības, paskaidrojiet, kāpēc dalībvalsts ieskatā būtu piemērojams </w:t>
      </w:r>
      <w:r>
        <w:rPr>
          <w:i/>
          <w:iCs/>
        </w:rPr>
        <w:t>CEEAG</w:t>
      </w:r>
      <w:r>
        <w:t xml:space="preserve"> 457. punktā paredzētais izņēmums, vai šai papildinformācijas lapai pievienojiet pielikumu, kurā iekļauts izvērtēšanas plāna projekts, kas aptver </w:t>
      </w:r>
      <w:r>
        <w:rPr>
          <w:i/>
          <w:iCs/>
        </w:rPr>
        <w:t>CEEAG</w:t>
      </w:r>
      <w:r>
        <w:t xml:space="preserve"> 458. punktā minēto tvērumu</w:t>
      </w:r>
      <w:r w:rsidRPr="00017826">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Ja ir iesniegts izvērtēšanas plāna projekts,</w:t>
      </w:r>
    </w:p>
    <w:p w14:paraId="4C066F02" w14:textId="4C06AB69" w:rsidR="00017826" w:rsidRPr="00017826" w:rsidRDefault="00017826" w:rsidP="00017826">
      <w:pPr>
        <w:numPr>
          <w:ilvl w:val="0"/>
          <w:numId w:val="120"/>
        </w:numPr>
        <w:spacing w:before="120" w:after="120"/>
        <w:jc w:val="both"/>
      </w:pPr>
      <w:r>
        <w:t>tālāk sniedziet pielikumā iekļautā izvērtēšanas plāna projekta kopsavilkumu;</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 xml:space="preserve">apstipriniet, ka tiks ievērots </w:t>
      </w:r>
      <w:r>
        <w:rPr>
          <w:i/>
          <w:iCs/>
        </w:rPr>
        <w:t>CEEAG</w:t>
      </w:r>
      <w:r>
        <w:t xml:space="preserve"> 460. punkts;</w:t>
      </w:r>
    </w:p>
    <w:p w14:paraId="20322518" w14:textId="77777777" w:rsidR="00017826" w:rsidRPr="00017826" w:rsidRDefault="00017826" w:rsidP="0006694C">
      <w:pPr>
        <w:spacing w:before="120" w:after="120"/>
        <w:ind w:left="567"/>
        <w:jc w:val="both"/>
      </w:pPr>
      <w:r>
        <w:lastRenderedPageBreak/>
        <w:t xml:space="preserve">…………………………………………………………………………………. </w:t>
      </w:r>
    </w:p>
    <w:p w14:paraId="3EC5CA62" w14:textId="77777777" w:rsidR="00017826" w:rsidRPr="00017826" w:rsidRDefault="00017826" w:rsidP="00017826">
      <w:pPr>
        <w:numPr>
          <w:ilvl w:val="0"/>
          <w:numId w:val="120"/>
        </w:numPr>
        <w:spacing w:before="120" w:after="120"/>
        <w:jc w:val="both"/>
      </w:pPr>
      <w:r>
        <w:t>norādiet datumu un interneta saiti, kurā izvērtēšanas plāns būs publiski pieejams.</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Lai varētu novērtēt atbilstību </w:t>
      </w:r>
      <w:r>
        <w:rPr>
          <w:i/>
          <w:iCs/>
        </w:rPr>
        <w:t>CEEAG</w:t>
      </w:r>
      <w:r>
        <w:t xml:space="preserve"> 459. punkta b) apakšpunktam, ja atbalsta shēmai pašlaik netiek veikts </w:t>
      </w:r>
      <w:r>
        <w:rPr>
          <w:i/>
          <w:iCs/>
        </w:rPr>
        <w:t>ex post</w:t>
      </w:r>
      <w:r>
        <w:t xml:space="preserve"> izvērtējums un tās ilgums pārsniedz trīs gadus, apstipriniet, ka 30 darbdienu laikā pēc būtiskām izmaiņām, kas shēmas budžetu palielinātu līdz vairāk nekā 150 miljoniem EUR kādā gadā vai 750 miljoniem EUR visā shēmas darbības laikā, dalībvalsts paziņos izvērtēšanas plāna projektu.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Lai varētu novērtēt atbilstību </w:t>
      </w:r>
      <w:r>
        <w:rPr>
          <w:i/>
          <w:iCs/>
        </w:rPr>
        <w:t>CEEAG</w:t>
      </w:r>
      <w:r>
        <w:t xml:space="preserve"> 459. punkta c) apakšpunktam, ja atbalsta shēmai pašlaik netiek veikts </w:t>
      </w:r>
      <w:r>
        <w:rPr>
          <w:i/>
          <w:iCs/>
        </w:rPr>
        <w:t>ex post</w:t>
      </w:r>
      <w: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 xml:space="preserve">Lai varētu novērtēt atbilstību </w:t>
      </w:r>
      <w:r>
        <w:rPr>
          <w:i/>
          <w:iCs/>
        </w:rPr>
        <w:t>CEEAG</w:t>
      </w:r>
      <w:r>
        <w:t xml:space="preserve"> 461. punktam,</w:t>
      </w:r>
    </w:p>
    <w:p w14:paraId="3B57C2B7" w14:textId="77777777" w:rsidR="00017826" w:rsidRPr="00017826" w:rsidRDefault="00017826" w:rsidP="00017826">
      <w:pPr>
        <w:numPr>
          <w:ilvl w:val="0"/>
          <w:numId w:val="121"/>
        </w:numPr>
        <w:spacing w:before="120" w:after="120"/>
        <w:jc w:val="both"/>
      </w:pPr>
      <w:r>
        <w:t>precizējiet, vai neatkarīgais eksperts jau ir izraudzīts vai tiks izraudzīts nākotnē;</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sniedziet informāciju par eksperta izraudzīšanās procedūru;</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pamatojiet, kā eksperts ir neatkarīgs no piešķīrējas iestādes.</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Lai varētu padziļināti novērtēt atbilstību </w:t>
      </w:r>
      <w:r>
        <w:rPr>
          <w:i/>
          <w:iCs/>
        </w:rPr>
        <w:t>CEEAG</w:t>
      </w:r>
      <w:r>
        <w:t xml:space="preserve"> 461. punktam, </w:t>
      </w:r>
    </w:p>
    <w:p w14:paraId="2E5EF1CD" w14:textId="59962384" w:rsidR="00017826" w:rsidRPr="00017826" w:rsidRDefault="00017826" w:rsidP="00017826">
      <w:pPr>
        <w:numPr>
          <w:ilvl w:val="0"/>
          <w:numId w:val="122"/>
        </w:numPr>
        <w:spacing w:before="120" w:after="120"/>
        <w:jc w:val="both"/>
      </w:pPr>
      <w:r>
        <w:t xml:space="preserve">norādiet dalībvalsts ierosinātos starpposma un galīgā izvērtējuma ziņojuma iesniegšanas termiņus. Ņemiet vērā, ka saskaņā ar </w:t>
      </w:r>
      <w:r>
        <w:rPr>
          <w:i/>
          <w:iCs/>
        </w:rPr>
        <w:t>CEEAG</w:t>
      </w:r>
      <w:r>
        <w:t xml:space="preserve"> 463. punktu galīgais izvērtējuma ziņojums jāiesniedz Komisijai laikus, lai tā varētu novērtēt atbalsta shēmas iespējamo pagarināšanu, un ne vēlāk kā 9 mēnešus pirms tās darbības beigām. Ņemiet vērā, ka shēmām, kurām izvērtējuma prasība iestājas pēdējos 2 to īstenošanas gados, minēto termiņu varētu saīsināt;</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apstipriniet, ka starpposma un galīgais izvērtējuma ziņojums tiks publiskots. Norādiet datumu un interneta saiti, kurā šie ziņojumi būs publiski pieejami.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Default="00627715" w:rsidP="00EB188E">
      <w:pPr>
        <w:spacing w:before="120" w:after="120"/>
        <w:rPr>
          <w:i/>
        </w:rPr>
      </w:pPr>
    </w:p>
    <w:p w14:paraId="04810908" w14:textId="77777777" w:rsidR="00CB1388" w:rsidRDefault="00CB1388" w:rsidP="00EB188E">
      <w:pPr>
        <w:spacing w:before="120" w:after="120"/>
        <w:rPr>
          <w:i/>
        </w:rPr>
      </w:pPr>
    </w:p>
    <w:p w14:paraId="012D5834" w14:textId="77777777" w:rsidR="00CB1388" w:rsidRDefault="00CB1388" w:rsidP="00EB188E">
      <w:pPr>
        <w:spacing w:before="120" w:after="120"/>
        <w:rPr>
          <w:i/>
        </w:rPr>
      </w:pPr>
    </w:p>
    <w:p w14:paraId="0A06AF02" w14:textId="77777777" w:rsidR="00CB1388" w:rsidRDefault="00CB1388" w:rsidP="00EB188E">
      <w:pPr>
        <w:spacing w:before="120" w:after="120"/>
        <w:rPr>
          <w:i/>
        </w:rPr>
      </w:pPr>
    </w:p>
    <w:p w14:paraId="3BC18941" w14:textId="77777777" w:rsidR="00CB1388" w:rsidRPr="0051324D" w:rsidRDefault="00CB1388"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lastRenderedPageBreak/>
              <w:t>D sadaļa. Ziņošana un uzraudzība</w:t>
            </w:r>
          </w:p>
        </w:tc>
      </w:tr>
    </w:tbl>
    <w:p w14:paraId="6975FD00" w14:textId="7876D36D" w:rsidR="006725F7" w:rsidRPr="006725F7" w:rsidRDefault="006725F7" w:rsidP="006725F7">
      <w:pPr>
        <w:spacing w:before="360" w:after="120"/>
        <w:jc w:val="both"/>
        <w:rPr>
          <w:i/>
          <w:iCs/>
          <w:color w:val="000000"/>
        </w:rPr>
      </w:pPr>
      <w:r>
        <w:rPr>
          <w:i/>
          <w:color w:val="000000"/>
        </w:rPr>
        <w:t xml:space="preserve">Lai sniegtu šajā sadaļā prasīto informāciju, sk. </w:t>
      </w:r>
      <w:r>
        <w:rPr>
          <w:color w:val="000000"/>
        </w:rPr>
        <w:t>CEEAG</w:t>
      </w:r>
      <w:r>
        <w:rPr>
          <w:i/>
          <w:color w:val="000000"/>
        </w:rPr>
        <w:t xml:space="preserve"> 6. iedaļu (464.–465. punktu).</w:t>
      </w:r>
    </w:p>
    <w:p w14:paraId="29B090CF" w14:textId="307F0833" w:rsidR="004B0C34" w:rsidRPr="0051324D" w:rsidRDefault="006725F7" w:rsidP="006725F7">
      <w:pPr>
        <w:numPr>
          <w:ilvl w:val="0"/>
          <w:numId w:val="50"/>
        </w:numPr>
        <w:spacing w:before="120" w:after="120"/>
        <w:ind w:left="567" w:hanging="567"/>
        <w:jc w:val="both"/>
      </w:pPr>
      <w:r>
        <w:t xml:space="preserve">Apstipriniet, ka dalībvalsts izpildīs ziņošanas un uzraudzības prasības, kas noteiktas </w:t>
      </w:r>
      <w:r>
        <w:rPr>
          <w:i/>
          <w:iCs/>
        </w:rPr>
        <w:t>CEEAG</w:t>
      </w:r>
      <w:r>
        <w:t xml:space="preserve"> 6. iedaļas 464. un 465. punktā.</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OV C 80, 18.2.2022., 1. lpp.</w:t>
      </w:r>
    </w:p>
  </w:footnote>
  <w:footnote w:id="3">
    <w:p w14:paraId="0B630B34" w14:textId="1A949931" w:rsidR="00EA14A3" w:rsidRDefault="00EA14A3" w:rsidP="00EA14A3">
      <w:pPr>
        <w:pStyle w:val="FootnoteText"/>
      </w:pPr>
      <w:r>
        <w:rPr>
          <w:rStyle w:val="FootnoteReference"/>
        </w:rPr>
        <w:footnoteRef/>
      </w:r>
      <w:r>
        <w:t xml:space="preserve"> </w:t>
      </w:r>
      <w:r>
        <w:tab/>
        <w:t xml:space="preserve">Ņemiet vērā, ka atbalsta shēmas ilgums ir laikposms, kurā var pieteikties uz atbalstu un par to pieņemt lēmumu (ieskaitot arī laiku, kas iestādēm vajadzīgs atbalsta pieteikumu apstiprināšanai). Šajā punktā minētais ilgums nav saistīts ar atbalsta shēmas ietvaros noslēgto līgumu ilgumu; tie var būt spēkā pēc pasākuma termiņa beigām. </w:t>
      </w:r>
    </w:p>
  </w:footnote>
  <w:footnote w:id="4">
    <w:p w14:paraId="3A1CFF23" w14:textId="4C37DE38" w:rsidR="0091313C" w:rsidRPr="0067348B" w:rsidRDefault="0091313C" w:rsidP="0091313C">
      <w:pPr>
        <w:pStyle w:val="FootnoteText"/>
      </w:pPr>
      <w:r>
        <w:rPr>
          <w:rStyle w:val="FootnoteReference"/>
        </w:rPr>
        <w:footnoteRef/>
      </w:r>
      <w:r>
        <w:tab/>
        <w:t>Ņemiet vērā, ka izmaiņas faktiskajā vai aplēstajā budžetā var būt atbalsta izmaiņas, par kurām jāpaziņo no jauna.</w:t>
      </w:r>
    </w:p>
  </w:footnote>
  <w:footnote w:id="5">
    <w:p w14:paraId="74B9E2E9" w14:textId="09EFDCF0" w:rsidR="007B4268" w:rsidRPr="007B4268" w:rsidRDefault="007B4268">
      <w:pPr>
        <w:pStyle w:val="FootnoteText"/>
      </w:pPr>
      <w:r>
        <w:rPr>
          <w:rStyle w:val="FootnoteReference"/>
        </w:rPr>
        <w:footnoteRef/>
      </w:r>
      <w:r>
        <w:t xml:space="preserve"> </w:t>
      </w:r>
      <w:r>
        <w:tab/>
        <w:t>Šajā apakšjautājumā atsauces uz apzīmējumu “nodeva” būtu jāsaprot kā atsauces arī uz vides nodokļiem.</w:t>
      </w:r>
    </w:p>
  </w:footnote>
  <w:footnote w:id="6">
    <w:p w14:paraId="771807DF" w14:textId="77777777" w:rsidR="004B0D99" w:rsidRPr="00FC5A51" w:rsidRDefault="004B0D99" w:rsidP="004B0D99">
      <w:pPr>
        <w:pStyle w:val="FootnoteText"/>
      </w:pPr>
      <w:r>
        <w:rPr>
          <w:rStyle w:val="FootnoteReference"/>
        </w:rPr>
        <w:footnoteRef/>
      </w:r>
      <w:r>
        <w:t xml:space="preserve"> </w:t>
      </w:r>
      <w:r>
        <w:tab/>
        <w:t>Piemēram, var salīdzināt standarta likmi, kas tiktu īstenota ar samazinājumiem, ar standarta likmi, kas tiktu īstenota bez samazinājumiem, to uzņēmumu kopskaitu, kuriem nodoklis vai nodeva tiktu piemērota, vai citus rādītājus, kas atspoguļo faktiskās izmaiņas videi kaitīgā rīcībā.</w:t>
      </w:r>
    </w:p>
  </w:footnote>
  <w:footnote w:id="7">
    <w:p w14:paraId="415B82D4" w14:textId="52C53E38" w:rsidR="00B40F1D" w:rsidRPr="00B40F1D" w:rsidRDefault="00B40F1D">
      <w:pPr>
        <w:pStyle w:val="FootnoteText"/>
      </w:pPr>
      <w:r>
        <w:rPr>
          <w:rStyle w:val="FootnoteReference"/>
        </w:rPr>
        <w:footnoteRef/>
      </w:r>
      <w:r>
        <w:t xml:space="preserve"> </w:t>
      </w:r>
      <w:r>
        <w:tab/>
        <w:t>Šādi līgumi vai saistības cita starpā var attiekties uz enerģijas patēriņa samazināšanu, emisiju un citu piesārņotāju samazināšanu vai jebkādiem citiem vides aizsardzības pasākumiem.</w:t>
      </w:r>
    </w:p>
  </w:footnote>
  <w:footnote w:id="8">
    <w:p w14:paraId="389D3F63" w14:textId="77777777" w:rsidR="00044DC5" w:rsidRDefault="00044DC5">
      <w:pPr>
        <w:pStyle w:val="FootnoteText"/>
      </w:pPr>
      <w:r>
        <w:rPr>
          <w:rStyle w:val="FootnoteReference"/>
        </w:rPr>
        <w:footnoteRef/>
      </w:r>
      <w:r>
        <w:t xml:space="preserve"> </w:t>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9">
    <w:p w14:paraId="1A49E979" w14:textId="13D70967" w:rsidR="00017826" w:rsidRDefault="00017826" w:rsidP="00017826">
      <w:pPr>
        <w:pStyle w:val="FootnoteText"/>
      </w:pPr>
      <w:r>
        <w:rPr>
          <w:rStyle w:val="FootnoteReference"/>
        </w:rPr>
        <w:footnoteRef/>
      </w:r>
      <w:r>
        <w:t xml:space="preserve"> </w:t>
      </w:r>
      <w:r>
        <w:tab/>
        <w:t xml:space="preserve">Papildinformācijas lapas veidne izvērtēšanas plāna paziņošanai (III.8. daļa) ir piekļūstama šeit: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94B6B2F0"/>
    <w:lvl w:ilvl="0" w:tplc="E63AF0AC">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DB2A761C"/>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262C808"/>
    <w:lvl w:ilvl="0" w:tplc="CE5C27E6">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BAB2BA9A"/>
    <w:lvl w:ilvl="0" w:tplc="E63AF0AC">
      <w:start w:val="1"/>
      <w:numFmt w:val="lowerRoman"/>
      <w:lvlText w:val="%1)"/>
      <w:lvlJc w:val="lef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13B675DA"/>
    <w:lvl w:ilvl="0" w:tplc="CE5C27E6">
      <w:start w:val="1"/>
      <w:numFmt w:val="lowerRoman"/>
      <w:lvlText w:val="%1)"/>
      <w:lvlJc w:val="right"/>
      <w:pPr>
        <w:ind w:left="1550" w:hanging="360"/>
      </w:pPr>
      <w:rPr>
        <w:rFonts w:ascii="Times New Roman" w:hAnsi="Times New Roman" w:hint="default"/>
        <w:b w:val="0"/>
        <w:i w:val="0"/>
        <w:sz w:val="24"/>
      </w:rPr>
    </w:lvl>
    <w:lvl w:ilvl="1" w:tplc="04260017">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8230011E"/>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1C7AF4C2"/>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F14A354A"/>
    <w:lvl w:ilvl="0" w:tplc="E63AF0AC">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F8B842DA"/>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940AD6A"/>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7AE88804"/>
    <w:lvl w:ilvl="0" w:tplc="E63AF0AC">
      <w:start w:val="1"/>
      <w:numFmt w:val="lowerRoman"/>
      <w:lvlText w:val="%1)"/>
      <w:lvlJc w:val="left"/>
      <w:pPr>
        <w:ind w:left="1287" w:hanging="360"/>
      </w:pPr>
      <w:rPr>
        <w:rFonts w:ascii="Times New Roman" w:hAnsi="Times New Roman" w:hint="default"/>
        <w:b w:val="0"/>
        <w:i w:val="0"/>
        <w:sz w:val="24"/>
      </w:rPr>
    </w:lvl>
    <w:lvl w:ilvl="1" w:tplc="71EAAB58">
      <w:start w:val="1"/>
      <w:numFmt w:val="lowerLetter"/>
      <w:lvlText w:val="%2)"/>
      <w:lvlJc w:val="left"/>
      <w:pPr>
        <w:ind w:left="2270"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9EC45946"/>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ABDC80E8"/>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AEEAE692"/>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5F2F4E2"/>
    <w:lvl w:ilvl="0" w:tplc="E63AF0AC">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EA0C93FA"/>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553E8988"/>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77D58"/>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1388"/>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2885</Words>
  <Characters>18990</Characters>
  <Application>Microsoft Office Word</Application>
  <DocSecurity>0</DocSecurity>
  <Lines>422</Lines>
  <Paragraphs>159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PAPEDE Inta (DGT)</cp:lastModifiedBy>
  <cp:revision>8</cp:revision>
  <cp:lastPrinted>2022-04-12T14:59:00Z</cp:lastPrinted>
  <dcterms:created xsi:type="dcterms:W3CDTF">2024-08-22T12:39:00Z</dcterms:created>
  <dcterms:modified xsi:type="dcterms:W3CDTF">2024-10-08T12:49:00Z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