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Dio III.6.</w:t>
            </w:r>
          </w:p>
          <w:p w14:paraId="6E9C4C7E" w14:textId="620BA570" w:rsidR="000442F5" w:rsidRPr="009916D5" w:rsidRDefault="001F242D" w:rsidP="007B485D">
            <w:pPr>
              <w:pStyle w:val="Heading2"/>
              <w:spacing w:before="240" w:after="240"/>
              <w:jc w:val="center"/>
              <w:rPr>
                <w:sz w:val="32"/>
                <w:szCs w:val="32"/>
              </w:rPr>
            </w:pPr>
            <w:r>
              <w:rPr>
                <w:sz w:val="32"/>
              </w:rPr>
              <w:t>Obrazac o dodatnim podacima za državne potpore dodijeljene na temelju Smjernica o državnim potporama za klimu, zaštitu okoliša i energiju za 2022. (CEEAG)</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Poglavlje 4.7.1. – Potpore u obliku smanjenja poreza za zaštitu okoliša i parafiskalnih davanja</w:t>
            </w:r>
          </w:p>
        </w:tc>
      </w:tr>
    </w:tbl>
    <w:p w14:paraId="27F0F629" w14:textId="4927A87E" w:rsidR="000442F5" w:rsidRPr="00711243" w:rsidRDefault="000442F5" w:rsidP="004779D5">
      <w:pPr>
        <w:spacing w:before="360" w:after="120"/>
        <w:ind w:right="-142"/>
        <w:jc w:val="both"/>
        <w:rPr>
          <w:i/>
          <w:iCs/>
        </w:rPr>
      </w:pPr>
      <w:r>
        <w:rPr>
          <w:i/>
        </w:rPr>
        <w:t>Obrazac o dodatnim podacima mora se upotrebljavati za prijavu potpore obuhvaćene Smjernicama o državnim potporama za klimu, zaštitu okoliša i energiju za 2022. (dalje u tekstu „CEEAG”).</w:t>
      </w:r>
    </w:p>
    <w:p w14:paraId="622044AE" w14:textId="108684F2" w:rsidR="009E2EA1" w:rsidRPr="00711243" w:rsidRDefault="0072538B" w:rsidP="6EC7D551">
      <w:pPr>
        <w:spacing w:before="120" w:after="120"/>
        <w:ind w:right="-142"/>
        <w:jc w:val="both"/>
        <w:rPr>
          <w:i/>
          <w:iCs/>
        </w:rPr>
      </w:pPr>
      <w:r>
        <w:rPr>
          <w:i/>
        </w:rPr>
        <w:t xml:space="preserve">Obrazac o dodatnim podacima odnosi se na mjere obuhvaćene poglavljem 4.7.1. CEEAG-a. Ako prijava uključuje mjere na koje se odnosi više poglavlja CEEAG-a, nakon što postane dostupan ispunite i odgovarajući obrazac o dodatnim podacima koji se odnosi na odgovarajuće poglavlje CEEAG-a. </w:t>
      </w:r>
    </w:p>
    <w:p w14:paraId="516CA0D8" w14:textId="13E1AC51" w:rsidR="00D85EEE" w:rsidRDefault="009E2EA1" w:rsidP="0BD92DCE">
      <w:pPr>
        <w:spacing w:before="120" w:after="120"/>
        <w:ind w:right="-142"/>
        <w:jc w:val="both"/>
      </w:pPr>
      <w:r>
        <w:rPr>
          <w:i/>
        </w:rPr>
        <w:t>Svi dokumenti koje države članice prilažu obrascu o dodatnim podacima moraju biti označeni brojevima, a brojevi dokumenata navode se u odgovarajućim odjeljcima ovog obrasca o dodatnim podacima.</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Odjeljak A: Sažetak glavnih obilježja mjera</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Kontekst i ciljevi mjera</w:t>
      </w:r>
    </w:p>
    <w:p w14:paraId="7E6887E3" w14:textId="3DC69D1A" w:rsidR="00EA14A3" w:rsidRDefault="00D3344D" w:rsidP="00EA14A3">
      <w:pPr>
        <w:pStyle w:val="ListParagraph"/>
        <w:numPr>
          <w:ilvl w:val="0"/>
          <w:numId w:val="67"/>
        </w:numPr>
        <w:spacing w:after="240"/>
        <w:ind w:left="993" w:hanging="142"/>
        <w:jc w:val="both"/>
      </w:pPr>
      <w:r>
        <w:t xml:space="preserve">Ako se o tome već nije raspravljalo u odjeljku 5.2. obrasca o općim podacima (dio I.), navedite kontekst i glavni cilj, uključujući vezu s eventualnim okolišnim ciljevima Unije koje se mjerom namjerava poduprijeti.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Ako se o tome već nije raspravljalo u odjeljku 5.2. obrasca o općim podacima (dio I.), navedite sve druge ciljeve koji se nastoje postići mjerom. Ako je riječ o ciljevima koji nisu isključivo okolišni, objasnite mogu li dovesti do narušavanja unutarnjeg tržišta.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Stupanje na snagu i trajanje</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Ako već nije navedeno u odjeljku 5.5. obrasca o općim podacima (dio I.), navedite:</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za program potpore: </w:t>
      </w:r>
    </w:p>
    <w:p w14:paraId="0CD61830" w14:textId="744ABE11" w:rsidR="00EA14A3" w:rsidRDefault="00EA14A3" w:rsidP="00023C16">
      <w:pPr>
        <w:pStyle w:val="ListParagraph"/>
        <w:numPr>
          <w:ilvl w:val="2"/>
          <w:numId w:val="114"/>
        </w:numPr>
        <w:spacing w:before="120" w:after="120"/>
        <w:ind w:left="1996" w:hanging="283"/>
        <w:contextualSpacing w:val="0"/>
        <w:jc w:val="both"/>
        <w:rPr>
          <w:szCs w:val="24"/>
        </w:rPr>
      </w:pPr>
      <w:r>
        <w:t>datum od kojeg bi program trebao stupiti na snagu</w:t>
      </w:r>
      <w:r w:rsidR="002929FD">
        <w:t>,</w:t>
      </w:r>
    </w:p>
    <w:p w14:paraId="314E8C0C" w14:textId="77777777" w:rsidR="00755280" w:rsidRPr="009E5420" w:rsidRDefault="00755280" w:rsidP="00755280">
      <w:pPr>
        <w:tabs>
          <w:tab w:val="left" w:leader="dot" w:pos="9072"/>
        </w:tabs>
        <w:spacing w:before="120" w:after="120"/>
        <w:ind w:left="567"/>
        <w:jc w:val="both"/>
      </w:pPr>
      <w:r>
        <w:tab/>
      </w:r>
    </w:p>
    <w:p w14:paraId="6FB99E32" w14:textId="7AFD61BF" w:rsidR="00EA14A3" w:rsidRPr="00A05822" w:rsidRDefault="00EA14A3" w:rsidP="00023C16">
      <w:pPr>
        <w:pStyle w:val="ListParagraph"/>
        <w:numPr>
          <w:ilvl w:val="2"/>
          <w:numId w:val="114"/>
        </w:numPr>
        <w:spacing w:before="120" w:after="120"/>
        <w:ind w:left="1996" w:hanging="283"/>
        <w:contextualSpacing w:val="0"/>
        <w:jc w:val="both"/>
        <w:rPr>
          <w:szCs w:val="24"/>
        </w:rPr>
      </w:pPr>
      <w:r>
        <w:t>trajanje programa</w:t>
      </w:r>
      <w:r>
        <w:rPr>
          <w:rStyle w:val="FootnoteReference"/>
          <w:rFonts w:cs="Arial Unicode MS"/>
          <w:bCs/>
          <w:lang w:bidi="si-LK"/>
        </w:rPr>
        <w:footnoteReference w:id="3"/>
      </w:r>
      <w:r w:rsidR="002929FD">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za pojedinačnu potporu: (planirani) datum dodjele potpore (obećana potpora) i datum plaćanja (datum prvog plaćanja ako su predviđena različita uzastopna plaćanja).</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Korisnici</w:t>
      </w:r>
    </w:p>
    <w:p w14:paraId="5266FC05" w14:textId="60C34F9E" w:rsidR="00BC5DDD" w:rsidRDefault="00CF3861" w:rsidP="00C52CFD">
      <w:pPr>
        <w:pStyle w:val="ListParagraph"/>
        <w:numPr>
          <w:ilvl w:val="0"/>
          <w:numId w:val="68"/>
        </w:numPr>
        <w:spacing w:after="240"/>
        <w:ind w:hanging="229"/>
        <w:jc w:val="both"/>
        <w:rPr>
          <w:szCs w:val="24"/>
        </w:rPr>
      </w:pPr>
      <w:r>
        <w:t>Ako već nisu opisani u odjeljku 3. obrasca o općim podacima (dio I.), opišite (potencijalne) korisnike mjera.</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Navedite lokaciju korisnika (tj. jesu li za sudjelovanje u mjeri prihvatljivi samo gospodarski subjekti koji se nalaze u predmetnoj državi članici ili i oni iz drugih država članica).</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lastRenderedPageBreak/>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Ako se dodjeljuje, navedite podatke o iznosu potpore koji još nije vraćen kako bi ga Komisija uzela u obzir pri ocjeni mjere potpore.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Potvrdite da mjera ne uključuje potporu za djelatnosti koje nisu obuhvaćene područjem primjene CEEAG-a (vidjeti točku 13. CEEAG-a). U protivnom navedite pojedinosti.</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Proračun i financiranje mjera</w:t>
      </w:r>
      <w:bookmarkEnd w:id="2"/>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Ako već nije naveden u tablici u odjeljku 7.1. obrasca o općim podacima (dio I.), navedite godišnji i/ili ukupni proračun za cijelo trajanje mjera, a ako ukupni proračun nije poznat (npr. jer ovisi o rezultatima natječaja), navedite procijenjeni proračun, uključujući pretpostavke na temelju kojih je izračunan</w:t>
      </w:r>
      <w:r>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Budući da se mjera odnosi na porez za zaštitu okoliša / parafiskalno davanje</w:t>
      </w:r>
      <w:r>
        <w:rPr>
          <w:rStyle w:val="FootnoteReference"/>
          <w:rFonts w:cs="Arial Unicode MS"/>
          <w:lang w:bidi="si-LK"/>
        </w:rPr>
        <w:footnoteReference w:id="5"/>
      </w:r>
      <w:r>
        <w:t>, objasnite:</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je li davanje utvrđeno zakonom ili drugim zakonodavnim aktom. Ako jest, navedite relevantan pravni akt, broj i datum donošenja i stupanja na snagu te poveznicu na njega,</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financira li se smanjenje davanja povećanjem naknade za ostale potrošače,</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naplaćuje li se davanje jednako za domaće i uvezene proizvode,</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hoće li prijavljena mjera koristiti jednako domaćim i uvoznim proizvođačima,</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financira li se davanjem mjera u cijelosti ili samo djelomično. Ako se davanjem financira samo djelomično, navedite druge izvore financiranja mjere i njihov odgovarajući udio,</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lastRenderedPageBreak/>
        <w:t>financiraju li se davanjem kojim se financira mjera i druge mjere potpore. Ako je odgovor potvrdan, navedite te mjere.</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Odjeljak B: Ocjena spojivosti potpore</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Pozitivni uvjet: potpora mora olakšavati razvoj gospodarske djelatnosti</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Doprinos razvoju gospodarske djelatnosti, učinak poticaja, obrazloženje potpore i opseg podupiranih djelatnosti</w:t>
            </w:r>
          </w:p>
        </w:tc>
      </w:tr>
    </w:tbl>
    <w:p w14:paraId="2870642B" w14:textId="029644F0" w:rsidR="000442F5" w:rsidRPr="00DB40A5" w:rsidRDefault="000442F5" w:rsidP="7963440A">
      <w:pPr>
        <w:spacing w:before="360" w:after="120"/>
        <w:jc w:val="both"/>
        <w:rPr>
          <w:i/>
          <w:iCs/>
        </w:rPr>
      </w:pPr>
      <w:r>
        <w:rPr>
          <w:i/>
        </w:rPr>
        <w:t>Za unos podataka u ovom odjeljku vidjeti odjeljke 3.1.1. i 3.1.2., ako su primjenjivi na mjere, i odjeljke 4.7.1.1. i 4.7.1.2. (točke od 293. do 296.) CEEAG-a.</w:t>
      </w:r>
      <w:bookmarkStart w:id="4" w:name="_Hlk172821826"/>
      <w:bookmarkEnd w:id="4"/>
      <w:r>
        <w:rPr>
          <w:i/>
        </w:rPr>
        <w:t xml:space="preserv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U članku 107. stavku 3. točki (c) UFEU-a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Ugovora mora pridonositi razvoju određene gospodarske djelatnosti. </w:t>
      </w:r>
    </w:p>
    <w:p w14:paraId="52F709B3" w14:textId="79C6C83F" w:rsidR="00EE2FCC" w:rsidRPr="00864DCD" w:rsidRDefault="00CB486E" w:rsidP="00864DCD">
      <w:pPr>
        <w:pStyle w:val="ListParagraph"/>
        <w:spacing w:before="120" w:after="120"/>
        <w:ind w:left="567"/>
        <w:contextualSpacing w:val="0"/>
        <w:jc w:val="both"/>
      </w:pPr>
      <w:r>
        <w:t>Kako bi se ocijenila usklađenost s točkom 23. CEEAG-a, navedite gospodarske djelatnosti koje će potpora olakšati i način na koji se podupire razvoj tih djelatnosti.</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Može se smatrati da potpora olakšava gospodarsku djelatnost samo ako ima učinak poticaja. Kako bi se ocijenila usklađenost s odjeljkom 3.1.2.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 s obzirom na obrazloženje potpore iz odjeljka 4.7.1.1. CEEAG-a.</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Kako bi se ocijenila usklađenost s točkom 293. CEEAG-a, opišite i. zašto bi „smanjenja poreza za zaštitu okoliša ili parafiskalnih davanja [koja bi] mogla negativno utjecati na cilj zaštite okoliša, mogla [...] ipak biti potrebna” i ii. zašto „bi korisnici u suprotnom bili u toliko nepovoljnom konkurentnom položaju da uopće ne bi bilo izvedivo uvesti porez za zaštitu okoliša ili parafiskalna davanja”.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Kako bi se ocijenila usklađenost s točkom 294. CEEAG-a, opišite</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zašto se „odobravanjem povoljnijeg postupanja prema nekim poduzetnicima može [...] omogućiti postizanje više opće razine doprinosa za zaštitu okoliša ili parafiskalnih davanja”, </w:t>
      </w:r>
    </w:p>
    <w:p w14:paraId="174DA2CF" w14:textId="035147B1" w:rsidR="00830262" w:rsidRDefault="00830262" w:rsidP="00A46DF5">
      <w:pPr>
        <w:tabs>
          <w:tab w:val="left" w:leader="dot" w:pos="9072"/>
        </w:tabs>
        <w:spacing w:before="120" w:after="120"/>
        <w:ind w:left="567"/>
        <w:jc w:val="both"/>
      </w:pPr>
      <w:r>
        <w:tab/>
      </w:r>
    </w:p>
    <w:p w14:paraId="5B5631DF" w14:textId="659BDA7D" w:rsidR="00D22DFA" w:rsidRPr="00FA24AC" w:rsidRDefault="004B0D99" w:rsidP="00A46DF5">
      <w:pPr>
        <w:pStyle w:val="ListParagraph"/>
        <w:numPr>
          <w:ilvl w:val="0"/>
          <w:numId w:val="116"/>
        </w:numPr>
        <w:spacing w:before="120" w:after="120"/>
        <w:ind w:left="1434" w:hanging="357"/>
        <w:jc w:val="both"/>
        <w:rPr>
          <w:szCs w:val="24"/>
        </w:rPr>
      </w:pPr>
      <w:r>
        <w:lastRenderedPageBreak/>
        <w:t xml:space="preserve">zašto se „smanjenjima poreza za zaštitu okoliša ili parafiskalnih davanja može neizravno pridonijeti višoj razini zaštite okoliša” i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kako država članica jamči da se tim smanjenjima ne „[narušava] sveukupni cilj poreza za zaštitu okoliša ili parafiskalnih davanja, a to je odvraćanje od ponašanja kojim se šteti okolišu, i/ili [povećava] cijena takvog ponašanja ako ne postoje zadovoljavajuća alternativna rješenja”.</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Za ocjenu usklađenosti s točkom 295. CEEAG-a navedite informacije kako je opisano u točki 296. CEEAG-a:</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opis sektora ili kategorija korisnika koji ispunjavaju uvjete za smanjenja,</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popis najvećih korisnika u svakom sektoru o kojem je riječ, njihov promet, tržišne udjele, visinu porezne osnovice i udio poreza za zaštitu okoliša ili davanja u njihovoj dobiti prije oporezivanja sa smanjenjem ili bez njega (može biti dostavljeno u posebnom prilogu ovom obrascu o dodatnim podacima),</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opis situacije u kojoj se ti korisnici nalaze i objašnjenje zašto ne bi mogli platiti standardnu stopu poreza za zaštitu okoliša ili davanja,</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objašnjenje načina na koji smanjeni porez ili davanja zapravo mogu pridonijeti povećanju razine zaštite okoliša u odnosu na razinu zaštite okoliša koja bi se postigla bez smanjenja</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Nepostojanje povrede bilo koje relevantne odredbe prava Unije</w:t>
            </w:r>
          </w:p>
        </w:tc>
      </w:tr>
    </w:tbl>
    <w:p w14:paraId="243B3743" w14:textId="21186291" w:rsidR="00DE1D68" w:rsidRDefault="00DE1D68" w:rsidP="00DE1D68">
      <w:pPr>
        <w:spacing w:before="360" w:after="120"/>
        <w:jc w:val="both"/>
        <w:rPr>
          <w:i/>
        </w:rPr>
      </w:pPr>
      <w:r>
        <w:rPr>
          <w:i/>
        </w:rPr>
        <w:t xml:space="preserve">Za unos podataka u ovom odjeljku vidjeti odjeljak 3.1.3. (točka 33.) CEEAG-a.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Unesite podatke koji potvrđuju usklađenost s relevantnim odredbama prava EU-a u skladu s točkom 33. CEEAG-a.</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Ako se za financiranje mjera upotrebljava davanje, pojasnite je li potrebno provesti procjenu usklađenosti s člancima 30. i 110. UFEU-a. Ako jest, dokažite na koji je način mjera u skladu s odredbama članaka 30. i 110. UFEU-a. U tom kontekstu može se uputiti na informacije dostavljene u pitanju </w:t>
      </w:r>
      <w:r>
        <w:fldChar w:fldCharType="begin"/>
      </w:r>
      <w:r>
        <w:instrText xml:space="preserve"> REF _Ref172736116 \w \h </w:instrText>
      </w:r>
      <w:r>
        <w:fldChar w:fldCharType="separate"/>
      </w:r>
      <w:r>
        <w:t>5</w:t>
      </w:r>
      <w:r>
        <w:fldChar w:fldCharType="end"/>
      </w:r>
      <w:r>
        <w:t xml:space="preserve">. točki </w:t>
      </w:r>
      <w:r>
        <w:fldChar w:fldCharType="begin"/>
      </w:r>
      <w:r>
        <w:instrText xml:space="preserve"> REF _Ref172736090 \r \h </w:instrText>
      </w:r>
      <w:r>
        <w:fldChar w:fldCharType="separate"/>
      </w:r>
      <w:r>
        <w:t>ii</w:t>
      </w:r>
      <w:r>
        <w:fldChar w:fldCharType="end"/>
      </w:r>
      <w:r>
        <w:t>.</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lastRenderedPageBreak/>
              <w:t>Negativni uvjet: potpora ne smije imati neopravdan utjecaj na trgovinske uvjete u mjeri u kojoj bi to bilo suprotno zajedničkom interesu</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Svođenje narušavanja tržišnog natjecanja i trgovine na najmanju moguću mjeru</w:t>
            </w:r>
          </w:p>
        </w:tc>
      </w:tr>
    </w:tbl>
    <w:p w14:paraId="40A64058" w14:textId="230E5E86" w:rsidR="00EC33DD" w:rsidRDefault="00EC33DD" w:rsidP="00A46DF5">
      <w:pPr>
        <w:spacing w:before="360" w:after="120"/>
        <w:rPr>
          <w:i/>
          <w:color w:val="000000"/>
        </w:rPr>
      </w:pPr>
      <w:r>
        <w:rPr>
          <w:i/>
          <w:color w:val="000000"/>
        </w:rPr>
        <w:t>Napominjemo da se odjeljci 2.1.1. i 2.1.2. međusobno isključuju. Za slučajeve koji ispunjavaju uvjete za pojednostavnjeni pristup u skladu s odjeljkom 2.1.1. nisu potrebni odgovori iz odjeljka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Pojednostavnjeni pristup za usklađene poreze za zaštitu okoliša</w:t>
            </w:r>
          </w:p>
        </w:tc>
      </w:tr>
    </w:tbl>
    <w:p w14:paraId="3BC9FD96" w14:textId="596445AB" w:rsidR="00877483" w:rsidRDefault="001D4B25" w:rsidP="00506D80">
      <w:pPr>
        <w:spacing w:before="360" w:after="120"/>
        <w:rPr>
          <w:i/>
          <w:color w:val="000000"/>
        </w:rPr>
      </w:pPr>
      <w:r>
        <w:rPr>
          <w:i/>
          <w:color w:val="000000"/>
        </w:rPr>
        <w:t>Za unos podataka u ovom odjeljku vidjeti odjeljak 4.7.1,3. (točke od 297. do 300.) CEEAG-a. Ako su porezi za zaštitu okoliša usklađeni, Komisija može primijeniti pojednostavnjeni pristup kako bi ocijenila nužnost i proporcionalnost potpore. U kontekstu Direktive 2003/96/EZ Komisija može primijeniti pojednostavnjeni pristup za smanjenja poreza poštujući najnižu razinu oporezivanja u Uniji utvrđenu u točkama 298. i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Objasnite jesu li mjere obuhvaćene područjem primjene Direktive 2003/96/EZ.</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Ako je odgovor potvrdan i kako bi se ocijenila usklađenost s točkom 298. CEEAG-a, navedite sljedeće informacije:</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navedite najnižu primjenjivu razinu oporezivanja u Uniji i primjenjivu poreznu stopu koju je korisnik platio u okviru prijavljene mjere,</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navedite i objasnite kriterije za odabir korisnika te objasnite zašto su objektivni i transparentni,</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objasnite i potvrdite da se potpora dodjeljuje na isti način svim poduzetnicima u istom sektoru ako su u sličnoj činjeničnoj situaciji,</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potvrdite da je provedeno </w:t>
      </w:r>
      <w:r>
        <w:rPr>
          <w:i/>
          <w:iCs/>
        </w:rPr>
        <w:t>ex ante</w:t>
      </w:r>
      <w:r>
        <w:t xml:space="preserve"> otvoreno javno savjetovanje u okviru kojeg su točno opisani sektori koji ispunjavaju uvjete za smanjenje te je naveden popis najvećih korisnika za svaki sektor. Dostavite relevantne dokaze za to savjetovanje.</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Kako bi se ocijenila usklađenost s točkom 299. Smjernica:</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objasnite je li potpora dodijeljena u obliku smanjenja porezne stope ili kao fiksni iznos godišnje naknade (povrat poreza) odnosno kao kombinacija tih dviju mogućnosti,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lastRenderedPageBreak/>
        <w:t>ako je potpora (ili dio nje) dodijeljena u obliku povrata poreza, potvrdite da je i. iznos povrata poreza izračunan na temelju povijesnih podataka, tj. razine proizvodnje te potrošnje ili onečišćenja zabilježene za tog poduzetnika u određenoj referentnoj godini, te ii. da razina povrata poreza ne premašuje najmanji iznos oporezivanja u Uniji koji bi se inače trebao platiti za referentnu godinu.</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Detaljna ocjena mjere</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Ako porezi za zaštitu okoliša nisu usklađeni ili korisnici plaćaju manje od najmanje razine usklađenog poreza u Uniji kad je to dopušteno Direktivom 2003/96/EZ, potrebna je detaljna ocjena nužnosti i proporcionalnosti potpore.</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Nužnost potpore</w:t>
            </w:r>
          </w:p>
        </w:tc>
      </w:tr>
    </w:tbl>
    <w:p w14:paraId="3754E3F1" w14:textId="25BB5508" w:rsidR="00663008" w:rsidRPr="00F83660" w:rsidRDefault="6695A805" w:rsidP="6637E879">
      <w:pPr>
        <w:spacing w:before="360" w:after="120"/>
        <w:jc w:val="both"/>
        <w:rPr>
          <w:i/>
          <w:iCs/>
          <w:color w:val="000000"/>
        </w:rPr>
      </w:pPr>
      <w:r>
        <w:rPr>
          <w:i/>
        </w:rPr>
        <w:t>Za unos podataka u ovom odjeljku vidjeti odjeljak 3.2.1.1., ako je primjenjiv na mjere, i odjeljak 4.7.1.3.1. (točke od 301. do 303.) CEEAG-a.</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Kako bi se ocijenila usklađenost s primjenjivim zahtjevima iz odjeljka 3.2.1.1. CEEAG-a, opišite kako su mjere usmjerene na situaciju u kojoj mogu dovesti do bitnog razvoja koji tržište ne može ostvariti samo. U odgovoru navedite primjenjive tržišne nedostatke opisane u točki 34. CEEAG-a i objasnite zašto druge politike i mjere koje su već na snazi, kako je navedeno u točki 35. CEEAG-a, nisu dovoljne za njihovo ispravljanje.</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Kako bi se ocijenila usklađenost s točkom 302. CEEAG-a, opišite jesu li zadovoljeni sljedeći uvjeti:</w:t>
      </w:r>
    </w:p>
    <w:p w14:paraId="1B5AA814" w14:textId="0C243847" w:rsidR="00E05657" w:rsidRDefault="00E05657" w:rsidP="00A46DF5">
      <w:pPr>
        <w:pStyle w:val="ListParagraph"/>
        <w:numPr>
          <w:ilvl w:val="0"/>
          <w:numId w:val="127"/>
        </w:numPr>
        <w:spacing w:before="120" w:after="120"/>
        <w:ind w:left="1434" w:hanging="357"/>
        <w:jc w:val="both"/>
      </w:pPr>
      <w:r>
        <w:t>odabir korisnika temelji se na objektivnim i transparentnim kriterijima, a potpora se dodjeljuje na isti način svim poduzetnicima koji ispunjavaju uvjete, koji posluju u istom sektoru gospodarske djelatnosti i koji su u istoj ili sličnoj činjeničnoj situaciji s obzirom na ciljeve mjere potpore,</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porez za zaštitu okoliša ili parafiskalna davanja bez smanjenja doveli bi do znatnog povećanja troškova proizvodnje izračunanih kao udio bruto dodane vrijednosti za svaki sektor ili kategoriju korisnika (npr. na temelju iznosa reprezentativnih korisnika ili ukupnih iznosa za sektor ili kategoriju korisnika),</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t>znatno povećanje troškova proizvodnje nije se moglo prenijeti na kupce bez znatnih smanjenja obujma prodaje (npr. na temelju upućivanja na tržišno natjecanje s poduzetnicima iz jurisdikcija koje ne podliježu porezu i stupnja zamjenjivosti relevantnog proizvoda).</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lastRenderedPageBreak/>
        <w:t>Za smanjenja poreza za biogoriva, tekuća biogoriva i goriva iz biomase, kako bi se ocijenila usklađenost s točkom 303. CEEAG-a:</w:t>
      </w:r>
    </w:p>
    <w:p w14:paraId="54638E3E" w14:textId="69F50F83" w:rsidR="006E4D23" w:rsidRDefault="00CC0461" w:rsidP="00A46DF5">
      <w:pPr>
        <w:pStyle w:val="ListParagraph"/>
        <w:numPr>
          <w:ilvl w:val="0"/>
          <w:numId w:val="128"/>
        </w:numPr>
        <w:spacing w:before="120" w:after="120"/>
        <w:ind w:left="1434" w:hanging="357"/>
        <w:jc w:val="both"/>
      </w:pPr>
      <w:r>
        <w:t>potvrdite da će biti uspostavljen mehanizam za provjeru je li mjera i dalje nužna, pri čemu se primjenjuju uvjeti nužnosti iz odjeljka 4.1.3.1. CEEAG-a,</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2719E23A" w:rsidR="006E4D23" w:rsidRDefault="00F878EE" w:rsidP="00A46DF5">
      <w:pPr>
        <w:pStyle w:val="ListParagraph"/>
        <w:numPr>
          <w:ilvl w:val="0"/>
          <w:numId w:val="128"/>
        </w:numPr>
        <w:spacing w:before="120" w:after="120"/>
        <w:ind w:left="1434" w:hanging="357"/>
        <w:jc w:val="both"/>
      </w:pPr>
      <w:r>
        <w:t xml:space="preserve">objasnite kako će taj mehanizam funkcionirati i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t>potvrdite da će država članica poduzeti odgovarajuće mjere, kao što je prekid izuzeća ili smanjenje razine potpore, te navedite koje će se odgovarajuće mjere konkretno primijeniti.</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Primjerenost potpore</w:t>
            </w:r>
          </w:p>
        </w:tc>
      </w:tr>
    </w:tbl>
    <w:p w14:paraId="6227BC57" w14:textId="2AC58623" w:rsidR="0009768A" w:rsidRDefault="1626403F" w:rsidP="00AE5E48">
      <w:pPr>
        <w:spacing w:before="360" w:after="120"/>
        <w:jc w:val="both"/>
        <w:rPr>
          <w:i/>
          <w:iCs/>
          <w:color w:val="000000"/>
        </w:rPr>
      </w:pPr>
      <w:r>
        <w:rPr>
          <w:i/>
        </w:rPr>
        <w:t>Za unos podataka u ovom odjeljku vidjeti odjeljak 3.2.1.2., ako je primjenjiv na mjere, i odjeljak 4.7.1.3.2. (točke od 304. do 306.) CEEAG-a.</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Kako bi se ocijenila usklađenost s primjenjivim zahtjevima iz odjeljka 3.2.1.2. CEEAG-a, opišite zašto su mjere primjeren instrument politike za ostvarivanje predviđenog cilja potpore, odnosno ne smije postojati instrument politike i potpore koji manje narušava tržišno natjecanje, a kojim se mogu ostvariti isti rezultati, uzimajući u obzir druge instrumente politike i različite instrumente potpore koji bi se mogli provesti kao alternativa.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Kako bi se ocijenila usklađenost s točkom 305. CEEAG-a, potvrdite i. da je trajanje mjera najviše 10 godina i ii. da će se svaka ponovna prijava temeljiti na ponovnoj procjeni primjerenosti mjera.</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Ako je potpora (ili dio nje) u obliku povrata poreza, kako bi se ocijenila usklađenost s točkom 306. CEEAG-a, potvrdite da će se iznos povrata poreza izračunati na temelju povijesnih podataka, odnosno razine proizvodnje te potrošnje ili onečišćenja zabilježene za tog poduzetnika u određenoj referentnoj godini.</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Proporcionalnost potpore</w:t>
            </w:r>
          </w:p>
        </w:tc>
      </w:tr>
    </w:tbl>
    <w:p w14:paraId="322B0DC4" w14:textId="2E7D7E33" w:rsidR="00863406" w:rsidRPr="00FC6878" w:rsidRDefault="00863406" w:rsidP="2368A16B">
      <w:pPr>
        <w:spacing w:before="360" w:after="120"/>
        <w:jc w:val="both"/>
        <w:rPr>
          <w:i/>
          <w:iCs/>
        </w:rPr>
      </w:pPr>
      <w:r>
        <w:rPr>
          <w:i/>
        </w:rPr>
        <w:t xml:space="preserve">Za unos podataka u ovom odjeljku vidjeti odjeljak 4.7.1.3.3. (točke od 307. do 309.) CEEAG-a.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Kako bi se ocijenila usklađenost s točkom 308. CEEAG-a (mora biti ispunjen barem jedan od sljedećih uvjeta), navedite jednu od sljedećih informacija:</w:t>
      </w:r>
      <w:bookmarkEnd w:id="8"/>
    </w:p>
    <w:p w14:paraId="07E9565A" w14:textId="5F95AEC5" w:rsidR="006F256F" w:rsidRDefault="270F0651" w:rsidP="00A46DF5">
      <w:pPr>
        <w:pStyle w:val="ListParagraph"/>
        <w:numPr>
          <w:ilvl w:val="0"/>
          <w:numId w:val="129"/>
        </w:numPr>
        <w:spacing w:before="120" w:after="120"/>
        <w:ind w:left="1434" w:hanging="357"/>
        <w:jc w:val="both"/>
      </w:pPr>
      <w:r>
        <w:lastRenderedPageBreak/>
        <w:t>navedite plaća li svaki korisnik najmanje 20 % nominalnog iznosa poreza za zaštitu okoliša ili parafiskalnih davanja koje bi taj korisnik inače morao platiti bez smanjenja,</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ili navedite vrijedi li jedno od sljedećeg: i. smanjenje poreza ili davanja ne premašuje 100 % nacionalnog poreza za zaštitu okoliša ili parafiskalnih davanja, ii. smanjenje poreza ili davanja uvjetovano je sklapanjem sporazuma između države članice i korisnika ili udruženja korisnika kojima se korisnici ili udruženja korisnika obvezuju da će ostvariti ciljeve zaštite okoliša koji imaju isti učinak kao da su korisnici ili udruženja korisnika platili najmanje 20 % nacionalnog poreza ili davanja</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Pri pozivanju na opciju ii. iz pitanja </w:t>
      </w:r>
      <w:r>
        <w:fldChar w:fldCharType="begin"/>
      </w:r>
      <w:r>
        <w:instrText xml:space="preserve"> REF _Ref172812423 \w \h </w:instrText>
      </w:r>
      <w:r>
        <w:fldChar w:fldCharType="separate"/>
      </w:r>
      <w:r>
        <w:t>22</w:t>
      </w:r>
      <w:r>
        <w:fldChar w:fldCharType="end"/>
      </w:r>
      <w:r>
        <w:t>., kako bi se ocijenila usklađenost s točkom 309. CEEAG-a, opišite:</w:t>
      </w:r>
    </w:p>
    <w:p w14:paraId="02DB823F" w14:textId="1AC5E3AC" w:rsidR="00E72A73" w:rsidRDefault="00E72A73" w:rsidP="00A46DF5">
      <w:pPr>
        <w:pStyle w:val="ListParagraph"/>
        <w:numPr>
          <w:ilvl w:val="0"/>
          <w:numId w:val="130"/>
        </w:numPr>
        <w:spacing w:before="120" w:after="120"/>
        <w:ind w:left="1434" w:hanging="357"/>
        <w:jc w:val="both"/>
      </w:pPr>
      <w:r>
        <w:t>sadržaj primjenjivih sporazuma, uključujući posebne ciljeve i fiksne rokove za njihovo ostvarivanje,</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kako će se osigurati neovisno i redovito praćenje obveza iz sporazuma,</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kako se sporazumi periodički preispituju s obzirom na tehnološki i drugi razvoj te kako se njima propisuju učinkovite kazne u slučaju neispunjenja obveza.</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Zbrajanje</w:t>
            </w:r>
          </w:p>
        </w:tc>
      </w:tr>
    </w:tbl>
    <w:p w14:paraId="56B46737" w14:textId="5C12CBC3" w:rsidR="001D0CD2" w:rsidRPr="001D0CD2" w:rsidRDefault="00B21377" w:rsidP="001D0CD2">
      <w:pPr>
        <w:spacing w:before="360" w:after="120"/>
        <w:jc w:val="both"/>
        <w:rPr>
          <w:i/>
          <w:iCs/>
        </w:rPr>
      </w:pPr>
      <w:r>
        <w:rPr>
          <w:i/>
        </w:rPr>
        <w:t>Za unos podataka u ovom odjeljku vidjeti točke 56. i 57. CEEAG-a.</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Ako to već niste naveli u dijelu I. općeg obrasca prijave i kako bi se provjerila </w:t>
      </w:r>
      <w:r>
        <w:rPr>
          <w:i/>
        </w:rPr>
        <w:t>usklađenost</w:t>
      </w:r>
      <w:r>
        <w:t xml:space="preserve"> s točkom 56. CEEAG-a, objasnite može li se potpora u okviru mjere dodijeliti istodobno u okviru nekoliko programa potpore ili zbrojiti s jednokratnim ili </w:t>
      </w:r>
      <w:r>
        <w:rPr>
          <w:i/>
        </w:rPr>
        <w:t>de minimis</w:t>
      </w:r>
      <w:r>
        <w:t xml:space="preserve"> potporama za iste prihvatljive troškove. Ako je tako, navedite pojedinosti o tim programima potpore, jednokratnim potporama ili </w:t>
      </w:r>
      <w:r>
        <w:rPr>
          <w:i/>
          <w:iCs/>
        </w:rPr>
        <w:t>de minimis</w:t>
      </w:r>
      <w:r>
        <w:t xml:space="preserve"> potporama te o tome kako će se potpora zbrajati.</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Ako se primjenjuje točka 56. CEEAG-a, obrazložite kako ukupni iznos potpore dodijeljene u okviru mjera za projekt ili djelatnost ne dovodi do prekomjerne naknade ili ne premašuje maksimalni iznos potpore dopušten u skladu s točkom 308. CEEAG-a. Za svaku mjeru s kojom se potpora dodijeljena u okviru mjera potpore može zbrajati, navedite metodu kojom se osigurala usklađenost s uvjetima utvrđenima u točki 56. CEEAG-a. </w:t>
      </w:r>
    </w:p>
    <w:p w14:paraId="18DEA4DD" w14:textId="77777777" w:rsidR="007257F0" w:rsidRPr="00EE2D70" w:rsidRDefault="007257F0" w:rsidP="007257F0">
      <w:pPr>
        <w:tabs>
          <w:tab w:val="left" w:leader="dot" w:pos="9072"/>
        </w:tabs>
        <w:spacing w:before="120" w:after="120"/>
        <w:ind w:left="567"/>
        <w:jc w:val="both"/>
      </w:pPr>
      <w:r>
        <w:lastRenderedPageBreak/>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Ako se primjenjuje točka 57. CEEAG-a, tj. potpora dodijeljena u okviru mjera kombinira se s financijskim sredstvima Unije kojima se centralizirano upravlja</w:t>
      </w:r>
      <w:r>
        <w:rPr>
          <w:vertAlign w:val="superscript"/>
        </w:rPr>
        <w:footnoteReference w:id="8"/>
      </w:r>
      <w:r>
        <w:t xml:space="preserve"> (koja nisu državna potpora), obrazložite kako ukupni iznos javnog financiranja dodijeljenog za iste prihvatljive troškove ne dovodi do prekomjerne naknade.</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Transparentnost</w:t>
            </w:r>
          </w:p>
        </w:tc>
      </w:tr>
    </w:tbl>
    <w:p w14:paraId="30CC4C47" w14:textId="5C8853FB" w:rsidR="006773CE" w:rsidRPr="007C0A44" w:rsidRDefault="006773CE" w:rsidP="2368A16B">
      <w:pPr>
        <w:spacing w:before="360" w:after="120"/>
        <w:jc w:val="both"/>
        <w:rPr>
          <w:i/>
          <w:iCs/>
        </w:rPr>
      </w:pPr>
      <w:r>
        <w:rPr>
          <w:i/>
        </w:rPr>
        <w:t xml:space="preserve">Za unos podataka u ovom odjeljku vidjeti odjeljak 3.2.1.4. (točke od 58. do 62.) CEEAG-a.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Potvrdite da će država članica ispuniti zahtjeve za transparentnost navedene u točkama od 58. do 61. CEEAG-a.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Navedite poveznicu na internetske stranice na kojima će biti objavljen cjeloviti tekst odobrenog programa potpore ili odluke o dodjeli pojedinačne potpore i njezinih provedbenih odredbi ili informacije o svakoj pojedinačnoj potpori dodijeljenoj jednokratno ili u okviru programa potpora odobrenog na temelju tih smjernica i koja premašuje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2929FD"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Izbjegavanje nepotrebnih negativnih učinaka na tržišno natjecanje i trgovinu</w:t>
            </w:r>
          </w:p>
        </w:tc>
      </w:tr>
    </w:tbl>
    <w:p w14:paraId="6F1494DE" w14:textId="5F2BAE4F" w:rsidR="00A80F29" w:rsidRPr="00B215FD" w:rsidRDefault="00A80F29" w:rsidP="00A80F29">
      <w:pPr>
        <w:spacing w:before="360" w:after="120"/>
        <w:jc w:val="both"/>
        <w:rPr>
          <w:i/>
          <w:iCs/>
        </w:rPr>
      </w:pPr>
      <w:r>
        <w:rPr>
          <w:i/>
        </w:rPr>
        <w:t>Za unos podataka u ovom odjeljku vidjeti odjeljak 3.2.2. CEEAG-a ako je primjenjiv na mjere.</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Kako bi se ocijenila usklađenost s primjenjivim zahtjevima iz odjeljka 3.2.2. CEEAG-a, opišite kako se mjerom ublažavaju svi očiti negativni učinci na tržišno natjecanje i trgovinu.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Kako bi se ocijenila usklađenost s točkom 70. CEEAG-a:</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ako to već niste učinili u odgovoru na pitanje </w:t>
      </w:r>
      <w:r>
        <w:fldChar w:fldCharType="begin"/>
      </w:r>
      <w:r>
        <w:instrText xml:space="preserve"> REF _Ref175221297 \r \h </w:instrText>
      </w:r>
      <w:r>
        <w:fldChar w:fldCharType="separate"/>
      </w:r>
      <w:r>
        <w:t>20</w:t>
      </w:r>
      <w:r>
        <w:fldChar w:fldCharType="end"/>
      </w:r>
      <w:r>
        <w:t xml:space="preserve">., potvrdite da program traje najviše 10 godina od datuma objave odluke Komisije kojom se potpora proglašava spojivom,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potvrdite da će za produljenje trajanja mjere nakon isteka tog maksimalnog razdoblja biti potrebna nova obavijest o mjeri ili mjerama.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Razmatranje pozitivnih učinaka potpore u odnosu na negativne učinke na tržišno natjecanje i trgovinu</w:t>
            </w:r>
          </w:p>
        </w:tc>
      </w:tr>
    </w:tbl>
    <w:p w14:paraId="3513408C" w14:textId="56B6BA12" w:rsidR="00265702" w:rsidRPr="00863406" w:rsidRDefault="00265702" w:rsidP="2368A16B">
      <w:pPr>
        <w:spacing w:before="360" w:after="120"/>
        <w:jc w:val="both"/>
        <w:rPr>
          <w:i/>
          <w:iCs/>
          <w:color w:val="000000"/>
        </w:rPr>
      </w:pPr>
      <w:r>
        <w:rPr>
          <w:i/>
        </w:rPr>
        <w:t>Za unos podataka u ovom odjeljku vidjeti odjeljak 3.3. (točke od 71. do 76.) ako je primjenjiv na mjere.</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Kako bi se ocijenila usklađenost s primjenjivim zahtjevima iz odjeljka 3.3. CEEAG-a:</w:t>
      </w:r>
    </w:p>
    <w:p w14:paraId="3EA00BDB" w14:textId="1514E259" w:rsidR="004B2EF3" w:rsidRPr="00564B1B" w:rsidRDefault="00A24718" w:rsidP="00A46DF5">
      <w:pPr>
        <w:pStyle w:val="ListParagraph"/>
        <w:numPr>
          <w:ilvl w:val="0"/>
          <w:numId w:val="132"/>
        </w:numPr>
        <w:spacing w:before="120" w:after="120"/>
        <w:ind w:left="1434" w:hanging="357"/>
        <w:jc w:val="both"/>
      </w:pPr>
      <w:r>
        <w:t>obrazložite kako općenito pozitivni učinci mjera općenito nadmašuju negativne učinke,</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kad je riječ o primjeni točke 75. CEEAG-a, objasnite uključuju li mjere značajke koje olakšavaju sudjelovanje MSP-ova. Ako je odgovor potvrdan, navedite podatke o tim značajkama i obrazložite kako pozitivni učinci osiguravanja sudjelovanja i prihvaćanja MSP-ova u mjerama nadmašuju moguće narušavajuće učinke,</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kad je riječ o primjeni točke 76. podtočke (c) CEEAG-a, navedite podliježe li mjera potpore vremenskom ograničenju.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Odjeljak C: Evaluacija</w:t>
            </w:r>
          </w:p>
        </w:tc>
      </w:tr>
    </w:tbl>
    <w:p w14:paraId="6A4ADF8D" w14:textId="77777777" w:rsidR="00C33721" w:rsidRPr="006725F7" w:rsidRDefault="00C33721" w:rsidP="006725F7">
      <w:pPr>
        <w:spacing w:before="360" w:after="120"/>
        <w:jc w:val="both"/>
        <w:rPr>
          <w:i/>
          <w:iCs/>
          <w:color w:val="000000"/>
        </w:rPr>
      </w:pPr>
      <w:r>
        <w:rPr>
          <w:i/>
          <w:color w:val="000000"/>
        </w:rPr>
        <w:t>Za unos podataka u ovom odjeljku vidjeti točku 76. podtočku (a) i poglavlje 5. (točke od 455. do 463.) CEEAG-a.</w:t>
      </w:r>
    </w:p>
    <w:p w14:paraId="61A6C035" w14:textId="1219DDD6" w:rsidR="00017826" w:rsidRPr="00017826" w:rsidRDefault="00017826" w:rsidP="00017826">
      <w:pPr>
        <w:numPr>
          <w:ilvl w:val="0"/>
          <w:numId w:val="50"/>
        </w:numPr>
        <w:spacing w:before="120" w:after="120"/>
        <w:ind w:left="567" w:hanging="567"/>
        <w:jc w:val="both"/>
      </w:pPr>
      <w:r>
        <w:t>Ako mjere premašuju pragove proračuna/rashoda iz točke 456. CEEAG-a, objasnite zašto država članica smatra da bi se trebalo primjenjivati odstupanje iz točke 457. CEEAG-a ili ovom obrascu o dodatnim podacima priložite nacrt plana evaluacije</w:t>
      </w:r>
      <w:r>
        <w:rPr>
          <w:vertAlign w:val="superscript"/>
          <w:lang w:eastAsia="en-GB"/>
        </w:rPr>
        <w:footnoteReference w:id="9"/>
      </w:r>
      <w:r>
        <w:t xml:space="preserve"> koji obuhvaća područje primjene navedeno u točki 458. CEEAG-a.</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Ako je dostavljen nacrt plana evaluacije:</w:t>
      </w:r>
    </w:p>
    <w:p w14:paraId="4C066F02" w14:textId="4C06AB69" w:rsidR="00017826" w:rsidRPr="00017826" w:rsidRDefault="00017826" w:rsidP="00017826">
      <w:pPr>
        <w:numPr>
          <w:ilvl w:val="0"/>
          <w:numId w:val="120"/>
        </w:numPr>
        <w:spacing w:before="120" w:after="120"/>
        <w:jc w:val="both"/>
      </w:pPr>
      <w:r>
        <w:t>sažeto opišite nacrt plana evaluacije iz Priloga,</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potvrdite da će se poštovati točka 460. CEEAG-a,</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navedite datum i poveznicu na internetske stranice na kojima će plan evaluacije biti javno dostupan.</w:t>
      </w:r>
    </w:p>
    <w:p w14:paraId="44F1E213" w14:textId="77777777" w:rsidR="00017826" w:rsidRPr="00017826" w:rsidRDefault="00017826" w:rsidP="0006694C">
      <w:pPr>
        <w:spacing w:before="120" w:after="120"/>
        <w:ind w:left="567"/>
        <w:jc w:val="both"/>
      </w:pPr>
      <w:r>
        <w:lastRenderedPageBreak/>
        <w:t xml:space="preserve">…………………………………………………………………………………. </w:t>
      </w:r>
    </w:p>
    <w:p w14:paraId="0E7ACFE4" w14:textId="5873DB0A" w:rsidR="00017826" w:rsidRPr="00017826" w:rsidRDefault="00017826" w:rsidP="00017826">
      <w:pPr>
        <w:numPr>
          <w:ilvl w:val="0"/>
          <w:numId w:val="50"/>
        </w:numPr>
        <w:spacing w:before="120" w:after="120"/>
        <w:ind w:left="567" w:hanging="567"/>
        <w:jc w:val="both"/>
      </w:pPr>
      <w:r>
        <w:t xml:space="preserve">Kako bi se ocijenila usklađenost s točkom 459. podtočkom (b) CEEAG-a, ako za program potpore trenutačno nije potrebna </w:t>
      </w:r>
      <w:r>
        <w:rPr>
          <w:i/>
          <w:iCs/>
        </w:rPr>
        <w:t>ex post</w:t>
      </w:r>
      <w:r>
        <w:t xml:space="preserve"> evaluacija, a traje dulje od tri godine, potvrdite da će država članica dostaviti nacrt plana evaluacije u roku od 30 radnih dana nakon znatne izmjene kojom se proračun programa povećava na više od 150 milijuna EUR u bilo kojoj godini ili 750 milijuna EUR tijekom ukupnog trajanja programa.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Kako bi se ocijenila usklađenost s točkom 459. podtočkom (c) CEEAG-a, ako za program potpore trenutačno nije potrebna </w:t>
      </w:r>
      <w:r>
        <w:rPr>
          <w:i/>
          <w:iCs/>
        </w:rPr>
        <w:t>ex post</w:t>
      </w:r>
      <w:r>
        <w:t xml:space="preserve"> evaluacija, u nastavku potvrdite da se država članica obvezuje dostaviti nacrt plana evaluacije u roku od 30 radnih dana nakon što su u službenoj računovodstvenoj dokumentaciji uknjiženi rashodi veći od 150 milijuna EUR u prethodnoj godini.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Kako bi se ocijenila usklađenost s točkom 461. CEEAG-a:</w:t>
      </w:r>
    </w:p>
    <w:p w14:paraId="3B57C2B7" w14:textId="77777777" w:rsidR="00017826" w:rsidRPr="00017826" w:rsidRDefault="00017826" w:rsidP="00017826">
      <w:pPr>
        <w:numPr>
          <w:ilvl w:val="0"/>
          <w:numId w:val="121"/>
        </w:numPr>
        <w:spacing w:before="120" w:after="120"/>
        <w:jc w:val="both"/>
      </w:pPr>
      <w:r>
        <w:t>navedite je li neovisni stručnjak već odabran ili će biti odabran u budućnosti,</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unesite podatke o postupku odabira stručnjaka,</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obrazložite na koji je način stručnjak neovisan o davatelju potpore.</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Kako bi se dodatno ocijenila usklađenost s točkom 461. CEEAG-a: </w:t>
      </w:r>
    </w:p>
    <w:p w14:paraId="2E5EF1CD" w14:textId="59962384" w:rsidR="00017826" w:rsidRPr="00017826" w:rsidRDefault="00017826" w:rsidP="00017826">
      <w:pPr>
        <w:numPr>
          <w:ilvl w:val="0"/>
          <w:numId w:val="122"/>
        </w:numPr>
        <w:spacing w:before="120" w:after="120"/>
        <w:jc w:val="both"/>
      </w:pPr>
      <w:r>
        <w:t>Navedite predložene rokove države članice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za evaluaciju aktivira u posljednje dvije godine provedbe.</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Potvrdite da će privremeno i završno izvješće o evaluaciji biti javno objavljeno. Unesite datum i poveznicu na internetske stranice na kojima će ta izvješća biti javno dostupna.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Odjeljak D: Izvješćivanje i praćenje</w:t>
            </w:r>
          </w:p>
        </w:tc>
      </w:tr>
    </w:tbl>
    <w:p w14:paraId="6975FD00" w14:textId="7876D36D" w:rsidR="006725F7" w:rsidRPr="006725F7" w:rsidRDefault="006725F7" w:rsidP="006725F7">
      <w:pPr>
        <w:spacing w:before="360" w:after="120"/>
        <w:jc w:val="both"/>
        <w:rPr>
          <w:i/>
          <w:iCs/>
          <w:color w:val="000000"/>
        </w:rPr>
      </w:pPr>
      <w:r>
        <w:rPr>
          <w:i/>
          <w:color w:val="000000"/>
        </w:rPr>
        <w:t>Za unos podataka u ovom odjeljku vidjeti odjeljak 6. (točke 464. i 465.) CEEAG-a.</w:t>
      </w:r>
    </w:p>
    <w:p w14:paraId="29B090CF" w14:textId="307F0833" w:rsidR="004B0C34" w:rsidRPr="0051324D" w:rsidRDefault="006725F7" w:rsidP="006725F7">
      <w:pPr>
        <w:numPr>
          <w:ilvl w:val="0"/>
          <w:numId w:val="50"/>
        </w:numPr>
        <w:spacing w:before="120" w:after="120"/>
        <w:ind w:left="567" w:hanging="567"/>
        <w:jc w:val="both"/>
      </w:pPr>
      <w:r>
        <w:t>Potvrdite da će država članica ispuniti zahtjeve za izvješćivanje i praćenje iz odjeljka 6. točaka 464. i 465. CEEAG-a.</w:t>
      </w:r>
    </w:p>
    <w:p w14:paraId="60F22464" w14:textId="74DA9173" w:rsidR="00697188" w:rsidRPr="00711243" w:rsidRDefault="004B0C34" w:rsidP="006725F7">
      <w:pPr>
        <w:tabs>
          <w:tab w:val="left" w:leader="dot" w:pos="9072"/>
        </w:tabs>
        <w:spacing w:before="120" w:after="120"/>
        <w:ind w:left="567"/>
        <w:jc w:val="both"/>
      </w:pPr>
      <w:r>
        <w:lastRenderedPageBreak/>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SL C 80, 18.2.2022., str. 1.</w:t>
      </w:r>
    </w:p>
  </w:footnote>
  <w:footnote w:id="3">
    <w:p w14:paraId="0B630B34" w14:textId="1A949931" w:rsidR="00EA14A3" w:rsidRDefault="00EA14A3" w:rsidP="00EA14A3">
      <w:pPr>
        <w:pStyle w:val="FootnoteText"/>
      </w:pPr>
      <w:r>
        <w:rPr>
          <w:rStyle w:val="FootnoteReference"/>
        </w:rPr>
        <w:footnoteRef/>
      </w:r>
      <w:r>
        <w:t xml:space="preserve"> </w:t>
      </w:r>
      <w:r>
        <w:tab/>
        <w:t xml:space="preserve">Napominjemo da se za program potpore trajanje odnosi na razdoblje tijekom kojeg se može podnijeti zahtjev za potporu i u kojem se o njemu odlučuje (uključuje i vrijeme koje je tijelima potrebno za odobravanje zahtjeva za potporu). Trajanje navedeno u ovom pitanju ne odnosi se na trajanje ugovora sklopljenih u okviru programa potpore, koje se može nastaviti i nakon isteka mjere. </w:t>
      </w:r>
    </w:p>
  </w:footnote>
  <w:footnote w:id="4">
    <w:p w14:paraId="3A1CFF23" w14:textId="4C37DE38" w:rsidR="0091313C" w:rsidRPr="0067348B" w:rsidRDefault="0091313C" w:rsidP="0091313C">
      <w:pPr>
        <w:pStyle w:val="FootnoteText"/>
      </w:pPr>
      <w:r>
        <w:rPr>
          <w:rStyle w:val="FootnoteReference"/>
        </w:rPr>
        <w:footnoteRef/>
      </w:r>
      <w:r>
        <w:tab/>
        <w:t>Napominjemo da promjena stvarnog ili procijenjenog proračuna može činiti izmjenu potpore za koju je potrebno podnijeti novu prijavu.</w:t>
      </w:r>
    </w:p>
  </w:footnote>
  <w:footnote w:id="5">
    <w:p w14:paraId="74B9E2E9" w14:textId="09EFDCF0" w:rsidR="007B4268" w:rsidRPr="007B4268" w:rsidRDefault="007B4268">
      <w:pPr>
        <w:pStyle w:val="FootnoteText"/>
      </w:pPr>
      <w:r>
        <w:rPr>
          <w:rStyle w:val="FootnoteReference"/>
        </w:rPr>
        <w:footnoteRef/>
      </w:r>
      <w:r>
        <w:t xml:space="preserve"> </w:t>
      </w:r>
      <w:r>
        <w:tab/>
        <w:t>Upućivanja na „pristojbe” u ovom potpitanju trebalo bi tumačiti tako da obuhvaćaju i poreze za zaštitu okoliša.</w:t>
      </w:r>
    </w:p>
  </w:footnote>
  <w:footnote w:id="6">
    <w:p w14:paraId="771807DF" w14:textId="77777777" w:rsidR="004B0D99" w:rsidRPr="00FC5A51" w:rsidRDefault="004B0D99" w:rsidP="004B0D99">
      <w:pPr>
        <w:pStyle w:val="FootnoteText"/>
      </w:pPr>
      <w:r>
        <w:rPr>
          <w:rStyle w:val="FootnoteReference"/>
        </w:rPr>
        <w:footnoteRef/>
      </w:r>
      <w:r>
        <w:t xml:space="preserve"> </w:t>
      </w:r>
      <w:r>
        <w:tab/>
        <w:t>Na primjer uspoređivanjem standardne stope koja bi se primijenila sa smanjenjem ili bez njega, ukupnog broja poduzeća koja bi podlijegala porezu ili davanjima ili drugih pokazatelja koji odražavaju stvarne promjene u ponašanju koje je štetno za okoliš.</w:t>
      </w:r>
    </w:p>
  </w:footnote>
  <w:footnote w:id="7">
    <w:p w14:paraId="415B82D4" w14:textId="52C53E38" w:rsidR="00B40F1D" w:rsidRPr="00B40F1D" w:rsidRDefault="00B40F1D">
      <w:pPr>
        <w:pStyle w:val="FootnoteText"/>
      </w:pPr>
      <w:r>
        <w:rPr>
          <w:rStyle w:val="FootnoteReference"/>
        </w:rPr>
        <w:footnoteRef/>
      </w:r>
      <w:r>
        <w:t xml:space="preserve"> </w:t>
      </w:r>
      <w:r>
        <w:tab/>
        <w:t>Ti sporazumi ili obveze mogu se među ostalim odnositi na smanjenje potrošnje energije, smanjenje emisija i drugih onečišćujućih tvari ili bilo koju drugu mjeru zaštite okoliša.</w:t>
      </w:r>
    </w:p>
  </w:footnote>
  <w:footnote w:id="8">
    <w:p w14:paraId="389D3F63" w14:textId="77777777" w:rsidR="00044DC5" w:rsidRDefault="00044DC5">
      <w:pPr>
        <w:pStyle w:val="FootnoteText"/>
      </w:pPr>
      <w:r>
        <w:rPr>
          <w:rStyle w:val="FootnoteReference"/>
        </w:rPr>
        <w:footnoteRef/>
      </w:r>
      <w:r>
        <w:t xml:space="preserve"> </w:t>
      </w:r>
      <w:r>
        <w:tab/>
        <w:t>Financijska sredstva Unije kojima se centralizirano upravlja su financijska sredstva Unije kojima centralizirano upravljaju institucije, agencije, zajednička poduzeća ili ostala tijela Europske unije i koja nisu izravno ili neizravno pod kontrolom država članica.</w:t>
      </w:r>
    </w:p>
  </w:footnote>
  <w:footnote w:id="9">
    <w:p w14:paraId="1A49E979" w14:textId="2708855E" w:rsidR="00017826" w:rsidRDefault="00017826" w:rsidP="00017826">
      <w:pPr>
        <w:pStyle w:val="FootnoteText"/>
      </w:pPr>
      <w:r>
        <w:rPr>
          <w:rStyle w:val="FootnoteReference"/>
        </w:rPr>
        <w:footnoteRef/>
      </w:r>
      <w:r>
        <w:t xml:space="preserve"> </w:t>
      </w:r>
      <w:r>
        <w:tab/>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https://competition-policy.ec.europa.eu/state-aid/legislation/forms-notifications-and-reporting_en#evaluation-plan</w:t>
        </w:r>
      </w:hyperlink>
      <w:r w:rsidR="002929FD">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29F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77D26"/>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3267</Words>
  <Characters>18236</Characters>
  <Application>Microsoft Office Word</Application>
  <DocSecurity>0</DocSecurity>
  <Lines>225</Lines>
  <Paragraphs>131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SIMUDVARAC Maja (DGT)</cp:lastModifiedBy>
  <cp:revision>2</cp:revision>
  <cp:lastPrinted>2022-04-12T14:59:00Z</cp:lastPrinted>
  <dcterms:created xsi:type="dcterms:W3CDTF">2024-10-07T12:52:00Z</dcterms:created>
  <dcterms:modified xsi:type="dcterms:W3CDTF">2024-10-07T12:52:00Z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