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61D746A6" w14:textId="759CC1BC" w:rsidR="004569F7" w:rsidRDefault="00FA1F8A" w:rsidP="007B485D">
            <w:pPr>
              <w:pStyle w:val="Heading2"/>
              <w:spacing w:before="240" w:after="240"/>
              <w:jc w:val="center"/>
              <w:rPr>
                <w:sz w:val="32"/>
                <w:szCs w:val="32"/>
              </w:rPr>
            </w:pPr>
            <w:bookmarkStart w:id="0" w:name="_Toc414370364"/>
            <w:bookmarkStart w:id="1" w:name="_Toc416949016"/>
            <w:r>
              <w:rPr>
                <w:sz w:val="32"/>
              </w:rPr>
              <w:t xml:space="preserve">Osa III.6 </w:t>
            </w:r>
          </w:p>
          <w:p w14:paraId="1C239D2C" w14:textId="25225CC9" w:rsidR="000442F5" w:rsidRPr="009916D5" w:rsidRDefault="004569F7" w:rsidP="007B485D">
            <w:pPr>
              <w:pStyle w:val="Heading2"/>
              <w:spacing w:before="240" w:after="240"/>
              <w:jc w:val="center"/>
              <w:rPr>
                <w:sz w:val="32"/>
                <w:szCs w:val="32"/>
              </w:rPr>
            </w:pPr>
            <w:r>
              <w:rPr>
                <w:sz w:val="32"/>
              </w:rPr>
              <w:t>Päivitetty* Lisätietolomake – Ilmastotoimiin, ympäristönsuojeluun ja energia-alalle myönnettävää valtiontukea koskevien vuoden 2022 suuntaviivojen</w:t>
            </w:r>
            <w:r>
              <w:rPr>
                <w:sz w:val="32"/>
                <w:szCs w:val="32"/>
                <w:vertAlign w:val="superscript"/>
              </w:rPr>
              <w:footnoteReference w:id="2"/>
            </w:r>
            <w:r>
              <w:rPr>
                <w:sz w:val="32"/>
              </w:rPr>
              <w:t xml:space="preserve"> mukaisesti myönnetty valtiontuki </w:t>
            </w:r>
            <w:bookmarkEnd w:id="0"/>
            <w:bookmarkEnd w:id="1"/>
          </w:p>
          <w:p w14:paraId="6C6A60C7" w14:textId="431AC8F9" w:rsidR="002B52B3" w:rsidRDefault="002B52B3" w:rsidP="00A31B5C">
            <w:pPr>
              <w:jc w:val="center"/>
              <w:rPr>
                <w:sz w:val="32"/>
                <w:szCs w:val="32"/>
              </w:rPr>
            </w:pPr>
            <w:r>
              <w:rPr>
                <w:sz w:val="32"/>
              </w:rPr>
              <w:t>4.8 luku – Tuki sähkön toimitusvarmuuden parantamiseen</w:t>
            </w:r>
          </w:p>
          <w:p w14:paraId="243D1A50" w14:textId="77777777" w:rsidR="004569F7" w:rsidRDefault="004569F7" w:rsidP="00A31B5C">
            <w:pPr>
              <w:jc w:val="center"/>
            </w:pPr>
          </w:p>
          <w:p w14:paraId="469DC4EF" w14:textId="68811B32" w:rsidR="004569F7" w:rsidRPr="00711243" w:rsidRDefault="004569F7" w:rsidP="00653DDC">
            <w:pPr>
              <w:numPr>
                <w:ilvl w:val="0"/>
                <w:numId w:val="64"/>
              </w:numPr>
            </w:pPr>
            <w:r>
              <w:rPr>
                <w:highlight w:val="yellow"/>
              </w:rPr>
              <w:t>Ei vielä virallisesti hyväksytty.</w:t>
            </w:r>
          </w:p>
        </w:tc>
      </w:tr>
    </w:tbl>
    <w:p w14:paraId="5F26D476" w14:textId="0645BA6F" w:rsidR="000442F5" w:rsidRPr="00711243" w:rsidRDefault="000442F5" w:rsidP="000442F5">
      <w:pPr>
        <w:spacing w:before="120" w:after="120"/>
        <w:ind w:right="-142"/>
        <w:jc w:val="both"/>
        <w:rPr>
          <w:i/>
          <w:iCs/>
        </w:rPr>
      </w:pPr>
      <w:r>
        <w:rPr>
          <w:i/>
        </w:rPr>
        <w:t>Tätä ilmoituslomaketta on käytettävä ilmoitettaessa tuesta, joka kuuluu ilmastotoimiin, ympäristönsuojeluun ja energia-alalle myönnettävää valtiontukea koskevien vuoden 2022 suuntaviivojen, jäljempänä ’suuntaviivat’, soveltamisalaan.</w:t>
      </w:r>
    </w:p>
    <w:p w14:paraId="1B60656B" w14:textId="00968BE9" w:rsidR="009E2EA1" w:rsidRPr="00711243" w:rsidRDefault="0072538B" w:rsidP="009E2EA1">
      <w:pPr>
        <w:spacing w:before="120" w:after="120"/>
        <w:ind w:right="-142"/>
        <w:jc w:val="both"/>
        <w:rPr>
          <w:i/>
          <w:iCs/>
        </w:rPr>
      </w:pPr>
      <w:r>
        <w:rPr>
          <w:i/>
        </w:rPr>
        <w:t xml:space="preserve">Tämä ilmoituslomake koskee suuntaviivojen 4.8 luvun piiriin kuuluvia toimenpiteitä. Jos ilmoitus koskee toimenpiteitä, jotka kuuluvat useamman kuin yhden suuntaviivojen luvun piiriin, täyttäkää kaikkia kyseeseen tulevia lukuja koskevat ilmoituslomakkeet. </w:t>
      </w:r>
    </w:p>
    <w:p w14:paraId="05E36007" w14:textId="57A7067D" w:rsidR="009E2EA1" w:rsidRPr="00711243" w:rsidRDefault="009E2EA1" w:rsidP="009E2EA1">
      <w:pPr>
        <w:spacing w:before="120" w:after="120"/>
        <w:ind w:right="-142"/>
        <w:jc w:val="both"/>
        <w:rPr>
          <w:i/>
          <w:iCs/>
        </w:rPr>
      </w:pPr>
      <w:r>
        <w:rPr>
          <w:i/>
        </w:rPr>
        <w:t>Kaikki asiakirjat, jotka jäsenvaltiot esittävät ilmoituslomakkeen liitteinä, on numeroitava ja asiakirjojen numerot on mainittava tämän ilmoituslomakkeen asianomaisissa jaksoissa.</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Jakso A: Yhteenveto ilmoitetun toimenpiteen tärkeimmistä ominaispiirteistä</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Default="007302C9" w:rsidP="00C52CFD">
      <w:pPr>
        <w:pStyle w:val="ListParagraph"/>
        <w:numPr>
          <w:ilvl w:val="0"/>
          <w:numId w:val="4"/>
        </w:numPr>
        <w:spacing w:before="120" w:after="120"/>
        <w:ind w:left="567" w:hanging="567"/>
        <w:contextualSpacing w:val="0"/>
        <w:jc w:val="both"/>
        <w:rPr>
          <w:b/>
        </w:rPr>
      </w:pPr>
      <w:r>
        <w:rPr>
          <w:b/>
        </w:rPr>
        <w:t>Ilmoitetun toimenpiteen tausta ja tavoitteet</w:t>
      </w:r>
    </w:p>
    <w:p w14:paraId="1FADA2B1" w14:textId="573EB419" w:rsidR="00FA0034" w:rsidRPr="00FA0034" w:rsidRDefault="004569F7" w:rsidP="005437CF">
      <w:pPr>
        <w:numPr>
          <w:ilvl w:val="0"/>
          <w:numId w:val="65"/>
        </w:numPr>
        <w:spacing w:before="120" w:after="120"/>
        <w:ind w:left="993" w:hanging="142"/>
        <w:jc w:val="both"/>
      </w:pPr>
      <w:r>
        <w:t xml:space="preserve">Ilmoittakaa toimenpiteen tausta ja päätavoite, ellei niitä ole jo käsitelty yleistietolomakkeen (osa I) kohdassa 5.2. </w:t>
      </w:r>
    </w:p>
    <w:p w14:paraId="451635D8" w14:textId="7F94896F" w:rsidR="00FA0034" w:rsidRPr="00FA0034" w:rsidRDefault="00FA0034" w:rsidP="00FA0034">
      <w:pPr>
        <w:spacing w:before="120" w:after="120"/>
        <w:ind w:left="993"/>
        <w:jc w:val="both"/>
      </w:pPr>
      <w:r>
        <w:t>………………………………………………………………………………………..</w:t>
      </w:r>
    </w:p>
    <w:p w14:paraId="4FAD80FF" w14:textId="5736553E" w:rsidR="00B350DB" w:rsidRPr="00FA0034" w:rsidRDefault="00B350DB" w:rsidP="00FA0034">
      <w:pPr>
        <w:numPr>
          <w:ilvl w:val="0"/>
          <w:numId w:val="65"/>
        </w:numPr>
        <w:ind w:left="993" w:hanging="142"/>
        <w:rPr>
          <w:szCs w:val="24"/>
        </w:rPr>
      </w:pPr>
      <w:r>
        <w:t xml:space="preserve">Ilmoittakaa toimenpiteen mahdolliset muut tavoitteet. Jos tavoitteet eivät liity sähkön toimitusvarmuuteen tai ympäristön suojeluun, selittäkää, voivatko ne johtaa sisämarkkinoiden vääristymiseen. </w:t>
      </w:r>
    </w:p>
    <w:p w14:paraId="0D403939" w14:textId="77777777" w:rsidR="007366E4" w:rsidRDefault="007366E4" w:rsidP="007366E4">
      <w:pPr>
        <w:tabs>
          <w:tab w:val="left" w:leader="dot" w:pos="9072"/>
        </w:tabs>
        <w:spacing w:before="120" w:after="120"/>
        <w:ind w:left="567"/>
        <w:jc w:val="both"/>
      </w:pPr>
      <w:r>
        <w:tab/>
      </w:r>
    </w:p>
    <w:p w14:paraId="59CBFA17" w14:textId="3CA0BE29" w:rsidR="005A412F" w:rsidRPr="00711243" w:rsidRDefault="008514DC" w:rsidP="00C52CFD">
      <w:pPr>
        <w:pStyle w:val="ListParagraph"/>
        <w:numPr>
          <w:ilvl w:val="0"/>
          <w:numId w:val="4"/>
        </w:numPr>
        <w:spacing w:before="120" w:after="120"/>
        <w:ind w:left="567" w:hanging="567"/>
        <w:contextualSpacing w:val="0"/>
        <w:jc w:val="both"/>
      </w:pPr>
      <w:r>
        <w:rPr>
          <w:b/>
        </w:rPr>
        <w:t>Voimaantulo ja kesto</w:t>
      </w:r>
      <w:r>
        <w:t>:</w:t>
      </w:r>
    </w:p>
    <w:p w14:paraId="3951E532" w14:textId="5BB35D03" w:rsidR="00FD5F79" w:rsidRPr="00FA6EB5" w:rsidRDefault="00FA6EB5" w:rsidP="00FA0034">
      <w:pPr>
        <w:numPr>
          <w:ilvl w:val="0"/>
          <w:numId w:val="72"/>
        </w:numPr>
        <w:rPr>
          <w:szCs w:val="24"/>
        </w:rPr>
      </w:pPr>
      <w:r>
        <w:t>Ilmoittakaa päivämäärä, josta alkaen toimenpiteen on tarkoitus tulla voimaan, jos sitä ei ole jo ilmoitettu yleistietolomakkeen (osa I) kohdassa 5.5.</w:t>
      </w:r>
    </w:p>
    <w:p w14:paraId="7DB33CA8" w14:textId="1BA7B70D" w:rsidR="00C90797" w:rsidRPr="00564D5B" w:rsidRDefault="00564D5B" w:rsidP="00564D5B">
      <w:pPr>
        <w:tabs>
          <w:tab w:val="left" w:leader="dot" w:pos="9072"/>
        </w:tabs>
        <w:spacing w:before="120" w:after="120"/>
        <w:ind w:left="567"/>
        <w:jc w:val="both"/>
      </w:pPr>
      <w:r>
        <w:tab/>
      </w:r>
    </w:p>
    <w:p w14:paraId="4062F237" w14:textId="3A567444" w:rsidR="00175C89" w:rsidRPr="006B1712" w:rsidRDefault="00DB40A5" w:rsidP="00FA0034">
      <w:pPr>
        <w:pStyle w:val="ListParagraph"/>
        <w:numPr>
          <w:ilvl w:val="0"/>
          <w:numId w:val="72"/>
        </w:numPr>
        <w:spacing w:after="240"/>
        <w:ind w:left="993" w:hanging="142"/>
        <w:jc w:val="both"/>
        <w:rPr>
          <w:szCs w:val="24"/>
        </w:rPr>
      </w:pPr>
      <w:r>
        <w:t>Ilmoittakaa toimenpiteen kesto.</w:t>
      </w:r>
      <w:r>
        <w:rPr>
          <w:rStyle w:val="FootnoteReference"/>
          <w:szCs w:val="24"/>
        </w:rPr>
        <w:footnoteReference w:id="3"/>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Tuensaaja(t)</w:t>
      </w:r>
      <w:r>
        <w:tab/>
      </w:r>
    </w:p>
    <w:p w14:paraId="0B353EA4" w14:textId="460FB4A4" w:rsidR="00BC5DDD" w:rsidRPr="00F35B92" w:rsidRDefault="00F35B92" w:rsidP="007366E4">
      <w:pPr>
        <w:numPr>
          <w:ilvl w:val="0"/>
          <w:numId w:val="22"/>
        </w:numPr>
        <w:ind w:left="993" w:hanging="142"/>
        <w:rPr>
          <w:szCs w:val="24"/>
        </w:rPr>
      </w:pPr>
      <w:r>
        <w:t>Kuvailkaa toimenpiteen (mahdolliset) tuensaajat, ellei niitä ole jo ilmoitettu yleistietolomakkeen (osa I) kohdassa 3.</w:t>
      </w:r>
    </w:p>
    <w:p w14:paraId="00812A82" w14:textId="53322933" w:rsidR="00C90797" w:rsidRPr="00564D5B" w:rsidRDefault="00564D5B" w:rsidP="00AD6217">
      <w:pPr>
        <w:tabs>
          <w:tab w:val="left" w:leader="dot" w:pos="9072"/>
        </w:tabs>
        <w:spacing w:before="120" w:after="120"/>
        <w:ind w:left="567"/>
        <w:jc w:val="both"/>
      </w:pPr>
      <w:r>
        <w:tab/>
      </w:r>
      <w:r>
        <w:tab/>
      </w:r>
    </w:p>
    <w:p w14:paraId="06F08713" w14:textId="71A80B39" w:rsidR="00F33CC0" w:rsidRPr="00C55D4C" w:rsidRDefault="00DB40A5" w:rsidP="000B3833">
      <w:pPr>
        <w:numPr>
          <w:ilvl w:val="0"/>
          <w:numId w:val="22"/>
        </w:numPr>
        <w:ind w:left="993" w:hanging="142"/>
        <w:rPr>
          <w:szCs w:val="24"/>
        </w:rPr>
      </w:pPr>
      <w:r>
        <w:t>Ilmoittakaa tuensaajien sijainti (ts. voivatko toimenpiteeseen osallistua ainoastaan asianomaisissa jäsenvaltioissa vai myös muissa jäsenvaltioissa sijaitsevat taloudelliset yksiköt).</w:t>
      </w:r>
    </w:p>
    <w:p w14:paraId="089CCFA6" w14:textId="4CFFDCA9" w:rsidR="003151F7" w:rsidRDefault="000442F5" w:rsidP="00B22D69">
      <w:pPr>
        <w:tabs>
          <w:tab w:val="left" w:leader="dot" w:pos="9072"/>
        </w:tabs>
        <w:spacing w:before="120" w:after="120"/>
        <w:ind w:left="567"/>
        <w:jc w:val="both"/>
      </w:pPr>
      <w:r>
        <w:tab/>
      </w:r>
      <w:r>
        <w:tab/>
      </w:r>
    </w:p>
    <w:p w14:paraId="27DDBE9A" w14:textId="31BD385F" w:rsidR="00E4424D" w:rsidRDefault="003C33B1" w:rsidP="000B3833">
      <w:pPr>
        <w:numPr>
          <w:ilvl w:val="0"/>
          <w:numId w:val="22"/>
        </w:numPr>
        <w:ind w:left="993" w:hanging="142"/>
        <w:rPr>
          <w:szCs w:val="24"/>
        </w:rPr>
      </w:pPr>
      <w:r>
        <w:t xml:space="preserve">Täsmentäkää suuntaviivojen 15 kappaleen noudattamisen arvioimiseksi, myönnetäänkö toimenpiteestä (yksittäistä tai ohjelman osana) tukea yritykselle, jolle on annettu aiempaan komission päätökseen perustuva perintämääräys tuen sääntöjenvastaisuuden ja sisämarkkinoille soveltumattomuuden takia mutta perintämääräys on vielä maksamatta. </w:t>
      </w:r>
    </w:p>
    <w:p w14:paraId="7EAFEF40" w14:textId="77777777" w:rsidR="00E4424D" w:rsidRDefault="00E4424D" w:rsidP="00E4424D">
      <w:pPr>
        <w:pStyle w:val="ListParagraph"/>
        <w:rPr>
          <w:szCs w:val="24"/>
        </w:rPr>
      </w:pPr>
    </w:p>
    <w:p w14:paraId="6DA13136" w14:textId="0EC120E1" w:rsidR="003C33B1" w:rsidRPr="00E4424D" w:rsidRDefault="00181BB0" w:rsidP="00E4424D">
      <w:pPr>
        <w:pStyle w:val="ListParagraph"/>
        <w:spacing w:after="240"/>
        <w:ind w:left="1080"/>
        <w:jc w:val="both"/>
        <w:rPr>
          <w:szCs w:val="24"/>
        </w:rPr>
      </w:pPr>
      <w:r>
        <w:t xml:space="preserve">Jos kyllä, antakaa tiedot vielä perimättä olevan tuen määrästä, jotta komissio voi ottaa sen huomioon arvioidessaan ilmoitettua toimenpidettä. </w:t>
      </w:r>
    </w:p>
    <w:p w14:paraId="5BE9C845" w14:textId="77777777" w:rsidR="003C33B1" w:rsidRDefault="003C33B1" w:rsidP="003C33B1">
      <w:pPr>
        <w:tabs>
          <w:tab w:val="left" w:leader="dot" w:pos="9072"/>
        </w:tabs>
        <w:spacing w:before="120" w:after="120"/>
        <w:ind w:left="567"/>
        <w:jc w:val="both"/>
      </w:pPr>
      <w:r>
        <w:tab/>
      </w:r>
    </w:p>
    <w:p w14:paraId="2C10575C" w14:textId="6ED42CF8" w:rsidR="002E10AC" w:rsidRPr="00FC4A9E" w:rsidRDefault="00B22D69" w:rsidP="00B22D69">
      <w:pPr>
        <w:pStyle w:val="ListParagraph"/>
        <w:numPr>
          <w:ilvl w:val="0"/>
          <w:numId w:val="4"/>
        </w:numPr>
        <w:spacing w:before="120" w:after="120"/>
        <w:ind w:left="567" w:hanging="567"/>
        <w:contextualSpacing w:val="0"/>
        <w:jc w:val="both"/>
      </w:pPr>
      <w:r>
        <w:lastRenderedPageBreak/>
        <w:t>Vahvistakaa, että toimenpiteeseen ei sisälly tukea toimintoihin, jotka eivät kuulu suuntaviivojen soveltamisalaan (ks. suuntaviivojen 13 kappale). Muussa tapauksessa antakaa lisätietoa.</w:t>
      </w:r>
    </w:p>
    <w:p w14:paraId="59695B42" w14:textId="7DE83D7C" w:rsidR="00D56E44" w:rsidRPr="00ED2FA7" w:rsidRDefault="009368F1" w:rsidP="00B22D69">
      <w:pPr>
        <w:tabs>
          <w:tab w:val="left" w:leader="dot" w:pos="9072"/>
        </w:tabs>
        <w:spacing w:before="120" w:after="120"/>
        <w:ind w:left="567"/>
        <w:jc w:val="both"/>
      </w:pPr>
      <w:r>
        <w:tab/>
      </w:r>
    </w:p>
    <w:p w14:paraId="342676FE" w14:textId="46A68D36"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r>
        <w:rPr>
          <w:b/>
        </w:rPr>
        <w:t>Budjetti</w:t>
      </w:r>
    </w:p>
    <w:p w14:paraId="52B28A95" w14:textId="51E3B41D" w:rsidR="00115C85" w:rsidRPr="00B22D69" w:rsidRDefault="00B22D69" w:rsidP="00B22D69">
      <w:pPr>
        <w:pStyle w:val="ListParagraph"/>
        <w:numPr>
          <w:ilvl w:val="0"/>
          <w:numId w:val="23"/>
        </w:numPr>
        <w:spacing w:before="120" w:after="120"/>
        <w:ind w:left="993" w:hanging="284"/>
        <w:contextualSpacing w:val="0"/>
        <w:jc w:val="both"/>
        <w:rPr>
          <w:rFonts w:cs="Arial Unicode MS"/>
          <w:bCs/>
        </w:rPr>
      </w:pPr>
      <w:r>
        <w:t>Ilmoittakaa vuotuinen budjetti ja/tai kokonaisbudjetti toimenpiteen koko keston ajalta, jos sitä ei ole jo mainittu yleistietolomakkeen (osa I) kohdassa 7.1 olevassa taulukossa. Jos kokonaisbudjetti ei ole tiedossa (esimerkiksi siksi, että se riippuu tarjouskilpailujen tuloksista), ilmoittakaa alustava budjetti, mukaan lukien sen laskennassa käytetyt oletukset.</w:t>
      </w:r>
      <w:r>
        <w:rPr>
          <w:rFonts w:cs="Arial Unicode MS"/>
          <w:bCs/>
          <w:vertAlign w:val="superscript"/>
          <w:lang w:bidi="si-LK"/>
        </w:rPr>
        <w:footnoteReference w:id="4"/>
      </w:r>
    </w:p>
    <w:p w14:paraId="61879372" w14:textId="77777777" w:rsidR="00D25FB9" w:rsidRPr="00ED2FA7" w:rsidRDefault="00D25FB9" w:rsidP="00D25FB9">
      <w:pPr>
        <w:tabs>
          <w:tab w:val="left" w:leader="dot" w:pos="9072"/>
        </w:tabs>
        <w:spacing w:before="120" w:after="120"/>
        <w:ind w:left="567"/>
        <w:jc w:val="both"/>
      </w:pPr>
      <w:r>
        <w:tab/>
      </w:r>
    </w:p>
    <w:p w14:paraId="26DBCE9C" w14:textId="74969232" w:rsidR="00373272" w:rsidRPr="00E50388" w:rsidRDefault="00373272" w:rsidP="00034A1B">
      <w:pPr>
        <w:pStyle w:val="ListParagraph"/>
        <w:spacing w:before="120" w:after="120"/>
        <w:ind w:left="0"/>
        <w:contextualSpacing w:val="0"/>
        <w:jc w:val="both"/>
        <w:rPr>
          <w:rFonts w:cs="Arial Unicode MS"/>
          <w:bCs/>
          <w:lang w:bidi="si-LK"/>
        </w:rPr>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Jakso B: Tuen sisämarkkinoille soveltuvuuden arviointi</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C52CFD">
            <w:pPr>
              <w:pStyle w:val="Heading1"/>
              <w:numPr>
                <w:ilvl w:val="0"/>
                <w:numId w:val="24"/>
              </w:numPr>
              <w:rPr>
                <w:i/>
                <w:sz w:val="28"/>
                <w:szCs w:val="28"/>
              </w:rPr>
            </w:pPr>
            <w:r>
              <w:rPr>
                <w:i/>
                <w:sz w:val="28"/>
              </w:rPr>
              <w:t>Positiivinen edellytys: tuen on edistettävä tietyn taloudellisen toiminnan kehitystä</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6F256F">
            <w:pPr>
              <w:pStyle w:val="Heading1"/>
              <w:numPr>
                <w:ilvl w:val="1"/>
                <w:numId w:val="24"/>
              </w:numPr>
              <w:rPr>
                <w:sz w:val="24"/>
                <w:szCs w:val="24"/>
              </w:rPr>
            </w:pPr>
            <w:r>
              <w:rPr>
                <w:sz w:val="24"/>
              </w:rPr>
              <w:t>Tietyn taloudellisen toiminnan kehityksen edistäminen</w:t>
            </w:r>
          </w:p>
        </w:tc>
      </w:tr>
    </w:tbl>
    <w:p w14:paraId="1E2599D2" w14:textId="044F1BE7" w:rsidR="000442F5" w:rsidRPr="00DB40A5" w:rsidRDefault="000442F5" w:rsidP="000442F5">
      <w:pPr>
        <w:spacing w:before="360" w:after="120"/>
        <w:jc w:val="both"/>
        <w:rPr>
          <w:i/>
        </w:rPr>
      </w:pPr>
      <w:r>
        <w:rPr>
          <w:i/>
        </w:rPr>
        <w:t xml:space="preserve">Tämän jakson tietoja varten ks. suuntaviivojen 3.1.1 kohta (23–25 kappale) sekä 4.8.1 ja 4.8.2 kohta (325–328 kappale). </w:t>
      </w:r>
    </w:p>
    <w:p w14:paraId="05FCD0A3" w14:textId="3E161E71" w:rsidR="00864DCD" w:rsidRPr="00DB40A5" w:rsidRDefault="006B6657" w:rsidP="00C52CFD">
      <w:pPr>
        <w:pStyle w:val="ListParagraph"/>
        <w:numPr>
          <w:ilvl w:val="0"/>
          <w:numId w:val="4"/>
        </w:numPr>
        <w:spacing w:before="120" w:after="120"/>
        <w:ind w:left="567" w:hanging="567"/>
        <w:contextualSpacing w:val="0"/>
        <w:jc w:val="both"/>
      </w:pPr>
      <w:r>
        <w:t>Euroopan unionin toiminnasta tehdyn sopimuksen (SEUT) 107 artiklan 3 kohdan c alakohdan mukaan komissio voi pitää sisämarkkinoille soveltuvana ”</w:t>
      </w:r>
      <w:r>
        <w:rPr>
          <w:i/>
        </w:rPr>
        <w:t>tukea tietyn taloudellisen toiminnan tai talousalueen kehityksen edistämiseen, jos tuki ei muuta kaupankäynnin edellytyksiä yhteisen edun kanssa ristiriitaisella tavalla</w:t>
      </w:r>
      <w:r>
        <w:t xml:space="preserve">”. Sen vuoksi kyseisen määräyksen mukaisen tuen on edistettävä tietyn taloudellisen toiminnan kehitystä. </w:t>
      </w:r>
    </w:p>
    <w:p w14:paraId="78AC4A6E" w14:textId="5DA81B01" w:rsidR="00EE2FCC" w:rsidRPr="00864DCD" w:rsidRDefault="00EE56DD" w:rsidP="00EE56DD">
      <w:pPr>
        <w:pStyle w:val="ListParagraph"/>
        <w:spacing w:before="120" w:after="120"/>
        <w:ind w:left="567"/>
        <w:contextualSpacing w:val="0"/>
        <w:jc w:val="both"/>
      </w:pPr>
      <w:r>
        <w:t>Yksilöikää suuntaviivojen 23 kappaleen noudattamisen arvioimiseksi taloudellinen toiminta, jota tuella edistetään, ja se, miten kyseistä toimintaa tuetaan. Suuntaviivojen 328 kappaleessa annetaan esimerkkejä tällaisesta taloudellisesta toiminnasta sähkön toimitusvarmuuden parantamiseen tähtäävien toimenpiteiden osalta.</w:t>
      </w:r>
    </w:p>
    <w:p w14:paraId="43E4572F" w14:textId="77777777" w:rsidR="000442F5" w:rsidRPr="00864DCD" w:rsidRDefault="000442F5" w:rsidP="000442F5">
      <w:pPr>
        <w:tabs>
          <w:tab w:val="left" w:leader="dot" w:pos="9072"/>
        </w:tabs>
        <w:spacing w:before="120" w:after="120"/>
        <w:ind w:left="567"/>
        <w:jc w:val="both"/>
      </w:pPr>
      <w:r>
        <w:tab/>
      </w:r>
    </w:p>
    <w:p w14:paraId="44207947" w14:textId="4F8D6EAA" w:rsidR="00D72D27" w:rsidRPr="00864DCD" w:rsidRDefault="00EE56DD" w:rsidP="00034A1B">
      <w:pPr>
        <w:pStyle w:val="ListParagraph"/>
        <w:numPr>
          <w:ilvl w:val="0"/>
          <w:numId w:val="4"/>
        </w:numPr>
        <w:spacing w:before="120" w:after="120"/>
        <w:ind w:left="567" w:hanging="567"/>
        <w:contextualSpacing w:val="0"/>
        <w:jc w:val="both"/>
      </w:pPr>
      <w:r>
        <w:t>Kuvatkaa suuntaviivojen 25 kappaleen noudattamisen arvioimiseksi ”</w:t>
      </w:r>
      <w:r>
        <w:rPr>
          <w:i/>
        </w:rPr>
        <w:t>mahdollinen unionin ilmasto-, ympäristö- ja energiapolitiikan tavoitteiden saavuttamista edistävä vaikutus ja erityisesti tuen odotetut hyödyt, jotka liittyvät sen olennaiseen vaikutukseen ympäristönsuojeluun, mukaan lukien ilmastonmuutoksen hillitseminen, tai energian sisämarkkinoiden tehokkaaseen toimintaan</w:t>
      </w:r>
      <w:r>
        <w:t>”.</w:t>
      </w:r>
    </w:p>
    <w:p w14:paraId="2CF2C3D1" w14:textId="38F54855" w:rsidR="00D72D27" w:rsidRDefault="004152C3" w:rsidP="004152C3">
      <w:pPr>
        <w:tabs>
          <w:tab w:val="left" w:leader="dot" w:pos="9072"/>
        </w:tabs>
        <w:spacing w:before="120" w:after="120"/>
        <w:ind w:left="567"/>
        <w:jc w:val="both"/>
      </w:pPr>
      <w:r>
        <w:tab/>
      </w:r>
    </w:p>
    <w:p w14:paraId="09C95E40" w14:textId="74468612" w:rsidR="00DD6E86" w:rsidRDefault="00DD6E86" w:rsidP="00DD6E86">
      <w:pPr>
        <w:pStyle w:val="ListParagraph"/>
        <w:numPr>
          <w:ilvl w:val="0"/>
          <w:numId w:val="4"/>
        </w:numPr>
        <w:spacing w:before="120" w:after="120"/>
        <w:ind w:left="567" w:hanging="567"/>
        <w:contextualSpacing w:val="0"/>
        <w:jc w:val="both"/>
        <w:rPr>
          <w:szCs w:val="24"/>
        </w:rPr>
      </w:pPr>
      <w:r>
        <w:t>Kuvailkaa tuensaajiin sovellettavat vaatimukset ilmoittaen muun muassa kaikki tekniset, ympäristöön liittyvät (eli ympäristöluvat), rahoitukseen liittyvät (eli vakuudet) tai muut vaatimukset, joita tuensaajien on noudatettava.</w:t>
      </w:r>
    </w:p>
    <w:p w14:paraId="41A55685" w14:textId="02031239" w:rsidR="00DD6E86" w:rsidRDefault="00DD6E86" w:rsidP="00034A1B">
      <w:pPr>
        <w:pStyle w:val="ListParagraph"/>
        <w:spacing w:before="120" w:after="120"/>
        <w:ind w:left="567"/>
        <w:contextualSpacing w:val="0"/>
        <w:jc w:val="both"/>
      </w:pPr>
      <w:r>
        <w:t>…………………………………………………………………………………………….</w:t>
      </w:r>
    </w:p>
    <w:p w14:paraId="68612BA2" w14:textId="0812A648" w:rsidR="00B91BE0" w:rsidRPr="00034A1B" w:rsidRDefault="00364FC0" w:rsidP="00364FC0">
      <w:pPr>
        <w:pStyle w:val="ListParagraph"/>
        <w:numPr>
          <w:ilvl w:val="0"/>
          <w:numId w:val="4"/>
        </w:numPr>
        <w:spacing w:before="120" w:after="120"/>
        <w:ind w:left="567" w:hanging="567"/>
        <w:contextualSpacing w:val="0"/>
        <w:jc w:val="both"/>
      </w:pPr>
      <w:r>
        <w:t xml:space="preserve">Antakaa tiedot toimenpiteen perusteluista suuntaviivojen 4.8.1 kohdan (325 kappale) mukaisesti. </w:t>
      </w:r>
    </w:p>
    <w:p w14:paraId="34E4C47D" w14:textId="6EE1FEFD" w:rsidR="00B91BE0" w:rsidRPr="00034A1B" w:rsidRDefault="00B91BE0" w:rsidP="00B91BE0">
      <w:pPr>
        <w:tabs>
          <w:tab w:val="left" w:leader="dot" w:pos="9072"/>
        </w:tabs>
        <w:spacing w:before="120" w:after="120"/>
        <w:ind w:left="567"/>
        <w:jc w:val="both"/>
      </w:pPr>
      <w:r>
        <w:tab/>
      </w:r>
    </w:p>
    <w:p w14:paraId="526FF31D" w14:textId="792DD4E0" w:rsidR="009E5AE0" w:rsidRPr="00864DCD" w:rsidRDefault="009E5AE0" w:rsidP="009E5AE0">
      <w:pPr>
        <w:pStyle w:val="ListParagraph"/>
        <w:numPr>
          <w:ilvl w:val="0"/>
          <w:numId w:val="4"/>
        </w:numPr>
        <w:spacing w:before="120" w:after="120"/>
        <w:ind w:left="567" w:hanging="567"/>
        <w:contextualSpacing w:val="0"/>
        <w:jc w:val="both"/>
      </w:pPr>
      <w:r>
        <w:t xml:space="preserve">Antakaa tiedot toimenpiteen kohdealasta suuntaviivojen 4.8.2 kohdan (326–327 kappale) mukaisesti. </w:t>
      </w:r>
    </w:p>
    <w:p w14:paraId="2BCE8BBC" w14:textId="77777777" w:rsidR="009E5AE0" w:rsidRDefault="009E5AE0" w:rsidP="009E5AE0">
      <w:pPr>
        <w:tabs>
          <w:tab w:val="left" w:leader="dot" w:pos="9072"/>
        </w:tabs>
        <w:spacing w:before="120" w:after="120"/>
        <w:ind w:left="567"/>
        <w:jc w:val="both"/>
      </w:pPr>
      <w:r>
        <w:tab/>
      </w:r>
    </w:p>
    <w:p w14:paraId="348DC64D" w14:textId="5A818E0A" w:rsidR="00143ABF" w:rsidRDefault="00143ABF" w:rsidP="00E1791B">
      <w:pPr>
        <w:ind w:left="-567" w:firstLine="1412"/>
      </w:pPr>
    </w:p>
    <w:p w14:paraId="37330726" w14:textId="60204944" w:rsidR="00143ABF" w:rsidRDefault="00143ABF" w:rsidP="00E1791B">
      <w:pPr>
        <w:ind w:left="-567" w:firstLine="1412"/>
      </w:pPr>
    </w:p>
    <w:p w14:paraId="51A79F5A" w14:textId="77777777" w:rsidR="00143ABF" w:rsidRDefault="00143ABF" w:rsidP="00E1791B">
      <w:pPr>
        <w:ind w:left="-567" w:firstLine="1412"/>
      </w:pPr>
    </w:p>
    <w:p w14:paraId="61F68589" w14:textId="77777777" w:rsidR="00DD6E86" w:rsidRDefault="00DD6E86" w:rsidP="00E1791B">
      <w:pPr>
        <w:ind w:left="-567" w:firstLine="1412"/>
      </w:pPr>
    </w:p>
    <w:p w14:paraId="750DB00D" w14:textId="77777777" w:rsidR="00DD6E86" w:rsidRDefault="00DD6E86" w:rsidP="00E1791B">
      <w:pPr>
        <w:ind w:left="-567" w:firstLine="1412"/>
      </w:pP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805640">
            <w:pPr>
              <w:pStyle w:val="Heading1"/>
              <w:numPr>
                <w:ilvl w:val="1"/>
                <w:numId w:val="24"/>
              </w:numPr>
              <w:rPr>
                <w:sz w:val="24"/>
                <w:szCs w:val="24"/>
              </w:rPr>
            </w:pPr>
            <w:r>
              <w:rPr>
                <w:sz w:val="24"/>
              </w:rPr>
              <w:t>Kannustava vaikutus</w:t>
            </w:r>
          </w:p>
        </w:tc>
      </w:tr>
    </w:tbl>
    <w:p w14:paraId="20915284" w14:textId="14126DC4" w:rsidR="00015E2B" w:rsidRPr="00A05235" w:rsidRDefault="00B15313" w:rsidP="00015E2B">
      <w:pPr>
        <w:spacing w:before="360" w:after="120"/>
        <w:jc w:val="both"/>
        <w:rPr>
          <w:i/>
        </w:rPr>
      </w:pPr>
      <w:r>
        <w:rPr>
          <w:i/>
        </w:rPr>
        <w:t xml:space="preserve">Tämän jakson tietoja varten ks. suuntaviivojen 329 kappale ja 3.1.2 kohta (29, 30, 31 ja 32 kappale). </w:t>
      </w:r>
    </w:p>
    <w:p w14:paraId="78A49F12" w14:textId="5BC4A051" w:rsidR="00C14706" w:rsidRPr="00471B74" w:rsidRDefault="00FC1BCC" w:rsidP="000522D3">
      <w:pPr>
        <w:pStyle w:val="ListParagraph"/>
        <w:numPr>
          <w:ilvl w:val="0"/>
          <w:numId w:val="4"/>
        </w:numPr>
        <w:spacing w:before="120" w:after="120"/>
        <w:ind w:left="567" w:hanging="567"/>
        <w:contextualSpacing w:val="0"/>
        <w:jc w:val="both"/>
      </w:pPr>
      <w:r>
        <w:t>Suuntaviivojen 29 ja 31 kappaleen noudattamisen osoittamiseksi:</w:t>
      </w:r>
    </w:p>
    <w:p w14:paraId="48499390" w14:textId="47E7D7F7" w:rsidR="006445C3" w:rsidRPr="00471B74" w:rsidRDefault="00677805" w:rsidP="00526607">
      <w:pPr>
        <w:pStyle w:val="ListParagraph"/>
        <w:numPr>
          <w:ilvl w:val="0"/>
          <w:numId w:val="25"/>
        </w:numPr>
        <w:spacing w:before="120" w:after="120"/>
        <w:ind w:left="993" w:hanging="284"/>
        <w:contextualSpacing w:val="0"/>
        <w:jc w:val="both"/>
      </w:pPr>
      <w:r>
        <w:t>Vahvistakaa, että hankkeeseen tai toimintaan liittyviä töitä ei ollut aloitettu ennen kuin tuensaaja jätti kirjallisen tukihakemuksen kansallisille viranomaisille;</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471B74" w:rsidRDefault="006445C3" w:rsidP="006445C3">
      <w:pPr>
        <w:pStyle w:val="ListParagraph"/>
        <w:spacing w:before="120" w:after="120"/>
        <w:ind w:left="993"/>
        <w:contextualSpacing w:val="0"/>
        <w:jc w:val="both"/>
      </w:pPr>
      <w:r>
        <w:t>TAI</w:t>
      </w:r>
    </w:p>
    <w:p w14:paraId="0252AF86" w14:textId="2507B978" w:rsidR="000442F5" w:rsidRPr="00F53942" w:rsidRDefault="008514DC" w:rsidP="00526607">
      <w:pPr>
        <w:pStyle w:val="ListParagraph"/>
        <w:numPr>
          <w:ilvl w:val="0"/>
          <w:numId w:val="25"/>
        </w:numPr>
        <w:spacing w:before="120" w:after="120"/>
        <w:ind w:left="993" w:hanging="284"/>
        <w:contextualSpacing w:val="0"/>
        <w:jc w:val="both"/>
      </w:pPr>
      <w:r>
        <w:t xml:space="preserve">Osoittakaa, että jos hanke on alkanut ennen tukihakemuksen jättämistä, sitä koskee jokin suuntaviivojen 31 kappaleessa tarkoitetuista poikkeustapauksista (a, b tai c kohta). </w:t>
      </w:r>
    </w:p>
    <w:p w14:paraId="76275A84" w14:textId="77777777" w:rsidR="00FC1BCC" w:rsidRPr="00864DCD" w:rsidRDefault="00FC1BCC" w:rsidP="00FC1BCC">
      <w:pPr>
        <w:tabs>
          <w:tab w:val="left" w:leader="dot" w:pos="9072"/>
        </w:tabs>
        <w:spacing w:before="120" w:after="120"/>
        <w:ind w:left="567"/>
        <w:jc w:val="both"/>
      </w:pPr>
      <w:r>
        <w:tab/>
      </w:r>
    </w:p>
    <w:p w14:paraId="02234E9B" w14:textId="77777777" w:rsidR="008514DC" w:rsidRPr="00F53942" w:rsidRDefault="008514DC" w:rsidP="008514DC">
      <w:pPr>
        <w:numPr>
          <w:ilvl w:val="0"/>
          <w:numId w:val="4"/>
        </w:numPr>
        <w:spacing w:before="120" w:after="120"/>
        <w:ind w:left="567" w:hanging="567"/>
        <w:jc w:val="both"/>
      </w:pPr>
      <w:r>
        <w:t>Vahvistakaa suuntaviivojen 30 kappaleen noudattamisen osoittamiseksi, että tukihakemuksessa on vähintään hakijan nimi, kuvaus hankkeesta tai toiminnasta, mukaan lukien sen sijainti, sekä hankkeen tai toiminnan toteuttamiseen tarvittavan tuen määrä.</w:t>
      </w:r>
    </w:p>
    <w:p w14:paraId="1F8B3AF2" w14:textId="77777777" w:rsidR="008514DC" w:rsidRPr="00991FAA" w:rsidRDefault="008514DC" w:rsidP="008514DC">
      <w:pPr>
        <w:tabs>
          <w:tab w:val="left" w:leader="dot" w:pos="9072"/>
        </w:tabs>
        <w:spacing w:before="120" w:after="120"/>
        <w:ind w:left="567"/>
        <w:jc w:val="both"/>
      </w:pPr>
      <w:r>
        <w:tab/>
      </w:r>
    </w:p>
    <w:p w14:paraId="3C6B372C" w14:textId="40283976" w:rsidR="00305DC0" w:rsidRPr="00034A1B" w:rsidRDefault="00305DC0" w:rsidP="008D3BAA">
      <w:pPr>
        <w:pStyle w:val="ListParagraph"/>
        <w:numPr>
          <w:ilvl w:val="0"/>
          <w:numId w:val="4"/>
        </w:numPr>
        <w:spacing w:before="120" w:after="120"/>
        <w:ind w:left="567" w:hanging="567"/>
        <w:contextualSpacing w:val="0"/>
        <w:jc w:val="both"/>
      </w:pPr>
      <w:r>
        <w:t>Ilmoittakaa suuntaviivojen 32 kappaleen noudattamisen osoittamiseksi, sovelletaanko ilmoitettuun toimenpiteeseen unionin normeja</w:t>
      </w:r>
      <w:r>
        <w:rPr>
          <w:rStyle w:val="FootnoteReference"/>
          <w:lang w:val="en-IE" w:eastAsia="en-GB"/>
        </w:rPr>
        <w:footnoteReference w:id="5"/>
      </w:r>
      <w:r>
        <w:t xml:space="preserve">, velvoittavia kansallisia normeja, jotka ovat tiukempia tai kunnianhimoisempia kuin vastaavat unionin normit, tai unionin normien puuttuessa hyväksyttyjä velvoittavia kansallisia normeja. Esittäkää tässä yhteydessä tietoa kannustavan vaikutuksen osoittamiseksi. </w:t>
      </w:r>
    </w:p>
    <w:p w14:paraId="36FD6157" w14:textId="31E041BD" w:rsidR="00EE13D5" w:rsidRPr="00034A1B" w:rsidRDefault="00EE13D5" w:rsidP="00034A1B">
      <w:pPr>
        <w:pStyle w:val="ListParagraph"/>
        <w:spacing w:before="120" w:after="120"/>
        <w:ind w:left="567"/>
        <w:contextualSpacing w:val="0"/>
        <w:jc w:val="both"/>
      </w:pPr>
      <w:r>
        <w:t>…………………………………………………………………………………………….</w:t>
      </w:r>
    </w:p>
    <w:p w14:paraId="1C2FA2EA" w14:textId="1ACF6A7F" w:rsidR="008D3BAA" w:rsidRPr="0025374D" w:rsidRDefault="008D3BAA" w:rsidP="00034A1B">
      <w:pPr>
        <w:pStyle w:val="ListParagraph"/>
        <w:numPr>
          <w:ilvl w:val="0"/>
          <w:numId w:val="4"/>
        </w:numPr>
        <w:spacing w:before="120" w:after="120"/>
        <w:ind w:left="567" w:hanging="567"/>
        <w:contextualSpacing w:val="0"/>
        <w:jc w:val="both"/>
      </w:pPr>
      <w:r>
        <w:t>Jos kyseinen unionin normi on jo hyväksytty mutta ei vielä voimassa, osoittakaa, että tuella on kannustava vaikutus, koska se kannustaa investoinnin toteuttamiseen ja loppuunsaattamiseen vähintään 18 kuukautta ennen normin voimaantuloa.</w:t>
      </w:r>
    </w:p>
    <w:p w14:paraId="1F681DE3" w14:textId="244C8673" w:rsidR="00C86C53" w:rsidRPr="00471B74" w:rsidRDefault="002C1617" w:rsidP="00FF799E">
      <w:pPr>
        <w:pStyle w:val="ListParagraph"/>
        <w:spacing w:before="120" w:after="120"/>
        <w:ind w:left="567"/>
        <w:contextualSpacing w:val="0"/>
        <w:jc w:val="both"/>
      </w:pPr>
      <w:r>
        <w:t>…………………………………………………………………………………………….</w:t>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805640">
            <w:pPr>
              <w:pStyle w:val="Heading1"/>
              <w:numPr>
                <w:ilvl w:val="1"/>
                <w:numId w:val="24"/>
              </w:numPr>
              <w:rPr>
                <w:sz w:val="24"/>
                <w:szCs w:val="24"/>
              </w:rPr>
            </w:pPr>
            <w:r>
              <w:rPr>
                <w:sz w:val="24"/>
              </w:rPr>
              <w:t>Mitään asiaan liittyvää unionin oikeuden säännöstä ei rikota</w:t>
            </w:r>
          </w:p>
        </w:tc>
      </w:tr>
    </w:tbl>
    <w:p w14:paraId="665FE026" w14:textId="7D0593B2" w:rsidR="00DE1D68" w:rsidRDefault="00DE1D68" w:rsidP="00DE1D68">
      <w:pPr>
        <w:spacing w:before="360" w:after="120"/>
        <w:jc w:val="both"/>
        <w:rPr>
          <w:i/>
        </w:rPr>
      </w:pPr>
      <w:r>
        <w:rPr>
          <w:i/>
        </w:rPr>
        <w:lastRenderedPageBreak/>
        <w:t xml:space="preserve">Tämän jakson tietoja varten ks. suuntaviivojen 3.1.3 kohta (33 kappale). </w:t>
      </w:r>
    </w:p>
    <w:p w14:paraId="1FE0FFEF" w14:textId="1B65FA08" w:rsidR="009E7959" w:rsidRDefault="0023543E" w:rsidP="009E7959">
      <w:pPr>
        <w:pStyle w:val="ListParagraph"/>
        <w:numPr>
          <w:ilvl w:val="0"/>
          <w:numId w:val="4"/>
        </w:numPr>
        <w:spacing w:before="120" w:after="120"/>
        <w:ind w:left="567" w:hanging="567"/>
        <w:contextualSpacing w:val="0"/>
        <w:jc w:val="both"/>
      </w:pPr>
      <w:r>
        <w:t xml:space="preserve">Antakaa tiedot, jotka vahvistavat, että asiaa koskevia EU:n lainsäädännön säännöksiä on noudatettu suuntaviivojen 33 kappaleen mukaisesti (ks. esim. kysymys </w:t>
      </w:r>
      <w:r>
        <w:rPr>
          <w:highlight w:val="yellow"/>
        </w:rPr>
        <w:fldChar w:fldCharType="begin"/>
      </w:r>
      <w:r>
        <w:instrText xml:space="preserve"> REF _Ref169096013 \r \h </w:instrText>
      </w:r>
      <w:r>
        <w:rPr>
          <w:highlight w:val="yellow"/>
        </w:rPr>
      </w:r>
      <w:r>
        <w:rPr>
          <w:highlight w:val="yellow"/>
        </w:rPr>
        <w:fldChar w:fldCharType="separate"/>
      </w:r>
      <w:r>
        <w:t>49</w:t>
      </w:r>
      <w:r>
        <w:rPr>
          <w:highlight w:val="yellow"/>
        </w:rPr>
        <w:fldChar w:fldCharType="end"/>
      </w:r>
      <w:r>
        <w:t>, joka koskee asetuksen (EU) 2019/943 noudattamista).</w:t>
      </w:r>
    </w:p>
    <w:p w14:paraId="2943E659" w14:textId="5F4370C5" w:rsidR="00E965BD" w:rsidRDefault="00E965BD" w:rsidP="00E965BD">
      <w:pPr>
        <w:pStyle w:val="ListParagraph"/>
        <w:spacing w:before="120" w:after="120"/>
        <w:ind w:left="567"/>
        <w:contextualSpacing w:val="0"/>
        <w:jc w:val="both"/>
      </w:pPr>
      <w:r>
        <w:t>…………………………………………………………………………………………….</w:t>
      </w:r>
    </w:p>
    <w:p w14:paraId="51DADD46" w14:textId="68A6289D" w:rsidR="00F21363" w:rsidRPr="00E5054F" w:rsidRDefault="00C24760" w:rsidP="00E965BD">
      <w:pPr>
        <w:pStyle w:val="ListParagraph"/>
        <w:numPr>
          <w:ilvl w:val="0"/>
          <w:numId w:val="4"/>
        </w:numPr>
        <w:spacing w:before="120" w:after="120"/>
        <w:ind w:left="567" w:hanging="567"/>
        <w:contextualSpacing w:val="0"/>
        <w:jc w:val="both"/>
        <w:rPr>
          <w:color w:val="000000"/>
        </w:rPr>
      </w:pPr>
      <w:r>
        <w:t xml:space="preserve"> Jos toimenpiteen rahoittamiseksi peritään maksuja (ks. kysymys 54), täsmentäkää,</w:t>
      </w:r>
    </w:p>
    <w:p w14:paraId="37C8C169" w14:textId="77777777" w:rsidR="002B7718" w:rsidRDefault="002B7718" w:rsidP="002B7718">
      <w:pPr>
        <w:tabs>
          <w:tab w:val="left" w:leader="dot" w:pos="9072"/>
        </w:tabs>
        <w:spacing w:before="120" w:after="120"/>
        <w:ind w:left="927"/>
        <w:jc w:val="both"/>
      </w:pPr>
      <w:r>
        <w:tab/>
      </w:r>
    </w:p>
    <w:p w14:paraId="2BB0A7AC" w14:textId="77777777" w:rsidR="002B7718" w:rsidRDefault="002B7718" w:rsidP="002B7718">
      <w:pPr>
        <w:pStyle w:val="ListParagraph"/>
        <w:numPr>
          <w:ilvl w:val="1"/>
          <w:numId w:val="4"/>
        </w:numPr>
        <w:spacing w:before="120" w:after="120"/>
        <w:contextualSpacing w:val="0"/>
        <w:jc w:val="both"/>
        <w:rPr>
          <w:rFonts w:cs="Arial Unicode MS"/>
          <w:bCs/>
        </w:rPr>
      </w:pPr>
      <w:bookmarkStart w:id="2" w:name="_Hlk160796179"/>
      <w:r>
        <w:t>kohdistuuko maksu yhtäläisesti kotimaisiin tuotteisiin ja tuontituotteisiin;</w:t>
      </w:r>
    </w:p>
    <w:bookmarkEnd w:id="2"/>
    <w:p w14:paraId="331D32BF" w14:textId="77777777" w:rsidR="002B7718" w:rsidRDefault="002B7718" w:rsidP="002B7718">
      <w:pPr>
        <w:tabs>
          <w:tab w:val="left" w:leader="dot" w:pos="9072"/>
        </w:tabs>
        <w:spacing w:before="120" w:after="120"/>
        <w:ind w:left="927"/>
        <w:jc w:val="both"/>
      </w:pPr>
      <w:r>
        <w:tab/>
      </w:r>
    </w:p>
    <w:p w14:paraId="0230AB3F" w14:textId="2E9A6ECD" w:rsidR="002B7718" w:rsidRDefault="002B7718" w:rsidP="002B7718">
      <w:pPr>
        <w:pStyle w:val="ListParagraph"/>
        <w:numPr>
          <w:ilvl w:val="1"/>
          <w:numId w:val="4"/>
        </w:numPr>
        <w:spacing w:before="120" w:after="120"/>
        <w:contextualSpacing w:val="0"/>
        <w:jc w:val="both"/>
        <w:rPr>
          <w:rFonts w:cs="Arial Unicode MS"/>
          <w:bCs/>
        </w:rPr>
      </w:pPr>
      <w:bookmarkStart w:id="3" w:name="_Hlk160796245"/>
      <w:r>
        <w:t>hyödyttääkö ilmoitettu toimenpide yhtä lailla kotimaisia tuottajia ja tuontituotteiden tuottajia.</w:t>
      </w:r>
    </w:p>
    <w:bookmarkEnd w:id="3"/>
    <w:p w14:paraId="20264BE8" w14:textId="77777777" w:rsidR="002B7718" w:rsidRDefault="002B7718" w:rsidP="002B7718">
      <w:pPr>
        <w:tabs>
          <w:tab w:val="left" w:leader="dot" w:pos="9072"/>
        </w:tabs>
        <w:spacing w:before="120" w:after="120"/>
        <w:ind w:left="927"/>
        <w:jc w:val="both"/>
      </w:pPr>
      <w:r>
        <w:tab/>
      </w:r>
    </w:p>
    <w:p w14:paraId="1DBDF34C" w14:textId="38AC0F97" w:rsidR="00CC29A8" w:rsidRPr="00F83660" w:rsidRDefault="00CC29A8" w:rsidP="00544B04">
      <w:pPr>
        <w:tabs>
          <w:tab w:val="left" w:leader="dot" w:pos="9072"/>
        </w:tabs>
        <w:spacing w:before="120" w:after="120"/>
        <w:ind w:left="567"/>
        <w:jc w:val="both"/>
        <w:rPr>
          <w:color w:val="000000"/>
        </w:rPr>
      </w:pPr>
    </w:p>
    <w:p w14:paraId="12BBBE61" w14:textId="3845BC80" w:rsidR="00663008" w:rsidRPr="00F8366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C52CFD">
            <w:pPr>
              <w:pStyle w:val="Heading1"/>
              <w:numPr>
                <w:ilvl w:val="0"/>
                <w:numId w:val="24"/>
              </w:numPr>
              <w:rPr>
                <w:i/>
                <w:color w:val="000000"/>
                <w:sz w:val="28"/>
                <w:szCs w:val="28"/>
              </w:rPr>
            </w:pPr>
            <w:r>
              <w:rPr>
                <w:i/>
                <w:color w:val="000000"/>
                <w:sz w:val="28"/>
              </w:rPr>
              <w:t>Negatiivinen edellytys: tuki ei saa perusteettomasti vaikuttaa kaupankäynnin edellytyksiin yhteisen edun vastaisesti</w:t>
            </w:r>
          </w:p>
        </w:tc>
      </w:tr>
    </w:tbl>
    <w:p w14:paraId="567C40B6" w14:textId="4746CF00" w:rsidR="00164ADE" w:rsidRPr="00164ADE"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566812D0" w:rsidR="00164ADE" w:rsidRPr="009433B5" w:rsidRDefault="009433B5" w:rsidP="009433B5">
            <w:pPr>
              <w:pStyle w:val="Heading1"/>
              <w:ind w:left="1440"/>
              <w:jc w:val="left"/>
              <w:rPr>
                <w:iCs/>
                <w:color w:val="000000"/>
                <w:sz w:val="28"/>
                <w:szCs w:val="28"/>
              </w:rPr>
            </w:pPr>
            <w:r>
              <w:rPr>
                <w:color w:val="000000"/>
                <w:sz w:val="24"/>
              </w:rPr>
              <w:t xml:space="preserve">2.1. Kilpailun ja kaupan vääristymien minimointi </w:t>
            </w:r>
          </w:p>
        </w:tc>
      </w:tr>
    </w:tbl>
    <w:p w14:paraId="13E664B5" w14:textId="1EB96953" w:rsidR="00E870A4" w:rsidRPr="00F8366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28EACE6E" w:rsidR="00663008" w:rsidRPr="00F83660" w:rsidRDefault="005D490D" w:rsidP="009433B5">
            <w:pPr>
              <w:pStyle w:val="Heading1"/>
              <w:numPr>
                <w:ilvl w:val="2"/>
                <w:numId w:val="24"/>
              </w:numPr>
              <w:rPr>
                <w:color w:val="000000"/>
                <w:sz w:val="24"/>
                <w:szCs w:val="24"/>
              </w:rPr>
            </w:pPr>
            <w:r>
              <w:rPr>
                <w:color w:val="000000"/>
                <w:sz w:val="24"/>
              </w:rPr>
              <w:t>Tuen tarpeellisuus</w:t>
            </w:r>
          </w:p>
        </w:tc>
      </w:tr>
    </w:tbl>
    <w:p w14:paraId="3C23674F" w14:textId="79C4B802" w:rsidR="00663008" w:rsidRPr="00F83660" w:rsidRDefault="00663008" w:rsidP="00663008">
      <w:pPr>
        <w:spacing w:before="360" w:after="120"/>
        <w:jc w:val="both"/>
        <w:rPr>
          <w:i/>
          <w:color w:val="000000"/>
        </w:rPr>
      </w:pPr>
      <w:r>
        <w:rPr>
          <w:i/>
        </w:rPr>
        <w:t>Tämän jakson tietoja varten ks. suuntaviivojen 4.8.4.1 kohta (331–339 kappale).</w:t>
      </w:r>
      <w:r>
        <w:rPr>
          <w:i/>
          <w:color w:val="000000"/>
        </w:rPr>
        <w:t xml:space="preserve"> </w:t>
      </w:r>
    </w:p>
    <w:p w14:paraId="31662D12" w14:textId="2DAB52F3" w:rsidR="00A25455" w:rsidRDefault="00A25455" w:rsidP="00C52CFD">
      <w:pPr>
        <w:pStyle w:val="ListParagraph"/>
        <w:numPr>
          <w:ilvl w:val="0"/>
          <w:numId w:val="4"/>
        </w:numPr>
        <w:spacing w:before="120" w:after="120"/>
        <w:ind w:left="567" w:hanging="567"/>
        <w:contextualSpacing w:val="0"/>
        <w:jc w:val="both"/>
      </w:pPr>
      <w:bookmarkStart w:id="4" w:name="_Ref167812746"/>
      <w:r>
        <w:t>Suuntaviivojen 331 kappaleessa todetaan, että sähkön toimitusvarmuutta koskevan ongelman luonne ja syyt ja näin ollen valtiontuen tarve sähkön toimitusvarmuuden varmistamiseksi on analysoitava ja kvantifioitava asianmukaisesti. Tähän kuuluu myös arvio siitä, milloin ja missä ongelman odotetaan syntyvän, soveltuvin osin asetuksen (EU) 2019/943 25 artiklassa määritellyn luotettavuusstandardin valossa.</w:t>
      </w:r>
      <w:bookmarkEnd w:id="4"/>
    </w:p>
    <w:p w14:paraId="1ABC600C" w14:textId="174FCB8E" w:rsidR="00CD4EC7" w:rsidRDefault="00DD7F4B" w:rsidP="00A32872">
      <w:pPr>
        <w:pStyle w:val="ListParagraph"/>
        <w:spacing w:before="120" w:after="120"/>
        <w:ind w:left="567"/>
        <w:contextualSpacing w:val="0"/>
        <w:jc w:val="both"/>
      </w:pPr>
      <w:r>
        <w:t xml:space="preserve">Esittäkää analyysi, jossa yksilöidään ja kvantifioidaan sähkön toimitusvarmuutta koskeva ongelma. Antakaa vastauksessanne lisätietoja ottaen huomioon suuntaviivojen 331–333 kappaleessa esitetyt seikat. </w:t>
      </w:r>
    </w:p>
    <w:p w14:paraId="70CE46FB" w14:textId="6C69C638" w:rsidR="007E61BB" w:rsidRDefault="007E61BB" w:rsidP="00A32872">
      <w:pPr>
        <w:pStyle w:val="ListParagraph"/>
        <w:spacing w:before="120" w:after="120"/>
        <w:ind w:left="567"/>
        <w:contextualSpacing w:val="0"/>
        <w:jc w:val="both"/>
      </w:pPr>
      <w:r>
        <w:t>…………………………………………………………………………………………….</w:t>
      </w:r>
    </w:p>
    <w:p w14:paraId="3166ADB2" w14:textId="77777777" w:rsidR="000B3DE1" w:rsidRDefault="000B3DE1" w:rsidP="00A32872">
      <w:pPr>
        <w:pStyle w:val="ListParagraph"/>
        <w:spacing w:before="120" w:after="120"/>
        <w:ind w:left="2160"/>
        <w:jc w:val="both"/>
        <w:rPr>
          <w:lang w:eastAsia="en-GB"/>
        </w:rPr>
      </w:pPr>
    </w:p>
    <w:p w14:paraId="33475E6C" w14:textId="2CCC2346" w:rsidR="001C1CEF" w:rsidRDefault="00B444A2" w:rsidP="00646D6A">
      <w:pPr>
        <w:pStyle w:val="ListParagraph"/>
        <w:numPr>
          <w:ilvl w:val="0"/>
          <w:numId w:val="4"/>
        </w:numPr>
        <w:spacing w:before="120" w:after="120"/>
        <w:ind w:left="567" w:hanging="567"/>
        <w:jc w:val="both"/>
      </w:pPr>
      <w:r>
        <w:t xml:space="preserve">Toimittakaa suuntaviivojen 334 kappaleen mukaisesti ja sähkökriisien riskiin liittyvien toimenpiteiden osalta asetuksen (EU) 2019/941 11 artiklan mukainen kansallinen </w:t>
      </w:r>
      <w:proofErr w:type="spellStart"/>
      <w:r>
        <w:t>riskeihinvarautumissuunnitelma</w:t>
      </w:r>
      <w:proofErr w:type="spellEnd"/>
      <w:r>
        <w:t xml:space="preserve">, jossa ehdotettu toimenpide olisi yksilöitävä. </w:t>
      </w:r>
    </w:p>
    <w:p w14:paraId="30219CFC" w14:textId="77777777" w:rsidR="007E61BB" w:rsidRDefault="007E61BB" w:rsidP="007E61BB">
      <w:pPr>
        <w:pStyle w:val="ListParagraph"/>
        <w:spacing w:before="120" w:after="120"/>
        <w:ind w:left="567"/>
        <w:jc w:val="both"/>
        <w:rPr>
          <w:lang w:eastAsia="en-GB"/>
        </w:rPr>
      </w:pPr>
    </w:p>
    <w:p w14:paraId="623887C2" w14:textId="7FEB9B05" w:rsidR="007E61BB" w:rsidRDefault="007E61BB" w:rsidP="007E61BB">
      <w:pPr>
        <w:pStyle w:val="ListParagraph"/>
        <w:spacing w:before="120" w:after="120"/>
        <w:ind w:left="567"/>
        <w:jc w:val="both"/>
      </w:pPr>
      <w:r>
        <w:t>…………………………………………………………………………………………….</w:t>
      </w:r>
    </w:p>
    <w:p w14:paraId="5A1544E3" w14:textId="77777777" w:rsidR="001C1CEF" w:rsidRDefault="001C1CEF" w:rsidP="00A32872">
      <w:pPr>
        <w:pStyle w:val="ListParagraph"/>
        <w:ind w:left="567" w:hanging="567"/>
        <w:rPr>
          <w:lang w:eastAsia="en-GB"/>
        </w:rPr>
      </w:pPr>
    </w:p>
    <w:p w14:paraId="3415F5CB" w14:textId="66D25178" w:rsidR="001C1CEF" w:rsidRDefault="007E61BB" w:rsidP="00646D6A">
      <w:pPr>
        <w:pStyle w:val="ListParagraph"/>
        <w:numPr>
          <w:ilvl w:val="0"/>
          <w:numId w:val="4"/>
        </w:numPr>
        <w:spacing w:before="120" w:after="120"/>
        <w:ind w:left="567" w:hanging="567"/>
        <w:jc w:val="both"/>
      </w:pPr>
      <w:r>
        <w:t xml:space="preserve">Suuntaviivojen 335 kappaleen mukaisesti ja kun aikomuksena on ottaa käyttöön useita sähkön toimitusvarmuustoimenpiteitä, on selitettävä selvästi, miten toimenpiteet ovat vuorovaikutuksessa keskenään varmistettaessa toimitusvarmuutta kustannustehokkaasti toimenpiteiden yhteisvaikutuksella. Esimerkiksi kapasiteettimekanismien osalta on </w:t>
      </w:r>
      <w:r>
        <w:lastRenderedPageBreak/>
        <w:t>selitettävä, miten ne saavuttavat 331 kappaleessa tarkoitetun luotettavuusstandardin (mutta eivät ylitä sitä).</w:t>
      </w:r>
    </w:p>
    <w:p w14:paraId="36B20D14" w14:textId="77777777" w:rsidR="007E61BB" w:rsidRDefault="007E61BB" w:rsidP="007E61BB">
      <w:pPr>
        <w:pStyle w:val="ListParagraph"/>
        <w:spacing w:before="120" w:after="120"/>
        <w:ind w:left="0"/>
        <w:jc w:val="both"/>
        <w:rPr>
          <w:lang w:eastAsia="en-GB"/>
        </w:rPr>
      </w:pPr>
    </w:p>
    <w:p w14:paraId="5E625743" w14:textId="1DAA218C" w:rsidR="007E61BB" w:rsidRDefault="007E61BB" w:rsidP="007E61BB">
      <w:pPr>
        <w:pStyle w:val="ListParagraph"/>
        <w:spacing w:before="120" w:after="120"/>
        <w:ind w:left="567"/>
        <w:jc w:val="both"/>
      </w:pPr>
      <w:r>
        <w:t>…………………………………………………………………………………………….</w:t>
      </w:r>
    </w:p>
    <w:p w14:paraId="3D7AEC99" w14:textId="77777777" w:rsidR="00646D6A" w:rsidRDefault="00646D6A" w:rsidP="00A32872">
      <w:pPr>
        <w:pStyle w:val="ListParagraph"/>
        <w:ind w:left="567" w:hanging="567"/>
        <w:rPr>
          <w:lang w:eastAsia="en-GB"/>
        </w:rPr>
      </w:pPr>
    </w:p>
    <w:p w14:paraId="000DD5C0" w14:textId="2D8C5850" w:rsidR="00646D6A" w:rsidRDefault="007E61BB" w:rsidP="00646D6A">
      <w:pPr>
        <w:pStyle w:val="ListParagraph"/>
        <w:numPr>
          <w:ilvl w:val="0"/>
          <w:numId w:val="4"/>
        </w:numPr>
        <w:spacing w:before="120" w:after="120"/>
        <w:ind w:left="567" w:hanging="567"/>
        <w:jc w:val="both"/>
      </w:pPr>
      <w:r>
        <w:t>Yksilöikää suuntaviivojen 336 kappaleen mukaisesti ne sääntelyn tai markkinoiden toimintapuutteet ja muut ongelmat, jotka estävät riittävän sähkön toimitusvarmuuden (ja tarvittaessa ympäristönsuojelun tason) saavuttamisen ilman valtion puuttumista asiaan.</w:t>
      </w:r>
    </w:p>
    <w:p w14:paraId="7AFCAE64" w14:textId="77777777" w:rsidR="007E61BB" w:rsidRDefault="007E61BB" w:rsidP="007E61BB">
      <w:pPr>
        <w:pStyle w:val="ListParagraph"/>
        <w:spacing w:before="120" w:after="120"/>
        <w:ind w:left="0"/>
        <w:jc w:val="both"/>
        <w:rPr>
          <w:lang w:eastAsia="en-GB"/>
        </w:rPr>
      </w:pPr>
    </w:p>
    <w:p w14:paraId="13B6CD7D" w14:textId="4A8BBF66" w:rsidR="007E61BB" w:rsidRDefault="007E61BB" w:rsidP="007E61BB">
      <w:pPr>
        <w:pStyle w:val="ListParagraph"/>
        <w:spacing w:before="120" w:after="120"/>
        <w:ind w:left="567"/>
        <w:jc w:val="both"/>
      </w:pPr>
      <w:r>
        <w:t>…………………………………………………………………………………………….</w:t>
      </w:r>
    </w:p>
    <w:p w14:paraId="0E21F8F0" w14:textId="77777777" w:rsidR="00646D6A" w:rsidRDefault="00646D6A" w:rsidP="00A32872">
      <w:pPr>
        <w:pStyle w:val="ListParagraph"/>
        <w:ind w:left="567" w:hanging="567"/>
        <w:rPr>
          <w:lang w:eastAsia="en-GB"/>
        </w:rPr>
      </w:pPr>
    </w:p>
    <w:p w14:paraId="116E7CC6" w14:textId="1DBD779B" w:rsidR="00646D6A" w:rsidRDefault="007E61BB" w:rsidP="00646D6A">
      <w:pPr>
        <w:pStyle w:val="ListParagraph"/>
        <w:numPr>
          <w:ilvl w:val="0"/>
          <w:numId w:val="4"/>
        </w:numPr>
        <w:spacing w:before="120" w:after="120"/>
        <w:ind w:left="567" w:hanging="567"/>
        <w:jc w:val="both"/>
      </w:pPr>
      <w:r>
        <w:t xml:space="preserve">Yksilöikää suuntaviivojen 337 kappaleen mukaisesti muut olemassa olevat toimenpiteet, jotka jo kohdistuvat markkinoiden toimintapuutteisiin tai sääntelyn puutteisiin tai muihin 336 kappaleen mukaisesti yksilöityihin ongelmiin. Voitte tarvittaessa viitata kysymyksen </w:t>
      </w:r>
      <w:r>
        <w:fldChar w:fldCharType="begin"/>
      </w:r>
      <w:r>
        <w:instrText xml:space="preserve"> REF _Ref167812746 \r \h </w:instrText>
      </w:r>
      <w:r>
        <w:fldChar w:fldCharType="separate"/>
      </w:r>
      <w:r>
        <w:t>16</w:t>
      </w:r>
      <w:r>
        <w:fldChar w:fldCharType="end"/>
      </w:r>
      <w:r>
        <w:t xml:space="preserve"> yhteydessä jo esitettyyn näyttöön.</w:t>
      </w:r>
    </w:p>
    <w:p w14:paraId="25BE48E9" w14:textId="77777777" w:rsidR="007E61BB" w:rsidRDefault="007E61BB" w:rsidP="007E61BB">
      <w:pPr>
        <w:pStyle w:val="ListParagraph"/>
        <w:spacing w:before="120" w:after="120"/>
        <w:ind w:left="567"/>
        <w:jc w:val="both"/>
        <w:rPr>
          <w:lang w:eastAsia="en-GB"/>
        </w:rPr>
      </w:pPr>
    </w:p>
    <w:p w14:paraId="16214339" w14:textId="6F1B65E7" w:rsidR="007E61BB" w:rsidRDefault="007E61BB" w:rsidP="007E61BB">
      <w:pPr>
        <w:pStyle w:val="ListParagraph"/>
        <w:spacing w:before="120" w:after="120"/>
        <w:ind w:left="567"/>
        <w:jc w:val="both"/>
      </w:pPr>
      <w:r>
        <w:t>…………………………………………………………………………………………….</w:t>
      </w:r>
    </w:p>
    <w:p w14:paraId="5E396FE7" w14:textId="77777777" w:rsidR="00646D6A" w:rsidRDefault="00646D6A" w:rsidP="00A32872">
      <w:pPr>
        <w:pStyle w:val="ListParagraph"/>
        <w:ind w:left="567" w:hanging="567"/>
        <w:rPr>
          <w:lang w:eastAsia="en-GB"/>
        </w:rPr>
      </w:pPr>
    </w:p>
    <w:p w14:paraId="62702687" w14:textId="29F099B0" w:rsidR="00646D6A" w:rsidRDefault="007E61BB" w:rsidP="00646D6A">
      <w:pPr>
        <w:pStyle w:val="ListParagraph"/>
        <w:numPr>
          <w:ilvl w:val="0"/>
          <w:numId w:val="4"/>
        </w:numPr>
        <w:spacing w:before="120" w:after="120"/>
        <w:ind w:left="567" w:hanging="567"/>
        <w:jc w:val="both"/>
      </w:pPr>
      <w:r>
        <w:t>Osoittakaa suuntaviivojen 338 kappaleen mukaisesti syyt, joiden vuoksi markkinoiden ei voida odottaa pystyvän sähkön toimitusvarmuuteen ilman valtiontukea, ottaen huomioon kyseisen jäsenvaltion kaavailemat markkinauudistukset ja -parannukset ja teknologian kehitys.</w:t>
      </w:r>
    </w:p>
    <w:p w14:paraId="6D13E8B0" w14:textId="77777777" w:rsidR="007E61BB" w:rsidRDefault="007E61BB" w:rsidP="007E61BB">
      <w:pPr>
        <w:pStyle w:val="ListParagraph"/>
        <w:spacing w:before="120" w:after="120"/>
        <w:ind w:left="567"/>
        <w:jc w:val="both"/>
        <w:rPr>
          <w:lang w:eastAsia="en-GB"/>
        </w:rPr>
      </w:pPr>
    </w:p>
    <w:p w14:paraId="7EE1181A" w14:textId="2EA88D11" w:rsidR="007E61BB" w:rsidRDefault="007E61BB" w:rsidP="007E61BB">
      <w:pPr>
        <w:pStyle w:val="ListParagraph"/>
        <w:spacing w:before="120" w:after="120"/>
        <w:ind w:left="567"/>
        <w:jc w:val="both"/>
      </w:pPr>
      <w:r>
        <w:t>…………………………………………………………………………………………….</w:t>
      </w:r>
    </w:p>
    <w:p w14:paraId="39B358C4" w14:textId="77777777" w:rsidR="00E13506" w:rsidRDefault="00E13506" w:rsidP="00A32872">
      <w:pPr>
        <w:pStyle w:val="ListParagraph"/>
        <w:rPr>
          <w:lang w:eastAsia="en-GB"/>
        </w:rPr>
      </w:pPr>
    </w:p>
    <w:p w14:paraId="7BF1249B" w14:textId="6FDD0293" w:rsidR="00646D6A" w:rsidRDefault="00E13506" w:rsidP="00A32872">
      <w:pPr>
        <w:pStyle w:val="ListParagraph"/>
        <w:numPr>
          <w:ilvl w:val="0"/>
          <w:numId w:val="4"/>
        </w:numPr>
        <w:spacing w:before="120" w:after="240"/>
        <w:ind w:left="567" w:hanging="567"/>
        <w:jc w:val="both"/>
      </w:pPr>
      <w:r>
        <w:t>Esittäkää seuraavat suuntaviivojen 339 kappaleessa mainitut tiedot:</w:t>
      </w:r>
    </w:p>
    <w:p w14:paraId="22B1B19C" w14:textId="02BC0A6D" w:rsidR="001F444E" w:rsidRDefault="00CC02E1" w:rsidP="0013713F">
      <w:pPr>
        <w:pStyle w:val="ListParagraph"/>
        <w:numPr>
          <w:ilvl w:val="1"/>
          <w:numId w:val="4"/>
        </w:numPr>
        <w:spacing w:after="240"/>
        <w:ind w:left="1134" w:hanging="283"/>
        <w:jc w:val="both"/>
      </w:pPr>
      <w:r>
        <w:t xml:space="preserve">Arvio vaihteluille alttiin tuotannon vaikutuksesta, mukaan lukien naapurimaista tuleva tuotanto. </w:t>
      </w:r>
    </w:p>
    <w:p w14:paraId="733F56B8" w14:textId="77777777" w:rsidR="00D24030" w:rsidRDefault="00D24030" w:rsidP="0013713F">
      <w:pPr>
        <w:pStyle w:val="ListParagraph"/>
        <w:spacing w:after="240"/>
        <w:ind w:left="1134"/>
        <w:jc w:val="both"/>
        <w:rPr>
          <w:lang w:eastAsia="en-GB"/>
        </w:rPr>
      </w:pPr>
    </w:p>
    <w:p w14:paraId="72F40BC9" w14:textId="6B75E542" w:rsidR="00D24030" w:rsidRDefault="00D24030" w:rsidP="00D24030">
      <w:pPr>
        <w:pStyle w:val="ListParagraph"/>
        <w:spacing w:after="240"/>
        <w:ind w:left="567"/>
        <w:jc w:val="both"/>
      </w:pPr>
      <w:r>
        <w:t>…………………………………………………………………………………………….</w:t>
      </w:r>
    </w:p>
    <w:p w14:paraId="0F11489C" w14:textId="77777777" w:rsidR="00D24030" w:rsidRDefault="00D24030" w:rsidP="0013713F">
      <w:pPr>
        <w:pStyle w:val="ListParagraph"/>
        <w:spacing w:after="240"/>
        <w:ind w:left="567"/>
        <w:jc w:val="both"/>
        <w:rPr>
          <w:lang w:eastAsia="en-GB"/>
        </w:rPr>
      </w:pPr>
    </w:p>
    <w:p w14:paraId="3DB91AB7" w14:textId="69759882" w:rsidR="00646D6A" w:rsidRDefault="00CC02E1" w:rsidP="0013713F">
      <w:pPr>
        <w:pStyle w:val="ListParagraph"/>
        <w:numPr>
          <w:ilvl w:val="1"/>
          <w:numId w:val="4"/>
        </w:numPr>
        <w:spacing w:after="240"/>
        <w:ind w:left="1134" w:hanging="283"/>
        <w:jc w:val="both"/>
      </w:pPr>
      <w:r>
        <w:t>Kysyntäpuolen ja varastoinnin osallistumisen vaikutusten arviointi, mukaan lukien kuvaus toimenpiteistä, joilla edistetään kysynnän hallintaa.</w:t>
      </w:r>
    </w:p>
    <w:p w14:paraId="3B87D3DB" w14:textId="77777777" w:rsidR="00D24030" w:rsidRDefault="00D24030" w:rsidP="0013713F">
      <w:pPr>
        <w:pStyle w:val="ListParagraph"/>
        <w:spacing w:after="240"/>
        <w:ind w:left="1134"/>
        <w:jc w:val="both"/>
        <w:rPr>
          <w:lang w:eastAsia="en-GB"/>
        </w:rPr>
      </w:pPr>
    </w:p>
    <w:p w14:paraId="73D99F4F" w14:textId="79016EE1" w:rsidR="00D24030" w:rsidRDefault="00D24030" w:rsidP="00D24030">
      <w:pPr>
        <w:pStyle w:val="ListParagraph"/>
        <w:spacing w:after="240"/>
        <w:ind w:left="567"/>
        <w:jc w:val="both"/>
      </w:pPr>
      <w:r>
        <w:t>…………………………………………………………………………………………….</w:t>
      </w:r>
    </w:p>
    <w:p w14:paraId="12D5F683" w14:textId="77777777" w:rsidR="00D24030" w:rsidRDefault="00D24030" w:rsidP="0013713F">
      <w:pPr>
        <w:pStyle w:val="ListParagraph"/>
        <w:spacing w:after="240"/>
        <w:ind w:left="567"/>
        <w:jc w:val="both"/>
        <w:rPr>
          <w:lang w:eastAsia="en-GB"/>
        </w:rPr>
      </w:pPr>
    </w:p>
    <w:p w14:paraId="7962B400" w14:textId="0EBAAB07" w:rsidR="00646D6A" w:rsidRDefault="00CC02E1" w:rsidP="0013713F">
      <w:pPr>
        <w:pStyle w:val="ListParagraph"/>
        <w:numPr>
          <w:ilvl w:val="1"/>
          <w:numId w:val="4"/>
        </w:numPr>
        <w:spacing w:after="240"/>
        <w:ind w:left="1134" w:hanging="283"/>
        <w:jc w:val="both"/>
      </w:pPr>
      <w:r>
        <w:t>Todellisten tai potentiaalisten rajayhdysjohtojen ja tärkeimmän sisäisen siirtoverkkoinfrastruktuurin arviointi, mukaan lukien kuvaus rakenteilla ja suunnitteilla olevista hankkeista.</w:t>
      </w:r>
    </w:p>
    <w:p w14:paraId="216A05CC" w14:textId="77777777" w:rsidR="00D24030" w:rsidRDefault="00D24030" w:rsidP="00D24030">
      <w:pPr>
        <w:pStyle w:val="ListParagraph"/>
        <w:spacing w:after="240"/>
        <w:ind w:left="567"/>
        <w:jc w:val="both"/>
        <w:rPr>
          <w:lang w:eastAsia="en-GB"/>
        </w:rPr>
      </w:pPr>
    </w:p>
    <w:p w14:paraId="5FD32882" w14:textId="0BAB0EB7" w:rsidR="00D24030" w:rsidRDefault="00D24030" w:rsidP="00D24030">
      <w:pPr>
        <w:pStyle w:val="ListParagraph"/>
        <w:spacing w:after="240"/>
        <w:ind w:left="567"/>
        <w:jc w:val="both"/>
      </w:pPr>
      <w:r>
        <w:t>…………………………………………………………………………………………….</w:t>
      </w:r>
    </w:p>
    <w:p w14:paraId="14DAAA64" w14:textId="77777777" w:rsidR="00D24030" w:rsidRDefault="00D24030" w:rsidP="0013713F">
      <w:pPr>
        <w:pStyle w:val="ListParagraph"/>
        <w:spacing w:after="240"/>
        <w:ind w:left="567"/>
        <w:jc w:val="both"/>
        <w:rPr>
          <w:lang w:eastAsia="en-GB"/>
        </w:rPr>
      </w:pPr>
    </w:p>
    <w:p w14:paraId="27E6A8E5" w14:textId="0533F2EB" w:rsidR="00D24030" w:rsidRDefault="00631A11" w:rsidP="0013713F">
      <w:pPr>
        <w:pStyle w:val="ListParagraph"/>
        <w:numPr>
          <w:ilvl w:val="1"/>
          <w:numId w:val="4"/>
        </w:numPr>
        <w:spacing w:after="240"/>
        <w:ind w:left="1134" w:hanging="283"/>
        <w:jc w:val="both"/>
      </w:pPr>
      <w:r>
        <w:t xml:space="preserve"> Mahdollisten muiden sellaisten tekijöiden arviointi, jotka saattaisivat aiheuttaa sähkön toimitusvarmuusongelman tai pahentaa sitä, kuten tukkuhintakatot tai muut sääntelyn puutteet tai markkinoiden toimintapuutteet. Esittäkää ja ottakaa tarvittaessa huomioon asetuksen (EU) 2019/943 20 artiklan 3 mukainen täytäntöönpanosuunnitelma toimenpiteistä, joilla poistetaan havaitut sääntelyvääristymät tai markkinapuutteet, sekä mainitun artiklan 5 kohdan mukainen komission lausunto tällaisesta täytäntöönpanosuunnitelmasta.</w:t>
      </w:r>
    </w:p>
    <w:p w14:paraId="7A0BA767" w14:textId="77777777" w:rsidR="00D24030" w:rsidRDefault="00D24030" w:rsidP="00D24030">
      <w:pPr>
        <w:pStyle w:val="ListParagraph"/>
        <w:spacing w:after="240"/>
        <w:ind w:left="567"/>
        <w:jc w:val="both"/>
        <w:rPr>
          <w:lang w:eastAsia="en-GB"/>
        </w:rPr>
      </w:pPr>
    </w:p>
    <w:p w14:paraId="44EBBAAE" w14:textId="77777777" w:rsidR="00D24030" w:rsidRDefault="00D24030" w:rsidP="00D24030">
      <w:pPr>
        <w:pStyle w:val="ListParagraph"/>
        <w:spacing w:after="240"/>
        <w:ind w:left="567"/>
        <w:jc w:val="both"/>
      </w:pPr>
      <w:r>
        <w:lastRenderedPageBreak/>
        <w:t>…………………………………………………………………………………………….</w:t>
      </w:r>
    </w:p>
    <w:p w14:paraId="48D250F3" w14:textId="698F98F4" w:rsidR="00E91CD6" w:rsidRDefault="00646D6A" w:rsidP="0013713F">
      <w:pPr>
        <w:pStyle w:val="ListParagraph"/>
        <w:spacing w:after="240"/>
        <w:ind w:left="567"/>
        <w:jc w:val="both"/>
      </w:pPr>
      <w:r>
        <w:t xml:space="preserve"> </w:t>
      </w:r>
    </w:p>
    <w:p w14:paraId="57A56477" w14:textId="3D8D26A8" w:rsidR="00646D6A" w:rsidRDefault="00CC02E1" w:rsidP="0013713F">
      <w:pPr>
        <w:pStyle w:val="ListParagraph"/>
        <w:numPr>
          <w:ilvl w:val="1"/>
          <w:numId w:val="4"/>
        </w:numPr>
        <w:spacing w:after="240"/>
        <w:ind w:left="1134" w:hanging="283"/>
        <w:jc w:val="both"/>
      </w:pPr>
      <w:r>
        <w:t>Asetuksen (EU) 2019/943 15 artiklan mukaisen toimintasuunnitelman asiaankuuluva sisältö.</w:t>
      </w:r>
    </w:p>
    <w:p w14:paraId="621A86A8" w14:textId="77777777" w:rsidR="00663008" w:rsidRPr="00836816" w:rsidRDefault="00663008" w:rsidP="00663008">
      <w:pPr>
        <w:tabs>
          <w:tab w:val="left" w:leader="dot" w:pos="9072"/>
        </w:tabs>
        <w:spacing w:before="120" w:after="120"/>
        <w:ind w:left="567"/>
        <w:jc w:val="both"/>
      </w:pP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69099AF6" w:rsidR="00EA354A" w:rsidRPr="00F83660" w:rsidRDefault="0013713F" w:rsidP="0013713F">
            <w:pPr>
              <w:pStyle w:val="Heading1"/>
              <w:numPr>
                <w:ilvl w:val="2"/>
                <w:numId w:val="24"/>
              </w:numPr>
              <w:rPr>
                <w:color w:val="000000"/>
                <w:sz w:val="24"/>
                <w:szCs w:val="24"/>
              </w:rPr>
            </w:pPr>
            <w:r>
              <w:rPr>
                <w:color w:val="000000"/>
                <w:sz w:val="24"/>
              </w:rPr>
              <w:t>Tarkoituksenmukaisuus</w:t>
            </w:r>
          </w:p>
        </w:tc>
      </w:tr>
    </w:tbl>
    <w:p w14:paraId="4C2D927B" w14:textId="3E3F17BF" w:rsidR="00EA354A" w:rsidRPr="00F83660" w:rsidRDefault="00EA354A" w:rsidP="00EA354A">
      <w:pPr>
        <w:spacing w:before="360" w:after="120"/>
        <w:jc w:val="both"/>
        <w:rPr>
          <w:i/>
          <w:color w:val="000000"/>
        </w:rPr>
      </w:pPr>
      <w:r>
        <w:rPr>
          <w:i/>
        </w:rPr>
        <w:t>Tämän jakson tietoja varten ks. suuntaviivojen 4.8.4.2 kohta (341–342 kappale).</w:t>
      </w:r>
      <w:r>
        <w:rPr>
          <w:i/>
          <w:color w:val="000000"/>
        </w:rPr>
        <w:t xml:space="preserve"> </w:t>
      </w:r>
    </w:p>
    <w:p w14:paraId="07C78113" w14:textId="6559C3EA" w:rsidR="00631A11" w:rsidRDefault="00631A11" w:rsidP="00A32872">
      <w:pPr>
        <w:pStyle w:val="ListParagraph"/>
        <w:numPr>
          <w:ilvl w:val="0"/>
          <w:numId w:val="4"/>
        </w:numPr>
        <w:spacing w:before="120" w:after="120"/>
        <w:ind w:left="567" w:hanging="567"/>
        <w:contextualSpacing w:val="0"/>
        <w:jc w:val="both"/>
      </w:pPr>
      <w:bookmarkStart w:id="5" w:name="_Ref168390744"/>
      <w:r>
        <w:t>Selittäkää suuntaviivojen 341 kappaleen noudattamisen arvioimiseksi seuraavat:</w:t>
      </w:r>
      <w:bookmarkEnd w:id="5"/>
      <w:r>
        <w:t xml:space="preserve"> </w:t>
      </w:r>
    </w:p>
    <w:p w14:paraId="79825D38" w14:textId="43C3C984" w:rsidR="0021413B" w:rsidRDefault="000F6575" w:rsidP="0013713F">
      <w:pPr>
        <w:pStyle w:val="ListParagraph"/>
        <w:numPr>
          <w:ilvl w:val="1"/>
          <w:numId w:val="4"/>
        </w:numPr>
        <w:spacing w:before="120" w:after="120"/>
        <w:ind w:left="1134" w:hanging="283"/>
        <w:contextualSpacing w:val="0"/>
        <w:jc w:val="both"/>
      </w:pPr>
      <w:r>
        <w:t xml:space="preserve">Selittäkää, mitä vaihtoehtoisia tapoja on harkittu sähkön toimitusvarmuuden saavuttamiseksi, erityisesti tehokkaampi sähkömarkkinoiden rakenne, jolla voidaan lieventää sähkön toimitusvarmuutta heikentäviä markkinoiden toimintapuutteita. Suuntaviivojen 341 kappaleessa annetaan tämän osalta esimerkkejä sähkömarkkinoiden rakenteen parantamisesta (sähkön taseselvitysjärjestelmän toiminnan parantaminen, vaihtelevan sähköntuotannon parempi integrointi, kysyntäjoustoon ja varastointiin kannustaminen ja niiden integrointi, tehokkaiden hintasignaalien mahdollistaminen, rajat ylittävän kaupan esteiden poistaminen ja infrastruktuurin parantaminen, mukaan lukien </w:t>
      </w:r>
      <w:proofErr w:type="spellStart"/>
      <w:r>
        <w:t>yhteenliitännät</w:t>
      </w:r>
      <w:proofErr w:type="spellEnd"/>
      <w:r>
        <w:t>).</w:t>
      </w:r>
    </w:p>
    <w:p w14:paraId="159F5D94" w14:textId="5BF3AD77" w:rsidR="00631A11" w:rsidRPr="0021413B" w:rsidRDefault="00631A11" w:rsidP="0013713F">
      <w:pPr>
        <w:pStyle w:val="ListParagraph"/>
        <w:spacing w:before="120" w:after="120"/>
        <w:ind w:left="567"/>
        <w:contextualSpacing w:val="0"/>
        <w:jc w:val="both"/>
      </w:pPr>
      <w:r>
        <w:t>…………………………………………………………………………………………….</w:t>
      </w:r>
    </w:p>
    <w:p w14:paraId="294AE69F" w14:textId="37E2EC9B" w:rsidR="002C3BBC" w:rsidRDefault="00F43D8F" w:rsidP="0013713F">
      <w:pPr>
        <w:pStyle w:val="ListParagraph"/>
        <w:numPr>
          <w:ilvl w:val="1"/>
          <w:numId w:val="4"/>
        </w:numPr>
        <w:spacing w:before="120" w:after="120"/>
        <w:ind w:left="1134" w:hanging="283"/>
        <w:contextualSpacing w:val="0"/>
        <w:jc w:val="both"/>
      </w:pPr>
      <w:r>
        <w:t>Osoittakaa, että asianmukaisista ja oikeasuhteisista toteutetuista tai suunnitelluista markkinarakenteen parannuksista ja verkkoinvestoinneista huolimatta toimitusvarmuuteen liittyy edelleen ongelmia (suuntaviivojen 341 kappale).</w:t>
      </w:r>
    </w:p>
    <w:p w14:paraId="179BCAD5" w14:textId="5BB0CBC0" w:rsidR="00B36962" w:rsidRDefault="00B36962" w:rsidP="00A32872">
      <w:pPr>
        <w:pStyle w:val="ListParagraph"/>
        <w:spacing w:before="120" w:after="120"/>
        <w:ind w:left="567"/>
        <w:contextualSpacing w:val="0"/>
        <w:jc w:val="both"/>
      </w:pPr>
      <w:r>
        <w:t>…………………………………………………………………………………….............</w:t>
      </w:r>
    </w:p>
    <w:p w14:paraId="23185F94" w14:textId="708637F6" w:rsidR="00E91CD6" w:rsidRDefault="00E13506" w:rsidP="00E91CD6">
      <w:pPr>
        <w:pStyle w:val="ListParagraph"/>
        <w:numPr>
          <w:ilvl w:val="0"/>
          <w:numId w:val="4"/>
        </w:numPr>
        <w:spacing w:before="120" w:after="120"/>
        <w:ind w:left="567" w:hanging="567"/>
        <w:contextualSpacing w:val="0"/>
        <w:jc w:val="both"/>
      </w:pPr>
      <w:r>
        <w:t>Verkon ylikuormitustoimenpiteiden osalta selittäkää myös, miten ajojärjestyksen uudelleenmäärittelytoimenpiteiden tehokkuutta parannetaan asetuksen (EU) 2019/943 13 artiklan mukaisesti (suuntaviivojen 342 kappale).</w:t>
      </w:r>
    </w:p>
    <w:p w14:paraId="78310DA6" w14:textId="1148C368" w:rsidR="00AB322D" w:rsidRPr="00342D59" w:rsidRDefault="00C2550E" w:rsidP="00342D59">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236D0F04" w:rsidR="00AB322D" w:rsidRPr="00E74034" w:rsidRDefault="00AB322D" w:rsidP="0013713F">
            <w:pPr>
              <w:pStyle w:val="Heading1"/>
              <w:numPr>
                <w:ilvl w:val="2"/>
                <w:numId w:val="24"/>
              </w:numPr>
              <w:rPr>
                <w:sz w:val="24"/>
                <w:szCs w:val="24"/>
              </w:rPr>
            </w:pPr>
            <w:r>
              <w:rPr>
                <w:sz w:val="24"/>
              </w:rPr>
              <w:t>Tukikelpoisuus</w:t>
            </w:r>
          </w:p>
        </w:tc>
      </w:tr>
    </w:tbl>
    <w:p w14:paraId="2460A5B7" w14:textId="542C5474" w:rsidR="00AB322D" w:rsidRPr="00E74034" w:rsidRDefault="00AB322D" w:rsidP="00AB322D">
      <w:pPr>
        <w:spacing w:before="360" w:after="120"/>
        <w:jc w:val="both"/>
        <w:rPr>
          <w:i/>
        </w:rPr>
      </w:pPr>
      <w:r>
        <w:rPr>
          <w:i/>
        </w:rPr>
        <w:t xml:space="preserve">Tämän jakson tietoja varten ks. suuntaviivojen 4.8.4.3 kohta (343–346 kappale). </w:t>
      </w:r>
    </w:p>
    <w:p w14:paraId="5B261EDF" w14:textId="1C3D2939" w:rsidR="00AC1835" w:rsidRPr="0041079D" w:rsidRDefault="00757E45" w:rsidP="0041079D">
      <w:pPr>
        <w:pStyle w:val="ListParagraph"/>
        <w:numPr>
          <w:ilvl w:val="0"/>
          <w:numId w:val="4"/>
        </w:numPr>
        <w:spacing w:before="120" w:after="120"/>
        <w:ind w:left="567" w:hanging="567"/>
        <w:contextualSpacing w:val="0"/>
        <w:jc w:val="both"/>
      </w:pPr>
      <w:r>
        <w:t xml:space="preserve">Vahvistakaa suuntaviivojen 343 kappaleen noudattamisen osoittamiseksi, että toimenpide on avoin kaikille tuensaajille tai hankkeille, jotka teknisesti pystyvät edistämään tehokkaasti toimitusvarmuutta koskevan tavoitteen saavuttamista (esim. tuotanto, varastointi, kulutusjousto, pienten yksiköiden yhdistäminen suuremmiksi lohkoiksi). </w:t>
      </w:r>
    </w:p>
    <w:p w14:paraId="0E72243E" w14:textId="7C3263F1" w:rsidR="00C2550E" w:rsidRDefault="00C2550E" w:rsidP="00A32872">
      <w:pPr>
        <w:pStyle w:val="ListParagraph"/>
        <w:spacing w:before="120" w:after="120"/>
        <w:ind w:left="567"/>
        <w:contextualSpacing w:val="0"/>
        <w:jc w:val="both"/>
      </w:pPr>
      <w:r>
        <w:t>…………………………………………………………………………………………….</w:t>
      </w:r>
    </w:p>
    <w:p w14:paraId="6A36C585" w14:textId="0E19FB2D" w:rsidR="00C2550E" w:rsidRDefault="00757E45" w:rsidP="00A32872">
      <w:pPr>
        <w:pStyle w:val="ListParagraph"/>
        <w:numPr>
          <w:ilvl w:val="0"/>
          <w:numId w:val="4"/>
        </w:numPr>
        <w:spacing w:before="120" w:after="120"/>
        <w:ind w:left="567" w:hanging="567"/>
        <w:contextualSpacing w:val="0"/>
        <w:jc w:val="both"/>
      </w:pPr>
      <w:r>
        <w:t xml:space="preserve">Selittäkää suuntaviivojen 344 kappaleen mukaisesti, onko ehdotettuun toimitusvarmuustoimenpiteeseen osallistumista koskevia rajoituksia, joilla pyritään varmistamaan, että toimenpide ei heikennä ympäristönsuojelua. </w:t>
      </w:r>
    </w:p>
    <w:p w14:paraId="5F432598" w14:textId="5B72B220" w:rsidR="0006674F" w:rsidRDefault="0006674F" w:rsidP="00A32872">
      <w:pPr>
        <w:pStyle w:val="ListParagraph"/>
        <w:spacing w:before="120" w:after="120"/>
        <w:ind w:left="567"/>
        <w:contextualSpacing w:val="0"/>
        <w:jc w:val="both"/>
      </w:pPr>
      <w:r>
        <w:lastRenderedPageBreak/>
        <w:t>…………………………………………………………………………………………….</w:t>
      </w:r>
    </w:p>
    <w:p w14:paraId="6E89B6D6" w14:textId="461347B4" w:rsidR="00C2550E" w:rsidRDefault="001243C2" w:rsidP="00A32872">
      <w:pPr>
        <w:pStyle w:val="ListParagraph"/>
        <w:numPr>
          <w:ilvl w:val="0"/>
          <w:numId w:val="4"/>
        </w:numPr>
        <w:spacing w:before="120" w:after="120"/>
        <w:ind w:left="567" w:hanging="567"/>
        <w:contextualSpacing w:val="0"/>
        <w:jc w:val="both"/>
      </w:pPr>
      <w:r>
        <w:t xml:space="preserve">Jos ilmoitettuun toimitusvarmuutta koskevaan toimenpiteeseen sisältyy lisäkriteerejä tai -piirteitä, joilla edistetään ympäristöystävällisempien teknologioiden osallistumista (tai vähennetään saastuttavien teknologioiden osallistumista), jotka ovat tarpeen unionin ympäristönsuojelutavoitteiden tukemiseksi, osoittakaa, että tällaiset lisäkriteerit tai -piirteet ovat objektiivisia, läpinäkyviä ja syrjimättömiä suhteessa selkeästi määriteltyihin ympäristönsuojelutavoitteisiin eivätkä johda tuensaajien ylikompensaatioon (suuntaviivojen 345 kappale). </w:t>
      </w:r>
    </w:p>
    <w:p w14:paraId="3D7256B6" w14:textId="797DEA12" w:rsidR="00C2550E" w:rsidRPr="002C6BE5" w:rsidRDefault="00C2550E" w:rsidP="00C2550E">
      <w:pPr>
        <w:tabs>
          <w:tab w:val="left" w:leader="dot" w:pos="9072"/>
        </w:tabs>
        <w:spacing w:before="120" w:after="120"/>
        <w:ind w:left="567"/>
        <w:jc w:val="both"/>
      </w:pPr>
      <w:r>
        <w:tab/>
      </w:r>
    </w:p>
    <w:p w14:paraId="39861E3B" w14:textId="2F9F8A12" w:rsidR="00757E45" w:rsidRDefault="00757E45" w:rsidP="00757E45">
      <w:pPr>
        <w:pStyle w:val="ListParagraph"/>
        <w:numPr>
          <w:ilvl w:val="0"/>
          <w:numId w:val="4"/>
        </w:numPr>
        <w:spacing w:before="120" w:after="120"/>
        <w:ind w:left="567" w:hanging="567"/>
        <w:contextualSpacing w:val="0"/>
        <w:jc w:val="both"/>
      </w:pPr>
      <w:r>
        <w:t xml:space="preserve">Suuntaviivojen 346 kappaleen mukaisesti: </w:t>
      </w:r>
    </w:p>
    <w:p w14:paraId="6D01F322" w14:textId="59FBE293" w:rsidR="0098393D" w:rsidRPr="0098393D" w:rsidRDefault="00CC2B48" w:rsidP="001D2520">
      <w:pPr>
        <w:pStyle w:val="ListParagraph"/>
        <w:numPr>
          <w:ilvl w:val="1"/>
          <w:numId w:val="4"/>
        </w:numPr>
        <w:spacing w:before="120" w:after="120"/>
        <w:ind w:left="1134" w:hanging="283"/>
        <w:contextualSpacing w:val="0"/>
        <w:jc w:val="both"/>
      </w:pPr>
      <w:r>
        <w:t xml:space="preserve">Ilmoittakaa, onko sähkön toimitusvarmuustoimenpide avoin toisessa jäsenvaltiossa sijaitsevien kapasiteetin tarjoajien suoralle rajat ylittävälle osallistumiselle. Jos ei, esittäkää perustelut. </w:t>
      </w:r>
    </w:p>
    <w:p w14:paraId="571EA613" w14:textId="479A2476" w:rsidR="0098393D" w:rsidRDefault="0098393D" w:rsidP="00A32872">
      <w:pPr>
        <w:pStyle w:val="ListParagraph"/>
        <w:ind w:hanging="153"/>
      </w:pPr>
      <w:r>
        <w:t>……………………………………………………………………………………….........</w:t>
      </w:r>
    </w:p>
    <w:p w14:paraId="65B21FB4" w14:textId="11C332B2" w:rsidR="00AC1835" w:rsidRDefault="00BD2E36" w:rsidP="001D2520">
      <w:pPr>
        <w:pStyle w:val="ListParagraph"/>
        <w:numPr>
          <w:ilvl w:val="1"/>
          <w:numId w:val="4"/>
        </w:numPr>
        <w:spacing w:before="120" w:after="120"/>
        <w:ind w:left="1134" w:hanging="283"/>
        <w:contextualSpacing w:val="0"/>
        <w:jc w:val="both"/>
      </w:pPr>
      <w:r>
        <w:t xml:space="preserve">Osoittakaa, että ulkomaisella kapasiteetilla, joka pystyy tarjoamaan vastaavan teknisen suorituskyvyn kuin kotimainen kapasiteetti, on mahdollisuus osallistua samaan kilpailumenettelyyn kuin kotimainen kapasiteetti. </w:t>
      </w:r>
    </w:p>
    <w:p w14:paraId="292E7CCC" w14:textId="275D78A0" w:rsidR="00C2550E" w:rsidRDefault="00C2550E" w:rsidP="00A32872">
      <w:pPr>
        <w:pStyle w:val="ListParagraph"/>
        <w:spacing w:before="120" w:after="120"/>
        <w:ind w:left="567"/>
        <w:contextualSpacing w:val="0"/>
        <w:jc w:val="both"/>
      </w:pPr>
      <w:r>
        <w:t>…………………………………………………………………………………………...</w:t>
      </w:r>
    </w:p>
    <w:p w14:paraId="5A81EFFB" w14:textId="2CF7DB45" w:rsidR="00BD2E36" w:rsidRPr="00E74034" w:rsidRDefault="00A567B2" w:rsidP="001D2520">
      <w:pPr>
        <w:pStyle w:val="ListParagraph"/>
        <w:numPr>
          <w:ilvl w:val="1"/>
          <w:numId w:val="4"/>
        </w:numPr>
        <w:spacing w:before="120" w:after="120"/>
        <w:ind w:left="1134" w:hanging="283"/>
        <w:contextualSpacing w:val="0"/>
        <w:jc w:val="both"/>
      </w:pPr>
      <w:r>
        <w:t xml:space="preserve">Osoittakaa tarvittaessa, että noudatetaan asetuksen (EU) 2019/943 26 artiklassa vahvistettuja sääntöjä rajat ylittävästä osallistumisesta kapasiteettimekanismeihin. </w:t>
      </w:r>
    </w:p>
    <w:p w14:paraId="50EFD0C1" w14:textId="77777777" w:rsidR="00AB322D" w:rsidRPr="00E74034" w:rsidRDefault="00AB322D" w:rsidP="00AB322D">
      <w:pPr>
        <w:tabs>
          <w:tab w:val="left" w:leader="dot" w:pos="9072"/>
        </w:tabs>
        <w:spacing w:before="120" w:after="120"/>
        <w:ind w:left="567"/>
        <w:jc w:val="both"/>
      </w:pPr>
      <w:r>
        <w:tab/>
      </w:r>
    </w:p>
    <w:p w14:paraId="2751C082" w14:textId="70B7F0D4" w:rsidR="00E74034" w:rsidRDefault="00E74034" w:rsidP="00E74034">
      <w:pPr>
        <w:ind w:left="-567" w:firstLine="1412"/>
      </w:pPr>
    </w:p>
    <w:p w14:paraId="6CCBB7A5" w14:textId="77777777" w:rsidR="003E4266" w:rsidRPr="003E4266"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395F6140" w14:textId="77777777" w:rsidTr="00C041E3">
        <w:tc>
          <w:tcPr>
            <w:tcW w:w="9322" w:type="dxa"/>
            <w:shd w:val="pct15" w:color="auto" w:fill="auto"/>
          </w:tcPr>
          <w:p w14:paraId="06530123" w14:textId="40FE4CC8" w:rsidR="00E74034" w:rsidRPr="00E74034" w:rsidRDefault="00E74034" w:rsidP="001D2520">
            <w:pPr>
              <w:pStyle w:val="Heading1"/>
              <w:numPr>
                <w:ilvl w:val="2"/>
                <w:numId w:val="24"/>
              </w:numPr>
              <w:rPr>
                <w:sz w:val="24"/>
                <w:szCs w:val="24"/>
              </w:rPr>
            </w:pPr>
            <w:r>
              <w:rPr>
                <w:sz w:val="24"/>
              </w:rPr>
              <w:t>Julkinen kuuleminen</w:t>
            </w:r>
          </w:p>
        </w:tc>
      </w:tr>
    </w:tbl>
    <w:p w14:paraId="1B229D4F" w14:textId="57AA6556" w:rsidR="00E74034" w:rsidRPr="00E74034" w:rsidRDefault="00E74034" w:rsidP="00E74034">
      <w:pPr>
        <w:spacing w:before="360" w:after="120"/>
        <w:jc w:val="both"/>
        <w:rPr>
          <w:i/>
        </w:rPr>
      </w:pPr>
      <w:r>
        <w:rPr>
          <w:i/>
        </w:rPr>
        <w:t xml:space="preserve">Tämän jakson tietoja varten ks. suuntaviivojen 4.8.4.4 kohta (348–351 kappale). </w:t>
      </w:r>
    </w:p>
    <w:p w14:paraId="78EF67B8" w14:textId="77777777" w:rsidR="00725C45" w:rsidRDefault="0004197A" w:rsidP="0004197A">
      <w:pPr>
        <w:pStyle w:val="ListParagraph"/>
        <w:numPr>
          <w:ilvl w:val="0"/>
          <w:numId w:val="4"/>
        </w:numPr>
        <w:spacing w:before="120" w:after="120"/>
        <w:ind w:left="567" w:hanging="567"/>
        <w:contextualSpacing w:val="0"/>
        <w:jc w:val="both"/>
      </w:pPr>
      <w:r>
        <w:t>Selittäkää, edellyttääkö toimenpide 4.8.4.4 kohdan mukaista julkista kuulemista, ja jos ei, miksi.</w:t>
      </w:r>
    </w:p>
    <w:p w14:paraId="531A3C17" w14:textId="76D47CF4" w:rsidR="0004197A" w:rsidRDefault="00725C45" w:rsidP="001D2520">
      <w:pPr>
        <w:pStyle w:val="ListParagraph"/>
        <w:spacing w:before="120" w:after="120"/>
        <w:ind w:left="567"/>
        <w:contextualSpacing w:val="0"/>
        <w:jc w:val="both"/>
      </w:pPr>
      <w:r>
        <w:t xml:space="preserve">…………………………………………………………………………………………… </w:t>
      </w:r>
    </w:p>
    <w:p w14:paraId="33898210" w14:textId="77777777" w:rsidR="00915173" w:rsidRDefault="00915173" w:rsidP="00A32872">
      <w:pPr>
        <w:pStyle w:val="ListParagraph"/>
        <w:numPr>
          <w:ilvl w:val="0"/>
          <w:numId w:val="4"/>
        </w:numPr>
        <w:spacing w:before="120" w:after="120"/>
        <w:ind w:left="567" w:hanging="567"/>
        <w:contextualSpacing w:val="0"/>
        <w:jc w:val="both"/>
      </w:pPr>
      <w:r>
        <w:t>Jos toimenpide edellyttää julkista kuulemista:</w:t>
      </w:r>
    </w:p>
    <w:p w14:paraId="10ED4DF3" w14:textId="0709E691" w:rsidR="00915173" w:rsidRDefault="00725C45" w:rsidP="00CB1E0C">
      <w:pPr>
        <w:pStyle w:val="ListParagraph"/>
        <w:numPr>
          <w:ilvl w:val="1"/>
          <w:numId w:val="62"/>
        </w:numPr>
        <w:spacing w:before="120" w:after="120"/>
        <w:ind w:left="1134" w:hanging="283"/>
        <w:contextualSpacing w:val="0"/>
        <w:jc w:val="both"/>
      </w:pPr>
      <w:r>
        <w:t>Täsmentäkää julkisen kuulemisen kesto ja esittäkää yhteenveto tärkeimmistä käsitellyistä kysymyksistä:</w:t>
      </w:r>
    </w:p>
    <w:p w14:paraId="40A2840B" w14:textId="7090B46D" w:rsidR="00725C45" w:rsidRDefault="00725C45" w:rsidP="001D2520">
      <w:pPr>
        <w:pStyle w:val="ListParagraph"/>
        <w:spacing w:before="120" w:after="120"/>
        <w:contextualSpacing w:val="0"/>
        <w:jc w:val="both"/>
      </w:pPr>
      <w:r>
        <w:t>…………………………………………………………………………………………..</w:t>
      </w:r>
    </w:p>
    <w:p w14:paraId="7CCE3A7C" w14:textId="0CDC35A6" w:rsidR="00915173" w:rsidRDefault="00725C45" w:rsidP="00CB1E0C">
      <w:pPr>
        <w:pStyle w:val="ListParagraph"/>
        <w:numPr>
          <w:ilvl w:val="1"/>
          <w:numId w:val="62"/>
        </w:numPr>
        <w:spacing w:before="120" w:after="120"/>
        <w:ind w:left="1134" w:hanging="283"/>
        <w:contextualSpacing w:val="0"/>
        <w:jc w:val="both"/>
      </w:pPr>
      <w:r>
        <w:t>Ilmoittakaa suuntaviivojen 350 kappaleen vaatimusten mukaisesti sen julkisen verkkosivuston osoite, jolla kuulemislomakkeet ja viranomaistenne yhteenveto vastauksista julkaistaan.</w:t>
      </w:r>
    </w:p>
    <w:p w14:paraId="2B78DD59" w14:textId="77777777" w:rsidR="00081E48"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FC6878" w14:paraId="33FDD1E1" w14:textId="77777777" w:rsidTr="00081E48">
        <w:tc>
          <w:tcPr>
            <w:tcW w:w="9322" w:type="dxa"/>
            <w:shd w:val="clear" w:color="auto" w:fill="C9C9C9"/>
          </w:tcPr>
          <w:p w14:paraId="7D795D50" w14:textId="77777777" w:rsidR="00081E48" w:rsidRPr="00FC6878" w:rsidRDefault="00081E48" w:rsidP="00886E25">
            <w:pPr>
              <w:pStyle w:val="Heading1"/>
              <w:numPr>
                <w:ilvl w:val="2"/>
                <w:numId w:val="24"/>
              </w:numPr>
              <w:rPr>
                <w:sz w:val="24"/>
                <w:szCs w:val="24"/>
              </w:rPr>
            </w:pPr>
            <w:r>
              <w:rPr>
                <w:sz w:val="24"/>
              </w:rPr>
              <w:t>Oikeasuhteisuus</w:t>
            </w:r>
          </w:p>
        </w:tc>
      </w:tr>
    </w:tbl>
    <w:p w14:paraId="2592F405" w14:textId="7ACA92B9" w:rsidR="00081E48" w:rsidRDefault="00081E48" w:rsidP="001D2520">
      <w:pPr>
        <w:pStyle w:val="ListParagraph"/>
        <w:spacing w:before="120" w:after="120"/>
        <w:ind w:left="0"/>
        <w:contextualSpacing w:val="0"/>
        <w:jc w:val="both"/>
      </w:pPr>
      <w:r>
        <w:rPr>
          <w:i/>
        </w:rPr>
        <w:lastRenderedPageBreak/>
        <w:t xml:space="preserve">Tämän jakson tietoja varten ks. suuntaviivojen 3.2.1.3 kohta (49–53 ja 55 kappale) ja 4.8.4.5 kohta (353–357 kappale). Huom. </w:t>
      </w:r>
      <w:r>
        <w:rPr>
          <w:i/>
          <w:u w:val="single"/>
        </w:rPr>
        <w:t>Seuraavat kohdat 2.1.5.1 ja 2.1.5.2 ovat toisilleen vaihtoehtoisia</w:t>
      </w:r>
      <w:r>
        <w:rPr>
          <w:i/>
        </w:rPr>
        <w:t>. Vastatkaa vain ehdotetun toimenpiteen rakenteen mukaiseen kohtaan.</w:t>
      </w:r>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9698CDE" w:rsidR="00863406" w:rsidRPr="00FC6878" w:rsidRDefault="00BD193B" w:rsidP="00F62B8F">
            <w:pPr>
              <w:pStyle w:val="Heading1"/>
              <w:keepNext/>
              <w:keepLines/>
              <w:numPr>
                <w:ilvl w:val="3"/>
                <w:numId w:val="24"/>
              </w:numPr>
              <w:ind w:left="1723" w:right="-28" w:hanging="646"/>
              <w:rPr>
                <w:sz w:val="24"/>
                <w:szCs w:val="24"/>
              </w:rPr>
            </w:pPr>
            <w:r>
              <w:rPr>
                <w:sz w:val="24"/>
              </w:rPr>
              <w:t>Tarjouskilpailumenettelyssä myönnettävän tuen oikeasuhteisuus</w:t>
            </w:r>
          </w:p>
        </w:tc>
      </w:tr>
    </w:tbl>
    <w:p w14:paraId="3A2A7C7F" w14:textId="4061FA26" w:rsidR="00863406" w:rsidRDefault="00863406" w:rsidP="00863406">
      <w:pPr>
        <w:spacing w:before="360" w:after="120"/>
        <w:jc w:val="both"/>
        <w:rPr>
          <w:i/>
        </w:rPr>
      </w:pPr>
      <w:r>
        <w:rPr>
          <w:i/>
        </w:rPr>
        <w:t>Tämän jakson tietoja varten ks. suuntaviivojen 3.2.1.3 kohta (49, 50, 51, 52, 53 ja 55 kappale) sekä</w:t>
      </w:r>
      <w:r>
        <w:t xml:space="preserve"> </w:t>
      </w:r>
      <w:r>
        <w:rPr>
          <w:i/>
        </w:rPr>
        <w:t xml:space="preserve">353, 354 ja 356 kappale. </w:t>
      </w:r>
    </w:p>
    <w:p w14:paraId="50E2DDC9" w14:textId="48FD7994" w:rsidR="00882890" w:rsidRDefault="00882890" w:rsidP="00863406">
      <w:pPr>
        <w:spacing w:before="360" w:after="120"/>
        <w:jc w:val="both"/>
        <w:rPr>
          <w:i/>
        </w:rPr>
      </w:pPr>
      <w:r>
        <w:rPr>
          <w:i/>
        </w:rPr>
        <w:t xml:space="preserve">Tämä jakso </w:t>
      </w:r>
      <w:r>
        <w:rPr>
          <w:i/>
          <w:u w:val="single"/>
        </w:rPr>
        <w:t>ei</w:t>
      </w:r>
      <w:r>
        <w:rPr>
          <w:i/>
        </w:rPr>
        <w:t xml:space="preserve"> koske </w:t>
      </w:r>
      <w:r>
        <w:rPr>
          <w:i/>
          <w:u w:val="single"/>
        </w:rPr>
        <w:t>ilman tarjouskilpailumenettelyä</w:t>
      </w:r>
      <w:r>
        <w:rPr>
          <w:i/>
        </w:rPr>
        <w:t xml:space="preserve"> myönnettyä tukea. Jos on kyse tällaisesta toimenpiteestä, siirtykää suoraan kohtaan 2.1.5.2.</w:t>
      </w:r>
    </w:p>
    <w:p w14:paraId="7F46CDC3" w14:textId="77777777" w:rsidR="00882890" w:rsidRDefault="00882890" w:rsidP="00863406">
      <w:pPr>
        <w:spacing w:before="360" w:after="120"/>
        <w:jc w:val="both"/>
        <w:rPr>
          <w:i/>
        </w:rPr>
      </w:pPr>
    </w:p>
    <w:p w14:paraId="461DF347" w14:textId="17F24A59" w:rsidR="00162A94" w:rsidRDefault="00AA0DC4" w:rsidP="00A32872">
      <w:pPr>
        <w:pStyle w:val="ListParagraph"/>
        <w:numPr>
          <w:ilvl w:val="0"/>
          <w:numId w:val="4"/>
        </w:numPr>
        <w:spacing w:before="120" w:after="120"/>
        <w:ind w:left="567" w:hanging="567"/>
        <w:contextualSpacing w:val="0"/>
        <w:jc w:val="both"/>
      </w:pPr>
      <w:r>
        <w:t xml:space="preserve">Esittäkää suuntaviivojen 353 kappaleen noudattamisen arvioimiseksi analyysi, jolla määritetään kysynnän taso ilmoitetussa toimitusvarmuutta koskevassa toimenpiteessä luotettavuusstandardin tai kustannus-hyötyanalyysin pohjalta, jos sitä ei ole jo esitetty kysymyksen </w:t>
      </w:r>
      <w:r>
        <w:fldChar w:fldCharType="begin"/>
      </w:r>
      <w:r>
        <w:instrText xml:space="preserve"> REF _Ref167812746 \r \h </w:instrText>
      </w:r>
      <w:r>
        <w:fldChar w:fldCharType="separate"/>
      </w:r>
      <w:r>
        <w:t>16</w:t>
      </w:r>
      <w:r>
        <w:fldChar w:fldCharType="end"/>
      </w:r>
      <w:r>
        <w:t xml:space="preserve"> yhteydessä. Vahvistakaa, että kysynnän tason määrittämisessä käytettävä analyysi on enintään 12 kuukautta vanha, kun kysyntätaso asetetaan.</w:t>
      </w:r>
    </w:p>
    <w:p w14:paraId="74BA1C7A" w14:textId="09BE4CD3" w:rsidR="00EF6485" w:rsidRDefault="00EF6485" w:rsidP="001D2520">
      <w:pPr>
        <w:pStyle w:val="ListParagraph"/>
        <w:spacing w:before="120" w:after="120"/>
        <w:ind w:left="567"/>
        <w:contextualSpacing w:val="0"/>
        <w:jc w:val="both"/>
      </w:pPr>
      <w:r>
        <w:t>…………………………………………………………………………………………….</w:t>
      </w:r>
    </w:p>
    <w:p w14:paraId="632CA93A" w14:textId="14B22C92" w:rsidR="002E0CE8" w:rsidRDefault="00EF6485" w:rsidP="00A32872">
      <w:pPr>
        <w:numPr>
          <w:ilvl w:val="0"/>
          <w:numId w:val="4"/>
        </w:numPr>
        <w:ind w:left="567" w:hanging="567"/>
        <w:jc w:val="both"/>
      </w:pPr>
      <w:r>
        <w:t xml:space="preserve">Osoittakaa suuntaviivojen 354 kappaleen mukaisesti, että tuen myöntämisajankohdan ja hankkeilta edellytetyn toteuttamismääräajan välinen aika mahdollistaa tosiasiallisen kilpailun tukikelpoisten hankkeiden välillä. </w:t>
      </w:r>
    </w:p>
    <w:p w14:paraId="2DDD3ADA" w14:textId="77777777" w:rsidR="00EF6485" w:rsidRDefault="00EF6485" w:rsidP="00EF6485">
      <w:pPr>
        <w:ind w:left="567"/>
        <w:jc w:val="both"/>
        <w:rPr>
          <w:lang w:eastAsia="en-GB"/>
        </w:rPr>
      </w:pPr>
    </w:p>
    <w:p w14:paraId="5A2C580F" w14:textId="29D35C5F" w:rsidR="00EF6485" w:rsidRDefault="00EF6485" w:rsidP="001D2520">
      <w:pPr>
        <w:ind w:left="567"/>
        <w:jc w:val="both"/>
      </w:pPr>
      <w:r>
        <w:t>…………………………………………………………………………………………….</w:t>
      </w:r>
    </w:p>
    <w:p w14:paraId="67E069A4" w14:textId="77777777" w:rsidR="00C52CE6" w:rsidRDefault="00C52CE6" w:rsidP="00A32872">
      <w:pPr>
        <w:ind w:left="567"/>
        <w:jc w:val="both"/>
        <w:rPr>
          <w:lang w:eastAsia="en-GB"/>
        </w:rPr>
      </w:pPr>
    </w:p>
    <w:p w14:paraId="47D05D13" w14:textId="038ECA2C" w:rsidR="00C52CE6" w:rsidRDefault="00EF6485" w:rsidP="00C52CE6">
      <w:pPr>
        <w:numPr>
          <w:ilvl w:val="0"/>
          <w:numId w:val="4"/>
        </w:numPr>
        <w:ind w:left="567" w:hanging="567"/>
        <w:jc w:val="both"/>
      </w:pPr>
      <w:r>
        <w:t>Osoittakaa suuntaviivojen 356 kappaleen mukaisesti, että toimitusvarmuustoimenpiteiden edunsaajilla on tehokkaat kannustimet osallistua toimitusvarmuuden varmistamiseen kyseisenä ajanjaksona. Nämä kannustimet olisi yleensä suhteutettava asetuksen (EU) 2019/943 11 artiklan mukaisesti määritettyyn toimittamatta jääneen sähkön arvoon (</w:t>
      </w:r>
      <w:proofErr w:type="spellStart"/>
      <w:r>
        <w:t>VoLL</w:t>
      </w:r>
      <w:proofErr w:type="spellEnd"/>
      <w:r>
        <w:t xml:space="preserve">). </w:t>
      </w:r>
    </w:p>
    <w:p w14:paraId="7AB7B74D" w14:textId="77777777" w:rsidR="00EF6485" w:rsidRDefault="00EF6485" w:rsidP="00EF6485">
      <w:pPr>
        <w:ind w:left="567"/>
        <w:jc w:val="both"/>
        <w:rPr>
          <w:lang w:eastAsia="en-GB"/>
        </w:rPr>
      </w:pPr>
    </w:p>
    <w:p w14:paraId="0D055B9A" w14:textId="6CF86A16" w:rsidR="006F256F" w:rsidRPr="006F39D2" w:rsidRDefault="00EF6485" w:rsidP="006F39D2">
      <w:pPr>
        <w:ind w:left="567"/>
        <w:jc w:val="both"/>
        <w:rPr>
          <w:i/>
          <w:color w:val="000000"/>
        </w:rPr>
      </w:pPr>
      <w:r>
        <w:t>…………………………………………………………………………………………….</w:t>
      </w:r>
    </w:p>
    <w:p w14:paraId="4EED1D7A" w14:textId="31A4BEDA" w:rsidR="00FC6878" w:rsidRPr="00441F0B" w:rsidRDefault="00FC6878" w:rsidP="00DD1BB0">
      <w:pPr>
        <w:pStyle w:val="ListParagraph"/>
        <w:numPr>
          <w:ilvl w:val="0"/>
          <w:numId w:val="4"/>
        </w:numPr>
        <w:spacing w:before="120" w:after="120"/>
        <w:ind w:left="567" w:hanging="567"/>
        <w:contextualSpacing w:val="0"/>
        <w:jc w:val="both"/>
      </w:pPr>
      <w:r>
        <w:t>Selittäkää suuntaviivojen 49 ja 50 kappaleen noudattamisen todentamiseksi seuraavat:</w:t>
      </w:r>
    </w:p>
    <w:p w14:paraId="2AB5C620" w14:textId="7A6DCCC0" w:rsidR="00CD498E" w:rsidRPr="00441F0B" w:rsidRDefault="00033BA9" w:rsidP="001D2520">
      <w:pPr>
        <w:numPr>
          <w:ilvl w:val="0"/>
          <w:numId w:val="30"/>
        </w:numPr>
        <w:ind w:left="1134" w:hanging="283"/>
      </w:pPr>
      <w:r>
        <w:t>Selostakaa, miten viranomaiset varmistavat, että tarjouskilpailumenettely on avoin, selkeä, läpinäkyvä ja syrjimätön ja pohjautuu puolueettomiin perusteisiin, jotka määritellään etukäteen toimenpiteen tavoitteen mukaisesti ja joilla minimoidaan strategisten tarjousten riski (suuntaviivojen 49 kappaleen a kohta).</w:t>
      </w:r>
    </w:p>
    <w:p w14:paraId="64C5BE69" w14:textId="711F2021" w:rsidR="00102684" w:rsidRPr="00050EB9" w:rsidRDefault="00FC6878" w:rsidP="00EF313B">
      <w:pPr>
        <w:tabs>
          <w:tab w:val="left" w:leader="dot" w:pos="9072"/>
        </w:tabs>
        <w:spacing w:before="120" w:after="120"/>
        <w:ind w:left="567"/>
        <w:jc w:val="both"/>
      </w:pPr>
      <w:r>
        <w:tab/>
      </w:r>
      <w:r>
        <w:tab/>
      </w:r>
    </w:p>
    <w:p w14:paraId="01621C23" w14:textId="3F66FF1D" w:rsidR="00EE0083" w:rsidRPr="00050EB9" w:rsidRDefault="00BC250F" w:rsidP="006764E5">
      <w:pPr>
        <w:numPr>
          <w:ilvl w:val="0"/>
          <w:numId w:val="30"/>
        </w:numPr>
        <w:ind w:left="1134" w:hanging="283"/>
      </w:pPr>
      <w:r>
        <w:t xml:space="preserve">Valintaperusteet, joita käytetään tarjousten paremmuusjärjestykseen asettamiseen ja viime kädessä tuen tason määrittämiseen tarjouskilpailumenettelyssä. Eli: </w:t>
      </w:r>
    </w:p>
    <w:p w14:paraId="62322C89" w14:textId="24B28289" w:rsidR="004D6830" w:rsidRPr="00050EB9" w:rsidRDefault="000B1BDB" w:rsidP="00EA272E">
      <w:pPr>
        <w:pStyle w:val="ListParagraph"/>
        <w:numPr>
          <w:ilvl w:val="1"/>
          <w:numId w:val="31"/>
        </w:numPr>
        <w:spacing w:before="120" w:after="120"/>
        <w:contextualSpacing w:val="0"/>
        <w:jc w:val="both"/>
      </w:pPr>
      <w:r>
        <w:t>Luetelkaa valintaperusteet ja täsmentäkää, mitkä niistä liittyvät ja mitkä eivät liity suoraan tai välillisesti toimenpiteen päätavoitteisiin. Ilmoittakaa eri perusteiden painotukset.</w:t>
      </w:r>
    </w:p>
    <w:p w14:paraId="39E363E7" w14:textId="77777777" w:rsidR="004D6830" w:rsidRPr="00050EB9" w:rsidRDefault="004D6830" w:rsidP="004D6830">
      <w:pPr>
        <w:tabs>
          <w:tab w:val="left" w:leader="dot" w:pos="9072"/>
        </w:tabs>
        <w:spacing w:before="120" w:after="120"/>
        <w:ind w:left="567"/>
        <w:jc w:val="both"/>
      </w:pPr>
      <w:r>
        <w:tab/>
      </w:r>
    </w:p>
    <w:p w14:paraId="2FBA2755" w14:textId="6D55C3D7" w:rsidR="00117CBD" w:rsidRPr="00050EB9" w:rsidRDefault="00554E1F" w:rsidP="00EA272E">
      <w:pPr>
        <w:pStyle w:val="ListParagraph"/>
        <w:numPr>
          <w:ilvl w:val="1"/>
          <w:numId w:val="31"/>
        </w:numPr>
        <w:spacing w:before="120" w:after="120"/>
        <w:contextualSpacing w:val="0"/>
        <w:jc w:val="both"/>
      </w:pPr>
      <w:r>
        <w:lastRenderedPageBreak/>
        <w:t>Selittäkää, miten valintaperusteissa suhteutetaan myötävaikutus toimenpiteen päätavoitteisiin suoraan tai välillisesti hakijan pyytämään tukimäärään. Tämä voidaan ilmaista esimerkiksi tukena ympäristönsuojeluyksikköä tai energiayksikköä kohti (suuntaviivojen 50 kappale ja alaviite 44).</w:t>
      </w:r>
    </w:p>
    <w:p w14:paraId="633DF06D" w14:textId="77777777" w:rsidR="008317D4" w:rsidRPr="00050EB9" w:rsidRDefault="008317D4" w:rsidP="008317D4">
      <w:pPr>
        <w:tabs>
          <w:tab w:val="left" w:leader="dot" w:pos="9072"/>
        </w:tabs>
        <w:spacing w:before="120" w:after="120"/>
        <w:ind w:left="567"/>
        <w:jc w:val="both"/>
      </w:pPr>
      <w:r>
        <w:tab/>
      </w:r>
    </w:p>
    <w:p w14:paraId="02F7BEDB" w14:textId="6154C853" w:rsidR="006773CE" w:rsidRPr="00050EB9" w:rsidRDefault="00416D76" w:rsidP="00EA272E">
      <w:pPr>
        <w:pStyle w:val="ListParagraph"/>
        <w:numPr>
          <w:ilvl w:val="1"/>
          <w:numId w:val="31"/>
        </w:numPr>
        <w:spacing w:before="120" w:after="120"/>
        <w:contextualSpacing w:val="0"/>
        <w:jc w:val="both"/>
      </w:pPr>
      <w:r>
        <w:t>Jos on muita valintaperusteita, jotka eivät suoraan tai välillisesti liity toimenpiteen päätavoitteisiin, esittäkää perustelut ehdotetulle lähestymistavalle ja selittäkää, miten se on asianmukainen toimenpiteen tavoitteiden kannalta. Vahvistakaa myös, että näiden perusteiden osuus on enintään 30 prosenttia kaikkien valintaperusteiden painotuksesta (suuntaviivojen 50 kappale).</w:t>
      </w:r>
    </w:p>
    <w:p w14:paraId="4B57F9BB" w14:textId="77777777" w:rsidR="00050EB9" w:rsidRPr="00050EB9" w:rsidRDefault="00050EB9" w:rsidP="00050EB9">
      <w:pPr>
        <w:tabs>
          <w:tab w:val="left" w:leader="dot" w:pos="9072"/>
        </w:tabs>
        <w:spacing w:before="120" w:after="120"/>
        <w:ind w:left="567"/>
        <w:jc w:val="both"/>
      </w:pPr>
      <w:r>
        <w:tab/>
      </w:r>
    </w:p>
    <w:p w14:paraId="16110C2B" w14:textId="08112F2E" w:rsidR="004525DA" w:rsidRPr="00B35F1C" w:rsidRDefault="000B46CA" w:rsidP="00EA272E">
      <w:pPr>
        <w:pStyle w:val="ListParagraph"/>
        <w:numPr>
          <w:ilvl w:val="1"/>
          <w:numId w:val="31"/>
        </w:numPr>
        <w:spacing w:before="120" w:after="120"/>
        <w:contextualSpacing w:val="0"/>
        <w:jc w:val="both"/>
      </w:pPr>
      <w:r>
        <w:rPr>
          <w:color w:val="000000"/>
        </w:rPr>
        <w:t>Selittäkää, kuinka paljon ennen kunkin tarjouskilpailumenettelyn hakemusten jättämisen määräaikaa</w:t>
      </w:r>
      <w:r>
        <w:rPr>
          <w:color w:val="000000"/>
          <w:shd w:val="clear" w:color="auto" w:fill="FFFFFF"/>
        </w:rPr>
        <w:t xml:space="preserve"> valintaperusteet julkaistaan</w:t>
      </w:r>
      <w:r>
        <w:t xml:space="preserve"> (suuntaviivojen 49 kappaleen b kohta ja alaviite 43)</w:t>
      </w:r>
      <w:r>
        <w:rPr>
          <w:shd w:val="clear" w:color="auto" w:fill="FFFFFF"/>
        </w:rPr>
        <w:t>.</w:t>
      </w:r>
    </w:p>
    <w:p w14:paraId="2BCA9493" w14:textId="008AFF96" w:rsidR="004525DA" w:rsidRPr="00B35F1C" w:rsidRDefault="004525DA" w:rsidP="004525DA">
      <w:pPr>
        <w:tabs>
          <w:tab w:val="left" w:leader="dot" w:pos="9072"/>
        </w:tabs>
        <w:spacing w:before="120" w:after="120"/>
        <w:ind w:left="567"/>
        <w:jc w:val="both"/>
      </w:pPr>
      <w:r>
        <w:tab/>
      </w:r>
    </w:p>
    <w:p w14:paraId="3CC6F87F" w14:textId="11DD6EB3" w:rsidR="00A77677" w:rsidRPr="00B35F1C" w:rsidRDefault="00945368" w:rsidP="00F12C88">
      <w:pPr>
        <w:pStyle w:val="ListParagraph"/>
        <w:numPr>
          <w:ilvl w:val="0"/>
          <w:numId w:val="30"/>
        </w:numPr>
        <w:spacing w:before="120" w:after="120"/>
        <w:ind w:hanging="229"/>
        <w:contextualSpacing w:val="0"/>
        <w:jc w:val="both"/>
      </w:pPr>
      <w:r>
        <w:t>Vahvistakaa, että tarjouskilpailuun liittyvä budjetti tai volyymi on sitova rajoite siinä mielessä, että kaikki tarjoajat eivät oletettavasti tule saamaan tukea (suuntaviivojen 49 kappaleen c kohta).</w:t>
      </w:r>
      <w:r>
        <w:rPr>
          <w:shd w:val="clear" w:color="auto" w:fill="FFFFFF"/>
        </w:rPr>
        <w:t xml:space="preserve"> </w:t>
      </w:r>
    </w:p>
    <w:p w14:paraId="5348ED98" w14:textId="77777777" w:rsidR="00074701" w:rsidRPr="00B35F1C" w:rsidRDefault="00074701" w:rsidP="00074701">
      <w:pPr>
        <w:tabs>
          <w:tab w:val="left" w:leader="dot" w:pos="9072"/>
        </w:tabs>
        <w:spacing w:before="120" w:after="120"/>
        <w:ind w:left="567"/>
        <w:jc w:val="both"/>
      </w:pPr>
      <w:r>
        <w:tab/>
      </w:r>
    </w:p>
    <w:p w14:paraId="0C1024E1" w14:textId="4B4AFDF8" w:rsidR="005039EF" w:rsidRPr="00B35F1C" w:rsidRDefault="00A77677" w:rsidP="00F12C88">
      <w:pPr>
        <w:pStyle w:val="ListParagraph"/>
        <w:numPr>
          <w:ilvl w:val="0"/>
          <w:numId w:val="30"/>
        </w:numPr>
        <w:spacing w:before="120" w:after="120"/>
        <w:ind w:hanging="229"/>
        <w:contextualSpacing w:val="0"/>
        <w:jc w:val="both"/>
      </w:pPr>
      <w:r>
        <w:rPr>
          <w:shd w:val="clear" w:color="auto" w:fill="FFFFFF"/>
        </w:rPr>
        <w:t>Antakaa tiedot suunniteltujen tarjouskierrosten määrästä ja tarjoajien odotetusta määrästä ensimmäisellä kierroksella ja ajan mittaan.</w:t>
      </w:r>
    </w:p>
    <w:p w14:paraId="2F7D1482" w14:textId="77777777" w:rsidR="00074701" w:rsidRPr="00B35F1C" w:rsidRDefault="00074701" w:rsidP="00074701">
      <w:pPr>
        <w:tabs>
          <w:tab w:val="left" w:leader="dot" w:pos="9072"/>
        </w:tabs>
        <w:spacing w:before="120" w:after="120"/>
        <w:ind w:left="567"/>
        <w:jc w:val="both"/>
      </w:pPr>
      <w:r>
        <w:tab/>
      </w:r>
    </w:p>
    <w:p w14:paraId="5AC7C92A" w14:textId="57209921" w:rsidR="00866C66" w:rsidRPr="00B35F1C" w:rsidRDefault="00ED3116" w:rsidP="00F12C88">
      <w:pPr>
        <w:pStyle w:val="ListParagraph"/>
        <w:numPr>
          <w:ilvl w:val="0"/>
          <w:numId w:val="30"/>
        </w:numPr>
        <w:spacing w:before="120" w:after="120"/>
        <w:ind w:hanging="229"/>
        <w:contextualSpacing w:val="0"/>
        <w:jc w:val="both"/>
      </w:pPr>
      <w:r>
        <w:rPr>
          <w:shd w:val="clear" w:color="auto" w:fill="FFFFFF"/>
        </w:rPr>
        <w:t xml:space="preserve">Jos yksi tai useampi tarjousprosessi on alitarjottu, selittäkää, miten tarjousmenettelyjen rakennetta korjataan ohjelman aikana tosiasiallisen kilpailun palauttamiseksi ja milloin nämä korjaukset tehdään </w:t>
      </w:r>
      <w:r>
        <w:t>(suuntaviivojen 49 kappaleen c kohta)</w:t>
      </w:r>
      <w:r>
        <w:rPr>
          <w:shd w:val="clear" w:color="auto" w:fill="FFFFFF"/>
        </w:rPr>
        <w:t xml:space="preserve">. </w:t>
      </w:r>
    </w:p>
    <w:p w14:paraId="2E959DD6" w14:textId="77777777" w:rsidR="00074701" w:rsidRPr="00B35F1C" w:rsidRDefault="00074701" w:rsidP="00074701">
      <w:pPr>
        <w:tabs>
          <w:tab w:val="left" w:leader="dot" w:pos="9072"/>
        </w:tabs>
        <w:spacing w:before="120" w:after="120"/>
        <w:ind w:left="567"/>
        <w:jc w:val="both"/>
      </w:pPr>
      <w:r>
        <w:tab/>
      </w:r>
    </w:p>
    <w:p w14:paraId="6EE8F2DA" w14:textId="189F59B6" w:rsidR="009A606D" w:rsidRPr="009D65D3" w:rsidRDefault="009D22F2" w:rsidP="00F12C88">
      <w:pPr>
        <w:pStyle w:val="ListParagraph"/>
        <w:numPr>
          <w:ilvl w:val="0"/>
          <w:numId w:val="30"/>
        </w:numPr>
        <w:spacing w:before="120" w:after="120"/>
        <w:ind w:hanging="229"/>
        <w:contextualSpacing w:val="0"/>
        <w:jc w:val="both"/>
      </w:pPr>
      <w:r>
        <w:rPr>
          <w:shd w:val="clear" w:color="auto" w:fill="FFFFFF"/>
        </w:rPr>
        <w:t>Vahvistakaa, että tarjousprosessin tulokseen jälkikäteen tehtävät muutokset (kuten myöhemmät neuvottelut tarjoustuloksista tai pisteytyksistä) vältetään</w:t>
      </w:r>
      <w:r>
        <w:t xml:space="preserve"> (suuntaviivojen 49 kappaleen d kohta)</w:t>
      </w:r>
      <w:r>
        <w:rPr>
          <w:shd w:val="clear" w:color="auto" w:fill="FFFFFF"/>
        </w:rPr>
        <w:t>.</w:t>
      </w:r>
    </w:p>
    <w:p w14:paraId="79B985A9" w14:textId="1AE3ABA0" w:rsidR="009A606D" w:rsidRPr="009D65D3" w:rsidRDefault="009A606D" w:rsidP="009A606D">
      <w:pPr>
        <w:tabs>
          <w:tab w:val="left" w:leader="dot" w:pos="9072"/>
        </w:tabs>
        <w:spacing w:before="120" w:after="120"/>
        <w:ind w:left="567"/>
        <w:jc w:val="both"/>
      </w:pPr>
      <w:r>
        <w:tab/>
      </w:r>
    </w:p>
    <w:p w14:paraId="2CD710C1" w14:textId="416B5132" w:rsidR="00AA6F85" w:rsidRPr="009D65D3" w:rsidRDefault="00AA6F85" w:rsidP="00712B3C">
      <w:pPr>
        <w:pStyle w:val="ListParagraph"/>
        <w:numPr>
          <w:ilvl w:val="0"/>
          <w:numId w:val="30"/>
        </w:numPr>
        <w:spacing w:before="120" w:after="120"/>
        <w:ind w:hanging="229"/>
        <w:contextualSpacing w:val="0"/>
        <w:jc w:val="both"/>
      </w:pPr>
      <w:r>
        <w:t xml:space="preserve">Jos ns. nollatukitarjoukset ovat mahdollisia, selittäkää, miten oikeasuhteisuus varmistetaan. </w:t>
      </w:r>
    </w:p>
    <w:p w14:paraId="51AA817F" w14:textId="30E33912" w:rsidR="00AA6F85" w:rsidRPr="009D65D3" w:rsidRDefault="00217A1A" w:rsidP="00AA6F85">
      <w:pPr>
        <w:tabs>
          <w:tab w:val="left" w:leader="dot" w:pos="9072"/>
        </w:tabs>
        <w:spacing w:before="120" w:after="120"/>
        <w:ind w:left="567"/>
        <w:jc w:val="both"/>
      </w:pPr>
      <w:r>
        <w:tab/>
      </w:r>
      <w:r>
        <w:tab/>
      </w:r>
    </w:p>
    <w:p w14:paraId="2C803759" w14:textId="7320F048" w:rsidR="00CC373C" w:rsidRPr="009D65D3" w:rsidRDefault="000D7371" w:rsidP="00712B3C">
      <w:pPr>
        <w:pStyle w:val="ListParagraph"/>
        <w:numPr>
          <w:ilvl w:val="0"/>
          <w:numId w:val="30"/>
        </w:numPr>
        <w:spacing w:before="120" w:after="120"/>
        <w:ind w:hanging="229"/>
        <w:contextualSpacing w:val="0"/>
        <w:jc w:val="both"/>
      </w:pPr>
      <w:r>
        <w:t xml:space="preserve">Täsmentäkää, suunnittelevatko viranomaiset pohjahintojen tai hintakattojen käyttöä tarjouskilpailumenettelyssä. Jos kyllä, perustelkaa niiden käyttö ja </w:t>
      </w:r>
      <w:r>
        <w:lastRenderedPageBreak/>
        <w:t>selittäkää, miten ne eivät rajoita tarjouskilpailumenettelyä</w:t>
      </w:r>
      <w:r>
        <w:rPr>
          <w:rStyle w:val="FootnoteReference"/>
          <w:lang w:eastAsia="en-GB"/>
        </w:rPr>
        <w:footnoteReference w:id="6"/>
      </w:r>
      <w:r>
        <w:t xml:space="preserve"> (suuntaviivojen 49 kappale ja alaviite 42).</w:t>
      </w:r>
    </w:p>
    <w:p w14:paraId="72C4C6C1" w14:textId="2C8399F8" w:rsidR="00CC373C" w:rsidRPr="009D65D3" w:rsidRDefault="00217A1A" w:rsidP="00CC373C">
      <w:pPr>
        <w:tabs>
          <w:tab w:val="left" w:leader="dot" w:pos="9072"/>
        </w:tabs>
        <w:spacing w:before="120" w:after="120"/>
        <w:ind w:left="567"/>
        <w:jc w:val="both"/>
      </w:pPr>
      <w:r>
        <w:tab/>
      </w:r>
      <w:r>
        <w:tab/>
      </w:r>
      <w:r>
        <w:tab/>
      </w:r>
    </w:p>
    <w:p w14:paraId="4FA200E6" w14:textId="77777777" w:rsidR="001620DB" w:rsidRPr="00863406"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E83DDA0" w:rsidR="001620DB" w:rsidRPr="00FC6878" w:rsidRDefault="007A4CB6" w:rsidP="00C122DD">
            <w:pPr>
              <w:pStyle w:val="Heading1"/>
              <w:keepNext/>
              <w:keepLines/>
              <w:numPr>
                <w:ilvl w:val="3"/>
                <w:numId w:val="24"/>
              </w:numPr>
              <w:ind w:left="1723" w:right="-28" w:hanging="646"/>
              <w:rPr>
                <w:sz w:val="24"/>
                <w:szCs w:val="24"/>
              </w:rPr>
            </w:pPr>
            <w:r>
              <w:rPr>
                <w:sz w:val="24"/>
              </w:rPr>
              <w:t xml:space="preserve">Tuen oikeasuhteisuus, kun tukea </w:t>
            </w:r>
            <w:r>
              <w:rPr>
                <w:sz w:val="24"/>
                <w:u w:val="single"/>
              </w:rPr>
              <w:t>ei</w:t>
            </w:r>
            <w:r>
              <w:rPr>
                <w:sz w:val="24"/>
              </w:rPr>
              <w:t xml:space="preserve"> myönnetä tarjouskilpailumenettelyssä </w:t>
            </w:r>
          </w:p>
        </w:tc>
      </w:tr>
    </w:tbl>
    <w:p w14:paraId="0190ED95" w14:textId="4268A147" w:rsidR="001620DB" w:rsidRDefault="001620DB" w:rsidP="00DB2066">
      <w:pPr>
        <w:pStyle w:val="ListParagraph"/>
        <w:spacing w:before="120" w:after="120"/>
        <w:ind w:left="0"/>
        <w:contextualSpacing w:val="0"/>
        <w:jc w:val="both"/>
      </w:pPr>
      <w:r>
        <w:rPr>
          <w:i/>
        </w:rPr>
        <w:t>Tämän jakson tietoja varten ks. suuntaviivojen 51–55 ja 353–357 kappale</w:t>
      </w:r>
      <w:r>
        <w:t>.</w:t>
      </w:r>
    </w:p>
    <w:p w14:paraId="66E254B6" w14:textId="77D256A6" w:rsidR="00882890" w:rsidRPr="008969F9" w:rsidRDefault="00882890" w:rsidP="00DB2066">
      <w:pPr>
        <w:pStyle w:val="ListParagraph"/>
        <w:spacing w:before="120" w:after="120"/>
        <w:ind w:left="0"/>
        <w:contextualSpacing w:val="0"/>
        <w:jc w:val="both"/>
        <w:rPr>
          <w:i/>
          <w:iCs/>
        </w:rPr>
      </w:pPr>
      <w:r>
        <w:rPr>
          <w:i/>
        </w:rPr>
        <w:t xml:space="preserve">Tämä jakso </w:t>
      </w:r>
      <w:r>
        <w:rPr>
          <w:i/>
          <w:u w:val="single"/>
        </w:rPr>
        <w:t>ei koske</w:t>
      </w:r>
      <w:r>
        <w:rPr>
          <w:i/>
        </w:rPr>
        <w:t xml:space="preserve"> toimenpiteitä, joissa tuki myönnetään </w:t>
      </w:r>
      <w:r>
        <w:rPr>
          <w:i/>
          <w:u w:val="single"/>
        </w:rPr>
        <w:t>tarjouskilpailumenettelyssä</w:t>
      </w:r>
      <w:r>
        <w:rPr>
          <w:i/>
        </w:rPr>
        <w:t>. Jos on kyse tällaisesta toimenpiteestä, vastatkaa tämän kohdan sijasta edellä olevaan kohtaan 2.5.1.1.</w:t>
      </w:r>
    </w:p>
    <w:p w14:paraId="13C5DD7C" w14:textId="77777777" w:rsidR="00882890" w:rsidRPr="005536DD" w:rsidRDefault="00882890" w:rsidP="00DB2066">
      <w:pPr>
        <w:pStyle w:val="ListParagraph"/>
        <w:spacing w:before="120" w:after="120"/>
        <w:ind w:left="0"/>
        <w:contextualSpacing w:val="0"/>
        <w:jc w:val="both"/>
        <w:rPr>
          <w:lang w:eastAsia="en-GB"/>
        </w:rPr>
      </w:pPr>
    </w:p>
    <w:p w14:paraId="47450FEC" w14:textId="09EF0745" w:rsidR="00D45D04" w:rsidRDefault="00D45D04" w:rsidP="00D45D04">
      <w:pPr>
        <w:pStyle w:val="ListParagraph"/>
        <w:numPr>
          <w:ilvl w:val="0"/>
          <w:numId w:val="4"/>
        </w:numPr>
        <w:spacing w:before="120" w:after="120"/>
        <w:ind w:left="567" w:hanging="567"/>
        <w:contextualSpacing w:val="0"/>
        <w:jc w:val="both"/>
      </w:pPr>
      <w:r>
        <w:t xml:space="preserve">Esittäkää suuntaviivojen 353 kappaleen noudattamisen arvioimiseksi analyysi, jolla määritetään kysynnän taso ilmoitetussa toimitusvarmuutta koskevassa toimenpiteessä luotettavuusstandardin tai kustannus-hyötyanalyysin pohjalta, jos sitä ei ole jo esitetty kysymyksen </w:t>
      </w:r>
      <w:r>
        <w:fldChar w:fldCharType="begin"/>
      </w:r>
      <w:r>
        <w:instrText xml:space="preserve"> REF _Ref167812746 \r \h </w:instrText>
      </w:r>
      <w:r>
        <w:fldChar w:fldCharType="separate"/>
      </w:r>
      <w:r>
        <w:t>16</w:t>
      </w:r>
      <w:r>
        <w:fldChar w:fldCharType="end"/>
      </w:r>
      <w:r>
        <w:t xml:space="preserve"> yhteydessä. Vahvistakaa, että kysynnän tason määrittämisessä käytettävä analyysi on enintään 12 kuukautta vanha, kun kysyntätaso asetetaan.</w:t>
      </w:r>
    </w:p>
    <w:p w14:paraId="3F80A4CE" w14:textId="77777777" w:rsidR="00D45D04" w:rsidRDefault="00D45D04" w:rsidP="00D45D04">
      <w:pPr>
        <w:pStyle w:val="ListParagraph"/>
        <w:spacing w:before="120" w:after="120"/>
        <w:ind w:left="567"/>
        <w:contextualSpacing w:val="0"/>
        <w:jc w:val="both"/>
      </w:pPr>
      <w:r>
        <w:t>…………………………………………………………………………………………….</w:t>
      </w:r>
    </w:p>
    <w:p w14:paraId="453F4508" w14:textId="77777777" w:rsidR="00D45D04" w:rsidRDefault="00D45D04" w:rsidP="00D45D04">
      <w:pPr>
        <w:numPr>
          <w:ilvl w:val="0"/>
          <w:numId w:val="4"/>
        </w:numPr>
        <w:ind w:left="567" w:hanging="567"/>
        <w:jc w:val="both"/>
      </w:pPr>
      <w:r>
        <w:t xml:space="preserve">Osoittakaa suuntaviivojen 354 kappaleen mukaisesti, että tuen myöntämisajankohdan ja hankkeilta edellytetyn toteuttamismääräajan välinen aika mahdollistaa tosiasiallisen kilpailun tukikelpoisten hankkeiden välillä. </w:t>
      </w:r>
    </w:p>
    <w:p w14:paraId="274827B6" w14:textId="77777777" w:rsidR="00D45D04" w:rsidRDefault="00D45D04" w:rsidP="00D45D04">
      <w:pPr>
        <w:ind w:left="567"/>
        <w:jc w:val="both"/>
        <w:rPr>
          <w:lang w:eastAsia="en-GB"/>
        </w:rPr>
      </w:pPr>
    </w:p>
    <w:p w14:paraId="162848DC" w14:textId="77777777" w:rsidR="00D45D04" w:rsidRDefault="00D45D04" w:rsidP="00D45D04">
      <w:pPr>
        <w:ind w:left="567"/>
        <w:jc w:val="both"/>
      </w:pPr>
      <w:bookmarkStart w:id="6" w:name="_Hlk167886782"/>
      <w:r>
        <w:t>…………………………………………………………………………………………….</w:t>
      </w:r>
    </w:p>
    <w:bookmarkEnd w:id="6"/>
    <w:p w14:paraId="227FEE4D" w14:textId="77777777" w:rsidR="00D45D04" w:rsidRDefault="00D45D04" w:rsidP="00D45D04">
      <w:pPr>
        <w:ind w:left="567"/>
        <w:jc w:val="both"/>
        <w:rPr>
          <w:lang w:eastAsia="en-GB"/>
        </w:rPr>
      </w:pPr>
    </w:p>
    <w:p w14:paraId="20E5B34D" w14:textId="77777777" w:rsidR="00D45D04" w:rsidRDefault="00D45D04" w:rsidP="00D45D04">
      <w:pPr>
        <w:numPr>
          <w:ilvl w:val="0"/>
          <w:numId w:val="4"/>
        </w:numPr>
        <w:ind w:left="567" w:hanging="567"/>
        <w:jc w:val="both"/>
      </w:pPr>
      <w:r>
        <w:t>Osoittakaa suuntaviivojen 356 kappaleen mukaisesti, että toimitusvarmuustoimenpiteiden edunsaajilla on tehokkaat kannustimet osallistua toimitusvarmuuden varmistamiseen kyseisenä ajanjaksona. Nämä kannustimet olisi yleensä suhteutettava asetuksen (EU) 2019/943 11 artiklan mukaisesti määritettyyn toimittamatta jääneen sähkön arvoon (</w:t>
      </w:r>
      <w:proofErr w:type="spellStart"/>
      <w:r>
        <w:t>VoLL</w:t>
      </w:r>
      <w:proofErr w:type="spellEnd"/>
      <w:r>
        <w:t xml:space="preserve">). </w:t>
      </w:r>
    </w:p>
    <w:p w14:paraId="2B0809CF" w14:textId="77777777" w:rsidR="00D45D04" w:rsidRDefault="00D45D04" w:rsidP="00D45D04">
      <w:pPr>
        <w:ind w:left="567"/>
        <w:jc w:val="both"/>
      </w:pPr>
      <w:r>
        <w:t>…………………………………………………………………………………………….</w:t>
      </w:r>
    </w:p>
    <w:p w14:paraId="49FC4837" w14:textId="31D30F5D" w:rsidR="005F14EB" w:rsidRDefault="005F14EB" w:rsidP="00A32872">
      <w:pPr>
        <w:pStyle w:val="ListParagraph"/>
        <w:numPr>
          <w:ilvl w:val="0"/>
          <w:numId w:val="4"/>
        </w:numPr>
        <w:spacing w:before="120" w:after="120"/>
        <w:ind w:left="567" w:hanging="567"/>
        <w:contextualSpacing w:val="0"/>
        <w:jc w:val="both"/>
      </w:pPr>
      <w:r>
        <w:t xml:space="preserve">Selittäkää, miksi tarjouskilpailumenettelyä ei käytetä (suuntaviivojen 355 kappaleen mukaisesti). </w:t>
      </w:r>
    </w:p>
    <w:p w14:paraId="5A7A4907" w14:textId="099BEAED" w:rsidR="005F14EB" w:rsidRDefault="005F14EB" w:rsidP="00DB2066">
      <w:pPr>
        <w:pStyle w:val="ListParagraph"/>
        <w:spacing w:before="120" w:after="120"/>
        <w:ind w:left="567"/>
        <w:contextualSpacing w:val="0"/>
        <w:jc w:val="both"/>
      </w:pPr>
      <w:r>
        <w:t>…………………………………………………………………………………………….</w:t>
      </w:r>
    </w:p>
    <w:p w14:paraId="54A1C8FD" w14:textId="04E54CB8" w:rsidR="00DB2066" w:rsidRPr="00303CDD" w:rsidRDefault="00C122DD" w:rsidP="00C122DD">
      <w:pPr>
        <w:numPr>
          <w:ilvl w:val="0"/>
          <w:numId w:val="4"/>
        </w:numPr>
        <w:ind w:left="567" w:hanging="567"/>
        <w:jc w:val="both"/>
      </w:pPr>
      <w:r>
        <w:t xml:space="preserve">Jos kyseessä on tukiohjelma, esittäkää luettelo viitehankkeista ja selvitys siitä, miksi ne on määritetty (esim. selittämällä, että kussakin viitehankkeessa kustannusten ja tulojen voidaan odottaa olevan suurin piirtein samanlaisia). Epäselvyyksien välttämiseksi todetaan, että viitehanke on esimerkkihanke, joka edustaa tukiohjelman tietyn tuensaajaluokan keskimääräistä hanketta (suuntaviivojen 19 kappaleen 63 alakohta). </w:t>
      </w:r>
    </w:p>
    <w:p w14:paraId="5C69FCBF" w14:textId="4A976914" w:rsidR="007F119D" w:rsidRPr="00303CDD" w:rsidRDefault="007F119D" w:rsidP="007F119D">
      <w:pPr>
        <w:ind w:left="567"/>
      </w:pPr>
      <w:r>
        <w:t>……………………………………………………………………………………………</w:t>
      </w:r>
    </w:p>
    <w:p w14:paraId="4D68EF6E" w14:textId="46CAA667" w:rsidR="007F119D" w:rsidRPr="007F119D" w:rsidRDefault="0003031C" w:rsidP="006F39D2">
      <w:pPr>
        <w:pStyle w:val="ListParagraph"/>
        <w:numPr>
          <w:ilvl w:val="0"/>
          <w:numId w:val="4"/>
        </w:numPr>
        <w:spacing w:before="120" w:after="120"/>
        <w:ind w:left="567" w:hanging="567"/>
        <w:contextualSpacing w:val="0"/>
        <w:jc w:val="both"/>
      </w:pPr>
      <w:r>
        <w:t xml:space="preserve">Osoittakaa suuntaviivojen 51 kappaleen mukaisesti kunkin viitehankkeen (tukiohjelmien tapauksessa) tai kunkin tuensaajan (kun kyseessä on yksittäinen tuki) </w:t>
      </w:r>
      <w:r>
        <w:lastRenderedPageBreak/>
        <w:t>osalta, että tuki ei ylitä tarvittua vähimmäismäärää, joka on tosiasiallisen skenaarion nettonykyarvon ja vaihtoehtoisen skenaarion nettonykyarvon erotus viitehankkeen tai hankkeen elinkaaren aikana. Esittäkää tätä arviointia varten tosiasiallisen skenaarion ja realistisen vaihtoehtoisen skenaarion</w:t>
      </w:r>
      <w:r>
        <w:rPr>
          <w:rStyle w:val="FootnoteReference"/>
        </w:rPr>
        <w:footnoteReference w:id="7"/>
      </w:r>
      <w:r>
        <w:t xml:space="preserve"> osalta määrällinen arvio kaikista pääasiallisista kustannuksista ja tuloista, tuensaajien (tai tukiohjelmien tapauksessa viitehankkeiden) arvioiduista painotetuista keskimääräisistä pääomakustannuksista tulevien kassavirtojen diskonttaamiseksi sekä tosiasiallisen ja vaihtoehtoisen skenaarion nettonykyarvosta hankkeen/viitehankkeen elinkaaren ajalta.  </w:t>
      </w:r>
    </w:p>
    <w:p w14:paraId="4DB6378F" w14:textId="77777777" w:rsidR="007F119D" w:rsidRDefault="007F119D" w:rsidP="006F39D2">
      <w:pPr>
        <w:numPr>
          <w:ilvl w:val="0"/>
          <w:numId w:val="37"/>
        </w:numPr>
        <w:ind w:left="1134" w:hanging="283"/>
      </w:pPr>
      <w:r>
        <w:t xml:space="preserve">Ilmoittakaa nämä tiedot tämän ilmoituslomakkeen liitteessä (käyttäkää Excel-tiedostoa, jossa kaikki kaavat ovat näkyvissä). </w:t>
      </w:r>
    </w:p>
    <w:p w14:paraId="791F4E37" w14:textId="77777777" w:rsidR="00217A1A" w:rsidRPr="006764E5" w:rsidRDefault="00217A1A" w:rsidP="00217A1A">
      <w:pPr>
        <w:ind w:left="1134"/>
        <w:rPr>
          <w:lang w:eastAsia="en-GB"/>
        </w:rPr>
      </w:pPr>
    </w:p>
    <w:p w14:paraId="51E93FB9" w14:textId="06325AD4" w:rsidR="006F39D2" w:rsidRDefault="006F39D2" w:rsidP="006F39D2">
      <w:pPr>
        <w:ind w:left="1134"/>
      </w:pPr>
      <w:r>
        <w:t>………………………………………………………………………………………</w:t>
      </w:r>
    </w:p>
    <w:p w14:paraId="1D1204B7" w14:textId="77777777" w:rsidR="00CA6577" w:rsidRPr="007F119D" w:rsidRDefault="00CA6577" w:rsidP="00CA6577">
      <w:pPr>
        <w:ind w:left="1287"/>
        <w:rPr>
          <w:lang w:val="en-IE" w:eastAsia="en-GB"/>
        </w:rPr>
      </w:pPr>
    </w:p>
    <w:p w14:paraId="627E58AA" w14:textId="77777777" w:rsidR="007F119D" w:rsidRDefault="007F119D" w:rsidP="006F39D2">
      <w:pPr>
        <w:numPr>
          <w:ilvl w:val="0"/>
          <w:numId w:val="37"/>
        </w:numPr>
        <w:ind w:left="1134" w:hanging="283"/>
      </w:pPr>
      <w:r>
        <w:t>Esittäkää yksityiskohtaiset tiedot oletuksista, menetelmistä, perusteluista ja niiden taustalla olevista lähteistä, joita on käytetty kustannusten ja tulojen kvantifioinnin kunkin osa-alueen osalta tosiasiallisessa skenaariossa ja todennäköisessä vaihtoehtoisessa skenaariossa (esittäkää esimerkiksi skenaarioiden laatimisessa käytetyt oletukset ja näiden oletusten lähde/perustelut).</w:t>
      </w:r>
    </w:p>
    <w:p w14:paraId="7C74300E" w14:textId="77777777" w:rsidR="00217A1A" w:rsidRDefault="00217A1A" w:rsidP="00217A1A">
      <w:pPr>
        <w:ind w:left="1134"/>
        <w:rPr>
          <w:lang w:val="en-IE" w:eastAsia="en-GB"/>
        </w:rPr>
      </w:pPr>
    </w:p>
    <w:p w14:paraId="79918851" w14:textId="58CA1017" w:rsidR="00CA6577" w:rsidRDefault="006F39D2" w:rsidP="006F39D2">
      <w:pPr>
        <w:ind w:left="1134"/>
      </w:pPr>
      <w:r>
        <w:t>………………………………………………………………………………………</w:t>
      </w:r>
    </w:p>
    <w:p w14:paraId="16028413" w14:textId="77777777" w:rsidR="00CA6577" w:rsidRPr="007F119D" w:rsidRDefault="00CA6577" w:rsidP="00CA6577">
      <w:pPr>
        <w:rPr>
          <w:lang w:val="en-IE" w:eastAsia="en-GB"/>
        </w:rPr>
      </w:pPr>
    </w:p>
    <w:p w14:paraId="4A30E10A" w14:textId="2757CD4D" w:rsidR="005F14EB" w:rsidRPr="006F39D2" w:rsidRDefault="007F119D" w:rsidP="006F39D2">
      <w:pPr>
        <w:numPr>
          <w:ilvl w:val="0"/>
          <w:numId w:val="37"/>
        </w:numPr>
        <w:ind w:left="1134" w:hanging="283"/>
      </w:pPr>
      <w:r>
        <w:t>Voitte liittää tähän ilmoituslomakkeeseen myös suuntaviivojen alaviitteessä 39 mainitut asiakirjat. Yritysten hallintoelinten asiakirjat voivat olla erityisen hyödyllisiä, kun on kyse yksittäisistä tukitoimenpiteistä tai tukiohjelmista, jotka hyödyttävät erityisen vähäistä määrää tuensaajia. Jos ilmoituslomakkeeseen liitetään tällaisia asiakirjoja, luetelkaa ne alla ja ilmoittakaa laatija, laatimispäivä ja asiayhteys, jossa asiakirjaa käytettiin.</w:t>
      </w:r>
    </w:p>
    <w:p w14:paraId="192A4C22" w14:textId="1929C07E" w:rsidR="004F192A" w:rsidRPr="000575C3" w:rsidRDefault="00217A1A" w:rsidP="004F192A">
      <w:pPr>
        <w:tabs>
          <w:tab w:val="left" w:leader="dot" w:pos="9072"/>
        </w:tabs>
        <w:spacing w:before="120" w:after="120"/>
        <w:ind w:left="567"/>
        <w:jc w:val="both"/>
      </w:pPr>
      <w:r>
        <w:tab/>
      </w:r>
      <w:r>
        <w:tab/>
      </w:r>
      <w:r>
        <w:tab/>
      </w:r>
    </w:p>
    <w:p w14:paraId="517A29B1" w14:textId="5B83B2D1" w:rsidR="000575C3" w:rsidRPr="00142B91" w:rsidRDefault="006630EE" w:rsidP="006630EE">
      <w:pPr>
        <w:pStyle w:val="ListParagraph"/>
        <w:numPr>
          <w:ilvl w:val="0"/>
          <w:numId w:val="4"/>
        </w:numPr>
        <w:spacing w:before="120" w:after="120"/>
        <w:ind w:left="567" w:hanging="567"/>
        <w:contextualSpacing w:val="0"/>
        <w:jc w:val="both"/>
      </w:pPr>
      <w:r>
        <w:t xml:space="preserve">Jos kyseessä on suuntaviivojen 55 kappaleen mukainen tilanne, antakaa tiedot kompensaatiomalleista, joita jäsenvaltio mahdollisesti aikoo ottaa käyttöön (yhdistelmä ennakko- ja jälkikäteiskompensaatiota tai jälkikäteistakaisinperintä tai kustannusseurantamekanismit). </w:t>
      </w:r>
    </w:p>
    <w:p w14:paraId="1469FE3D" w14:textId="3662127B" w:rsidR="000575C3" w:rsidRPr="008515FB" w:rsidRDefault="009329F1" w:rsidP="000575C3">
      <w:pPr>
        <w:tabs>
          <w:tab w:val="left" w:leader="dot" w:pos="9072"/>
        </w:tabs>
        <w:spacing w:before="120" w:after="120"/>
        <w:ind w:left="567"/>
        <w:jc w:val="both"/>
      </w:pPr>
      <w:r>
        <w:t xml:space="preserve">Jos suuntaviivojen 55 kappale ei koske tätä toimenpidettä, esittäkää perustelut. </w:t>
      </w:r>
    </w:p>
    <w:p w14:paraId="63611800" w14:textId="5021059F" w:rsidR="00DD1BB0" w:rsidRDefault="009329F1" w:rsidP="00EA5DDD">
      <w:pPr>
        <w:tabs>
          <w:tab w:val="left" w:leader="dot" w:pos="9072"/>
        </w:tabs>
        <w:spacing w:before="120" w:after="120"/>
        <w:ind w:left="567"/>
        <w:jc w:val="both"/>
        <w:rPr>
          <w:highlight w:val="yellow"/>
        </w:rPr>
      </w:pPr>
      <w:r>
        <w:tab/>
      </w:r>
    </w:p>
    <w:p w14:paraId="3AD989F1" w14:textId="260AE715" w:rsidR="00EF6485" w:rsidRDefault="00EF6485" w:rsidP="00EA5DDD"/>
    <w:p w14:paraId="79CD33D7" w14:textId="4CABB3BA" w:rsidR="00EF6485" w:rsidRDefault="00EF6485" w:rsidP="00EF6485">
      <w:pPr>
        <w:numPr>
          <w:ilvl w:val="0"/>
          <w:numId w:val="4"/>
        </w:numPr>
        <w:ind w:left="567" w:hanging="567"/>
        <w:jc w:val="both"/>
      </w:pPr>
      <w:r>
        <w:t>Jos ilmoitettu toimenpide toteutetaan kilpailuun perustuvana sertifikaattina tai tuottajavelvoitejärjestelmänä (suuntaviivojen 357 kappale):</w:t>
      </w:r>
    </w:p>
    <w:p w14:paraId="504AC813" w14:textId="77777777" w:rsidR="00EF6485" w:rsidRDefault="00EF6485" w:rsidP="00EF6485">
      <w:pPr>
        <w:pStyle w:val="ListParagraph"/>
        <w:ind w:hanging="436"/>
        <w:rPr>
          <w:lang w:eastAsia="en-GB"/>
        </w:rPr>
      </w:pPr>
    </w:p>
    <w:p w14:paraId="5FEA5C3D" w14:textId="5CC3AC8E" w:rsidR="00EF6485" w:rsidRDefault="0088099D" w:rsidP="00EA5DDD">
      <w:pPr>
        <w:numPr>
          <w:ilvl w:val="0"/>
          <w:numId w:val="61"/>
        </w:numPr>
        <w:spacing w:after="240"/>
        <w:ind w:left="1134" w:hanging="283"/>
        <w:jc w:val="both"/>
      </w:pPr>
      <w:r>
        <w:t>Vahvistakaa, että kysyntä asetetaan ohjelmassa potentiaalista tarjontaa alhaisemmaksi; ja</w:t>
      </w:r>
    </w:p>
    <w:p w14:paraId="3714D680" w14:textId="6175BEB4" w:rsidR="006F39D2" w:rsidRDefault="006F39D2" w:rsidP="00217A1A">
      <w:pPr>
        <w:spacing w:after="240"/>
        <w:ind w:left="720" w:firstLine="414"/>
        <w:jc w:val="both"/>
      </w:pPr>
      <w:r>
        <w:t>………………………………………………………………………………………</w:t>
      </w:r>
    </w:p>
    <w:p w14:paraId="3CE17A1C" w14:textId="3C19DDB2" w:rsidR="00EF6485" w:rsidRDefault="0088099D" w:rsidP="00712B3C">
      <w:pPr>
        <w:numPr>
          <w:ilvl w:val="0"/>
          <w:numId w:val="61"/>
        </w:numPr>
        <w:spacing w:after="240"/>
        <w:ind w:left="1134" w:hanging="283"/>
        <w:jc w:val="both"/>
      </w:pPr>
      <w:r>
        <w:t>Selittäkää, miten määritetään ostohinta/seuraamushinta ja varmistetaan, ettei ylikompensaation riskiä ole.</w:t>
      </w:r>
    </w:p>
    <w:p w14:paraId="27CDD2B2" w14:textId="60DAB3FE" w:rsidR="006F39D2" w:rsidRDefault="006F39D2" w:rsidP="00217A1A">
      <w:pPr>
        <w:spacing w:after="240"/>
        <w:ind w:left="720" w:firstLine="414"/>
        <w:jc w:val="both"/>
      </w:pPr>
      <w:r>
        <w:lastRenderedPageBreak/>
        <w:t>………………………………………………………………………………………</w:t>
      </w:r>
    </w:p>
    <w:p w14:paraId="3CF13603" w14:textId="77777777" w:rsidR="00EF6485" w:rsidRDefault="00EF6485" w:rsidP="00A32872">
      <w:pPr>
        <w:ind w:left="360"/>
      </w:pPr>
    </w:p>
    <w:p w14:paraId="4CEF8F72" w14:textId="77777777" w:rsidR="00B21377" w:rsidRPr="00863406"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21377">
            <w:pPr>
              <w:pStyle w:val="Heading1"/>
              <w:numPr>
                <w:ilvl w:val="2"/>
                <w:numId w:val="24"/>
              </w:numPr>
              <w:rPr>
                <w:sz w:val="24"/>
                <w:szCs w:val="24"/>
              </w:rPr>
            </w:pPr>
            <w:r>
              <w:rPr>
                <w:sz w:val="24"/>
              </w:rPr>
              <w:t>Kasautuminen</w:t>
            </w:r>
          </w:p>
        </w:tc>
      </w:tr>
    </w:tbl>
    <w:p w14:paraId="2346A85D" w14:textId="6CB77F89" w:rsidR="00B21377" w:rsidRPr="002A3B51" w:rsidRDefault="00B21377" w:rsidP="00B21377">
      <w:pPr>
        <w:pStyle w:val="ListParagraph"/>
        <w:spacing w:before="120" w:after="120"/>
        <w:ind w:left="567"/>
        <w:contextualSpacing w:val="0"/>
        <w:jc w:val="both"/>
      </w:pPr>
      <w:r>
        <w:rPr>
          <w:i/>
        </w:rPr>
        <w:t>Tämän jakson tietoja varten ks. suuntaviivojen 56 ja 57 kappale</w:t>
      </w:r>
      <w:r>
        <w:t>.</w:t>
      </w:r>
    </w:p>
    <w:p w14:paraId="7159B0AA" w14:textId="07C8FDAD" w:rsidR="00E5484B" w:rsidRPr="002A3B51" w:rsidRDefault="0004717F" w:rsidP="00DD1BB0">
      <w:pPr>
        <w:pStyle w:val="ListParagraph"/>
        <w:numPr>
          <w:ilvl w:val="0"/>
          <w:numId w:val="4"/>
        </w:numPr>
        <w:spacing w:before="120" w:after="120"/>
        <w:ind w:left="567" w:hanging="567"/>
        <w:contextualSpacing w:val="0"/>
        <w:jc w:val="both"/>
      </w:pPr>
      <w:r>
        <w:t>Täsmentäkää suuntaviivojen 56 kappaleen noudattamisen todentamiseksi, voidaanko ilmoitetun toimenpiteen mukaista tukea myöntää samanaikaisesti useista tukiohjelmista tai voiko se kasautua samoihin tukikelpoisiin kustannuksiin kohdistuvan tapauskohtaisen tai vähämerkityksisen tuen kanssa, siltä osin kuin asiaa ei ole jo ilmoitettu yleisen ilmoituslomakkeen osassa I. Jos näin on, esittäkää tiedot kyseisistä tukiohjelmista, tapauskohtaisesta tuesta tai vähämerkityksisestä tuesta sekä siitä, miten tuki kasautuu. Huomatkaa, että voitte viitata edellä esitettyyn määrälliseen arvioon.</w:t>
      </w:r>
    </w:p>
    <w:p w14:paraId="4EA350F2" w14:textId="6700FB40" w:rsidR="00D13239" w:rsidRPr="002A3B51" w:rsidRDefault="002A3B51" w:rsidP="002A3B51">
      <w:pPr>
        <w:tabs>
          <w:tab w:val="left" w:leader="dot" w:pos="9072"/>
        </w:tabs>
        <w:spacing w:before="120" w:after="120"/>
        <w:ind w:left="567"/>
        <w:jc w:val="both"/>
      </w:pPr>
      <w:r>
        <w:tab/>
      </w:r>
    </w:p>
    <w:p w14:paraId="113EC6AF" w14:textId="40D023B2" w:rsidR="007257F0" w:rsidRPr="00EE2D70" w:rsidRDefault="00720951" w:rsidP="00DD1BB0">
      <w:pPr>
        <w:pStyle w:val="ListParagraph"/>
        <w:numPr>
          <w:ilvl w:val="0"/>
          <w:numId w:val="4"/>
        </w:numPr>
        <w:spacing w:before="120" w:after="120"/>
        <w:ind w:left="567" w:hanging="567"/>
        <w:contextualSpacing w:val="0"/>
        <w:jc w:val="both"/>
      </w:pPr>
      <w:r>
        <w:t xml:space="preserve">Jos kyseessä on suuntaviivojen 56 kappaleen mukainen tilanne, perustelkaa, miten ilmoitetusta toimenpiteestä hankkeelle tai toiminnalle myönnettävän tuen kokonaismäärä ei johda ylikompensaatioon tai ylitä suuntaviivoissa kuvattuja sallittuja tuen enimmäismääriä. Suuntaviivoissa kuvattu sallittu tuen enimmäismäärä on joko tarjouskilpailun voittajan mukainen tuen määrä tai, jos kilpailumenettelyä ei ole, rahoitusvaje, jossa otetaan huomioon kaikki pääasialliset tulot, myös muut tukilähteet (suuntaviivojen 51 kappale). Täsmentäkää sellaisissa tapauksissa, joissa ilmoitetusta toimenpiteestä myönnetty tuki voi kasautua toisesta välineestä myönnetyn valtiontuen kanssa, menetelmä, jolla varmistetaan suuntaviivojen 56 kappaleessa kuvattujen ehtojen täyttyminen. </w:t>
      </w:r>
    </w:p>
    <w:p w14:paraId="5A4E851C" w14:textId="1587758B" w:rsidR="007257F0" w:rsidRPr="00EE2D70" w:rsidRDefault="007257F0" w:rsidP="007257F0">
      <w:pPr>
        <w:tabs>
          <w:tab w:val="left" w:leader="dot" w:pos="9072"/>
        </w:tabs>
        <w:spacing w:before="120" w:after="120"/>
        <w:ind w:left="567"/>
        <w:jc w:val="both"/>
      </w:pPr>
      <w:r>
        <w:tab/>
      </w:r>
    </w:p>
    <w:p w14:paraId="4B762428" w14:textId="1C9A3BEB" w:rsidR="009861F5" w:rsidRPr="00EE2D70" w:rsidRDefault="00562354" w:rsidP="00DD1BB0">
      <w:pPr>
        <w:pStyle w:val="ListParagraph"/>
        <w:numPr>
          <w:ilvl w:val="0"/>
          <w:numId w:val="4"/>
        </w:numPr>
        <w:spacing w:before="120" w:after="120"/>
        <w:ind w:left="567" w:hanging="567"/>
        <w:contextualSpacing w:val="0"/>
        <w:jc w:val="both"/>
      </w:pPr>
      <w:r>
        <w:t>Jos kyseessä on suuntaviivojen 57 kappaleen mukainen tilanne eli jos ilmoitetusta toimenpiteestä myönnetty tuki yhdistetään keskitetysti hallinnoituun unionin rahoitukseen</w:t>
      </w:r>
      <w:r>
        <w:rPr>
          <w:rStyle w:val="FootnoteReference"/>
          <w:lang w:eastAsia="en-GB"/>
        </w:rPr>
        <w:footnoteReference w:id="8"/>
      </w:r>
      <w:r>
        <w:t xml:space="preserve"> (joka ei ole valtiontukea), perustelkaa, miten </w:t>
      </w:r>
      <w:r>
        <w:rPr>
          <w:shd w:val="clear" w:color="auto" w:fill="FFFFFF"/>
        </w:rPr>
        <w:t>samoihin tukikelpoisiin kustannuksiin myönnetyn julkisen rahoituksen kokonaismäärä ei johda ylikompensaatioon</w:t>
      </w:r>
      <w:r>
        <w:t xml:space="preserve">. </w:t>
      </w:r>
    </w:p>
    <w:p w14:paraId="4A76BA85" w14:textId="5308E4AE" w:rsidR="0078387C" w:rsidRDefault="009861F5" w:rsidP="0078387C">
      <w:pPr>
        <w:tabs>
          <w:tab w:val="left" w:leader="dot" w:pos="9072"/>
        </w:tabs>
        <w:spacing w:before="120" w:after="120"/>
        <w:ind w:left="567"/>
        <w:jc w:val="both"/>
      </w:pPr>
      <w:r>
        <w:tab/>
      </w:r>
    </w:p>
    <w:p w14:paraId="1739D1B0" w14:textId="77777777" w:rsidR="0001211F" w:rsidRPr="00EE2D7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6035D4E3" w:rsidR="006773CE" w:rsidRPr="00863406" w:rsidRDefault="00571910" w:rsidP="00EA5DDD">
            <w:pPr>
              <w:pStyle w:val="Heading1"/>
              <w:numPr>
                <w:ilvl w:val="2"/>
                <w:numId w:val="24"/>
              </w:numPr>
              <w:rPr>
                <w:color w:val="000000"/>
                <w:sz w:val="24"/>
                <w:szCs w:val="24"/>
              </w:rPr>
            </w:pPr>
            <w:r>
              <w:rPr>
                <w:sz w:val="24"/>
              </w:rPr>
              <w:t>Läpinäkyvyys</w:t>
            </w:r>
          </w:p>
        </w:tc>
      </w:tr>
    </w:tbl>
    <w:p w14:paraId="07229A8F" w14:textId="5882F9C4" w:rsidR="006773CE" w:rsidRPr="007C0A44" w:rsidRDefault="006773CE" w:rsidP="006773CE">
      <w:pPr>
        <w:spacing w:before="360" w:after="120"/>
        <w:jc w:val="both"/>
        <w:rPr>
          <w:i/>
        </w:rPr>
      </w:pPr>
      <w:r>
        <w:rPr>
          <w:i/>
        </w:rPr>
        <w:t xml:space="preserve">Tämän jakson tietoja varten ks. suuntaviivojen 3.2.1.4 kohta (58–61 kappale). </w:t>
      </w:r>
    </w:p>
    <w:p w14:paraId="2F56ABE9" w14:textId="549CAE9D" w:rsidR="00FF1BF6" w:rsidRPr="007C0A44" w:rsidRDefault="006F4C1A" w:rsidP="00DD1BB0">
      <w:pPr>
        <w:pStyle w:val="ListParagraph"/>
        <w:numPr>
          <w:ilvl w:val="0"/>
          <w:numId w:val="4"/>
        </w:numPr>
        <w:spacing w:before="120" w:after="120"/>
        <w:ind w:left="567" w:hanging="567"/>
        <w:contextualSpacing w:val="0"/>
        <w:jc w:val="both"/>
      </w:pPr>
      <w:r>
        <w:t>Vahvistakaa, että jäsenvaltio noudattaa suuntaviivojen 58–61 kappaleessa kuvattuja läpinäkyvyysvaatimuksia.</w:t>
      </w:r>
    </w:p>
    <w:p w14:paraId="23A38736" w14:textId="77777777" w:rsidR="003A66DE" w:rsidRPr="00AB745F" w:rsidRDefault="003A66DE" w:rsidP="003A66DE">
      <w:pPr>
        <w:tabs>
          <w:tab w:val="left" w:leader="dot" w:pos="9072"/>
        </w:tabs>
        <w:spacing w:before="120" w:after="120"/>
        <w:ind w:left="567"/>
        <w:jc w:val="both"/>
      </w:pPr>
      <w:r>
        <w:tab/>
      </w:r>
    </w:p>
    <w:p w14:paraId="03940E7D" w14:textId="6EA46CA0" w:rsidR="007C0A44" w:rsidRPr="00EA5DDD" w:rsidRDefault="006F4C1A" w:rsidP="006F4C1A">
      <w:pPr>
        <w:pStyle w:val="ListParagraph"/>
        <w:numPr>
          <w:ilvl w:val="0"/>
          <w:numId w:val="4"/>
        </w:numPr>
        <w:spacing w:before="120" w:after="120"/>
        <w:ind w:left="567" w:hanging="567"/>
        <w:contextualSpacing w:val="0"/>
        <w:jc w:val="both"/>
        <w:rPr>
          <w:rFonts w:ascii="inherit" w:hAnsi="inherit"/>
        </w:rPr>
      </w:pPr>
      <w:r>
        <w:rPr>
          <w:rFonts w:ascii="inherit" w:hAnsi="inherit"/>
        </w:rPr>
        <w:lastRenderedPageBreak/>
        <w:t xml:space="preserve">Antakaa linkki verkkosivulle, jolla julkaistaan hyväksytyn tukiohjelman tai yksittäisen tuen myöntämistä koskevan päätöksen ja sen täytäntöönpanosääntöjen koko teksti sekä tiedot kustakin yksittäisestä tuesta, joka on myönnetty tapauskohtaisesti tai suuntaviivojen perusteella hyväksytyn tukiohjelman puitteissa ja joka ylittää 100 000 euroa. </w:t>
      </w:r>
    </w:p>
    <w:p w14:paraId="314335F7" w14:textId="230B1D03" w:rsidR="007C0A44" w:rsidRDefault="007C0A44" w:rsidP="007C0A44">
      <w:pPr>
        <w:tabs>
          <w:tab w:val="left" w:leader="dot" w:pos="9072"/>
        </w:tabs>
        <w:spacing w:before="120" w:after="120"/>
        <w:ind w:left="567"/>
        <w:jc w:val="both"/>
      </w:pPr>
      <w:r>
        <w:tab/>
      </w:r>
    </w:p>
    <w:p w14:paraId="14FE0B14" w14:textId="77777777" w:rsidR="007C0A44" w:rsidRPr="00164ADE"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26F109E2" w:rsidR="008D37F9" w:rsidRPr="00757930" w:rsidRDefault="00011908" w:rsidP="00757930">
            <w:pPr>
              <w:pStyle w:val="Heading1"/>
              <w:numPr>
                <w:ilvl w:val="1"/>
                <w:numId w:val="24"/>
              </w:numPr>
              <w:jc w:val="left"/>
              <w:rPr>
                <w:iCs/>
                <w:color w:val="000000"/>
                <w:sz w:val="24"/>
                <w:szCs w:val="24"/>
              </w:rPr>
            </w:pPr>
            <w:r>
              <w:rPr>
                <w:color w:val="000000"/>
                <w:sz w:val="24"/>
              </w:rPr>
              <w:t>Kilpailuun ja kauppaan kohdistuvien kohtuuttomien kielteisten vaikutusten välttäminen ja punninta</w:t>
            </w:r>
          </w:p>
        </w:tc>
      </w:tr>
    </w:tbl>
    <w:p w14:paraId="6C8D04A2" w14:textId="31215476" w:rsidR="009D6AD7" w:rsidRDefault="00F83660" w:rsidP="00757930">
      <w:pPr>
        <w:spacing w:before="360" w:after="120"/>
        <w:jc w:val="both"/>
      </w:pPr>
      <w:r>
        <w:rPr>
          <w:i/>
        </w:rPr>
        <w:t xml:space="preserve">Tämän jakson tietoja varten ks. suuntaviivojen 4.8.5 kohta (359–370 kappale) ja 3.3 kohta (71–76 kappale). </w:t>
      </w:r>
    </w:p>
    <w:p w14:paraId="289C641A" w14:textId="66B1FD1E" w:rsidR="002955E1" w:rsidRDefault="002955E1" w:rsidP="00AA5AF1">
      <w:pPr>
        <w:numPr>
          <w:ilvl w:val="0"/>
          <w:numId w:val="4"/>
        </w:numPr>
        <w:spacing w:after="240"/>
        <w:ind w:left="567" w:hanging="567"/>
        <w:jc w:val="both"/>
        <w:rPr>
          <w:i/>
          <w:color w:val="000000"/>
        </w:rPr>
      </w:pPr>
      <w:r>
        <w:rPr>
          <w:color w:val="000000"/>
        </w:rPr>
        <w:t>Suuntaviivojen 359, 360 ja 361 kappaleen noudattamisen todentamiseksi:</w:t>
      </w:r>
    </w:p>
    <w:p w14:paraId="3CDD8237" w14:textId="472E0A00" w:rsidR="005333EE" w:rsidRPr="00757930" w:rsidRDefault="00967292" w:rsidP="00B02BC1">
      <w:pPr>
        <w:numPr>
          <w:ilvl w:val="0"/>
          <w:numId w:val="66"/>
        </w:numPr>
        <w:spacing w:after="240"/>
        <w:ind w:left="1134" w:hanging="283"/>
        <w:jc w:val="both"/>
        <w:rPr>
          <w:i/>
          <w:color w:val="000000"/>
        </w:rPr>
      </w:pPr>
      <w:r>
        <w:t xml:space="preserve">Osoittakaa (jos asiaa ei ole jo käsitelty kysymyksen </w:t>
      </w:r>
      <w:r>
        <w:rPr>
          <w:highlight w:val="yellow"/>
        </w:rPr>
        <w:fldChar w:fldCharType="begin"/>
      </w:r>
      <w:r>
        <w:instrText xml:space="preserve"> REF _Ref168390744 \r \h </w:instrText>
      </w:r>
      <w:r>
        <w:rPr>
          <w:highlight w:val="yellow"/>
        </w:rPr>
      </w:r>
      <w:r>
        <w:rPr>
          <w:highlight w:val="yellow"/>
        </w:rPr>
        <w:fldChar w:fldCharType="separate"/>
      </w:r>
      <w:r>
        <w:t>23</w:t>
      </w:r>
      <w:r>
        <w:rPr>
          <w:highlight w:val="yellow"/>
        </w:rPr>
        <w:fldChar w:fldCharType="end"/>
      </w:r>
      <w:r>
        <w:t xml:space="preserve"> yhteydessä), että tuki suunnitellaan siten, että markkinoiden tehokas toiminta jatkuu ja tehokkaat toimintakannustimet ja hintasignaalit säilytetään.</w:t>
      </w:r>
      <w:r>
        <w:rPr>
          <w:color w:val="000000"/>
        </w:rPr>
        <w:t xml:space="preserve"> </w:t>
      </w:r>
    </w:p>
    <w:p w14:paraId="289DEBC3" w14:textId="1F4CE1C7" w:rsidR="0058494E" w:rsidRPr="00757930" w:rsidRDefault="0058494E" w:rsidP="00217A1A">
      <w:pPr>
        <w:spacing w:after="240"/>
        <w:ind w:left="720" w:firstLine="414"/>
        <w:jc w:val="both"/>
        <w:rPr>
          <w:i/>
          <w:color w:val="000000"/>
        </w:rPr>
      </w:pPr>
      <w:r>
        <w:rPr>
          <w:color w:val="000000"/>
        </w:rPr>
        <w:t>………………………………………………………………………………………</w:t>
      </w:r>
    </w:p>
    <w:p w14:paraId="2DDF31A5" w14:textId="25888BC4" w:rsidR="002955E1" w:rsidRPr="00757930" w:rsidRDefault="0058494E" w:rsidP="00B02BC1">
      <w:pPr>
        <w:numPr>
          <w:ilvl w:val="0"/>
          <w:numId w:val="66"/>
        </w:numPr>
        <w:spacing w:after="240"/>
        <w:ind w:left="1134" w:hanging="283"/>
        <w:jc w:val="both"/>
        <w:rPr>
          <w:i/>
          <w:color w:val="000000"/>
        </w:rPr>
      </w:pPr>
      <w:r>
        <w:rPr>
          <w:color w:val="000000"/>
        </w:rPr>
        <w:t>Vahvistakaa, että sellaisen energian tuottamiseen ei ole kannustimia, joka korvaisi vähemmän saastuttavia energiamuotoja.</w:t>
      </w:r>
    </w:p>
    <w:p w14:paraId="546A7806" w14:textId="3689F66E" w:rsidR="0058494E" w:rsidRPr="00757930" w:rsidRDefault="0058494E" w:rsidP="00217A1A">
      <w:pPr>
        <w:spacing w:after="240"/>
        <w:ind w:left="720" w:firstLine="414"/>
        <w:jc w:val="both"/>
        <w:rPr>
          <w:i/>
          <w:color w:val="000000"/>
        </w:rPr>
      </w:pPr>
      <w:r>
        <w:rPr>
          <w:color w:val="000000"/>
        </w:rPr>
        <w:t>………………………………………………………………………………………</w:t>
      </w:r>
    </w:p>
    <w:p w14:paraId="631CC8BC" w14:textId="41975194" w:rsidR="0058494E" w:rsidRPr="00757930" w:rsidRDefault="0058494E" w:rsidP="00757930">
      <w:pPr>
        <w:numPr>
          <w:ilvl w:val="0"/>
          <w:numId w:val="66"/>
        </w:numPr>
        <w:spacing w:after="240"/>
        <w:ind w:left="1134" w:hanging="283"/>
        <w:jc w:val="both"/>
        <w:rPr>
          <w:i/>
          <w:color w:val="000000"/>
        </w:rPr>
      </w:pPr>
      <w:r>
        <w:rPr>
          <w:color w:val="000000"/>
        </w:rPr>
        <w:t>Ilmoittakaa, maksetaanko toimenpiteessä kapasiteetista (euroissa megawattia kohti) vai sähkön tuotannosta (euroissa megawattituntia kohti).</w:t>
      </w:r>
    </w:p>
    <w:p w14:paraId="2D8D148B" w14:textId="0F25A856" w:rsidR="00936A04" w:rsidRPr="00917696" w:rsidRDefault="00936A04" w:rsidP="00217A1A">
      <w:pPr>
        <w:spacing w:after="240"/>
        <w:ind w:left="720" w:firstLine="414"/>
        <w:jc w:val="both"/>
      </w:pPr>
      <w:r>
        <w:t>……………………………………………………………………………………..</w:t>
      </w:r>
    </w:p>
    <w:p w14:paraId="67025788" w14:textId="3A251072" w:rsidR="005333EE" w:rsidRDefault="005333EE" w:rsidP="00207312">
      <w:pPr>
        <w:numPr>
          <w:ilvl w:val="0"/>
          <w:numId w:val="4"/>
        </w:numPr>
        <w:spacing w:after="240"/>
        <w:ind w:left="567" w:hanging="567"/>
        <w:jc w:val="both"/>
        <w:rPr>
          <w:color w:val="000000"/>
        </w:rPr>
      </w:pPr>
      <w:bookmarkStart w:id="7" w:name="_Ref169096013"/>
      <w:r>
        <w:rPr>
          <w:color w:val="000000"/>
        </w:rPr>
        <w:t>Esittäkää näyttöä siitä, että toimenpide täyttää asetuksen (EU) 2019/943 22 artiklassa säädetyt suunnittelua koskevat vaatimukset (suuntaviivojen 362 kappale).</w:t>
      </w:r>
      <w:bookmarkEnd w:id="7"/>
    </w:p>
    <w:p w14:paraId="021E0476" w14:textId="1654EF0E" w:rsidR="0058494E" w:rsidRPr="00A32872" w:rsidRDefault="0058494E" w:rsidP="00757930">
      <w:pPr>
        <w:spacing w:after="240"/>
        <w:ind w:left="567"/>
        <w:jc w:val="both"/>
        <w:rPr>
          <w:color w:val="000000"/>
        </w:rPr>
      </w:pPr>
      <w:r>
        <w:rPr>
          <w:color w:val="000000"/>
        </w:rPr>
        <w:t>…………………………………………………………………………………………….</w:t>
      </w:r>
    </w:p>
    <w:p w14:paraId="5FE4F87C" w14:textId="67A4F29C" w:rsidR="005333EE" w:rsidRPr="00A32872" w:rsidRDefault="005333EE" w:rsidP="00207312">
      <w:pPr>
        <w:numPr>
          <w:ilvl w:val="0"/>
          <w:numId w:val="4"/>
        </w:numPr>
        <w:spacing w:after="240"/>
        <w:ind w:left="567" w:hanging="567"/>
        <w:jc w:val="both"/>
        <w:rPr>
          <w:color w:val="000000"/>
        </w:rPr>
      </w:pPr>
      <w:r>
        <w:rPr>
          <w:color w:val="000000"/>
        </w:rPr>
        <w:t>Osoittakaa suuntaviivojen 363 kappaleen mukaisesti, että strategisten reservien ja muiden resurssien riittävyyteen liittyvien järjestelyjen, keskeytettävyysjärjestelmät mukaan lukien, joissa kapasiteettia pidetään markkinoiden ulkopuolella sen varmistamiseksi, että markkinoiden hinnanmuodostus ei vääristy, osalta täyttyvät seuraavat kumulatiiviset lisävaatimukset:</w:t>
      </w:r>
    </w:p>
    <w:p w14:paraId="6E1DA574" w14:textId="064EFA54" w:rsidR="005333EE" w:rsidRDefault="005333EE" w:rsidP="00560F07">
      <w:pPr>
        <w:numPr>
          <w:ilvl w:val="1"/>
          <w:numId w:val="59"/>
        </w:numPr>
        <w:spacing w:after="240"/>
        <w:ind w:left="1134" w:hanging="283"/>
        <w:jc w:val="both"/>
        <w:rPr>
          <w:color w:val="000000"/>
        </w:rPr>
      </w:pPr>
      <w:r>
        <w:rPr>
          <w:color w:val="000000"/>
        </w:rPr>
        <w:t>Toimenpiteen resurssit otetaan tasapainon saavuttamiseksi kysynnän ja tarjonnan välillä käyttöön vain, jos siirtoverkonhaltijat todennäköisesti käyttävät loppuun tasehallintaresurssinsa.</w:t>
      </w:r>
    </w:p>
    <w:p w14:paraId="5D83821E" w14:textId="0B8EBE68" w:rsidR="009A1DEA" w:rsidRPr="00A32872" w:rsidRDefault="009A1DEA" w:rsidP="00217A1A">
      <w:pPr>
        <w:spacing w:after="240"/>
        <w:ind w:left="720" w:firstLine="414"/>
        <w:jc w:val="both"/>
        <w:rPr>
          <w:color w:val="000000"/>
        </w:rPr>
      </w:pPr>
      <w:r>
        <w:rPr>
          <w:color w:val="000000"/>
        </w:rPr>
        <w:t>………………………………………………………………………………………</w:t>
      </w:r>
    </w:p>
    <w:p w14:paraId="02614F60" w14:textId="1C998EE6" w:rsidR="005333EE" w:rsidRDefault="005333EE" w:rsidP="00560F07">
      <w:pPr>
        <w:numPr>
          <w:ilvl w:val="1"/>
          <w:numId w:val="59"/>
        </w:numPr>
        <w:spacing w:after="240"/>
        <w:ind w:left="1134" w:hanging="283"/>
        <w:jc w:val="both"/>
        <w:rPr>
          <w:color w:val="000000"/>
        </w:rPr>
      </w:pPr>
      <w:r>
        <w:rPr>
          <w:color w:val="000000"/>
        </w:rPr>
        <w:t xml:space="preserve">Taseselvitysjaksojen aikana, jolloin toimenpiteen resursseja on otettu ajoon verkkoon, markkinoiden tasepoikkeamat selvitetään käyttäen vähintään </w:t>
      </w:r>
      <w:r>
        <w:rPr>
          <w:color w:val="000000"/>
        </w:rPr>
        <w:lastRenderedPageBreak/>
        <w:t>toimittamatta jääneen sähkön arvoa tai arvoa, joka on päivänsisäistä teknistä hintarajaa korkeampi, sen mukaan, kumpi näistä on korkeampi.</w:t>
      </w:r>
    </w:p>
    <w:p w14:paraId="65BE28FE" w14:textId="0E55FD17" w:rsidR="009A1DEA" w:rsidRPr="00A32872" w:rsidRDefault="009A1DEA" w:rsidP="00217A1A">
      <w:pPr>
        <w:spacing w:after="240"/>
        <w:ind w:left="720" w:firstLine="414"/>
        <w:jc w:val="both"/>
        <w:rPr>
          <w:color w:val="000000"/>
        </w:rPr>
      </w:pPr>
      <w:r>
        <w:rPr>
          <w:color w:val="000000"/>
        </w:rPr>
        <w:t>………………………………………………………………………………………</w:t>
      </w:r>
    </w:p>
    <w:p w14:paraId="6A2ECFA4" w14:textId="5AC0D555" w:rsidR="005333EE" w:rsidRDefault="005333EE" w:rsidP="00560F07">
      <w:pPr>
        <w:numPr>
          <w:ilvl w:val="1"/>
          <w:numId w:val="59"/>
        </w:numPr>
        <w:spacing w:after="240"/>
        <w:ind w:left="1134" w:hanging="283"/>
        <w:jc w:val="both"/>
        <w:rPr>
          <w:color w:val="000000"/>
        </w:rPr>
      </w:pPr>
      <w:r>
        <w:rPr>
          <w:color w:val="000000"/>
        </w:rPr>
        <w:t>Toimenpiteen tuotos ajon jälkeen osoitetaan tasevastaaville tasepoikkeamien selvitysmekanismin avulla.</w:t>
      </w:r>
    </w:p>
    <w:p w14:paraId="4C371851" w14:textId="7E4E9F64" w:rsidR="009A1DEA" w:rsidRPr="00A32872" w:rsidRDefault="009A1DEA" w:rsidP="00217A1A">
      <w:pPr>
        <w:spacing w:after="240"/>
        <w:ind w:left="720" w:firstLine="414"/>
        <w:jc w:val="both"/>
        <w:rPr>
          <w:color w:val="000000"/>
        </w:rPr>
      </w:pPr>
      <w:r>
        <w:rPr>
          <w:color w:val="000000"/>
        </w:rPr>
        <w:t>………………………………………………………………………………………</w:t>
      </w:r>
    </w:p>
    <w:p w14:paraId="20E0C882" w14:textId="73A4092E" w:rsidR="005333EE" w:rsidRDefault="005333EE" w:rsidP="00560F07">
      <w:pPr>
        <w:numPr>
          <w:ilvl w:val="1"/>
          <w:numId w:val="59"/>
        </w:numPr>
        <w:spacing w:after="240"/>
        <w:ind w:left="1134" w:hanging="283"/>
        <w:jc w:val="both"/>
        <w:rPr>
          <w:color w:val="000000"/>
        </w:rPr>
      </w:pPr>
      <w:r>
        <w:rPr>
          <w:color w:val="000000"/>
        </w:rPr>
        <w:t>Resurssit eivät saa korvausta sähkön tukkumarkkinoilta tai tasesähkömarkkinoilta.</w:t>
      </w:r>
    </w:p>
    <w:p w14:paraId="28D6BF4F" w14:textId="7349BF2D" w:rsidR="009A1DEA" w:rsidRPr="00A32872" w:rsidRDefault="009A1DEA" w:rsidP="00217A1A">
      <w:pPr>
        <w:spacing w:after="240"/>
        <w:ind w:left="720" w:firstLine="414"/>
        <w:jc w:val="both"/>
        <w:rPr>
          <w:color w:val="000000"/>
        </w:rPr>
      </w:pPr>
      <w:r>
        <w:rPr>
          <w:color w:val="000000"/>
        </w:rPr>
        <w:t>………………………………………………………………………………………</w:t>
      </w:r>
    </w:p>
    <w:p w14:paraId="6A78EC5B" w14:textId="328854DC" w:rsidR="005333EE" w:rsidRDefault="005333EE" w:rsidP="00560F07">
      <w:pPr>
        <w:numPr>
          <w:ilvl w:val="1"/>
          <w:numId w:val="59"/>
        </w:numPr>
        <w:spacing w:after="240"/>
        <w:ind w:left="1134" w:hanging="283"/>
        <w:jc w:val="both"/>
        <w:rPr>
          <w:color w:val="000000"/>
        </w:rPr>
      </w:pPr>
      <w:r>
        <w:rPr>
          <w:color w:val="000000"/>
        </w:rPr>
        <w:t>Toimenpiteen resurssit pidetään energiamarkkinoiden ulkopuolella vähintään sopimuskauden keston ajan.</w:t>
      </w:r>
    </w:p>
    <w:p w14:paraId="6A586022" w14:textId="1CE2C6BC" w:rsidR="009A1DEA" w:rsidRPr="00A32872" w:rsidRDefault="009A1DEA" w:rsidP="00757930">
      <w:pPr>
        <w:spacing w:after="240"/>
        <w:ind w:left="567"/>
        <w:jc w:val="both"/>
        <w:rPr>
          <w:color w:val="000000"/>
        </w:rPr>
      </w:pPr>
      <w:r>
        <w:rPr>
          <w:color w:val="000000"/>
        </w:rPr>
        <w:t>…………………………………………………………………………………………….</w:t>
      </w:r>
    </w:p>
    <w:p w14:paraId="3C1043B0" w14:textId="476303DD" w:rsidR="005333EE" w:rsidRDefault="005333EE" w:rsidP="00207312">
      <w:pPr>
        <w:numPr>
          <w:ilvl w:val="0"/>
          <w:numId w:val="4"/>
        </w:numPr>
        <w:spacing w:after="240"/>
        <w:ind w:left="567" w:hanging="567"/>
        <w:jc w:val="both"/>
        <w:rPr>
          <w:color w:val="000000"/>
        </w:rPr>
      </w:pPr>
      <w:r>
        <w:rPr>
          <w:color w:val="000000"/>
        </w:rPr>
        <w:t>Vahvistakaa verkon ylikuormitustoimenpiteiden osalta, jos resursseja pidetään markkinoiden ulkopuolella, että kyseiset resurssit eivät saa korvausta sähkön tukkumarkkinoilta tai tasemarkkinoilta, ja ne pidetään energiamarkkinoiden ulkopuolella vähintään sopimuskauden ajan (suuntaviivojen 364 kappale).</w:t>
      </w:r>
    </w:p>
    <w:p w14:paraId="194E9B94" w14:textId="4EA0166D" w:rsidR="009A1DEA" w:rsidRPr="00A32872" w:rsidRDefault="009A1DEA" w:rsidP="00757930">
      <w:pPr>
        <w:spacing w:after="240"/>
        <w:ind w:left="567"/>
        <w:jc w:val="both"/>
        <w:rPr>
          <w:color w:val="000000"/>
        </w:rPr>
      </w:pPr>
      <w:r>
        <w:rPr>
          <w:color w:val="000000"/>
        </w:rPr>
        <w:t>…………………………………………………………………………………………….</w:t>
      </w:r>
    </w:p>
    <w:p w14:paraId="5AB2754B" w14:textId="479BCEE1" w:rsidR="00E55520" w:rsidRPr="00A32872" w:rsidRDefault="005333EE" w:rsidP="00207312">
      <w:pPr>
        <w:numPr>
          <w:ilvl w:val="0"/>
          <w:numId w:val="4"/>
        </w:numPr>
        <w:spacing w:after="240"/>
        <w:ind w:left="567" w:hanging="567"/>
        <w:jc w:val="both"/>
        <w:rPr>
          <w:color w:val="000000"/>
        </w:rPr>
      </w:pPr>
      <w:r>
        <w:rPr>
          <w:color w:val="000000"/>
        </w:rPr>
        <w:t>Osoittakaa muiden kapasiteettimekanismien kuin strategisten reservien osalta suuntaviivojen 365 kappaleen mukaisesti, että toimenpide</w:t>
      </w:r>
    </w:p>
    <w:p w14:paraId="61F8EA90" w14:textId="77777777" w:rsidR="00560F07" w:rsidRDefault="005333EE" w:rsidP="00A864A9">
      <w:pPr>
        <w:numPr>
          <w:ilvl w:val="1"/>
          <w:numId w:val="68"/>
        </w:numPr>
        <w:spacing w:after="240"/>
        <w:ind w:left="1134" w:hanging="283"/>
        <w:jc w:val="both"/>
        <w:rPr>
          <w:color w:val="000000"/>
        </w:rPr>
      </w:pPr>
      <w:r>
        <w:rPr>
          <w:color w:val="000000"/>
        </w:rPr>
        <w:t>on muotoiltu siten, että saatavuudesta maksettava hinta kääntyy automaattisesti kohti nollaa, kun tarjotun kapasiteetin tason odotetaan olevan riittävä täyttämään kapasiteetin kysynnän tason;</w:t>
      </w:r>
    </w:p>
    <w:p w14:paraId="0E882792" w14:textId="50D04BCD" w:rsidR="00E308B3" w:rsidRPr="00560F07" w:rsidRDefault="00E308B3" w:rsidP="00217A1A">
      <w:pPr>
        <w:spacing w:after="240"/>
        <w:ind w:left="851" w:firstLine="283"/>
        <w:jc w:val="both"/>
        <w:rPr>
          <w:color w:val="000000"/>
        </w:rPr>
      </w:pPr>
      <w:r>
        <w:rPr>
          <w:color w:val="000000"/>
        </w:rPr>
        <w:t>…………………………………………………………………………………...</w:t>
      </w:r>
    </w:p>
    <w:p w14:paraId="56EC0706" w14:textId="77777777" w:rsidR="00560F07" w:rsidRDefault="005333EE" w:rsidP="00A864A9">
      <w:pPr>
        <w:numPr>
          <w:ilvl w:val="1"/>
          <w:numId w:val="68"/>
        </w:numPr>
        <w:spacing w:after="240"/>
        <w:ind w:left="1134" w:hanging="283"/>
        <w:jc w:val="both"/>
        <w:rPr>
          <w:color w:val="000000"/>
        </w:rPr>
      </w:pPr>
      <w:r>
        <w:rPr>
          <w:color w:val="000000"/>
        </w:rPr>
        <w:t>palkitsee osallistuvia resursseja ainoastaan niiden saatavuudesta ja varmistaa, että korvaus ei vaikuta kapasiteetin tarjoajan päätöksiin tuottaa tai olla tuottamatta;</w:t>
      </w:r>
    </w:p>
    <w:p w14:paraId="73BE4F0C" w14:textId="40F8224B" w:rsidR="00E308B3" w:rsidRPr="00560F07" w:rsidRDefault="00E308B3" w:rsidP="00217A1A">
      <w:pPr>
        <w:spacing w:after="240"/>
        <w:ind w:left="851" w:firstLine="283"/>
        <w:jc w:val="both"/>
        <w:rPr>
          <w:color w:val="000000"/>
        </w:rPr>
      </w:pPr>
      <w:r>
        <w:rPr>
          <w:color w:val="000000"/>
        </w:rPr>
        <w:t>……………………………………………………………………………...</w:t>
      </w:r>
    </w:p>
    <w:p w14:paraId="4E49888F" w14:textId="77012650" w:rsidR="00560F07" w:rsidRDefault="005333EE" w:rsidP="00A864A9">
      <w:pPr>
        <w:numPr>
          <w:ilvl w:val="1"/>
          <w:numId w:val="68"/>
        </w:numPr>
        <w:ind w:left="1134" w:hanging="283"/>
        <w:jc w:val="both"/>
        <w:rPr>
          <w:color w:val="000000"/>
        </w:rPr>
      </w:pPr>
      <w:r>
        <w:rPr>
          <w:color w:val="000000"/>
        </w:rPr>
        <w:t>mahdollistaa kapasiteettivelvoitteiden siirron tukikelpoisten kapasiteetin tarjoajien välillä.</w:t>
      </w:r>
    </w:p>
    <w:p w14:paraId="43516A84" w14:textId="77777777" w:rsidR="00560F07" w:rsidRDefault="00560F07" w:rsidP="00560F07">
      <w:pPr>
        <w:ind w:left="567"/>
        <w:jc w:val="both"/>
        <w:rPr>
          <w:color w:val="000000"/>
        </w:rPr>
      </w:pPr>
    </w:p>
    <w:p w14:paraId="6C9EB3AE" w14:textId="790F34BB" w:rsidR="00E308B3" w:rsidRPr="00560F07" w:rsidRDefault="00560F07" w:rsidP="00560F07">
      <w:pPr>
        <w:ind w:left="567"/>
        <w:jc w:val="both"/>
        <w:rPr>
          <w:color w:val="000000"/>
        </w:rPr>
      </w:pPr>
      <w:r>
        <w:rPr>
          <w:color w:val="000000"/>
        </w:rPr>
        <w:t xml:space="preserve"> </w:t>
      </w:r>
      <w:r>
        <w:tab/>
      </w:r>
      <w:r>
        <w:rPr>
          <w:color w:val="000000"/>
        </w:rPr>
        <w:t>…………………………………………………………………………………...</w:t>
      </w:r>
    </w:p>
    <w:p w14:paraId="2E032C77" w14:textId="77777777" w:rsidR="005333EE" w:rsidRPr="00A32872" w:rsidRDefault="005333EE" w:rsidP="00A32872">
      <w:pPr>
        <w:ind w:left="567" w:hanging="567"/>
        <w:jc w:val="both"/>
        <w:rPr>
          <w:color w:val="000000"/>
        </w:rPr>
      </w:pPr>
    </w:p>
    <w:p w14:paraId="4ACD8CF3" w14:textId="4F00D815" w:rsidR="005333EE" w:rsidRPr="00A32872" w:rsidRDefault="00AA3AE2" w:rsidP="00207312">
      <w:pPr>
        <w:numPr>
          <w:ilvl w:val="0"/>
          <w:numId w:val="4"/>
        </w:numPr>
        <w:spacing w:after="240"/>
        <w:ind w:left="567" w:hanging="567"/>
        <w:jc w:val="both"/>
        <w:rPr>
          <w:color w:val="000000"/>
        </w:rPr>
      </w:pPr>
      <w:r>
        <w:rPr>
          <w:color w:val="000000"/>
        </w:rPr>
        <w:t xml:space="preserve">Osoittakaa suuntaviivojen 366 kappaleen noudattamisen todentamiseksi, että toimenpide ei </w:t>
      </w:r>
    </w:p>
    <w:p w14:paraId="28CFD8B5" w14:textId="77777777" w:rsidR="00727DA8" w:rsidRDefault="005333EE" w:rsidP="006764E5">
      <w:pPr>
        <w:numPr>
          <w:ilvl w:val="0"/>
          <w:numId w:val="73"/>
        </w:numPr>
        <w:spacing w:after="240"/>
        <w:jc w:val="both"/>
        <w:rPr>
          <w:color w:val="000000"/>
        </w:rPr>
      </w:pPr>
      <w:r>
        <w:rPr>
          <w:color w:val="000000"/>
        </w:rPr>
        <w:t>luo perusteettomia markkinavääristymiä eikä rajoita alueiden välistä kauppaa;</w:t>
      </w:r>
    </w:p>
    <w:p w14:paraId="13C124A6" w14:textId="4B7D8122" w:rsidR="00E308B3" w:rsidRPr="00727DA8" w:rsidRDefault="00E308B3" w:rsidP="00727DA8">
      <w:pPr>
        <w:spacing w:after="240"/>
        <w:ind w:left="1134"/>
        <w:jc w:val="both"/>
        <w:rPr>
          <w:color w:val="000000"/>
        </w:rPr>
      </w:pPr>
      <w:r>
        <w:rPr>
          <w:color w:val="000000"/>
        </w:rPr>
        <w:t>…………………………………………………………………………………...</w:t>
      </w:r>
    </w:p>
    <w:p w14:paraId="69F16327" w14:textId="77777777" w:rsidR="00727DA8" w:rsidRDefault="005333EE" w:rsidP="006764E5">
      <w:pPr>
        <w:numPr>
          <w:ilvl w:val="0"/>
          <w:numId w:val="73"/>
        </w:numPr>
        <w:spacing w:after="240"/>
        <w:jc w:val="both"/>
        <w:rPr>
          <w:color w:val="000000"/>
        </w:rPr>
      </w:pPr>
      <w:r>
        <w:rPr>
          <w:color w:val="000000"/>
        </w:rPr>
        <w:lastRenderedPageBreak/>
        <w:t xml:space="preserve">vähennä kannustimia investoida </w:t>
      </w:r>
      <w:proofErr w:type="spellStart"/>
      <w:r>
        <w:rPr>
          <w:color w:val="000000"/>
        </w:rPr>
        <w:t>yhteenliitäntäkapasiteettiin</w:t>
      </w:r>
      <w:proofErr w:type="spellEnd"/>
      <w:r>
        <w:rPr>
          <w:color w:val="000000"/>
        </w:rPr>
        <w:t>, esimerkiksi vähentämällä nykyisten tai uusien rajayhdysjohtojen ylikuormitustuloja;</w:t>
      </w:r>
    </w:p>
    <w:p w14:paraId="3EA1C7F6" w14:textId="5DA3A4AD" w:rsidR="00E308B3" w:rsidRPr="00727DA8" w:rsidRDefault="00E308B3" w:rsidP="00727DA8">
      <w:pPr>
        <w:spacing w:after="240"/>
        <w:ind w:left="1134"/>
        <w:jc w:val="both"/>
        <w:rPr>
          <w:color w:val="000000"/>
        </w:rPr>
      </w:pPr>
      <w:r>
        <w:rPr>
          <w:color w:val="000000"/>
        </w:rPr>
        <w:t>…………………………………………………………………………………...</w:t>
      </w:r>
    </w:p>
    <w:p w14:paraId="23D7B171" w14:textId="77777777" w:rsidR="005333EE" w:rsidRDefault="005333EE" w:rsidP="006764E5">
      <w:pPr>
        <w:numPr>
          <w:ilvl w:val="0"/>
          <w:numId w:val="73"/>
        </w:numPr>
        <w:spacing w:after="240"/>
        <w:jc w:val="both"/>
        <w:rPr>
          <w:color w:val="000000"/>
        </w:rPr>
      </w:pPr>
      <w:r>
        <w:rPr>
          <w:color w:val="000000"/>
        </w:rPr>
        <w:t xml:space="preserve">heikennä markkinoiden </w:t>
      </w:r>
      <w:proofErr w:type="spellStart"/>
      <w:r>
        <w:rPr>
          <w:color w:val="000000"/>
        </w:rPr>
        <w:t>yhteenkytkemistä</w:t>
      </w:r>
      <w:proofErr w:type="spellEnd"/>
      <w:r>
        <w:rPr>
          <w:color w:val="000000"/>
        </w:rPr>
        <w:t>, mukaan lukien päivänsisäiset markkinat ja tasehallintamarkkinat;</w:t>
      </w:r>
    </w:p>
    <w:p w14:paraId="3BC8C6C5" w14:textId="2718EE32" w:rsidR="00E308B3" w:rsidRPr="00A32872" w:rsidRDefault="00E308B3" w:rsidP="00217A1A">
      <w:pPr>
        <w:spacing w:after="240"/>
        <w:ind w:left="414" w:firstLine="720"/>
        <w:jc w:val="both"/>
        <w:rPr>
          <w:color w:val="000000"/>
        </w:rPr>
      </w:pPr>
      <w:r>
        <w:rPr>
          <w:color w:val="000000"/>
        </w:rPr>
        <w:t>…………………………………………………………………………………..</w:t>
      </w:r>
    </w:p>
    <w:p w14:paraId="24BF040F" w14:textId="77777777" w:rsidR="005333EE" w:rsidRDefault="005333EE" w:rsidP="006764E5">
      <w:pPr>
        <w:numPr>
          <w:ilvl w:val="0"/>
          <w:numId w:val="73"/>
        </w:numPr>
        <w:spacing w:after="240"/>
        <w:jc w:val="both"/>
        <w:rPr>
          <w:color w:val="000000"/>
        </w:rPr>
      </w:pPr>
      <w:r>
        <w:rPr>
          <w:color w:val="000000"/>
        </w:rPr>
        <w:t>haittaa ennen toimenpidettä tehtyjä investointipäätöksiä.</w:t>
      </w:r>
      <w:r>
        <w:tab/>
      </w:r>
    </w:p>
    <w:p w14:paraId="2E565C79" w14:textId="750C581D" w:rsidR="00E308B3" w:rsidRPr="00A32872" w:rsidRDefault="00E308B3" w:rsidP="00217A1A">
      <w:pPr>
        <w:spacing w:after="240"/>
        <w:ind w:left="414" w:firstLine="720"/>
        <w:jc w:val="both"/>
        <w:rPr>
          <w:color w:val="000000"/>
        </w:rPr>
      </w:pPr>
      <w:r>
        <w:rPr>
          <w:color w:val="000000"/>
        </w:rPr>
        <w:t>…………………………………………………………………………………..</w:t>
      </w:r>
    </w:p>
    <w:p w14:paraId="72B90E0C" w14:textId="53E3A462" w:rsidR="00E308B3" w:rsidRPr="00E308B3" w:rsidRDefault="00AB4926" w:rsidP="00207312">
      <w:pPr>
        <w:numPr>
          <w:ilvl w:val="0"/>
          <w:numId w:val="4"/>
        </w:numPr>
        <w:spacing w:after="240"/>
        <w:ind w:left="567" w:hanging="567"/>
        <w:jc w:val="both"/>
        <w:rPr>
          <w:color w:val="000000"/>
        </w:rPr>
      </w:pPr>
      <w:r>
        <w:rPr>
          <w:color w:val="000000"/>
        </w:rPr>
        <w:t xml:space="preserve">Osoittakaa suuntaviivojen 367 kappaleen noudattamisen todentamiseksi, että ilmoitetun toimenpiteen kustannukset koituvat markkinatoimijoille, jotka myötävaikuttavat sen tarpeeseen. </w:t>
      </w:r>
      <w:r>
        <w:t>Jos katsotte, että tällaista kustannusten kohdentamista ei tarvita, selittäkää, miksi näin on, ja esittäkää näyttöä, johon sisältyy myös julkisessa kuulemisessa kerätty näyttö.</w:t>
      </w:r>
      <w:r>
        <w:rPr>
          <w:color w:val="000000"/>
        </w:rPr>
        <w:t xml:space="preserve"> </w:t>
      </w:r>
      <w:r>
        <w:rPr>
          <w:rStyle w:val="FootnoteReference"/>
          <w:color w:val="000000"/>
        </w:rPr>
        <w:footnoteReference w:id="9"/>
      </w:r>
    </w:p>
    <w:p w14:paraId="4F93E689" w14:textId="77777777" w:rsidR="00E308B3" w:rsidRDefault="00E308B3" w:rsidP="00E308B3">
      <w:pPr>
        <w:ind w:left="709"/>
        <w:jc w:val="both"/>
        <w:rPr>
          <w:color w:val="000000"/>
        </w:rPr>
      </w:pPr>
    </w:p>
    <w:p w14:paraId="7EC4C92B" w14:textId="30B0C7EA" w:rsidR="00E308B3" w:rsidRPr="00AB1DB6" w:rsidRDefault="00E308B3" w:rsidP="00757930">
      <w:pPr>
        <w:ind w:left="709"/>
        <w:jc w:val="both"/>
        <w:rPr>
          <w:color w:val="000000"/>
        </w:rPr>
      </w:pPr>
      <w:r>
        <w:rPr>
          <w:color w:val="000000"/>
        </w:rPr>
        <w:t>…………………………………………………………………………………………...</w:t>
      </w:r>
    </w:p>
    <w:p w14:paraId="0D3E49C5" w14:textId="77777777" w:rsidR="00F83660" w:rsidRPr="0096537D" w:rsidRDefault="00F83660" w:rsidP="00757930">
      <w:pPr>
        <w:rPr>
          <w:i/>
          <w:color w:val="000000"/>
        </w:rPr>
      </w:pPr>
    </w:p>
    <w:p w14:paraId="693D9200" w14:textId="536BDC11" w:rsidR="004B2EF3" w:rsidRPr="00564B1B" w:rsidRDefault="006D3167" w:rsidP="00207312">
      <w:pPr>
        <w:numPr>
          <w:ilvl w:val="0"/>
          <w:numId w:val="4"/>
        </w:numPr>
        <w:spacing w:after="240"/>
        <w:ind w:left="567" w:hanging="567"/>
        <w:jc w:val="both"/>
      </w:pPr>
      <w:r>
        <w:t>Perustelkaa suuntaviivojen 72 kappaleen mukaisesti, täyttääkö ilmoitettu toimenpide Euroopan parlamentin ja neuvoston asetuksen (EU) 2020/852</w:t>
      </w:r>
      <w:r>
        <w:rPr>
          <w:rStyle w:val="FootnoteReference"/>
          <w:lang w:eastAsia="en-GB"/>
        </w:rPr>
        <w:footnoteReference w:id="10"/>
      </w:r>
      <w:r>
        <w:t xml:space="preserve"> 3 artiklassa säädetyt ympäristön kannalta kestäviä taloudellisia toimintoja koskevat kriteerit, mukaan lukien ”ei merkittävää haittaa” -periaate</w:t>
      </w:r>
      <w:r>
        <w:rPr>
          <w:rStyle w:val="FootnoteReference"/>
          <w:shd w:val="clear" w:color="auto" w:fill="FFFFFF"/>
        </w:rPr>
        <w:footnoteReference w:id="11"/>
      </w:r>
      <w:r>
        <w:t>, tai muiden vastaavien arviointitapojen kriteerit.</w:t>
      </w:r>
    </w:p>
    <w:p w14:paraId="6DA71EEE" w14:textId="77777777" w:rsidR="004B2EF3" w:rsidRPr="00564B1B" w:rsidRDefault="004B2EF3" w:rsidP="004B2EF3">
      <w:pPr>
        <w:tabs>
          <w:tab w:val="left" w:leader="dot" w:pos="9072"/>
        </w:tabs>
        <w:spacing w:before="120" w:after="120"/>
        <w:ind w:left="567"/>
        <w:jc w:val="both"/>
      </w:pPr>
      <w:r>
        <w:tab/>
      </w:r>
    </w:p>
    <w:p w14:paraId="7EE65B5F" w14:textId="4B464544" w:rsidR="00B223A4" w:rsidRDefault="0070594E" w:rsidP="00207312">
      <w:pPr>
        <w:numPr>
          <w:ilvl w:val="0"/>
          <w:numId w:val="4"/>
        </w:numPr>
        <w:spacing w:after="240"/>
        <w:ind w:left="567" w:hanging="567"/>
        <w:jc w:val="both"/>
      </w:pPr>
      <w:r>
        <w:t>Jos jäsenvaltio päättää toteuttaa tarjouskilpailumenettelyn, selittäkää suuntaviivojen 75 kappaleen mukaisesti, sisältyykö ilmoitettuun toimenpiteeseen piirteitä, joilla helpotetaan pk-yritysten tai uusiutuvan energian yhteisöjen osallistumista. Jos kyllä, antakaa tiedot näistä piirteistä ja perustelkaa, miten myönteiset vaikutukset siitä, että varmistetaan pk-yritysten osallistuminen ja hyväksyminen ilmoitettuun toimenpiteeseen, ovat suuremmat kuin mahdolliset kilpailua vääristävät vaikutukset.</w:t>
      </w:r>
    </w:p>
    <w:p w14:paraId="02E6A627" w14:textId="4B5682B8" w:rsidR="004901DA" w:rsidRPr="00AC1973" w:rsidRDefault="004901DA" w:rsidP="00757930">
      <w:pPr>
        <w:pStyle w:val="ListParagraph"/>
        <w:spacing w:before="120" w:after="120"/>
        <w:ind w:left="567"/>
        <w:contextualSpacing w:val="0"/>
        <w:jc w:val="both"/>
      </w:pPr>
      <w:r>
        <w:t xml:space="preserve"> </w:t>
      </w:r>
      <w:r>
        <w:br/>
        <w:t>…………………………………………………………………………………………….</w:t>
      </w:r>
    </w:p>
    <w:p w14:paraId="060F166E" w14:textId="76EDD169" w:rsidR="00363A2F" w:rsidRDefault="00363A2F" w:rsidP="00207312">
      <w:pPr>
        <w:numPr>
          <w:ilvl w:val="0"/>
          <w:numId w:val="4"/>
        </w:numPr>
        <w:spacing w:after="240"/>
        <w:ind w:left="567" w:hanging="567"/>
        <w:jc w:val="both"/>
      </w:pPr>
      <w:r>
        <w:t>Suuntaviivojen 368 ja 369 kappaleen noudattamisen todentamiseksi:</w:t>
      </w:r>
    </w:p>
    <w:p w14:paraId="0D229619" w14:textId="5FC55C14" w:rsidR="000B0545" w:rsidRDefault="00C3175A" w:rsidP="006764E5">
      <w:pPr>
        <w:pStyle w:val="ListParagraph"/>
        <w:numPr>
          <w:ilvl w:val="0"/>
          <w:numId w:val="74"/>
        </w:numPr>
        <w:spacing w:before="120" w:after="120"/>
        <w:contextualSpacing w:val="0"/>
        <w:jc w:val="both"/>
      </w:pPr>
      <w:r>
        <w:lastRenderedPageBreak/>
        <w:t>Jos ilmoitetulla toimenpiteellä luodaan kannustimia uusiin investointeihin kaikkein saastuttavimpiin fossiilisiin polttoaineisiin, selittäkää, onko toimenpide, mukaan lukien verkon ylikuormitustoimenpiteet ja keskeytettävyysjärjestelmät, asetuksen (EU) 2019/943 22 artiklassa vahvistetun kapasiteettimekanismeihin sovellettavan päästökynnyksen mukainen.</w:t>
      </w:r>
    </w:p>
    <w:p w14:paraId="57AC9BB2" w14:textId="77E4A24F" w:rsidR="004901DA" w:rsidRPr="00363A2F" w:rsidRDefault="004901DA" w:rsidP="00217A1A">
      <w:pPr>
        <w:pStyle w:val="ListParagraph"/>
        <w:spacing w:before="120" w:after="120"/>
        <w:ind w:firstLine="414"/>
        <w:contextualSpacing w:val="0"/>
        <w:jc w:val="both"/>
      </w:pPr>
      <w:r>
        <w:t>…………………………………………………………………………………...</w:t>
      </w:r>
    </w:p>
    <w:p w14:paraId="220F0FE1" w14:textId="316A60D4" w:rsidR="00BE5CBB" w:rsidRDefault="006538C6" w:rsidP="006764E5">
      <w:pPr>
        <w:pStyle w:val="ListParagraph"/>
        <w:numPr>
          <w:ilvl w:val="0"/>
          <w:numId w:val="74"/>
        </w:numPr>
      </w:pPr>
      <w:r>
        <w:t>jos ilmoitetulla toimenpiteellä luodaan kannustimia uusiin investointeihin maakaasuun perustuvaan energiantuotantoon, selittäkää, miten toimenpiteellä varmistetaan, että se edistää unionin vuoden 2030 ilmastotavoitteen ja vuoden 2050 ilmastoneutraaliustavoitteen saavuttamista. Selittäkää erityisesti, miten vältetään lukkiutuminen kyseiseen kaasukäyttöiseen energiantuotanto- tai teollisuustuotantolaitteistoon.</w:t>
      </w:r>
    </w:p>
    <w:p w14:paraId="69839542" w14:textId="77777777" w:rsidR="00217A1A" w:rsidRDefault="00217A1A" w:rsidP="00217A1A">
      <w:pPr>
        <w:pStyle w:val="ListParagraph"/>
        <w:ind w:left="414" w:firstLine="720"/>
      </w:pPr>
    </w:p>
    <w:p w14:paraId="6565254D" w14:textId="64E61369" w:rsidR="004901DA" w:rsidRDefault="004901DA" w:rsidP="00217A1A">
      <w:pPr>
        <w:pStyle w:val="ListParagraph"/>
        <w:ind w:left="414" w:firstLine="720"/>
      </w:pPr>
      <w:r>
        <w:t>…………………………………………………………………………………...</w:t>
      </w:r>
    </w:p>
    <w:p w14:paraId="1BBB058D" w14:textId="77777777" w:rsidR="00B223A4" w:rsidRDefault="00B223A4" w:rsidP="00A32872">
      <w:pPr>
        <w:pStyle w:val="ListParagraph"/>
        <w:ind w:left="1418"/>
      </w:pPr>
    </w:p>
    <w:p w14:paraId="6D44EA64" w14:textId="7E07C59F" w:rsidR="00B223A4" w:rsidRPr="006538C6" w:rsidRDefault="00B223A4" w:rsidP="00207312">
      <w:pPr>
        <w:numPr>
          <w:ilvl w:val="0"/>
          <w:numId w:val="4"/>
        </w:numPr>
        <w:spacing w:after="240"/>
        <w:ind w:left="567" w:hanging="567"/>
        <w:jc w:val="both"/>
        <w:rPr>
          <w:szCs w:val="24"/>
        </w:rPr>
      </w:pPr>
      <w:r>
        <w:rPr>
          <w:color w:val="000000"/>
        </w:rPr>
        <w:t>Kun</w:t>
      </w:r>
      <w:r>
        <w:rPr>
          <w:color w:val="333333"/>
          <w:shd w:val="clear" w:color="auto" w:fill="FFFFFF"/>
        </w:rPr>
        <w:t xml:space="preserve"> kyseessä ovat yksittäiset tukitoimenpiteet tai tukiohjelmat, jotka hyödyttävät vain erityisen rajoitettua määrää tuensaajia tai vakiintuneessa asemassa olevaa tuensaajaa, osoittakaa myös, että ehdotettu tukitoimenpide ei lisää markkinavoimaa (suuntaviivojen 370 kappale).</w:t>
      </w:r>
    </w:p>
    <w:p w14:paraId="642C246D" w14:textId="077B1239" w:rsidR="004B2EF3" w:rsidRDefault="004B2EF3" w:rsidP="004B2EF3">
      <w:pPr>
        <w:tabs>
          <w:tab w:val="left" w:leader="dot" w:pos="9072"/>
        </w:tabs>
        <w:spacing w:before="120" w:after="120"/>
        <w:ind w:left="567"/>
        <w:jc w:val="both"/>
      </w:pPr>
      <w:r>
        <w:tab/>
      </w:r>
    </w:p>
    <w:p w14:paraId="405B356B" w14:textId="77777777" w:rsidR="00BE5CBB" w:rsidRDefault="00BE5CBB" w:rsidP="004B2EF3">
      <w:pPr>
        <w:tabs>
          <w:tab w:val="left" w:leader="dot" w:pos="9072"/>
        </w:tabs>
        <w:spacing w:before="120" w:after="120"/>
        <w:ind w:left="567"/>
        <w:jc w:val="both"/>
      </w:pPr>
    </w:p>
    <w:p w14:paraId="04559139" w14:textId="28DBFA74" w:rsidR="00917556" w:rsidRDefault="00917556" w:rsidP="005C6138">
      <w:pPr>
        <w:tabs>
          <w:tab w:val="left" w:leader="dot" w:pos="9072"/>
        </w:tabs>
        <w:spacing w:before="120" w:after="120"/>
        <w:ind w:left="567"/>
        <w:jc w:val="both"/>
      </w:pPr>
    </w:p>
    <w:p w14:paraId="10688268" w14:textId="77777777" w:rsidR="00C33721" w:rsidRPr="0096537D"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757930">
        <w:trPr>
          <w:trHeight w:val="479"/>
        </w:trPr>
        <w:tc>
          <w:tcPr>
            <w:tcW w:w="9322" w:type="dxa"/>
            <w:shd w:val="pct15" w:color="auto" w:fill="auto"/>
          </w:tcPr>
          <w:p w14:paraId="145F7D57" w14:textId="0919B1F8" w:rsidR="00C33721" w:rsidRPr="00757930" w:rsidRDefault="00EB1F3B" w:rsidP="00757930">
            <w:pPr>
              <w:ind w:left="360"/>
              <w:jc w:val="center"/>
              <w:rPr>
                <w:rFonts w:eastAsia="Times New Roman"/>
                <w:b/>
                <w:iCs/>
                <w:color w:val="000000"/>
                <w:sz w:val="28"/>
                <w:szCs w:val="28"/>
              </w:rPr>
            </w:pPr>
            <w:r>
              <w:rPr>
                <w:b/>
                <w:color w:val="000000"/>
                <w:sz w:val="32"/>
              </w:rPr>
              <w:t>Jakso C: Arviointi</w:t>
            </w:r>
          </w:p>
        </w:tc>
      </w:tr>
    </w:tbl>
    <w:p w14:paraId="78AC9B95" w14:textId="1FB76E7E" w:rsidR="00C33721" w:rsidRPr="0051324D" w:rsidRDefault="00C33721" w:rsidP="005C6138">
      <w:pPr>
        <w:tabs>
          <w:tab w:val="left" w:leader="dot" w:pos="9072"/>
        </w:tabs>
        <w:spacing w:before="120" w:after="120"/>
        <w:ind w:left="567"/>
        <w:jc w:val="both"/>
      </w:pPr>
      <w:r>
        <w:rPr>
          <w:i/>
        </w:rPr>
        <w:t>Tämän jakson tietoja varten ks. suuntaviivojen 76 kappaleen a kohta ja 5 luku (455–463 kappale).</w:t>
      </w:r>
    </w:p>
    <w:p w14:paraId="319011B2" w14:textId="6538C74F" w:rsidR="002F3E3B" w:rsidRDefault="002F3E3B" w:rsidP="00207312">
      <w:pPr>
        <w:numPr>
          <w:ilvl w:val="0"/>
          <w:numId w:val="4"/>
        </w:numPr>
        <w:spacing w:after="240"/>
        <w:ind w:left="567" w:hanging="567"/>
        <w:jc w:val="both"/>
      </w:pPr>
      <w:r>
        <w:t>Jos ilmoitettu toimenpide ylittää suuntaviivojen 456 kappaleessa esitetyt budjetin/menojen kynnysarvot, selittäkää, miksi mielestänne olisi sovellettava suuntaviivojen 457 kappaleen mukaista poikkeusta, tai liittäkää tähän ilmoituslomakkeeseen liite, joka sisältää luonnoksen suuntaviivojen 458 kappaleessa mainitut seikat kattavaksi arviointisuunnitelmaksi</w:t>
      </w:r>
      <w:r>
        <w:rPr>
          <w:vertAlign w:val="superscript"/>
          <w:lang w:eastAsia="en-GB"/>
        </w:rPr>
        <w:footnoteReference w:id="12"/>
      </w:r>
      <w:r>
        <w:t>.</w:t>
      </w:r>
    </w:p>
    <w:p w14:paraId="639F4623" w14:textId="77777777" w:rsidR="002F3E3B" w:rsidRDefault="002F3E3B" w:rsidP="002F3E3B">
      <w:pPr>
        <w:pStyle w:val="ListParagraph"/>
        <w:spacing w:before="120" w:after="120"/>
        <w:ind w:left="567"/>
        <w:jc w:val="both"/>
        <w:rPr>
          <w:lang w:eastAsia="en-GB"/>
        </w:rPr>
      </w:pPr>
    </w:p>
    <w:p w14:paraId="4052094C" w14:textId="1AC466C8" w:rsidR="002F3E3B" w:rsidRDefault="002F3E3B" w:rsidP="002F3E3B">
      <w:pPr>
        <w:pStyle w:val="ListParagraph"/>
        <w:spacing w:before="120" w:after="120"/>
        <w:ind w:left="567"/>
        <w:jc w:val="both"/>
      </w:pPr>
      <w:r>
        <w:t>…………………………………………………………………………………………….</w:t>
      </w:r>
    </w:p>
    <w:p w14:paraId="76FD2797" w14:textId="77777777" w:rsidR="002F3E3B" w:rsidRPr="002F3E3B" w:rsidRDefault="002F3E3B" w:rsidP="00757930">
      <w:pPr>
        <w:pStyle w:val="ListParagraph"/>
        <w:spacing w:before="120" w:after="120"/>
        <w:ind w:left="567"/>
        <w:jc w:val="both"/>
        <w:rPr>
          <w:lang w:eastAsia="en-GB"/>
        </w:rPr>
      </w:pPr>
    </w:p>
    <w:p w14:paraId="68CBD52D" w14:textId="1908A948" w:rsidR="002F3E3B" w:rsidRDefault="002F3E3B" w:rsidP="00207312">
      <w:pPr>
        <w:numPr>
          <w:ilvl w:val="0"/>
          <w:numId w:val="4"/>
        </w:numPr>
        <w:spacing w:after="240"/>
        <w:ind w:left="567" w:hanging="567"/>
        <w:jc w:val="both"/>
      </w:pPr>
      <w:r>
        <w:t>Jos toimitatte arviointisuunnitelman luonnoksen,</w:t>
      </w:r>
    </w:p>
    <w:p w14:paraId="2E38E9A8" w14:textId="77777777" w:rsidR="00237F5F" w:rsidRDefault="00237F5F" w:rsidP="005C0B39">
      <w:pPr>
        <w:numPr>
          <w:ilvl w:val="2"/>
          <w:numId w:val="57"/>
        </w:numPr>
        <w:ind w:left="1134" w:hanging="283"/>
      </w:pPr>
      <w:r>
        <w:t>esittäkää alla yhteenveto liitteessä olevasta arviointisuunnitelman luonnoksesta.</w:t>
      </w:r>
    </w:p>
    <w:p w14:paraId="6D0BBA0C" w14:textId="1D077366" w:rsidR="009F5BAE" w:rsidRDefault="009F5BAE" w:rsidP="00217A1A">
      <w:pPr>
        <w:ind w:left="414" w:firstLine="720"/>
      </w:pPr>
      <w:r>
        <w:t>…………………………………………………………………………………...</w:t>
      </w:r>
    </w:p>
    <w:p w14:paraId="119A862E" w14:textId="77777777" w:rsidR="00237F5F" w:rsidRDefault="00237F5F" w:rsidP="00757930">
      <w:pPr>
        <w:ind w:left="2367"/>
        <w:rPr>
          <w:lang w:eastAsia="en-GB"/>
        </w:rPr>
      </w:pPr>
    </w:p>
    <w:p w14:paraId="420DA05D" w14:textId="77777777" w:rsidR="00237F5F" w:rsidRDefault="00237F5F" w:rsidP="005C0B39">
      <w:pPr>
        <w:numPr>
          <w:ilvl w:val="2"/>
          <w:numId w:val="57"/>
        </w:numPr>
        <w:ind w:left="1134" w:hanging="283"/>
      </w:pPr>
      <w:r>
        <w:lastRenderedPageBreak/>
        <w:t>vahvistakaa, että suuntaviivojen 460 kappaletta noudatetaan.</w:t>
      </w:r>
    </w:p>
    <w:p w14:paraId="2174214A" w14:textId="1D2FA691" w:rsidR="00237F5F" w:rsidRDefault="009F5BAE" w:rsidP="00217A1A">
      <w:pPr>
        <w:ind w:left="414" w:firstLine="720"/>
      </w:pPr>
      <w:r>
        <w:t>…………………………………………………………………………………...</w:t>
      </w:r>
    </w:p>
    <w:p w14:paraId="5BFA03E4" w14:textId="77777777" w:rsidR="00237F5F" w:rsidRPr="00237F5F" w:rsidRDefault="00237F5F" w:rsidP="00757930">
      <w:pPr>
        <w:ind w:left="2367"/>
        <w:rPr>
          <w:lang w:eastAsia="en-GB"/>
        </w:rPr>
      </w:pPr>
    </w:p>
    <w:p w14:paraId="663B3F20" w14:textId="77777777" w:rsidR="00237F5F" w:rsidRDefault="00237F5F" w:rsidP="005C0B39">
      <w:pPr>
        <w:numPr>
          <w:ilvl w:val="2"/>
          <w:numId w:val="57"/>
        </w:numPr>
        <w:ind w:left="1134" w:hanging="283"/>
      </w:pPr>
      <w:r>
        <w:t>antakaa linkki verkkosivulle, jolla arviointisuunnitelma julkaistaan, ja ilmoittakaa julkaisemisen päivämäärä.</w:t>
      </w:r>
    </w:p>
    <w:p w14:paraId="02EF96D4" w14:textId="79AFB600" w:rsidR="000166FC" w:rsidRDefault="000166FC" w:rsidP="00217A1A">
      <w:pPr>
        <w:ind w:left="1134"/>
      </w:pPr>
      <w:r>
        <w:t>…………………………………………………………………………………...</w:t>
      </w:r>
    </w:p>
    <w:p w14:paraId="54A1096C" w14:textId="77777777" w:rsidR="000166FC" w:rsidRDefault="000166FC" w:rsidP="000166FC">
      <w:pPr>
        <w:ind w:left="1418"/>
        <w:rPr>
          <w:lang w:eastAsia="en-GB"/>
        </w:rPr>
      </w:pPr>
    </w:p>
    <w:p w14:paraId="71ADC234" w14:textId="7C3CBF62" w:rsidR="009F5BAE" w:rsidRDefault="00576C43" w:rsidP="00207312">
      <w:pPr>
        <w:numPr>
          <w:ilvl w:val="0"/>
          <w:numId w:val="4"/>
        </w:numPr>
        <w:spacing w:after="240"/>
        <w:ind w:left="567" w:hanging="567"/>
        <w:jc w:val="both"/>
      </w:pPr>
      <w:r>
        <w:t xml:space="preserve">Jos tukiohjelmaan ei tällä hetkellä sovelleta jälkiarviointia ja sen kesto on yli kolme vuotta, vahvistakaa suuntaviivojen 459 kappaleen b kohdan noudattamisen todentamiseksi, että ilmoitatte arviointisuunnitelman luonnoksen 30 työpäivän kuluessa merkittävästä muutoksesta, joka kasvattaa ohjelman budjetin jonakin vuotena yli 150 miljoonaan euroon tai ohjelman koko keston aikana yli 750 miljoonaan euroon. </w:t>
      </w:r>
    </w:p>
    <w:p w14:paraId="4CF7C107" w14:textId="77777777" w:rsidR="000166FC" w:rsidRDefault="000166FC" w:rsidP="00757930">
      <w:pPr>
        <w:ind w:left="426"/>
        <w:jc w:val="both"/>
      </w:pPr>
    </w:p>
    <w:p w14:paraId="2E3C1BC9" w14:textId="66635505" w:rsidR="000166FC" w:rsidRDefault="000166FC" w:rsidP="000166FC">
      <w:pPr>
        <w:ind w:left="426"/>
        <w:jc w:val="both"/>
      </w:pPr>
      <w:r>
        <w:t>………………………………………………………………………………………………</w:t>
      </w:r>
    </w:p>
    <w:p w14:paraId="441AE4CC" w14:textId="77777777" w:rsidR="000166FC" w:rsidRDefault="000166FC" w:rsidP="00757930">
      <w:pPr>
        <w:ind w:left="426"/>
        <w:jc w:val="both"/>
      </w:pPr>
    </w:p>
    <w:p w14:paraId="0A79D2DB" w14:textId="77777777" w:rsidR="0012481A" w:rsidRDefault="00576C43" w:rsidP="00207312">
      <w:pPr>
        <w:numPr>
          <w:ilvl w:val="0"/>
          <w:numId w:val="4"/>
        </w:numPr>
        <w:spacing w:after="240"/>
        <w:ind w:left="567" w:hanging="567"/>
        <w:jc w:val="both"/>
      </w:pPr>
      <w:r>
        <w:t>Jos tukiohjelmaan ei tällä hetkellä sovelleta jälkiarviointia, esittäkää suuntaviivojen 459 kappaleen c kohdan noudattamisen todentamiseksi alla sitoumus, jonka mukaan jäsenvaltio ilmoittaa arviointisuunnitelman luonnoksen 30 työpäivän kuluessa siitä, kun viralliseen tilinpäätökseen on kirjattu yli 150 miljoonan euron menot edelliseltä vuodelta.</w:t>
      </w:r>
    </w:p>
    <w:p w14:paraId="14C2ED67" w14:textId="77777777" w:rsidR="0012481A" w:rsidRDefault="0012481A" w:rsidP="0012481A">
      <w:pPr>
        <w:ind w:left="426"/>
        <w:jc w:val="both"/>
      </w:pPr>
    </w:p>
    <w:p w14:paraId="6500F284" w14:textId="051EBFB0" w:rsidR="0012481A" w:rsidRDefault="0012481A" w:rsidP="00757930">
      <w:pPr>
        <w:ind w:left="426"/>
        <w:jc w:val="both"/>
      </w:pPr>
      <w:r>
        <w:t>………………………………………………………………………………………………</w:t>
      </w:r>
    </w:p>
    <w:p w14:paraId="1FB3C3C3" w14:textId="41871BA5" w:rsidR="0012481A" w:rsidRPr="0051324D" w:rsidRDefault="00576C43" w:rsidP="00757930">
      <w:pPr>
        <w:ind w:left="426"/>
        <w:jc w:val="both"/>
      </w:pPr>
      <w:r>
        <w:t xml:space="preserve"> </w:t>
      </w:r>
    </w:p>
    <w:p w14:paraId="33814D4B" w14:textId="4248137F" w:rsidR="0012481A" w:rsidRDefault="00F65B17" w:rsidP="00207312">
      <w:pPr>
        <w:numPr>
          <w:ilvl w:val="0"/>
          <w:numId w:val="4"/>
        </w:numPr>
        <w:spacing w:after="240"/>
        <w:ind w:left="567" w:hanging="567"/>
        <w:jc w:val="both"/>
      </w:pPr>
      <w:r>
        <w:t>Suuntaviivojen 461 kappaleen mukaisesti:</w:t>
      </w:r>
    </w:p>
    <w:p w14:paraId="516B7EF0" w14:textId="6220BF62" w:rsidR="0012481A" w:rsidRDefault="00277BC0" w:rsidP="006764E5">
      <w:pPr>
        <w:numPr>
          <w:ilvl w:val="0"/>
          <w:numId w:val="75"/>
        </w:numPr>
        <w:jc w:val="both"/>
      </w:pPr>
      <w:r>
        <w:t>Täsmentäkää, onko riippumaton asiantuntija jo valittu vai valitaanko tämä tulevaisuudessa.</w:t>
      </w:r>
    </w:p>
    <w:p w14:paraId="6B14F116" w14:textId="77777777" w:rsidR="0012481A" w:rsidRDefault="0012481A" w:rsidP="00757930">
      <w:pPr>
        <w:ind w:left="1418"/>
        <w:jc w:val="both"/>
      </w:pPr>
    </w:p>
    <w:p w14:paraId="0333302B" w14:textId="7E19C8D0" w:rsidR="0012481A" w:rsidRDefault="0012481A" w:rsidP="00E760AF">
      <w:pPr>
        <w:ind w:left="414" w:firstLine="720"/>
        <w:jc w:val="both"/>
      </w:pPr>
      <w:r>
        <w:t>…………………………………………………………………………………........</w:t>
      </w:r>
    </w:p>
    <w:p w14:paraId="04208702" w14:textId="77777777" w:rsidR="0012481A" w:rsidRPr="0012481A" w:rsidRDefault="0012481A" w:rsidP="00757930">
      <w:pPr>
        <w:jc w:val="both"/>
      </w:pPr>
    </w:p>
    <w:p w14:paraId="093BCAA7" w14:textId="4743F928" w:rsidR="0012481A" w:rsidRPr="0012481A" w:rsidRDefault="00277BC0" w:rsidP="006764E5">
      <w:pPr>
        <w:numPr>
          <w:ilvl w:val="0"/>
          <w:numId w:val="75"/>
        </w:numPr>
        <w:jc w:val="both"/>
      </w:pPr>
      <w:r>
        <w:t>Antakaa tiedot asiantuntijan valintamenettelystä.</w:t>
      </w:r>
    </w:p>
    <w:p w14:paraId="366D520D" w14:textId="77777777" w:rsidR="0012481A" w:rsidRDefault="0012481A" w:rsidP="00757930">
      <w:pPr>
        <w:ind w:left="1418"/>
        <w:jc w:val="both"/>
      </w:pPr>
    </w:p>
    <w:p w14:paraId="4999CB35" w14:textId="2F754DAF" w:rsidR="0012481A" w:rsidRDefault="0012481A" w:rsidP="00E760AF">
      <w:pPr>
        <w:ind w:left="414" w:firstLine="720"/>
        <w:jc w:val="both"/>
      </w:pPr>
      <w:r>
        <w:t>…………………………………………………………………………………........</w:t>
      </w:r>
    </w:p>
    <w:p w14:paraId="2A7A5518" w14:textId="77777777" w:rsidR="0012481A" w:rsidRDefault="0012481A" w:rsidP="00757930">
      <w:pPr>
        <w:ind w:left="1418"/>
        <w:jc w:val="both"/>
      </w:pPr>
    </w:p>
    <w:p w14:paraId="38D67AE6" w14:textId="77777777" w:rsidR="0012481A" w:rsidRDefault="00277BC0" w:rsidP="006764E5">
      <w:pPr>
        <w:numPr>
          <w:ilvl w:val="0"/>
          <w:numId w:val="75"/>
        </w:numPr>
        <w:jc w:val="both"/>
      </w:pPr>
      <w:r>
        <w:t>Perustelkaa, miten asiantuntija on riippumaton tuen myöntävästä viranomaisesta.</w:t>
      </w:r>
    </w:p>
    <w:p w14:paraId="1DF245BF" w14:textId="77777777" w:rsidR="0012481A" w:rsidRDefault="0012481A" w:rsidP="0012481A">
      <w:pPr>
        <w:ind w:left="1418"/>
        <w:jc w:val="both"/>
      </w:pPr>
    </w:p>
    <w:p w14:paraId="6615DE04" w14:textId="53FF0955" w:rsidR="004165E0" w:rsidRPr="0012481A" w:rsidRDefault="0012481A" w:rsidP="00E760AF">
      <w:pPr>
        <w:ind w:left="414" w:firstLine="720"/>
        <w:jc w:val="both"/>
      </w:pPr>
      <w:r>
        <w:t xml:space="preserve">……………………………………………………………………………................ </w:t>
      </w:r>
    </w:p>
    <w:p w14:paraId="43CB3832" w14:textId="77777777" w:rsidR="004165E0" w:rsidRPr="0012481A" w:rsidRDefault="004165E0" w:rsidP="00757930">
      <w:r>
        <w:tab/>
      </w:r>
    </w:p>
    <w:p w14:paraId="14172C76" w14:textId="29CCA9E5" w:rsidR="00A42834" w:rsidRPr="0012481A" w:rsidRDefault="00A42834" w:rsidP="00207312">
      <w:pPr>
        <w:numPr>
          <w:ilvl w:val="0"/>
          <w:numId w:val="4"/>
        </w:numPr>
        <w:spacing w:after="240"/>
        <w:ind w:left="567" w:hanging="567"/>
        <w:jc w:val="both"/>
      </w:pPr>
      <w:r>
        <w:t>Suuntaviivojen 461 kappaleen mukaisesti:</w:t>
      </w:r>
    </w:p>
    <w:p w14:paraId="56904831" w14:textId="2B9E8697" w:rsidR="007F77C3" w:rsidRDefault="002C0264" w:rsidP="006764E5">
      <w:pPr>
        <w:numPr>
          <w:ilvl w:val="0"/>
          <w:numId w:val="76"/>
        </w:numPr>
        <w:spacing w:before="240"/>
        <w:jc w:val="both"/>
      </w:pPr>
      <w:r>
        <w:t>Ilmoittakaa ehdottamanne määräajat väliarviointiraportin ja lopullisen arviointiraportin toimittamiselle. Huomatkaa, että suuntaviivojen 463 kappaleen mukaan jälkiarviointiraportti on toimitettava komissiolle riittävän ajoissa, jotta komissio voi arvioida tukijärjestelmän voimassaolon mahdollista jatkamista, ja viimeistään yhdeksän kuukautta ennen sen voimassaolon päättymistä. Huomatkaa, että tätä määräaikaa voidaan lyhentää ohjelmissa, joihin kohdistuu arviointivaatimus niiden kahden viimeisen toteutusvuoden aikana.</w:t>
      </w:r>
    </w:p>
    <w:p w14:paraId="4B010BD2" w14:textId="1FB7DA35" w:rsidR="0012481A" w:rsidRPr="0012481A" w:rsidRDefault="007F77C3" w:rsidP="00E760AF">
      <w:pPr>
        <w:spacing w:before="240"/>
        <w:ind w:left="414" w:firstLine="720"/>
        <w:jc w:val="both"/>
      </w:pPr>
      <w:r>
        <w:lastRenderedPageBreak/>
        <w:t>…………………………………………………………………………………........</w:t>
      </w:r>
    </w:p>
    <w:p w14:paraId="36D10D21" w14:textId="79E1493E" w:rsidR="00F776CB" w:rsidRDefault="0036428C" w:rsidP="006764E5">
      <w:pPr>
        <w:numPr>
          <w:ilvl w:val="0"/>
          <w:numId w:val="76"/>
        </w:numPr>
        <w:spacing w:before="240"/>
        <w:jc w:val="both"/>
      </w:pPr>
      <w:r>
        <w:t xml:space="preserve">Vahvistakaa, että väliarviointiraportti ja lopullinen arviointiraportti julkistetaan. Antakaa linkki verkkosivulle, jolla raportit julkaistaan, ja ilmoittakaa julkaisemisen päivämäärä. </w:t>
      </w:r>
    </w:p>
    <w:p w14:paraId="4D3DDF3B" w14:textId="321B4BE8" w:rsidR="00E760AF" w:rsidRPr="00F56057" w:rsidRDefault="00E760AF" w:rsidP="00E760AF">
      <w:pPr>
        <w:spacing w:before="240"/>
        <w:ind w:left="1134"/>
        <w:jc w:val="both"/>
      </w:pPr>
      <w:r>
        <w:t>………………………………………………………………………………………</w:t>
      </w:r>
    </w:p>
    <w:p w14:paraId="036BCB22" w14:textId="77777777" w:rsidR="00F776CB" w:rsidRDefault="00F776CB" w:rsidP="00627715">
      <w:pPr>
        <w:ind w:left="-567" w:firstLine="1412"/>
        <w:rPr>
          <w:i/>
        </w:rPr>
      </w:pPr>
    </w:p>
    <w:p w14:paraId="4A767050" w14:textId="77777777" w:rsidR="00F776CB" w:rsidRPr="0051324D"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757930">
        <w:trPr>
          <w:trHeight w:val="488"/>
        </w:trPr>
        <w:tc>
          <w:tcPr>
            <w:tcW w:w="9322" w:type="dxa"/>
            <w:shd w:val="pct15" w:color="auto" w:fill="auto"/>
          </w:tcPr>
          <w:p w14:paraId="6B1D3811" w14:textId="57E7DCD4" w:rsidR="00627715" w:rsidRPr="00757930" w:rsidRDefault="00F776CB" w:rsidP="00757930">
            <w:pPr>
              <w:jc w:val="center"/>
              <w:rPr>
                <w:rFonts w:eastAsia="Times New Roman"/>
                <w:b/>
                <w:iCs/>
                <w:sz w:val="28"/>
                <w:szCs w:val="28"/>
              </w:rPr>
            </w:pPr>
            <w:r>
              <w:rPr>
                <w:b/>
                <w:sz w:val="32"/>
              </w:rPr>
              <w:t>Jakso D: Raportointi ja seuranta</w:t>
            </w:r>
          </w:p>
        </w:tc>
      </w:tr>
    </w:tbl>
    <w:p w14:paraId="56258899" w14:textId="77777777" w:rsidR="003C4F59" w:rsidRDefault="003C4F59" w:rsidP="004B2EF3">
      <w:pPr>
        <w:ind w:left="-567" w:firstLine="1412"/>
      </w:pPr>
    </w:p>
    <w:p w14:paraId="3FD434B7" w14:textId="3B8933C3" w:rsidR="00F776CB" w:rsidRPr="00F776CB" w:rsidRDefault="00F776CB" w:rsidP="00F776CB">
      <w:r>
        <w:rPr>
          <w:i/>
        </w:rPr>
        <w:t>Tämän jakson tietoja varten ks. suuntaviivojen 6 luku (464–465 kappale).</w:t>
      </w:r>
    </w:p>
    <w:p w14:paraId="1F0B9181" w14:textId="4AF71976" w:rsidR="00F776CB" w:rsidRPr="0051324D" w:rsidRDefault="00F776CB" w:rsidP="00757930"/>
    <w:p w14:paraId="74E67784" w14:textId="77777777" w:rsidR="00F776CB" w:rsidRDefault="00F776CB" w:rsidP="00207312">
      <w:pPr>
        <w:numPr>
          <w:ilvl w:val="0"/>
          <w:numId w:val="4"/>
        </w:numPr>
        <w:spacing w:after="240"/>
        <w:ind w:left="567" w:hanging="567"/>
        <w:jc w:val="both"/>
      </w:pPr>
      <w:r>
        <w:t>Vahvistakaa, että jäsenvaltio noudattaa suuntaviivojen 6 luvun 464 ja 465 kappaleessa esitettyjä raportointi- ja seurantavaatimuksia.</w:t>
      </w:r>
    </w:p>
    <w:p w14:paraId="7F3FE433" w14:textId="2FCF6E84" w:rsidR="00E760AF" w:rsidRDefault="00E760AF" w:rsidP="00E760AF">
      <w:pPr>
        <w:ind w:left="567"/>
      </w:pPr>
    </w:p>
    <w:p w14:paraId="0C0DCECB" w14:textId="1EBDC64B" w:rsidR="00E760AF" w:rsidRPr="00F776CB" w:rsidRDefault="00E760AF" w:rsidP="00E760AF">
      <w:pPr>
        <w:ind w:left="567"/>
      </w:pPr>
      <w:r>
        <w:t>………………………………………………………………………………………….....</w:t>
      </w:r>
    </w:p>
    <w:p w14:paraId="47BB883D" w14:textId="05B8D7B1" w:rsidR="00F776CB" w:rsidRDefault="00F776CB" w:rsidP="00757930">
      <w:pPr>
        <w:pStyle w:val="ListParagraph"/>
        <w:spacing w:before="120" w:after="120"/>
        <w:ind w:left="1854"/>
        <w:contextualSpacing w:val="0"/>
        <w:jc w:val="both"/>
      </w:pP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t>17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pPr>
      <w:r>
        <w:rPr>
          <w:rStyle w:val="FootnoteReference"/>
        </w:rPr>
        <w:footnoteRef/>
      </w:r>
      <w:r>
        <w:tab/>
        <w:t>EUVL C 80, 18.2.2022, s. 1.</w:t>
      </w:r>
    </w:p>
  </w:footnote>
  <w:footnote w:id="3">
    <w:p w14:paraId="25384A16" w14:textId="699CB629" w:rsidR="00FA6EB5" w:rsidRPr="009F1C3C" w:rsidRDefault="00FA6EB5">
      <w:pPr>
        <w:pStyle w:val="FootnoteText"/>
      </w:pPr>
      <w:r>
        <w:rPr>
          <w:rStyle w:val="FootnoteReference"/>
        </w:rPr>
        <w:footnoteRef/>
      </w:r>
      <w:r>
        <w:t xml:space="preserve"> </w:t>
      </w:r>
      <w:r>
        <w:tab/>
        <w:t>Huomatkaa, että tukiohjelman kesto on se ajanjakso, jona tukea voidaan hakea ja jona siitä voidaan päättää (mukaan lukien aika, jonka kansalliset viranomaiset tarvitsevat tukihakemusten hyväksymiseen). Tässä kysymyksessä tarkoitettu kesto ei liity tukiohjelman puitteissa tehtyjen sopimusten kestoon, vaan sopimukset voivat jatkua myös toimenpiteen päättymisen jälkeen.</w:t>
      </w:r>
    </w:p>
  </w:footnote>
  <w:footnote w:id="4">
    <w:p w14:paraId="3A3265CA" w14:textId="77777777" w:rsidR="00B22D69" w:rsidRPr="0067348B" w:rsidRDefault="00B22D69" w:rsidP="00B22D69">
      <w:pPr>
        <w:pStyle w:val="FootnoteText"/>
      </w:pPr>
      <w:r>
        <w:rPr>
          <w:rStyle w:val="FootnoteReference"/>
        </w:rPr>
        <w:footnoteRef/>
      </w:r>
      <w:r>
        <w:tab/>
        <w:t>Huomatkaa, että toteutuvan tai alustavan budjetin muutos voi vaikuttaa tukitoimenpiteeseen siinä määrin että siitä on tehtävä uusi ilmoitus.</w:t>
      </w:r>
    </w:p>
  </w:footnote>
  <w:footnote w:id="5">
    <w:p w14:paraId="590F3FC7" w14:textId="30CB4935" w:rsidR="00E55520" w:rsidRDefault="00E55520" w:rsidP="00821F07">
      <w:pPr>
        <w:pStyle w:val="FootnoteText"/>
      </w:pPr>
      <w:r>
        <w:rPr>
          <w:rStyle w:val="FootnoteReference"/>
        </w:rPr>
        <w:footnoteRef/>
      </w:r>
      <w:r>
        <w:tab/>
        <w:t>Suuntaviivojen 19 kappaleen 89 kohdan mukaan ’unionin normilla’ tarkoitetaan</w:t>
      </w:r>
    </w:p>
    <w:p w14:paraId="340A0B20" w14:textId="77777777" w:rsidR="00E55520" w:rsidRPr="004B74BC" w:rsidRDefault="00E55520" w:rsidP="004B74BC">
      <w:pPr>
        <w:pStyle w:val="FootnoteText"/>
        <w:numPr>
          <w:ilvl w:val="0"/>
          <w:numId w:val="46"/>
        </w:numPr>
        <w:rPr>
          <w:i/>
        </w:rPr>
      </w:pPr>
      <w:r>
        <w:rPr>
          <w:i/>
        </w:rPr>
        <w:t>pakollista unionin normia, jossa vahvistetaan tasot, jotka yksittäisten yritysten on saavutettava ympäristön kannalta, lukuun ottamatta unionin tasolla asetettuja normeja tai tavoitteita, jotka sitovat jäsenvaltioita mutta eivät yksittäisiä yrityksiä;</w:t>
      </w:r>
    </w:p>
    <w:p w14:paraId="02AC4E0B" w14:textId="14D21BDD" w:rsidR="00E55520" w:rsidRDefault="00E55520" w:rsidP="004B74BC">
      <w:pPr>
        <w:pStyle w:val="FootnoteText"/>
        <w:numPr>
          <w:ilvl w:val="0"/>
          <w:numId w:val="46"/>
        </w:numPr>
      </w:pPr>
      <w:r>
        <w:rPr>
          <w:i/>
        </w:rPr>
        <w:t>velvoitetta käyttää parasta käytettävissä olevaa tekniikkaa (BAT), siten kuin se on määritelty direktiivissä 2010/75/EU, ja sen varmistamista, että päästötasot eivät ylitä tasoa, joka saavutettaisiin soveltamalla parasta käytettävissä olevaa tekniikkaa; kun parhaaseen käytettävissä olevaan tekniikkaan liittyvät päästötasot on määritelty direktiivin 2010/75/EU tai muiden sovellettavien direktiivien nojalla annetuissa täytäntöönpanosäädöksissä, kyseisiä tasoja käytetään näitä suuntaviivoja sovellettaessa; jos nämä tasot ilmaistaan vaihteluvälinä, sovelletaan sitä raja-arvoa, jonka kyseinen yritys saavuttaa parhaalla käytettävissä olevalla tekniikalla ensimmäisen kerran.</w:t>
      </w:r>
    </w:p>
  </w:footnote>
  <w:footnote w:id="6">
    <w:p w14:paraId="6598727F" w14:textId="2CE0C196" w:rsidR="00E55520" w:rsidRDefault="00E55520">
      <w:pPr>
        <w:pStyle w:val="FootnoteText"/>
      </w:pPr>
      <w:r>
        <w:rPr>
          <w:rStyle w:val="FootnoteReference"/>
        </w:rPr>
        <w:footnoteRef/>
      </w:r>
      <w:r>
        <w:t xml:space="preserve"> </w:t>
      </w:r>
      <w:r>
        <w:tab/>
        <w:t xml:space="preserve">Huomatkaa, että suuntaviivojen alaviitteessä 42 todetaan, että </w:t>
      </w:r>
      <w:r>
        <w:rPr>
          <w:i/>
          <w:color w:val="000000"/>
          <w:sz w:val="19"/>
          <w:shd w:val="clear" w:color="auto" w:fill="FFFFFF"/>
        </w:rPr>
        <w:t>”kilpailuprosessia rajoittavia ja oikeasuhteisuutta haittaavia pohjahintoja ja hintakattoja olisi vältettävä, vaikka ne olisi asetettu nollatasolle”</w:t>
      </w:r>
      <w:r>
        <w:t>.</w:t>
      </w:r>
    </w:p>
  </w:footnote>
  <w:footnote w:id="7">
    <w:p w14:paraId="7BF90FA8" w14:textId="77777777" w:rsidR="0003031C" w:rsidRPr="0095488F" w:rsidRDefault="0003031C" w:rsidP="0003031C">
      <w:pPr>
        <w:pStyle w:val="FootnoteText"/>
      </w:pPr>
      <w:r>
        <w:rPr>
          <w:rStyle w:val="FootnoteReference"/>
        </w:rPr>
        <w:footnoteRef/>
      </w:r>
      <w:r>
        <w:tab/>
        <w:t>Ks. myös lisätiedot suuntaviivojen 51–53 kappaleessa sekä alaviitteissä 45, 46 ja 55.</w:t>
      </w:r>
    </w:p>
  </w:footnote>
  <w:footnote w:id="8">
    <w:p w14:paraId="086AD512" w14:textId="7087BE19" w:rsidR="00E55520" w:rsidRDefault="00E55520">
      <w:pPr>
        <w:pStyle w:val="FootnoteText"/>
      </w:pPr>
      <w:r>
        <w:rPr>
          <w:rStyle w:val="FootnoteReference"/>
        </w:rPr>
        <w:footnoteRef/>
      </w:r>
      <w:r>
        <w:t xml:space="preserve"> </w:t>
      </w:r>
      <w:r>
        <w:tab/>
        <w:t>Keskitetysti hallinnoitu unionin rahoitus on Euroopan unionin toimielinten, virastojen, yhteisyritysten tai muiden elinten keskitetysti hallinnoimaa unionin rahoitusta, joka ei kuulu suoraan tai välillisesti jäsenvaltion määräysvaltaan.</w:t>
      </w:r>
    </w:p>
  </w:footnote>
  <w:footnote w:id="9">
    <w:p w14:paraId="46FDB4C5" w14:textId="626320F5" w:rsidR="00E308B3" w:rsidRPr="004A1D89" w:rsidRDefault="00E308B3">
      <w:pPr>
        <w:pStyle w:val="FootnoteText"/>
      </w:pPr>
      <w:r>
        <w:rPr>
          <w:rStyle w:val="FootnoteReference"/>
        </w:rPr>
        <w:footnoteRef/>
      </w:r>
      <w:r>
        <w:t xml:space="preserve"> </w:t>
      </w:r>
      <w:r>
        <w:tab/>
        <w:t>Suuntaviivojen 367 kappaleen mukaan ”</w:t>
      </w:r>
      <w:r>
        <w:rPr>
          <w:i/>
        </w:rPr>
        <w:t>tällaista kustannusten kohdentamista ei [...] välttämättä vaadita, jos jäsenvaltio toimittaa analyysin, joka perustuu esimerkiksi mahdollisessa julkisessa kuulemisessa kerättyyn näyttöön siitä, että kustannusten kohdentaminen tällä tavoin heikentäisi toimenpiteen kustannustehokkuutta tai johtaisi vakaviin kilpailun vääristymiin, jotka heikentäisivät selvästi tällaisesta kustannusten kohdentamisesta mahdollisesti saatavia hyötyjä</w:t>
      </w:r>
      <w:r>
        <w:t>”.</w:t>
      </w:r>
    </w:p>
  </w:footnote>
  <w:footnote w:id="10">
    <w:p w14:paraId="02AA3570" w14:textId="77777777" w:rsidR="00E55520" w:rsidRPr="008772CC" w:rsidRDefault="00E55520" w:rsidP="004B2EF3">
      <w:pPr>
        <w:pStyle w:val="FootnoteText"/>
      </w:pPr>
      <w:r>
        <w:rPr>
          <w:rStyle w:val="FootnoteReference"/>
        </w:rPr>
        <w:footnoteRef/>
      </w:r>
      <w:r>
        <w:t xml:space="preserve"> </w:t>
      </w:r>
      <w:r>
        <w:tab/>
        <w:t>Euroopan parlamentin ja neuvoston asetus (EU) 2020/852, annettu 18 päivänä kesäkuuta 2020, kestävää sijoittamista helpottavasta kehyksestä ja asetuksen (EU) 2019/2088 muuttamisesta (EUVL L 198, 22.6.2020, s. 13).</w:t>
      </w:r>
    </w:p>
  </w:footnote>
  <w:footnote w:id="11">
    <w:p w14:paraId="56D0AFFA" w14:textId="77777777" w:rsidR="00E55520" w:rsidRDefault="00E55520" w:rsidP="004B2EF3">
      <w:pPr>
        <w:pStyle w:val="FootnoteText"/>
      </w:pPr>
      <w:r>
        <w:rPr>
          <w:rStyle w:val="FootnoteReference"/>
        </w:rPr>
        <w:footnoteRef/>
      </w:r>
      <w:r>
        <w:t xml:space="preserve"> </w:t>
      </w:r>
      <w:r>
        <w:tab/>
        <w:t>Huomioikaa, että suuntaviivojen alaviitteen 50 mukaan ”</w:t>
      </w:r>
      <w:r>
        <w:rPr>
          <w:i/>
          <w:color w:val="000000"/>
          <w:sz w:val="19"/>
          <w:shd w:val="clear" w:color="auto" w:fill="FFFFFF"/>
        </w:rPr>
        <w:t>niiden toimenpiteiden osalta, jotka ovat samanlaisia kuin neuvoston hyväksymien elpymis- ja palautumissuunnitelmien toimenpiteet, tämän edellytyksen katsotaan täyttyvän, koska ne on jo todettu ”ei merkittävää haittaa” -periaatteen mukaisiksi</w:t>
      </w:r>
      <w:r>
        <w:t>”.</w:t>
      </w:r>
    </w:p>
  </w:footnote>
  <w:footnote w:id="12">
    <w:p w14:paraId="4C240C5F" w14:textId="77777777" w:rsidR="002F3E3B" w:rsidRDefault="002F3E3B" w:rsidP="002F3E3B">
      <w:pPr>
        <w:pStyle w:val="FootnoteText"/>
      </w:pPr>
      <w:r>
        <w:rPr>
          <w:rStyle w:val="FootnoteReference"/>
        </w:rPr>
        <w:footnoteRef/>
      </w:r>
      <w:r>
        <w:t xml:space="preserve"> </w:t>
      </w:r>
      <w:r>
        <w:tab/>
        <w:t xml:space="preserve">Arviointisuunnitelman ilmoittamiseen käytettävän lisätietolomakkeen malli (osa III.8) on saatavilla täällä: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412527B"/>
    <w:multiLevelType w:val="hybridMultilevel"/>
    <w:tmpl w:val="E0EC498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5997590"/>
    <w:multiLevelType w:val="hybridMultilevel"/>
    <w:tmpl w:val="BB309C98"/>
    <w:lvl w:ilvl="0" w:tplc="1E02AB04">
      <w:start w:val="1"/>
      <w:numFmt w:val="lowerLetter"/>
      <w:lvlText w:val="(%1)"/>
      <w:lvlJc w:val="left"/>
      <w:pPr>
        <w:ind w:left="22" w:hanging="360"/>
      </w:pPr>
      <w:rPr>
        <w:rFonts w:ascii="Times New Roman" w:eastAsia="Calibri" w:hAnsi="Times New Roman" w:cs="Times New Roman"/>
        <w:i w:val="0"/>
      </w:rPr>
    </w:lvl>
    <w:lvl w:ilvl="1" w:tplc="04090019">
      <w:start w:val="1"/>
      <w:numFmt w:val="lowerLetter"/>
      <w:lvlText w:val="%2."/>
      <w:lvlJc w:val="left"/>
      <w:pPr>
        <w:ind w:left="742" w:hanging="360"/>
      </w:pPr>
    </w:lvl>
    <w:lvl w:ilvl="2" w:tplc="0409001B" w:tentative="1">
      <w:start w:val="1"/>
      <w:numFmt w:val="lowerRoman"/>
      <w:lvlText w:val="%3."/>
      <w:lvlJc w:val="right"/>
      <w:pPr>
        <w:ind w:left="1462" w:hanging="180"/>
      </w:pPr>
    </w:lvl>
    <w:lvl w:ilvl="3" w:tplc="0409000F" w:tentative="1">
      <w:start w:val="1"/>
      <w:numFmt w:val="decimal"/>
      <w:lvlText w:val="%4."/>
      <w:lvlJc w:val="left"/>
      <w:pPr>
        <w:ind w:left="2182" w:hanging="360"/>
      </w:pPr>
    </w:lvl>
    <w:lvl w:ilvl="4" w:tplc="04090019" w:tentative="1">
      <w:start w:val="1"/>
      <w:numFmt w:val="lowerLetter"/>
      <w:lvlText w:val="%5."/>
      <w:lvlJc w:val="left"/>
      <w:pPr>
        <w:ind w:left="2902" w:hanging="360"/>
      </w:pPr>
    </w:lvl>
    <w:lvl w:ilvl="5" w:tplc="0409001B" w:tentative="1">
      <w:start w:val="1"/>
      <w:numFmt w:val="lowerRoman"/>
      <w:lvlText w:val="%6."/>
      <w:lvlJc w:val="right"/>
      <w:pPr>
        <w:ind w:left="3622" w:hanging="180"/>
      </w:pPr>
    </w:lvl>
    <w:lvl w:ilvl="6" w:tplc="0409000F" w:tentative="1">
      <w:start w:val="1"/>
      <w:numFmt w:val="decimal"/>
      <w:lvlText w:val="%7."/>
      <w:lvlJc w:val="left"/>
      <w:pPr>
        <w:ind w:left="4342" w:hanging="360"/>
      </w:pPr>
    </w:lvl>
    <w:lvl w:ilvl="7" w:tplc="04090019" w:tentative="1">
      <w:start w:val="1"/>
      <w:numFmt w:val="lowerLetter"/>
      <w:lvlText w:val="%8."/>
      <w:lvlJc w:val="left"/>
      <w:pPr>
        <w:ind w:left="5062" w:hanging="360"/>
      </w:pPr>
    </w:lvl>
    <w:lvl w:ilvl="8" w:tplc="0409001B" w:tentative="1">
      <w:start w:val="1"/>
      <w:numFmt w:val="lowerRoman"/>
      <w:lvlText w:val="%9."/>
      <w:lvlJc w:val="right"/>
      <w:pPr>
        <w:ind w:left="5782" w:hanging="18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365641"/>
    <w:multiLevelType w:val="hybridMultilevel"/>
    <w:tmpl w:val="4830B9A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0C7F248F"/>
    <w:multiLevelType w:val="hybridMultilevel"/>
    <w:tmpl w:val="13889B0C"/>
    <w:lvl w:ilvl="0" w:tplc="9B4884B4">
      <w:start w:val="43"/>
      <w:numFmt w:val="decimal"/>
      <w:lvlText w:val="%1."/>
      <w:lvlJc w:val="left"/>
      <w:pPr>
        <w:ind w:left="1854" w:hanging="360"/>
      </w:pPr>
      <w:rPr>
        <w:rFonts w:hint="default"/>
        <w:b/>
        <w:i w:val="0"/>
      </w:rPr>
    </w:lvl>
    <w:lvl w:ilvl="1" w:tplc="8A70823A">
      <w:start w:val="1"/>
      <w:numFmt w:val="lowerRoman"/>
      <w:lvlText w:val="%2."/>
      <w:lvlJc w:val="right"/>
      <w:pPr>
        <w:ind w:left="2574" w:hanging="360"/>
      </w:pPr>
      <w:rPr>
        <w:rFonts w:ascii="Times New Roman" w:eastAsia="Calibri" w:hAnsi="Times New Roman" w:cs="Times New Roman"/>
        <w:b w:val="0"/>
        <w:i w:val="0"/>
        <w:sz w:val="24"/>
      </w:rPr>
    </w:lvl>
    <w:lvl w:ilvl="2" w:tplc="54525058">
      <w:start w:val="1"/>
      <w:numFmt w:val="lowerLetter"/>
      <w:lvlText w:val="%3."/>
      <w:lvlJc w:val="right"/>
      <w:pPr>
        <w:ind w:left="3294" w:hanging="180"/>
      </w:pPr>
      <w:rPr>
        <w:rFonts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3" w15:restartNumberingAfterBreak="0">
    <w:nsid w:val="124F1EAF"/>
    <w:multiLevelType w:val="hybridMultilevel"/>
    <w:tmpl w:val="4830B9A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5"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7"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2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0F1676C"/>
    <w:multiLevelType w:val="hybridMultilevel"/>
    <w:tmpl w:val="D982E67C"/>
    <w:lvl w:ilvl="0" w:tplc="C9CE86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8"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2A426A6A"/>
    <w:multiLevelType w:val="hybridMultilevel"/>
    <w:tmpl w:val="4830B9A0"/>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30"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31"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33"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8" w15:restartNumberingAfterBreak="0">
    <w:nsid w:val="3B6F4300"/>
    <w:multiLevelType w:val="hybridMultilevel"/>
    <w:tmpl w:val="0F442A82"/>
    <w:lvl w:ilvl="0" w:tplc="C1EC314C">
      <w:start w:val="1"/>
      <w:numFmt w:val="lowerRoman"/>
      <w:lvlText w:val="%1."/>
      <w:lvlJc w:val="right"/>
      <w:pPr>
        <w:ind w:left="1080" w:hanging="360"/>
      </w:pPr>
      <w:rPr>
        <w:rFonts w:ascii="Times New Roman" w:hAnsi="Times New Roman" w:hint="default"/>
        <w:b w:val="0"/>
        <w:i w:val="0"/>
        <w:sz w:val="24"/>
      </w:rPr>
    </w:lvl>
    <w:lvl w:ilvl="1" w:tplc="835E4194">
      <w:start w:val="1"/>
      <w:numFmt w:val="lowerLetter"/>
      <w:lvlText w:val="(%2)"/>
      <w:lvlJc w:val="righ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2" w15:restartNumberingAfterBreak="0">
    <w:nsid w:val="43B239D1"/>
    <w:multiLevelType w:val="hybridMultilevel"/>
    <w:tmpl w:val="28BE6F60"/>
    <w:lvl w:ilvl="0" w:tplc="9B4884B4">
      <w:start w:val="43"/>
      <w:numFmt w:val="decimal"/>
      <w:lvlText w:val="%1."/>
      <w:lvlJc w:val="left"/>
      <w:pPr>
        <w:ind w:left="720" w:hanging="360"/>
      </w:pPr>
      <w:rPr>
        <w:rFonts w:hint="default"/>
        <w:b/>
        <w:i w:val="0"/>
      </w:rPr>
    </w:lvl>
    <w:lvl w:ilvl="1" w:tplc="3146D7CE">
      <w:start w:val="1"/>
      <w:numFmt w:val="lowerLetter"/>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46"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4B68125E"/>
    <w:multiLevelType w:val="hybridMultilevel"/>
    <w:tmpl w:val="AFB2F63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4CA63CEA"/>
    <w:multiLevelType w:val="hybridMultilevel"/>
    <w:tmpl w:val="3DC29826"/>
    <w:lvl w:ilvl="0" w:tplc="AC40902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0"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5"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7"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8"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9"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D134D97"/>
    <w:multiLevelType w:val="hybridMultilevel"/>
    <w:tmpl w:val="D08AC18A"/>
    <w:lvl w:ilvl="0" w:tplc="08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64" w15:restartNumberingAfterBreak="0">
    <w:nsid w:val="6FFA1277"/>
    <w:multiLevelType w:val="hybridMultilevel"/>
    <w:tmpl w:val="4BE0630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704E2A85"/>
    <w:multiLevelType w:val="hybridMultilevel"/>
    <w:tmpl w:val="5F70D428"/>
    <w:lvl w:ilvl="0" w:tplc="A4C819EE">
      <w:start w:val="1"/>
      <w:numFmt w:val="lowerLetter"/>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2A10F7"/>
    <w:multiLevelType w:val="hybridMultilevel"/>
    <w:tmpl w:val="4CC8F250"/>
    <w:lvl w:ilvl="0" w:tplc="9C32A826">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7" w15:restartNumberingAfterBreak="0">
    <w:nsid w:val="74E67D89"/>
    <w:multiLevelType w:val="hybridMultilevel"/>
    <w:tmpl w:val="4830B9A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8"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3" w15:restartNumberingAfterBreak="0">
    <w:nsid w:val="7A9454B6"/>
    <w:multiLevelType w:val="hybridMultilevel"/>
    <w:tmpl w:val="FDD6BEF8"/>
    <w:lvl w:ilvl="0" w:tplc="BEC2BCFE">
      <w:start w:val="1"/>
      <w:numFmt w:val="bullet"/>
      <w:lvlText w:val="•"/>
      <w:lvlJc w:val="left"/>
      <w:pPr>
        <w:tabs>
          <w:tab w:val="num" w:pos="720"/>
        </w:tabs>
        <w:ind w:left="720" w:hanging="360"/>
      </w:pPr>
      <w:rPr>
        <w:rFonts w:ascii="Arial" w:hAnsi="Arial" w:hint="default"/>
      </w:rPr>
    </w:lvl>
    <w:lvl w:ilvl="1" w:tplc="F1F61AE2" w:tentative="1">
      <w:start w:val="1"/>
      <w:numFmt w:val="bullet"/>
      <w:lvlText w:val="•"/>
      <w:lvlJc w:val="left"/>
      <w:pPr>
        <w:tabs>
          <w:tab w:val="num" w:pos="1440"/>
        </w:tabs>
        <w:ind w:left="1440" w:hanging="360"/>
      </w:pPr>
      <w:rPr>
        <w:rFonts w:ascii="Arial" w:hAnsi="Arial" w:hint="default"/>
      </w:rPr>
    </w:lvl>
    <w:lvl w:ilvl="2" w:tplc="D73CC55E" w:tentative="1">
      <w:start w:val="1"/>
      <w:numFmt w:val="bullet"/>
      <w:lvlText w:val="•"/>
      <w:lvlJc w:val="left"/>
      <w:pPr>
        <w:tabs>
          <w:tab w:val="num" w:pos="2160"/>
        </w:tabs>
        <w:ind w:left="2160" w:hanging="360"/>
      </w:pPr>
      <w:rPr>
        <w:rFonts w:ascii="Arial" w:hAnsi="Arial" w:hint="default"/>
      </w:rPr>
    </w:lvl>
    <w:lvl w:ilvl="3" w:tplc="4A8442D2" w:tentative="1">
      <w:start w:val="1"/>
      <w:numFmt w:val="bullet"/>
      <w:lvlText w:val="•"/>
      <w:lvlJc w:val="left"/>
      <w:pPr>
        <w:tabs>
          <w:tab w:val="num" w:pos="2880"/>
        </w:tabs>
        <w:ind w:left="2880" w:hanging="360"/>
      </w:pPr>
      <w:rPr>
        <w:rFonts w:ascii="Arial" w:hAnsi="Arial" w:hint="default"/>
      </w:rPr>
    </w:lvl>
    <w:lvl w:ilvl="4" w:tplc="D7FEB862" w:tentative="1">
      <w:start w:val="1"/>
      <w:numFmt w:val="bullet"/>
      <w:lvlText w:val="•"/>
      <w:lvlJc w:val="left"/>
      <w:pPr>
        <w:tabs>
          <w:tab w:val="num" w:pos="3600"/>
        </w:tabs>
        <w:ind w:left="3600" w:hanging="360"/>
      </w:pPr>
      <w:rPr>
        <w:rFonts w:ascii="Arial" w:hAnsi="Arial" w:hint="default"/>
      </w:rPr>
    </w:lvl>
    <w:lvl w:ilvl="5" w:tplc="03FA106A" w:tentative="1">
      <w:start w:val="1"/>
      <w:numFmt w:val="bullet"/>
      <w:lvlText w:val="•"/>
      <w:lvlJc w:val="left"/>
      <w:pPr>
        <w:tabs>
          <w:tab w:val="num" w:pos="4320"/>
        </w:tabs>
        <w:ind w:left="4320" w:hanging="360"/>
      </w:pPr>
      <w:rPr>
        <w:rFonts w:ascii="Arial" w:hAnsi="Arial" w:hint="default"/>
      </w:rPr>
    </w:lvl>
    <w:lvl w:ilvl="6" w:tplc="3A40139C" w:tentative="1">
      <w:start w:val="1"/>
      <w:numFmt w:val="bullet"/>
      <w:lvlText w:val="•"/>
      <w:lvlJc w:val="left"/>
      <w:pPr>
        <w:tabs>
          <w:tab w:val="num" w:pos="5040"/>
        </w:tabs>
        <w:ind w:left="5040" w:hanging="360"/>
      </w:pPr>
      <w:rPr>
        <w:rFonts w:ascii="Arial" w:hAnsi="Arial" w:hint="default"/>
      </w:rPr>
    </w:lvl>
    <w:lvl w:ilvl="7" w:tplc="8770719C" w:tentative="1">
      <w:start w:val="1"/>
      <w:numFmt w:val="bullet"/>
      <w:lvlText w:val="•"/>
      <w:lvlJc w:val="left"/>
      <w:pPr>
        <w:tabs>
          <w:tab w:val="num" w:pos="5760"/>
        </w:tabs>
        <w:ind w:left="5760" w:hanging="360"/>
      </w:pPr>
      <w:rPr>
        <w:rFonts w:ascii="Arial" w:hAnsi="Arial" w:hint="default"/>
      </w:rPr>
    </w:lvl>
    <w:lvl w:ilvl="8" w:tplc="064001BC" w:tentative="1">
      <w:start w:val="1"/>
      <w:numFmt w:val="bullet"/>
      <w:lvlText w:val="•"/>
      <w:lvlJc w:val="left"/>
      <w:pPr>
        <w:tabs>
          <w:tab w:val="num" w:pos="6480"/>
        </w:tabs>
        <w:ind w:left="6480" w:hanging="360"/>
      </w:pPr>
      <w:rPr>
        <w:rFonts w:ascii="Arial" w:hAnsi="Arial" w:hint="default"/>
      </w:rPr>
    </w:lvl>
  </w:abstractNum>
  <w:num w:numId="1" w16cid:durableId="1260404938">
    <w:abstractNumId w:val="17"/>
  </w:num>
  <w:num w:numId="2" w16cid:durableId="167333053">
    <w:abstractNumId w:val="22"/>
  </w:num>
  <w:num w:numId="3" w16cid:durableId="189157758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55"/>
  </w:num>
  <w:num w:numId="5" w16cid:durableId="212599820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37"/>
  </w:num>
  <w:num w:numId="7" w16cid:durableId="1226913539">
    <w:abstractNumId w:val="32"/>
  </w:num>
  <w:num w:numId="8" w16cid:durableId="599215065">
    <w:abstractNumId w:val="16"/>
  </w:num>
  <w:num w:numId="9" w16cid:durableId="2031644641">
    <w:abstractNumId w:val="14"/>
  </w:num>
  <w:num w:numId="10" w16cid:durableId="1092891155">
    <w:abstractNumId w:val="53"/>
  </w:num>
  <w:num w:numId="11" w16cid:durableId="1907104691">
    <w:abstractNumId w:val="56"/>
  </w:num>
  <w:num w:numId="12" w16cid:durableId="51199480">
    <w:abstractNumId w:val="54"/>
  </w:num>
  <w:num w:numId="13" w16cid:durableId="1976720153">
    <w:abstractNumId w:val="63"/>
  </w:num>
  <w:num w:numId="14" w16cid:durableId="1375690653">
    <w:abstractNumId w:val="27"/>
  </w:num>
  <w:num w:numId="15" w16cid:durableId="1240402151">
    <w:abstractNumId w:val="43"/>
  </w:num>
  <w:num w:numId="16" w16cid:durableId="975187432">
    <w:abstractNumId w:val="6"/>
  </w:num>
  <w:num w:numId="17" w16cid:durableId="1867600656">
    <w:abstractNumId w:val="46"/>
  </w:num>
  <w:num w:numId="18" w16cid:durableId="503472073">
    <w:abstractNumId w:val="1"/>
  </w:num>
  <w:num w:numId="19" w16cid:durableId="1784031062">
    <w:abstractNumId w:val="0"/>
  </w:num>
  <w:num w:numId="20" w16cid:durableId="1127046250">
    <w:abstractNumId w:val="50"/>
  </w:num>
  <w:num w:numId="21" w16cid:durableId="364795765">
    <w:abstractNumId w:val="5"/>
  </w:num>
  <w:num w:numId="22" w16cid:durableId="1439989596">
    <w:abstractNumId w:val="11"/>
  </w:num>
  <w:num w:numId="23" w16cid:durableId="1016275709">
    <w:abstractNumId w:val="25"/>
  </w:num>
  <w:num w:numId="24" w16cid:durableId="151063031">
    <w:abstractNumId w:val="34"/>
  </w:num>
  <w:num w:numId="25" w16cid:durableId="53816324">
    <w:abstractNumId w:val="20"/>
  </w:num>
  <w:num w:numId="26" w16cid:durableId="1693611213">
    <w:abstractNumId w:val="39"/>
  </w:num>
  <w:num w:numId="27" w16cid:durableId="97141827">
    <w:abstractNumId w:val="36"/>
  </w:num>
  <w:num w:numId="28" w16cid:durableId="1532382434">
    <w:abstractNumId w:val="28"/>
  </w:num>
  <w:num w:numId="29" w16cid:durableId="1511292187">
    <w:abstractNumId w:val="60"/>
  </w:num>
  <w:num w:numId="30" w16cid:durableId="1094087480">
    <w:abstractNumId w:val="48"/>
  </w:num>
  <w:num w:numId="31" w16cid:durableId="1749956519">
    <w:abstractNumId w:val="31"/>
  </w:num>
  <w:num w:numId="32" w16cid:durableId="1406995675">
    <w:abstractNumId w:val="51"/>
  </w:num>
  <w:num w:numId="33" w16cid:durableId="575825784">
    <w:abstractNumId w:val="57"/>
  </w:num>
  <w:num w:numId="34" w16cid:durableId="74860614">
    <w:abstractNumId w:val="2"/>
  </w:num>
  <w:num w:numId="35" w16cid:durableId="1221552042">
    <w:abstractNumId w:val="21"/>
  </w:num>
  <w:num w:numId="36" w16cid:durableId="1518229027">
    <w:abstractNumId w:val="58"/>
  </w:num>
  <w:num w:numId="37" w16cid:durableId="190800748">
    <w:abstractNumId w:val="18"/>
  </w:num>
  <w:num w:numId="38" w16cid:durableId="2027906088">
    <w:abstractNumId w:val="70"/>
  </w:num>
  <w:num w:numId="39" w16cid:durableId="651565310">
    <w:abstractNumId w:val="68"/>
  </w:num>
  <w:num w:numId="40" w16cid:durableId="451478627">
    <w:abstractNumId w:val="15"/>
  </w:num>
  <w:num w:numId="41" w16cid:durableId="1943682810">
    <w:abstractNumId w:val="9"/>
  </w:num>
  <w:num w:numId="42" w16cid:durableId="1139684406">
    <w:abstractNumId w:val="59"/>
  </w:num>
  <w:num w:numId="43" w16cid:durableId="347220594">
    <w:abstractNumId w:val="52"/>
  </w:num>
  <w:num w:numId="44" w16cid:durableId="1254241879">
    <w:abstractNumId w:val="69"/>
  </w:num>
  <w:num w:numId="45" w16cid:durableId="926157452">
    <w:abstractNumId w:val="8"/>
  </w:num>
  <w:num w:numId="46" w16cid:durableId="397703930">
    <w:abstractNumId w:val="35"/>
  </w:num>
  <w:num w:numId="47" w16cid:durableId="154996778">
    <w:abstractNumId w:val="71"/>
  </w:num>
  <w:num w:numId="48" w16cid:durableId="652297350">
    <w:abstractNumId w:val="42"/>
  </w:num>
  <w:num w:numId="49" w16cid:durableId="715154475">
    <w:abstractNumId w:val="62"/>
  </w:num>
  <w:num w:numId="50" w16cid:durableId="1946419233">
    <w:abstractNumId w:val="66"/>
  </w:num>
  <w:num w:numId="51" w16cid:durableId="566569310">
    <w:abstractNumId w:val="65"/>
  </w:num>
  <w:num w:numId="52" w16cid:durableId="677462353">
    <w:abstractNumId w:val="64"/>
  </w:num>
  <w:num w:numId="53" w16cid:durableId="1303728165">
    <w:abstractNumId w:val="47"/>
  </w:num>
  <w:num w:numId="54" w16cid:durableId="426387829">
    <w:abstractNumId w:val="4"/>
  </w:num>
  <w:num w:numId="55" w16cid:durableId="1522161043">
    <w:abstractNumId w:val="23"/>
  </w:num>
  <w:num w:numId="56" w16cid:durableId="825166992">
    <w:abstractNumId w:val="7"/>
  </w:num>
  <w:num w:numId="57" w16cid:durableId="2000887330">
    <w:abstractNumId w:val="3"/>
  </w:num>
  <w:num w:numId="58" w16cid:durableId="1227762633">
    <w:abstractNumId w:val="49"/>
  </w:num>
  <w:num w:numId="59" w16cid:durableId="404423481">
    <w:abstractNumId w:val="61"/>
  </w:num>
  <w:num w:numId="60" w16cid:durableId="325404697">
    <w:abstractNumId w:val="38"/>
  </w:num>
  <w:num w:numId="61" w16cid:durableId="962618137">
    <w:abstractNumId w:val="19"/>
  </w:num>
  <w:num w:numId="62" w16cid:durableId="1390108512">
    <w:abstractNumId w:val="24"/>
  </w:num>
  <w:num w:numId="63" w16cid:durableId="1938322388">
    <w:abstractNumId w:val="12"/>
  </w:num>
  <w:num w:numId="64" w16cid:durableId="55207693">
    <w:abstractNumId w:val="41"/>
  </w:num>
  <w:num w:numId="65" w16cid:durableId="1832794821">
    <w:abstractNumId w:val="45"/>
  </w:num>
  <w:num w:numId="66" w16cid:durableId="1959412921">
    <w:abstractNumId w:val="26"/>
  </w:num>
  <w:num w:numId="67" w16cid:durableId="513307716">
    <w:abstractNumId w:val="73"/>
  </w:num>
  <w:num w:numId="68" w16cid:durableId="196967872">
    <w:abstractNumId w:val="72"/>
  </w:num>
  <w:num w:numId="69" w16cid:durableId="1972441292">
    <w:abstractNumId w:val="33"/>
  </w:num>
  <w:num w:numId="70" w16cid:durableId="109515046">
    <w:abstractNumId w:val="33"/>
  </w:num>
  <w:num w:numId="71" w16cid:durableId="2031370701">
    <w:abstractNumId w:val="33"/>
  </w:num>
  <w:num w:numId="72" w16cid:durableId="127818530">
    <w:abstractNumId w:val="30"/>
  </w:num>
  <w:num w:numId="73" w16cid:durableId="2043509749">
    <w:abstractNumId w:val="29"/>
  </w:num>
  <w:num w:numId="74" w16cid:durableId="993337607">
    <w:abstractNumId w:val="67"/>
  </w:num>
  <w:num w:numId="75" w16cid:durableId="1237015049">
    <w:abstractNumId w:val="13"/>
  </w:num>
  <w:num w:numId="76" w16cid:durableId="1288392306">
    <w:abstractNumId w:val="1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2C10"/>
    <w:rsid w:val="000C3517"/>
    <w:rsid w:val="000C614B"/>
    <w:rsid w:val="000C64AD"/>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64E5"/>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i-FI"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fi-FI"/>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i-FI"/>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71"/>
      </w:numPr>
      <w:spacing w:line="360" w:lineRule="auto"/>
    </w:pPr>
  </w:style>
  <w:style w:type="paragraph" w:customStyle="1" w:styleId="LegalNumPar2">
    <w:name w:val="LegalNumPar2"/>
    <w:basedOn w:val="Normal"/>
    <w:rsid w:val="00DD7FD6"/>
    <w:pPr>
      <w:numPr>
        <w:ilvl w:val="1"/>
        <w:numId w:val="71"/>
      </w:numPr>
      <w:spacing w:line="360" w:lineRule="auto"/>
    </w:pPr>
  </w:style>
  <w:style w:type="paragraph" w:customStyle="1" w:styleId="LegalNumPar3">
    <w:name w:val="LegalNumPar3"/>
    <w:basedOn w:val="Normal"/>
    <w:rsid w:val="00DD7FD6"/>
    <w:pPr>
      <w:numPr>
        <w:ilvl w:val="2"/>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3672</Words>
  <Characters>32536</Characters>
  <Application>Microsoft Office Word</Application>
  <DocSecurity>0</DocSecurity>
  <Lines>707</Lines>
  <Paragraphs>274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3</cp:revision>
  <cp:lastPrinted>2024-05-22T14:05:00Z</cp:lastPrinted>
  <dcterms:created xsi:type="dcterms:W3CDTF">2024-08-29T09:58:00Z</dcterms:created>
  <dcterms:modified xsi:type="dcterms:W3CDTF">2024-09-11T15:11:00Z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