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p w14:paraId="1C239D2C" w14:textId="25225CC9" w:rsidR="000442F5" w:rsidRPr="009916D5" w:rsidRDefault="004569F7" w:rsidP="007B485D">
            <w:pPr>
              <w:pStyle w:val="Heading2"/>
              <w:spacing w:before="240" w:after="240"/>
              <w:jc w:val="center"/>
              <w:rPr>
                <w:sz w:val="32"/>
                <w:szCs w:val="32"/>
              </w:rPr>
            </w:pPr>
            <w:r>
              <w:rPr>
                <w:sz w:val="32"/>
              </w:rPr>
              <w:t>Posodobljeni* obrazec za dodatne informacije o državni pomoči, dodeljeni na podlagi Smernic o državni pomoči za podnebje, varstvo okolja in energijo iz leta 2022 (CEEAG)</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Poglavje 4.8 – Pomoč za zanesljivo oskrbo z električno energijo</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Še ni uradno sprejeto.</w:t>
            </w:r>
          </w:p>
        </w:tc>
      </w:tr>
    </w:tbl>
    <w:p w14:paraId="5F26D476" w14:textId="0645BA6F" w:rsidR="000442F5" w:rsidRPr="00711243" w:rsidRDefault="000442F5" w:rsidP="000442F5">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1B60656B" w14:textId="00968BE9" w:rsidR="009E2EA1" w:rsidRPr="00711243" w:rsidRDefault="0072538B" w:rsidP="009E2EA1">
      <w:pPr>
        <w:spacing w:before="120" w:after="120"/>
        <w:ind w:right="-142"/>
        <w:jc w:val="both"/>
        <w:rPr>
          <w:i/>
          <w:iCs/>
        </w:rPr>
      </w:pPr>
      <w:r>
        <w:rPr>
          <w:i/>
        </w:rPr>
        <w:t xml:space="preserve">Ta obrazec za dodatne informacije se nanaša na ukrepe iz poglavja 4.8 Smernic. Če so v priglasitev vključeni ukrepi, ki so zajeti v več kot enem poglavju Smernic, izpolnite tudi ustrezni obrazec za dodatne informacije, ki se nanaša na zadevno poglavje Smernic. </w:t>
      </w:r>
    </w:p>
    <w:p w14:paraId="05E36007" w14:textId="57A7067D" w:rsidR="009E2EA1" w:rsidRPr="00711243" w:rsidRDefault="009E2EA1" w:rsidP="009E2EA1">
      <w:pPr>
        <w:spacing w:before="120" w:after="120"/>
        <w:ind w:right="-142"/>
        <w:jc w:val="both"/>
        <w:rPr>
          <w:i/>
          <w:iCs/>
        </w:rPr>
      </w:pPr>
      <w:r>
        <w:rPr>
          <w:i/>
        </w:rPr>
        <w:t>Vse dokumente, ki jih zagotovijo države članice kot priloge k obrazcu za priglasitev, je treba oštevilčiti in številke dokumentov je treba navesti v ustreznih oddelkih tega obrazca za dodatne informacije.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Oddelek A: Povzetek glavnih značilnosti priglašenega ukrepa</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Ozadje in cilji priglašenega ukrepa.</w:t>
      </w:r>
    </w:p>
    <w:p w14:paraId="1FADA2B1" w14:textId="573EB419" w:rsidR="00FA0034" w:rsidRPr="00FA0034" w:rsidRDefault="004569F7" w:rsidP="005437CF">
      <w:pPr>
        <w:numPr>
          <w:ilvl w:val="0"/>
          <w:numId w:val="65"/>
        </w:numPr>
        <w:spacing w:before="120" w:after="120"/>
        <w:ind w:left="993" w:hanging="142"/>
        <w:jc w:val="both"/>
      </w:pPr>
      <w:r>
        <w:t xml:space="preserve">Če to še ni bilo obravnavano v oddelku 5.2 obrazca za splošne informacije (del I), navedite ozadje in glavni cilj ukrepa.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Navedite vse druge cilje ukrepa. Za vse cilje, ki se ne nanašajo na zanesljivost oskrbe z električno energijo ali varstvo okolja, pojasnite, ali bi lahko povzročili kakršno koli izkrivljanje notranjega trga.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Začetek veljavnosti in trajanje</w:t>
      </w:r>
      <w:r>
        <w:t>:</w:t>
      </w:r>
    </w:p>
    <w:p w14:paraId="3951E532" w14:textId="5BB35D03" w:rsidR="00FD5F79" w:rsidRPr="00FA6EB5" w:rsidRDefault="00FA6EB5" w:rsidP="00FA0034">
      <w:pPr>
        <w:numPr>
          <w:ilvl w:val="0"/>
          <w:numId w:val="72"/>
        </w:numPr>
        <w:rPr>
          <w:szCs w:val="24"/>
        </w:rPr>
      </w:pPr>
      <w:r>
        <w:t>Če to še ni bilo navedeno v oddelku 5.5 obrazca za splošne informacije (del I), navedite datum, na katerega naj bi ukrep pomoči začel veljati.</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Navedite trajanje ukrepa pomoči</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Upravičenci</w:t>
      </w:r>
      <w:r>
        <w:tab/>
      </w:r>
    </w:p>
    <w:p w14:paraId="0B353EA4" w14:textId="460FB4A4" w:rsidR="00BC5DDD" w:rsidRPr="00F35B92" w:rsidRDefault="00F35B92" w:rsidP="007366E4">
      <w:pPr>
        <w:numPr>
          <w:ilvl w:val="0"/>
          <w:numId w:val="22"/>
        </w:numPr>
        <w:ind w:left="993" w:hanging="142"/>
        <w:rPr>
          <w:szCs w:val="24"/>
        </w:rPr>
      </w:pPr>
      <w:r>
        <w:t>Če to še ni bilo navedeno v oddelku 3 obrazca za splošne informacije (del I), opišite (potencialne) upravičence ukrepa.</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Navedite lokacijo upravičencev (tj. če so do sodelovanja v ukrepu upravičeni le gospodarski subjekti s sedežem v zadevni državi članici ali tudi tisti, ki imajo sedež v drugih državah članicah).</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Za presojo skladnosti s točko 15 Smernic navedite, ali se pomoč v okviru ukrepa dodeljuje podjetju (individualno ali v okviru sheme), ki je naslovnik neporavnanega naloga za izterjavo na podlagi prejšnjega sklepa Komisije, v katerem je bila pomoč razglašena za nezakonito in nezdružljivo z notranjim trgom.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Če je odgovor pritrdilen, zagotovite informacije o znesku pomoči, ki ga je treba še izterjati, da ga Komisija upošteva pri presoji priglašenega ukrepa.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Potrdite, da ukrep ne vključuje pomoči za dejavnosti, ki ne spadajo na področje uporabe Smernic (glej točko 13 Smernic). Sicer navedite podrobnosti.</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Proračun</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Oddelek B: Ocena združljivosti pomoči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Pozitivni pogoj: pomoč mora pospeševati razvoj gospodarske dejavnosti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Prispevek k razvoju gospodarske dejavnosti</w:t>
            </w:r>
          </w:p>
        </w:tc>
      </w:tr>
    </w:tbl>
    <w:p w14:paraId="1E2599D2" w14:textId="044F1BE7" w:rsidR="000442F5" w:rsidRPr="00DB40A5" w:rsidRDefault="000442F5" w:rsidP="000442F5">
      <w:pPr>
        <w:spacing w:before="360" w:after="120"/>
        <w:jc w:val="both"/>
        <w:rPr>
          <w:i/>
        </w:rPr>
      </w:pPr>
      <w:r>
        <w:rPr>
          <w:i/>
        </w:rPr>
        <w:t xml:space="preserve">Za zagotovitev informacij v tem oddelku glej oddelek 3.1.1 (točke 23–25) ter </w:t>
      </w:r>
      <w:r>
        <w:rPr>
          <w:i/>
          <w:color w:val="000000"/>
        </w:rPr>
        <w:t>oddelka 4.8.1 in 4.8.2 (točke 325–328)</w:t>
      </w:r>
      <w:r>
        <w:rPr>
          <w:i/>
        </w:rPr>
        <w:t xml:space="preserve"> Smernic.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 xml:space="preserve">Člen 107(3), točka (c), Pogodbe o delovanju Evropske unije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78AC4A6E" w14:textId="5DA81B01" w:rsidR="00EE2FCC" w:rsidRPr="00864DCD" w:rsidRDefault="00EE56DD" w:rsidP="00EE56DD">
      <w:pPr>
        <w:pStyle w:val="ListParagraph"/>
        <w:spacing w:before="120" w:after="120"/>
        <w:ind w:left="567"/>
        <w:contextualSpacing w:val="0"/>
        <w:jc w:val="both"/>
      </w:pPr>
      <w:r>
        <w:t>Za presojo skladnosti s točko 23 Smernic navedite gospodarske dejavnosti, ki se bodo spodbujale s pomočjo, in kako se podpira razvoj navedenih dejavnosti. V točki 328 Smernic so navedeni primeri takih gospodarskih dejavnosti, ki se nanašajo na ukrepe za povečanje zanesljivosti oskrbe z električno energijo.</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w:t>
      </w:r>
      <w:proofErr w:type="spellStart"/>
      <w:r>
        <w:t>okoljske</w:t>
      </w:r>
      <w:proofErr w:type="spellEnd"/>
      <w:r>
        <w:t xml:space="preserve"> in energetske politike Unije, ter [opišite], kako, ter, natančneje, pričakovane koristi pomoči v smislu njenega konkretnega prispevka k varstvu okolja, vključno z blažitvijo podnebnih sprememb, ali učinkovitemu delovanju notranjega trga z energijo“.</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 xml:space="preserve">Opišite zahteve, ki se uporabljajo za upravičence (na primer z vključitvijo tehničnih, </w:t>
      </w:r>
      <w:proofErr w:type="spellStart"/>
      <w:r>
        <w:t>okoljskih</w:t>
      </w:r>
      <w:proofErr w:type="spellEnd"/>
      <w:r>
        <w:t xml:space="preserve"> (tj. dovoljenja), finančnih (tj. zavarovanja s premoženjem) ali drugih zahtev, ki jih morajo upravičenci izpolnjevati).</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Utemeljite ukrep pomoči, kot je določeno v oddelku 4.8.1 (točka 325) Smernic.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Zagotovite informacije o obsegu ukrepa pomoči, kot je določeno v oddelku 4.8.2 (točke 326–327) Smernic.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lastRenderedPageBreak/>
              <w:t>Spodbujevalni učinek</w:t>
            </w:r>
          </w:p>
        </w:tc>
      </w:tr>
    </w:tbl>
    <w:p w14:paraId="20915284" w14:textId="14126DC4" w:rsidR="00015E2B" w:rsidRPr="00A05235" w:rsidRDefault="00B15313" w:rsidP="00015E2B">
      <w:pPr>
        <w:spacing w:before="360" w:after="120"/>
        <w:jc w:val="both"/>
        <w:rPr>
          <w:i/>
        </w:rPr>
      </w:pPr>
      <w:r>
        <w:rPr>
          <w:i/>
        </w:rPr>
        <w:t xml:space="preserve">Za zagotovitev informacij v tem oddelku glej točko 329 in oddelek 3.1.2 (točke 29–32) Smernic.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Za dokazovanje skladnosti s točkama 29 in 31 Smernic:</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potrdite, da se dela na projektu ali dejavnosti niso začela, preden je upravičenec nacionalnim organom predložil pisno vlogo za pomoč;</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ali</w:t>
      </w:r>
    </w:p>
    <w:p w14:paraId="0252AF86" w14:textId="2507B978" w:rsidR="000442F5" w:rsidRPr="00F53942" w:rsidRDefault="008514DC" w:rsidP="00526607">
      <w:pPr>
        <w:pStyle w:val="ListParagraph"/>
        <w:numPr>
          <w:ilvl w:val="0"/>
          <w:numId w:val="25"/>
        </w:numPr>
        <w:spacing w:before="120" w:after="120"/>
        <w:ind w:left="993" w:hanging="284"/>
        <w:contextualSpacing w:val="0"/>
        <w:jc w:val="both"/>
      </w:pPr>
      <w:r>
        <w:t xml:space="preserve">za projekte, ki so se začeli pred vložitvijo vloge za pomoč, dokažite, da projekt spada v enega od izjemnih primerov iz točke 31 Smernic ((a), (b) ali (c)).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ki je potreben za njegovo izvedbo.</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Za dokazovanje skladnosti s točko 32 Smernic navedite, ali se za priglašeni ukrep uporabljajo standardi Unije</w:t>
      </w:r>
      <w:r>
        <w:rPr>
          <w:rStyle w:val="FootnoteReference"/>
          <w:lang w:val="en-IE" w:eastAsia="en-GB"/>
        </w:rPr>
        <w:footnoteReference w:id="5"/>
      </w:r>
      <w:r>
        <w:t xml:space="preserve">, obvezni nacionalni standardi, ki so strožji ali ambicioznejši od ustreznih standardov Unije, ali obvezni nacionalni standardi, sprejeti v primeru neobstoja standardov Unije. V zvezi s tem zagotovite informacije za dokaz spodbujevalnega učinka.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Če je bil ustrezni standard Unije že sprejet, vendar še ni začel veljati, dokažite, da ima pomoč spodbujevalni učinek, ker spodbuja naložbo, ki jo je treba izvesti in dokončati vsaj 18 mesecev pred začetkom veljavnosti standarda.</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Neobstoj kršitve ustreznih določb prava Unije</w:t>
            </w:r>
          </w:p>
        </w:tc>
      </w:tr>
    </w:tbl>
    <w:p w14:paraId="665FE026" w14:textId="7D0593B2" w:rsidR="00DE1D68" w:rsidRDefault="00DE1D68" w:rsidP="00DE1D68">
      <w:pPr>
        <w:spacing w:before="360" w:after="120"/>
        <w:jc w:val="both"/>
        <w:rPr>
          <w:i/>
        </w:rPr>
      </w:pPr>
      <w:r>
        <w:rPr>
          <w:i/>
        </w:rPr>
        <w:t xml:space="preserve">Za zagotovitev informacij v tem oddelku glej oddelek 3.1.3 (točka 33) Smernic. </w:t>
      </w:r>
    </w:p>
    <w:p w14:paraId="1FE0FFEF" w14:textId="1B65FA08" w:rsidR="009E7959" w:rsidRDefault="0023543E" w:rsidP="009E7959">
      <w:pPr>
        <w:pStyle w:val="ListParagraph"/>
        <w:numPr>
          <w:ilvl w:val="0"/>
          <w:numId w:val="4"/>
        </w:numPr>
        <w:spacing w:before="120" w:after="120"/>
        <w:ind w:left="567" w:hanging="567"/>
        <w:contextualSpacing w:val="0"/>
        <w:jc w:val="both"/>
      </w:pPr>
      <w:r>
        <w:lastRenderedPageBreak/>
        <w:t xml:space="preserve">Zagotovite informacije za potrditev skladnosti z ustreznimi določbami prava EU v skladu s točko 33 Smernic (glej na primer vprašanje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v zvezi s skladnostjo z Uredbo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Če se ukrep financira iz dajatve (glej vprašanje 54 v nadaljevanju), pojasnite, ali:</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se dajatev v enaki meri naloži na domače in uvožene proizvode;</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bo priglašeni ukrep enako koristil domačim in uvoženim proizvodom;</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Negativni pogoj: pomoč ne sme neupravičeno spreminjati trgovinskih pogojev v obsegu, ki bi bil v nasprotju s skupnimi interesi</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Čim večje zmanjšanje izkrivljanja konkurence in trgovine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Nujnost pomoči</w:t>
            </w:r>
          </w:p>
        </w:tc>
      </w:tr>
    </w:tbl>
    <w:p w14:paraId="3C23674F" w14:textId="79C4B802" w:rsidR="00663008" w:rsidRPr="00F83660" w:rsidRDefault="00663008" w:rsidP="00663008">
      <w:pPr>
        <w:spacing w:before="360" w:after="120"/>
        <w:jc w:val="both"/>
        <w:rPr>
          <w:i/>
          <w:color w:val="000000"/>
        </w:rPr>
      </w:pPr>
      <w:r>
        <w:rPr>
          <w:i/>
        </w:rPr>
        <w:t>Za zagotovitev informacij v tem oddelku glej oddelek 4.8.4.1 (točke 331–339) Smernic.</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Točka 331 Smernic določa, da je treba naravo težave z zanesljivo oskrbo z električno energijo in vzroke zanjo ter posledično potrebe po državni pomoči za zagotovitev zanesljive oskrbe z električno energijo ustrezno analizirati in količinsko opredeliti, pri čemer bi bilo treba med drugim opredeliti, kdaj in kje se bo težava predvidoma pojavila, po potrebi ob upoštevanju standarda zanesljivosti, kot je opredeljen v členu 25 Uredbe (EU) 2019/943.</w:t>
      </w:r>
      <w:bookmarkEnd w:id="4"/>
    </w:p>
    <w:p w14:paraId="1ABC600C" w14:textId="174FCB8E" w:rsidR="00CD4EC7" w:rsidRDefault="00DD7F4B" w:rsidP="00A32872">
      <w:pPr>
        <w:pStyle w:val="ListParagraph"/>
        <w:spacing w:before="120" w:after="120"/>
        <w:ind w:left="567"/>
        <w:contextualSpacing w:val="0"/>
        <w:jc w:val="both"/>
      </w:pPr>
      <w:r>
        <w:t xml:space="preserve">Zagotovite analizo, v kateri je težava z zanesljivo oskrbo z električno energijo identificirana in količinsko opredeljena. V odgovoru navedite podrobne informacije, pri čemer upoštevajte pomisleke iz točk 331–333 Smernic.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V skladu s točko 334 Smernic in za ukrepe v zvezi s tveganjem kriz pri oskrbi z električno energijo navedite nacionalni načrt pripravljenosti na tveganja iz člena 11 Uredbe (EU) 2019/941, v katerem bi bilo treba predlagani ukrep opredeliti.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 xml:space="preserve">V skladu s točko 335 Smernic in v primeru predloga za uvedbo več ukrepov, ciljno usmerjenih v zanesljivo oskrbo z električno energijo, natančno pojasnite, kako vzajemno delujejo pri zagotavljanju splošne stroškovne učinkovitosti združenih ukrepov za zagotavljanje zanesljivosti oskrbe, na primer v zvezi z mehanizmi za zmogljivost, ter </w:t>
      </w:r>
      <w:r>
        <w:lastRenderedPageBreak/>
        <w:t>pri tem pojasnite, kako dosegajo standard zanesljivosti iz točke 331 (vendar ga ne presegajo).</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V skladu s točko 336 Smernic opredelite regulativne pomanjkljivosti ali primere nedelovanja trga in vse druge težave, zaradi katerih brez ukrepov ni mogoče doseči zadostne ravni zanesljivosti oskrbe z električno energijo (po potrebi pa tudi varstva okolja).</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V skladu s točko 337 Smernic opredelite tudi obstoječe ukrepe, ki so že ciljno usmerjeni v nedelovanje trga ali regulativne pomanjkljivosti ali druge težave, opredeljene v točki 336. Če je primerno, se lahko sklicujete na dokazila, ki so bila predložena že v odgovoru na vprašanje </w:t>
      </w:r>
      <w:r>
        <w:fldChar w:fldCharType="begin"/>
      </w:r>
      <w:r>
        <w:instrText xml:space="preserve"> REF _Ref167812746 \r \h </w:instrText>
      </w:r>
      <w:r>
        <w:fldChar w:fldCharType="separate"/>
      </w:r>
      <w:r>
        <w:t>16</w:t>
      </w:r>
      <w:r>
        <w:fldChar w:fldCharType="end"/>
      </w:r>
      <w:r>
        <w:t xml:space="preserve"> zgoraj.</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V skladu s točko 338 Smernic pojasnite, zakaj ni mogoče pričakovati, da bo trg zagotovil zanesljivo oskrbo z električno energijo brez državne pomoči, ter pri tem upoštevajte reforme in izboljšave trga, ki jih država članica načrtuje, ter tehnološki razvoj.</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Predložite naslednje informacije iz točke 339 Smernic:</w:t>
      </w:r>
    </w:p>
    <w:p w14:paraId="22B1B19C" w14:textId="02BC0A6D" w:rsidR="001F444E" w:rsidRDefault="00CC02E1" w:rsidP="0013713F">
      <w:pPr>
        <w:pStyle w:val="ListParagraph"/>
        <w:numPr>
          <w:ilvl w:val="1"/>
          <w:numId w:val="4"/>
        </w:numPr>
        <w:spacing w:after="240"/>
        <w:ind w:left="1134" w:hanging="283"/>
        <w:jc w:val="both"/>
      </w:pPr>
      <w:r>
        <w:t xml:space="preserve">oceno vpliva spremenljive proizvodnje, tudi iz sosednjih sistemov;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oceno vpliva udeležbe na strani odjema in shranjevanja, vključno z opisom ukrepov za spodbujanje upravljanja na strani odjema;</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oceno dejanskega ali morebitnega obstoja povezovalnih plinovodov in pomembne infrastrukture notranjega prenosnega omrežja, vključno z opisom projektov, ki se že gradijo, in načrtovanih projektov;</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oceno katerega koli drugega elementa, ki bi lahko povzročil ali poslabšal težavo z zanesljivostjo oskrbe z električno energijo, kot so omejitve veleprodajnih cen ali druge regulativne pomanjkljivosti ali nedelovanja trga. Po potrebi predložite in upoštevajte načrt za izvedbo ukrepov za odpravo vseh odkritih primerov regulativnih izkrivljanj ali nedelovanja trga ter mnenje Komisije o takem načrtu za izvedbo na podlagi člena 20(3) in (5) Uredbe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lastRenderedPageBreak/>
        <w:t xml:space="preserve"> </w:t>
      </w:r>
    </w:p>
    <w:p w14:paraId="57A56477" w14:textId="3D8D26A8" w:rsidR="00646D6A" w:rsidRDefault="00CC02E1" w:rsidP="0013713F">
      <w:pPr>
        <w:pStyle w:val="ListParagraph"/>
        <w:numPr>
          <w:ilvl w:val="1"/>
          <w:numId w:val="4"/>
        </w:numPr>
        <w:spacing w:after="240"/>
        <w:ind w:left="1134" w:hanging="283"/>
        <w:jc w:val="both"/>
      </w:pPr>
      <w:r>
        <w:t>vso ustrezno vsebino iz akcijskega načrta na podlagi člena 15 Uredbe (EU)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Ustreznost</w:t>
            </w:r>
          </w:p>
        </w:tc>
      </w:tr>
    </w:tbl>
    <w:p w14:paraId="4C2D927B" w14:textId="3E3F17BF" w:rsidR="00EA354A" w:rsidRPr="00F83660" w:rsidRDefault="00EA354A" w:rsidP="00EA354A">
      <w:pPr>
        <w:spacing w:before="360" w:after="120"/>
        <w:jc w:val="both"/>
        <w:rPr>
          <w:i/>
          <w:color w:val="000000"/>
        </w:rPr>
      </w:pPr>
      <w:r>
        <w:rPr>
          <w:i/>
        </w:rPr>
        <w:t>Za zagotovitev informacij v tem oddelku glej oddelek 4.8.4.2 (točke 341–342) Smernic.</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Za presojo skladnosti s točko 341 Smernic:</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Pojasnite, katere alternativne načine doseganja zanesljivosti oskrbe z električno energijo ste obravnavali, zlasti učinkovitejšo zasnovo trga električne energije, na podlagi katere je mogoče zmanjšati nedelovanje trga, ki ogrožajo zanesljivost oskrbe z električno energijo. V zvezi s tem so v točki 341 Smernic navedeni primeri izboljšanja zasnove trga z električno energijo (izboljšanje bilančnega obračuna električne energije, boljše vključevanje spremenljive proizvodnje, spodbujanje in vključevanje prilagajanja odjema in shranjevanja, omogočanje učinkovitih cenovnih signalov, odpravljanje ovir za čezmejno trgovino in izboljšanje infrastrukture, vključno s povezovalnimi vodi).</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Dokažite, da kljub ustreznim in sorazmernim izvedenim ali načrtovanim izboljšavam zasnove trga in naložb v omrežna sredstva še vedno obstajajo pomisleki glede zanesljivosti oskrbe (točka 341 Smernic).</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V zvezi z ukrepi za prezasedenost omrežja pojasnite tudi, kako se učinkovitost ukrepov za prerazporejanje izboljšuje v skladu s členom 13 Uredbe (EU) 2019/943 (točka 342 Smernic).</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Upravičenost</w:t>
            </w:r>
          </w:p>
        </w:tc>
      </w:tr>
    </w:tbl>
    <w:p w14:paraId="2460A5B7" w14:textId="542C5474" w:rsidR="00AB322D" w:rsidRPr="00E74034" w:rsidRDefault="00AB322D" w:rsidP="00AB322D">
      <w:pPr>
        <w:spacing w:before="360" w:after="120"/>
        <w:jc w:val="both"/>
        <w:rPr>
          <w:i/>
        </w:rPr>
      </w:pPr>
      <w:r>
        <w:rPr>
          <w:i/>
        </w:rPr>
        <w:t xml:space="preserve">Za zagotovitev informacij v tem oddelku glej oddelek 4.8.4.3 (točke 343–346) Smernic.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Za dokazovanje skladnosti s točko 343 Smernic potrdite, da bo ukrep odprt za vse upravičence ali projekte, ki so tehnično sposobni učinkovito prispevati k doseganju cilja zanesljivosti oskrbe (npr. proizvodnja, shranjevanje, prilagajanje odjema, združevanje majhnih enot v večje enote).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V skladu s točko 344 Smernic pojasnite, ali obstajajo kakršne koli omejitve glede sodelovanja pri predlaganem ukrepu za zanesljivost oskrbe, katerega namen je preprečiti, da bi ukrep ogrožal varstvo okolja.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Če priglašeni ukrep za zanesljivost oskrbe vključuje dodatna merila ali značilnosti za spodbujanje vključevanja bolj zelenih tehnologij (ali zmanjšanje vključevanja </w:t>
      </w:r>
      <w:r>
        <w:lastRenderedPageBreak/>
        <w:t xml:space="preserve">onesnažujočih tehnologij), potrebnih za podporo izpolnjevanju ciljev Unije glede varstva okolja, dokažite, da so taka dodatna merila ali značilnosti objektivni, pregledni in </w:t>
      </w:r>
      <w:proofErr w:type="spellStart"/>
      <w:r>
        <w:t>nediskriminatorni</w:t>
      </w:r>
      <w:proofErr w:type="spellEnd"/>
      <w:r>
        <w:t xml:space="preserve"> v zvezi z jasno opredeljenimi cilji varstva okolja ter ne bodo povzročili prekomernega nadomestila upravičencem (točka 345 Smernic).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V skladu s točko 346 Smernic: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navedite, ali bo ukrep za zanesljivost oskrbe z električno energijo odprt za neposredno čezmejno udeležbo ponudnikov zmogljivosti, ki se nahajajo v drugi državi članici. Če ne, utemeljite zakaj ne;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dokažite, da bo imela tuja zmogljivost, ki lahko zagotovi tehnične lastnosti, enakovredne domačim zmogljivostim, priložnost sodelovati v istem konkurenčnem postopku kot domača zmogljivost;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če je ustrezno, dokažite skladnost z ustreznimi pravili iz člena 26 Uredbe (EU) 2019/943 o čezmejni udeležbi v mehanizmih za zmogljivost.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Javno posvetovanje</w:t>
            </w:r>
          </w:p>
        </w:tc>
      </w:tr>
    </w:tbl>
    <w:p w14:paraId="1B229D4F" w14:textId="57AA6556" w:rsidR="00E74034" w:rsidRPr="00E74034" w:rsidRDefault="00E74034" w:rsidP="00E74034">
      <w:pPr>
        <w:spacing w:before="360" w:after="120"/>
        <w:jc w:val="both"/>
        <w:rPr>
          <w:i/>
        </w:rPr>
      </w:pPr>
      <w:r>
        <w:rPr>
          <w:i/>
        </w:rPr>
        <w:t xml:space="preserve">Za zagotovitev informacij v tem oddelku glej oddelek 4.8.4.4 (točke 348–351) Smernic. </w:t>
      </w:r>
    </w:p>
    <w:p w14:paraId="78EF67B8" w14:textId="77777777" w:rsidR="00725C45" w:rsidRDefault="0004197A" w:rsidP="0004197A">
      <w:pPr>
        <w:pStyle w:val="ListParagraph"/>
        <w:numPr>
          <w:ilvl w:val="0"/>
          <w:numId w:val="4"/>
        </w:numPr>
        <w:spacing w:before="120" w:after="120"/>
        <w:ind w:left="567" w:hanging="567"/>
        <w:contextualSpacing w:val="0"/>
        <w:jc w:val="both"/>
      </w:pPr>
      <w:r>
        <w:t>Pojasnite, ali je za ukrep potrebno javno posvetovanje na podlagi oddelka 4.8.4.4, in če ne, zakaj ne.</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Če je za ukrep potrebno javno posvetovanje:</w:t>
      </w:r>
    </w:p>
    <w:p w14:paraId="10ED4DF3" w14:textId="0709E691" w:rsidR="00915173" w:rsidRDefault="00725C45" w:rsidP="00CB1E0C">
      <w:pPr>
        <w:pStyle w:val="ListParagraph"/>
        <w:numPr>
          <w:ilvl w:val="1"/>
          <w:numId w:val="62"/>
        </w:numPr>
        <w:spacing w:before="120" w:after="120"/>
        <w:ind w:left="1134" w:hanging="283"/>
        <w:contextualSpacing w:val="0"/>
        <w:jc w:val="both"/>
      </w:pPr>
      <w:r>
        <w:t>Navedite trajanje javnega posvetovanja in povzetek glavnih obravnavanih vprašanj:</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V skladu z zahtevami iz točke 350 Smernic navedite naslov javnega spletišča, na katerem bodo objavljeni vprašalniki za posvetovanje in povzetek odgovorov vlade:</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Sorazmernost</w:t>
            </w:r>
          </w:p>
        </w:tc>
      </w:tr>
    </w:tbl>
    <w:p w14:paraId="2592F405" w14:textId="7ACA92B9" w:rsidR="00081E48" w:rsidRDefault="00081E48" w:rsidP="001D2520">
      <w:pPr>
        <w:pStyle w:val="ListParagraph"/>
        <w:spacing w:before="120" w:after="120"/>
        <w:ind w:left="0"/>
        <w:contextualSpacing w:val="0"/>
        <w:jc w:val="both"/>
      </w:pPr>
      <w:r>
        <w:rPr>
          <w:i/>
        </w:rPr>
        <w:t xml:space="preserve">Za zagotovitev informacij v tem oddelku glej oddelek 3.2.1.3 (točke 49–53 in 55) in oddelek 4.8.4.5 (točke 353–357) Smernic. Upoštevajte, da sta </w:t>
      </w:r>
      <w:r>
        <w:rPr>
          <w:i/>
          <w:u w:val="single"/>
        </w:rPr>
        <w:t>naslednja oddelka 2.1.5.1 in 2.1.5.2 izbirna</w:t>
      </w:r>
      <w:r>
        <w:rPr>
          <w:i/>
        </w:rPr>
        <w:t>. Odgovarjajte samo na ustrezni oddelek, odvisno od zasnove predlaganega ukrepa.</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lastRenderedPageBreak/>
              <w:t>Sorazmernost pomoči, dodeljene na podlagi konkurenčnega postopka zbiranja ponudb</w:t>
            </w:r>
          </w:p>
        </w:tc>
      </w:tr>
    </w:tbl>
    <w:p w14:paraId="3A2A7C7F" w14:textId="4061FA26" w:rsidR="00863406" w:rsidRDefault="00863406" w:rsidP="00863406">
      <w:pPr>
        <w:spacing w:before="360" w:after="120"/>
        <w:jc w:val="both"/>
        <w:rPr>
          <w:i/>
        </w:rPr>
      </w:pPr>
      <w:r>
        <w:rPr>
          <w:i/>
        </w:rPr>
        <w:t xml:space="preserve">Za zagotovitev informacij v tem oddelku glej oddelek 3.2.1.3 (točke 49–53 in 55) ter točke 353, 354 in 356 Smernic. </w:t>
      </w:r>
    </w:p>
    <w:p w14:paraId="50E2DDC9" w14:textId="48FD7994" w:rsidR="00882890" w:rsidRDefault="00882890" w:rsidP="00863406">
      <w:pPr>
        <w:spacing w:before="360" w:after="120"/>
        <w:jc w:val="both"/>
        <w:rPr>
          <w:i/>
        </w:rPr>
      </w:pPr>
      <w:r>
        <w:rPr>
          <w:i/>
        </w:rPr>
        <w:t xml:space="preserve">Ta oddelek se </w:t>
      </w:r>
      <w:r>
        <w:rPr>
          <w:i/>
          <w:u w:val="single"/>
        </w:rPr>
        <w:t>ne uporablja</w:t>
      </w:r>
      <w:r>
        <w:rPr>
          <w:i/>
        </w:rPr>
        <w:t xml:space="preserve"> za pomoč, dodeljeno </w:t>
      </w:r>
      <w:r>
        <w:rPr>
          <w:i/>
          <w:u w:val="single"/>
        </w:rPr>
        <w:t>brez</w:t>
      </w:r>
      <w:r>
        <w:rPr>
          <w:i/>
        </w:rPr>
        <w:t xml:space="preserve"> </w:t>
      </w:r>
      <w:r>
        <w:rPr>
          <w:i/>
          <w:u w:val="single"/>
        </w:rPr>
        <w:t>konkurenčnega postopka zbiranja ponudb</w:t>
      </w:r>
      <w:r>
        <w:rPr>
          <w:i/>
        </w:rPr>
        <w:t>. Za take ukrepe pojdite neposredno na oddelek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Za presojo skladnosti s točko 353 Smernic in v primeru, da to v odgovoru na vprašanje </w:t>
      </w:r>
      <w:r>
        <w:fldChar w:fldCharType="begin"/>
      </w:r>
      <w:r>
        <w:instrText xml:space="preserve"> REF _Ref167812746 \r \h </w:instrText>
      </w:r>
      <w:r>
        <w:fldChar w:fldCharType="separate"/>
      </w:r>
      <w:r>
        <w:t>16</w:t>
      </w:r>
      <w:r>
        <w:fldChar w:fldCharType="end"/>
      </w:r>
      <w:r>
        <w:t xml:space="preserve"> zgoraj še ni bilo navedeno, zagotovite analizo, ki se v priglašenem ukrepu za zanesljivost oskrbe uporablja za določitev ravni odjema na podlagi standarda zanesljivosti ali analize stroškov in koristi. Potrdite, da analiza, ki se uporabi za določitev ravni odjema, ob določitvi ni stara več kot 12 mesecev.</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V skladu s točko 354 Smernic dokažite, da bo obdobje med dodelitvijo pomoči in rokom za izvedbo projektov omogočalo učinkovito konkurenco med različnimi upravičenimi projekti.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V skladu s točko 356 Smernic dokažite, da bodo imeli upravičenci do ukrepov za zanesljivost oskrbe učinkovite spodbude za prispevanje k zanesljivosti oskrbe v obdobju izvajanja projekta. Te spodbude bi morale biti na splošno povezane z vrednostjo nezadostnega napajanja, kot je določena v skladu s členom 11 Uredbe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Za preverjanje skladnosti s točkama 49 in 50 Smernic zagotovite naslednje:</w:t>
      </w:r>
    </w:p>
    <w:p w14:paraId="2AB5C620" w14:textId="7A6DCCC0" w:rsidR="00CD498E" w:rsidRPr="00441F0B" w:rsidRDefault="00033BA9" w:rsidP="001D2520">
      <w:pPr>
        <w:numPr>
          <w:ilvl w:val="0"/>
          <w:numId w:val="30"/>
        </w:numPr>
        <w:ind w:left="1134" w:hanging="283"/>
      </w:pPr>
      <w:r>
        <w:t xml:space="preserve">Pojasnite, kako organi zagotavljajo, da je postopek zbiranja ponudb odprt, jasen, pregleden in </w:t>
      </w:r>
      <w:proofErr w:type="spellStart"/>
      <w:r>
        <w:t>nediskriminatoren</w:t>
      </w:r>
      <w:proofErr w:type="spellEnd"/>
      <w:r>
        <w:t>, temelji na objektivnih merilih, ki so predhodno določena v skladu s ciljem ukrepa ter zagotavljajo čim manjše tveganje strateških ponudb (točka 49(a) Smernic).</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733013">
      <w:pPr>
        <w:numPr>
          <w:ilvl w:val="0"/>
          <w:numId w:val="30"/>
        </w:numPr>
        <w:ind w:left="1134" w:hanging="283"/>
      </w:pPr>
      <w:r>
        <w:t xml:space="preserve">Navedite pogoje za sodelovanje, ki se uporabljajo za razvrščanje ponudb in končno določitev ravni pomoči v konkurenčnem postopku zbiranja ponudb. Natančneje: </w:t>
      </w:r>
    </w:p>
    <w:p w14:paraId="62322C89" w14:textId="24B28289" w:rsidR="004D6830" w:rsidRPr="00050EB9" w:rsidRDefault="000B1BDB" w:rsidP="00EA272E">
      <w:pPr>
        <w:pStyle w:val="ListParagraph"/>
        <w:numPr>
          <w:ilvl w:val="1"/>
          <w:numId w:val="31"/>
        </w:numPr>
        <w:spacing w:before="120" w:after="120"/>
        <w:contextualSpacing w:val="0"/>
        <w:jc w:val="both"/>
      </w:pPr>
      <w:r>
        <w:t xml:space="preserve">Navedite seznam pogojev za sodelovanje in natančno opredelite, kateri od njih so neposredno ali posredno povezani z glavnimi cilji ukrepa in kateri ne. Navedite tudi njihove </w:t>
      </w:r>
      <w:proofErr w:type="spellStart"/>
      <w:r>
        <w:t>ponderje</w:t>
      </w:r>
      <w:proofErr w:type="spellEnd"/>
      <w:r>
        <w:t>.</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t xml:space="preserve">Pojasnite, kako pogoji za sodelovanje zagotavljajo prispevek h glavnim ciljem ukrepa, ki je neposredno ali posredno povezan z zneskom pomoči, ki ga prosilec zahteva. To se lahko izrazi na primer kot pomoč na enoto </w:t>
      </w:r>
      <w:r>
        <w:lastRenderedPageBreak/>
        <w:t>varstva okolja ali pomoč na enoto energije (točka 50 in opomba 44 Smernic).</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A272E">
      <w:pPr>
        <w:pStyle w:val="ListParagraph"/>
        <w:numPr>
          <w:ilvl w:val="1"/>
          <w:numId w:val="31"/>
        </w:numPr>
        <w:spacing w:before="120" w:after="120"/>
        <w:contextualSpacing w:val="0"/>
        <w:jc w:val="both"/>
      </w:pPr>
      <w:r>
        <w:t xml:space="preserve">Če obstajajo drugi pogoji za sodelovanje, ki niso neposredno ali posredno povezani z glavnimi cilji ukrepa, navedite razloge za predlagani pristop in pojasnite, kako ustreza doseganju ciljev ukrepa. Potrdite tudi, da navedeni pogoji ne predstavljajo več kot 30 % </w:t>
      </w:r>
      <w:proofErr w:type="spellStart"/>
      <w:r>
        <w:t>ponderjev</w:t>
      </w:r>
      <w:proofErr w:type="spellEnd"/>
      <w:r>
        <w:t xml:space="preserve"> vseh pogojev za sodelovanje (točka 50 Smernic).</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A272E">
      <w:pPr>
        <w:pStyle w:val="ListParagraph"/>
        <w:numPr>
          <w:ilvl w:val="1"/>
          <w:numId w:val="31"/>
        </w:numPr>
        <w:spacing w:before="120" w:after="120"/>
        <w:contextualSpacing w:val="0"/>
        <w:jc w:val="both"/>
      </w:pPr>
      <w:r>
        <w:t xml:space="preserve">Pojasnite, </w:t>
      </w:r>
      <w:r>
        <w:rPr>
          <w:shd w:val="clear" w:color="auto" w:fill="FFFFFF"/>
        </w:rPr>
        <w:t>koliko časa pred rokom za predložitev ponudb v vsakem konkurenčnem postopku zbiranja ponudb bodo objavljeni pogoji za sodelovanje</w:t>
      </w:r>
      <w:r>
        <w:t xml:space="preserve"> (točka 49(b) in opomba 43 Smernic).</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rPr>
          <w:shd w:val="clear" w:color="auto" w:fill="FFFFFF"/>
        </w:rPr>
        <w:t>Potrdite, da je proračun oziroma obseg, povezan s postopkom zbiranja ponudb, zavezujoč, saj se lahko pričakuje, da vsi ponudniki ne bodo prejeli pomoči</w:t>
      </w:r>
      <w:r>
        <w:t xml:space="preserve"> (točka 49(c) Smernic).</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t>Zagotovite informacije o predvidenem številu krogov zbiranja ponudb in pričakovanem številu ponudnikov v prvem krogu in v nadaljevanju.</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rPr>
          <w:shd w:val="clear" w:color="auto" w:fill="FFFFFF"/>
        </w:rPr>
        <w:t>V primeru enega ali več postopkov zbiranja ponudb, pri katerih ni prejetih dovolj ponudb, pojasnite, kako in kdaj se bo med izvajanjem sheme popravila zasnova postopkov zbiranja ponudb, da se ponovno vzpostavi učinkovita konkurenca</w:t>
      </w:r>
      <w:r>
        <w:t xml:space="preserve"> (točka 49(c) Smernic)</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rPr>
          <w:rStyle w:val="oj-italic"/>
          <w:shd w:val="clear" w:color="auto" w:fill="FFFFFF"/>
        </w:rPr>
        <w:t>Potrdite</w:t>
      </w:r>
      <w:r>
        <w:rPr>
          <w:shd w:val="clear" w:color="auto" w:fill="FFFFFF"/>
        </w:rPr>
        <w:t>, da bodo preprečene naknadne prilagoditve rezultata postopka zbiranja ponudb (kot so poznejša pogajanja o rezultatih ponudb ali racioniranje)</w:t>
      </w:r>
      <w:r>
        <w:t xml:space="preserve"> (točka 49(d) Smernic).</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712B3C">
      <w:pPr>
        <w:pStyle w:val="ListParagraph"/>
        <w:numPr>
          <w:ilvl w:val="0"/>
          <w:numId w:val="30"/>
        </w:numPr>
        <w:spacing w:before="120" w:after="120"/>
        <w:ind w:hanging="229"/>
        <w:contextualSpacing w:val="0"/>
        <w:jc w:val="both"/>
      </w:pPr>
      <w:r>
        <w:t>Če obstaja možnost „</w:t>
      </w:r>
      <w:r>
        <w:rPr>
          <w:i/>
        </w:rPr>
        <w:t>ponudb z ničelnimi subvencijami</w:t>
      </w:r>
      <w:r>
        <w:t xml:space="preserve">“, pojasnite, kako bo zagotovljena sorazmernost.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Pojasnite, ali organi načrtujejo uporabo spodnjih ali zgornjih mej cen v konkurenčnem postopku zbiranja ponudb. Če je odgovor pritrdilen, utemeljite njihovo uporabo in pojasnite, kako ne omejujejo konkurenčnega postopka zbiranja ponudb</w:t>
      </w:r>
      <w:r>
        <w:rPr>
          <w:rStyle w:val="FootnoteReference"/>
          <w:lang w:eastAsia="en-GB"/>
        </w:rPr>
        <w:footnoteReference w:id="6"/>
      </w:r>
      <w:r>
        <w:t xml:space="preserve"> (točka 49 in opomba 42 Smernic).</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lastRenderedPageBreak/>
              <w:t xml:space="preserve">Sorazmernost pomoči, dodeljene </w:t>
            </w:r>
            <w:r>
              <w:rPr>
                <w:sz w:val="24"/>
                <w:u w:val="single"/>
              </w:rPr>
              <w:t>brez</w:t>
            </w:r>
            <w:r>
              <w:rPr>
                <w:sz w:val="24"/>
              </w:rPr>
              <w:t xml:space="preserve"> konkurenčnega postopka zbiranja ponudb </w:t>
            </w:r>
          </w:p>
        </w:tc>
      </w:tr>
    </w:tbl>
    <w:p w14:paraId="0190ED95" w14:textId="4268A147" w:rsidR="001620DB" w:rsidRDefault="001620DB" w:rsidP="00DB2066">
      <w:pPr>
        <w:pStyle w:val="ListParagraph"/>
        <w:spacing w:before="120" w:after="120"/>
        <w:ind w:left="0"/>
        <w:contextualSpacing w:val="0"/>
        <w:jc w:val="both"/>
      </w:pPr>
      <w:r>
        <w:rPr>
          <w:i/>
        </w:rPr>
        <w:t>Za zagotovitev informacij v tem oddelku glej točke 51–55 in 353–357 Smernic</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Ta oddelek se </w:t>
      </w:r>
      <w:r>
        <w:rPr>
          <w:i/>
          <w:u w:val="single"/>
        </w:rPr>
        <w:t>ne uporablja</w:t>
      </w:r>
      <w:r>
        <w:rPr>
          <w:i/>
        </w:rPr>
        <w:t xml:space="preserve"> za ukrepe, pri katerih se pomoč dodeli na podlagi </w:t>
      </w:r>
      <w:r>
        <w:rPr>
          <w:i/>
          <w:u w:val="single"/>
        </w:rPr>
        <w:t>konkurenčnega postopka zbiranja ponudb</w:t>
      </w:r>
      <w:r>
        <w:rPr>
          <w:i/>
        </w:rPr>
        <w:t>. Za take ukrepe odgovorite na vprašanja v oddelku 2.5.1.1 zgoraj.</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Za presojo skladnosti s točko 353 Smernic in v primeru, da to v odgovoru na vprašanje </w:t>
      </w:r>
      <w:r>
        <w:fldChar w:fldCharType="begin"/>
      </w:r>
      <w:r>
        <w:instrText xml:space="preserve"> REF _Ref167812746 \r \h </w:instrText>
      </w:r>
      <w:r>
        <w:fldChar w:fldCharType="separate"/>
      </w:r>
      <w:r>
        <w:t>16</w:t>
      </w:r>
      <w:r>
        <w:fldChar w:fldCharType="end"/>
      </w:r>
      <w:r>
        <w:t xml:space="preserve"> zgoraj še ni bilo navedeno, zagotovite analizo, ki se v priglašenem ukrepu za zanesljivost oskrbe uporablja za določitev ravni odjema na podlagi standarda zanesljivosti ali analize stroškov in koristi. Potrdite, da analiza, ki se uporabi za določitev ravni odjema, ob določitvi ni stara več kot 12 mesecev.</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V skladu s točko 354 Smernic dokažite, da bo obdobje med dodelitvijo pomoči in rokom za izvedbo projektov omogočalo učinkovito konkurenco med različnimi upravičenimi projekti.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V skladu s točko 356 Smernic dokažite, da bodo imeli upravičenci do ukrepov za zanesljivost oskrbe učinkovite spodbude za prispevanje k zanesljivosti oskrbe v obdobju izvajanja projekta. Te spodbude bi morale biti na splošno povezane z vrednostjo nezadostnega napajanja, kot je določena v skladu s členom 11 Uredbe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Pojasnite, zakaj se ni uporabil konkurenčni postopek zbiranja ponudb (v skladu s točko 355 Smernic).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V primeru shem pomoči navedite seznam referenčnih projektov in pojasnilo, zakaj so bili ti opredeljeni (na primer, da se lahko v okviru vsakega referenčnega projekta pričakuje, da bodo stroški in prihodki na splošno podobni). Da bi se izognili dvomom, referenčni projekt pomeni projekt, ki se uporablja kot primer in je reprezentativen za povprečni projekt v kategoriji upravičencev do sheme pomoči (točka 19(63) Smernic).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V skladu s točko 51 Smernic za vsak referenčni projekt (v primeru shem pomoči) ali vsakega upravičenca (v primeru individualne pomoči) dokažite, da pomoč ne presega najmanjšega potrebnega zneska, tj. razlike med neto sedanjo vrednostjo po dejanskem scenariju in neto sedanjo vrednostjo po hipotetičnem scenariju v življenjski dobi referenčnega projekta oziroma projekta. Za to presojo predložite za dejanski scenarij in realističen hipotetični scenarij</w:t>
      </w:r>
      <w:r>
        <w:rPr>
          <w:rStyle w:val="FootnoteReference"/>
        </w:rPr>
        <w:footnoteReference w:id="7"/>
      </w:r>
      <w:r>
        <w:t xml:space="preserve"> količinsko opredelitev vseh glavnih stroškov in prihodkov, oceno tehtanega povprečja stroškov kapitala (WACC) upravičencev (ali referenčnih projektov v primeru sheme pomoči) za diskontiranje prihodnjih denarnih tokov ter neto sedanjo vrednost v življenjski dobi projekta / referenčnega projekta za dejanski in hipotetični scenarij.  </w:t>
      </w:r>
    </w:p>
    <w:p w14:paraId="4DB6378F" w14:textId="77777777" w:rsidR="007F119D" w:rsidRDefault="007F119D" w:rsidP="006F39D2">
      <w:pPr>
        <w:numPr>
          <w:ilvl w:val="0"/>
          <w:numId w:val="37"/>
        </w:numPr>
        <w:ind w:left="1134" w:hanging="283"/>
      </w:pPr>
      <w:r>
        <w:lastRenderedPageBreak/>
        <w:t xml:space="preserve">To navedite v prilogi k temu obrazcu za dodatne informacije (z uporabo Excelove datoteke, v kateri so vidne vse formule). </w:t>
      </w:r>
    </w:p>
    <w:p w14:paraId="791F4E37" w14:textId="77777777" w:rsidR="00217A1A" w:rsidRPr="00733013"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Vključite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t>Temu obrazcu za dodatne informacije lahko priložite tudi dokumente, navedene v opombi 39 Smernic. Uradni dokumenti uprav so lahko posebej uporabni pri ukrepih individualne pomoči ali shem pomoči, ki koristijo precej omejenemu številu upravičencev. Če so takšni dokumenti priloženi obrazcu za priglasitev, v nadaljevanju navedite seznam teh dokumentov, pri čemer navedite avtorja, datum njihove priprave in kontekst, v katerem so bili uporabljeni.</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Če se uporablja točka 55 Smernic, navedite informacije o modelih nadomestila, ki jih država članica morda namerava uvesti (kombinacija vnaprej in naknadno določenega nadomestila ali mehanizmi za naknadno vračanje sredstev ali spremljanje stroškov). </w:t>
      </w:r>
    </w:p>
    <w:p w14:paraId="1469FE3D" w14:textId="3662127B" w:rsidR="000575C3" w:rsidRPr="008515FB" w:rsidRDefault="009329F1" w:rsidP="000575C3">
      <w:pPr>
        <w:tabs>
          <w:tab w:val="left" w:leader="dot" w:pos="9072"/>
        </w:tabs>
        <w:spacing w:before="120" w:after="120"/>
        <w:ind w:left="567"/>
        <w:jc w:val="both"/>
      </w:pPr>
      <w:r>
        <w:t xml:space="preserve">Če se točka 55 Smernic ne uporablja za ukrep, to utemeljite.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Če je priglašeni ukrep v obliki konkurenčne sheme certifikatov / obveznosti dobaviteljev (točka 357 Smernic):</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potrdite, da je opredeljeni odjem v okviru sheme manjši od potencialne ponudbe; in</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pojasnite, kako bo določena cena odkupa / višina kazni in kako se bo s tem preprečilo prekomerno nadomestilo.</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Kumulacija</w:t>
            </w:r>
          </w:p>
        </w:tc>
      </w:tr>
    </w:tbl>
    <w:p w14:paraId="2346A85D" w14:textId="6CB77F89" w:rsidR="00B21377" w:rsidRPr="002A3B51" w:rsidRDefault="00B21377" w:rsidP="00B21377">
      <w:pPr>
        <w:pStyle w:val="ListParagraph"/>
        <w:spacing w:before="120" w:after="120"/>
        <w:ind w:left="567"/>
        <w:contextualSpacing w:val="0"/>
        <w:jc w:val="both"/>
      </w:pPr>
      <w:r>
        <w:rPr>
          <w:i/>
        </w:rPr>
        <w:t>Za zagotovitev informacij v tem oddelku glej točki 56 in 57 Smernic</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Če še ni tako določeno v delu I splošnega obrazca za priglasitev in da se preveri skladnost s točko 56 Smernic, pojasnite, ali se lahko pomoč v okviru priglašenega ukrepa dodeli sočasno na podlagi več shem pomoči ali skupaj z </w:t>
      </w:r>
      <w:r>
        <w:rPr>
          <w:i/>
        </w:rPr>
        <w:t>ad hoc</w:t>
      </w:r>
      <w:r>
        <w:t xml:space="preserve"> pomočjo ali pomočjo </w:t>
      </w:r>
      <w:r>
        <w:rPr>
          <w:i/>
        </w:rPr>
        <w:t xml:space="preserve">de </w:t>
      </w:r>
      <w:proofErr w:type="spellStart"/>
      <w:r>
        <w:rPr>
          <w:i/>
        </w:rPr>
        <w:t>minimis</w:t>
      </w:r>
      <w:proofErr w:type="spellEnd"/>
      <w:r>
        <w:t xml:space="preserve"> v zvezi z istimi upravičenimi stroški. Če je tako, navedite </w:t>
      </w:r>
      <w:r>
        <w:lastRenderedPageBreak/>
        <w:t xml:space="preserve">podrobnosti o navedenih shemah pomoči, </w:t>
      </w:r>
      <w:r>
        <w:rPr>
          <w:i/>
        </w:rPr>
        <w:t>ad hoc</w:t>
      </w:r>
      <w:r>
        <w:t xml:space="preserve"> pomoči ali pomoči </w:t>
      </w:r>
      <w:r>
        <w:rPr>
          <w:i/>
        </w:rPr>
        <w:t xml:space="preserve">de </w:t>
      </w:r>
      <w:proofErr w:type="spellStart"/>
      <w:r>
        <w:rPr>
          <w:i/>
        </w:rPr>
        <w:t>minimis</w:t>
      </w:r>
      <w:proofErr w:type="spellEnd"/>
      <w:r>
        <w:t xml:space="preserve"> in o tem, kako se bo pomoč kumulirala. Morda se želite sklicevati na zgoraj navedeno količinsko opredelitev.</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Če se uporablja točka 56 Smernic, pojasnite, kako skupni znesek pomoči za posamezni priglašeni ukrep za projekt ali dejavnost ne vodi do prekomernega nadomestila ali ne presega najvišjega zneska pomoči, dovoljenega na podlagi Smernic. Najvišji znesek pomoči, dovoljen na podlagi Smernic, je bodisi znesek pomoči, upoštevan v uspešni ponudbi, bodisi, če ni konkurenčnega postopka, vrzel v financiranju ob upoštevanju vseh glavnih prihodkov, vključno z drugimi viri pomoči (točka 51 Smernic). Kadar se lahko pomoč, dodeljena na podlagi priglašenega ukrepa pomoči, kumulira z državno pomočjo v okviru drugega instrumenta, navedite metodo, uporabljeno za zagotovitev skladnosti s pogoji iz točke 56 Smernic.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Če se uporablja točka 57 Smernic, tj. pomoč, dodeljena na podlagi priglašenega ukrepa, se kombinira s centralno upravljanimi sredstvi Unije</w:t>
      </w:r>
      <w:r>
        <w:rPr>
          <w:rStyle w:val="FootnoteReference"/>
          <w:lang w:eastAsia="en-GB"/>
        </w:rPr>
        <w:footnoteReference w:id="8"/>
      </w:r>
      <w:r>
        <w:t xml:space="preserve"> (ki ne pomenijo državne pomoči), utemeljite, kako </w:t>
      </w:r>
      <w:r>
        <w:rPr>
          <w:shd w:val="clear" w:color="auto" w:fill="FFFFFF"/>
        </w:rPr>
        <w:t>skupni znesek javnega financiranja, dodeljen v zvezi z istimi upravičenimi stroški, ne privede do prekomernega nadomestila</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Preglednost</w:t>
            </w:r>
          </w:p>
        </w:tc>
      </w:tr>
    </w:tbl>
    <w:p w14:paraId="07229A8F" w14:textId="5882F9C4" w:rsidR="006773CE" w:rsidRPr="007C0A44" w:rsidRDefault="006773CE" w:rsidP="006773CE">
      <w:pPr>
        <w:spacing w:before="360" w:after="120"/>
        <w:jc w:val="both"/>
        <w:rPr>
          <w:i/>
        </w:rPr>
      </w:pPr>
      <w:r>
        <w:rPr>
          <w:i/>
        </w:rPr>
        <w:t xml:space="preserve">Za zagotovitev informacij v tem oddelku glej oddelek 3.2.1.4 (točke 58–61) Smernic.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Potrdite, da bo država članica izpolnjevala zahteve glede preglednosti iz točk 58–61 Smernic.</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Navedite spletno povezavo, na kateri bodo objavljeni celotno besedilo odobrene sheme pomoči ali sklepa o dodelitvi individualne pomoči in njegovih izvedbenih določb ter informacije o vsaki individualni pomoči, dodeljeni </w:t>
      </w:r>
      <w:r>
        <w:rPr>
          <w:rFonts w:ascii="inherit" w:hAnsi="inherit"/>
          <w:i/>
        </w:rPr>
        <w:t>ad hoc</w:t>
      </w:r>
      <w:r>
        <w:rPr>
          <w:rFonts w:ascii="inherit" w:hAnsi="inherit"/>
        </w:rPr>
        <w:t xml:space="preserve"> ali na podlagi sheme pomoči, odobrene na podlagi Smernic, ki presega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Preprečevanje neupravičenih negativnih učinkov na konkurenco in trgovino ter test tehtanja</w:t>
            </w:r>
          </w:p>
        </w:tc>
      </w:tr>
    </w:tbl>
    <w:p w14:paraId="6C8D04A2" w14:textId="31215476" w:rsidR="009D6AD7" w:rsidRDefault="00F83660" w:rsidP="00757930">
      <w:pPr>
        <w:spacing w:before="360" w:after="120"/>
        <w:jc w:val="both"/>
      </w:pPr>
      <w:r>
        <w:rPr>
          <w:i/>
        </w:rPr>
        <w:t xml:space="preserve">Za zagotovitev informacij v tem oddelku glej oddelek 4.8.5 (točke 359–370) in oddelek 3.3 (točke 71–76) Smernic. </w:t>
      </w:r>
    </w:p>
    <w:p w14:paraId="289C641A" w14:textId="66B1FD1E" w:rsidR="002955E1" w:rsidRDefault="002955E1" w:rsidP="00AA5AF1">
      <w:pPr>
        <w:numPr>
          <w:ilvl w:val="0"/>
          <w:numId w:val="4"/>
        </w:numPr>
        <w:spacing w:after="240"/>
        <w:ind w:left="567" w:hanging="567"/>
        <w:jc w:val="both"/>
        <w:rPr>
          <w:i/>
          <w:color w:val="000000"/>
        </w:rPr>
      </w:pPr>
      <w:r>
        <w:rPr>
          <w:color w:val="000000"/>
        </w:rPr>
        <w:t>Za preverjanje skladnosti s točkami 359, 360 in 361 Smernic:</w:t>
      </w:r>
    </w:p>
    <w:p w14:paraId="3CDD8237" w14:textId="472E0A00" w:rsidR="005333EE" w:rsidRPr="00757930" w:rsidRDefault="00967292" w:rsidP="00B02BC1">
      <w:pPr>
        <w:numPr>
          <w:ilvl w:val="0"/>
          <w:numId w:val="66"/>
        </w:numPr>
        <w:spacing w:after="240"/>
        <w:ind w:left="1134" w:hanging="283"/>
        <w:jc w:val="both"/>
        <w:rPr>
          <w:i/>
          <w:color w:val="000000"/>
        </w:rPr>
      </w:pPr>
      <w:r>
        <w:lastRenderedPageBreak/>
        <w:t xml:space="preserve">dokažite (če to še ni bilo navedeno v odgovoru na vprašanje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zgoraj), da je pomoč načrtovana tako, da se ohranijo učinkovito delovanje trgov, učinkovite spodbude za poslovanje in cenovni signali;</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potrdite odsotnost spodbud za proizvodnjo energije, ki bi izpodrinila manj onesnažujoče oblike energije;</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navedite, ali ukrep vključuje plačila za zmogljivost (EUR na megavat (MW)) ali za proizvedeno električno energijo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Predložite dokazila, da ukrep izpolnjuje vse veljavne pogoje za zasnovo iz člena 22 Uredbe (EU) 2019/943 (točka 362 Smernic).</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 xml:space="preserve">Za strateške rezerve in vse druge ukrepe za zadostnost virov, vključno s </w:t>
      </w:r>
      <w:proofErr w:type="spellStart"/>
      <w:r>
        <w:rPr>
          <w:color w:val="000000"/>
        </w:rPr>
        <w:t>prekinljivimi</w:t>
      </w:r>
      <w:proofErr w:type="spellEnd"/>
      <w:r>
        <w:rPr>
          <w:color w:val="000000"/>
        </w:rPr>
        <w:t xml:space="preserve"> shemami, pri katerih se zmogljivost hrani zunaj trga, za preprečitev izkrivljanja oblikovanja tržnih cen v skladu s točko 363 Smernic dokažite, da so izpolnjeni naslednji kumulativni pogoji:</w:t>
      </w:r>
    </w:p>
    <w:p w14:paraId="6E1DA574" w14:textId="064EFA54" w:rsidR="005333EE" w:rsidRDefault="005333EE" w:rsidP="00560F07">
      <w:pPr>
        <w:numPr>
          <w:ilvl w:val="1"/>
          <w:numId w:val="59"/>
        </w:numPr>
        <w:spacing w:after="240"/>
        <w:ind w:left="1134" w:hanging="283"/>
        <w:jc w:val="both"/>
        <w:rPr>
          <w:color w:val="000000"/>
        </w:rPr>
      </w:pPr>
      <w:r>
        <w:rPr>
          <w:color w:val="000000"/>
        </w:rPr>
        <w:t xml:space="preserve">viri iz ukrepa se </w:t>
      </w:r>
      <w:proofErr w:type="spellStart"/>
      <w:r>
        <w:rPr>
          <w:color w:val="000000"/>
        </w:rPr>
        <w:t>dispečirajo</w:t>
      </w:r>
      <w:proofErr w:type="spellEnd"/>
      <w:r>
        <w:rPr>
          <w:color w:val="000000"/>
        </w:rPr>
        <w:t xml:space="preserve"> samo, če bi lahko operaterji prenosnih sistemov izčrpali svoje izravnalne vire za vzpostavitev ravnotežja med povpraševanjem in ponudbo;</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 xml:space="preserve">v bilančnem obračunskem intervalu, ko se </w:t>
      </w:r>
      <w:proofErr w:type="spellStart"/>
      <w:r>
        <w:rPr>
          <w:color w:val="000000"/>
        </w:rPr>
        <w:t>dispečirajo</w:t>
      </w:r>
      <w:proofErr w:type="spellEnd"/>
      <w:r>
        <w:rPr>
          <w:color w:val="000000"/>
        </w:rPr>
        <w:t xml:space="preserve"> viri iz ukrepa, se odstopanja na trgu poravnajo vsaj pri vrednosti nezadostnega napajanja ali pri vrednosti, ki je višja od tehnične omejitve cen znotraj dneva, kar koli od tega je višje;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 xml:space="preserve">proizvedena energija iz ukrepa po </w:t>
      </w:r>
      <w:proofErr w:type="spellStart"/>
      <w:r>
        <w:rPr>
          <w:color w:val="000000"/>
        </w:rPr>
        <w:t>dispečiranju</w:t>
      </w:r>
      <w:proofErr w:type="spellEnd"/>
      <w:r>
        <w:rPr>
          <w:color w:val="000000"/>
        </w:rPr>
        <w:t xml:space="preserve"> se pripiše bilančno odgovornim akterjem prek mehanizma za bilančni obračun;</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viri ne prejmejo plačila od veleprodajnega trga električne energije ali izravnalnih trgov;</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viri iz ukrepa so izločeni iz trgov z energijo vsaj v času trajanja pogodbenega obdobja.</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lastRenderedPageBreak/>
        <w:t>Za ukrepe za prezasedenost omrežja, pri katerih se viri hranijo zunaj trga, potrdite, da ti viri ne bodo prejeli plačila od veleprodajnega trga električne energije ali izravnalnih trgov in da bodo izločeni iz trgov z energijo vsaj v času trajanja pogodbenega obdobja (točka 364 Smernic).</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Za mehanizme za zmogljivost, ki niso strateške rezerve, v skladu s točko 365 Smernic dokažite, da ukrep:</w:t>
      </w:r>
    </w:p>
    <w:p w14:paraId="61F8EA90" w14:textId="77777777" w:rsidR="00560F07" w:rsidRDefault="005333EE" w:rsidP="00A864A9">
      <w:pPr>
        <w:numPr>
          <w:ilvl w:val="1"/>
          <w:numId w:val="68"/>
        </w:numPr>
        <w:spacing w:after="240"/>
        <w:ind w:left="1134" w:hanging="283"/>
        <w:jc w:val="both"/>
        <w:rPr>
          <w:color w:val="000000"/>
        </w:rPr>
      </w:pPr>
      <w:r>
        <w:rPr>
          <w:color w:val="000000"/>
        </w:rPr>
        <w:t>s svojo zasnovo zagotavlja, da se cena, plačana za razpoložljivost, samodejno približa ničli, kadar se pričakuje, da bo raven zagotovljene zmogljivosti zadostna za kritje potreb po zmogljivosti;</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sodelujočim virom plača samo za njihovo razpoložljivost in zagotovi, da plačilo ne vpliva na odločitve ponudnika zmogljivosti, ali naj proizvede električno energijo ali ne;</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zagotavlja, da so obveznosti glede zmogljivosti prenosljive med upravičenimi ponudniki zmogljivosti.</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Za preverjanje skladnosti s točko 366 Smernic dokažite, da ukrep ne bo: </w:t>
      </w:r>
    </w:p>
    <w:p w14:paraId="28CFD8B5" w14:textId="77777777" w:rsidR="00727DA8" w:rsidRDefault="005333EE" w:rsidP="00733013">
      <w:pPr>
        <w:numPr>
          <w:ilvl w:val="0"/>
          <w:numId w:val="73"/>
        </w:numPr>
        <w:spacing w:after="240"/>
        <w:jc w:val="both"/>
        <w:rPr>
          <w:color w:val="000000"/>
        </w:rPr>
      </w:pPr>
      <w:r>
        <w:rPr>
          <w:color w:val="000000"/>
        </w:rPr>
        <w:t>ustvarjal neupravičenih izkrivljanj trga ali omejeval trgovanja med območji;</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733013">
      <w:pPr>
        <w:numPr>
          <w:ilvl w:val="0"/>
          <w:numId w:val="73"/>
        </w:numPr>
        <w:spacing w:after="240"/>
        <w:jc w:val="both"/>
        <w:rPr>
          <w:color w:val="000000"/>
        </w:rPr>
      </w:pPr>
      <w:r>
        <w:rPr>
          <w:color w:val="000000"/>
        </w:rPr>
        <w:t>zmanjšal spodbud za naložbe v zmogljivost medsebojnih povezav, na primer z zmanjšanjem prihodkov od prezasedenosti za obstoječe ali nove povezovalne vode;</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733013">
      <w:pPr>
        <w:numPr>
          <w:ilvl w:val="0"/>
          <w:numId w:val="73"/>
        </w:numPr>
        <w:spacing w:after="240"/>
        <w:jc w:val="both"/>
        <w:rPr>
          <w:color w:val="000000"/>
        </w:rPr>
      </w:pPr>
      <w:r>
        <w:rPr>
          <w:color w:val="000000"/>
        </w:rPr>
        <w:t>ogrozil spajanja trgov, vključno s trgi znotraj dneva in izravnalnimi trgi;</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733013">
      <w:pPr>
        <w:numPr>
          <w:ilvl w:val="0"/>
          <w:numId w:val="73"/>
        </w:numPr>
        <w:spacing w:after="240"/>
        <w:jc w:val="both"/>
        <w:rPr>
          <w:color w:val="000000"/>
        </w:rPr>
      </w:pPr>
      <w:r>
        <w:rPr>
          <w:color w:val="000000"/>
        </w:rPr>
        <w:t>ogrozil odločitev o naložbah v zvezi z zmogljivostjo, sprejetih pred ukrepom.</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Za preverjanje skladnosti s točko 367 Smernic dokažite, da bodo stroške priglašenega ukrepa krili udeleženci na trgu, ki prispevajo k potrebi po ukrepu. </w:t>
      </w:r>
      <w:r>
        <w:t xml:space="preserve">Če menite, da taka </w:t>
      </w:r>
      <w:r>
        <w:lastRenderedPageBreak/>
        <w:t>dodelitev stroškov ni potrebna, pojasnite, zakaj je tako, in predložite dokaze, vključno z dokazi, zbranimi v javnem posvetovanju.</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V skladu</w:t>
      </w:r>
      <w:r>
        <w:t xml:space="preserve"> s točko 72 Smernic utemeljite skladnost priglašenega ukrepa z merili za </w:t>
      </w:r>
      <w:proofErr w:type="spellStart"/>
      <w:r>
        <w:t>okoljsko</w:t>
      </w:r>
      <w:proofErr w:type="spellEnd"/>
      <w:r>
        <w:t xml:space="preserve"> trajnostne gospodarske dejavnosti </w:t>
      </w:r>
      <w:r>
        <w:rPr>
          <w:shd w:val="clear" w:color="auto" w:fill="FFFFFF"/>
        </w:rPr>
        <w:t xml:space="preserve">iz </w:t>
      </w:r>
      <w:r>
        <w:t>člena 3 Uredbe (EU) 2020/852 Evropskega parlamenta in Sveta</w:t>
      </w:r>
      <w:r>
        <w:rPr>
          <w:rStyle w:val="FootnoteReference"/>
          <w:lang w:eastAsia="en-GB"/>
        </w:rPr>
        <w:footnoteReference w:id="10"/>
      </w:r>
      <w:r>
        <w:t xml:space="preserve">, </w:t>
      </w:r>
      <w:r>
        <w:rPr>
          <w:shd w:val="clear" w:color="auto" w:fill="FFFFFF"/>
        </w:rPr>
        <w:t>vključno z načelom, da se ne škoduje bistveno</w:t>
      </w:r>
      <w:r>
        <w:rPr>
          <w:rStyle w:val="FootnoteReference"/>
          <w:shd w:val="clear" w:color="auto" w:fill="FFFFFF"/>
        </w:rPr>
        <w:footnoteReference w:id="11"/>
      </w:r>
      <w:r>
        <w:rPr>
          <w:shd w:val="clear" w:color="auto" w:fill="FFFFFF"/>
        </w:rPr>
        <w:t>, ali iz drugih primerljivih metodologij.</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V skladu</w:t>
      </w:r>
      <w:r>
        <w:t xml:space="preserve"> s točko 75 Smernic v primerih, ko se država članica odloči za izvedbo konkurenčnega postopka zbiranja ponudb, pojasnite, ali priglašeni ukrep vključuje značilnosti za olajšanje udeležbe MSP ali skupnosti na področju energije iz obnovljivih virov v postopku. Če je odgovor pritrdilen, zagotovite informacije o navedenih značilnostih in utemeljite, kako pozitivni učinki zagotavljanja udeležbe in sprejemanja MSP v priglašenem ukrepu odtehtajo možne izkrivljajoče učinke.</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rPr>
          <w:color w:val="000000"/>
        </w:rPr>
        <w:t>Za</w:t>
      </w:r>
      <w:r>
        <w:t xml:space="preserve"> preverjanje skladnosti s točkami 368 in 369 Smernic:</w:t>
      </w:r>
    </w:p>
    <w:p w14:paraId="0D229619" w14:textId="5FC55C14" w:rsidR="000B0545" w:rsidRDefault="00C3175A" w:rsidP="00733013">
      <w:pPr>
        <w:pStyle w:val="ListParagraph"/>
        <w:numPr>
          <w:ilvl w:val="0"/>
          <w:numId w:val="74"/>
        </w:numPr>
        <w:spacing w:before="120" w:after="120"/>
        <w:contextualSpacing w:val="0"/>
        <w:jc w:val="both"/>
      </w:pPr>
      <w:r>
        <w:t xml:space="preserve">Če priglašeni ukrep spodbuja nove naložbe v najbolj onesnažujoča fosilna goriva, pojasnite, ali ukrep, vključno z ukrepi za prezasedenost omrežja in </w:t>
      </w:r>
      <w:proofErr w:type="spellStart"/>
      <w:r>
        <w:t>prekinljivimi</w:t>
      </w:r>
      <w:proofErr w:type="spellEnd"/>
      <w:r>
        <w:t xml:space="preserve"> shemami, spoštuje mejno vrednost emisij, ki se uporablja za mehanizme za zmogljivost iz člena 22 Uredbe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733013">
      <w:pPr>
        <w:pStyle w:val="ListParagraph"/>
        <w:numPr>
          <w:ilvl w:val="0"/>
          <w:numId w:val="74"/>
        </w:numPr>
      </w:pPr>
      <w:r>
        <w:t>Če priglašeni ukrep spodbuja nove naložbe v proizvodnjo energije na osnovi zemeljskega plina, pojasnite, kako se bo z ukrepom zagotovil prispevek k doseganju podnebnega cilja Unije za leto 2030 in cilja podnebne nevtralnosti do leta 2050. Predvsem pojasnite, kako bo ukrep preprečil učinek vezanosti na to opremo za proizvodnjo energije na plin ali proizvodnjo na plin.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Za</w:t>
      </w:r>
      <w:r>
        <w:rPr>
          <w:color w:val="333333"/>
          <w:shd w:val="clear" w:color="auto" w:fill="FFFFFF"/>
        </w:rPr>
        <w:t xml:space="preserve"> ukrepe individualne pomoči ali sheme pomoči, ki koristijo precej omejenemu številu upravičencev ali obstoječemu upravičencu, poleg tega dokažite, da predlagani ukrep pomoči ne bo povzročil večje tržne moči (točka 370 Smernic).</w:t>
      </w:r>
    </w:p>
    <w:p w14:paraId="642C246D" w14:textId="077B1239" w:rsidR="004B2EF3" w:rsidRDefault="004B2EF3" w:rsidP="004B2EF3">
      <w:pPr>
        <w:tabs>
          <w:tab w:val="left" w:leader="dot" w:pos="9072"/>
        </w:tabs>
        <w:spacing w:before="120" w:after="120"/>
        <w:ind w:left="567"/>
        <w:jc w:val="both"/>
      </w:pPr>
      <w:r>
        <w:lastRenderedPageBreak/>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Oddelek C: Ocenjevanje</w:t>
            </w:r>
          </w:p>
        </w:tc>
      </w:tr>
    </w:tbl>
    <w:p w14:paraId="78AC9B95" w14:textId="1FB76E7E" w:rsidR="00C33721" w:rsidRPr="0051324D" w:rsidRDefault="00C33721" w:rsidP="005C6138">
      <w:pPr>
        <w:tabs>
          <w:tab w:val="left" w:leader="dot" w:pos="9072"/>
        </w:tabs>
        <w:spacing w:before="120" w:after="120"/>
        <w:ind w:left="567"/>
        <w:jc w:val="both"/>
      </w:pPr>
      <w:r>
        <w:rPr>
          <w:i/>
        </w:rPr>
        <w:t>Za zagotovitev informacij v tem oddelku glej točko 76(a) in poglavje 5 (točke 455–463) Smernic.</w:t>
      </w:r>
    </w:p>
    <w:p w14:paraId="319011B2" w14:textId="6538C74F" w:rsidR="002F3E3B" w:rsidRDefault="002F3E3B" w:rsidP="00207312">
      <w:pPr>
        <w:numPr>
          <w:ilvl w:val="0"/>
          <w:numId w:val="4"/>
        </w:numPr>
        <w:spacing w:after="240"/>
        <w:ind w:left="567" w:hanging="567"/>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Če je predložen osnutek načrta ocenjevanja:</w:t>
      </w:r>
    </w:p>
    <w:p w14:paraId="2E38E9A8" w14:textId="77777777" w:rsidR="00237F5F" w:rsidRDefault="00237F5F" w:rsidP="005C0B39">
      <w:pPr>
        <w:numPr>
          <w:ilvl w:val="2"/>
          <w:numId w:val="57"/>
        </w:numPr>
        <w:ind w:left="1134" w:hanging="283"/>
      </w:pPr>
      <w:r>
        <w:t>v nadaljevanju predložite povzetek navedenega osnutka načrta ocenjevanja, vključenega v Prilogo;</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potrdite, da se bo pri tem upoštevala točka 460 Smernic;</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navedite datum in spletno povezavo, na kateri bo načrt ocenjevanja javno dostopen.</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Za</w:t>
      </w:r>
      <w:r>
        <w:t xml:space="preserve">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lastRenderedPageBreak/>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V skladu z določbami točke 461 Smernic:</w:t>
      </w:r>
    </w:p>
    <w:p w14:paraId="516B7EF0" w14:textId="6220BF62" w:rsidR="0012481A" w:rsidRDefault="00277BC0" w:rsidP="00733013">
      <w:pPr>
        <w:numPr>
          <w:ilvl w:val="0"/>
          <w:numId w:val="75"/>
        </w:numPr>
        <w:jc w:val="both"/>
      </w:pPr>
      <w:r>
        <w:t>pojasnite, ali je bil neodvisni strokovnjak že izbran ali bo izbran v prihodnosti;</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733013">
      <w:pPr>
        <w:numPr>
          <w:ilvl w:val="0"/>
          <w:numId w:val="75"/>
        </w:numPr>
        <w:jc w:val="both"/>
      </w:pPr>
      <w:r>
        <w:t>zagotovite informacije o postopku za izbiro strokovnjaka;</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733013">
      <w:pPr>
        <w:numPr>
          <w:ilvl w:val="0"/>
          <w:numId w:val="75"/>
        </w:numPr>
        <w:jc w:val="both"/>
      </w:pPr>
      <w:r>
        <w:t>utemeljite, kako je zagotovljena strokovnjakova neodvisnost od organa, ki dodeli pomoč.</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V skladu z določbami točke 461 Smernic:</w:t>
      </w:r>
    </w:p>
    <w:p w14:paraId="56904831" w14:textId="2B9E8697" w:rsidR="007F77C3" w:rsidRDefault="002C0264" w:rsidP="00733013">
      <w:pPr>
        <w:numPr>
          <w:ilvl w:val="0"/>
          <w:numId w:val="76"/>
        </w:numPr>
        <w:spacing w:before="24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733013">
      <w:pPr>
        <w:numPr>
          <w:ilvl w:val="0"/>
          <w:numId w:val="76"/>
        </w:numPr>
        <w:spacing w:before="240"/>
        <w:jc w:val="both"/>
      </w:pPr>
      <w:r>
        <w:t xml:space="preserve">Potrdite, da bosta vmesno in končno ocenjevalno poročilo objavljeni. Navedite datum in spletno povezavo, na kateri bosta navedeni poročili javno dostopni.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Oddelek D: Poročanje in spremljanje</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Za zagotovitev informacij v tem oddelku glej oddelek 6 (točki 464 in 465) Smernic.</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Potrdite</w:t>
      </w:r>
      <w:r>
        <w:t>, da bo država članica izpolnjevala zahteve glede poročanja in spremljanja iz oddelka 6, točki 464 in 465, Smernic.</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UL C 80, 18.2.2022, str. 1.</w:t>
      </w:r>
    </w:p>
  </w:footnote>
  <w:footnote w:id="3">
    <w:p w14:paraId="25384A16" w14:textId="699CB629" w:rsidR="00FA6EB5" w:rsidRPr="009F1C3C" w:rsidRDefault="00FA6EB5">
      <w:pPr>
        <w:pStyle w:val="FootnoteText"/>
      </w:pPr>
      <w:r>
        <w:rPr>
          <w:rStyle w:val="FootnoteReference"/>
        </w:rPr>
        <w:footnoteRef/>
      </w:r>
      <w:r>
        <w:tab/>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4">
    <w:p w14:paraId="3A3265CA" w14:textId="77777777" w:rsidR="00B22D69" w:rsidRPr="0067348B" w:rsidRDefault="00B22D69" w:rsidP="00B22D69">
      <w:pPr>
        <w:pStyle w:val="FootnoteText"/>
      </w:pPr>
      <w:r>
        <w:rPr>
          <w:rStyle w:val="FootnoteReference"/>
        </w:rPr>
        <w:footnoteRef/>
      </w:r>
      <w:r>
        <w:tab/>
        <w:t>Upoštevajte, da lahko sprememba dejanskega proračuna ali ocene proračuna pomeni spremembo pomoči, ki jo je treba na novo priglasiti.</w:t>
      </w:r>
    </w:p>
  </w:footnote>
  <w:footnote w:id="5">
    <w:p w14:paraId="590F3FC7" w14:textId="30CB4935" w:rsidR="00E55520" w:rsidRDefault="00E55520" w:rsidP="00821F07">
      <w:pPr>
        <w:pStyle w:val="FootnoteText"/>
      </w:pPr>
      <w:r>
        <w:rPr>
          <w:rStyle w:val="FootnoteReference"/>
        </w:rPr>
        <w:footnoteRef/>
      </w:r>
      <w:r>
        <w:tab/>
        <w:t>V skladu s točko 19(89) Smernic „standard Unije“ pomeni:</w:t>
      </w:r>
    </w:p>
    <w:p w14:paraId="340A0B20" w14:textId="77777777" w:rsidR="00E55520" w:rsidRPr="004B74BC" w:rsidRDefault="00E55520" w:rsidP="004B74BC">
      <w:pPr>
        <w:pStyle w:val="FootnoteText"/>
        <w:numPr>
          <w:ilvl w:val="0"/>
          <w:numId w:val="46"/>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02AC4E0B" w14:textId="14D21BDD" w:rsidR="00E55520" w:rsidRDefault="00E55520" w:rsidP="004B74BC">
      <w:pPr>
        <w:pStyle w:val="FootnoteText"/>
        <w:numPr>
          <w:ilvl w:val="0"/>
          <w:numId w:val="46"/>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6">
    <w:p w14:paraId="6598727F" w14:textId="2CE0C196" w:rsidR="00E55520" w:rsidRDefault="00E55520">
      <w:pPr>
        <w:pStyle w:val="FootnoteText"/>
      </w:pPr>
      <w:r>
        <w:rPr>
          <w:rStyle w:val="FootnoteReference"/>
        </w:rPr>
        <w:footnoteRef/>
      </w:r>
      <w:r>
        <w:tab/>
        <w:t>Upoštevajte, da opomba 42 Smernic določa naslednje: „Izogniti bi se bilo treba spodnjim ali zgornjim mejam cen, ki ogrožajo konkurenčni postopek z izpodkopavanjem načela sorazmernosti, tudi ob ničelni vrednosti.“.</w:t>
      </w:r>
    </w:p>
  </w:footnote>
  <w:footnote w:id="7">
    <w:p w14:paraId="7BF90FA8" w14:textId="77777777" w:rsidR="0003031C" w:rsidRPr="0095488F" w:rsidRDefault="0003031C" w:rsidP="0003031C">
      <w:pPr>
        <w:pStyle w:val="FootnoteText"/>
      </w:pPr>
      <w:r>
        <w:rPr>
          <w:rStyle w:val="FootnoteReference"/>
        </w:rPr>
        <w:footnoteRef/>
      </w:r>
      <w:r>
        <w:tab/>
        <w:t>Glej tudi dodatne informacije v točkah 51–53 ter opombah 45, 46 in 55 Smernic.</w:t>
      </w:r>
    </w:p>
  </w:footnote>
  <w:footnote w:id="8">
    <w:p w14:paraId="086AD512" w14:textId="7087BE19" w:rsidR="00E55520" w:rsidRDefault="00E55520">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9">
    <w:p w14:paraId="46FDB4C5" w14:textId="626320F5" w:rsidR="00E308B3" w:rsidRPr="004A1D89" w:rsidRDefault="00E308B3">
      <w:pPr>
        <w:pStyle w:val="FootnoteText"/>
      </w:pPr>
      <w:r>
        <w:rPr>
          <w:rStyle w:val="FootnoteReference"/>
        </w:rPr>
        <w:footnoteRef/>
      </w:r>
      <w:r>
        <w:tab/>
        <w:t>V skladu s točko 367 Smernic „[t]aka dodelitev stroškov morda ni potrebna, kadar država članica predloži analizo na podlagi dokazov, vključno z dokazi, pridobljenimi v okviru javnega posvetovanja, ki kaže, da bi taka dodelitev stroškov ogrozila stroškovno učinkovitost ukrepa ali povzročila resno izkrivljanje konkurence, ki bi očitno ogrožalo morebitne koristi take dodelitve stroškov“.</w:t>
      </w:r>
    </w:p>
  </w:footnote>
  <w:footnote w:id="10">
    <w:p w14:paraId="02AA3570" w14:textId="77777777" w:rsidR="00E55520" w:rsidRPr="008772CC" w:rsidRDefault="00E55520" w:rsidP="004B2EF3">
      <w:pPr>
        <w:pStyle w:val="FootnoteText"/>
      </w:pPr>
      <w:r>
        <w:rPr>
          <w:rStyle w:val="FootnoteReference"/>
        </w:rPr>
        <w:footnoteRef/>
      </w:r>
      <w:r>
        <w:t xml:space="preserve"> </w:t>
      </w:r>
      <w:r>
        <w:tab/>
        <w:t>Uredba (EU) 2020/852 Evropskega parlamenta in Sveta z dne 18. junija 2020 o vzpostavitvi okvira za spodbujanje trajnostnih naložb ter spremembi Uredbe (EU) 2019/2088 (UL L 198, 22.6.2020, str. 13).</w:t>
      </w:r>
    </w:p>
  </w:footnote>
  <w:footnote w:id="11">
    <w:p w14:paraId="56D0AFFA" w14:textId="77777777" w:rsidR="00E55520" w:rsidRDefault="00E55520" w:rsidP="004B2EF3">
      <w:pPr>
        <w:pStyle w:val="FootnoteText"/>
      </w:pPr>
      <w:r>
        <w:rPr>
          <w:rStyle w:val="FootnoteReference"/>
        </w:rPr>
        <w:footnoteRef/>
      </w:r>
      <w:r>
        <w:tab/>
        <w:t>Upoštevajte, da v skladu z opombo 50 Smernic velja naslednje: „Za ukrepe, ki so enaki ukrepom v okviru načrtov za okrevanje in odpornost, kot jih je odobril Svet, se šteje, da je njihova skladnost z načelom, da se ne škoduje bistveno, izpolnjena, saj je bilo to že preverjeno.“</w:t>
      </w:r>
    </w:p>
  </w:footnote>
  <w:footnote w:id="12">
    <w:p w14:paraId="4C240C5F" w14:textId="77777777" w:rsidR="002F3E3B" w:rsidRDefault="002F3E3B" w:rsidP="002F3E3B">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4EF40F2"/>
    <w:multiLevelType w:val="hybridMultilevel"/>
    <w:tmpl w:val="C094950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9"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7"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29"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BD500C"/>
    <w:multiLevelType w:val="hybridMultilevel"/>
    <w:tmpl w:val="C094950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522105A8"/>
    <w:multiLevelType w:val="hybridMultilevel"/>
    <w:tmpl w:val="C094950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4B00AA7"/>
    <w:multiLevelType w:val="hybridMultilevel"/>
    <w:tmpl w:val="C0949504"/>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8"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9"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0"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5"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6"/>
  </w:num>
  <w:num w:numId="2" w16cid:durableId="167333053">
    <w:abstractNumId w:val="21"/>
  </w:num>
  <w:num w:numId="3" w16cid:durableId="18915775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6"/>
  </w:num>
  <w:num w:numId="5" w16cid:durableId="21259982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5"/>
  </w:num>
  <w:num w:numId="7" w16cid:durableId="1226913539">
    <w:abstractNumId w:val="30"/>
  </w:num>
  <w:num w:numId="8" w16cid:durableId="599215065">
    <w:abstractNumId w:val="14"/>
  </w:num>
  <w:num w:numId="9" w16cid:durableId="2031644641">
    <w:abstractNumId w:val="12"/>
  </w:num>
  <w:num w:numId="10" w16cid:durableId="1092891155">
    <w:abstractNumId w:val="54"/>
  </w:num>
  <w:num w:numId="11" w16cid:durableId="1907104691">
    <w:abstractNumId w:val="57"/>
  </w:num>
  <w:num w:numId="12" w16cid:durableId="51199480">
    <w:abstractNumId w:val="55"/>
  </w:num>
  <w:num w:numId="13" w16cid:durableId="1976720153">
    <w:abstractNumId w:val="64"/>
  </w:num>
  <w:num w:numId="14" w16cid:durableId="1375690653">
    <w:abstractNumId w:val="26"/>
  </w:num>
  <w:num w:numId="15" w16cid:durableId="1240402151">
    <w:abstractNumId w:val="42"/>
  </w:num>
  <w:num w:numId="16" w16cid:durableId="975187432">
    <w:abstractNumId w:val="6"/>
  </w:num>
  <w:num w:numId="17" w16cid:durableId="1867600656">
    <w:abstractNumId w:val="45"/>
  </w:num>
  <w:num w:numId="18" w16cid:durableId="503472073">
    <w:abstractNumId w:val="1"/>
  </w:num>
  <w:num w:numId="19" w16cid:durableId="1784031062">
    <w:abstractNumId w:val="0"/>
  </w:num>
  <w:num w:numId="20" w16cid:durableId="1127046250">
    <w:abstractNumId w:val="50"/>
  </w:num>
  <w:num w:numId="21" w16cid:durableId="364795765">
    <w:abstractNumId w:val="5"/>
  </w:num>
  <w:num w:numId="22" w16cid:durableId="1439989596">
    <w:abstractNumId w:val="10"/>
  </w:num>
  <w:num w:numId="23" w16cid:durableId="1016275709">
    <w:abstractNumId w:val="24"/>
  </w:num>
  <w:num w:numId="24" w16cid:durableId="151063031">
    <w:abstractNumId w:val="32"/>
  </w:num>
  <w:num w:numId="25" w16cid:durableId="53816324">
    <w:abstractNumId w:val="19"/>
  </w:num>
  <w:num w:numId="26" w16cid:durableId="1693611213">
    <w:abstractNumId w:val="37"/>
  </w:num>
  <w:num w:numId="27" w16cid:durableId="97141827">
    <w:abstractNumId w:val="34"/>
  </w:num>
  <w:num w:numId="28" w16cid:durableId="1532382434">
    <w:abstractNumId w:val="27"/>
  </w:num>
  <w:num w:numId="29" w16cid:durableId="1511292187">
    <w:abstractNumId w:val="61"/>
  </w:num>
  <w:num w:numId="30" w16cid:durableId="1094087480">
    <w:abstractNumId w:val="47"/>
  </w:num>
  <w:num w:numId="31" w16cid:durableId="1749956519">
    <w:abstractNumId w:val="29"/>
  </w:num>
  <w:num w:numId="32" w16cid:durableId="1406995675">
    <w:abstractNumId w:val="51"/>
  </w:num>
  <w:num w:numId="33" w16cid:durableId="575825784">
    <w:abstractNumId w:val="58"/>
  </w:num>
  <w:num w:numId="34" w16cid:durableId="74860614">
    <w:abstractNumId w:val="2"/>
  </w:num>
  <w:num w:numId="35" w16cid:durableId="1221552042">
    <w:abstractNumId w:val="20"/>
  </w:num>
  <w:num w:numId="36" w16cid:durableId="1518229027">
    <w:abstractNumId w:val="59"/>
  </w:num>
  <w:num w:numId="37" w16cid:durableId="190800748">
    <w:abstractNumId w:val="17"/>
  </w:num>
  <w:num w:numId="38" w16cid:durableId="2027906088">
    <w:abstractNumId w:val="70"/>
  </w:num>
  <w:num w:numId="39" w16cid:durableId="651565310">
    <w:abstractNumId w:val="68"/>
  </w:num>
  <w:num w:numId="40" w16cid:durableId="451478627">
    <w:abstractNumId w:val="13"/>
  </w:num>
  <w:num w:numId="41" w16cid:durableId="1943682810">
    <w:abstractNumId w:val="9"/>
  </w:num>
  <w:num w:numId="42" w16cid:durableId="1139684406">
    <w:abstractNumId w:val="60"/>
  </w:num>
  <w:num w:numId="43" w16cid:durableId="347220594">
    <w:abstractNumId w:val="52"/>
  </w:num>
  <w:num w:numId="44" w16cid:durableId="1254241879">
    <w:abstractNumId w:val="69"/>
  </w:num>
  <w:num w:numId="45" w16cid:durableId="926157452">
    <w:abstractNumId w:val="8"/>
  </w:num>
  <w:num w:numId="46" w16cid:durableId="397703930">
    <w:abstractNumId w:val="33"/>
  </w:num>
  <w:num w:numId="47" w16cid:durableId="154996778">
    <w:abstractNumId w:val="71"/>
  </w:num>
  <w:num w:numId="48" w16cid:durableId="652297350">
    <w:abstractNumId w:val="40"/>
  </w:num>
  <w:num w:numId="49" w16cid:durableId="715154475">
    <w:abstractNumId w:val="63"/>
  </w:num>
  <w:num w:numId="50" w16cid:durableId="1946419233">
    <w:abstractNumId w:val="67"/>
  </w:num>
  <w:num w:numId="51" w16cid:durableId="566569310">
    <w:abstractNumId w:val="66"/>
  </w:num>
  <w:num w:numId="52" w16cid:durableId="677462353">
    <w:abstractNumId w:val="65"/>
  </w:num>
  <w:num w:numId="53" w16cid:durableId="1303728165">
    <w:abstractNumId w:val="46"/>
  </w:num>
  <w:num w:numId="54" w16cid:durableId="426387829">
    <w:abstractNumId w:val="4"/>
  </w:num>
  <w:num w:numId="55" w16cid:durableId="1522161043">
    <w:abstractNumId w:val="22"/>
  </w:num>
  <w:num w:numId="56" w16cid:durableId="825166992">
    <w:abstractNumId w:val="7"/>
  </w:num>
  <w:num w:numId="57" w16cid:durableId="2000887330">
    <w:abstractNumId w:val="3"/>
  </w:num>
  <w:num w:numId="58" w16cid:durableId="1227762633">
    <w:abstractNumId w:val="48"/>
  </w:num>
  <w:num w:numId="59" w16cid:durableId="404423481">
    <w:abstractNumId w:val="62"/>
  </w:num>
  <w:num w:numId="60" w16cid:durableId="325404697">
    <w:abstractNumId w:val="36"/>
  </w:num>
  <w:num w:numId="61" w16cid:durableId="962618137">
    <w:abstractNumId w:val="18"/>
  </w:num>
  <w:num w:numId="62" w16cid:durableId="1390108512">
    <w:abstractNumId w:val="23"/>
  </w:num>
  <w:num w:numId="63" w16cid:durableId="1938322388">
    <w:abstractNumId w:val="11"/>
  </w:num>
  <w:num w:numId="64" w16cid:durableId="55207693">
    <w:abstractNumId w:val="39"/>
  </w:num>
  <w:num w:numId="65" w16cid:durableId="1832794821">
    <w:abstractNumId w:val="44"/>
  </w:num>
  <w:num w:numId="66" w16cid:durableId="1959412921">
    <w:abstractNumId w:val="25"/>
  </w:num>
  <w:num w:numId="67" w16cid:durableId="513307716">
    <w:abstractNumId w:val="73"/>
  </w:num>
  <w:num w:numId="68" w16cid:durableId="196967872">
    <w:abstractNumId w:val="72"/>
  </w:num>
  <w:num w:numId="69" w16cid:durableId="1972441292">
    <w:abstractNumId w:val="31"/>
  </w:num>
  <w:num w:numId="70" w16cid:durableId="109515046">
    <w:abstractNumId w:val="31"/>
  </w:num>
  <w:num w:numId="71" w16cid:durableId="2031370701">
    <w:abstractNumId w:val="31"/>
  </w:num>
  <w:num w:numId="72" w16cid:durableId="127818530">
    <w:abstractNumId w:val="28"/>
  </w:num>
  <w:num w:numId="73" w16cid:durableId="699891149">
    <w:abstractNumId w:val="53"/>
  </w:num>
  <w:num w:numId="74" w16cid:durableId="1390153465">
    <w:abstractNumId w:val="15"/>
  </w:num>
  <w:num w:numId="75" w16cid:durableId="430124595">
    <w:abstractNumId w:val="41"/>
  </w:num>
  <w:num w:numId="76" w16cid:durableId="1087269800">
    <w:abstractNumId w:val="4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3013"/>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4726</Words>
  <Characters>29400</Characters>
  <Application>Microsoft Office Word</Application>
  <DocSecurity>0</DocSecurity>
  <Lines>683</Lines>
  <Paragraphs>286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3</cp:revision>
  <cp:lastPrinted>2024-05-22T14:05:00Z</cp:lastPrinted>
  <dcterms:created xsi:type="dcterms:W3CDTF">2024-08-29T09:58:00Z</dcterms:created>
  <dcterms:modified xsi:type="dcterms:W3CDTF">2024-09-11T16:05:00Z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