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Cuid III.6 </w:t>
            </w:r>
          </w:p>
          <w:p w14:paraId="1C239D2C" w14:textId="25225CC9" w:rsidR="000442F5" w:rsidRPr="009916D5" w:rsidRDefault="004569F7" w:rsidP="007B485D">
            <w:pPr>
              <w:pStyle w:val="Heading2"/>
              <w:spacing w:before="240" w:after="240"/>
              <w:jc w:val="center"/>
              <w:rPr>
                <w:sz w:val="32"/>
                <w:szCs w:val="32"/>
              </w:rPr>
            </w:pPr>
            <w:r>
              <w:rPr>
                <w:sz w:val="32"/>
              </w:rPr>
              <w:t>Bileog faisnéise forlíontaí (tugtha cothrom le dáta*) maidir le Státchabhair a dheonaítear faoi na Treoirlínte maidir le Státchabhair le haghaidh na haeráide, chosaint an chomhshaoil agus an fhuinnimh 2022 (CEEAG)</w:t>
            </w:r>
            <w:r>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Caibidil 4.8 – Cabhair le haghaidh shlándáil an tsoláthair leictreachais</w:t>
            </w:r>
          </w:p>
          <w:p w14:paraId="243D1A50" w14:textId="77777777" w:rsidR="004569F7" w:rsidRDefault="004569F7" w:rsidP="00A31B5C">
            <w:pPr>
              <w:jc w:val="center"/>
            </w:pPr>
          </w:p>
          <w:p w14:paraId="469DC4EF" w14:textId="68811B32" w:rsidR="004569F7" w:rsidRPr="00711243" w:rsidRDefault="004569F7" w:rsidP="00A75D17">
            <w:pPr>
              <w:numPr>
                <w:ilvl w:val="0"/>
                <w:numId w:val="32"/>
              </w:numPr>
            </w:pPr>
            <w:r>
              <w:rPr>
                <w:highlight w:val="yellow"/>
              </w:rPr>
              <w:t>nach bhfuil glactha go foirmiúil fós</w:t>
            </w:r>
          </w:p>
        </w:tc>
      </w:tr>
    </w:tbl>
    <w:p w14:paraId="5F26D476" w14:textId="0645BA6F" w:rsidR="000442F5" w:rsidRPr="00711243" w:rsidRDefault="000442F5" w:rsidP="000442F5">
      <w:pPr>
        <w:spacing w:before="120" w:after="120"/>
        <w:ind w:right="-142"/>
        <w:jc w:val="both"/>
        <w:rPr>
          <w:i/>
          <w:iCs/>
        </w:rPr>
      </w:pPr>
      <w:r>
        <w:rPr>
          <w:i/>
        </w:rPr>
        <w:t>Ní mór an fhoirm fógra seo a úsáid chun fógra a thabhairt faoi aon chabhair a chumhdaítear leis na Treoirlínte maidir le Státchabhair le haghaidh na haeráide, chosaint an chomhshaoil agus an fhuinnimh 2022 (dá ngairtear ‘CEEAG’ anseo feasta).</w:t>
      </w:r>
    </w:p>
    <w:p w14:paraId="1B60656B" w14:textId="00968BE9" w:rsidR="009E2EA1" w:rsidRPr="00711243" w:rsidRDefault="0072538B" w:rsidP="009E2EA1">
      <w:pPr>
        <w:spacing w:before="120" w:after="120"/>
        <w:ind w:right="-142"/>
        <w:jc w:val="both"/>
        <w:rPr>
          <w:i/>
          <w:iCs/>
        </w:rPr>
      </w:pPr>
      <w:r>
        <w:rPr>
          <w:i/>
        </w:rPr>
        <w:t xml:space="preserve">Baineann an fhoirm fógra seo le bearta a chumhdaítear i gCaibidil 4.8 CEEAG. Má áirítear san fhógra bearta a chumhdaítear i níos mó ná caibidil amháin CEEAG, líon isteach freisin an fhoirm fógra a bhaineann leis an gcaibidil CEEAG lena mbaineann. </w:t>
      </w:r>
    </w:p>
    <w:p w14:paraId="05E36007" w14:textId="57A7067D" w:rsidR="009E2EA1" w:rsidRPr="00711243" w:rsidRDefault="009E2EA1" w:rsidP="009E2EA1">
      <w:pPr>
        <w:spacing w:before="120" w:after="120"/>
        <w:ind w:right="-142"/>
        <w:jc w:val="both"/>
        <w:rPr>
          <w:i/>
          <w:iCs/>
        </w:rPr>
      </w:pPr>
      <w:r>
        <w:rPr>
          <w:i/>
        </w:rPr>
        <w:t>Na doiciméid uile a sholáthraíonn na Ballstáit mar iarscríbhinní a ghabhann leis an bhfoirm fógra, ní mór iad a bheith uimhrithe agus ní mór uimhreacha doiciméid a bheith léirithe sna ranna ábhartha den fhoirm fógra seo.</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Roinn A: Achoimre ar phríomh-shaintréithe an bhirt/na mbeart a dtugtar fógra ina leith</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Cúlra agus cuspóir/cuspóirí an bhirt/na mbeart a dtugtar fógra ina leith.</w:t>
      </w:r>
    </w:p>
    <w:p w14:paraId="1FADA2B1" w14:textId="573EB419" w:rsidR="00FA0034" w:rsidRPr="00FA0034" w:rsidRDefault="004569F7" w:rsidP="00A75D17">
      <w:pPr>
        <w:numPr>
          <w:ilvl w:val="0"/>
          <w:numId w:val="33"/>
        </w:numPr>
        <w:spacing w:before="120" w:after="120"/>
        <w:ind w:left="993" w:hanging="142"/>
        <w:jc w:val="both"/>
      </w:pPr>
      <w:r>
        <w:t xml:space="preserve">Más rud é nár pléadh iad cheana féin faoi roinn 5.2 den Fhoirm Faisnéise Ginearálta (Cuid I), déan cur síos ar chúlra agus príomhchuspóir an bhirt.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A75D17">
      <w:pPr>
        <w:numPr>
          <w:ilvl w:val="0"/>
          <w:numId w:val="33"/>
        </w:numPr>
        <w:ind w:left="993" w:hanging="142"/>
        <w:rPr>
          <w:szCs w:val="24"/>
        </w:rPr>
      </w:pPr>
      <w:r>
        <w:t xml:space="preserve">Sonraigh aon chuspóir eile atá á shaothrú leis an mbeart. I gcás aon chuspóir nach mbaineann le slándáil an tsoláthair leictreachais nó le cosaint an chomhshaoil, mínigh cé acu a d’fhéadfadh nó nach bhféadfadh aon saobhadh ar an margadh inmheánach a bheith mar thoradh air.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Teacht i bhfeidhm agus fad</w:t>
      </w:r>
      <w:r>
        <w:t>:</w:t>
      </w:r>
    </w:p>
    <w:p w14:paraId="3951E532" w14:textId="5BB35D03" w:rsidR="00FD5F79" w:rsidRPr="00FA6EB5" w:rsidRDefault="00FA6EB5" w:rsidP="00A75D17">
      <w:pPr>
        <w:numPr>
          <w:ilvl w:val="0"/>
          <w:numId w:val="37"/>
        </w:numPr>
        <w:rPr>
          <w:szCs w:val="24"/>
        </w:rPr>
      </w:pPr>
      <w:r>
        <w:t>A mhéid nár soláthraíodh cheana faoi roinn 5.5 den Fhoirm Faisnéise Ginearálta (Cuid I), sonraigh an dáta óna bhfuil sé beartaithe go dtiocfaidh an beart/na bearta i bhfeidhm;</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A75D17">
      <w:pPr>
        <w:pStyle w:val="ListParagraph"/>
        <w:numPr>
          <w:ilvl w:val="0"/>
          <w:numId w:val="37"/>
        </w:numPr>
        <w:spacing w:after="240"/>
        <w:ind w:left="993" w:hanging="142"/>
        <w:jc w:val="both"/>
        <w:rPr>
          <w:szCs w:val="24"/>
        </w:rPr>
      </w:pPr>
      <w:r>
        <w:t>Sonraigh fad an bhirt/na mbeart</w:t>
      </w:r>
      <w:r>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Tairbhí/tairbhithe</w:t>
      </w:r>
      <w:r>
        <w:tab/>
      </w:r>
    </w:p>
    <w:p w14:paraId="0B353EA4" w14:textId="460FB4A4" w:rsidR="00BC5DDD" w:rsidRPr="00F35B92" w:rsidRDefault="00F35B92" w:rsidP="00A75D17">
      <w:pPr>
        <w:numPr>
          <w:ilvl w:val="0"/>
          <w:numId w:val="20"/>
        </w:numPr>
        <w:ind w:left="993" w:hanging="142"/>
        <w:rPr>
          <w:szCs w:val="24"/>
        </w:rPr>
      </w:pPr>
      <w:r>
        <w:t>Mura bhfuil sé curtha ar fáil cheana faoi roinn 3 den Fhoirm Faisnéise Ginearálta (Cuid I), tabhair tuairisc ar thairbhí (féideartha) an bhirt/na mbeart.</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A75D17">
      <w:pPr>
        <w:numPr>
          <w:ilvl w:val="0"/>
          <w:numId w:val="20"/>
        </w:numPr>
        <w:ind w:left="993" w:hanging="142"/>
        <w:rPr>
          <w:szCs w:val="24"/>
        </w:rPr>
      </w:pPr>
      <w:r>
        <w:t>Sonraigh suíomh an tairbhí/na dtairbhithe (i.e. mura bhfuil ach eintitis eacnamaíocha atá lonnaithe sna Ballstáit lena mbaineann nó i mBallstáit eile freisin incháilithe chun páirt a ghlacadh sa bheart).</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A75D17">
      <w:pPr>
        <w:numPr>
          <w:ilvl w:val="0"/>
          <w:numId w:val="20"/>
        </w:numPr>
        <w:ind w:left="993" w:hanging="142"/>
        <w:rPr>
          <w:szCs w:val="24"/>
        </w:rPr>
      </w:pPr>
      <w:r>
        <w:t xml:space="preserve">Chun measúnú a dhéanamh ar chomhlíonadh phointe 15 CEEAG, sonraigh an ndeonaítear cabhair faoin mbeart i bhfabhar gnóthas (duine aonair nó cuid de scéim) atá faoi réir ordú gnóthaithe gan íoc tar éis cinneadh roimhe sin ón gCoimisiún lena ndearbhaítear go bhfuil cabhair neamhdhleathach agus neamh‐chomhoiriúnach leis an margadh inmheánach.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lastRenderedPageBreak/>
        <w:t xml:space="preserve">I gcás deimhneach, tabhair faisnéis maidir leis an méid cabhrach atá fós le haisghabháil ionas go gcuirfidh an Coimisiún san áireamh é sa mheasúnú ar an mbeart a dtugtar fógra ina leith.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Deimhnigh nach mbaineann an beart/na bearta le cabhair le haghaidh gníomhaíochtaí nach dtagann faoi raon feidhme chur i bhfeidhm CEEAG (féach pointe 13 CEEAG). Murab amhlaidh, tabhair sonraí.</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Buiséad</w:t>
      </w:r>
    </w:p>
    <w:p w14:paraId="52B28A95" w14:textId="51E3B41D" w:rsidR="00115C85" w:rsidRPr="00B22D69" w:rsidRDefault="00B22D69" w:rsidP="00A75D17">
      <w:pPr>
        <w:pStyle w:val="ListParagraph"/>
        <w:numPr>
          <w:ilvl w:val="0"/>
          <w:numId w:val="21"/>
        </w:numPr>
        <w:spacing w:before="120" w:after="120"/>
        <w:ind w:left="993" w:hanging="284"/>
        <w:contextualSpacing w:val="0"/>
        <w:jc w:val="both"/>
        <w:rPr>
          <w:rFonts w:cs="Arial Unicode MS"/>
          <w:bCs/>
        </w:rPr>
      </w:pPr>
      <w: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n-áirítear na toimhdí a úsáideadh chun an buiséad measta lena mbaineann a ríomh.</w:t>
      </w:r>
      <w:r>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Roinn B: Measúnú comhoiriúnachta ar an gcabhair</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A75D17">
            <w:pPr>
              <w:pStyle w:val="Heading1"/>
              <w:numPr>
                <w:ilvl w:val="0"/>
                <w:numId w:val="22"/>
              </w:numPr>
              <w:rPr>
                <w:i/>
                <w:sz w:val="28"/>
                <w:szCs w:val="28"/>
              </w:rPr>
            </w:pPr>
            <w:r>
              <w:rPr>
                <w:i/>
                <w:sz w:val="28"/>
              </w:rPr>
              <w:t>Coinníoll dearfach: ní mór forbairt gníomhaíochta eacnamaíche a éascú leis an gcabhair</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A75D17">
            <w:pPr>
              <w:pStyle w:val="Heading1"/>
              <w:numPr>
                <w:ilvl w:val="1"/>
                <w:numId w:val="22"/>
              </w:numPr>
              <w:rPr>
                <w:sz w:val="24"/>
                <w:szCs w:val="24"/>
              </w:rPr>
            </w:pPr>
            <w:r>
              <w:rPr>
                <w:sz w:val="24"/>
              </w:rPr>
              <w:t>Rannchuidiú le forbairt gníomhaíochta eacnamaíche</w:t>
            </w:r>
          </w:p>
        </w:tc>
      </w:tr>
    </w:tbl>
    <w:p w14:paraId="1E2599D2" w14:textId="044F1BE7" w:rsidR="000442F5" w:rsidRPr="00DB40A5" w:rsidRDefault="000442F5" w:rsidP="000442F5">
      <w:pPr>
        <w:spacing w:before="360" w:after="120"/>
        <w:jc w:val="both"/>
        <w:rPr>
          <w:i/>
        </w:rPr>
      </w:pPr>
      <w:r>
        <w:rPr>
          <w:i/>
        </w:rPr>
        <w:t xml:space="preserve">Chun an fhaisnéis sa roinn seo a sholáthar, féach roinn 3.1.1 (pointí 23-25) agus </w:t>
      </w:r>
      <w:r>
        <w:rPr>
          <w:i/>
          <w:color w:val="000000"/>
        </w:rPr>
        <w:t>ranna 4.8.1 agus 4.8.2) (pointí 325-328)</w:t>
      </w:r>
      <w:r>
        <w:rPr>
          <w:i/>
        </w:rPr>
        <w:t xml:space="preserve"> CEEAG.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Le hAirteagal 107(3)(c) den Chonradh ar Fheidhmiú an Aontais Eorpaigh (CFAE) foráiltear go bhféadfaidh an Coimisiún a dhearbhú go bhfuil cabhair áirithe comhoiriúnach, is é sin ‘</w:t>
      </w:r>
      <w:r>
        <w:rPr>
          <w:i/>
        </w:rPr>
        <w:t>cabhair chun forbairt ghníomhaíochtaí eacnamaíocha áirithe nó limistéar eacnamaíoch áirithe a éascú, nuair nach n‑athraíonn an chabhair sin dálaí trádála an oiread go mbeadh dochar ann don leas coiteann</w:t>
      </w:r>
      <w:r>
        <w:t xml:space="preserve">’. Dá bhrí sin, le cabhair chomhoiriúnach faoin bhforáil sin den CFAE ní mór rannchuidiú le forbairt gníomhaíochta eacnamaíche áirithe. </w:t>
      </w:r>
    </w:p>
    <w:p w14:paraId="78AC4A6E" w14:textId="5DA81B01" w:rsidR="00EE2FCC" w:rsidRPr="00864DCD" w:rsidRDefault="00EE56DD" w:rsidP="00EE56DD">
      <w:pPr>
        <w:pStyle w:val="ListParagraph"/>
        <w:spacing w:before="120" w:after="120"/>
        <w:ind w:left="567"/>
        <w:contextualSpacing w:val="0"/>
        <w:jc w:val="both"/>
      </w:pPr>
      <w:r>
        <w:t>Chun measúnú a dhéanamh ar chomhlíonadh phointe 23 CEEAG, sainaithin na gníomhaíochtaí eacnamaíocha a éascófar mar thoradh ar an gcabhair agus conas a thacaítear le forbairt na ngníomhaíochtaí sin. Soláthraítear samplaí de ghníomhaíochtaí eacnamaíocha den sórt sin i bpointe 328 CEEAG a bhaineann le bearta atá dírithe ar shlándáil an tsoláthair leictreachais a neartú.</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Chun measúnú a dhéanamh ar chomhlíonadh phointe 25 CEEAG, ‘</w:t>
      </w:r>
      <w:r>
        <w:rPr>
          <w:i/>
        </w:rPr>
        <w:t>tabhair tuairisc ar cibé acu a rannchuideoidh leis an gcabhair le cuspóirí bheartas aeráide, bheartas comhshaoil agus bheartas fuinnimh an Aontais a bhaint amach agus conas a dhéanfar sin, agus, go háirithe, tairbhí na cabhrach a bhfuiltear ag súil leo ó thaobh cur ar bhealach suntasach le cosaint an chomhshaoil, lena n-áirítear maolú ar an athrú aeráide, nó feidhmiú éifeachtúil an mhargaidh inmheánaigh fuinnimh.</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Tabhair tuairisc ar na ceanglais is infheidhme maidir leis an tairbhí/na tairbhithe (mar shampla trí aon cheanglas teicniúil, comhshaoil (i.e. ceadanna), airgeadais (i.e. comhthaobhachtaí) nó aon cheanglas eile is gá don tairbhí/do na tairbhithe a chomhlíonadh a áireamh).</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Tabhair faisnéis maidir le réasúnaíocht an bhirt, mar a fhoráiltear i roinn 4.8.1. (pointe 325) CEEAG.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Tabhair faisnéis maidir le raon feidhme an bhirt, mar a fhoráiltear i roinn 4.8.2. (pointe 326-327) CEEAG.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A75D17">
            <w:pPr>
              <w:pStyle w:val="Heading1"/>
              <w:numPr>
                <w:ilvl w:val="1"/>
                <w:numId w:val="22"/>
              </w:numPr>
              <w:rPr>
                <w:sz w:val="24"/>
                <w:szCs w:val="24"/>
              </w:rPr>
            </w:pPr>
            <w:r>
              <w:rPr>
                <w:sz w:val="24"/>
              </w:rPr>
              <w:t>Éifeacht dreasachta</w:t>
            </w:r>
          </w:p>
        </w:tc>
      </w:tr>
    </w:tbl>
    <w:p w14:paraId="20915284" w14:textId="14126DC4" w:rsidR="00015E2B" w:rsidRPr="00A05235" w:rsidRDefault="00B15313" w:rsidP="00015E2B">
      <w:pPr>
        <w:spacing w:before="360" w:after="120"/>
        <w:jc w:val="both"/>
        <w:rPr>
          <w:i/>
        </w:rPr>
      </w:pPr>
      <w:r>
        <w:rPr>
          <w:i/>
        </w:rPr>
        <w:t xml:space="preserve">Chun an fhaisnéis sa roinn seo a sholáthar, féach pointe 329 agus roinn 3.1.2 (pointí 29, 30, 31 agus 32) CEEAG.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Chun chomhlíonadh phointí 29 agus 31 CEEAG a léiriú, déan an méid seo a leanas:</w:t>
      </w:r>
    </w:p>
    <w:p w14:paraId="48499390" w14:textId="47E7D7F7" w:rsidR="006445C3" w:rsidRPr="00471B74" w:rsidRDefault="00677805" w:rsidP="00A75D17">
      <w:pPr>
        <w:pStyle w:val="ListParagraph"/>
        <w:numPr>
          <w:ilvl w:val="0"/>
          <w:numId w:val="23"/>
        </w:numPr>
        <w:spacing w:before="120" w:after="120"/>
        <w:ind w:left="993" w:hanging="284"/>
        <w:contextualSpacing w:val="0"/>
        <w:jc w:val="both"/>
      </w:pPr>
      <w:r>
        <w:t>Deimhnigh nár cuireadh tús leis na hoibreacha ar an tionscadal nó ar an ngníomhaíocht sula ndearna an tairbhí iarratas i scríbhinn ar chabhair chuig na húdaráis náisiúnta;</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rPr>
          <w:i/>
        </w:rPr>
        <w:t>NÓ</w:t>
      </w:r>
    </w:p>
    <w:p w14:paraId="0252AF86" w14:textId="2507B978" w:rsidR="000442F5" w:rsidRPr="00F53942" w:rsidRDefault="008514DC" w:rsidP="00A75D17">
      <w:pPr>
        <w:pStyle w:val="ListParagraph"/>
        <w:numPr>
          <w:ilvl w:val="0"/>
          <w:numId w:val="23"/>
        </w:numPr>
        <w:spacing w:before="120" w:after="120"/>
        <w:ind w:left="993" w:hanging="284"/>
        <w:contextualSpacing w:val="0"/>
        <w:jc w:val="both"/>
      </w:pPr>
      <w:r>
        <w:t xml:space="preserve">I gcás tionscadail ar cuireadh tús leo roimh an iarratas ar chabhair, léirigh go dtagann an tionscadal faoi cheann de na cásanna eisceachtúla dá bhforáiltear i bpointe 31 CEEAG ((a), (b) nó (c)).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Chun comhlíonadh phointe 30 CEEAG a léiriú, deimhnigh go n-áirítear an méid seo a leanas ar a laghad san iarratas ar chabhair: ainm an iarratasóra, tuairisc ar an tionscadal nó ar an ngníomhaíocht, lena n-áirítear a suíomh, agus an méid cabhrach is gá chun an tionscadal nó an ghníomhaíocht a dhéanamh.</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Chun comhlíonadh phointe 32 CEEAG a léiriú, sonraigh an bhfuil caighdeáin an Aontais</w:t>
      </w:r>
      <w:r>
        <w:rPr>
          <w:rStyle w:val="FootnoteReference"/>
          <w:lang w:val="en-IE" w:eastAsia="en-GB"/>
        </w:rPr>
        <w:footnoteReference w:id="5"/>
      </w:r>
      <w:r>
        <w:t xml:space="preserve"> infheidhme maidir leis an mbeart a dtugtar fógra ina leith, caighdeáin náisiúnta shainordaitheacha atá níos déine nó níos uaillmhianaí ná caighdeáin chomhfhreagracha an Aontais, nó caighdeáin náisiúnta shainordaitheacha arna nglacadh in éagmais chaighdeáin an Aontais. Sa chomhthéacs sin, tabhair faisnéis chun an éifeacht dreasachta a léiriú.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 xml:space="preserve">I gcásanna inar glacadh caighdeán ábhartha an Aontais cheana ach nach bhfuil sé i bhfeidhm go fóill, léirigh go bhfuil éifeacht dreasachta ag an gcabhair toisc go </w:t>
      </w:r>
      <w:r>
        <w:lastRenderedPageBreak/>
        <w:t>ndreasaíonn sé an infheistíocht atá le cur chun feidhme agus le tabhairt i gcrích ar a laghad 18 mí sula dtiocfaidh an caighdeán i bhfeidhm.</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A75D17">
            <w:pPr>
              <w:pStyle w:val="Heading1"/>
              <w:numPr>
                <w:ilvl w:val="1"/>
                <w:numId w:val="22"/>
              </w:numPr>
              <w:rPr>
                <w:sz w:val="24"/>
                <w:szCs w:val="24"/>
              </w:rPr>
            </w:pPr>
            <w:r>
              <w:rPr>
                <w:sz w:val="24"/>
              </w:rPr>
              <w:t>Gan sárú ar aon fhoráil ábhartha de dhlí an Aontais</w:t>
            </w:r>
          </w:p>
        </w:tc>
      </w:tr>
    </w:tbl>
    <w:p w14:paraId="665FE026" w14:textId="7D0593B2" w:rsidR="00DE1D68" w:rsidRDefault="00DE1D68" w:rsidP="00DE1D68">
      <w:pPr>
        <w:spacing w:before="360" w:after="120"/>
        <w:jc w:val="both"/>
        <w:rPr>
          <w:i/>
        </w:rPr>
      </w:pPr>
      <w:r>
        <w:rPr>
          <w:i/>
        </w:rPr>
        <w:t xml:space="preserve">Chun an fhaisnéis sa roinn seo a sholáthar, féach roinn 3.1.3 (pointe 33 CEEAG).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Tabhair faisnéis chun comhlíonadh fhorálacha ábhartha dhlí an Aontais a dheimhniú, i gcomhréir le pointe 33 CEEAG (e.g. féach ceist </w:t>
      </w:r>
      <w:r>
        <w:rPr>
          <w:highlight w:val="yellow"/>
        </w:rPr>
        <w:fldChar w:fldCharType="begin"/>
      </w:r>
      <w:r>
        <w:instrText xml:space="preserve"> REF _Ref169096013 \r \h </w:instrText>
      </w:r>
      <w:r>
        <w:rPr>
          <w:highlight w:val="yellow"/>
        </w:rPr>
      </w:r>
      <w:r>
        <w:rPr>
          <w:highlight w:val="yellow"/>
        </w:rPr>
        <w:fldChar w:fldCharType="separate"/>
      </w:r>
      <w:r>
        <w:t>49</w:t>
      </w:r>
      <w:r>
        <w:rPr>
          <w:highlight w:val="yellow"/>
        </w:rPr>
        <w:fldChar w:fldCharType="end"/>
      </w:r>
      <w:r>
        <w:t xml:space="preserve"> maidir le comhlíonadh Rialachán (AE)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Má úsáidtear tobhach chun an beart/na bearta a mhaoiniú (féach ceist 54 thíos), soiléirigh an méid seo a leanas:</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an ngearrtar an tobhach go cothrom ar tháirgí intíre agus allmhairithe;</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an rachaidh an beart a dtugtar fógra ina leith chun tairbhe go cothrom do tháirgí intíre agus do tháirgí a allmhairítear.</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A75D17">
            <w:pPr>
              <w:pStyle w:val="Heading1"/>
              <w:numPr>
                <w:ilvl w:val="0"/>
                <w:numId w:val="22"/>
              </w:numPr>
              <w:rPr>
                <w:i/>
                <w:color w:val="000000"/>
                <w:sz w:val="28"/>
                <w:szCs w:val="28"/>
              </w:rPr>
            </w:pPr>
            <w:r>
              <w:rPr>
                <w:i/>
                <w:color w:val="000000"/>
                <w:sz w:val="28"/>
              </w:rPr>
              <w:t>Coinníoll diúltach: ní féidir leis an gcabhair difear míchuí a dhéanamh do choinníollacha trádála a mhéid is go mbeadh dochar ann don leas coiteann</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Íoslaghdú ar shaobhadh iomaíochta agus trádála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A75D17">
            <w:pPr>
              <w:pStyle w:val="Heading1"/>
              <w:numPr>
                <w:ilvl w:val="2"/>
                <w:numId w:val="22"/>
              </w:numPr>
              <w:rPr>
                <w:color w:val="000000"/>
                <w:sz w:val="24"/>
                <w:szCs w:val="24"/>
              </w:rPr>
            </w:pPr>
            <w:r>
              <w:rPr>
                <w:color w:val="000000"/>
                <w:sz w:val="24"/>
              </w:rPr>
              <w:t>Riachtanas na cabhrach</w:t>
            </w:r>
          </w:p>
        </w:tc>
      </w:tr>
    </w:tbl>
    <w:p w14:paraId="3C23674F" w14:textId="79C4B802" w:rsidR="00663008" w:rsidRPr="00F83660" w:rsidRDefault="00663008" w:rsidP="00663008">
      <w:pPr>
        <w:spacing w:before="360" w:after="120"/>
        <w:jc w:val="both"/>
        <w:rPr>
          <w:i/>
          <w:color w:val="000000"/>
        </w:rPr>
      </w:pPr>
      <w:r>
        <w:rPr>
          <w:i/>
          <w:color w:val="000000"/>
        </w:rPr>
        <w:t xml:space="preserve">Chun </w:t>
      </w:r>
      <w:r>
        <w:rPr>
          <w:i/>
        </w:rPr>
        <w:t xml:space="preserve">an fhaisnéis </w:t>
      </w:r>
      <w:r>
        <w:rPr>
          <w:i/>
          <w:color w:val="000000"/>
        </w:rPr>
        <w:t xml:space="preserve">sa roinn seo a sholáthar, féach roinn 4.8.4.1 (pointí 331-339 CEEAG).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Maidir le cineál na faidhbe faoi shlándáil an soláthar leictreachais agus na cúiseanna atá leis an bhfadhb sin, agus dá bhrí sin an gá atá le státchabhair chun slándáil an tsoláthair leictreachais a áirithiú, foráiltear le pointe 331 CEEAG nach mór iad sin a anailísiú agus a chainníochtú i gceart, lena n-áirítear cathain agus cén áit a bhfuil coinne leis go dtiocfaidh an fhadhb chun cinn, agus tagairt á déanamh, i gcás inarb infheidhme, don chaighdeán iontaofachta mar a shainmhínítear in Airteagal 25 de Rialachán (AE) 2019/943.</w:t>
      </w:r>
      <w:bookmarkEnd w:id="4"/>
    </w:p>
    <w:p w14:paraId="1ABC600C" w14:textId="174FCB8E" w:rsidR="00CD4EC7" w:rsidRDefault="00DD7F4B" w:rsidP="00A32872">
      <w:pPr>
        <w:pStyle w:val="ListParagraph"/>
        <w:spacing w:before="120" w:after="120"/>
        <w:ind w:left="567"/>
        <w:contextualSpacing w:val="0"/>
        <w:jc w:val="both"/>
      </w:pPr>
      <w:r>
        <w:t xml:space="preserve">Tabhair anailís lena sainaithnítear agus lena gcainníochtaítear an fhadhb maidir le slándáil an tsoláthair leictreachais. Sa fhreagra, cuir sonraí ar fáil i bhfianaise na ngnéithe a leagtar amach i bpointí 331-333 CEEAG.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I gcomhréir le pointe 334 CEEAG agus i gcás bearta a bhaineann le riosca géarchéimeanna leictreachais, tabhair an plean náisiúnta maidir le riosca-ullmhacht dá bhforáiltear in Airteagal 11 de Rialachán (AE) 2019/941 inar cheart an beart atá beartaithe a shainaithint.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I gcomhréir le pointe 335 CEEAG agus i gcás ina moltar roinnt beart a thabhairt isteach lena ndíreofar ar shlándáil an tsoláthair leictreachais, tabhair míniú soiléir ar an gcaoi a n-idirghníomhaíonn siad le chéile maidir le cost-éifeachtúlacht fhoriomlán na mbeart comhcheangailte lena mbaineann slándáil an tsoláthair a áirithiú, mar shampla a mhéid a bhaineann le sásraí acmhainneachta, trí mhíniú a thabhairt ar an gcaoi a mbaineann siad amach (ach nach dtéann siad thar) an caighdeán iontaofachta dá dtagraítear i bpointe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I gcomhréir le pointe 336 CEEAG, sainaithin an cliseadh/na clistí rialála nó margaidh, mar aon le haon saincheist eile lena gcoisctear leibhéal leordhóthanach shlándáil an tsoláthair leictreachais (agus cosaint an chomhshaoil más ábhartha) a bhaint amach in éagmais idirghabhála.</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I gcomhréir le pointe 337 CEEAG, sainaithin bearta atá ann cheana lena ndírítear cheana féin ar an gcliseadh/ar na clistí margaidh nó rialála nó ar shaincheisteanna eile a shainaithnítear i bpointe 336. A mhéid is cuí, féadfaidh tú tagairt a dhéanamh don fhianaise a cuireadh ar fáil cheana mar fhreagra ar an gceist </w:t>
      </w:r>
      <w:r>
        <w:fldChar w:fldCharType="begin"/>
      </w:r>
      <w:r>
        <w:instrText xml:space="preserve"> REF _Ref167812746 \r \h </w:instrText>
      </w:r>
      <w:r>
        <w:fldChar w:fldCharType="separate"/>
      </w:r>
      <w:r>
        <w:t>16</w:t>
      </w:r>
      <w:r>
        <w:fldChar w:fldCharType="end"/>
      </w:r>
      <w:r>
        <w:t xml:space="preserve"> thuas.</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I gcomhréir le pointe 338 CEEAG, léirigh na cúiseanna nach féidir coinne a bheith leis go soláthróidh an margadh slándáil an tsoláthair leictreachais in éagmais státchabhrach, agus athchóirithe margaidh agus feabhsuithe atá beartaithe ag na Ballstáit, mar aon le forbairtí teicneolaíochta, á gcur san áireamh.</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Tabhair an fhaisnéis seo a leanas a leagtar amach i bpointe 339 CEEAG:</w:t>
      </w:r>
    </w:p>
    <w:p w14:paraId="22B1B19C" w14:textId="02BC0A6D" w:rsidR="001F444E" w:rsidRDefault="00CC02E1" w:rsidP="0013713F">
      <w:pPr>
        <w:pStyle w:val="ListParagraph"/>
        <w:numPr>
          <w:ilvl w:val="1"/>
          <w:numId w:val="4"/>
        </w:numPr>
        <w:spacing w:after="240"/>
        <w:ind w:left="1134" w:hanging="283"/>
        <w:jc w:val="both"/>
      </w:pPr>
      <w:r>
        <w:t xml:space="preserve">Measúnú ar thionchar na giniúna athraithí, lena n‑áirítear giniúint athraitheach a thionscnaíonn ó chórais chomharsanachta.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Measúnú ar an tionchar atá ag rannpháirtíocht ar thaobh an éilimh agus ar thaobh na stórála, lena n-áirítear tuairisc ar bhearta chun bainistiú ar thaobh an éilimh a spreagadh.</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Measúnú ar idirnascairí agus mórbhonneagar eangaí tarchurtha inmheánaigh a d’fhéadfadh a bheith ann nó atá ann i ndáiríre, lena n-áirítear tuairisc ar na tionscadail atá á dtógáil agus atá beartaithe.</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Measúnú ar aon eilimint eile a d’fhéadfadh a bheith ina cúis le fadhb shlándáil an tsoláthair leictreachais nó a d’fhéadfadh cur léi, amhail uasteorainneacha ar phraghsanna mórdhíola nó clistí rialála nó margaidh eile. I gcás inarb infheidhme, tabhair agus cuir san áireamh an plean cur chun feidhme le haghaidh bearta lena ndéantar aon saobhadh rialála nó cliseadh margaidh a sainaithníodh a dhíothú, chomh maith leis an tuairim ón gCoimisiún maidir leis an bplean cur chun feidhme sin faoi Airteagal 20(3) agus (5) de Rialachán (AE)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Aon inneachar ábhartha i bplean gníomhaíochta faoi Airteagal 15 de Rialachán (AE)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A75D17">
            <w:pPr>
              <w:pStyle w:val="Heading1"/>
              <w:numPr>
                <w:ilvl w:val="2"/>
                <w:numId w:val="22"/>
              </w:numPr>
              <w:rPr>
                <w:color w:val="000000"/>
                <w:sz w:val="24"/>
                <w:szCs w:val="24"/>
              </w:rPr>
            </w:pPr>
            <w:r>
              <w:rPr>
                <w:color w:val="000000"/>
                <w:sz w:val="24"/>
              </w:rPr>
              <w:t>Oiriúnacht</w:t>
            </w:r>
          </w:p>
        </w:tc>
      </w:tr>
    </w:tbl>
    <w:p w14:paraId="4C2D927B" w14:textId="3E3F17BF" w:rsidR="00EA354A" w:rsidRPr="00F83660" w:rsidRDefault="00EA354A" w:rsidP="00EA354A">
      <w:pPr>
        <w:spacing w:before="360" w:after="120"/>
        <w:jc w:val="both"/>
        <w:rPr>
          <w:i/>
          <w:color w:val="000000"/>
        </w:rPr>
      </w:pPr>
      <w:r>
        <w:rPr>
          <w:i/>
          <w:color w:val="000000"/>
        </w:rPr>
        <w:t xml:space="preserve">Chun </w:t>
      </w:r>
      <w:r>
        <w:rPr>
          <w:i/>
        </w:rPr>
        <w:t xml:space="preserve">an fhaisnéis </w:t>
      </w:r>
      <w:r>
        <w:rPr>
          <w:i/>
          <w:color w:val="000000"/>
        </w:rPr>
        <w:t xml:space="preserve">sa roinn seo a sholáthar, féach roinn 4.8.4.2 (pointí 341-342) CEEAG.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Chun comhlíonadh phointe 341 CEEAG a mheasúnú, tabhair an fhaisnéis seo a leanas:</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Déan cur síos ar na bealaí malartacha chun slándáil an tsoláthair leictreachais a bhaint amach a ndearnadh iad a mheas, go háirithe dearadh an mhargaidh leictreachais a dhéanamh níos éifeachtúla chun go bhféadfaí na clistí margaidh a bhaineann an bonn de shlándáil an tsoláthair leictreachais a mhaolú. I ndáil leis an méid sin, soláthraítear i bpointe 341 CEEAG samplaí de na bealaí a bhféadfaí feabhas a chur ar dhearadh an mhargaidh leictreachais (feabhas a chur ar fheidhmiú na socraíochta éagothroime leictreachais, giniúint athraitheach a chomhtháthú ar bhealach níos fearr, freagairt don éileamh agus stóráil a dhreasú agus a chomhtháthú, comharthaí éifeachtúla praghais a chumasú, bacainní ar thrádáil trasteorann a bhaint, agus bonneagar a fheabhsú, lena n-áirítear idirnascadh.).</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Léirigh go bhfuil ábhar imní fós ann maidir le slándáil an tsoláthair, d’ainneoin feabhsuithe iomchuí agus comhréireacha ar dhearadh an mhargaidh agus infheistíochtaí i sócmhainní líonra, bíodh siad curtha chun feidhme nó bíodh siad beartaithe cheana féin (pointe 341 CEEAG).</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I gcás bearta plódaithe líonra, mínigh freisin conas atá éifeachtúlacht na mbeart athsheolta á feabhsú i gcomhréir le hAirteagal 13 de Rialachán (AE) 2019/943 (pointe 342 CEEAG).</w:t>
      </w:r>
    </w:p>
    <w:p w14:paraId="78310DA6" w14:textId="1148C368" w:rsidR="00AB322D" w:rsidRPr="00342D59" w:rsidRDefault="00C2550E" w:rsidP="00342D59">
      <w:pPr>
        <w:tabs>
          <w:tab w:val="left" w:leader="dot" w:pos="9072"/>
        </w:tabs>
        <w:spacing w:before="120" w:after="12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A75D17">
            <w:pPr>
              <w:pStyle w:val="Heading1"/>
              <w:numPr>
                <w:ilvl w:val="2"/>
                <w:numId w:val="22"/>
              </w:numPr>
              <w:rPr>
                <w:sz w:val="24"/>
                <w:szCs w:val="24"/>
              </w:rPr>
            </w:pPr>
            <w:r>
              <w:rPr>
                <w:sz w:val="24"/>
              </w:rPr>
              <w:t>Incháilitheacht</w:t>
            </w:r>
          </w:p>
        </w:tc>
      </w:tr>
    </w:tbl>
    <w:p w14:paraId="2460A5B7" w14:textId="542C5474" w:rsidR="00AB322D" w:rsidRPr="00E74034" w:rsidRDefault="00AB322D" w:rsidP="00AB322D">
      <w:pPr>
        <w:spacing w:before="360" w:after="120"/>
        <w:jc w:val="both"/>
        <w:rPr>
          <w:i/>
        </w:rPr>
      </w:pPr>
      <w:r>
        <w:rPr>
          <w:i/>
        </w:rPr>
        <w:t xml:space="preserve">Chun an fhaisnéis sa roinn seo a sholáthar, féach roinn 4.8.4.3 (pointí 343-346) CEEAG.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Chun comhlíonadh phointe 343 CEEAG a léiriú, deimhnigh go mbeidh an beart oscailte do gach tairbhí nó tionscadal atá in ann cur go héifeachtúil leis an gcuspóir maidir le slándáil an tsoláthair a bhaint amach (e.g. giniúint, stóráil, freagairt don éileamh, aonaid bheaga a chomhiomlánú i mbloic níos mó).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I gcomhréir le pointe 344 CEEAG, mínigh an bhfuil aon teorainn le rannpháirtíocht sa bheart atá beartaithe maidir le slándáil an tsoláthair arb é is aidhm don teorainn sin a áirithiú nach mbainfidh an beart an bonn de chosaint an chomhshaoil.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Má áirítear sa bheart maidir le slándáil an tsoláthair a dtugtar fógra ina leith critéir nó gnéithe breise chun rannpháirtíocht teicneolaíochtaí níos glaise a chur chun cinn (nó rannpháirtíocht teicneolaíochtaí truaillitheacha a laghdú), ar teicneolaíochtaí iad a bhfuil gá leo chun tacú le cuspóirí an Aontais maidir le cosaint an chomhshaoil a bhaint amach, léirigh go bhfuil na critéir nó na gnéithe breise sin oibiachtúil, trédhearcach agus neamh-idirdhealaitheach i ndáil le cuspóirí cosanta comhshaoil atá sainaitheanta go soiléir, agus nach mbeidh róchúiteamh do thairbhithe mar thoradh orthu (pointe 345 CEEAG).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I gcomhréir le pointe 346 CEEAG, déan an méid seo a leanas: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Sonraigh an mbeidh an beart maidir le slándáil an tsoláthair leictreachais oscailte do rannpháirtíocht dhíreach trasteorann ó sholáthraithe acmhainneachta atá lonnaithe i mBallstát eile. Mura mbeidh, tabhair údar leis an méid sin.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Léirigh go mbeidh an deis ag acmhainneacht eachtrach, lenar féidir feidhmíocht theicniúil a sholáthar atá coibhéiseach leis an acmhainneacht intíre, a bheith rannpháirteach sa phróiseas iomaíoch céanna le hacmhainneacht intíre.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Más infheidhme, léirigh go gcomhlíontar na rialacha ábhartha a leagtar amach in Airteagal 26 de Rialachán (AE) 2019/943 maidir le rannpháirtíocht trasteorann i sásraí acmhainneachta.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A75D17">
            <w:pPr>
              <w:pStyle w:val="Heading1"/>
              <w:numPr>
                <w:ilvl w:val="2"/>
                <w:numId w:val="22"/>
              </w:numPr>
              <w:rPr>
                <w:sz w:val="24"/>
                <w:szCs w:val="24"/>
              </w:rPr>
            </w:pPr>
            <w:r>
              <w:rPr>
                <w:sz w:val="24"/>
              </w:rPr>
              <w:t>Comhairliúchán poiblí</w:t>
            </w:r>
          </w:p>
        </w:tc>
      </w:tr>
    </w:tbl>
    <w:p w14:paraId="1B229D4F" w14:textId="57AA6556" w:rsidR="00E74034" w:rsidRPr="00E74034" w:rsidRDefault="00E74034" w:rsidP="00E74034">
      <w:pPr>
        <w:spacing w:before="360" w:after="120"/>
        <w:jc w:val="both"/>
        <w:rPr>
          <w:i/>
        </w:rPr>
      </w:pPr>
      <w:r>
        <w:rPr>
          <w:i/>
        </w:rPr>
        <w:t xml:space="preserve">Chun an fhaisnéis sa roinn seo a sholáthar, féach roinn 4.8.4.4 (pointí 348-351) CEEAG. </w:t>
      </w:r>
    </w:p>
    <w:p w14:paraId="78EF67B8" w14:textId="77777777" w:rsidR="00725C45" w:rsidRDefault="0004197A" w:rsidP="0004197A">
      <w:pPr>
        <w:pStyle w:val="ListParagraph"/>
        <w:numPr>
          <w:ilvl w:val="0"/>
          <w:numId w:val="4"/>
        </w:numPr>
        <w:spacing w:before="120" w:after="120"/>
        <w:ind w:left="567" w:hanging="567"/>
        <w:contextualSpacing w:val="0"/>
        <w:jc w:val="both"/>
      </w:pPr>
      <w:r>
        <w:lastRenderedPageBreak/>
        <w:t>Mínigh cé acu is gá nó nach gá comhairliúchán poiblí a dhéanamh faoi Roinn 4.8.4.4 le haghaidh an bhirt/na mbeart, agus más rud é nach gá, tabhair cúis leis sin.</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Más gá comhairliúchán poiblí a dhéanamh le haghaidh an bhirt, déan an méid seo a leanas:</w:t>
      </w:r>
    </w:p>
    <w:p w14:paraId="10ED4DF3" w14:textId="0709E691" w:rsidR="00915173" w:rsidRDefault="00725C45" w:rsidP="00A75D17">
      <w:pPr>
        <w:pStyle w:val="ListParagraph"/>
        <w:numPr>
          <w:ilvl w:val="1"/>
          <w:numId w:val="31"/>
        </w:numPr>
        <w:spacing w:before="120" w:after="120"/>
        <w:ind w:left="1134" w:hanging="283"/>
        <w:contextualSpacing w:val="0"/>
        <w:jc w:val="both"/>
      </w:pPr>
      <w:r>
        <w:t>Sonraigh fad an chomhairliúcháin phoiblí agus tabhair achoimre ar na príomh-shaincheisteanna a chumhdaítear.</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A75D17">
      <w:pPr>
        <w:pStyle w:val="ListParagraph"/>
        <w:numPr>
          <w:ilvl w:val="1"/>
          <w:numId w:val="31"/>
        </w:numPr>
        <w:spacing w:before="120" w:after="120"/>
        <w:ind w:left="1134" w:hanging="283"/>
        <w:contextualSpacing w:val="0"/>
        <w:jc w:val="both"/>
      </w:pPr>
      <w:r>
        <w:t>I gcomhréir leis na ceanglais i bpointe 350 CEEAG, tabhair seoladh an tsuímh gréasáin phoiblí ar a bhfoilseofar/bhfoilsítear ceistneoirí an chomhairliúcháin agus achoimre an rialtais ar na freagraí.</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A75D17">
            <w:pPr>
              <w:pStyle w:val="Heading1"/>
              <w:numPr>
                <w:ilvl w:val="2"/>
                <w:numId w:val="22"/>
              </w:numPr>
              <w:rPr>
                <w:sz w:val="24"/>
                <w:szCs w:val="24"/>
              </w:rPr>
            </w:pPr>
            <w:r>
              <w:rPr>
                <w:sz w:val="24"/>
              </w:rPr>
              <w:t>Comhréireacht</w:t>
            </w:r>
          </w:p>
        </w:tc>
      </w:tr>
    </w:tbl>
    <w:p w14:paraId="2592F405" w14:textId="7ACA92B9" w:rsidR="00081E48" w:rsidRDefault="00081E48" w:rsidP="001D2520">
      <w:pPr>
        <w:pStyle w:val="ListParagraph"/>
        <w:spacing w:before="120" w:after="120"/>
        <w:ind w:left="0"/>
        <w:contextualSpacing w:val="0"/>
        <w:jc w:val="both"/>
      </w:pPr>
      <w:r>
        <w:rPr>
          <w:i/>
        </w:rPr>
        <w:t xml:space="preserve">Chun an fhaisnéis sa roinn seo a sholáthar, féach roinn 3.2.1.3 (pointí 49-53 agus 55) agus roinn 4.8.4.5. (pointí 353-357) CEEAG. Tabhair faoi deara go bhfuil </w:t>
      </w:r>
      <w:r>
        <w:rPr>
          <w:i/>
          <w:u w:val="single"/>
        </w:rPr>
        <w:t>an dá roinn 2.1.5.1. agus 2.1.5.2. seo a leanas malartach.</w:t>
      </w:r>
      <w:r>
        <w:rPr>
          <w:i/>
        </w:rPr>
        <w:t xml:space="preserve"> Ná tabhair freagraí ach ar an roinn is infheidhme, de réir dhearadh an bhirt atá beartaithe</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A75D17">
            <w:pPr>
              <w:pStyle w:val="Heading1"/>
              <w:keepNext/>
              <w:keepLines/>
              <w:numPr>
                <w:ilvl w:val="3"/>
                <w:numId w:val="22"/>
              </w:numPr>
              <w:ind w:left="1723" w:right="-28" w:hanging="646"/>
              <w:rPr>
                <w:sz w:val="24"/>
                <w:szCs w:val="24"/>
              </w:rPr>
            </w:pPr>
            <w:r>
              <w:rPr>
                <w:sz w:val="24"/>
              </w:rPr>
              <w:t>Comhréireacht na cabhrach a dheonaítear trí phróiseas tairisceana iomaíoch</w:t>
            </w:r>
          </w:p>
        </w:tc>
      </w:tr>
    </w:tbl>
    <w:p w14:paraId="3A2A7C7F" w14:textId="4061FA26" w:rsidR="00863406" w:rsidRDefault="00863406" w:rsidP="00863406">
      <w:pPr>
        <w:spacing w:before="360" w:after="120"/>
        <w:jc w:val="both"/>
        <w:rPr>
          <w:i/>
        </w:rPr>
      </w:pPr>
      <w:r>
        <w:rPr>
          <w:i/>
        </w:rPr>
        <w:t>Chun an fhaisnéis sa roinn seo a sholáthar, féach roinn 3.2.1.3 (pointí 49, 50, 51, 52, 53 agus 55) agus</w:t>
      </w:r>
      <w:r>
        <w:t xml:space="preserve"> </w:t>
      </w:r>
      <w:r>
        <w:rPr>
          <w:i/>
        </w:rPr>
        <w:t xml:space="preserve">pointí 353, 354 agus 356 CEEAG. </w:t>
      </w:r>
    </w:p>
    <w:p w14:paraId="50E2DDC9" w14:textId="48FD7994" w:rsidR="00882890" w:rsidRDefault="00882890" w:rsidP="00863406">
      <w:pPr>
        <w:spacing w:before="360" w:after="120"/>
        <w:jc w:val="both"/>
        <w:rPr>
          <w:i/>
        </w:rPr>
      </w:pPr>
      <w:r>
        <w:rPr>
          <w:i/>
          <w:u w:val="single"/>
        </w:rPr>
        <w:t>Níl an roinn seo infheidhme</w:t>
      </w:r>
      <w:r>
        <w:rPr>
          <w:i/>
        </w:rPr>
        <w:t xml:space="preserve"> maidir le bearta ina ndeonaítear cabhair </w:t>
      </w:r>
      <w:r>
        <w:rPr>
          <w:i/>
          <w:u w:val="single"/>
        </w:rPr>
        <w:t>gan</w:t>
      </w:r>
      <w:r>
        <w:rPr>
          <w:i/>
        </w:rPr>
        <w:t xml:space="preserve"> </w:t>
      </w:r>
      <w:r>
        <w:rPr>
          <w:i/>
          <w:u w:val="single"/>
        </w:rPr>
        <w:t>phróiseas tairisceana iomaíoch</w:t>
      </w:r>
      <w:r>
        <w:rPr>
          <w:i/>
        </w:rPr>
        <w:t>. I gcás bearta den sórt sin, téigh go díreach chuig roinn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Chun measúnú a dhéanamh ar chomhlíonadh phointe 353 CEEAG, agus i gcás nár soláthraíodh cheana í mar fhreagairt ar cheist </w:t>
      </w:r>
      <w:r>
        <w:fldChar w:fldCharType="begin"/>
      </w:r>
      <w:r>
        <w:instrText xml:space="preserve"> REF _Ref167812746 \r \h </w:instrText>
      </w:r>
      <w:r>
        <w:fldChar w:fldCharType="separate"/>
      </w:r>
      <w:r>
        <w:t>16</w:t>
      </w:r>
      <w:r>
        <w:fldChar w:fldCharType="end"/>
      </w:r>
      <w:r>
        <w:t xml:space="preserve"> thuas, tabhair anailís a úsáideadh chun an leibhéal éilimh a shocrú sa bheart maidir le slándáil an tsoláthair ar tugadh fógra ina leith ar bhonn an chaighdeáin iontaofachta nó ar bhonn na hanailíse costais agus tairbhe. An anailís a úsáidtear chun leibhéal an éilimh a shocrú, deimhnigh go bhfuil sí 12 mhí d’aois ar a mhéad tráth a shocraítear leibhéal an éilimh.</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I gcomhréir le pointe 354 CEEAG, an t-aga idir deonú na cabhrach agus an sprioc-am faoi nach mór tionscadail a chur i gcrích, léirigh go mbeidh deis ann le haghaidh iomaíocht éifeachtach idir na tionscadail incháilithe éagsúla san aga sin.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 xml:space="preserve">I gcomhréir le pointe 356 CEEAG, léirigh go mbeidh dreasachtaí éifeachtúla ag tairbhithe na mbeart maidir le slándáil an tsoláthair chun cur le slándáil an tsoláthair le </w:t>
      </w:r>
      <w:r>
        <w:lastRenderedPageBreak/>
        <w:t xml:space="preserve">linn na tréimhse seachadta. Ba cheart na dreasachtaí sin a bheith bainteach i gcoitinne leis an luach lóid chaillte arna chinneadh de réir Airteagal 11 de Rialachán (AE)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Chun comhlíonadh phointí 49 agus 50 CEEAG a fhíorú, tabhair na nithe seo a leanas:</w:t>
      </w:r>
    </w:p>
    <w:p w14:paraId="2AB5C620" w14:textId="7A6DCCC0" w:rsidR="00CD498E" w:rsidRPr="00441F0B" w:rsidRDefault="00033BA9" w:rsidP="00A75D17">
      <w:pPr>
        <w:numPr>
          <w:ilvl w:val="0"/>
          <w:numId w:val="24"/>
        </w:numPr>
        <w:ind w:left="1134" w:hanging="283"/>
      </w:pPr>
      <w:r>
        <w:t>Mínigh conas a áirithíonn na húdaráis go bhfuil an próiseas tairisceana oscailte, soiléir, trédhearcach agus neamh-idirdhealaitheach, ar bhonn critéir oibiachtúla, arna sainiú ex ante i gcomhréir le cuspóir an bhirt agus go n-íoslaghdaíonn sé riosca na tairisceana straitéisí (pointe 49(a) CEEAG).</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A75D17">
      <w:pPr>
        <w:numPr>
          <w:ilvl w:val="0"/>
          <w:numId w:val="24"/>
        </w:numPr>
        <w:ind w:left="1134" w:hanging="283"/>
      </w:pPr>
      <w:r>
        <w:t xml:space="preserve">Na critéir roghnúcháin a úsáidtear chun na tairiscintí a rangú, agus chun an leibhéal cabhrach sa phróiseas tairisceana iomaíoch a shainaithint ar deireadh. Go sonrach: </w:t>
      </w:r>
    </w:p>
    <w:p w14:paraId="62322C89" w14:textId="24B28289" w:rsidR="004D6830" w:rsidRPr="00050EB9" w:rsidRDefault="000B1BDB" w:rsidP="00A75D17">
      <w:pPr>
        <w:pStyle w:val="ListParagraph"/>
        <w:numPr>
          <w:ilvl w:val="1"/>
          <w:numId w:val="25"/>
        </w:numPr>
        <w:spacing w:before="120" w:after="120"/>
        <w:contextualSpacing w:val="0"/>
        <w:jc w:val="both"/>
      </w:pPr>
      <w:r>
        <w:t>Tabhair liosta de na critéir roghnúcháin agus sonraigh cé acu a bhaineann go díreach nó go hindíreach le príomhchuspóirí an bhirt. Cuir isteach a n-ualú.</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A75D17">
      <w:pPr>
        <w:pStyle w:val="ListParagraph"/>
        <w:numPr>
          <w:ilvl w:val="1"/>
          <w:numId w:val="25"/>
        </w:numPr>
        <w:spacing w:before="120" w:after="120"/>
        <w:contextualSpacing w:val="0"/>
        <w:jc w:val="both"/>
      </w:pPr>
      <w:r>
        <w:t>Mínigh conas a chuireann na critéir roghnúcháin an méid a chuirtear le príomhchuspóirí an bhirt/na mbeart i gcoibhneas díreach nó indíreach le méid na cabhrach arna iarraidh ag an iarratasóir. Féadfar é sin a shloinneadh, mar shampla, i dtéarmaí cabhrach in aghaidh an aonaid cosanta comhshaoil nó cabhrach in aghaidh an aonaid fuinnimh (pointe 50 agus fonóta 44 CEEAG).</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A75D17">
      <w:pPr>
        <w:pStyle w:val="ListParagraph"/>
        <w:numPr>
          <w:ilvl w:val="1"/>
          <w:numId w:val="25"/>
        </w:numPr>
        <w:spacing w:before="120" w:after="120"/>
        <w:contextualSpacing w:val="0"/>
        <w:jc w:val="both"/>
      </w:pPr>
      <w:r>
        <w:t>I gcás ina bhfuil critéir roghnúcháin eile ann nach bhfuil baint dhíreach nó indíreach acu le príomhchuspóirí an bhirt, tabhair cúiseanna leis an gcur chuige atá beartaithe agus mínigh conas atá sé iomchuí do na cuspóirí a shaothraítear leis an mbeart. Deimhnigh freisin nach mó ná 30 % d’ualú na gcritéar roghnúcháin uile iad na critéir sin (pointe 50 CEEAG).</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A75D17">
      <w:pPr>
        <w:pStyle w:val="ListParagraph"/>
        <w:numPr>
          <w:ilvl w:val="1"/>
          <w:numId w:val="25"/>
        </w:numPr>
        <w:spacing w:before="120" w:after="120"/>
        <w:contextualSpacing w:val="0"/>
        <w:jc w:val="both"/>
      </w:pPr>
      <w:r>
        <w:rPr>
          <w:color w:val="000000"/>
        </w:rPr>
        <w:t xml:space="preserve">Mínigh </w:t>
      </w:r>
      <w:r>
        <w:rPr>
          <w:color w:val="000000"/>
          <w:shd w:val="clear" w:color="auto" w:fill="FFFFFF"/>
        </w:rPr>
        <w:t>cé chomh fada roimh an sprioc-am chun iarratais a chur isteach i ngach próiseas tairisceana iomaíoch a fhoilseofar na critéir roghnúcháin (pointe 49(b) agus</w:t>
      </w:r>
      <w:r>
        <w:rPr>
          <w:shd w:val="clear" w:color="auto" w:fill="FFFFFF"/>
        </w:rPr>
        <w:t xml:space="preserve"> </w:t>
      </w:r>
      <w:r>
        <w:t>fonóta 43 CEEAG)</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A75D17">
      <w:pPr>
        <w:pStyle w:val="ListParagraph"/>
        <w:numPr>
          <w:ilvl w:val="0"/>
          <w:numId w:val="24"/>
        </w:numPr>
        <w:spacing w:before="120" w:after="120"/>
        <w:ind w:hanging="229"/>
        <w:contextualSpacing w:val="0"/>
        <w:jc w:val="both"/>
      </w:pPr>
      <w:r>
        <w:rPr>
          <w:shd w:val="clear" w:color="auto" w:fill="FFFFFF"/>
        </w:rPr>
        <w:t xml:space="preserve">Deimhnigh gur srian ceangailteach é an buiséad nó an méid a bhaineann leis an bpróiseas tairisceana a mhéid is féidir a mheas nach bhfaighidh gach tairgeoir cabhair </w:t>
      </w:r>
      <w:r>
        <w:t>(pointe 49(c) CEEAG)</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A75D17">
      <w:pPr>
        <w:pStyle w:val="ListParagraph"/>
        <w:numPr>
          <w:ilvl w:val="0"/>
          <w:numId w:val="24"/>
        </w:numPr>
        <w:spacing w:before="120" w:after="120"/>
        <w:ind w:hanging="229"/>
        <w:contextualSpacing w:val="0"/>
        <w:jc w:val="both"/>
      </w:pPr>
      <w:r>
        <w:rPr>
          <w:shd w:val="clear" w:color="auto" w:fill="FFFFFF"/>
        </w:rPr>
        <w:t>Tabhair faisnéis maidir leis an líon babhtaí tairisceana atá beartaithe agus an líon tairgeoirí a bhfuil coinne leo sa chéad bhabhta agus le himeacht ama.</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A75D17">
      <w:pPr>
        <w:pStyle w:val="ListParagraph"/>
        <w:numPr>
          <w:ilvl w:val="0"/>
          <w:numId w:val="24"/>
        </w:numPr>
        <w:spacing w:before="120" w:after="120"/>
        <w:ind w:hanging="229"/>
        <w:contextualSpacing w:val="0"/>
        <w:jc w:val="both"/>
      </w:pPr>
      <w:r>
        <w:rPr>
          <w:shd w:val="clear" w:color="auto" w:fill="FFFFFF"/>
        </w:rPr>
        <w:lastRenderedPageBreak/>
        <w:t xml:space="preserve">I gcás próiseas tairisceana gann-suibscríofa amháin nó níos mó, mínigh conas a cheartófar dearadh na bpróiseas tairisceana le linn chur chun feidhme na scéime chun iomaíocht éifeachtach a athbhunú agus cathain a dhéanfar sin </w:t>
      </w:r>
      <w:r>
        <w:t>(pointe 49(c) CEEAG)</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A75D17">
      <w:pPr>
        <w:pStyle w:val="ListParagraph"/>
        <w:numPr>
          <w:ilvl w:val="0"/>
          <w:numId w:val="24"/>
        </w:numPr>
        <w:spacing w:before="120" w:after="120"/>
        <w:ind w:hanging="229"/>
        <w:contextualSpacing w:val="0"/>
        <w:jc w:val="both"/>
      </w:pPr>
      <w:r>
        <w:rPr>
          <w:rStyle w:val="oj-italic"/>
          <w:color w:val="000000"/>
          <w:shd w:val="clear" w:color="auto" w:fill="FFFFFF"/>
        </w:rPr>
        <w:t xml:space="preserve"> Deimhnigh go seachnaítear coigeartuithe</w:t>
      </w:r>
      <w:r>
        <w:rPr>
          <w:color w:val="000000"/>
          <w:shd w:val="clear" w:color="auto" w:fill="FFFFFF"/>
        </w:rPr>
        <w:t> </w:t>
      </w:r>
      <w:r>
        <w:rPr>
          <w:i/>
          <w:color w:val="000000"/>
          <w:shd w:val="clear" w:color="auto" w:fill="FFFFFF"/>
        </w:rPr>
        <w:t>ex post</w:t>
      </w:r>
      <w:r>
        <w:t xml:space="preserve"> ar thoradh an phróisis tairisceana (amhail caibidlíocht ina dhiaidh sin maidir le torthaí tairisceana nó ciondáil (pointe 49(d) CEEAG)</w:t>
      </w:r>
      <w:r>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A75D17">
      <w:pPr>
        <w:pStyle w:val="ListParagraph"/>
        <w:numPr>
          <w:ilvl w:val="0"/>
          <w:numId w:val="24"/>
        </w:numPr>
        <w:spacing w:before="120" w:after="120"/>
        <w:ind w:hanging="229"/>
        <w:contextualSpacing w:val="0"/>
        <w:jc w:val="both"/>
      </w:pPr>
      <w:r>
        <w:t>I gcás inar féidir ‘</w:t>
      </w:r>
      <w:r>
        <w:rPr>
          <w:i/>
        </w:rPr>
        <w:t>tairiscintí fóirdheontais nialasacha</w:t>
      </w:r>
      <w:r>
        <w:t xml:space="preserve">’ a bheith ann, mínigh conas a dhéanfar an chomhréireacht a áirithiú.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A75D17">
      <w:pPr>
        <w:pStyle w:val="ListParagraph"/>
        <w:numPr>
          <w:ilvl w:val="0"/>
          <w:numId w:val="24"/>
        </w:numPr>
        <w:spacing w:before="120" w:after="120"/>
        <w:ind w:hanging="229"/>
        <w:contextualSpacing w:val="0"/>
        <w:jc w:val="both"/>
      </w:pPr>
      <w:r>
        <w:t>Soiléirigh an bhfuil foráil déanta ag na húdaráis maidir le bonnphraghsanna nó uasteorainneacha a úsáid sa phróiseas tairisceana iomaíoch. Más amhlaidh, tabhair údar lena n‐úsáid agus mínigh conas nach gcuireann siad srian ar an bpróiseas tairisceana iomaíoch</w:t>
      </w:r>
      <w:r>
        <w:rPr>
          <w:rStyle w:val="FootnoteReference"/>
          <w:lang w:eastAsia="en-GB"/>
        </w:rPr>
        <w:footnoteReference w:id="6"/>
      </w:r>
      <w:r>
        <w:t xml:space="preserve"> (pointe 49 agus fonóta 42 CEEAG).</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A75D17">
            <w:pPr>
              <w:pStyle w:val="Heading1"/>
              <w:keepNext/>
              <w:keepLines/>
              <w:numPr>
                <w:ilvl w:val="3"/>
                <w:numId w:val="22"/>
              </w:numPr>
              <w:ind w:left="1723" w:right="-28" w:hanging="646"/>
              <w:rPr>
                <w:sz w:val="24"/>
                <w:szCs w:val="24"/>
              </w:rPr>
            </w:pPr>
            <w:r>
              <w:rPr>
                <w:sz w:val="24"/>
              </w:rPr>
              <w:t xml:space="preserve">Comhréireacht na cabhrach </w:t>
            </w:r>
            <w:r>
              <w:rPr>
                <w:sz w:val="24"/>
                <w:u w:val="single"/>
              </w:rPr>
              <w:t>nach</w:t>
            </w:r>
            <w:r>
              <w:rPr>
                <w:sz w:val="24"/>
              </w:rPr>
              <w:t xml:space="preserve"> ndeonaítear trí phróiseas tairisceana iomaíoch </w:t>
            </w:r>
          </w:p>
        </w:tc>
      </w:tr>
    </w:tbl>
    <w:p w14:paraId="0190ED95" w14:textId="4268A147" w:rsidR="001620DB" w:rsidRDefault="001620DB" w:rsidP="00DB2066">
      <w:pPr>
        <w:pStyle w:val="ListParagraph"/>
        <w:spacing w:before="120" w:after="120"/>
        <w:ind w:left="0"/>
        <w:contextualSpacing w:val="0"/>
        <w:jc w:val="both"/>
      </w:pPr>
      <w:r>
        <w:rPr>
          <w:i/>
        </w:rPr>
        <w:t>Chun an fhaisnéis sa roinn seo a sholáthar, féach pointí 51-55 agus 353 go 357 CEEAG.</w:t>
      </w:r>
    </w:p>
    <w:p w14:paraId="66E254B6" w14:textId="77D256A6" w:rsidR="00882890" w:rsidRPr="008969F9" w:rsidRDefault="00882890" w:rsidP="00DB2066">
      <w:pPr>
        <w:pStyle w:val="ListParagraph"/>
        <w:spacing w:before="120" w:after="120"/>
        <w:ind w:left="0"/>
        <w:contextualSpacing w:val="0"/>
        <w:jc w:val="both"/>
        <w:rPr>
          <w:i/>
          <w:iCs/>
        </w:rPr>
      </w:pPr>
      <w:r>
        <w:rPr>
          <w:i/>
          <w:u w:val="single"/>
        </w:rPr>
        <w:t>Níl an roinn seo infheidhme</w:t>
      </w:r>
      <w:r>
        <w:rPr>
          <w:i/>
        </w:rPr>
        <w:t xml:space="preserve"> maidir le bearta ina ndeonaítear cabhair trí </w:t>
      </w:r>
      <w:r>
        <w:rPr>
          <w:i/>
          <w:u w:val="single"/>
        </w:rPr>
        <w:t>phróiseas tairisceana iomaíoch</w:t>
      </w:r>
      <w:r>
        <w:rPr>
          <w:i/>
        </w:rPr>
        <w:t>. Le haghaidh bearta den sórt sin, tabhair freagra ar roinn 2.5.1.1 thuas in áit na roinne seo.</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Chun measúnú a dhéanamh ar chomhlíonadh phointe 353 CEEAG, agus i gcás nár soláthraíodh cheana í mar fhreagairt ar cheist </w:t>
      </w:r>
      <w:r>
        <w:fldChar w:fldCharType="begin"/>
      </w:r>
      <w:r>
        <w:instrText xml:space="preserve"> REF _Ref167812746 \r \h </w:instrText>
      </w:r>
      <w:r>
        <w:fldChar w:fldCharType="separate"/>
      </w:r>
      <w:r>
        <w:t>16</w:t>
      </w:r>
      <w:r>
        <w:fldChar w:fldCharType="end"/>
      </w:r>
      <w:r>
        <w:t xml:space="preserve"> thuas, tabhair anailís a úsáideadh chun leibhéal an éilimh a shocrú sa bheart maidir le slándáil an tsoláthair ar tugadh fógra ina leith ar bhonn an chaighdeáin iontaofachta nó ar bhonn na hanailíse costais agus tairbhe. An anailís a úsáidtear chun leibhéal an éilimh a shocrú, deimhnigh go bhfuil sí 12 mhí d’aois ar a mhéad tráth a shocraítear leibhéal an éilimh.</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I gcomhréir le pointe 354 CEEAG, an t-aga idir deonú na cabhrach agus an sprioc-am faoi nach mór tionscadail a chur i gcrích, léirigh go mbeidh deis ann le haghaidh iomaíocht éifeachtach idir na tionscadail incháilithe éagsúla san aga sin.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lastRenderedPageBreak/>
        <w:t xml:space="preserve">I gcomhréir le pointe 356 CEEAG, léirigh go mbeidh dreasachtaí éifeachtúla ag tairbhithe na mbeart maidir le slándáil an tsoláthair chun cur le slándáil an tsoláthair le linn na tréimhse seachadta. Ba cheart na dreasachtaí sin a bheith bainteach i gcoitinne leis an luach lóid chaillte arna chinneadh de réir Airteagal 11 de Rialachán (AE)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Mínigh cén fáth nach n‑úsáidtear próiseas tairisceana iomaíoch (de bhun phointe 355 CEEAG).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I gcás scéimeanna cabhrach, tabhair liosta de thionscadail tagartha agus míniú ar an gcúis ar sainíodh iad (mar shampla, trí mhíniú a thabhairt gur féidir coinne a bheith leis go mbeidh na costais agus na hioncaim mórán mar an gcéanna laistigh de gach tionscadal tagartha). Chun amhras a sheachaint, is éard is tionscadal tagartha ann tionscadal samplach atá ionadaíoch ar an meántionscadal i gcatagóir de thairbhithe incháilithe le haghaidh scéim cabhrach (pointe 19(63) CEEAG).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De bhun phointe 51 CEEAG, i gcás gach tionscadail tagartha (i gcás scéimeanna cabhrach) nó i gcás gach tairbhí (i gcás cabhair aonair), léirigh nach sáraíonn an chabhair an t‐íosmhéid is gá, i.e. an difríocht idir an glanluach láithreach le haghaidh an cháis fhíorasaigh agus an glanluach láithreach le haghaidh an cháis fhrithfhíorasaigh thar shaolré an tionscadail tagartha nó an tionscadail. Chun an measúnú sin a dhéanamh, cuir isteach cainníochtú, le haghaidh an cháis fhíorasaigh agus le haghaidh cás frithfhíorasach réalaíoch,</w:t>
      </w:r>
      <w:r>
        <w:rPr>
          <w:rStyle w:val="FootnoteReference"/>
        </w:rPr>
        <w:footnoteReference w:id="7"/>
      </w:r>
      <w:r>
        <w:t xml:space="preserve"> cainníocht na bpríomhchostas agus na bpríomhioncam ar fad, meánchostas ualaithe caipitil measta na dtairbhithe (nó na dtionscadal tagartha i gcás scéimeanna cabhrach) chun sreafaí airgid amach anseo a lascainiú, chomh maith le glanluach láithreach na gcásanna fíorasacha agus frithfhíorasacha, thar shaolré an tionscadail/an tionscadail tagartha.  </w:t>
      </w:r>
    </w:p>
    <w:p w14:paraId="4DB6378F" w14:textId="77777777" w:rsidR="007F119D" w:rsidRDefault="007F119D" w:rsidP="00A75D17">
      <w:pPr>
        <w:numPr>
          <w:ilvl w:val="0"/>
          <w:numId w:val="26"/>
        </w:numPr>
        <w:ind w:left="1134" w:hanging="283"/>
      </w:pPr>
      <w:r>
        <w:t xml:space="preserve">Cuir an fhaisnéis sin ar fáil in Iarscríbhinn a ghabhann leis an bhfoirm fógra seo (trí chomhad Excel a úsáid ina bhfuil na foirmlí uile le feiceáil). </w:t>
      </w:r>
    </w:p>
    <w:p w14:paraId="791F4E37" w14:textId="77777777" w:rsidR="00217A1A" w:rsidRPr="00A75D17"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A75D17">
      <w:pPr>
        <w:numPr>
          <w:ilvl w:val="0"/>
          <w:numId w:val="26"/>
        </w:numPr>
        <w:ind w:left="1134" w:hanging="283"/>
      </w:pPr>
      <w:r>
        <w:t>Cuir faisnéis mhionsonraithe isteach maidir leis na toimhdí, na modheolaíochtaí, an réasúnaíocht agus na foinsí is bonn leo, a úsáidtear le haghaidh gach gné de chainníochtú na gcostas agus na n‐ioncam sa chás fíorasach agus an cás frithfhíorasach is dócha a bheidh ann (mar shampla, cuir isteach na toimhdí a úsáideadh chun na cásanna sin a fhorbairt agus foinse/réasúnaíocht maidir leis na toimhdí sin).</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A75D17">
      <w:pPr>
        <w:numPr>
          <w:ilvl w:val="0"/>
          <w:numId w:val="26"/>
        </w:numPr>
        <w:ind w:left="1134" w:hanging="283"/>
      </w:pPr>
      <w:r>
        <w:t xml:space="preserve">Féadfaidh tú na doiciméid a luaitear i bhfonóta 39 CEEAG a chur i gceangal leis an bhfoirm fógra seo freisin. D’fhéadfadh doiciméid bhoird a bheith úsáideach go háirithe le haghaidh bearta cabhrach aonair nó scéimeanna cabhrach aonair atá ag dul chun tairbhe do líon an-teoranta tairbhithe. Má chuirtear na doiciméid sin i </w:t>
      </w:r>
      <w:r>
        <w:lastRenderedPageBreak/>
        <w:t>gceangal leis an bhfoirm fógra, tabhair liosta de na doiciméid sin thíos, ina sonraítear an t-údar, an dáta ar dréachtaíodh iad agus an comhthéacs inar úsáideadh iad.</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Más infheidhme pointe 55 CEEAG, tabhair faisnéis ar na samhlacha cúitimh a bhféadfadh sé a bheith i gceist ag an mBallstát iad a thabhairt isteach (meascán de shamhlacha </w:t>
      </w:r>
      <w:r>
        <w:rPr>
          <w:i/>
        </w:rPr>
        <w:t>ex ante</w:t>
      </w:r>
      <w:r>
        <w:t xml:space="preserve"> agus </w:t>
      </w:r>
      <w:r>
        <w:rPr>
          <w:i/>
        </w:rPr>
        <w:t>ex post</w:t>
      </w:r>
      <w:r>
        <w:t xml:space="preserve"> nó sásraí aisghlámtha nó sásraí faireacháin costais </w:t>
      </w:r>
      <w:r>
        <w:rPr>
          <w:i/>
        </w:rPr>
        <w:t>ex post</w:t>
      </w:r>
      <w:r>
        <w:t xml:space="preserve">). </w:t>
      </w:r>
    </w:p>
    <w:p w14:paraId="1469FE3D" w14:textId="3662127B" w:rsidR="000575C3" w:rsidRPr="008515FB" w:rsidRDefault="009329F1" w:rsidP="000575C3">
      <w:pPr>
        <w:tabs>
          <w:tab w:val="left" w:leader="dot" w:pos="9072"/>
        </w:tabs>
        <w:spacing w:before="120" w:after="120"/>
        <w:ind w:left="567"/>
        <w:jc w:val="both"/>
      </w:pPr>
      <w:r>
        <w:t xml:space="preserve">Mura bhfuil pointe 55 CEEAG infheidhme maidir leis an mbeart/na bearta, tabhair údar leis sin.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Más rud é go bhfuil an beart/na bearta a dtugtar fógra ina leith i bhfoirm deimhniú iomaíoch nó scéim oibleagáide soláthróra (pointe 357 CEEAG), déan an méid seo a leanas:</w:t>
      </w:r>
    </w:p>
    <w:p w14:paraId="504AC813" w14:textId="77777777" w:rsidR="00EF6485" w:rsidRDefault="00EF6485" w:rsidP="00EF6485">
      <w:pPr>
        <w:pStyle w:val="ListParagraph"/>
        <w:ind w:hanging="436"/>
        <w:rPr>
          <w:lang w:eastAsia="en-GB"/>
        </w:rPr>
      </w:pPr>
    </w:p>
    <w:p w14:paraId="5FEA5C3D" w14:textId="5CC3AC8E" w:rsidR="00EF6485" w:rsidRDefault="0088099D" w:rsidP="00A75D17">
      <w:pPr>
        <w:numPr>
          <w:ilvl w:val="0"/>
          <w:numId w:val="30"/>
        </w:numPr>
        <w:spacing w:after="240"/>
        <w:ind w:left="1134" w:hanging="283"/>
        <w:jc w:val="both"/>
      </w:pPr>
      <w:r>
        <w:t>deimhnigh go socrófar an t‑éileamh sa scéim faoi bhun an tsoláthair a d’fhéadfadh a bheith ann; agus</w:t>
      </w:r>
    </w:p>
    <w:p w14:paraId="3714D680" w14:textId="6175BEB4" w:rsidR="006F39D2" w:rsidRDefault="006F39D2" w:rsidP="00217A1A">
      <w:pPr>
        <w:spacing w:after="240"/>
        <w:ind w:left="720" w:firstLine="414"/>
        <w:jc w:val="both"/>
      </w:pPr>
      <w:r>
        <w:t>………………………………………………………………………………………</w:t>
      </w:r>
    </w:p>
    <w:p w14:paraId="3CE17A1C" w14:textId="3C19DDB2" w:rsidR="00EF6485" w:rsidRDefault="0088099D" w:rsidP="00A75D17">
      <w:pPr>
        <w:numPr>
          <w:ilvl w:val="0"/>
          <w:numId w:val="30"/>
        </w:numPr>
        <w:spacing w:after="240"/>
        <w:ind w:left="1134" w:hanging="283"/>
        <w:jc w:val="both"/>
      </w:pPr>
      <w:r>
        <w:t>mínigh conas a bhunófar an praghas ceannaigh thar barr amach/an praghas pionóis agus conas a áirithítear leis an bpraghas sin nach mbeidh aon róchúiteamh ann.</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A75D17">
            <w:pPr>
              <w:pStyle w:val="Heading1"/>
              <w:numPr>
                <w:ilvl w:val="2"/>
                <w:numId w:val="22"/>
              </w:numPr>
              <w:rPr>
                <w:sz w:val="24"/>
                <w:szCs w:val="24"/>
              </w:rPr>
            </w:pPr>
            <w:r>
              <w:rPr>
                <w:sz w:val="24"/>
              </w:rPr>
              <w:t>Carnadh</w:t>
            </w:r>
          </w:p>
        </w:tc>
      </w:tr>
    </w:tbl>
    <w:p w14:paraId="2346A85D" w14:textId="6CB77F89" w:rsidR="00B21377" w:rsidRPr="002A3B51" w:rsidRDefault="00B21377" w:rsidP="00B21377">
      <w:pPr>
        <w:pStyle w:val="ListParagraph"/>
        <w:spacing w:before="120" w:after="120"/>
        <w:ind w:left="567"/>
        <w:contextualSpacing w:val="0"/>
        <w:jc w:val="both"/>
      </w:pPr>
      <w:r>
        <w:rPr>
          <w:i/>
        </w:rPr>
        <w:t>Chun an fhaisnéis sa roinn seo a sholáthar, féach pointí 56 agus 57 CEEAG</w:t>
      </w:r>
      <w: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A mhéid nár soláthraíodh cheana faoi Chuid I den fhoirm fógra ghinearálta agus chun comhlíonadh phointe 56 CEEAG a fhíorú, soiléirigh an bhféadfaí an chabhair faoin mbeart a dtugtar fógra ina leith a dhámhachtain i gcomhthráth faoi roinnt scéimeanna cabhrach nó a charnadh le cabhair </w:t>
      </w:r>
      <w:r>
        <w:rPr>
          <w:i/>
        </w:rPr>
        <w:t>ad hoc</w:t>
      </w:r>
      <w:r>
        <w:t xml:space="preserve"> nó </w:t>
      </w:r>
      <w:r>
        <w:rPr>
          <w:i/>
        </w:rPr>
        <w:t>de minimis</w:t>
      </w:r>
      <w:r>
        <w:t xml:space="preserve"> i ndáil leis na costais incháilithe chéanna. Más amhlaidh an cás, tabhair sonraí maidir leis na scéimeanna cabhrach sin, cabhair </w:t>
      </w:r>
      <w:r>
        <w:rPr>
          <w:i/>
        </w:rPr>
        <w:t>ad hoc</w:t>
      </w:r>
      <w:r>
        <w:t xml:space="preserve"> nó cabhair </w:t>
      </w:r>
      <w:r>
        <w:rPr>
          <w:i/>
        </w:rPr>
        <w:t>de minimis</w:t>
      </w:r>
      <w:r>
        <w:t xml:space="preserve"> agus conas a charnfar an chabhair. Tabhair faoi deara go bhféadadh sé gur mhian leat tagairt don chainníochtú a tugadh thuas.</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Más infheidhme pointe 56 CEEAG, tabhair údar leis an gcaoi nach mbeidh róchúiteamh mar thoradh ar mhéid iomlán na cabhrach a dheonaítear faoin mbeart/faoi na bearta le haghaidh tionscadail nó gníomhaíochta agus an chaoi nach rachaidh sé thar an uasmhéid cabhrach a cheadaítear faoi CEEAG. Is éard atá san uasmhéid cabhrach a cheadaítear faoi CEEAG an méid cabhrach a chuirtear san áireamh sa tairiscint rathúil nó, in éagmais próiseas iomaíoch, an bhearna chistiúcháin, agus na príomhioncaim uile á gcur </w:t>
      </w:r>
      <w:r>
        <w:lastRenderedPageBreak/>
        <w:t xml:space="preserve">san áireamh lena n-áirítear foinsí eile cabhrach (pointe 51 CEEAG). Sonraigh, i gcás ina mbeifear in ann an chabhair a dheonaítear faoin mbeart/faoi na bearta cabhrach a dtugtar fógra ina leith a charnadh le Státchabhair faoi ionstraimí eile, an modh a úsáidtear chun comhlíonadh na gcoinníollacha a leagtar amach i bpointe 56 CEEAG a áirithiú.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I gcás inarb infheidhme pointe 57 CEEAG, i.e. déantar an chabhair a dheonaítear faoin mbeart/faoi na bearta a dtugtar fógra ina leith a chomhcheangal le cistiú ón Aontas a bhainistítear go lárnach</w:t>
      </w:r>
      <w:r>
        <w:rPr>
          <w:rStyle w:val="FootnoteReference"/>
          <w:lang w:eastAsia="en-GB"/>
        </w:rPr>
        <w:footnoteReference w:id="8"/>
      </w:r>
      <w:r>
        <w:t xml:space="preserve"> (nach Státchabhair é), tabhair údar </w:t>
      </w:r>
      <w:r>
        <w:rPr>
          <w:shd w:val="clear" w:color="auto" w:fill="FFFFFF"/>
        </w:rPr>
        <w:t>leis an gcaoi nach mbeidh róchúiteamh mar thoradh ar mhéid iomlán an chistithe phoiblí a dheonaítear i ndáil leis na costais incháilithe chéanna</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A75D17">
            <w:pPr>
              <w:pStyle w:val="Heading1"/>
              <w:numPr>
                <w:ilvl w:val="2"/>
                <w:numId w:val="22"/>
              </w:numPr>
              <w:rPr>
                <w:color w:val="000000"/>
                <w:sz w:val="24"/>
                <w:szCs w:val="24"/>
              </w:rPr>
            </w:pPr>
            <w:r>
              <w:rPr>
                <w:sz w:val="24"/>
              </w:rPr>
              <w:t>Trédhearcacht</w:t>
            </w:r>
          </w:p>
        </w:tc>
      </w:tr>
    </w:tbl>
    <w:p w14:paraId="07229A8F" w14:textId="5882F9C4" w:rsidR="006773CE" w:rsidRPr="007C0A44" w:rsidRDefault="006773CE" w:rsidP="006773CE">
      <w:pPr>
        <w:spacing w:before="360" w:after="120"/>
        <w:jc w:val="both"/>
        <w:rPr>
          <w:i/>
        </w:rPr>
      </w:pPr>
      <w:r>
        <w:rPr>
          <w:i/>
          <w:color w:val="000000"/>
        </w:rPr>
        <w:t xml:space="preserve">Chun </w:t>
      </w:r>
      <w:r>
        <w:rPr>
          <w:i/>
        </w:rPr>
        <w:t xml:space="preserve">an fhaisnéis </w:t>
      </w:r>
      <w:r>
        <w:rPr>
          <w:i/>
          <w:color w:val="000000"/>
        </w:rPr>
        <w:t>sa roinn seo a sholáthar, féach roinn 3.2.1.4 (pointí 58-61) CEEAG.</w:t>
      </w:r>
      <w:r>
        <w:rPr>
          <w:i/>
        </w:rPr>
        <w:t xml:space="preserve">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Deimhnigh go gcomhlíonfaidh an Ballstát na ceanglais maidir le trédhearcacht dá bhforáiltear i bpointí 58-61 CEEAG.</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Tabhair an nasc idirlín ar a bhfoilseofar téacs iomlán na scéime cabhrach formheasta nó an chinnidh ar leith lena ndeonaítear cabhair agus a fhorálacha cur chun feidhme, agus faisnéis maidir le gach dámhachtain cabhrach aonair a deonaíodh ad hoc nó faoi scéim cabhrach arna formheas ar bhonn an CEEAG agus ar mó ná EUR 100 000 í.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A75D17">
            <w:pPr>
              <w:pStyle w:val="Heading1"/>
              <w:numPr>
                <w:ilvl w:val="1"/>
                <w:numId w:val="22"/>
              </w:numPr>
              <w:jc w:val="left"/>
              <w:rPr>
                <w:iCs/>
                <w:color w:val="000000"/>
                <w:sz w:val="24"/>
                <w:szCs w:val="24"/>
              </w:rPr>
            </w:pPr>
            <w:r>
              <w:rPr>
                <w:color w:val="000000"/>
                <w:sz w:val="24"/>
              </w:rPr>
              <w:t>Seachaint éifeachtaí diúltacha míchuí ar iomaíocht agus trádáil agus cothromú</w:t>
            </w:r>
          </w:p>
        </w:tc>
      </w:tr>
    </w:tbl>
    <w:p w14:paraId="6C8D04A2" w14:textId="31215476" w:rsidR="009D6AD7" w:rsidRDefault="00F83660" w:rsidP="00757930">
      <w:pPr>
        <w:spacing w:before="360" w:after="120"/>
        <w:jc w:val="both"/>
      </w:pPr>
      <w:r>
        <w:rPr>
          <w:i/>
          <w:color w:val="000000"/>
        </w:rPr>
        <w:t>Chun</w:t>
      </w:r>
      <w:r>
        <w:rPr>
          <w:i/>
        </w:rPr>
        <w:t xml:space="preserve"> an fhaisnéis sa roinn seo a sholáthar, féach roinn 4.8.5 (pointí 359-370) agus roinn 3.3 (pointí 71-76) CEEAG. </w:t>
      </w:r>
    </w:p>
    <w:p w14:paraId="289C641A" w14:textId="66B1FD1E" w:rsidR="002955E1" w:rsidRDefault="002955E1" w:rsidP="00AA5AF1">
      <w:pPr>
        <w:numPr>
          <w:ilvl w:val="0"/>
          <w:numId w:val="4"/>
        </w:numPr>
        <w:spacing w:after="240"/>
        <w:ind w:left="567" w:hanging="567"/>
        <w:jc w:val="both"/>
        <w:rPr>
          <w:i/>
          <w:color w:val="000000"/>
        </w:rPr>
      </w:pPr>
      <w:r>
        <w:rPr>
          <w:color w:val="000000"/>
        </w:rPr>
        <w:t>Chun comhlíonadh phointí 359, 360 agus 361 CEEAG a fhíorú, déan an méid seo a leanas:</w:t>
      </w:r>
    </w:p>
    <w:p w14:paraId="3CDD8237" w14:textId="472E0A00" w:rsidR="005333EE" w:rsidRPr="00757930" w:rsidRDefault="00967292" w:rsidP="00A75D17">
      <w:pPr>
        <w:numPr>
          <w:ilvl w:val="0"/>
          <w:numId w:val="34"/>
        </w:numPr>
        <w:spacing w:after="240"/>
        <w:ind w:left="1134" w:hanging="283"/>
        <w:jc w:val="both"/>
        <w:rPr>
          <w:i/>
          <w:color w:val="000000"/>
        </w:rPr>
      </w:pPr>
      <w:r>
        <w:t xml:space="preserve">léirigh (i gcás nár léiríodh amhlaidh cheana mar fhreagairt ar cheist </w:t>
      </w:r>
      <w:r>
        <w:rPr>
          <w:highlight w:val="yellow"/>
        </w:rPr>
        <w:fldChar w:fldCharType="begin"/>
      </w:r>
      <w:r>
        <w:instrText xml:space="preserve"> REF _Ref168390744 \r \h </w:instrText>
      </w:r>
      <w:r>
        <w:rPr>
          <w:highlight w:val="yellow"/>
        </w:rPr>
      </w:r>
      <w:r>
        <w:rPr>
          <w:highlight w:val="yellow"/>
        </w:rPr>
        <w:fldChar w:fldCharType="separate"/>
      </w:r>
      <w:r>
        <w:t>23</w:t>
      </w:r>
      <w:r>
        <w:rPr>
          <w:highlight w:val="yellow"/>
        </w:rPr>
        <w:fldChar w:fldCharType="end"/>
      </w:r>
      <w:r>
        <w:t xml:space="preserve"> thuas) </w:t>
      </w:r>
      <w:r>
        <w:rPr>
          <w:color w:val="000000"/>
        </w:rPr>
        <w:t xml:space="preserve">gur dearadh an chabhair chun feidhmiú éifeachtúil na margaí a choinneáil ar bun agus chun dreasachtaí oibríochta agus comharthaí praghais éifeachtúla a chaomhnú.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A75D17">
      <w:pPr>
        <w:numPr>
          <w:ilvl w:val="0"/>
          <w:numId w:val="34"/>
        </w:numPr>
        <w:spacing w:after="240"/>
        <w:ind w:left="1134" w:hanging="283"/>
        <w:jc w:val="both"/>
        <w:rPr>
          <w:i/>
          <w:color w:val="000000"/>
        </w:rPr>
      </w:pPr>
      <w:r>
        <w:rPr>
          <w:color w:val="000000"/>
        </w:rPr>
        <w:lastRenderedPageBreak/>
        <w:t>deimhnigh nach bhfuil aon dreasacht ann chun fuinneamh a ghiniúint a chuirfeadh cineálacha fuinnimh ar lú an truailliú a bhaineann leo as áit.</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A75D17">
      <w:pPr>
        <w:numPr>
          <w:ilvl w:val="0"/>
          <w:numId w:val="34"/>
        </w:numPr>
        <w:spacing w:after="240"/>
        <w:ind w:left="1134" w:hanging="283"/>
        <w:jc w:val="both"/>
        <w:rPr>
          <w:i/>
          <w:color w:val="000000"/>
        </w:rPr>
      </w:pPr>
      <w:r>
        <w:rPr>
          <w:color w:val="000000"/>
        </w:rPr>
        <w:t>sonraigh cé acu a íocann an beart as acmhainneacht (EUR in aghaidh an mheigeavata (MW)) nó as aschur leictreachais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Tabhair fianaise go gcomhlíonann an beart aon choinníoll dearaidh is infheidhme in Airteagal 22 de Rialachán (AE) 2019/943 (pointe 362 CEEAG).</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Maidir le cúltacaí straitéiseacha agus aon bheart eile le haghaidh leordhóthanacht acmhainní, lena n-áirítear scéimeanna in-idirbhristeachta, i gcás ina gcoinnítear acmhainneacht lasmuigh den mhargadh, chun a áirithiú nach saobhtar praghasmhúnlú an mhargaidh, léirigh, i gcomhréir le pointe 363 CEEAG, go gcomhlíontar na coinníollacha carnacha seo a leanas:</w:t>
      </w:r>
    </w:p>
    <w:p w14:paraId="6E1DA574" w14:textId="064EFA54" w:rsidR="005333EE" w:rsidRDefault="005333EE" w:rsidP="00A75D17">
      <w:pPr>
        <w:numPr>
          <w:ilvl w:val="1"/>
          <w:numId w:val="29"/>
        </w:numPr>
        <w:spacing w:after="240"/>
        <w:ind w:left="1134" w:hanging="283"/>
        <w:jc w:val="both"/>
        <w:rPr>
          <w:color w:val="000000"/>
        </w:rPr>
      </w:pPr>
      <w:r>
        <w:rPr>
          <w:color w:val="000000"/>
        </w:rPr>
        <w:t>Níl acmhainní an bhirt/na mbeart le seoladh ach amháin i gcás inar dóigh go n-ídeoidh na hoibreoirí córas tarchurtha a n-acmhainní cothromúcháin chun cothromaíocht a bhunú idir an t-éileamh agus an soláthar.</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A75D17">
      <w:pPr>
        <w:numPr>
          <w:ilvl w:val="1"/>
          <w:numId w:val="29"/>
        </w:numPr>
        <w:spacing w:after="240"/>
        <w:ind w:left="1134" w:hanging="283"/>
        <w:jc w:val="both"/>
        <w:rPr>
          <w:color w:val="000000"/>
        </w:rPr>
      </w:pPr>
      <w:r>
        <w:rPr>
          <w:color w:val="000000"/>
        </w:rPr>
        <w:t>Le linn tréimhsí socraíochta éagothroime ina seoltar acmhainní an bhirt/na mbeart, réiteofar míchothromaíochtaí sa mhargadh ar a laghad ag an luach lóid chaillte nó ag luach atá níos airde ná an teorainn praghais theicniúil ionlae, cibé acu is airde.</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A75D17">
      <w:pPr>
        <w:numPr>
          <w:ilvl w:val="1"/>
          <w:numId w:val="29"/>
        </w:numPr>
        <w:spacing w:after="240"/>
        <w:ind w:left="1134" w:hanging="283"/>
        <w:jc w:val="both"/>
        <w:rPr>
          <w:color w:val="000000"/>
        </w:rPr>
      </w:pPr>
      <w:r>
        <w:rPr>
          <w:color w:val="000000"/>
        </w:rPr>
        <w:t>Maidir le haschur an bhirt/na mbeart tar éis dó a bheith seolta, déanfar é a shannadh chun páirtithe freagracha a chothromú tríd an sásra socraíochta éagothroime.</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A75D17">
      <w:pPr>
        <w:numPr>
          <w:ilvl w:val="1"/>
          <w:numId w:val="29"/>
        </w:numPr>
        <w:spacing w:after="240"/>
        <w:ind w:left="1134" w:hanging="283"/>
        <w:jc w:val="both"/>
        <w:rPr>
          <w:color w:val="000000"/>
        </w:rPr>
      </w:pPr>
      <w:r>
        <w:rPr>
          <w:color w:val="000000"/>
        </w:rPr>
        <w:t>Ní fhaigheann na hacmhainní luach saothair ón mhargadh mórdhíola an leictreachais ná ó mhargaí cothromúcháin.</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A75D17">
      <w:pPr>
        <w:numPr>
          <w:ilvl w:val="1"/>
          <w:numId w:val="29"/>
        </w:numPr>
        <w:spacing w:after="240"/>
        <w:ind w:left="1134" w:hanging="283"/>
        <w:jc w:val="both"/>
        <w:rPr>
          <w:color w:val="000000"/>
        </w:rPr>
      </w:pPr>
      <w:r>
        <w:rPr>
          <w:color w:val="000000"/>
        </w:rPr>
        <w:t>Déanfar na hacmhainní sa bheart/sna bearta a choinneáil lasmuigh de na margaí fuinnimh ar feadh thréimhse an chonartha ar a laghad.</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 xml:space="preserve">I gcás bearta plódaithe líonra, nuair a choinnítear acmhainní lasmuigh den mhargadh, deimhnigh nach bhfaighidh na hacmhainní sin luach saothair ón margadh mórdhíola </w:t>
      </w:r>
      <w:r>
        <w:rPr>
          <w:color w:val="000000"/>
        </w:rPr>
        <w:lastRenderedPageBreak/>
        <w:t>leictreachais ná ó mhargaí cothromúcháin leis na hacmhainní sin agus go gcoinneofar iad lasmuigh de na margaí fuinnimh go gceann fhad na tréimhse conartha ar a laghad (pointe 364 CEEAG).</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I gcás sásraí acmhainneachta seachas cúltacaí straitéiseacha, léirigh, i gcomhréir le pointe 365 CEEAG, maidir leis an mbeart:</w:t>
      </w:r>
    </w:p>
    <w:p w14:paraId="61F8EA90" w14:textId="77777777" w:rsidR="00560F07" w:rsidRDefault="005333EE" w:rsidP="00A75D17">
      <w:pPr>
        <w:numPr>
          <w:ilvl w:val="1"/>
          <w:numId w:val="35"/>
        </w:numPr>
        <w:spacing w:after="240"/>
        <w:ind w:left="1134" w:hanging="283"/>
        <w:jc w:val="both"/>
        <w:rPr>
          <w:color w:val="000000"/>
        </w:rPr>
      </w:pPr>
      <w:r>
        <w:rPr>
          <w:color w:val="000000"/>
        </w:rPr>
        <w:t>Go bhfuil sé bunaithe chun a áirithiú go gclaonfaidh an praghas a íocfar as infhaighteacht i dtreo an nialais i gcás ina meastar go mbeidh an leibhéal acmhainneachta a sholáthrófar leormhaith chun an leibhéal acmhainneachta a éilítear a chomhlíonadh.</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A75D17">
      <w:pPr>
        <w:numPr>
          <w:ilvl w:val="1"/>
          <w:numId w:val="35"/>
        </w:numPr>
        <w:spacing w:after="240"/>
        <w:ind w:left="1134" w:hanging="283"/>
        <w:jc w:val="both"/>
        <w:rPr>
          <w:color w:val="000000"/>
        </w:rPr>
      </w:pPr>
      <w:r>
        <w:rPr>
          <w:color w:val="000000"/>
        </w:rPr>
        <w:t>Go dtugtar luach saothair do na hacmhainní rannpháirteacha as a n-infhaighteacht amháin agus go n-áirithítear nach ndéanfaidh an luach saothair difear do chinntí an tsoláthraí acmhainneachta cibé acu an nginfidh siad nó nach nginfidh siad.</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A75D17">
      <w:pPr>
        <w:numPr>
          <w:ilvl w:val="1"/>
          <w:numId w:val="35"/>
        </w:numPr>
        <w:ind w:left="1134" w:hanging="283"/>
        <w:jc w:val="both"/>
        <w:rPr>
          <w:color w:val="000000"/>
        </w:rPr>
      </w:pPr>
      <w:r>
        <w:rPr>
          <w:color w:val="000000"/>
        </w:rPr>
        <w:t>Gur féidir oibleagáidí acmhainneachta a bheith inaistrithe idir soláthraithe acmhainneachta incháilithe.</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Chun comhlíonadh phointe 366 CEEAG a fhíorú, léirigh nach ndéanfaidh an beart na nithe seo a leanas: </w:t>
      </w:r>
    </w:p>
    <w:p w14:paraId="28CFD8B5" w14:textId="77777777" w:rsidR="00727DA8" w:rsidRDefault="005333EE" w:rsidP="00A75D17">
      <w:pPr>
        <w:numPr>
          <w:ilvl w:val="0"/>
          <w:numId w:val="38"/>
        </w:numPr>
        <w:spacing w:after="240"/>
        <w:jc w:val="both"/>
        <w:rPr>
          <w:color w:val="000000"/>
        </w:rPr>
      </w:pPr>
      <w:r>
        <w:rPr>
          <w:color w:val="000000"/>
        </w:rPr>
        <w:t>Saobhadh margaidh míchuí a chruthú ná teorainn a chur le trádáil thraschreasach.</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A75D17">
      <w:pPr>
        <w:numPr>
          <w:ilvl w:val="0"/>
          <w:numId w:val="38"/>
        </w:numPr>
        <w:spacing w:after="240"/>
        <w:jc w:val="both"/>
        <w:rPr>
          <w:color w:val="000000"/>
        </w:rPr>
      </w:pPr>
      <w:r>
        <w:rPr>
          <w:color w:val="000000"/>
        </w:rPr>
        <w:t>Dreasachtaí a laghdú chun infheistíocht a dhéanamh in acmhainneacht idirnaisc – mar shampla tríd an ioncam ó phlódú a laghdú d’idirnascairí atá ann cheana nó d’idirnascairí nua.</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A75D17">
      <w:pPr>
        <w:numPr>
          <w:ilvl w:val="0"/>
          <w:numId w:val="38"/>
        </w:numPr>
        <w:spacing w:after="240"/>
        <w:jc w:val="both"/>
        <w:rPr>
          <w:color w:val="000000"/>
        </w:rPr>
      </w:pPr>
      <w:r>
        <w:rPr>
          <w:color w:val="000000"/>
        </w:rPr>
        <w:t>An bonn a bhaint de chúpláil an mhargaidh, lena n-áirítear margaí ionlae agus margaí cothromúcháin.</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A75D17">
      <w:pPr>
        <w:numPr>
          <w:ilvl w:val="0"/>
          <w:numId w:val="38"/>
        </w:numPr>
        <w:spacing w:after="240"/>
        <w:jc w:val="both"/>
        <w:rPr>
          <w:color w:val="000000"/>
        </w:rPr>
      </w:pPr>
      <w:r>
        <w:rPr>
          <w:color w:val="000000"/>
        </w:rPr>
        <w:t>An bonn a bhaint de chinntí infheistíochta maidir le hacmhainneacht a tháinig roimh an mbeart.</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lastRenderedPageBreak/>
        <w:t>Chun comhlíonadh phointe 367 CEEAG a fhíorú, léirigh gurb iad na rannpháirtithe sa mhargadh a chuireann leis an ngá atá leis an mbeart/na bearta a íocfaidh costais an bhirt a dtugtar fógra ina leith. Má mheasann tú nach bhfuil gá le leithdháileadh costas den sórt sin</w:t>
      </w:r>
      <w:r>
        <w:t>, mínigh cén fáth agus tabhair fianaise, lena n-áirítear an fhianaise a bailíodh sa chomhairliúchán poiblí.</w:t>
      </w:r>
      <w:r>
        <w:rPr>
          <w:color w:val="000000"/>
        </w:rPr>
        <w:t xml:space="preserve"> </w:t>
      </w:r>
      <w:r>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rPr>
          <w:color w:val="000000"/>
        </w:rPr>
        <w:t>De bhun</w:t>
      </w:r>
      <w:r>
        <w:t xml:space="preserve"> phointe 72 CEEAG, mínigh an gcomhlíonann an beart a dtugtar fógra ina leith na critéir maidir le gníomhaíochtaí eacnamaíocha atá inbhuanaithe ó thaobh an chomhshaoil de</w:t>
      </w:r>
      <w:r>
        <w:rPr>
          <w:shd w:val="clear" w:color="auto" w:fill="FFFFFF"/>
        </w:rPr>
        <w:t xml:space="preserve"> dá bhforáiltear in </w:t>
      </w:r>
      <w:r>
        <w:t>Airteagal 3 de Rialachán (AE) 2020/852 ó Pharlaimint na hEorpa agus ón gComhairle,</w:t>
      </w:r>
      <w:r>
        <w:rPr>
          <w:rStyle w:val="FootnoteReference"/>
          <w:lang w:eastAsia="en-GB"/>
        </w:rPr>
        <w:footnoteReference w:id="10"/>
      </w:r>
      <w:r>
        <w:rPr>
          <w:shd w:val="clear" w:color="auto" w:fill="FFFFFF"/>
        </w:rPr>
        <w:t xml:space="preserve"> lena n-áirítear an prionsabal ‘gan dochar suntasach a dhéanamh’</w:t>
      </w:r>
      <w:r>
        <w:rPr>
          <w:rStyle w:val="FootnoteReference"/>
          <w:shd w:val="clear" w:color="auto" w:fill="FFFFFF"/>
        </w:rPr>
        <w:footnoteReference w:id="11"/>
      </w:r>
      <w:r>
        <w:rPr>
          <w:shd w:val="clear" w:color="auto" w:fill="FFFFFF"/>
        </w:rPr>
        <w:t>, nó modheolaíochtaí inchomparáide eile.</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rPr>
          <w:color w:val="000000"/>
        </w:rPr>
        <w:t>De bhun</w:t>
      </w:r>
      <w:r>
        <w:t xml:space="preserve"> phointe 75 CEEAG, i gcásanna ina roghnaíonn an Ballstát nós imeachta tairisceana iomaíoch a chur chun feidhme, soiléirigh an n-áirítear gnéithe sa bheart a dtugtar fógra ina leith chun rannpháirtíocht FBManna nó pobal fuinnimh in-athnuaite a éascú. Más amhlaidh, tabhair faisnéis maidir leis na gnéithe sin agus tabhair údar leis an gcaoi gur mó na héifeachtaí dearfacha a bhaineann le rannpháirtíocht agus glacadh FBManna a áirithiú sa bheart/sna bearta a dtugtar fógra ina leith ná na hiarmhairtí saobhacha a d’fhéadfadh a bheith ann.</w:t>
      </w:r>
    </w:p>
    <w:p w14:paraId="02E6A627" w14:textId="4B5682B8" w:rsidR="004901DA" w:rsidRPr="00AC1973" w:rsidRDefault="004901DA" w:rsidP="00757930">
      <w:pPr>
        <w:pStyle w:val="ListParagraph"/>
        <w:spacing w:before="120" w:after="120"/>
        <w:ind w:left="567"/>
        <w:contextualSpacing w:val="0"/>
        <w:jc w:val="both"/>
      </w:pPr>
      <w:r>
        <w:t xml:space="preserve"> </w:t>
      </w:r>
      <w:r>
        <w:br/>
        <w:t>…………………………………………………………………………………………….</w:t>
      </w:r>
    </w:p>
    <w:p w14:paraId="060F166E" w14:textId="76EDD169" w:rsidR="00363A2F" w:rsidRDefault="00363A2F" w:rsidP="00207312">
      <w:pPr>
        <w:numPr>
          <w:ilvl w:val="0"/>
          <w:numId w:val="4"/>
        </w:numPr>
        <w:spacing w:after="240"/>
        <w:ind w:left="567" w:hanging="567"/>
        <w:jc w:val="both"/>
      </w:pPr>
      <w:r>
        <w:rPr>
          <w:color w:val="000000"/>
        </w:rPr>
        <w:t>Chun</w:t>
      </w:r>
      <w:r>
        <w:t xml:space="preserve"> comhlíonadh phointí 368 agus 369 CEEAG a fhíorú, déan an méid seo a leanas:</w:t>
      </w:r>
    </w:p>
    <w:p w14:paraId="0D229619" w14:textId="5FC55C14" w:rsidR="000B0545" w:rsidRDefault="00C3175A" w:rsidP="00A75D17">
      <w:pPr>
        <w:pStyle w:val="ListParagraph"/>
        <w:numPr>
          <w:ilvl w:val="0"/>
          <w:numId w:val="39"/>
        </w:numPr>
        <w:spacing w:before="120" w:after="120"/>
        <w:contextualSpacing w:val="0"/>
        <w:jc w:val="both"/>
      </w:pPr>
      <w:r>
        <w:t>I gcás ina gcruthaítear dreasachtaí le haghaidh infheistíochtaí nua sna breoslaí iontaise is truaillithí leis an mbeart ar tugadh fógra ina leith, mínigh an urramaíonn an beart, lena n-áirítear bearta um phlódú líonra agus scéimeanna in-idirbhristeachta, an tairseach astaíochtaí is infheidhme maidir le sásraí acmhainneachta a leagtar amach in Airteagal 22 de Rialachán (AE)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A75D17">
      <w:pPr>
        <w:pStyle w:val="ListParagraph"/>
        <w:numPr>
          <w:ilvl w:val="0"/>
          <w:numId w:val="39"/>
        </w:numPr>
      </w:pPr>
      <w:r>
        <w:t xml:space="preserve">I gcás ina gcruthaítear dreasachtaí le haghaidh infheistíochtaí nua i nginiúint fuinnimh atá bunaithe ar ghás nádúrtha leis an mbeart a dtugtar fógra ina leith, </w:t>
      </w:r>
      <w:r>
        <w:lastRenderedPageBreak/>
        <w:t>mínigh conas a áiritheofar leis an mbeart go gcuirfidh sé le sprioc aeráide 2030 an Aontais agus sprioc aeráidneodrachta 2050 an Aontais a bhaint amach. Go háirithe, mínigh conas a sheachnófar glasáil na giniúna fuinnimh gásadhainte sin nó an trealaimh táirgthe gásadhainte sin.</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I gcás</w:t>
      </w:r>
      <w:r>
        <w:rPr>
          <w:color w:val="333333"/>
          <w:shd w:val="clear" w:color="auto" w:fill="FFFFFF"/>
        </w:rPr>
        <w:t xml:space="preserve"> bearta aonair cabhrach nó scéimeanna nach ndéanann tairbhe ach do líon teoranta tairbhithe nó do thairbhí atá ann faoi láthair, léirigh freisin nach mbeidh cumhacht mhéadaithe sa mhargadh mar thoradh ar an mbeart cabhrach atá beartaithe (pointe 370 CEAAG).</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Roinn C: Meastóireacht</w:t>
            </w:r>
          </w:p>
        </w:tc>
      </w:tr>
    </w:tbl>
    <w:p w14:paraId="78AC9B95" w14:textId="1FB76E7E" w:rsidR="00C33721" w:rsidRPr="0051324D" w:rsidRDefault="00C33721" w:rsidP="005C6138">
      <w:pPr>
        <w:tabs>
          <w:tab w:val="left" w:leader="dot" w:pos="9072"/>
        </w:tabs>
        <w:spacing w:before="120" w:after="120"/>
        <w:ind w:left="567"/>
        <w:jc w:val="both"/>
      </w:pPr>
      <w:r>
        <w:rPr>
          <w:i/>
        </w:rPr>
        <w:t>Chun an fhaisnéis sa roinn seo a sholáthar, féach pointe 76(a) agus Caibidil 5 (pointí 455-463) CEEAG.</w:t>
      </w:r>
    </w:p>
    <w:p w14:paraId="319011B2" w14:textId="6538C74F" w:rsidR="002F3E3B" w:rsidRDefault="002F3E3B" w:rsidP="00207312">
      <w:pPr>
        <w:numPr>
          <w:ilvl w:val="0"/>
          <w:numId w:val="4"/>
        </w:numPr>
        <w:spacing w:after="240"/>
        <w:ind w:left="567" w:hanging="567"/>
        <w:jc w:val="both"/>
      </w:pPr>
      <w:r>
        <w:t>I gcás ina sáraíonn an beart/na bearta a dtugtar fógra ina leith na tairseacha buiséid/caiteachais i bpointe 456 CEEAG, mínigh cén fáth, i do thuairim, ar cheart feidhm a bheith ag an eisceacht i bpointe 457 CEEAG, nó cuir Iarscríbhinn i gceangal leis an bhfoirm fógra seo ina bhfuil dréachtphlean meastóireachta ina gcumhdaítear an raon feidhme a luaitear i bpointe 458 CEEAG.</w:t>
      </w:r>
      <w:r>
        <w:rPr>
          <w:vertAlign w:val="superscript"/>
          <w:lang w:eastAsia="en-GB"/>
        </w:rPr>
        <w:footnoteReference w:id="12"/>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Má sholáthraítear dréachtphlean meastóireachta, déan an méid seo a leanas:</w:t>
      </w:r>
    </w:p>
    <w:p w14:paraId="2E38E9A8" w14:textId="77777777" w:rsidR="00237F5F" w:rsidRDefault="00237F5F" w:rsidP="00A75D17">
      <w:pPr>
        <w:numPr>
          <w:ilvl w:val="2"/>
          <w:numId w:val="28"/>
        </w:numPr>
        <w:ind w:left="1134" w:hanging="283"/>
      </w:pPr>
      <w:r>
        <w:t>tabhair thíos achoimre ar an dréachtphlean meastóireachta sin atá san Iarscríbhinn.</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A75D17">
      <w:pPr>
        <w:numPr>
          <w:ilvl w:val="2"/>
          <w:numId w:val="28"/>
        </w:numPr>
        <w:ind w:left="1134" w:hanging="283"/>
      </w:pPr>
      <w:r>
        <w:t>deimhnigh go n-urramófar pointe 460 CEEAG.</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A75D17">
      <w:pPr>
        <w:numPr>
          <w:ilvl w:val="2"/>
          <w:numId w:val="28"/>
        </w:numPr>
        <w:ind w:left="1134" w:hanging="283"/>
      </w:pPr>
      <w:r>
        <w:t>tabhair an dáta agus an nasc idirlín ina mbeidh an plean meastóireachta ar fáil go poiblí.</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Chun comhlíonadh phointe 459(b) CEEAG a fhíorú, i gcás nach bhfuil an scéim cabhrach faoi réir meastóireacht </w:t>
      </w:r>
      <w:r>
        <w:rPr>
          <w:i/>
        </w:rPr>
        <w:t>ex post</w:t>
      </w:r>
      <w:r>
        <w:t xml:space="preserve"> faoi láthair agus gur faide í ná 3 bliana, deimhnigh go dtabharfaidh tú fógra faoi dhréachtphlean meastóireachta laistigh de 30 lá </w:t>
      </w:r>
      <w:r>
        <w:lastRenderedPageBreak/>
        <w:t xml:space="preserve">oibre tar éis modhnú mór lena méadófar buiséad na scéime go dtí os cionn EUR 150 milliún in aon bhliain ar leith nó EUR 750 milliún thar thréimhse iomlán na scéime.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rPr>
          <w:color w:val="000000"/>
        </w:rPr>
        <w:t>Chun</w:t>
      </w:r>
      <w:r>
        <w:t xml:space="preserve"> comhlíonadh phointe 459(c) CEEAG a fhíorú, i gcás nach bhfuil an scéim cabhrach faoi réir meastóireacht </w:t>
      </w:r>
      <w:r>
        <w:rPr>
          <w:i/>
        </w:rPr>
        <w:t>ex post</w:t>
      </w:r>
      <w:r>
        <w:t xml:space="preserve"> faoi láthair, tabhair gealltanas thíos go dtabharfaidh an Ballstát fógra faoi dhréachtphlean meastóireachta </w:t>
      </w:r>
      <w:r>
        <w:rPr>
          <w:shd w:val="clear" w:color="auto" w:fill="FFFFFF"/>
        </w:rPr>
        <w:t>laistigh de 30 lá oibre tar éis caiteachas os cionn EUR 150 milliún sa bhliain roimhe sin a thaifeadadh i gcuntais oifigiúla</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I gcomhréir leis na forálacha i bpointe 461 CEEAG, déan an méid seo a leanas:</w:t>
      </w:r>
    </w:p>
    <w:p w14:paraId="516B7EF0" w14:textId="6220BF62" w:rsidR="0012481A" w:rsidRDefault="00277BC0" w:rsidP="00A75D17">
      <w:pPr>
        <w:numPr>
          <w:ilvl w:val="0"/>
          <w:numId w:val="40"/>
        </w:numPr>
        <w:jc w:val="both"/>
      </w:pPr>
      <w:r>
        <w:t>Soiléirigh cé acu a roghnaíodh an saineolaí neamhspleách cheana féin nó a roghnófar é amach anseo.</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A75D17">
      <w:pPr>
        <w:numPr>
          <w:ilvl w:val="0"/>
          <w:numId w:val="40"/>
        </w:numPr>
        <w:jc w:val="both"/>
      </w:pPr>
      <w:r>
        <w:t>Tabhair faisnéis faoin bpróiseas roghnúcháin chun an saineolaí a roghnú.</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A75D17">
      <w:pPr>
        <w:numPr>
          <w:ilvl w:val="0"/>
          <w:numId w:val="40"/>
        </w:numPr>
        <w:jc w:val="both"/>
      </w:pPr>
      <w:r>
        <w:t>Tabhair údar leis an gcaoi a bhfuil an saineolaí neamhspleách ar an údarás deonúcháin.</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I gcomhréir leis na forálacha i bpointe 461 CEEAG, déan an méid seo a leanas:</w:t>
      </w:r>
    </w:p>
    <w:p w14:paraId="56904831" w14:textId="2B9E8697" w:rsidR="007F77C3" w:rsidRDefault="002C0264" w:rsidP="00A75D17">
      <w:pPr>
        <w:numPr>
          <w:ilvl w:val="0"/>
          <w:numId w:val="41"/>
        </w:numPr>
        <w:spacing w:before="240"/>
        <w:jc w:val="both"/>
      </w:pPr>
      <w:r>
        <w:t>Tabhair na sprioc-amanna atá beartaithe agat chun an tuarascáil mheastóireachta eatramhach agus an tuarascáil mheastóireachta deiridh a chur isteach. Tabhair faoi deara nach mór an tuarascáil mheastóireachta deiridh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A75D17">
      <w:pPr>
        <w:numPr>
          <w:ilvl w:val="0"/>
          <w:numId w:val="41"/>
        </w:numPr>
        <w:spacing w:before="240"/>
        <w:jc w:val="both"/>
      </w:pPr>
      <w:r>
        <w:t xml:space="preserve">Deimhnigh go gcuirfear an tuarascáil mheastóireachta eatramhach agus an tuarascáil mheastóireachta deiridh ar fáil go poiblí. Tabhair an dáta agus an nasc idirlín ina mbeidh na tuarascálacha sin ar fáil go poiblí.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lastRenderedPageBreak/>
              <w:t>Roinn D: Tuairisciú agus faireachán</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Chun an fhaisnéis sa roinn seo a sholáthar, féach Roinn 6 (pointí 464-465) CEEAG.</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rPr>
          <w:color w:val="000000"/>
        </w:rPr>
        <w:t>Deimhnigh</w:t>
      </w:r>
      <w:r>
        <w:t xml:space="preserve"> go gcomhlíonfaidh an Ballstát na ceanglais maidir le tuairisciú agus faireachán a thugtar i Roinn 6, pointí 464 agus 465 CEEAG.</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w:t>
    </w:r>
    <w:r>
      <w:t>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IO C 80, 18.2.2022, lch. 1.</w:t>
      </w:r>
    </w:p>
  </w:footnote>
  <w:footnote w:id="3">
    <w:p w14:paraId="25384A16" w14:textId="699CB629" w:rsidR="00FA6EB5" w:rsidRPr="009F1C3C" w:rsidRDefault="00FA6EB5">
      <w:pPr>
        <w:pStyle w:val="FootnoteText"/>
      </w:pPr>
      <w:r>
        <w:rPr>
          <w:rStyle w:val="FootnoteReference"/>
        </w:rPr>
        <w:footnoteRef/>
      </w:r>
      <w:r>
        <w:t xml:space="preserve"> </w:t>
      </w:r>
      <w:r>
        <w:tab/>
      </w:r>
      <w:r>
        <w:t xml:space="preserve">Tabhair </w:t>
      </w:r>
      <w:r>
        <w:t>faoi deara, i gcás scéim cabhrach, gurb é an fad na tréimhse ar lena linn a fhéadfar iarratas a dhéanamh ar chabhair agus cinneadh a dhéanamh ina leith (lena n‐áirítear, dá bhrí sin, an t‐am is gá do na húdaráis náisiúnta chun na hiarratais ar chabhair a fhormheas). Ní bhaineann an fad dá dtagraítear faoin gceist seo le fad na gconarthaí a thugtar i gcrích faoin scéim cabhrach, a fhéadfaidh leanúint ar aghaidh níos faide ná fad an bhirt.</w:t>
      </w:r>
    </w:p>
  </w:footnote>
  <w:footnote w:id="4">
    <w:p w14:paraId="3A3265CA" w14:textId="77777777" w:rsidR="00B22D69" w:rsidRPr="0067348B" w:rsidRDefault="00B22D69" w:rsidP="00B22D69">
      <w:pPr>
        <w:pStyle w:val="FootnoteText"/>
      </w:pPr>
      <w:r>
        <w:rPr>
          <w:rStyle w:val="FootnoteReference"/>
        </w:rPr>
        <w:footnoteRef/>
      </w:r>
      <w:r>
        <w:tab/>
      </w:r>
      <w:r>
        <w:t xml:space="preserve">Tabhair </w:t>
      </w:r>
      <w:r>
        <w:t>faoi deara go bhféadfadh athrú ar chabhair a bheith i gceist le hathrú ar an mbuiséad iarbhír nó measta, rud a mbeadh fógra nua riachtanach ina leith.</w:t>
      </w:r>
    </w:p>
  </w:footnote>
  <w:footnote w:id="5">
    <w:p w14:paraId="590F3FC7" w14:textId="30CB4935" w:rsidR="00E55520" w:rsidRDefault="00E55520" w:rsidP="00821F07">
      <w:pPr>
        <w:pStyle w:val="FootnoteText"/>
      </w:pPr>
      <w:r>
        <w:rPr>
          <w:rStyle w:val="FootnoteReference"/>
        </w:rPr>
        <w:footnoteRef/>
      </w:r>
      <w:r>
        <w:tab/>
      </w:r>
      <w:r>
        <w:t xml:space="preserve">De </w:t>
      </w:r>
      <w:r>
        <w:t>réir phointe 19(89) CEEAG, ciallaíonn ‘caighdeán de chuid an Aontais’:</w:t>
      </w:r>
    </w:p>
    <w:p w14:paraId="340A0B20" w14:textId="77777777" w:rsidR="00E55520" w:rsidRPr="004B74BC" w:rsidRDefault="00E55520" w:rsidP="00A75D17">
      <w:pPr>
        <w:pStyle w:val="FootnoteText"/>
        <w:numPr>
          <w:ilvl w:val="0"/>
          <w:numId w:val="27"/>
        </w:numPr>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02AC4E0B" w14:textId="14D21BDD" w:rsidR="00E55520" w:rsidRDefault="00E55520" w:rsidP="00A75D17">
      <w:pPr>
        <w:pStyle w:val="FootnoteText"/>
        <w:numPr>
          <w:ilvl w:val="0"/>
          <w:numId w:val="27"/>
        </w:numPr>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6">
    <w:p w14:paraId="6598727F" w14:textId="2CE0C196" w:rsidR="00E55520" w:rsidRDefault="00E55520">
      <w:pPr>
        <w:pStyle w:val="FootnoteText"/>
      </w:pPr>
      <w:r>
        <w:rPr>
          <w:rStyle w:val="FootnoteReference"/>
        </w:rPr>
        <w:footnoteRef/>
      </w:r>
      <w:r>
        <w:t xml:space="preserve"> </w:t>
      </w:r>
      <w:r>
        <w:tab/>
      </w:r>
      <w:r>
        <w:t xml:space="preserve">Mar </w:t>
      </w:r>
      <w:r>
        <w:t xml:space="preserve">eolas, foráiltear i bhfonóta 42 CEEAG, </w:t>
      </w:r>
      <w:r>
        <w:rPr>
          <w:i/>
        </w:rPr>
        <w:t>‘</w:t>
      </w:r>
      <w:r>
        <w:rPr>
          <w:i/>
          <w:color w:val="000000"/>
          <w:sz w:val="19"/>
          <w:shd w:val="clear" w:color="auto" w:fill="FFFFFF"/>
        </w:rPr>
        <w:t>Bonnphraghsanna nó uasteorainneacha a chuireann srian ar an bpróiseas iomaíoch a bhaineann an bonn den chomhréireacht, ba cheart iad a sheachaint, fiú más comhionann le nialas atá siad.’</w:t>
      </w:r>
    </w:p>
  </w:footnote>
  <w:footnote w:id="7">
    <w:p w14:paraId="7BF90FA8" w14:textId="77777777" w:rsidR="0003031C" w:rsidRPr="0095488F" w:rsidRDefault="0003031C" w:rsidP="0003031C">
      <w:pPr>
        <w:pStyle w:val="FootnoteText"/>
      </w:pPr>
      <w:r>
        <w:rPr>
          <w:rStyle w:val="FootnoteReference"/>
        </w:rPr>
        <w:footnoteRef/>
      </w:r>
      <w:r>
        <w:t xml:space="preserve"> </w:t>
      </w:r>
      <w:r>
        <w:tab/>
      </w:r>
      <w:r>
        <w:t xml:space="preserve">Féach </w:t>
      </w:r>
      <w:r>
        <w:t>freisin an fhaisnéis bhreise i bpointí 51-53 chomh maith le fonótaí 45, 46, agus 55 CEEAG.</w:t>
      </w:r>
    </w:p>
  </w:footnote>
  <w:footnote w:id="8">
    <w:p w14:paraId="086AD512" w14:textId="7087BE19" w:rsidR="00E55520" w:rsidRDefault="00E55520">
      <w:pPr>
        <w:pStyle w:val="FootnoteText"/>
      </w:pPr>
      <w:r>
        <w:rPr>
          <w:rStyle w:val="FootnoteReference"/>
        </w:rPr>
        <w:footnoteRef/>
      </w:r>
      <w:r>
        <w:tab/>
      </w:r>
      <w:r>
        <w:t xml:space="preserve">Is </w:t>
      </w:r>
      <w:r>
        <w:t>éard is cistiú ón Aontas a bhainistítear go lárnach ann cistiú ón Aontas a bhainistítear go lárnach ag institiúidí, gníomhaireachta, comhghnóthais nó comhlachtaí eile de chuid an Aontais Eorpaigh nach bhfuil faoi rialú go díreach nó go hindíreach ag na Ballstáit.</w:t>
      </w:r>
    </w:p>
  </w:footnote>
  <w:footnote w:id="9">
    <w:p w14:paraId="46FDB4C5" w14:textId="626320F5" w:rsidR="00E308B3" w:rsidRPr="004A1D89" w:rsidRDefault="00E308B3">
      <w:pPr>
        <w:pStyle w:val="FootnoteText"/>
      </w:pPr>
      <w:r>
        <w:rPr>
          <w:rStyle w:val="FootnoteReference"/>
        </w:rPr>
        <w:footnoteRef/>
      </w:r>
      <w:r>
        <w:t xml:space="preserve"> </w:t>
      </w:r>
      <w:r>
        <w:tab/>
      </w:r>
      <w:r>
        <w:t xml:space="preserve">De </w:t>
      </w:r>
      <w:r>
        <w:t>réir phointe 367 CEEAG, ‘</w:t>
      </w:r>
      <w:r>
        <w:rPr>
          <w:i/>
        </w:rPr>
        <w:t>d’fhéadfadh sé nach mbeadh gá le leithdháileadh costas den sórt sin i gcás ina gcuireann an Ballstát anailís ar fáil ar bhonn fianaise, lena n-áirítear an fhianaise sin a bailíodh le linn an chomhairliúcháin phoiblí, go mbainfeadh leithdháileadh na gcostas ar an mbealach sin an bonn de chost-éifeachtúlacht an bhirt nó go mbeadh saobhadh mór iomaíochta ann dá thoradh sin agus, saobhadh a bhainfeadh an bonn de na sochair a d’fhéadfadh teacht as leithdháileadh costas den sórt sin</w:t>
      </w:r>
      <w:r>
        <w:t>.</w:t>
      </w:r>
    </w:p>
  </w:footnote>
  <w:footnote w:id="10">
    <w:p w14:paraId="02AA3570" w14:textId="77777777" w:rsidR="00E55520" w:rsidRPr="008772CC" w:rsidRDefault="00E55520" w:rsidP="004B2EF3">
      <w:pPr>
        <w:pStyle w:val="FootnoteText"/>
      </w:pPr>
      <w:r>
        <w:rPr>
          <w:rStyle w:val="FootnoteReference"/>
        </w:rPr>
        <w:footnoteRef/>
      </w:r>
      <w:r>
        <w:tab/>
      </w:r>
      <w:r>
        <w:t>Rialachán (AE) 2020/852 ó Pharlaimint na hEorpa agus ón gComhairle an 18 Meitheamh 2020 maidir le creat a bhunú chun infheistíocht inbhuanaithe a éascú, agus lena leasaítear Rialachán (AE) 2019/2088 (IO L 198, 22.6.2020, lch. 13).</w:t>
      </w:r>
    </w:p>
  </w:footnote>
  <w:footnote w:id="11">
    <w:p w14:paraId="56D0AFFA" w14:textId="77777777" w:rsidR="00E55520" w:rsidRDefault="00E55520" w:rsidP="004B2EF3">
      <w:pPr>
        <w:pStyle w:val="FootnoteText"/>
      </w:pPr>
      <w:r>
        <w:rPr>
          <w:rStyle w:val="FootnoteReference"/>
        </w:rPr>
        <w:footnoteRef/>
      </w:r>
      <w:r>
        <w:t xml:space="preserve"> </w:t>
      </w:r>
      <w:r>
        <w:tab/>
      </w:r>
      <w:r>
        <w:t xml:space="preserve">Tabhair </w:t>
      </w:r>
      <w:r>
        <w:t>faoi deara, de réir fo-nóta 50 CEEAG, ‘</w:t>
      </w:r>
      <w:r>
        <w:rPr>
          <w:i/>
          <w:color w:val="000000"/>
          <w:sz w:val="19"/>
          <w:shd w:val="clear" w:color="auto" w:fill="FFFFFF"/>
        </w:rPr>
        <w:t>Maidir le bearta atá comhionann le bearta laistigh de Phleananna Téarnaimh agus Athléimneachta mar a d’fhormheas an Chomhairle iad, meastar gur comhlíonadh an prionsabal “gan dochar suntasach a dhéanamh” mar go ndearnadh sin a fhíorú cheana féin.’</w:t>
      </w:r>
    </w:p>
  </w:footnote>
  <w:footnote w:id="12">
    <w:p w14:paraId="4C240C5F" w14:textId="77777777" w:rsidR="002F3E3B" w:rsidRDefault="002F3E3B" w:rsidP="002F3E3B">
      <w:pPr>
        <w:pStyle w:val="FootnoteText"/>
      </w:pPr>
      <w:r>
        <w:rPr>
          <w:rStyle w:val="FootnoteReference"/>
        </w:rPr>
        <w:footnoteRef/>
      </w:r>
      <w:r>
        <w:tab/>
      </w:r>
      <w:r>
        <w:t xml:space="preserve">Tá </w:t>
      </w:r>
      <w:r>
        <w:t xml:space="preserve">an teimpléad don bhileog faisnéise forlíontaí chun fógra a thabhairt faoi phlean meastóireachta (Cuid III.8) le fáil anseo: </w:t>
      </w:r>
      <w:hyperlink w:anchor="evaluation-plan" w:history="1">
        <w:r>
          <w:rPr>
            <w:rStyle w:val="Hyperlink"/>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FB92E5F"/>
    <w:multiLevelType w:val="hybridMultilevel"/>
    <w:tmpl w:val="422E605C"/>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6291B8F"/>
    <w:multiLevelType w:val="hybridMultilevel"/>
    <w:tmpl w:val="422E605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8" w15:restartNumberingAfterBreak="0">
    <w:nsid w:val="76061CD6"/>
    <w:multiLevelType w:val="hybridMultilevel"/>
    <w:tmpl w:val="422E605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7BAC4951"/>
    <w:multiLevelType w:val="hybridMultilevel"/>
    <w:tmpl w:val="422E605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260404938">
    <w:abstractNumId w:val="7"/>
  </w:num>
  <w:num w:numId="2" w16cid:durableId="167333053">
    <w:abstractNumId w:val="12"/>
  </w:num>
  <w:num w:numId="3" w16cid:durableId="18915775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4"/>
  </w:num>
  <w:num w:numId="5" w16cid:durableId="2125998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3"/>
  </w:num>
  <w:num w:numId="7" w16cid:durableId="1226913539">
    <w:abstractNumId w:val="19"/>
  </w:num>
  <w:num w:numId="8" w16cid:durableId="599215065">
    <w:abstractNumId w:val="6"/>
  </w:num>
  <w:num w:numId="9" w16cid:durableId="2031644641">
    <w:abstractNumId w:val="5"/>
  </w:num>
  <w:num w:numId="10" w16cid:durableId="1092891155">
    <w:abstractNumId w:val="32"/>
  </w:num>
  <w:num w:numId="11" w16cid:durableId="1907104691">
    <w:abstractNumId w:val="35"/>
  </w:num>
  <w:num w:numId="12" w16cid:durableId="51199480">
    <w:abstractNumId w:val="33"/>
  </w:num>
  <w:num w:numId="13" w16cid:durableId="1976720153">
    <w:abstractNumId w:val="37"/>
  </w:num>
  <w:num w:numId="14" w16cid:durableId="1375690653">
    <w:abstractNumId w:val="16"/>
  </w:num>
  <w:num w:numId="15" w16cid:durableId="1240402151">
    <w:abstractNumId w:val="26"/>
  </w:num>
  <w:num w:numId="16" w16cid:durableId="975187432">
    <w:abstractNumId w:val="3"/>
  </w:num>
  <w:num w:numId="17" w16cid:durableId="1867600656">
    <w:abstractNumId w:val="29"/>
  </w:num>
  <w:num w:numId="18" w16cid:durableId="503472073">
    <w:abstractNumId w:val="1"/>
  </w:num>
  <w:num w:numId="19" w16cid:durableId="1784031062">
    <w:abstractNumId w:val="0"/>
  </w:num>
  <w:num w:numId="20" w16cid:durableId="1439989596">
    <w:abstractNumId w:val="4"/>
  </w:num>
  <w:num w:numId="21" w16cid:durableId="1016275709">
    <w:abstractNumId w:val="14"/>
  </w:num>
  <w:num w:numId="22" w16cid:durableId="151063031">
    <w:abstractNumId w:val="21"/>
  </w:num>
  <w:num w:numId="23" w16cid:durableId="53816324">
    <w:abstractNumId w:val="10"/>
  </w:num>
  <w:num w:numId="24" w16cid:durableId="1094087480">
    <w:abstractNumId w:val="30"/>
  </w:num>
  <w:num w:numId="25" w16cid:durableId="1749956519">
    <w:abstractNumId w:val="18"/>
  </w:num>
  <w:num w:numId="26" w16cid:durableId="190800748">
    <w:abstractNumId w:val="8"/>
  </w:num>
  <w:num w:numId="27" w16cid:durableId="397703930">
    <w:abstractNumId w:val="22"/>
  </w:num>
  <w:num w:numId="28" w16cid:durableId="2000887330">
    <w:abstractNumId w:val="2"/>
  </w:num>
  <w:num w:numId="29" w16cid:durableId="404423481">
    <w:abstractNumId w:val="36"/>
  </w:num>
  <w:num w:numId="30" w16cid:durableId="962618137">
    <w:abstractNumId w:val="9"/>
  </w:num>
  <w:num w:numId="31" w16cid:durableId="1390108512">
    <w:abstractNumId w:val="13"/>
  </w:num>
  <w:num w:numId="32" w16cid:durableId="55207693">
    <w:abstractNumId w:val="25"/>
  </w:num>
  <w:num w:numId="33" w16cid:durableId="1832794821">
    <w:abstractNumId w:val="28"/>
  </w:num>
  <w:num w:numId="34" w16cid:durableId="1959412921">
    <w:abstractNumId w:val="15"/>
  </w:num>
  <w:num w:numId="35" w16cid:durableId="196967872">
    <w:abstractNumId w:val="39"/>
  </w:num>
  <w:num w:numId="36" w16cid:durableId="2031370701">
    <w:abstractNumId w:val="20"/>
  </w:num>
  <w:num w:numId="37" w16cid:durableId="127818530">
    <w:abstractNumId w:val="17"/>
  </w:num>
  <w:num w:numId="38" w16cid:durableId="264700644">
    <w:abstractNumId w:val="11"/>
  </w:num>
  <w:num w:numId="39" w16cid:durableId="1816216150">
    <w:abstractNumId w:val="38"/>
  </w:num>
  <w:num w:numId="40" w16cid:durableId="1562670304">
    <w:abstractNumId w:val="40"/>
  </w:num>
  <w:num w:numId="41" w16cid:durableId="1623151106">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8D0"/>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5D17"/>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5441</Words>
  <Characters>34389</Characters>
  <Application>Microsoft Office Word</Application>
  <DocSecurity>0</DocSecurity>
  <Lines>781</Lines>
  <Paragraphs>331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4</cp:revision>
  <cp:lastPrinted>2024-05-22T14:05:00Z</cp:lastPrinted>
  <dcterms:created xsi:type="dcterms:W3CDTF">2024-08-29T09:58:00Z</dcterms:created>
  <dcterms:modified xsi:type="dcterms:W3CDTF">2024-09-11T15:22:00Z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