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711243" w14:paraId="2D98EF73" w14:textId="77777777" w:rsidTr="00697188">
        <w:trPr>
          <w:trHeight w:val="1134"/>
        </w:trPr>
        <w:tc>
          <w:tcPr>
            <w:tcW w:w="9214" w:type="dxa"/>
            <w:shd w:val="pct15" w:color="auto" w:fill="auto"/>
          </w:tcPr>
          <w:p w14:paraId="61D746A6" w14:textId="759CC1BC" w:rsidR="004569F7" w:rsidRDefault="00FA1F8A" w:rsidP="007B485D">
            <w:pPr>
              <w:pStyle w:val="Heading2"/>
              <w:spacing w:before="240" w:after="240"/>
              <w:jc w:val="center"/>
              <w:rPr>
                <w:sz w:val="32"/>
                <w:szCs w:val="32"/>
              </w:rPr>
            </w:pPr>
            <w:bookmarkStart w:id="0" w:name="_Toc414370364"/>
            <w:bookmarkStart w:id="1" w:name="_Toc416949016"/>
            <w:r>
              <w:rPr>
                <w:sz w:val="32"/>
              </w:rPr>
              <w:t xml:space="preserve">Del III.6 </w:t>
            </w:r>
          </w:p>
          <w:p w14:paraId="1C239D2C" w14:textId="25225CC9" w:rsidR="000442F5" w:rsidRPr="009916D5" w:rsidRDefault="004569F7" w:rsidP="007B485D">
            <w:pPr>
              <w:pStyle w:val="Heading2"/>
              <w:spacing w:before="240" w:after="240"/>
              <w:jc w:val="center"/>
              <w:rPr>
                <w:sz w:val="32"/>
                <w:szCs w:val="32"/>
              </w:rPr>
            </w:pPr>
            <w:r>
              <w:rPr>
                <w:sz w:val="32"/>
              </w:rPr>
              <w:t>Ajourført* Supplerende informationsskema for statsstøtte ydet i henhold til retningslinjerne for statsstøtte til klima, miljøbeskyttelse og energi 2022 (CEEAG)</w:t>
            </w:r>
            <w:r>
              <w:rPr>
                <w:sz w:val="32"/>
                <w:szCs w:val="32"/>
                <w:vertAlign w:val="superscript"/>
              </w:rPr>
              <w:footnoteReference w:id="2"/>
            </w:r>
            <w:r>
              <w:rPr>
                <w:sz w:val="32"/>
              </w:rPr>
              <w:t xml:space="preserve"> </w:t>
            </w:r>
            <w:bookmarkEnd w:id="0"/>
            <w:bookmarkEnd w:id="1"/>
          </w:p>
          <w:p w14:paraId="6C6A60C7" w14:textId="431AC8F9" w:rsidR="002B52B3" w:rsidRDefault="002B52B3" w:rsidP="00A31B5C">
            <w:pPr>
              <w:jc w:val="center"/>
              <w:rPr>
                <w:sz w:val="32"/>
                <w:szCs w:val="32"/>
              </w:rPr>
            </w:pPr>
            <w:r>
              <w:rPr>
                <w:sz w:val="32"/>
              </w:rPr>
              <w:t>Kapitel 4.8 – Støtte til elforsyningssikkerhed</w:t>
            </w:r>
          </w:p>
          <w:p w14:paraId="243D1A50" w14:textId="77777777" w:rsidR="004569F7" w:rsidRDefault="004569F7" w:rsidP="00A31B5C">
            <w:pPr>
              <w:jc w:val="center"/>
            </w:pPr>
          </w:p>
          <w:p w14:paraId="469DC4EF" w14:textId="68811B32" w:rsidR="004569F7" w:rsidRPr="00711243" w:rsidRDefault="004569F7" w:rsidP="00940D30">
            <w:pPr>
              <w:numPr>
                <w:ilvl w:val="0"/>
                <w:numId w:val="32"/>
              </w:numPr>
            </w:pPr>
            <w:r>
              <w:rPr>
                <w:highlight w:val="yellow"/>
              </w:rPr>
              <w:t>endnu ikke formelt vedtaget</w:t>
            </w:r>
          </w:p>
        </w:tc>
      </w:tr>
    </w:tbl>
    <w:p w14:paraId="5F26D476" w14:textId="0645BA6F" w:rsidR="000442F5" w:rsidRPr="00711243" w:rsidRDefault="000442F5" w:rsidP="000442F5">
      <w:pPr>
        <w:spacing w:before="120" w:after="120"/>
        <w:ind w:right="-142"/>
        <w:jc w:val="both"/>
        <w:rPr>
          <w:i/>
          <w:iCs/>
        </w:rPr>
      </w:pPr>
      <w:r>
        <w:rPr>
          <w:i/>
        </w:rPr>
        <w:t>Denne anmeldelsesformular skal anvendes ved anmeldelse af enhver støtte, der er omfattet af retningslinjerne for statsstøtte til klima, miljøbeskyttelse og energi 2022 (herefter "CEEAG").</w:t>
      </w:r>
    </w:p>
    <w:p w14:paraId="1B60656B" w14:textId="00968BE9" w:rsidR="009E2EA1" w:rsidRPr="00711243" w:rsidRDefault="0072538B" w:rsidP="009E2EA1">
      <w:pPr>
        <w:spacing w:before="120" w:after="120"/>
        <w:ind w:right="-142"/>
        <w:jc w:val="both"/>
        <w:rPr>
          <w:i/>
          <w:iCs/>
        </w:rPr>
      </w:pPr>
      <w:r>
        <w:rPr>
          <w:i/>
        </w:rPr>
        <w:t xml:space="preserve">Denne anmeldelsesformular vedrører foranstaltninger, der er omhandlet i kapitel 4.8 i CEEAG. Hvis anmeldelsen omfatter foranstaltninger, der er omhandlet i mere end et kapitel i CEEAG, skal den anmeldelsesformular, som omhandler det pågældende kapitel i CEEAG, ligeledes udfyldes. </w:t>
      </w:r>
    </w:p>
    <w:p w14:paraId="05E36007" w14:textId="57A7067D" w:rsidR="009E2EA1" w:rsidRPr="00711243" w:rsidRDefault="009E2EA1" w:rsidP="009E2EA1">
      <w:pPr>
        <w:spacing w:before="120" w:after="120"/>
        <w:ind w:right="-142"/>
        <w:jc w:val="both"/>
        <w:rPr>
          <w:i/>
          <w:iCs/>
        </w:rPr>
      </w:pPr>
      <w:r>
        <w:rPr>
          <w:i/>
        </w:rPr>
        <w:t>Alle de dokumenter, som medlemsstaterne vedlægger anmeldelsesformularen som bilag, skal nummereres, og dokumentnumrene anføres i de relevante afsnit af denne anmeldelsesformular.</w:t>
      </w:r>
    </w:p>
    <w:p w14:paraId="73EB8CDA" w14:textId="77777777" w:rsidR="00193E48"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711243" w14:paraId="2EC55755" w14:textId="77777777" w:rsidTr="00697188">
        <w:tc>
          <w:tcPr>
            <w:tcW w:w="9286" w:type="dxa"/>
            <w:shd w:val="pct15" w:color="auto" w:fill="auto"/>
          </w:tcPr>
          <w:p w14:paraId="3FE0D12C" w14:textId="2FC409D3" w:rsidR="000442F5" w:rsidRPr="009916D5" w:rsidRDefault="00193E48" w:rsidP="007B7B48">
            <w:pPr>
              <w:spacing w:before="120" w:after="120"/>
              <w:jc w:val="center"/>
              <w:rPr>
                <w:b/>
                <w:iCs/>
                <w:sz w:val="32"/>
                <w:szCs w:val="32"/>
              </w:rPr>
            </w:pPr>
            <w:r>
              <w:br w:type="page"/>
            </w:r>
            <w:r>
              <w:br w:type="page"/>
            </w:r>
            <w:r>
              <w:rPr>
                <w:b/>
                <w:sz w:val="32"/>
              </w:rPr>
              <w:t>Afsnit A: Resumé af de vigtigste karakteristika ved den eller de anmeldte foranstaltninger</w:t>
            </w:r>
          </w:p>
        </w:tc>
      </w:tr>
    </w:tbl>
    <w:p w14:paraId="58CA5BA7" w14:textId="77777777" w:rsidR="00564D5B" w:rsidRDefault="00564D5B" w:rsidP="00564D5B">
      <w:pPr>
        <w:pStyle w:val="ListParagraph"/>
        <w:spacing w:before="120" w:after="120"/>
        <w:ind w:left="567"/>
        <w:contextualSpacing w:val="0"/>
        <w:jc w:val="both"/>
        <w:rPr>
          <w:b/>
        </w:rPr>
      </w:pPr>
    </w:p>
    <w:p w14:paraId="28B706E8" w14:textId="5AE686B3" w:rsidR="000442F5" w:rsidRDefault="007302C9" w:rsidP="00C52CFD">
      <w:pPr>
        <w:pStyle w:val="ListParagraph"/>
        <w:numPr>
          <w:ilvl w:val="0"/>
          <w:numId w:val="4"/>
        </w:numPr>
        <w:spacing w:before="120" w:after="120"/>
        <w:ind w:left="567" w:hanging="567"/>
        <w:contextualSpacing w:val="0"/>
        <w:jc w:val="both"/>
        <w:rPr>
          <w:b/>
        </w:rPr>
      </w:pPr>
      <w:r>
        <w:rPr>
          <w:b/>
        </w:rPr>
        <w:t>Baggrund for og formål med den eller de anmeldte foranstaltninger.</w:t>
      </w:r>
    </w:p>
    <w:p w14:paraId="1FADA2B1" w14:textId="573EB419" w:rsidR="00FA0034" w:rsidRPr="00FA0034" w:rsidRDefault="004569F7" w:rsidP="00940D30">
      <w:pPr>
        <w:numPr>
          <w:ilvl w:val="0"/>
          <w:numId w:val="33"/>
        </w:numPr>
        <w:spacing w:before="120" w:after="120"/>
        <w:ind w:left="993" w:hanging="142"/>
        <w:jc w:val="both"/>
      </w:pPr>
      <w:r>
        <w:t xml:space="preserve">Hvis der ikke allerede er redegjort for det i afsnit 5.2 i formularen vedrørende generelle oplysninger (del I), skal baggrunden for og hovedformålet med foranstaltningen angives. </w:t>
      </w:r>
    </w:p>
    <w:p w14:paraId="451635D8" w14:textId="7F94896F" w:rsidR="00FA0034" w:rsidRPr="00FA0034" w:rsidRDefault="00FA0034" w:rsidP="00FA0034">
      <w:pPr>
        <w:spacing w:before="120" w:after="120"/>
        <w:ind w:left="993"/>
        <w:jc w:val="both"/>
      </w:pPr>
      <w:r>
        <w:t>………………………………………………………………………………………..</w:t>
      </w:r>
    </w:p>
    <w:p w14:paraId="4FAD80FF" w14:textId="5736553E" w:rsidR="00B350DB" w:rsidRPr="00FA0034" w:rsidRDefault="00B350DB" w:rsidP="00940D30">
      <w:pPr>
        <w:numPr>
          <w:ilvl w:val="0"/>
          <w:numId w:val="33"/>
        </w:numPr>
        <w:ind w:left="993" w:hanging="142"/>
        <w:rPr>
          <w:szCs w:val="24"/>
        </w:rPr>
      </w:pPr>
      <w:r>
        <w:t xml:space="preserve">Angiv eventuelle andre formål, der forfølges med foranstaltningen. For formål, der ikke vedrører elforsyningssikkerheden eller miljøbeskyttelse, skal det forklares, om de kan medføre forvridninger af det indre marked. </w:t>
      </w:r>
    </w:p>
    <w:p w14:paraId="0D403939" w14:textId="77777777" w:rsidR="007366E4" w:rsidRDefault="007366E4" w:rsidP="007366E4">
      <w:pPr>
        <w:tabs>
          <w:tab w:val="left" w:leader="dot" w:pos="9072"/>
        </w:tabs>
        <w:spacing w:before="120" w:after="120"/>
        <w:ind w:left="567"/>
        <w:jc w:val="both"/>
      </w:pPr>
      <w:r>
        <w:tab/>
      </w:r>
    </w:p>
    <w:p w14:paraId="59CBFA17" w14:textId="3CA0BE29" w:rsidR="005A412F" w:rsidRPr="00711243" w:rsidRDefault="008514DC" w:rsidP="00C52CFD">
      <w:pPr>
        <w:pStyle w:val="ListParagraph"/>
        <w:numPr>
          <w:ilvl w:val="0"/>
          <w:numId w:val="4"/>
        </w:numPr>
        <w:spacing w:before="120" w:after="120"/>
        <w:ind w:left="567" w:hanging="567"/>
        <w:contextualSpacing w:val="0"/>
        <w:jc w:val="both"/>
      </w:pPr>
      <w:r>
        <w:rPr>
          <w:b/>
        </w:rPr>
        <w:t>Ikrafttræden og varighed:</w:t>
      </w:r>
    </w:p>
    <w:p w14:paraId="3951E532" w14:textId="5BB35D03" w:rsidR="00FD5F79" w:rsidRPr="00FA6EB5" w:rsidRDefault="00FA6EB5" w:rsidP="00940D30">
      <w:pPr>
        <w:numPr>
          <w:ilvl w:val="0"/>
          <w:numId w:val="37"/>
        </w:numPr>
        <w:rPr>
          <w:szCs w:val="24"/>
        </w:rPr>
      </w:pPr>
      <w:r>
        <w:t>Angiv den dato, fra hvilken det er hensigten, at foranstaltningen/foranstaltningerne skal træde i kraft, for så vidt det ikke allerede er angivet i afsnit 5.5 i formularen vedrørende generelle oplysninger (del I).</w:t>
      </w:r>
    </w:p>
    <w:p w14:paraId="7DB33CA8" w14:textId="1BA7B70D" w:rsidR="00C90797" w:rsidRPr="00564D5B" w:rsidRDefault="00564D5B" w:rsidP="00564D5B">
      <w:pPr>
        <w:tabs>
          <w:tab w:val="left" w:leader="dot" w:pos="9072"/>
        </w:tabs>
        <w:spacing w:before="120" w:after="120"/>
        <w:ind w:left="567"/>
        <w:jc w:val="both"/>
      </w:pPr>
      <w:r>
        <w:tab/>
      </w:r>
    </w:p>
    <w:p w14:paraId="4062F237" w14:textId="3A567444" w:rsidR="00175C89" w:rsidRPr="006B1712" w:rsidRDefault="00DB40A5" w:rsidP="00940D30">
      <w:pPr>
        <w:pStyle w:val="ListParagraph"/>
        <w:numPr>
          <w:ilvl w:val="0"/>
          <w:numId w:val="37"/>
        </w:numPr>
        <w:spacing w:after="240"/>
        <w:ind w:left="993" w:hanging="142"/>
        <w:jc w:val="both"/>
        <w:rPr>
          <w:szCs w:val="24"/>
        </w:rPr>
      </w:pPr>
      <w:r>
        <w:t>Angiv foranstaltningen/foranstaltningernes maksimale løbetid</w:t>
      </w:r>
      <w:r>
        <w:rPr>
          <w:rStyle w:val="FootnoteReference"/>
          <w:szCs w:val="24"/>
        </w:rPr>
        <w:footnoteReference w:id="3"/>
      </w:r>
      <w:r>
        <w:t>.</w:t>
      </w:r>
    </w:p>
    <w:p w14:paraId="6667C7A6" w14:textId="77777777" w:rsidR="000442F5" w:rsidRPr="006B1712" w:rsidRDefault="000442F5" w:rsidP="000442F5">
      <w:pPr>
        <w:tabs>
          <w:tab w:val="left" w:leader="dot" w:pos="9072"/>
        </w:tabs>
        <w:spacing w:before="120" w:after="120"/>
        <w:ind w:left="567"/>
        <w:jc w:val="both"/>
      </w:pPr>
      <w:r>
        <w:tab/>
      </w:r>
    </w:p>
    <w:p w14:paraId="5512E752" w14:textId="3773BE4C" w:rsidR="000442F5" w:rsidRPr="006B1712" w:rsidRDefault="004D14A6" w:rsidP="00C52CFD">
      <w:pPr>
        <w:pStyle w:val="ListParagraph"/>
        <w:numPr>
          <w:ilvl w:val="0"/>
          <w:numId w:val="4"/>
        </w:numPr>
        <w:spacing w:before="120" w:after="120"/>
        <w:ind w:left="567" w:hanging="567"/>
        <w:contextualSpacing w:val="0"/>
        <w:jc w:val="both"/>
        <w:rPr>
          <w:rFonts w:cs="Arial Unicode MS"/>
          <w:b/>
          <w:bCs/>
        </w:rPr>
      </w:pPr>
      <w:r>
        <w:rPr>
          <w:b/>
        </w:rPr>
        <w:t>Støttemodtager(e)</w:t>
      </w:r>
      <w:r>
        <w:tab/>
      </w:r>
    </w:p>
    <w:p w14:paraId="0B353EA4" w14:textId="460FB4A4" w:rsidR="00BC5DDD" w:rsidRPr="00F35B92" w:rsidRDefault="00F35B92" w:rsidP="00940D30">
      <w:pPr>
        <w:numPr>
          <w:ilvl w:val="0"/>
          <w:numId w:val="20"/>
        </w:numPr>
        <w:ind w:left="993" w:hanging="142"/>
        <w:rPr>
          <w:szCs w:val="24"/>
        </w:rPr>
      </w:pPr>
      <w:r>
        <w:t>Beskriv foranstaltningens/foranstaltningernes (potentielle) støttemodtager(e), hvis dette ikke allerede er angivet i afsnit 3 i formularen vedrørende generelle oplysninger (del I).</w:t>
      </w:r>
    </w:p>
    <w:p w14:paraId="00812A82" w14:textId="53322933" w:rsidR="00C90797" w:rsidRPr="00564D5B" w:rsidRDefault="00564D5B" w:rsidP="00AD6217">
      <w:pPr>
        <w:tabs>
          <w:tab w:val="left" w:leader="dot" w:pos="9072"/>
        </w:tabs>
        <w:spacing w:before="120" w:after="120"/>
        <w:ind w:left="567"/>
        <w:jc w:val="both"/>
      </w:pPr>
      <w:r>
        <w:tab/>
      </w:r>
      <w:r>
        <w:tab/>
      </w:r>
    </w:p>
    <w:p w14:paraId="06F08713" w14:textId="71A80B39" w:rsidR="00F33CC0" w:rsidRPr="00C55D4C" w:rsidRDefault="00DB40A5" w:rsidP="00940D30">
      <w:pPr>
        <w:numPr>
          <w:ilvl w:val="0"/>
          <w:numId w:val="20"/>
        </w:numPr>
        <w:ind w:left="993" w:hanging="142"/>
        <w:rPr>
          <w:szCs w:val="24"/>
        </w:rPr>
      </w:pPr>
      <w:r>
        <w:t>Angiv støttemodtagerens/støttemodtagernes lokalisering (dvs. om kun økonomiske enheder, der er beliggende i de respektive medlemsstater, eller om dem i andre medlemsstater ligeledes er berettigede til at deltage i foranstaltningerne).</w:t>
      </w:r>
    </w:p>
    <w:p w14:paraId="089CCFA6" w14:textId="4CFFDCA9" w:rsidR="003151F7" w:rsidRDefault="000442F5" w:rsidP="00B22D69">
      <w:pPr>
        <w:tabs>
          <w:tab w:val="left" w:leader="dot" w:pos="9072"/>
        </w:tabs>
        <w:spacing w:before="120" w:after="120"/>
        <w:ind w:left="567"/>
        <w:jc w:val="both"/>
      </w:pPr>
      <w:r>
        <w:tab/>
      </w:r>
      <w:r>
        <w:tab/>
      </w:r>
    </w:p>
    <w:p w14:paraId="27DDBE9A" w14:textId="31BD385F" w:rsidR="00E4424D" w:rsidRDefault="003C33B1" w:rsidP="00940D30">
      <w:pPr>
        <w:numPr>
          <w:ilvl w:val="0"/>
          <w:numId w:val="20"/>
        </w:numPr>
        <w:ind w:left="993" w:hanging="142"/>
        <w:rPr>
          <w:szCs w:val="24"/>
        </w:rPr>
      </w:pPr>
      <w:r>
        <w:t xml:space="preserve">Angiv med henblik på at vurdere, om punkt 15 i CEEAG er overholdt, hvorvidt der i henhold til foranstaltningen ydes støtte til fordel for en virksomhed (individuel eller en del af en ordning), der ikke har efterkommet et krav om tilbagebetaling af støtte, som Kommissionen ved en tidligere afgørelse har erklæret ulovlig og uforenelig med det indre marked. </w:t>
      </w:r>
    </w:p>
    <w:p w14:paraId="7EAFEF40" w14:textId="77777777" w:rsidR="00E4424D" w:rsidRDefault="00E4424D" w:rsidP="00E4424D">
      <w:pPr>
        <w:pStyle w:val="ListParagraph"/>
        <w:rPr>
          <w:szCs w:val="24"/>
        </w:rPr>
      </w:pPr>
    </w:p>
    <w:p w14:paraId="6DA13136" w14:textId="0EC120E1" w:rsidR="003C33B1" w:rsidRPr="00E4424D" w:rsidRDefault="00181BB0" w:rsidP="00E4424D">
      <w:pPr>
        <w:pStyle w:val="ListParagraph"/>
        <w:spacing w:after="240"/>
        <w:ind w:left="1080"/>
        <w:jc w:val="both"/>
        <w:rPr>
          <w:szCs w:val="24"/>
        </w:rPr>
      </w:pPr>
      <w:r>
        <w:lastRenderedPageBreak/>
        <w:t xml:space="preserve">Oplys i bekræftende fald det støttebeløb, der endnu ikke er tilbagebetalt, med henblik på Kommissionens hensyntagen til dette i vurderingen af den anmeldte foranstaltning. </w:t>
      </w:r>
    </w:p>
    <w:p w14:paraId="5BE9C845" w14:textId="77777777" w:rsidR="003C33B1" w:rsidRDefault="003C33B1" w:rsidP="003C33B1">
      <w:pPr>
        <w:tabs>
          <w:tab w:val="left" w:leader="dot" w:pos="9072"/>
        </w:tabs>
        <w:spacing w:before="120" w:after="120"/>
        <w:ind w:left="567"/>
        <w:jc w:val="both"/>
      </w:pPr>
      <w:r>
        <w:tab/>
      </w:r>
    </w:p>
    <w:p w14:paraId="2C10575C" w14:textId="6ED42CF8" w:rsidR="002E10AC" w:rsidRPr="00FC4A9E" w:rsidRDefault="00B22D69" w:rsidP="00B22D69">
      <w:pPr>
        <w:pStyle w:val="ListParagraph"/>
        <w:numPr>
          <w:ilvl w:val="0"/>
          <w:numId w:val="4"/>
        </w:numPr>
        <w:spacing w:before="120" w:after="120"/>
        <w:ind w:left="567" w:hanging="567"/>
        <w:contextualSpacing w:val="0"/>
        <w:jc w:val="both"/>
      </w:pPr>
      <w:r>
        <w:t>Bekræft, at foranstaltningen/foranstaltningerne ikke omfatter støtte til aktiviteter, der falder uden for anvendelsesområdet for CEEAG (se punkt 13 i CEEAG). Angiv i modsat fald nærmere oplysninger.</w:t>
      </w:r>
    </w:p>
    <w:p w14:paraId="59695B42" w14:textId="7DE83D7C" w:rsidR="00D56E44" w:rsidRPr="00ED2FA7" w:rsidRDefault="009368F1" w:rsidP="00B22D69">
      <w:pPr>
        <w:tabs>
          <w:tab w:val="left" w:leader="dot" w:pos="9072"/>
        </w:tabs>
        <w:spacing w:before="120" w:after="120"/>
        <w:ind w:left="567"/>
        <w:jc w:val="both"/>
      </w:pPr>
      <w:r>
        <w:tab/>
      </w:r>
    </w:p>
    <w:p w14:paraId="342676FE" w14:textId="46A68D36" w:rsidR="00C11603" w:rsidRPr="00ED2FA7" w:rsidRDefault="00C11603" w:rsidP="00C52CFD">
      <w:pPr>
        <w:pStyle w:val="ListParagraph"/>
        <w:numPr>
          <w:ilvl w:val="0"/>
          <w:numId w:val="4"/>
        </w:numPr>
        <w:spacing w:before="120" w:after="120"/>
        <w:ind w:left="567" w:hanging="567"/>
        <w:contextualSpacing w:val="0"/>
        <w:jc w:val="both"/>
        <w:rPr>
          <w:rFonts w:cs="Arial Unicode MS"/>
          <w:bCs/>
        </w:rPr>
      </w:pPr>
      <w:r>
        <w:rPr>
          <w:b/>
        </w:rPr>
        <w:t>Budget</w:t>
      </w:r>
    </w:p>
    <w:p w14:paraId="52B28A95" w14:textId="51E3B41D" w:rsidR="00115C85" w:rsidRPr="00B22D69" w:rsidRDefault="00B22D69" w:rsidP="00940D30">
      <w:pPr>
        <w:pStyle w:val="ListParagraph"/>
        <w:numPr>
          <w:ilvl w:val="0"/>
          <w:numId w:val="21"/>
        </w:numPr>
        <w:spacing w:before="120" w:after="120"/>
        <w:ind w:left="993" w:hanging="284"/>
        <w:contextualSpacing w:val="0"/>
        <w:jc w:val="both"/>
        <w:rPr>
          <w:rFonts w:cs="Arial Unicode MS"/>
          <w:bCs/>
        </w:rPr>
      </w:pPr>
      <w:r>
        <w:t>Angiv det årlige og/eller samlede budget for foranstaltningens/foranstaltningernes fulde varighed, hvis det ikke allerede er nævnt i tabellen i afsnit 7.1 i formularen vedrørende generelle oplysninger (del I). Angiv et anslået budget, hvis det samlede budget ikke er kendt (f.eks. fordi det afhænger af resultaterne af udbuddene), herunder de antagelser, der er lagt til grund for beregningen af det respektive anslåede budget.</w:t>
      </w:r>
      <w:r>
        <w:rPr>
          <w:rFonts w:cs="Arial Unicode MS"/>
          <w:bCs/>
          <w:vertAlign w:val="superscript"/>
          <w:lang w:bidi="si-LK"/>
        </w:rPr>
        <w:footnoteReference w:id="4"/>
      </w:r>
    </w:p>
    <w:p w14:paraId="61879372" w14:textId="77777777" w:rsidR="00D25FB9" w:rsidRPr="00ED2FA7" w:rsidRDefault="00D25FB9" w:rsidP="00D25FB9">
      <w:pPr>
        <w:tabs>
          <w:tab w:val="left" w:leader="dot" w:pos="9072"/>
        </w:tabs>
        <w:spacing w:before="120" w:after="120"/>
        <w:ind w:left="567"/>
        <w:jc w:val="both"/>
      </w:pPr>
      <w:r>
        <w:tab/>
      </w:r>
    </w:p>
    <w:p w14:paraId="26DBCE9C" w14:textId="74969232" w:rsidR="00373272" w:rsidRPr="00E50388" w:rsidRDefault="00373272" w:rsidP="00034A1B">
      <w:pPr>
        <w:pStyle w:val="ListParagraph"/>
        <w:spacing w:before="120" w:after="120"/>
        <w:ind w:left="0"/>
        <w:contextualSpacing w:val="0"/>
        <w:jc w:val="both"/>
        <w:rPr>
          <w:rFonts w:cs="Arial Unicode MS"/>
          <w:bCs/>
          <w:lang w:bidi="si-LK"/>
        </w:rPr>
      </w:pPr>
    </w:p>
    <w:p w14:paraId="42A291CB" w14:textId="77777777" w:rsidR="009916D5"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711243" w14:paraId="23C2E9FC" w14:textId="77777777" w:rsidTr="00697188">
        <w:tc>
          <w:tcPr>
            <w:tcW w:w="9286" w:type="dxa"/>
            <w:shd w:val="pct15" w:color="auto" w:fill="auto"/>
          </w:tcPr>
          <w:p w14:paraId="1E14EC88" w14:textId="71541B27" w:rsidR="000442F5" w:rsidRPr="009916D5" w:rsidRDefault="000442F5" w:rsidP="00DE2433">
            <w:pPr>
              <w:spacing w:before="120" w:after="120"/>
              <w:jc w:val="center"/>
              <w:rPr>
                <w:b/>
                <w:sz w:val="32"/>
                <w:szCs w:val="32"/>
              </w:rPr>
            </w:pPr>
            <w:r>
              <w:rPr>
                <w:b/>
                <w:sz w:val="32"/>
              </w:rPr>
              <w:t>Afsnit B: Forenelighedsvurdering af støtten</w:t>
            </w:r>
          </w:p>
        </w:tc>
      </w:tr>
    </w:tbl>
    <w:p w14:paraId="07973474" w14:textId="77777777" w:rsidR="000442F5" w:rsidRPr="00711243"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4F4ED3F1" w14:textId="77777777" w:rsidTr="00697188">
        <w:tc>
          <w:tcPr>
            <w:tcW w:w="9322" w:type="dxa"/>
            <w:shd w:val="pct15" w:color="auto" w:fill="auto"/>
          </w:tcPr>
          <w:p w14:paraId="4EC3F9B1" w14:textId="4AFDC259" w:rsidR="000442F5" w:rsidRPr="006D38D6" w:rsidRDefault="007D1E08" w:rsidP="00940D30">
            <w:pPr>
              <w:pStyle w:val="Heading1"/>
              <w:numPr>
                <w:ilvl w:val="0"/>
                <w:numId w:val="22"/>
              </w:numPr>
              <w:rPr>
                <w:i/>
                <w:sz w:val="28"/>
                <w:szCs w:val="28"/>
              </w:rPr>
            </w:pPr>
            <w:r>
              <w:rPr>
                <w:i/>
                <w:sz w:val="28"/>
              </w:rPr>
              <w:t>Positiv betingelse: Støtten skal fremme udviklingen af en økonomisk aktivitet</w:t>
            </w:r>
          </w:p>
        </w:tc>
      </w:tr>
    </w:tbl>
    <w:p w14:paraId="51388EE2" w14:textId="77777777" w:rsidR="004B5C2A" w:rsidRPr="00711243"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6414F6C3" w14:textId="77777777" w:rsidTr="00305DC0">
        <w:tc>
          <w:tcPr>
            <w:tcW w:w="9322" w:type="dxa"/>
            <w:shd w:val="pct15" w:color="auto" w:fill="auto"/>
          </w:tcPr>
          <w:p w14:paraId="01CE580F" w14:textId="11F5C724" w:rsidR="004B5C2A" w:rsidRPr="00B418CC" w:rsidRDefault="007D1E08" w:rsidP="00940D30">
            <w:pPr>
              <w:pStyle w:val="Heading1"/>
              <w:numPr>
                <w:ilvl w:val="1"/>
                <w:numId w:val="22"/>
              </w:numPr>
              <w:rPr>
                <w:sz w:val="24"/>
                <w:szCs w:val="24"/>
              </w:rPr>
            </w:pPr>
            <w:r>
              <w:rPr>
                <w:sz w:val="24"/>
              </w:rPr>
              <w:t>Bidrag til udviklingen af en økonomisk aktivitet</w:t>
            </w:r>
          </w:p>
        </w:tc>
      </w:tr>
    </w:tbl>
    <w:p w14:paraId="1E2599D2" w14:textId="044F1BE7" w:rsidR="000442F5" w:rsidRPr="00DB40A5" w:rsidRDefault="000442F5" w:rsidP="000442F5">
      <w:pPr>
        <w:spacing w:before="360" w:after="120"/>
        <w:jc w:val="both"/>
        <w:rPr>
          <w:i/>
        </w:rPr>
      </w:pPr>
      <w:r>
        <w:rPr>
          <w:i/>
        </w:rPr>
        <w:t xml:space="preserve">Med henblik på angivelsen af oplysningerne i dette afsnit henvises til afsnit 3.1.1, punkt 23-25, og afsnit 4.8.1 og afsnit 4.8.2, punkt 325-328, i CEEAG </w:t>
      </w:r>
    </w:p>
    <w:p w14:paraId="05FCD0A3" w14:textId="3E161E71" w:rsidR="00864DCD" w:rsidRPr="00DB40A5" w:rsidRDefault="006B6657" w:rsidP="00C52CFD">
      <w:pPr>
        <w:pStyle w:val="ListParagraph"/>
        <w:numPr>
          <w:ilvl w:val="0"/>
          <w:numId w:val="4"/>
        </w:numPr>
        <w:spacing w:before="120" w:after="120"/>
        <w:ind w:left="567" w:hanging="567"/>
        <w:contextualSpacing w:val="0"/>
        <w:jc w:val="both"/>
      </w:pPr>
      <w:r>
        <w:t>Kommissionen kan i henhold til artikel 107, stk. 3, litra c), i traktaten om Den Europæiske Unions funktionsmåde (TEUF) erklære "</w:t>
      </w:r>
      <w:r>
        <w:rPr>
          <w:i/>
        </w:rPr>
        <w:t>støtte til fremme af udviklingen af visse erhvervsgrene eller økonomiske regioner, når den ikke ændrer samhandelsvilkårene på en måde, der strider mod den fælles interesse</w:t>
      </w:r>
      <w:r>
        <w:t xml:space="preserve">", forenelig med det indre marked. Støtte, der er forenelig i henhold til denne bestemmelse i TEUF, skal derfor bidrage til udviklingen af en bestemt økonomisk aktivitet </w:t>
      </w:r>
    </w:p>
    <w:p w14:paraId="78AC4A6E" w14:textId="5DA81B01" w:rsidR="00EE2FCC" w:rsidRPr="00864DCD" w:rsidRDefault="00EE56DD" w:rsidP="00EE56DD">
      <w:pPr>
        <w:pStyle w:val="ListParagraph"/>
        <w:spacing w:before="120" w:after="120"/>
        <w:ind w:left="567"/>
        <w:contextualSpacing w:val="0"/>
        <w:jc w:val="both"/>
      </w:pPr>
      <w:r>
        <w:t>Angiv de økonomiske aktiviteter, der vil blive fremmet som følge af støtten, og hvordan udviklingen af disse aktiviteter støttes, med henblik på at vurdere overholdelsen af punkt 23 i CEEAG. Punkt 328 i CEEAG indeholder eksempler på sådanne økonomiske aktiviteter i forbindelse med foranstaltninger, der har til formål at øge elforsyningssikkerheden.</w:t>
      </w:r>
    </w:p>
    <w:p w14:paraId="43E4572F" w14:textId="77777777" w:rsidR="000442F5" w:rsidRPr="00864DCD" w:rsidRDefault="000442F5" w:rsidP="000442F5">
      <w:pPr>
        <w:tabs>
          <w:tab w:val="left" w:leader="dot" w:pos="9072"/>
        </w:tabs>
        <w:spacing w:before="120" w:after="120"/>
        <w:ind w:left="567"/>
        <w:jc w:val="both"/>
      </w:pPr>
      <w:r>
        <w:tab/>
      </w:r>
    </w:p>
    <w:p w14:paraId="44207947" w14:textId="4F8D6EAA" w:rsidR="00D72D27" w:rsidRPr="00864DCD" w:rsidRDefault="00EE56DD" w:rsidP="00034A1B">
      <w:pPr>
        <w:pStyle w:val="ListParagraph"/>
        <w:numPr>
          <w:ilvl w:val="0"/>
          <w:numId w:val="4"/>
        </w:numPr>
        <w:spacing w:before="120" w:after="120"/>
        <w:ind w:left="567" w:hanging="567"/>
        <w:contextualSpacing w:val="0"/>
        <w:jc w:val="both"/>
      </w:pPr>
      <w:r>
        <w:t>Beskriv, "</w:t>
      </w:r>
      <w:r>
        <w:rPr>
          <w:i/>
        </w:rPr>
        <w:t>om og hvordan støtten vil bidrage til at nå målene for Unionens klimapolitik, miljøpolitik og energipolitik og mere specifikt de forventede fordele ved støtten i form af dens væsentlige bidrag til miljøbeskyttelse, herunder modvirkning af klimaændringer, eller et velfungerende indre energimarked</w:t>
      </w:r>
      <w:r>
        <w:t>" med henblik på at vurdere overholdelsen af punkt 25 i CEEAG.</w:t>
      </w:r>
    </w:p>
    <w:p w14:paraId="2CF2C3D1" w14:textId="38F54855" w:rsidR="00D72D27" w:rsidRDefault="004152C3" w:rsidP="004152C3">
      <w:pPr>
        <w:tabs>
          <w:tab w:val="left" w:leader="dot" w:pos="9072"/>
        </w:tabs>
        <w:spacing w:before="120" w:after="120"/>
        <w:ind w:left="567"/>
        <w:jc w:val="both"/>
      </w:pPr>
      <w:r>
        <w:tab/>
      </w:r>
    </w:p>
    <w:p w14:paraId="09C95E40" w14:textId="74468612" w:rsidR="00DD6E86" w:rsidRDefault="00DD6E86" w:rsidP="00DD6E86">
      <w:pPr>
        <w:pStyle w:val="ListParagraph"/>
        <w:numPr>
          <w:ilvl w:val="0"/>
          <w:numId w:val="4"/>
        </w:numPr>
        <w:spacing w:before="120" w:after="120"/>
        <w:ind w:left="567" w:hanging="567"/>
        <w:contextualSpacing w:val="0"/>
        <w:jc w:val="both"/>
        <w:rPr>
          <w:szCs w:val="24"/>
        </w:rPr>
      </w:pPr>
      <w:r>
        <w:t>Beskriv de krav, der gælder for støttemodtagerne (f.eks. ved at medtage eventuelle tekniske, miljømæssige (dvs. tilladelser), finansielle (dvs. sikkerhedsstillelse) eller andre krav, som de skal opfylde).</w:t>
      </w:r>
    </w:p>
    <w:p w14:paraId="41A55685" w14:textId="02031239" w:rsidR="00DD6E86" w:rsidRDefault="00DD6E86" w:rsidP="00034A1B">
      <w:pPr>
        <w:pStyle w:val="ListParagraph"/>
        <w:spacing w:before="120" w:after="120"/>
        <w:ind w:left="567"/>
        <w:contextualSpacing w:val="0"/>
        <w:jc w:val="both"/>
      </w:pPr>
      <w:r>
        <w:t>…………………………………………………………………………………………….</w:t>
      </w:r>
    </w:p>
    <w:p w14:paraId="68612BA2" w14:textId="0812A648" w:rsidR="00B91BE0" w:rsidRPr="00034A1B" w:rsidRDefault="00364FC0" w:rsidP="00364FC0">
      <w:pPr>
        <w:pStyle w:val="ListParagraph"/>
        <w:numPr>
          <w:ilvl w:val="0"/>
          <w:numId w:val="4"/>
        </w:numPr>
        <w:spacing w:before="120" w:after="120"/>
        <w:ind w:left="567" w:hanging="567"/>
        <w:contextualSpacing w:val="0"/>
        <w:jc w:val="both"/>
      </w:pPr>
      <w:r>
        <w:t xml:space="preserve">Giv oplysninger om baggrunden for foranstaltningen, jf. afsnit 4.8.1., punkt 325, i CEEAG. </w:t>
      </w:r>
    </w:p>
    <w:p w14:paraId="34E4C47D" w14:textId="6EE1FEFD" w:rsidR="00B91BE0" w:rsidRPr="00034A1B" w:rsidRDefault="00B91BE0" w:rsidP="00B91BE0">
      <w:pPr>
        <w:tabs>
          <w:tab w:val="left" w:leader="dot" w:pos="9072"/>
        </w:tabs>
        <w:spacing w:before="120" w:after="120"/>
        <w:ind w:left="567"/>
        <w:jc w:val="both"/>
      </w:pPr>
      <w:r>
        <w:tab/>
      </w:r>
    </w:p>
    <w:p w14:paraId="526FF31D" w14:textId="792DD4E0" w:rsidR="009E5AE0" w:rsidRPr="00864DCD" w:rsidRDefault="009E5AE0" w:rsidP="009E5AE0">
      <w:pPr>
        <w:pStyle w:val="ListParagraph"/>
        <w:numPr>
          <w:ilvl w:val="0"/>
          <w:numId w:val="4"/>
        </w:numPr>
        <w:spacing w:before="120" w:after="120"/>
        <w:ind w:left="567" w:hanging="567"/>
        <w:contextualSpacing w:val="0"/>
        <w:jc w:val="both"/>
      </w:pPr>
      <w:r>
        <w:t xml:space="preserve">Giv oplysninger om foranstaltningens anvendelsesområde, jf. afsnit 4.8.2., punkt 326-327, i CEEAG. </w:t>
      </w:r>
    </w:p>
    <w:p w14:paraId="2BCE8BBC" w14:textId="77777777" w:rsidR="009E5AE0" w:rsidRDefault="009E5AE0" w:rsidP="009E5AE0">
      <w:pPr>
        <w:tabs>
          <w:tab w:val="left" w:leader="dot" w:pos="9072"/>
        </w:tabs>
        <w:spacing w:before="120" w:after="120"/>
        <w:ind w:left="567"/>
        <w:jc w:val="both"/>
      </w:pPr>
      <w:r>
        <w:tab/>
      </w:r>
    </w:p>
    <w:p w14:paraId="348DC64D" w14:textId="5A818E0A" w:rsidR="00143ABF" w:rsidRDefault="00143ABF" w:rsidP="00E1791B">
      <w:pPr>
        <w:ind w:left="-567" w:firstLine="1412"/>
      </w:pPr>
    </w:p>
    <w:p w14:paraId="37330726" w14:textId="60204944" w:rsidR="00143ABF" w:rsidRDefault="00143ABF" w:rsidP="00E1791B">
      <w:pPr>
        <w:ind w:left="-567" w:firstLine="1412"/>
      </w:pPr>
    </w:p>
    <w:p w14:paraId="51A79F5A" w14:textId="77777777" w:rsidR="00143ABF" w:rsidRDefault="00143ABF" w:rsidP="00E1791B">
      <w:pPr>
        <w:ind w:left="-567" w:firstLine="1412"/>
      </w:pPr>
    </w:p>
    <w:p w14:paraId="61F68589" w14:textId="77777777" w:rsidR="00DD6E86" w:rsidRDefault="00DD6E86" w:rsidP="00E1791B">
      <w:pPr>
        <w:ind w:left="-567" w:firstLine="1412"/>
      </w:pPr>
    </w:p>
    <w:p w14:paraId="750DB00D" w14:textId="77777777" w:rsidR="00DD6E86" w:rsidRDefault="00DD6E86" w:rsidP="00E1791B">
      <w:pPr>
        <w:ind w:left="-567" w:firstLine="1412"/>
      </w:pPr>
    </w:p>
    <w:p w14:paraId="2720D3CB" w14:textId="77777777" w:rsidR="00015E2B" w:rsidRPr="00711243" w:rsidRDefault="00015E2B" w:rsidP="00E1791B">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711243" w14:paraId="45672207" w14:textId="77777777" w:rsidTr="00305DC0">
        <w:tc>
          <w:tcPr>
            <w:tcW w:w="9322" w:type="dxa"/>
            <w:shd w:val="pct15" w:color="auto" w:fill="auto"/>
          </w:tcPr>
          <w:p w14:paraId="3169DD9A" w14:textId="209AD687" w:rsidR="00015E2B" w:rsidRPr="00B418CC" w:rsidRDefault="00015E2B" w:rsidP="00940D30">
            <w:pPr>
              <w:pStyle w:val="Heading1"/>
              <w:numPr>
                <w:ilvl w:val="1"/>
                <w:numId w:val="22"/>
              </w:numPr>
              <w:rPr>
                <w:sz w:val="24"/>
                <w:szCs w:val="24"/>
              </w:rPr>
            </w:pPr>
            <w:r>
              <w:rPr>
                <w:sz w:val="24"/>
              </w:rPr>
              <w:t>Tilskyndelsesvirkning</w:t>
            </w:r>
          </w:p>
        </w:tc>
      </w:tr>
    </w:tbl>
    <w:p w14:paraId="20915284" w14:textId="14126DC4" w:rsidR="00015E2B" w:rsidRPr="00A05235" w:rsidRDefault="00B15313" w:rsidP="00015E2B">
      <w:pPr>
        <w:spacing w:before="360" w:after="120"/>
        <w:jc w:val="both"/>
        <w:rPr>
          <w:i/>
        </w:rPr>
      </w:pPr>
      <w:r>
        <w:rPr>
          <w:i/>
        </w:rPr>
        <w:t xml:space="preserve">Med henblik på angivelsen af oplysningerne i dette afsnit henvises til punkt 329 og afsnit 3.1.2, punkt 29, 30, 31 og 32, i CEEAG. </w:t>
      </w:r>
    </w:p>
    <w:p w14:paraId="78A49F12" w14:textId="5BC4A051" w:rsidR="00C14706" w:rsidRPr="00471B74" w:rsidRDefault="00FC1BCC" w:rsidP="000522D3">
      <w:pPr>
        <w:pStyle w:val="ListParagraph"/>
        <w:numPr>
          <w:ilvl w:val="0"/>
          <w:numId w:val="4"/>
        </w:numPr>
        <w:spacing w:before="120" w:after="120"/>
        <w:ind w:left="567" w:hanging="567"/>
        <w:contextualSpacing w:val="0"/>
        <w:jc w:val="both"/>
      </w:pPr>
      <w:r>
        <w:t>Med henblik på at påvise overholdelsen af punkt 29 og 31 i CEEAG:</w:t>
      </w:r>
    </w:p>
    <w:p w14:paraId="48499390" w14:textId="47E7D7F7" w:rsidR="006445C3" w:rsidRPr="00471B74" w:rsidRDefault="00677805" w:rsidP="00940D30">
      <w:pPr>
        <w:pStyle w:val="ListParagraph"/>
        <w:numPr>
          <w:ilvl w:val="0"/>
          <w:numId w:val="23"/>
        </w:numPr>
        <w:spacing w:before="120" w:after="120"/>
        <w:ind w:left="993" w:hanging="284"/>
        <w:contextualSpacing w:val="0"/>
        <w:jc w:val="both"/>
      </w:pPr>
      <w:r>
        <w:t>bekræft, at arbejdet med projektet eller aktiviteten ikke blev påbegyndt, inden støttemodtageren indgav en skriftlig støtteansøgning til de nationale myndigheder</w:t>
      </w:r>
    </w:p>
    <w:p w14:paraId="72FB2087" w14:textId="77777777" w:rsidR="006445C3" w:rsidRPr="00471B74" w:rsidRDefault="006445C3" w:rsidP="006445C3">
      <w:pPr>
        <w:tabs>
          <w:tab w:val="left" w:leader="dot" w:pos="9072"/>
        </w:tabs>
        <w:spacing w:before="120" w:after="120"/>
        <w:ind w:left="567"/>
        <w:jc w:val="both"/>
      </w:pPr>
      <w:r>
        <w:tab/>
      </w:r>
    </w:p>
    <w:p w14:paraId="74427F37" w14:textId="1D135D62" w:rsidR="006445C3" w:rsidRPr="00471B74" w:rsidRDefault="006445C3" w:rsidP="006445C3">
      <w:pPr>
        <w:pStyle w:val="ListParagraph"/>
        <w:spacing w:before="120" w:after="120"/>
        <w:ind w:left="993"/>
        <w:contextualSpacing w:val="0"/>
        <w:jc w:val="both"/>
      </w:pPr>
      <w:r>
        <w:t>ELLER</w:t>
      </w:r>
    </w:p>
    <w:p w14:paraId="0252AF86" w14:textId="2507B978" w:rsidR="000442F5" w:rsidRPr="00F53942" w:rsidRDefault="008514DC" w:rsidP="00940D30">
      <w:pPr>
        <w:pStyle w:val="ListParagraph"/>
        <w:numPr>
          <w:ilvl w:val="0"/>
          <w:numId w:val="23"/>
        </w:numPr>
        <w:spacing w:before="120" w:after="120"/>
        <w:ind w:left="993" w:hanging="284"/>
        <w:contextualSpacing w:val="0"/>
        <w:jc w:val="both"/>
      </w:pPr>
      <w:r>
        <w:t xml:space="preserve">påvis for projekter, som blev påbegyndt før støtteansøgningen, at projektet falder ind under et af de undtagelsestilfælde, der er omhandlet i punkt 31, litra a), b) eller c), i CEEAG. </w:t>
      </w:r>
    </w:p>
    <w:p w14:paraId="76275A84" w14:textId="77777777" w:rsidR="00FC1BCC" w:rsidRPr="00864DCD" w:rsidRDefault="00FC1BCC" w:rsidP="00FC1BCC">
      <w:pPr>
        <w:tabs>
          <w:tab w:val="left" w:leader="dot" w:pos="9072"/>
        </w:tabs>
        <w:spacing w:before="120" w:after="120"/>
        <w:ind w:left="567"/>
        <w:jc w:val="both"/>
      </w:pPr>
      <w:r>
        <w:tab/>
      </w:r>
    </w:p>
    <w:p w14:paraId="02234E9B" w14:textId="77777777" w:rsidR="008514DC" w:rsidRPr="00F53942" w:rsidRDefault="008514DC" w:rsidP="008514DC">
      <w:pPr>
        <w:numPr>
          <w:ilvl w:val="0"/>
          <w:numId w:val="4"/>
        </w:numPr>
        <w:spacing w:before="120" w:after="120"/>
        <w:ind w:left="567" w:hanging="567"/>
        <w:jc w:val="both"/>
      </w:pPr>
      <w:r>
        <w:t>Med henblik på at påvise overholdelsen af punkt 30 i CEEAG skal det bekræftes, at støtteansøgningen mindst indeholder ansøgerens navn, en beskrivelse af projektet eller aktiviteten, herunder dets beliggenhed, og det støttebeløb, der er nødvendigt for at gennemføre det.</w:t>
      </w:r>
    </w:p>
    <w:p w14:paraId="1F8B3AF2" w14:textId="77777777" w:rsidR="008514DC" w:rsidRPr="00991FAA" w:rsidRDefault="008514DC" w:rsidP="008514DC">
      <w:pPr>
        <w:tabs>
          <w:tab w:val="left" w:leader="dot" w:pos="9072"/>
        </w:tabs>
        <w:spacing w:before="120" w:after="120"/>
        <w:ind w:left="567"/>
        <w:jc w:val="both"/>
      </w:pPr>
      <w:r>
        <w:tab/>
      </w:r>
    </w:p>
    <w:p w14:paraId="3C6B372C" w14:textId="40283976" w:rsidR="00305DC0" w:rsidRPr="00034A1B" w:rsidRDefault="00305DC0" w:rsidP="008D3BAA">
      <w:pPr>
        <w:pStyle w:val="ListParagraph"/>
        <w:numPr>
          <w:ilvl w:val="0"/>
          <w:numId w:val="4"/>
        </w:numPr>
        <w:spacing w:before="120" w:after="120"/>
        <w:ind w:left="567" w:hanging="567"/>
        <w:contextualSpacing w:val="0"/>
        <w:jc w:val="both"/>
      </w:pPr>
      <w:r>
        <w:t>Med henblik på at påvise overholdelsen af punkt 32 i CEEAG skal det angives, om der findes EU-standarder</w:t>
      </w:r>
      <w:r>
        <w:rPr>
          <w:rStyle w:val="FootnoteReference"/>
          <w:lang w:val="en-IE" w:eastAsia="en-GB"/>
        </w:rPr>
        <w:footnoteReference w:id="5"/>
      </w:r>
      <w:r>
        <w:t xml:space="preserve">, der finder anvendelse på den anmeldte foranstaltning, obligatoriske nationale standarder, der er strengere eller mere ambitiøse end de tilsvarende EU-standarder, eller obligatoriske nationale standarder, som er vedtaget i fravær af EU-standarder. Fremlæg i den forbindelse oplysninger til påvisning af tilskyndelsesvirkningen. </w:t>
      </w:r>
    </w:p>
    <w:p w14:paraId="36FD6157" w14:textId="31E041BD" w:rsidR="00EE13D5" w:rsidRPr="00034A1B" w:rsidRDefault="00EE13D5" w:rsidP="00034A1B">
      <w:pPr>
        <w:pStyle w:val="ListParagraph"/>
        <w:spacing w:before="120" w:after="120"/>
        <w:ind w:left="567"/>
        <w:contextualSpacing w:val="0"/>
        <w:jc w:val="both"/>
      </w:pPr>
      <w:r>
        <w:t>…………………………………………………………………………………………….</w:t>
      </w:r>
    </w:p>
    <w:p w14:paraId="1C2FA2EA" w14:textId="1ACF6A7F" w:rsidR="008D3BAA" w:rsidRPr="0025374D" w:rsidRDefault="008D3BAA" w:rsidP="00034A1B">
      <w:pPr>
        <w:pStyle w:val="ListParagraph"/>
        <w:numPr>
          <w:ilvl w:val="0"/>
          <w:numId w:val="4"/>
        </w:numPr>
        <w:spacing w:before="120" w:after="120"/>
        <w:ind w:left="567" w:hanging="567"/>
        <w:contextualSpacing w:val="0"/>
        <w:jc w:val="both"/>
      </w:pPr>
      <w:r>
        <w:t>Når den relevante EU-standard allerede er vedtaget, men endnu ikke er trådt i kraft, skal det påvises, at støtten har en tilskyndelsesvirkning, fordi den tilskynder til, at investeringen gennemføres og afsluttes mindst 18 måneder før, at standarden træder i kraft.</w:t>
      </w:r>
    </w:p>
    <w:p w14:paraId="1F681DE3" w14:textId="244C8673" w:rsidR="00C86C53" w:rsidRPr="00471B74" w:rsidRDefault="002C1617" w:rsidP="00FF799E">
      <w:pPr>
        <w:pStyle w:val="ListParagraph"/>
        <w:spacing w:before="120" w:after="120"/>
        <w:ind w:left="567"/>
        <w:contextualSpacing w:val="0"/>
        <w:jc w:val="both"/>
      </w:pPr>
      <w:r>
        <w:t>…………………………………………………………………………………………….</w:t>
      </w:r>
    </w:p>
    <w:p w14:paraId="3063B88D" w14:textId="77777777" w:rsidR="00DE1D68" w:rsidRPr="00711243"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11243" w14:paraId="66A1C06C" w14:textId="77777777" w:rsidTr="00504F2E">
        <w:tc>
          <w:tcPr>
            <w:tcW w:w="9322" w:type="dxa"/>
            <w:shd w:val="pct15" w:color="auto" w:fill="auto"/>
          </w:tcPr>
          <w:p w14:paraId="7CABD1EF" w14:textId="4D11A7A0" w:rsidR="00DE1D68" w:rsidRPr="00B418CC" w:rsidRDefault="00DE1D68" w:rsidP="00940D30">
            <w:pPr>
              <w:pStyle w:val="Heading1"/>
              <w:numPr>
                <w:ilvl w:val="1"/>
                <w:numId w:val="22"/>
              </w:numPr>
              <w:rPr>
                <w:sz w:val="24"/>
                <w:szCs w:val="24"/>
              </w:rPr>
            </w:pPr>
            <w:r>
              <w:rPr>
                <w:sz w:val="24"/>
              </w:rPr>
              <w:t>Ingen overtrædelse af relevante EU-retlige bestemmelser</w:t>
            </w:r>
          </w:p>
        </w:tc>
      </w:tr>
    </w:tbl>
    <w:p w14:paraId="665FE026" w14:textId="7D0593B2" w:rsidR="00DE1D68" w:rsidRDefault="00DE1D68" w:rsidP="00DE1D68">
      <w:pPr>
        <w:spacing w:before="360" w:after="120"/>
        <w:jc w:val="both"/>
        <w:rPr>
          <w:i/>
        </w:rPr>
      </w:pPr>
      <w:r>
        <w:rPr>
          <w:i/>
        </w:rPr>
        <w:t xml:space="preserve">Med henblik på angivelsen af oplysningerne i dette afsnit henvises til afsnit 3.1.3, punkt 33, i CEEAG. </w:t>
      </w:r>
    </w:p>
    <w:p w14:paraId="1FE0FFEF" w14:textId="1B65FA08" w:rsidR="009E7959" w:rsidRDefault="0023543E" w:rsidP="009E7959">
      <w:pPr>
        <w:pStyle w:val="ListParagraph"/>
        <w:numPr>
          <w:ilvl w:val="0"/>
          <w:numId w:val="4"/>
        </w:numPr>
        <w:spacing w:before="120" w:after="120"/>
        <w:ind w:left="567" w:hanging="567"/>
        <w:contextualSpacing w:val="0"/>
        <w:jc w:val="both"/>
      </w:pPr>
      <w:r>
        <w:t xml:space="preserve">Angiv oplysninger til bekræftelse af overholdelsen af de relevante bestemmelser i EU-retten i overensstemmelse med punkt 33 i CEEAG (se f.eks. spørgsmål </w:t>
      </w:r>
      <w:r>
        <w:rPr>
          <w:highlight w:val="yellow"/>
        </w:rPr>
        <w:fldChar w:fldCharType="begin"/>
      </w:r>
      <w:r>
        <w:instrText xml:space="preserve"> REF _Ref169096013 \r \h </w:instrText>
      </w:r>
      <w:r>
        <w:rPr>
          <w:highlight w:val="yellow"/>
        </w:rPr>
      </w:r>
      <w:r>
        <w:rPr>
          <w:highlight w:val="yellow"/>
        </w:rPr>
        <w:fldChar w:fldCharType="separate"/>
      </w:r>
      <w:r>
        <w:t>49</w:t>
      </w:r>
      <w:r>
        <w:rPr>
          <w:highlight w:val="yellow"/>
        </w:rPr>
        <w:fldChar w:fldCharType="end"/>
      </w:r>
      <w:r>
        <w:t xml:space="preserve"> vedrørende overholdelse af forordning (EU) 2019/943).</w:t>
      </w:r>
    </w:p>
    <w:p w14:paraId="2943E659" w14:textId="5F4370C5" w:rsidR="00E965BD" w:rsidRDefault="00E965BD" w:rsidP="00E965BD">
      <w:pPr>
        <w:pStyle w:val="ListParagraph"/>
        <w:spacing w:before="120" w:after="120"/>
        <w:ind w:left="567"/>
        <w:contextualSpacing w:val="0"/>
        <w:jc w:val="both"/>
      </w:pPr>
      <w:r>
        <w:t>…………………………………………………………………………………………….</w:t>
      </w:r>
    </w:p>
    <w:p w14:paraId="51DADD46" w14:textId="68A6289D" w:rsidR="00F21363" w:rsidRPr="00E5054F" w:rsidRDefault="00C24760" w:rsidP="00E965BD">
      <w:pPr>
        <w:pStyle w:val="ListParagraph"/>
        <w:numPr>
          <w:ilvl w:val="0"/>
          <w:numId w:val="4"/>
        </w:numPr>
        <w:spacing w:before="120" w:after="120"/>
        <w:ind w:left="567" w:hanging="567"/>
        <w:contextualSpacing w:val="0"/>
        <w:jc w:val="both"/>
        <w:rPr>
          <w:color w:val="000000"/>
        </w:rPr>
      </w:pPr>
      <w:r>
        <w:t xml:space="preserve"> Hvis en afgift anvendes til at finansiere foranstaltningerne (se spørgsmål 54 nedenfor), skal det præciseres, om:</w:t>
      </w:r>
    </w:p>
    <w:p w14:paraId="37C8C169" w14:textId="77777777" w:rsidR="002B7718" w:rsidRDefault="002B7718" w:rsidP="002B7718">
      <w:pPr>
        <w:tabs>
          <w:tab w:val="left" w:leader="dot" w:pos="9072"/>
        </w:tabs>
        <w:spacing w:before="120" w:after="120"/>
        <w:ind w:left="927"/>
        <w:jc w:val="both"/>
      </w:pPr>
      <w:r>
        <w:tab/>
      </w:r>
    </w:p>
    <w:p w14:paraId="2BB0A7AC" w14:textId="77777777" w:rsidR="002B7718" w:rsidRDefault="002B7718" w:rsidP="002B7718">
      <w:pPr>
        <w:pStyle w:val="ListParagraph"/>
        <w:numPr>
          <w:ilvl w:val="1"/>
          <w:numId w:val="4"/>
        </w:numPr>
        <w:spacing w:before="120" w:after="120"/>
        <w:contextualSpacing w:val="0"/>
        <w:jc w:val="both"/>
        <w:rPr>
          <w:rFonts w:cs="Arial Unicode MS"/>
          <w:bCs/>
        </w:rPr>
      </w:pPr>
      <w:bookmarkStart w:id="2" w:name="_Hlk160796179"/>
      <w:r>
        <w:t>afgiften pålægges både indenlandske og importerede produkter</w:t>
      </w:r>
    </w:p>
    <w:bookmarkEnd w:id="2"/>
    <w:p w14:paraId="331D32BF" w14:textId="77777777" w:rsidR="002B7718" w:rsidRDefault="002B7718" w:rsidP="002B7718">
      <w:pPr>
        <w:tabs>
          <w:tab w:val="left" w:leader="dot" w:pos="9072"/>
        </w:tabs>
        <w:spacing w:before="120" w:after="120"/>
        <w:ind w:left="927"/>
        <w:jc w:val="both"/>
      </w:pPr>
      <w:r>
        <w:tab/>
      </w:r>
    </w:p>
    <w:p w14:paraId="0230AB3F" w14:textId="2E9A6ECD" w:rsidR="002B7718" w:rsidRDefault="002B7718" w:rsidP="002B7718">
      <w:pPr>
        <w:pStyle w:val="ListParagraph"/>
        <w:numPr>
          <w:ilvl w:val="1"/>
          <w:numId w:val="4"/>
        </w:numPr>
        <w:spacing w:before="120" w:after="120"/>
        <w:contextualSpacing w:val="0"/>
        <w:jc w:val="both"/>
        <w:rPr>
          <w:rFonts w:cs="Arial Unicode MS"/>
          <w:bCs/>
        </w:rPr>
      </w:pPr>
      <w:bookmarkStart w:id="3" w:name="_Hlk160796245"/>
      <w:r>
        <w:t>den anmeldte foranstaltning vil gavne både indenlandske og importerede produkter.</w:t>
      </w:r>
    </w:p>
    <w:bookmarkEnd w:id="3"/>
    <w:p w14:paraId="20264BE8" w14:textId="77777777" w:rsidR="002B7718" w:rsidRDefault="002B7718" w:rsidP="002B7718">
      <w:pPr>
        <w:tabs>
          <w:tab w:val="left" w:leader="dot" w:pos="9072"/>
        </w:tabs>
        <w:spacing w:before="120" w:after="120"/>
        <w:ind w:left="927"/>
        <w:jc w:val="both"/>
      </w:pPr>
      <w:r>
        <w:tab/>
      </w:r>
    </w:p>
    <w:p w14:paraId="1DBDF34C" w14:textId="38AC0F97" w:rsidR="00CC29A8" w:rsidRPr="00F83660" w:rsidRDefault="00CC29A8" w:rsidP="00544B04">
      <w:pPr>
        <w:tabs>
          <w:tab w:val="left" w:leader="dot" w:pos="9072"/>
        </w:tabs>
        <w:spacing w:before="120" w:after="120"/>
        <w:ind w:left="567"/>
        <w:jc w:val="both"/>
        <w:rPr>
          <w:color w:val="000000"/>
        </w:rPr>
      </w:pPr>
    </w:p>
    <w:p w14:paraId="12BBBE61" w14:textId="3845BC80" w:rsidR="00663008" w:rsidRPr="00F83660" w:rsidRDefault="00663008" w:rsidP="00DC5AF1">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1446B9C4" w14:textId="77777777" w:rsidTr="00504F2E">
        <w:tc>
          <w:tcPr>
            <w:tcW w:w="9322" w:type="dxa"/>
            <w:shd w:val="pct15" w:color="auto" w:fill="auto"/>
          </w:tcPr>
          <w:p w14:paraId="47835452" w14:textId="1E46754C" w:rsidR="00663008" w:rsidRPr="00F83660" w:rsidRDefault="00663008" w:rsidP="00940D30">
            <w:pPr>
              <w:pStyle w:val="Heading1"/>
              <w:numPr>
                <w:ilvl w:val="0"/>
                <w:numId w:val="22"/>
              </w:numPr>
              <w:rPr>
                <w:i/>
                <w:color w:val="000000"/>
                <w:sz w:val="28"/>
                <w:szCs w:val="28"/>
              </w:rPr>
            </w:pPr>
            <w:r>
              <w:rPr>
                <w:i/>
                <w:color w:val="000000"/>
                <w:sz w:val="28"/>
              </w:rPr>
              <w:t>Negativ betingelse: Støtten påvirker ikke samhandelsvilkårene på en måde, der strider mod den fælles interesse</w:t>
            </w:r>
          </w:p>
        </w:tc>
      </w:tr>
    </w:tbl>
    <w:p w14:paraId="567C40B6" w14:textId="4746CF00" w:rsidR="00164ADE" w:rsidRPr="00164ADE" w:rsidRDefault="00164ADE" w:rsidP="009433B5">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164ADE" w14:paraId="51499EDF" w14:textId="77777777" w:rsidTr="00504F2E">
        <w:tc>
          <w:tcPr>
            <w:tcW w:w="9322" w:type="dxa"/>
            <w:shd w:val="pct15" w:color="auto" w:fill="auto"/>
          </w:tcPr>
          <w:p w14:paraId="77CB675F" w14:textId="566812D0" w:rsidR="00164ADE" w:rsidRPr="009433B5" w:rsidRDefault="009433B5" w:rsidP="009433B5">
            <w:pPr>
              <w:pStyle w:val="Heading1"/>
              <w:ind w:left="1440"/>
              <w:jc w:val="left"/>
              <w:rPr>
                <w:iCs/>
                <w:color w:val="000000"/>
                <w:sz w:val="28"/>
                <w:szCs w:val="28"/>
              </w:rPr>
            </w:pPr>
            <w:r>
              <w:rPr>
                <w:color w:val="000000"/>
                <w:sz w:val="24"/>
              </w:rPr>
              <w:t xml:space="preserve">2.1. Minimering af konkurrence- og samhandelsfordrejninger </w:t>
            </w:r>
          </w:p>
        </w:tc>
      </w:tr>
    </w:tbl>
    <w:p w14:paraId="13E664B5" w14:textId="1EB96953" w:rsidR="00E870A4" w:rsidRPr="00F83660" w:rsidRDefault="00E870A4" w:rsidP="009433B5">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425B1AE4" w14:textId="77777777" w:rsidTr="00504F2E">
        <w:tc>
          <w:tcPr>
            <w:tcW w:w="9322" w:type="dxa"/>
            <w:shd w:val="pct15" w:color="auto" w:fill="auto"/>
          </w:tcPr>
          <w:p w14:paraId="5FBF20D3" w14:textId="28EACE6E" w:rsidR="00663008" w:rsidRPr="00F83660" w:rsidRDefault="005D490D" w:rsidP="00940D30">
            <w:pPr>
              <w:pStyle w:val="Heading1"/>
              <w:numPr>
                <w:ilvl w:val="2"/>
                <w:numId w:val="22"/>
              </w:numPr>
              <w:rPr>
                <w:color w:val="000000"/>
                <w:sz w:val="24"/>
                <w:szCs w:val="24"/>
              </w:rPr>
            </w:pPr>
            <w:r>
              <w:rPr>
                <w:color w:val="000000"/>
                <w:sz w:val="24"/>
              </w:rPr>
              <w:t>Støttens nødvendighed</w:t>
            </w:r>
          </w:p>
        </w:tc>
      </w:tr>
    </w:tbl>
    <w:p w14:paraId="3C23674F" w14:textId="79C4B802" w:rsidR="00663008" w:rsidRPr="00F83660" w:rsidRDefault="00663008" w:rsidP="00663008">
      <w:pPr>
        <w:spacing w:before="360" w:after="120"/>
        <w:jc w:val="both"/>
        <w:rPr>
          <w:i/>
          <w:color w:val="000000"/>
        </w:rPr>
      </w:pPr>
      <w:r>
        <w:rPr>
          <w:i/>
          <w:color w:val="000000"/>
        </w:rPr>
        <w:t>Med henblik</w:t>
      </w:r>
      <w:r>
        <w:rPr>
          <w:i/>
        </w:rPr>
        <w:t xml:space="preserve"> på angivelsen af oplysningerne</w:t>
      </w:r>
      <w:r>
        <w:rPr>
          <w:i/>
          <w:color w:val="000000"/>
        </w:rPr>
        <w:t xml:space="preserve"> i dette afsnit henvises til afsnit 4.8.4.1, punkt 331-339, i CEEAG. </w:t>
      </w:r>
    </w:p>
    <w:p w14:paraId="31662D12" w14:textId="2DAB52F3" w:rsidR="00A25455" w:rsidRDefault="00A25455" w:rsidP="00C52CFD">
      <w:pPr>
        <w:pStyle w:val="ListParagraph"/>
        <w:numPr>
          <w:ilvl w:val="0"/>
          <w:numId w:val="4"/>
        </w:numPr>
        <w:spacing w:before="120" w:after="120"/>
        <w:ind w:left="567" w:hanging="567"/>
        <w:contextualSpacing w:val="0"/>
        <w:jc w:val="both"/>
      </w:pPr>
      <w:bookmarkStart w:id="4" w:name="_Ref167812746"/>
      <w:r>
        <w:t>I henhold til punkt 331 i CEEAG skal arten af og årsagerne til problemet med elforsyningssikkerheden og dermed behovet for statsstøtte til sikring af elforsyningssikkerheden analyseres og kvantificeres korrekt, herunder hvornår og hvor problemet forventes at opstå med henvisning til pålidelighedsstandarden som defineret i artikel 25 i forordning (EU) 2019/943.</w:t>
      </w:r>
      <w:bookmarkEnd w:id="4"/>
    </w:p>
    <w:p w14:paraId="1ABC600C" w14:textId="174FCB8E" w:rsidR="00CD4EC7" w:rsidRDefault="00DD7F4B" w:rsidP="00A32872">
      <w:pPr>
        <w:pStyle w:val="ListParagraph"/>
        <w:spacing w:before="120" w:after="120"/>
        <w:ind w:left="567"/>
        <w:contextualSpacing w:val="0"/>
        <w:jc w:val="both"/>
      </w:pPr>
      <w:r>
        <w:t xml:space="preserve">Fremlæg en analyse, der identificerer og kvantificerer elforsyningsproblemet. I svaret angives nærmere oplysninger i lyset af betragtningerne i punkt 331-333 i CEEAG. </w:t>
      </w:r>
    </w:p>
    <w:p w14:paraId="70CE46FB" w14:textId="6C69C638" w:rsidR="007E61BB" w:rsidRDefault="007E61BB" w:rsidP="00A32872">
      <w:pPr>
        <w:pStyle w:val="ListParagraph"/>
        <w:spacing w:before="120" w:after="120"/>
        <w:ind w:left="567"/>
        <w:contextualSpacing w:val="0"/>
        <w:jc w:val="both"/>
      </w:pPr>
      <w:r>
        <w:t>…………………………………………………………………………………………….</w:t>
      </w:r>
    </w:p>
    <w:p w14:paraId="3166ADB2" w14:textId="77777777" w:rsidR="000B3DE1" w:rsidRDefault="000B3DE1" w:rsidP="00A32872">
      <w:pPr>
        <w:pStyle w:val="ListParagraph"/>
        <w:spacing w:before="120" w:after="120"/>
        <w:ind w:left="2160"/>
        <w:jc w:val="both"/>
        <w:rPr>
          <w:lang w:eastAsia="en-GB"/>
        </w:rPr>
      </w:pPr>
    </w:p>
    <w:p w14:paraId="33475E6C" w14:textId="2CCC2346" w:rsidR="001C1CEF" w:rsidRDefault="00B444A2" w:rsidP="00646D6A">
      <w:pPr>
        <w:pStyle w:val="ListParagraph"/>
        <w:numPr>
          <w:ilvl w:val="0"/>
          <w:numId w:val="4"/>
        </w:numPr>
        <w:spacing w:before="120" w:after="120"/>
        <w:ind w:left="567" w:hanging="567"/>
        <w:jc w:val="both"/>
      </w:pPr>
      <w:r>
        <w:t xml:space="preserve">I overensstemmelse med punkt 334 i CEEAG og for foranstaltninger vedrørende risikoen for elkriser vedlægges den nationale risikoberedskabsplan, jf. artikel 11 i forordning (EU) 2019/941, hvori den foreslåede foranstaltning bør identificeres. </w:t>
      </w:r>
    </w:p>
    <w:p w14:paraId="30219CFC" w14:textId="77777777" w:rsidR="007E61BB" w:rsidRDefault="007E61BB" w:rsidP="007E61BB">
      <w:pPr>
        <w:pStyle w:val="ListParagraph"/>
        <w:spacing w:before="120" w:after="120"/>
        <w:ind w:left="567"/>
        <w:jc w:val="both"/>
        <w:rPr>
          <w:lang w:eastAsia="en-GB"/>
        </w:rPr>
      </w:pPr>
    </w:p>
    <w:p w14:paraId="623887C2" w14:textId="7FEB9B05" w:rsidR="007E61BB" w:rsidRDefault="007E61BB" w:rsidP="007E61BB">
      <w:pPr>
        <w:pStyle w:val="ListParagraph"/>
        <w:spacing w:before="120" w:after="120"/>
        <w:ind w:left="567"/>
        <w:jc w:val="both"/>
      </w:pPr>
      <w:r>
        <w:lastRenderedPageBreak/>
        <w:t>…………………………………………………………………………………………….</w:t>
      </w:r>
    </w:p>
    <w:p w14:paraId="5A1544E3" w14:textId="77777777" w:rsidR="001C1CEF" w:rsidRDefault="001C1CEF" w:rsidP="00A32872">
      <w:pPr>
        <w:pStyle w:val="ListParagraph"/>
        <w:ind w:left="567" w:hanging="567"/>
        <w:rPr>
          <w:lang w:eastAsia="en-GB"/>
        </w:rPr>
      </w:pPr>
    </w:p>
    <w:p w14:paraId="3415F5CB" w14:textId="66D25178" w:rsidR="001C1CEF" w:rsidRDefault="007E61BB" w:rsidP="00646D6A">
      <w:pPr>
        <w:pStyle w:val="ListParagraph"/>
        <w:numPr>
          <w:ilvl w:val="0"/>
          <w:numId w:val="4"/>
        </w:numPr>
        <w:spacing w:before="120" w:after="120"/>
        <w:ind w:left="567" w:hanging="567"/>
        <w:jc w:val="both"/>
      </w:pPr>
      <w:r>
        <w:t>I overensstemmelse med punkt 335 i CEEAG og i tilfælde af et forslag om at indføre flere foranstaltninger rettet mod elforsyningssikkerhed, skal det tydeligt forklares, hvordan de interagerer med hinanden for at sikre den samlede omkostningseffektivitet af de kombinerede foranstaltninger til sikring af forsyningssikkerheden, f.eks. med hensyn til kapacitetsmekanismer ved at forklare, hvordan de når (men ikke går videre end) den pålidelighedsstandard, der henvises til i punkt 331.</w:t>
      </w:r>
    </w:p>
    <w:p w14:paraId="36B20D14" w14:textId="77777777" w:rsidR="007E61BB" w:rsidRDefault="007E61BB" w:rsidP="007E61BB">
      <w:pPr>
        <w:pStyle w:val="ListParagraph"/>
        <w:spacing w:before="120" w:after="120"/>
        <w:ind w:left="0"/>
        <w:jc w:val="both"/>
        <w:rPr>
          <w:lang w:eastAsia="en-GB"/>
        </w:rPr>
      </w:pPr>
    </w:p>
    <w:p w14:paraId="5E625743" w14:textId="1DAA218C" w:rsidR="007E61BB" w:rsidRDefault="007E61BB" w:rsidP="007E61BB">
      <w:pPr>
        <w:pStyle w:val="ListParagraph"/>
        <w:spacing w:before="120" w:after="120"/>
        <w:ind w:left="567"/>
        <w:jc w:val="both"/>
      </w:pPr>
      <w:r>
        <w:t>…………………………………………………………………………………………….</w:t>
      </w:r>
    </w:p>
    <w:p w14:paraId="3D7AEC99" w14:textId="77777777" w:rsidR="00646D6A" w:rsidRDefault="00646D6A" w:rsidP="00A32872">
      <w:pPr>
        <w:pStyle w:val="ListParagraph"/>
        <w:ind w:left="567" w:hanging="567"/>
        <w:rPr>
          <w:lang w:eastAsia="en-GB"/>
        </w:rPr>
      </w:pPr>
    </w:p>
    <w:p w14:paraId="000DD5C0" w14:textId="2D8C5850" w:rsidR="00646D6A" w:rsidRDefault="007E61BB" w:rsidP="00646D6A">
      <w:pPr>
        <w:pStyle w:val="ListParagraph"/>
        <w:numPr>
          <w:ilvl w:val="0"/>
          <w:numId w:val="4"/>
        </w:numPr>
        <w:spacing w:before="120" w:after="120"/>
        <w:ind w:left="567" w:hanging="567"/>
        <w:jc w:val="both"/>
      </w:pPr>
      <w:r>
        <w:t>I overensstemmelse med punkt 336 i CEEAG skal det regulerings- eller markedssvigt, der sammen med andre problemer forhindrer, at der opnås et tilstrækkeligt niveau af elforsyningssikkerhed (og i givet fald miljøbeskyttelse) uden indgreb, fastslås.</w:t>
      </w:r>
    </w:p>
    <w:p w14:paraId="7AFCAE64" w14:textId="77777777" w:rsidR="007E61BB" w:rsidRDefault="007E61BB" w:rsidP="007E61BB">
      <w:pPr>
        <w:pStyle w:val="ListParagraph"/>
        <w:spacing w:before="120" w:after="120"/>
        <w:ind w:left="0"/>
        <w:jc w:val="both"/>
        <w:rPr>
          <w:lang w:eastAsia="en-GB"/>
        </w:rPr>
      </w:pPr>
    </w:p>
    <w:p w14:paraId="13B6CD7D" w14:textId="4A8BBF66" w:rsidR="007E61BB" w:rsidRDefault="007E61BB" w:rsidP="007E61BB">
      <w:pPr>
        <w:pStyle w:val="ListParagraph"/>
        <w:spacing w:before="120" w:after="120"/>
        <w:ind w:left="567"/>
        <w:jc w:val="both"/>
      </w:pPr>
      <w:r>
        <w:t>…………………………………………………………………………………………….</w:t>
      </w:r>
    </w:p>
    <w:p w14:paraId="0E21F8F0" w14:textId="77777777" w:rsidR="00646D6A" w:rsidRDefault="00646D6A" w:rsidP="00A32872">
      <w:pPr>
        <w:pStyle w:val="ListParagraph"/>
        <w:ind w:left="567" w:hanging="567"/>
        <w:rPr>
          <w:lang w:eastAsia="en-GB"/>
        </w:rPr>
      </w:pPr>
    </w:p>
    <w:p w14:paraId="116E7CC6" w14:textId="1DBD779B" w:rsidR="00646D6A" w:rsidRDefault="007E61BB" w:rsidP="00646D6A">
      <w:pPr>
        <w:pStyle w:val="ListParagraph"/>
        <w:numPr>
          <w:ilvl w:val="0"/>
          <w:numId w:val="4"/>
        </w:numPr>
        <w:spacing w:before="120" w:after="120"/>
        <w:ind w:left="567" w:hanging="567"/>
        <w:jc w:val="both"/>
      </w:pPr>
      <w:r>
        <w:t xml:space="preserve">I overensstemmelse med punkt 337 i CEEAG skal de eksisterende foranstaltninger, der allerede er rettet mod markedet eller lovgivningsmæssige svigt eller andre problemer, der er identificeret i punkt 336, afdækkes. Hvis det er relevant, kan der henvises til den dokumentation, der allerede er fremlagt som svar spørgsmål </w:t>
      </w:r>
      <w:r>
        <w:fldChar w:fldCharType="begin"/>
      </w:r>
      <w:r>
        <w:instrText xml:space="preserve"> REF _Ref167812746 \r \h </w:instrText>
      </w:r>
      <w:r>
        <w:fldChar w:fldCharType="separate"/>
      </w:r>
      <w:r>
        <w:t>16</w:t>
      </w:r>
      <w:r>
        <w:fldChar w:fldCharType="end"/>
      </w:r>
      <w:r>
        <w:t xml:space="preserve"> ovenfor.</w:t>
      </w:r>
    </w:p>
    <w:p w14:paraId="25BE48E9" w14:textId="77777777" w:rsidR="007E61BB" w:rsidRDefault="007E61BB" w:rsidP="007E61BB">
      <w:pPr>
        <w:pStyle w:val="ListParagraph"/>
        <w:spacing w:before="120" w:after="120"/>
        <w:ind w:left="567"/>
        <w:jc w:val="both"/>
        <w:rPr>
          <w:lang w:eastAsia="en-GB"/>
        </w:rPr>
      </w:pPr>
    </w:p>
    <w:p w14:paraId="16214339" w14:textId="6F1B65E7" w:rsidR="007E61BB" w:rsidRDefault="007E61BB" w:rsidP="007E61BB">
      <w:pPr>
        <w:pStyle w:val="ListParagraph"/>
        <w:spacing w:before="120" w:after="120"/>
        <w:ind w:left="567"/>
        <w:jc w:val="both"/>
      </w:pPr>
      <w:r>
        <w:t>…………………………………………………………………………………………….</w:t>
      </w:r>
    </w:p>
    <w:p w14:paraId="5E396FE7" w14:textId="77777777" w:rsidR="00646D6A" w:rsidRDefault="00646D6A" w:rsidP="00A32872">
      <w:pPr>
        <w:pStyle w:val="ListParagraph"/>
        <w:ind w:left="567" w:hanging="567"/>
        <w:rPr>
          <w:lang w:eastAsia="en-GB"/>
        </w:rPr>
      </w:pPr>
    </w:p>
    <w:p w14:paraId="62702687" w14:textId="29F099B0" w:rsidR="00646D6A" w:rsidRDefault="007E61BB" w:rsidP="00646D6A">
      <w:pPr>
        <w:pStyle w:val="ListParagraph"/>
        <w:numPr>
          <w:ilvl w:val="0"/>
          <w:numId w:val="4"/>
        </w:numPr>
        <w:spacing w:before="120" w:after="120"/>
        <w:ind w:left="567" w:hanging="567"/>
        <w:jc w:val="both"/>
      </w:pPr>
      <w:r>
        <w:t>I overensstemmelse med punkt 338 i CEEAG skal årsagerne til, at markedet ikke kan forventes at levere elforsyningssikkerhed uden statsstøtte, dokumenteres under hensyntagen til de markedsreformer og forbedringer, som medlemsstaten har planlagt, og den teknologiske udvikling.</w:t>
      </w:r>
    </w:p>
    <w:p w14:paraId="6D13E8B0" w14:textId="77777777" w:rsidR="007E61BB" w:rsidRDefault="007E61BB" w:rsidP="007E61BB">
      <w:pPr>
        <w:pStyle w:val="ListParagraph"/>
        <w:spacing w:before="120" w:after="120"/>
        <w:ind w:left="567"/>
        <w:jc w:val="both"/>
        <w:rPr>
          <w:lang w:eastAsia="en-GB"/>
        </w:rPr>
      </w:pPr>
    </w:p>
    <w:p w14:paraId="7EE1181A" w14:textId="2EA88D11" w:rsidR="007E61BB" w:rsidRDefault="007E61BB" w:rsidP="007E61BB">
      <w:pPr>
        <w:pStyle w:val="ListParagraph"/>
        <w:spacing w:before="120" w:after="120"/>
        <w:ind w:left="567"/>
        <w:jc w:val="both"/>
      </w:pPr>
      <w:r>
        <w:t>…………………………………………………………………………………………….</w:t>
      </w:r>
    </w:p>
    <w:p w14:paraId="39B358C4" w14:textId="77777777" w:rsidR="00E13506" w:rsidRDefault="00E13506" w:rsidP="00A32872">
      <w:pPr>
        <w:pStyle w:val="ListParagraph"/>
        <w:rPr>
          <w:lang w:eastAsia="en-GB"/>
        </w:rPr>
      </w:pPr>
    </w:p>
    <w:p w14:paraId="7BF1249B" w14:textId="6FDD0293" w:rsidR="00646D6A" w:rsidRDefault="00E13506" w:rsidP="00A32872">
      <w:pPr>
        <w:pStyle w:val="ListParagraph"/>
        <w:numPr>
          <w:ilvl w:val="0"/>
          <w:numId w:val="4"/>
        </w:numPr>
        <w:spacing w:before="120" w:after="240"/>
        <w:ind w:left="567" w:hanging="567"/>
        <w:jc w:val="both"/>
      </w:pPr>
      <w:r>
        <w:t>Forelæg følgende oplysninger som fastsat i punkt 339 i CEEAG:</w:t>
      </w:r>
    </w:p>
    <w:p w14:paraId="22B1B19C" w14:textId="02BC0A6D" w:rsidR="001F444E" w:rsidRDefault="00CC02E1" w:rsidP="0013713F">
      <w:pPr>
        <w:pStyle w:val="ListParagraph"/>
        <w:numPr>
          <w:ilvl w:val="1"/>
          <w:numId w:val="4"/>
        </w:numPr>
        <w:spacing w:after="240"/>
        <w:ind w:left="1134" w:hanging="283"/>
        <w:jc w:val="both"/>
      </w:pPr>
      <w:r>
        <w:t xml:space="preserve">En vurdering af indvirkningen af variabel elproduktion, herunder indvirkningen fra nabosystemer. </w:t>
      </w:r>
    </w:p>
    <w:p w14:paraId="733F56B8" w14:textId="77777777" w:rsidR="00D24030" w:rsidRDefault="00D24030" w:rsidP="0013713F">
      <w:pPr>
        <w:pStyle w:val="ListParagraph"/>
        <w:spacing w:after="240"/>
        <w:ind w:left="1134"/>
        <w:jc w:val="both"/>
        <w:rPr>
          <w:lang w:eastAsia="en-GB"/>
        </w:rPr>
      </w:pPr>
    </w:p>
    <w:p w14:paraId="72F40BC9" w14:textId="6B75E542" w:rsidR="00D24030" w:rsidRDefault="00D24030" w:rsidP="00D24030">
      <w:pPr>
        <w:pStyle w:val="ListParagraph"/>
        <w:spacing w:after="240"/>
        <w:ind w:left="567"/>
        <w:jc w:val="both"/>
      </w:pPr>
      <w:r>
        <w:t>…………………………………………………………………………………………….</w:t>
      </w:r>
    </w:p>
    <w:p w14:paraId="0F11489C" w14:textId="77777777" w:rsidR="00D24030" w:rsidRDefault="00D24030" w:rsidP="0013713F">
      <w:pPr>
        <w:pStyle w:val="ListParagraph"/>
        <w:spacing w:after="240"/>
        <w:ind w:left="567"/>
        <w:jc w:val="both"/>
        <w:rPr>
          <w:lang w:eastAsia="en-GB"/>
        </w:rPr>
      </w:pPr>
    </w:p>
    <w:p w14:paraId="3DB91AB7" w14:textId="69759882" w:rsidR="00646D6A" w:rsidRDefault="00CC02E1" w:rsidP="0013713F">
      <w:pPr>
        <w:pStyle w:val="ListParagraph"/>
        <w:numPr>
          <w:ilvl w:val="1"/>
          <w:numId w:val="4"/>
        </w:numPr>
        <w:spacing w:after="240"/>
        <w:ind w:left="1134" w:hanging="283"/>
        <w:jc w:val="both"/>
      </w:pPr>
      <w:r>
        <w:t>En vurdering af indvirkningen af deltagelse på efterspørgsels- og lagringssiden, herunder en beskrivelse af de foranstaltninger, der skal fremme efterspørgselsstyringen</w:t>
      </w:r>
    </w:p>
    <w:p w14:paraId="3B87D3DB" w14:textId="77777777" w:rsidR="00D24030" w:rsidRDefault="00D24030" w:rsidP="0013713F">
      <w:pPr>
        <w:pStyle w:val="ListParagraph"/>
        <w:spacing w:after="240"/>
        <w:ind w:left="1134"/>
        <w:jc w:val="both"/>
        <w:rPr>
          <w:lang w:eastAsia="en-GB"/>
        </w:rPr>
      </w:pPr>
    </w:p>
    <w:p w14:paraId="73D99F4F" w14:textId="79016EE1" w:rsidR="00D24030" w:rsidRDefault="00D24030" w:rsidP="00D24030">
      <w:pPr>
        <w:pStyle w:val="ListParagraph"/>
        <w:spacing w:after="240"/>
        <w:ind w:left="567"/>
        <w:jc w:val="both"/>
      </w:pPr>
      <w:r>
        <w:t>…………………………………………………………………………………………….</w:t>
      </w:r>
    </w:p>
    <w:p w14:paraId="12D5F683" w14:textId="77777777" w:rsidR="00D24030" w:rsidRDefault="00D24030" w:rsidP="0013713F">
      <w:pPr>
        <w:pStyle w:val="ListParagraph"/>
        <w:spacing w:after="240"/>
        <w:ind w:left="567"/>
        <w:jc w:val="both"/>
        <w:rPr>
          <w:lang w:eastAsia="en-GB"/>
        </w:rPr>
      </w:pPr>
    </w:p>
    <w:p w14:paraId="7962B400" w14:textId="0EBAAB07" w:rsidR="00646D6A" w:rsidRDefault="00CC02E1" w:rsidP="0013713F">
      <w:pPr>
        <w:pStyle w:val="ListParagraph"/>
        <w:numPr>
          <w:ilvl w:val="1"/>
          <w:numId w:val="4"/>
        </w:numPr>
        <w:spacing w:after="240"/>
        <w:ind w:left="1134" w:hanging="283"/>
        <w:jc w:val="both"/>
      </w:pPr>
      <w:r>
        <w:t>En vurdering af den faktiske eller potentielle forekomst af samkøringslinjer og større transmissionsnetinfrastrukturer, herunder en beskrivelse af projekter, der er under gennemførelse og planlagt</w:t>
      </w:r>
    </w:p>
    <w:p w14:paraId="216A05CC" w14:textId="77777777" w:rsidR="00D24030" w:rsidRDefault="00D24030" w:rsidP="00D24030">
      <w:pPr>
        <w:pStyle w:val="ListParagraph"/>
        <w:spacing w:after="240"/>
        <w:ind w:left="567"/>
        <w:jc w:val="both"/>
        <w:rPr>
          <w:lang w:eastAsia="en-GB"/>
        </w:rPr>
      </w:pPr>
    </w:p>
    <w:p w14:paraId="5FD32882" w14:textId="0BAB0EB7" w:rsidR="00D24030" w:rsidRDefault="00D24030" w:rsidP="00D24030">
      <w:pPr>
        <w:pStyle w:val="ListParagraph"/>
        <w:spacing w:after="240"/>
        <w:ind w:left="567"/>
        <w:jc w:val="both"/>
      </w:pPr>
      <w:r>
        <w:t>…………………………………………………………………………………………….</w:t>
      </w:r>
    </w:p>
    <w:p w14:paraId="14DAAA64" w14:textId="77777777" w:rsidR="00D24030" w:rsidRDefault="00D24030" w:rsidP="0013713F">
      <w:pPr>
        <w:pStyle w:val="ListParagraph"/>
        <w:spacing w:after="240"/>
        <w:ind w:left="567"/>
        <w:jc w:val="both"/>
        <w:rPr>
          <w:lang w:eastAsia="en-GB"/>
        </w:rPr>
      </w:pPr>
    </w:p>
    <w:p w14:paraId="27E6A8E5" w14:textId="0533F2EB" w:rsidR="00D24030" w:rsidRDefault="00631A11" w:rsidP="0013713F">
      <w:pPr>
        <w:pStyle w:val="ListParagraph"/>
        <w:numPr>
          <w:ilvl w:val="1"/>
          <w:numId w:val="4"/>
        </w:numPr>
        <w:spacing w:after="240"/>
        <w:ind w:left="1134" w:hanging="283"/>
        <w:jc w:val="both"/>
      </w:pPr>
      <w:r>
        <w:lastRenderedPageBreak/>
        <w:t xml:space="preserve"> En vurdering af ethvert andet element, der kan forårsage eller forværre problemet med elforsyningssikkerheden, såsom lofter over engrospriser eller andre regulerings- eller markedssvigt. Hvis det er relevant fremlægges og tages der hensyn til gennemførelsesplanen for foranstaltninger, der fjerner eventuelle konstaterede reguleringsforvridninger eller markedsfejl samt til Kommissionens udtalelse om en sådan gennemførelsesplan, jf. artikel 20, stk. 3 og 5, i forordning (EU) 2019/943.</w:t>
      </w:r>
    </w:p>
    <w:p w14:paraId="7A0BA767" w14:textId="77777777" w:rsidR="00D24030" w:rsidRDefault="00D24030" w:rsidP="00D24030">
      <w:pPr>
        <w:pStyle w:val="ListParagraph"/>
        <w:spacing w:after="240"/>
        <w:ind w:left="567"/>
        <w:jc w:val="both"/>
        <w:rPr>
          <w:lang w:eastAsia="en-GB"/>
        </w:rPr>
      </w:pPr>
    </w:p>
    <w:p w14:paraId="44EBBAAE" w14:textId="77777777" w:rsidR="00D24030" w:rsidRDefault="00D24030" w:rsidP="00D24030">
      <w:pPr>
        <w:pStyle w:val="ListParagraph"/>
        <w:spacing w:after="240"/>
        <w:ind w:left="567"/>
        <w:jc w:val="both"/>
      </w:pPr>
      <w:r>
        <w:t>…………………………………………………………………………………………….</w:t>
      </w:r>
    </w:p>
    <w:p w14:paraId="48D250F3" w14:textId="698F98F4" w:rsidR="00E91CD6" w:rsidRDefault="00646D6A" w:rsidP="0013713F">
      <w:pPr>
        <w:pStyle w:val="ListParagraph"/>
        <w:spacing w:after="240"/>
        <w:ind w:left="567"/>
        <w:jc w:val="both"/>
      </w:pPr>
      <w:r>
        <w:t xml:space="preserve"> </w:t>
      </w:r>
    </w:p>
    <w:p w14:paraId="57A56477" w14:textId="3D8D26A8" w:rsidR="00646D6A" w:rsidRDefault="00CC02E1" w:rsidP="0013713F">
      <w:pPr>
        <w:pStyle w:val="ListParagraph"/>
        <w:numPr>
          <w:ilvl w:val="1"/>
          <w:numId w:val="4"/>
        </w:numPr>
        <w:spacing w:after="240"/>
        <w:ind w:left="1134" w:hanging="283"/>
        <w:jc w:val="both"/>
      </w:pPr>
      <w:r>
        <w:t>Eventuelt relevant indhold i en handlingsplan i henhold til artikel 15 i forordning (EU) 2019/943.</w:t>
      </w:r>
    </w:p>
    <w:p w14:paraId="621A86A8" w14:textId="77777777" w:rsidR="00663008" w:rsidRPr="00836816" w:rsidRDefault="00663008" w:rsidP="00663008">
      <w:pPr>
        <w:tabs>
          <w:tab w:val="left" w:leader="dot" w:pos="9072"/>
        </w:tabs>
        <w:spacing w:before="120" w:after="120"/>
        <w:ind w:left="567"/>
        <w:jc w:val="both"/>
      </w:pPr>
      <w:r>
        <w:tab/>
      </w:r>
    </w:p>
    <w:p w14:paraId="139B6409" w14:textId="77777777" w:rsidR="004152C3" w:rsidRPr="004152C3" w:rsidRDefault="004152C3" w:rsidP="004152C3">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039A2943" w14:textId="77777777" w:rsidTr="00504F2E">
        <w:tc>
          <w:tcPr>
            <w:tcW w:w="9322" w:type="dxa"/>
            <w:shd w:val="pct15" w:color="auto" w:fill="auto"/>
          </w:tcPr>
          <w:p w14:paraId="11FBCAA7" w14:textId="69099AF6" w:rsidR="00EA354A" w:rsidRPr="00F83660" w:rsidRDefault="0013713F" w:rsidP="00940D30">
            <w:pPr>
              <w:pStyle w:val="Heading1"/>
              <w:numPr>
                <w:ilvl w:val="2"/>
                <w:numId w:val="22"/>
              </w:numPr>
              <w:rPr>
                <w:color w:val="000000"/>
                <w:sz w:val="24"/>
                <w:szCs w:val="24"/>
              </w:rPr>
            </w:pPr>
            <w:r>
              <w:rPr>
                <w:color w:val="000000"/>
                <w:sz w:val="24"/>
              </w:rPr>
              <w:t>Hensigtsmæssighed</w:t>
            </w:r>
          </w:p>
        </w:tc>
      </w:tr>
    </w:tbl>
    <w:p w14:paraId="4C2D927B" w14:textId="3E3F17BF" w:rsidR="00EA354A" w:rsidRPr="00F83660" w:rsidRDefault="00EA354A" w:rsidP="00EA354A">
      <w:pPr>
        <w:spacing w:before="360" w:after="120"/>
        <w:jc w:val="both"/>
        <w:rPr>
          <w:i/>
          <w:color w:val="000000"/>
        </w:rPr>
      </w:pPr>
      <w:r>
        <w:rPr>
          <w:i/>
          <w:color w:val="000000"/>
        </w:rPr>
        <w:t>Med henblik</w:t>
      </w:r>
      <w:r>
        <w:rPr>
          <w:i/>
        </w:rPr>
        <w:t xml:space="preserve"> på angivelsen af oplysningerne</w:t>
      </w:r>
      <w:r>
        <w:rPr>
          <w:i/>
          <w:color w:val="000000"/>
        </w:rPr>
        <w:t xml:space="preserve"> i dette afsnit henvises til afsnit 4.8.4.2, punkt 341-342, i CEEAG. </w:t>
      </w:r>
    </w:p>
    <w:p w14:paraId="07C78113" w14:textId="6559C3EA" w:rsidR="00631A11" w:rsidRDefault="00631A11" w:rsidP="00A32872">
      <w:pPr>
        <w:pStyle w:val="ListParagraph"/>
        <w:numPr>
          <w:ilvl w:val="0"/>
          <w:numId w:val="4"/>
        </w:numPr>
        <w:spacing w:before="120" w:after="120"/>
        <w:ind w:left="567" w:hanging="567"/>
        <w:contextualSpacing w:val="0"/>
        <w:jc w:val="both"/>
      </w:pPr>
      <w:bookmarkStart w:id="5" w:name="_Ref168390744"/>
      <w:r>
        <w:t>Med henblik på at påvise overholdelsen af punkt 341 i CEEAG:</w:t>
      </w:r>
      <w:bookmarkEnd w:id="5"/>
      <w:r>
        <w:t xml:space="preserve"> </w:t>
      </w:r>
    </w:p>
    <w:p w14:paraId="79825D38" w14:textId="43C3C984" w:rsidR="0021413B" w:rsidRDefault="000F6575" w:rsidP="0013713F">
      <w:pPr>
        <w:pStyle w:val="ListParagraph"/>
        <w:numPr>
          <w:ilvl w:val="1"/>
          <w:numId w:val="4"/>
        </w:numPr>
        <w:spacing w:before="120" w:after="120"/>
        <w:ind w:left="1134" w:hanging="283"/>
        <w:contextualSpacing w:val="0"/>
        <w:jc w:val="both"/>
      </w:pPr>
      <w:r>
        <w:t>Forklar, hvilke alternative måder til at opnå elforsyningssikkerhed på, der er blevet overvejet, navnlig med hensyn til mere effektiv udformning af elektricitetsmarkedet, som kan afhjælpe markedssvigt, der underminerer elforsyningssikkerheden. I denne henseende indeholder punkt 341 i CEEAG eksempler på forbedringer af udformningen af elektricitetsmarkedet (forbedring af funktionen af afregning af ubalancer i elsektoren, bedre integration af variabel produktion, tilskyndelse til og integration af prisfleksibelt elforbrug og lagring, fremme af effektive prissignaler, fjernelse af hindringer for grænseoverskridende handel og forbedring af infrastrukturen, herunder sammenkoblingen).</w:t>
      </w:r>
    </w:p>
    <w:p w14:paraId="159F5D94" w14:textId="5BF3AD77" w:rsidR="00631A11" w:rsidRPr="0021413B" w:rsidRDefault="00631A11" w:rsidP="0013713F">
      <w:pPr>
        <w:pStyle w:val="ListParagraph"/>
        <w:spacing w:before="120" w:after="120"/>
        <w:ind w:left="567"/>
        <w:contextualSpacing w:val="0"/>
        <w:jc w:val="both"/>
      </w:pPr>
      <w:r>
        <w:t>…………………………………………………………………………………………….</w:t>
      </w:r>
    </w:p>
    <w:p w14:paraId="294AE69F" w14:textId="37E2EC9B" w:rsidR="002C3BBC" w:rsidRDefault="00F43D8F" w:rsidP="0013713F">
      <w:pPr>
        <w:pStyle w:val="ListParagraph"/>
        <w:numPr>
          <w:ilvl w:val="1"/>
          <w:numId w:val="4"/>
        </w:numPr>
        <w:spacing w:before="120" w:after="120"/>
        <w:ind w:left="1134" w:hanging="283"/>
        <w:contextualSpacing w:val="0"/>
        <w:jc w:val="both"/>
      </w:pPr>
      <w:r>
        <w:t>Påvis, at der til trods for passende og proportionale forbedringer af markedsudformningen og investeringer i netaktiver, uanset om de allerede er gennemført eller planlagt, fortsat er en forsyningssikkerhedsrisiko (punkt 341 i CEEAG).</w:t>
      </w:r>
    </w:p>
    <w:p w14:paraId="179BCAD5" w14:textId="5BB0CBC0" w:rsidR="00B36962" w:rsidRDefault="00B36962" w:rsidP="00A32872">
      <w:pPr>
        <w:pStyle w:val="ListParagraph"/>
        <w:spacing w:before="120" w:after="120"/>
        <w:ind w:left="567"/>
        <w:contextualSpacing w:val="0"/>
        <w:jc w:val="both"/>
      </w:pPr>
      <w:r>
        <w:t>…………………………………………………………………………………….............</w:t>
      </w:r>
    </w:p>
    <w:p w14:paraId="23185F94" w14:textId="708637F6" w:rsidR="00E91CD6" w:rsidRDefault="00E13506" w:rsidP="00E91CD6">
      <w:pPr>
        <w:pStyle w:val="ListParagraph"/>
        <w:numPr>
          <w:ilvl w:val="0"/>
          <w:numId w:val="4"/>
        </w:numPr>
        <w:spacing w:before="120" w:after="120"/>
        <w:ind w:left="567" w:hanging="567"/>
        <w:contextualSpacing w:val="0"/>
        <w:jc w:val="both"/>
      </w:pPr>
      <w:r>
        <w:t>Med hensyn til netoverbelastningsforanstaltninger skal det desuden forklares, hvordan effektiviteten af belastningsomfordelingsforanstaltningerne forbedres i overensstemmelse med artikel 13 i forordning (EU) 2019/943 (punkt 342 i CEEAG).</w:t>
      </w:r>
    </w:p>
    <w:p w14:paraId="78310DA6" w14:textId="1148C368" w:rsidR="00AB322D" w:rsidRPr="00342D59" w:rsidRDefault="00C2550E" w:rsidP="00342D59">
      <w:pPr>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74034" w:rsidRPr="00E74034" w14:paraId="5D33B982" w14:textId="77777777" w:rsidTr="00C041E3">
        <w:tc>
          <w:tcPr>
            <w:tcW w:w="9322" w:type="dxa"/>
            <w:shd w:val="pct15" w:color="auto" w:fill="auto"/>
          </w:tcPr>
          <w:p w14:paraId="0CE58BE0" w14:textId="236D0F04" w:rsidR="00AB322D" w:rsidRPr="00E74034" w:rsidRDefault="00AB322D" w:rsidP="00940D30">
            <w:pPr>
              <w:pStyle w:val="Heading1"/>
              <w:numPr>
                <w:ilvl w:val="2"/>
                <w:numId w:val="22"/>
              </w:numPr>
              <w:rPr>
                <w:sz w:val="24"/>
                <w:szCs w:val="24"/>
              </w:rPr>
            </w:pPr>
            <w:r>
              <w:rPr>
                <w:sz w:val="24"/>
              </w:rPr>
              <w:t>Støtteberettigelse</w:t>
            </w:r>
          </w:p>
        </w:tc>
      </w:tr>
    </w:tbl>
    <w:p w14:paraId="2460A5B7" w14:textId="542C5474" w:rsidR="00AB322D" w:rsidRPr="00E74034" w:rsidRDefault="00AB322D" w:rsidP="00AB322D">
      <w:pPr>
        <w:spacing w:before="360" w:after="120"/>
        <w:jc w:val="both"/>
        <w:rPr>
          <w:i/>
        </w:rPr>
      </w:pPr>
      <w:r>
        <w:rPr>
          <w:i/>
        </w:rPr>
        <w:t xml:space="preserve">Med henblik på angivelsen af oplysningerne i dette afsnit henvises til afsnit 4.8.4.3, punkt 343-346, i CEEAG. </w:t>
      </w:r>
    </w:p>
    <w:p w14:paraId="5B261EDF" w14:textId="1C3D2939" w:rsidR="00AC1835" w:rsidRPr="0041079D" w:rsidRDefault="00757E45" w:rsidP="0041079D">
      <w:pPr>
        <w:pStyle w:val="ListParagraph"/>
        <w:numPr>
          <w:ilvl w:val="0"/>
          <w:numId w:val="4"/>
        </w:numPr>
        <w:spacing w:before="120" w:after="120"/>
        <w:ind w:left="567" w:hanging="567"/>
        <w:contextualSpacing w:val="0"/>
        <w:jc w:val="both"/>
      </w:pPr>
      <w:r>
        <w:lastRenderedPageBreak/>
        <w:t xml:space="preserve">Med henblik på at påvise overholdelse af punkt 343 i CEEAG skal det bekræftes, at foranstaltningen vil være åbne for alle støttemodtagere eller projekter, der teknisk set kan bidrage effektivt til opfyldelsen af målet om forsyningssikkerhed (f.eks. produktion, lagring, prisfleksibelt elforbrug og aggregering af små enheder i større blokke). </w:t>
      </w:r>
    </w:p>
    <w:p w14:paraId="0E72243E" w14:textId="7C3263F1" w:rsidR="00C2550E" w:rsidRDefault="00C2550E" w:rsidP="00A32872">
      <w:pPr>
        <w:pStyle w:val="ListParagraph"/>
        <w:spacing w:before="120" w:after="120"/>
        <w:ind w:left="567"/>
        <w:contextualSpacing w:val="0"/>
        <w:jc w:val="both"/>
      </w:pPr>
      <w:r>
        <w:t>…………………………………………………………………………………………….</w:t>
      </w:r>
    </w:p>
    <w:p w14:paraId="6A36C585" w14:textId="0E19FB2D" w:rsidR="00C2550E" w:rsidRDefault="00757E45" w:rsidP="00A32872">
      <w:pPr>
        <w:pStyle w:val="ListParagraph"/>
        <w:numPr>
          <w:ilvl w:val="0"/>
          <w:numId w:val="4"/>
        </w:numPr>
        <w:spacing w:before="120" w:after="120"/>
        <w:ind w:left="567" w:hanging="567"/>
        <w:contextualSpacing w:val="0"/>
        <w:jc w:val="both"/>
      </w:pPr>
      <w:r>
        <w:t xml:space="preserve">I overensstemmelse med punkt 344 i CEEAG skal det forklares, om der er begrænsninger for deltagelse i den foreslåede forsyningssikkerhedsforanstaltning, der har til formål at sikre, at foranstaltningen ikke underminerer miljøbeskyttelsen. </w:t>
      </w:r>
    </w:p>
    <w:p w14:paraId="5F432598" w14:textId="5B72B220" w:rsidR="0006674F" w:rsidRDefault="0006674F" w:rsidP="00A32872">
      <w:pPr>
        <w:pStyle w:val="ListParagraph"/>
        <w:spacing w:before="120" w:after="120"/>
        <w:ind w:left="567"/>
        <w:contextualSpacing w:val="0"/>
        <w:jc w:val="both"/>
      </w:pPr>
      <w:r>
        <w:t>…………………………………………………………………………………………….</w:t>
      </w:r>
    </w:p>
    <w:p w14:paraId="6E89B6D6" w14:textId="461347B4" w:rsidR="00C2550E" w:rsidRDefault="001243C2" w:rsidP="00A32872">
      <w:pPr>
        <w:pStyle w:val="ListParagraph"/>
        <w:numPr>
          <w:ilvl w:val="0"/>
          <w:numId w:val="4"/>
        </w:numPr>
        <w:spacing w:before="120" w:after="120"/>
        <w:ind w:left="567" w:hanging="567"/>
        <w:contextualSpacing w:val="0"/>
        <w:jc w:val="both"/>
      </w:pPr>
      <w:r>
        <w:t xml:space="preserve">Hvis den anmeldte forsyningssikkerhedsforanstaltning omfatter yderligere kriterier eller elementer for at fremme grønne teknologiers deltagelse (eller mindske deltagelsen af forurenende teknologier), der er nødvendige for at støtte opfyldelsen af Unionen miljøbeskyttelsesmål, skal det påvises, at sådanne kriterier eller elementer er objektive, gennemsigtige og ikkediskriminerende i forhold til klart definerede miljøbeskyttelsesmål og ikke fører til overkompensation til støttemodtagerne (punkt 345 i CEEAG). </w:t>
      </w:r>
    </w:p>
    <w:p w14:paraId="3D7256B6" w14:textId="797DEA12" w:rsidR="00C2550E" w:rsidRPr="002C6BE5" w:rsidRDefault="00C2550E" w:rsidP="00C2550E">
      <w:pPr>
        <w:tabs>
          <w:tab w:val="left" w:leader="dot" w:pos="9072"/>
        </w:tabs>
        <w:spacing w:before="120" w:after="120"/>
        <w:ind w:left="567"/>
        <w:jc w:val="both"/>
      </w:pPr>
      <w:r>
        <w:tab/>
      </w:r>
    </w:p>
    <w:p w14:paraId="39861E3B" w14:textId="2F9F8A12" w:rsidR="00757E45" w:rsidRDefault="00757E45" w:rsidP="00757E45">
      <w:pPr>
        <w:pStyle w:val="ListParagraph"/>
        <w:numPr>
          <w:ilvl w:val="0"/>
          <w:numId w:val="4"/>
        </w:numPr>
        <w:spacing w:before="120" w:after="120"/>
        <w:ind w:left="567" w:hanging="567"/>
        <w:contextualSpacing w:val="0"/>
        <w:jc w:val="both"/>
      </w:pPr>
      <w:r>
        <w:t xml:space="preserve">I overensstemmelse med punkt 346 i CEEAG: </w:t>
      </w:r>
    </w:p>
    <w:p w14:paraId="6D01F322" w14:textId="59FBE293" w:rsidR="0098393D" w:rsidRPr="0098393D" w:rsidRDefault="00CC2B48" w:rsidP="001D2520">
      <w:pPr>
        <w:pStyle w:val="ListParagraph"/>
        <w:numPr>
          <w:ilvl w:val="1"/>
          <w:numId w:val="4"/>
        </w:numPr>
        <w:spacing w:before="120" w:after="120"/>
        <w:ind w:left="1134" w:hanging="283"/>
        <w:contextualSpacing w:val="0"/>
        <w:jc w:val="both"/>
      </w:pPr>
      <w:r>
        <w:t xml:space="preserve">Angiv, hvor det er teknisk muligt, om elforsyningssikkerhedsforanstaltningen vil være åben for direkte grænseoverskridende deltagelse af kapacitetsudbydere, der er etableret i en anden medlemsstat. Hvis ikke, gives en begrundelse herfor. </w:t>
      </w:r>
    </w:p>
    <w:p w14:paraId="571EA613" w14:textId="479A2476" w:rsidR="0098393D" w:rsidRDefault="0098393D" w:rsidP="00A32872">
      <w:pPr>
        <w:pStyle w:val="ListParagraph"/>
        <w:ind w:hanging="153"/>
      </w:pPr>
      <w:r>
        <w:t>……………………………………………………………………………………….........</w:t>
      </w:r>
    </w:p>
    <w:p w14:paraId="65B21FB4" w14:textId="11C332B2" w:rsidR="00AC1835" w:rsidRDefault="00BD2E36" w:rsidP="001D2520">
      <w:pPr>
        <w:pStyle w:val="ListParagraph"/>
        <w:numPr>
          <w:ilvl w:val="1"/>
          <w:numId w:val="4"/>
        </w:numPr>
        <w:spacing w:before="120" w:after="120"/>
        <w:ind w:left="1134" w:hanging="283"/>
        <w:contextualSpacing w:val="0"/>
        <w:jc w:val="both"/>
      </w:pPr>
      <w:r>
        <w:t xml:space="preserve">Påvis, at udenlandsk kapacitet med en teknisk ydeevne, der svarer til den indenlandske kapacitet, vil have mulighed for at deltage i samme konkurrencebaserede proces som indenlandsk kapacitet. </w:t>
      </w:r>
    </w:p>
    <w:p w14:paraId="292E7CCC" w14:textId="275D78A0" w:rsidR="00C2550E" w:rsidRDefault="00C2550E" w:rsidP="00A32872">
      <w:pPr>
        <w:pStyle w:val="ListParagraph"/>
        <w:spacing w:before="120" w:after="120"/>
        <w:ind w:left="567"/>
        <w:contextualSpacing w:val="0"/>
        <w:jc w:val="both"/>
      </w:pPr>
      <w:r>
        <w:t>…………………………………………………………………………………………...</w:t>
      </w:r>
    </w:p>
    <w:p w14:paraId="5A81EFFB" w14:textId="2CF7DB45" w:rsidR="00BD2E36" w:rsidRPr="00E74034" w:rsidRDefault="00A567B2" w:rsidP="001D2520">
      <w:pPr>
        <w:pStyle w:val="ListParagraph"/>
        <w:numPr>
          <w:ilvl w:val="1"/>
          <w:numId w:val="4"/>
        </w:numPr>
        <w:spacing w:before="120" w:after="120"/>
        <w:ind w:left="1134" w:hanging="283"/>
        <w:contextualSpacing w:val="0"/>
        <w:jc w:val="both"/>
      </w:pPr>
      <w:r>
        <w:t xml:space="preserve">Påvis i givet fald overholdelsen af de relevante bestemmelser i artikel 26 i forordning (EU) 2019/943 vedrørende deltagelse i kapacitetsmekanismer på tværs af grænser. </w:t>
      </w:r>
    </w:p>
    <w:p w14:paraId="50EFD0C1" w14:textId="77777777" w:rsidR="00AB322D" w:rsidRPr="00E74034" w:rsidRDefault="00AB322D" w:rsidP="00AB322D">
      <w:pPr>
        <w:tabs>
          <w:tab w:val="left" w:leader="dot" w:pos="9072"/>
        </w:tabs>
        <w:spacing w:before="120" w:after="120"/>
        <w:ind w:left="567"/>
        <w:jc w:val="both"/>
      </w:pPr>
      <w:r>
        <w:tab/>
      </w:r>
    </w:p>
    <w:p w14:paraId="2751C082" w14:textId="70B7F0D4" w:rsidR="00E74034" w:rsidRDefault="00E74034" w:rsidP="00E74034">
      <w:pPr>
        <w:ind w:left="-567" w:firstLine="1412"/>
      </w:pPr>
    </w:p>
    <w:p w14:paraId="6CCBB7A5" w14:textId="77777777" w:rsidR="003E4266" w:rsidRPr="003E4266" w:rsidRDefault="003E4266" w:rsidP="00E74034">
      <w:pPr>
        <w:ind w:left="-567" w:firstLine="1412"/>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74034" w:rsidRPr="00E74034" w14:paraId="395F6140" w14:textId="77777777" w:rsidTr="00C041E3">
        <w:tc>
          <w:tcPr>
            <w:tcW w:w="9322" w:type="dxa"/>
            <w:shd w:val="pct15" w:color="auto" w:fill="auto"/>
          </w:tcPr>
          <w:p w14:paraId="06530123" w14:textId="40FE4CC8" w:rsidR="00E74034" w:rsidRPr="00E74034" w:rsidRDefault="00E74034" w:rsidP="00940D30">
            <w:pPr>
              <w:pStyle w:val="Heading1"/>
              <w:numPr>
                <w:ilvl w:val="2"/>
                <w:numId w:val="22"/>
              </w:numPr>
              <w:rPr>
                <w:sz w:val="24"/>
                <w:szCs w:val="24"/>
              </w:rPr>
            </w:pPr>
            <w:r>
              <w:rPr>
                <w:sz w:val="24"/>
              </w:rPr>
              <w:t>Offentlige høringer</w:t>
            </w:r>
          </w:p>
        </w:tc>
      </w:tr>
    </w:tbl>
    <w:p w14:paraId="1B229D4F" w14:textId="57AA6556" w:rsidR="00E74034" w:rsidRPr="00E74034" w:rsidRDefault="00E74034" w:rsidP="00E74034">
      <w:pPr>
        <w:spacing w:before="360" w:after="120"/>
        <w:jc w:val="both"/>
        <w:rPr>
          <w:i/>
        </w:rPr>
      </w:pPr>
      <w:r>
        <w:rPr>
          <w:i/>
        </w:rPr>
        <w:t xml:space="preserve">Med henblik på angivelsen af oplysningerne i dette afsnit henvises til afsnit 4.8.4.4, punkt 348-351, i CEEAG. </w:t>
      </w:r>
    </w:p>
    <w:p w14:paraId="78EF67B8" w14:textId="77777777" w:rsidR="00725C45" w:rsidRDefault="0004197A" w:rsidP="0004197A">
      <w:pPr>
        <w:pStyle w:val="ListParagraph"/>
        <w:numPr>
          <w:ilvl w:val="0"/>
          <w:numId w:val="4"/>
        </w:numPr>
        <w:spacing w:before="120" w:after="120"/>
        <w:ind w:left="567" w:hanging="567"/>
        <w:contextualSpacing w:val="0"/>
        <w:jc w:val="both"/>
      </w:pPr>
      <w:r>
        <w:t>Angiv, om foranstaltningen kræver en offentlig høring i henhold til afsnit 4.8.4.4, og angiv i modsat fald, hvorfor det ikke er tilfældet.</w:t>
      </w:r>
    </w:p>
    <w:p w14:paraId="531A3C17" w14:textId="76D47CF4" w:rsidR="0004197A" w:rsidRDefault="00725C45" w:rsidP="001D2520">
      <w:pPr>
        <w:pStyle w:val="ListParagraph"/>
        <w:spacing w:before="120" w:after="120"/>
        <w:ind w:left="567"/>
        <w:contextualSpacing w:val="0"/>
        <w:jc w:val="both"/>
      </w:pPr>
      <w:r>
        <w:t xml:space="preserve">…………………………………………………………………………………………… </w:t>
      </w:r>
    </w:p>
    <w:p w14:paraId="33898210" w14:textId="77777777" w:rsidR="00915173" w:rsidRDefault="00915173" w:rsidP="00A32872">
      <w:pPr>
        <w:pStyle w:val="ListParagraph"/>
        <w:numPr>
          <w:ilvl w:val="0"/>
          <w:numId w:val="4"/>
        </w:numPr>
        <w:spacing w:before="120" w:after="120"/>
        <w:ind w:left="567" w:hanging="567"/>
        <w:contextualSpacing w:val="0"/>
        <w:jc w:val="both"/>
      </w:pPr>
      <w:r>
        <w:t>Hvis foranstaltningen kræver en offentlig høring:</w:t>
      </w:r>
    </w:p>
    <w:p w14:paraId="10ED4DF3" w14:textId="0709E691" w:rsidR="00915173" w:rsidRDefault="00725C45" w:rsidP="00940D30">
      <w:pPr>
        <w:pStyle w:val="ListParagraph"/>
        <w:numPr>
          <w:ilvl w:val="1"/>
          <w:numId w:val="31"/>
        </w:numPr>
        <w:spacing w:before="120" w:after="120"/>
        <w:ind w:left="1134" w:hanging="283"/>
        <w:contextualSpacing w:val="0"/>
        <w:jc w:val="both"/>
      </w:pPr>
      <w:r>
        <w:t>Angiv varigheden af den offentlige høring, og giv en sammenfatning af de vigtigste spørgsmål, der er omfattet:</w:t>
      </w:r>
    </w:p>
    <w:p w14:paraId="40A2840B" w14:textId="7090B46D" w:rsidR="00725C45" w:rsidRDefault="00725C45" w:rsidP="001D2520">
      <w:pPr>
        <w:pStyle w:val="ListParagraph"/>
        <w:spacing w:before="120" w:after="120"/>
        <w:contextualSpacing w:val="0"/>
        <w:jc w:val="both"/>
      </w:pPr>
      <w:r>
        <w:lastRenderedPageBreak/>
        <w:t>…………………………………………………………………………………………..</w:t>
      </w:r>
    </w:p>
    <w:p w14:paraId="7CCE3A7C" w14:textId="0CDC35A6" w:rsidR="00915173" w:rsidRDefault="00725C45" w:rsidP="00940D30">
      <w:pPr>
        <w:pStyle w:val="ListParagraph"/>
        <w:numPr>
          <w:ilvl w:val="1"/>
          <w:numId w:val="31"/>
        </w:numPr>
        <w:spacing w:before="120" w:after="120"/>
        <w:ind w:left="1134" w:hanging="283"/>
        <w:contextualSpacing w:val="0"/>
        <w:jc w:val="both"/>
      </w:pPr>
      <w:r>
        <w:t>Angiv i overensstemmelse med kravene i punkt 350 i CEEAG adressen på det offentlige websted, hvor høringsspørgeskemaerne og regeringens sammenfatning af svarene vil blive/er offentliggjort</w:t>
      </w:r>
    </w:p>
    <w:p w14:paraId="2B78DD59" w14:textId="77777777" w:rsidR="00081E48" w:rsidRDefault="00081E48" w:rsidP="001D2520">
      <w:pPr>
        <w:pStyle w:val="ListParagraph"/>
        <w:spacing w:before="120" w:after="120"/>
        <w:ind w:left="1440"/>
        <w:contextualSpacing w:val="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81E48" w:rsidRPr="00FC6878" w14:paraId="33FDD1E1" w14:textId="77777777" w:rsidTr="00081E48">
        <w:tc>
          <w:tcPr>
            <w:tcW w:w="9322" w:type="dxa"/>
            <w:shd w:val="clear" w:color="auto" w:fill="C9C9C9"/>
          </w:tcPr>
          <w:p w14:paraId="7D795D50" w14:textId="77777777" w:rsidR="00081E48" w:rsidRPr="00FC6878" w:rsidRDefault="00081E48" w:rsidP="00940D30">
            <w:pPr>
              <w:pStyle w:val="Heading1"/>
              <w:numPr>
                <w:ilvl w:val="2"/>
                <w:numId w:val="22"/>
              </w:numPr>
              <w:rPr>
                <w:sz w:val="24"/>
                <w:szCs w:val="24"/>
              </w:rPr>
            </w:pPr>
            <w:r>
              <w:rPr>
                <w:sz w:val="24"/>
              </w:rPr>
              <w:t>Proportionalitet</w:t>
            </w:r>
          </w:p>
        </w:tc>
      </w:tr>
    </w:tbl>
    <w:p w14:paraId="2592F405" w14:textId="7ACA92B9" w:rsidR="00081E48" w:rsidRDefault="00081E48" w:rsidP="001D2520">
      <w:pPr>
        <w:pStyle w:val="ListParagraph"/>
        <w:spacing w:before="120" w:after="120"/>
        <w:ind w:left="0"/>
        <w:contextualSpacing w:val="0"/>
        <w:jc w:val="both"/>
      </w:pPr>
      <w:r>
        <w:rPr>
          <w:i/>
        </w:rPr>
        <w:t xml:space="preserve">Med henblik på angivelsen af oplysningerne i dette afsnit henvises til afsnit 3.2.1.3, punkt 49-53 og 55, og afsnit 4.8.4.5, punkt 353-357, i CEEAG. Bemærk, at de </w:t>
      </w:r>
      <w:r>
        <w:rPr>
          <w:i/>
          <w:u w:val="single"/>
        </w:rPr>
        <w:t>følgende to afsnit, 2.1.5.1 og 2.1.5.2, er alternativer til hinanden</w:t>
      </w:r>
      <w:r>
        <w:rPr>
          <w:i/>
        </w:rPr>
        <w:t>. Angiv kun svar på det afsnit, der er relevant med hensyn til udformningen af den foreslåede foranstaltning.</w:t>
      </w:r>
    </w:p>
    <w:p w14:paraId="7589B387" w14:textId="77777777" w:rsidR="00863406" w:rsidRPr="00863406" w:rsidRDefault="00863406" w:rsidP="00863406">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C6878" w14:paraId="6548EFF5" w14:textId="77777777" w:rsidTr="00504F2E">
        <w:tc>
          <w:tcPr>
            <w:tcW w:w="9322" w:type="dxa"/>
            <w:shd w:val="pct15" w:color="auto" w:fill="auto"/>
          </w:tcPr>
          <w:p w14:paraId="3EB94997" w14:textId="29698CDE" w:rsidR="00863406" w:rsidRPr="00FC6878" w:rsidRDefault="00BD193B" w:rsidP="00940D30">
            <w:pPr>
              <w:pStyle w:val="Heading1"/>
              <w:keepNext/>
              <w:keepLines/>
              <w:numPr>
                <w:ilvl w:val="3"/>
                <w:numId w:val="22"/>
              </w:numPr>
              <w:ind w:left="1723" w:right="-28" w:hanging="646"/>
              <w:rPr>
                <w:sz w:val="24"/>
                <w:szCs w:val="24"/>
              </w:rPr>
            </w:pPr>
            <w:r>
              <w:rPr>
                <w:sz w:val="24"/>
              </w:rPr>
              <w:t>Proportionaliteten af støtte, der ydes gennem en udbudsprocedure</w:t>
            </w:r>
          </w:p>
        </w:tc>
      </w:tr>
    </w:tbl>
    <w:p w14:paraId="3A2A7C7F" w14:textId="4061FA26" w:rsidR="00863406" w:rsidRDefault="00863406" w:rsidP="00863406">
      <w:pPr>
        <w:spacing w:before="360" w:after="120"/>
        <w:jc w:val="both"/>
        <w:rPr>
          <w:i/>
        </w:rPr>
      </w:pPr>
      <w:r>
        <w:rPr>
          <w:i/>
        </w:rPr>
        <w:t xml:space="preserve">Med henblik på angivelsen af oplysningerne i dette afsnit henvises til afsnit 3.2.1.3, punkt 49, 50, 51, 52, 53, og 55, og punkt 353, 354 og 356, i CEEAG. </w:t>
      </w:r>
    </w:p>
    <w:p w14:paraId="50E2DDC9" w14:textId="48FD7994" w:rsidR="00882890" w:rsidRDefault="00882890" w:rsidP="00863406">
      <w:pPr>
        <w:spacing w:before="360" w:after="120"/>
        <w:jc w:val="both"/>
        <w:rPr>
          <w:i/>
        </w:rPr>
      </w:pPr>
      <w:r>
        <w:rPr>
          <w:i/>
        </w:rPr>
        <w:t xml:space="preserve">For støtte, der ydes </w:t>
      </w:r>
      <w:r>
        <w:rPr>
          <w:i/>
          <w:u w:val="single"/>
        </w:rPr>
        <w:t>uden</w:t>
      </w:r>
      <w:r>
        <w:rPr>
          <w:i/>
        </w:rPr>
        <w:t xml:space="preserve"> en </w:t>
      </w:r>
      <w:r>
        <w:rPr>
          <w:i/>
          <w:u w:val="single"/>
        </w:rPr>
        <w:t>udbudsprocedure</w:t>
      </w:r>
      <w:r>
        <w:rPr>
          <w:i/>
        </w:rPr>
        <w:t xml:space="preserve">, finder dette afsnit </w:t>
      </w:r>
      <w:r>
        <w:rPr>
          <w:i/>
          <w:u w:val="single"/>
        </w:rPr>
        <w:t>ikke anvendelse</w:t>
      </w:r>
      <w:r>
        <w:rPr>
          <w:i/>
        </w:rPr>
        <w:t>. Gå direkte til afsnit 2.1.5.2. for sådanne foranstaltninger</w:t>
      </w:r>
    </w:p>
    <w:p w14:paraId="7F46CDC3" w14:textId="77777777" w:rsidR="00882890" w:rsidRDefault="00882890" w:rsidP="00863406">
      <w:pPr>
        <w:spacing w:before="360" w:after="120"/>
        <w:jc w:val="both"/>
        <w:rPr>
          <w:i/>
        </w:rPr>
      </w:pPr>
    </w:p>
    <w:p w14:paraId="461DF347" w14:textId="17F24A59" w:rsidR="00162A94" w:rsidRDefault="00AA0DC4" w:rsidP="00A32872">
      <w:pPr>
        <w:pStyle w:val="ListParagraph"/>
        <w:numPr>
          <w:ilvl w:val="0"/>
          <w:numId w:val="4"/>
        </w:numPr>
        <w:spacing w:before="120" w:after="120"/>
        <w:ind w:left="567" w:hanging="567"/>
        <w:contextualSpacing w:val="0"/>
        <w:jc w:val="both"/>
      </w:pPr>
      <w:r>
        <w:t xml:space="preserve">Med henblik på at vurdere overholdelsen af punkt 353 i CEEAG, og hvis der ikke allerede er givet svar i spørgsmål </w:t>
      </w:r>
      <w:r>
        <w:fldChar w:fldCharType="begin"/>
      </w:r>
      <w:r>
        <w:instrText xml:space="preserve"> REF _Ref167812746 \r \h </w:instrText>
      </w:r>
      <w:r>
        <w:fldChar w:fldCharType="separate"/>
      </w:r>
      <w:r>
        <w:t>16</w:t>
      </w:r>
      <w:r>
        <w:fldChar w:fldCharType="end"/>
      </w:r>
      <w:r>
        <w:t xml:space="preserve"> ovenfor, skal der fremlægges en analyse, som er anvendt til at fastsætte efterspørgselsniveauet i den anmeldte forsyningssikkerhedsforanstaltning på grundlag af pålidelighedsstandarden eller cost-benefit-analysen. Bekræft, at den analyse, der anvendes til at fastsætte efterspørgselsniveauet, højst er 12 måneder gammel på det tidspunkt, hvor efterspørgslen fastsættes.</w:t>
      </w:r>
    </w:p>
    <w:p w14:paraId="74BA1C7A" w14:textId="09BE4CD3" w:rsidR="00EF6485" w:rsidRDefault="00EF6485" w:rsidP="001D2520">
      <w:pPr>
        <w:pStyle w:val="ListParagraph"/>
        <w:spacing w:before="120" w:after="120"/>
        <w:ind w:left="567"/>
        <w:contextualSpacing w:val="0"/>
        <w:jc w:val="both"/>
      </w:pPr>
      <w:r>
        <w:t>…………………………………………………………………………………………….</w:t>
      </w:r>
    </w:p>
    <w:p w14:paraId="632CA93A" w14:textId="14B22C92" w:rsidR="002E0CE8" w:rsidRDefault="00EF6485" w:rsidP="00A32872">
      <w:pPr>
        <w:numPr>
          <w:ilvl w:val="0"/>
          <w:numId w:val="4"/>
        </w:numPr>
        <w:ind w:left="567" w:hanging="567"/>
        <w:jc w:val="both"/>
      </w:pPr>
      <w:r>
        <w:t xml:space="preserve">I overensstemmelse med punkt 354 i CEEAG skal det påvises, at den tid, der går mellem tildelingen af støtten og fristen for, hvornår projekterne skal gennemføres, vil give mulighed for effektiv konkurrence mellem de forskellige støtteberettigede projekter. </w:t>
      </w:r>
    </w:p>
    <w:p w14:paraId="2DDD3ADA" w14:textId="77777777" w:rsidR="00EF6485" w:rsidRDefault="00EF6485" w:rsidP="00EF6485">
      <w:pPr>
        <w:ind w:left="567"/>
        <w:jc w:val="both"/>
        <w:rPr>
          <w:lang w:eastAsia="en-GB"/>
        </w:rPr>
      </w:pPr>
    </w:p>
    <w:p w14:paraId="5A2C580F" w14:textId="29D35C5F" w:rsidR="00EF6485" w:rsidRDefault="00EF6485" w:rsidP="001D2520">
      <w:pPr>
        <w:ind w:left="567"/>
        <w:jc w:val="both"/>
      </w:pPr>
      <w:r>
        <w:t>…………………………………………………………………………………………….</w:t>
      </w:r>
    </w:p>
    <w:p w14:paraId="67E069A4" w14:textId="77777777" w:rsidR="00C52CE6" w:rsidRDefault="00C52CE6" w:rsidP="00A32872">
      <w:pPr>
        <w:ind w:left="567"/>
        <w:jc w:val="both"/>
        <w:rPr>
          <w:lang w:eastAsia="en-GB"/>
        </w:rPr>
      </w:pPr>
    </w:p>
    <w:p w14:paraId="47D05D13" w14:textId="038ECA2C" w:rsidR="00C52CE6" w:rsidRDefault="00EF6485" w:rsidP="00C52CE6">
      <w:pPr>
        <w:numPr>
          <w:ilvl w:val="0"/>
          <w:numId w:val="4"/>
        </w:numPr>
        <w:ind w:left="567" w:hanging="567"/>
        <w:jc w:val="both"/>
      </w:pPr>
      <w:r>
        <w:t xml:space="preserve">I overensstemmelse med punkt 356 i CEEAG skal det påvises, at modtagerne af forsyningssikkerhedsforanstaltninger vil have effektive incitamenter til at bidrage til forsyningssikkerheden i leveringsperioden. Disse incitamenter bør generelt være knyttet til værdien af mistet forbrug (VoLL) som fastsat i henhold til artikel 11 i forordning (EU) 2019/943. </w:t>
      </w:r>
    </w:p>
    <w:p w14:paraId="7AB7B74D" w14:textId="77777777" w:rsidR="00EF6485" w:rsidRDefault="00EF6485" w:rsidP="00EF6485">
      <w:pPr>
        <w:ind w:left="567"/>
        <w:jc w:val="both"/>
        <w:rPr>
          <w:lang w:eastAsia="en-GB"/>
        </w:rPr>
      </w:pPr>
    </w:p>
    <w:p w14:paraId="0D055B9A" w14:textId="6CF86A16" w:rsidR="006F256F" w:rsidRPr="006F39D2" w:rsidRDefault="00EF6485" w:rsidP="006F39D2">
      <w:pPr>
        <w:ind w:left="567"/>
        <w:jc w:val="both"/>
        <w:rPr>
          <w:i/>
          <w:color w:val="000000"/>
        </w:rPr>
      </w:pPr>
      <w:r>
        <w:t>…………………………………………………………………………………………….</w:t>
      </w:r>
    </w:p>
    <w:p w14:paraId="4EED1D7A" w14:textId="31A4BEDA" w:rsidR="00FC6878" w:rsidRPr="00441F0B" w:rsidRDefault="00FC6878" w:rsidP="00DD1BB0">
      <w:pPr>
        <w:pStyle w:val="ListParagraph"/>
        <w:numPr>
          <w:ilvl w:val="0"/>
          <w:numId w:val="4"/>
        </w:numPr>
        <w:spacing w:before="120" w:after="120"/>
        <w:ind w:left="567" w:hanging="567"/>
        <w:contextualSpacing w:val="0"/>
        <w:jc w:val="both"/>
      </w:pPr>
      <w:r>
        <w:t>Angiv følgende med henblik på at påvise overholdelsen af punkt 49 og 50 i CEEAG:</w:t>
      </w:r>
    </w:p>
    <w:p w14:paraId="2AB5C620" w14:textId="7A6DCCC0" w:rsidR="00CD498E" w:rsidRPr="00441F0B" w:rsidRDefault="00033BA9" w:rsidP="00940D30">
      <w:pPr>
        <w:numPr>
          <w:ilvl w:val="0"/>
          <w:numId w:val="24"/>
        </w:numPr>
        <w:ind w:left="1134" w:hanging="283"/>
      </w:pPr>
      <w:r>
        <w:lastRenderedPageBreak/>
        <w:t>Forklar, hvordan myndighederne sikrer, at udbudsproceduren er åben, klar, gennemsigtig og ikkediskriminerende på grundlag af objektive kriterier, der er fastlagt på forhånd i overensstemmelse med foranstaltningens mål og minimerer risikoen for strategisk afgivelse af bud (punkt 49, litra a), i CEEAG).</w:t>
      </w:r>
    </w:p>
    <w:p w14:paraId="64C5BE69" w14:textId="711F2021" w:rsidR="00102684" w:rsidRPr="00050EB9" w:rsidRDefault="00FC6878" w:rsidP="00EF313B">
      <w:pPr>
        <w:tabs>
          <w:tab w:val="left" w:leader="dot" w:pos="9072"/>
        </w:tabs>
        <w:spacing w:before="120" w:after="120"/>
        <w:ind w:left="567"/>
        <w:jc w:val="both"/>
      </w:pPr>
      <w:r>
        <w:tab/>
      </w:r>
      <w:r>
        <w:tab/>
      </w:r>
    </w:p>
    <w:p w14:paraId="01621C23" w14:textId="3F66FF1D" w:rsidR="00EE0083" w:rsidRPr="00050EB9" w:rsidRDefault="00BC250F" w:rsidP="00940D30">
      <w:pPr>
        <w:numPr>
          <w:ilvl w:val="0"/>
          <w:numId w:val="24"/>
        </w:numPr>
        <w:ind w:left="1134" w:hanging="283"/>
      </w:pPr>
      <w:r>
        <w:t xml:space="preserve">Angiv de udvælgelseskriterier, der anvendes til rangordning af tilbud og i sidste ende til at identificere støtteniveauet i udbudsproceduren. Nærmere bestemt: </w:t>
      </w:r>
    </w:p>
    <w:p w14:paraId="62322C89" w14:textId="24B28289" w:rsidR="004D6830" w:rsidRPr="00050EB9" w:rsidRDefault="000B1BDB" w:rsidP="00940D30">
      <w:pPr>
        <w:pStyle w:val="ListParagraph"/>
        <w:numPr>
          <w:ilvl w:val="1"/>
          <w:numId w:val="25"/>
        </w:numPr>
        <w:spacing w:before="120" w:after="120"/>
        <w:contextualSpacing w:val="0"/>
        <w:jc w:val="both"/>
      </w:pPr>
      <w:r>
        <w:t>Angiv en liste over udvælgelseskriterierne, og angiv, hvilke af dem der er/ikke er direkte eller indirekte knyttet til foranstaltningens hovedmål. Angiv deres vægtning.</w:t>
      </w:r>
    </w:p>
    <w:p w14:paraId="39E363E7" w14:textId="77777777" w:rsidR="004D6830" w:rsidRPr="00050EB9" w:rsidRDefault="004D6830" w:rsidP="004D6830">
      <w:pPr>
        <w:tabs>
          <w:tab w:val="left" w:leader="dot" w:pos="9072"/>
        </w:tabs>
        <w:spacing w:before="120" w:after="120"/>
        <w:ind w:left="567"/>
        <w:jc w:val="both"/>
      </w:pPr>
      <w:r>
        <w:tab/>
      </w:r>
    </w:p>
    <w:p w14:paraId="2FBA2755" w14:textId="6D55C3D7" w:rsidR="00117CBD" w:rsidRPr="00050EB9" w:rsidRDefault="00554E1F" w:rsidP="00940D30">
      <w:pPr>
        <w:pStyle w:val="ListParagraph"/>
        <w:numPr>
          <w:ilvl w:val="1"/>
          <w:numId w:val="25"/>
        </w:numPr>
        <w:spacing w:before="120" w:after="120"/>
        <w:contextualSpacing w:val="0"/>
        <w:jc w:val="both"/>
      </w:pPr>
      <w:r>
        <w:t>Redegør for, hvordan udvælgelseskriterierne sætter bidraget til foranstaltningens/foranstaltningernes hovedmål i direkte eller indirekte forhold til det støttebeløb, som ansøgeren har anmodet om. Dette kan f.eks. udtrykkes i støtte pr. miljøbeskyttelsesenhed eller støtte pr. nulemissionskøretøj eller renere køretøj (punkt 50 og fodnote 44 i CEEAG).</w:t>
      </w:r>
    </w:p>
    <w:p w14:paraId="633DF06D" w14:textId="77777777" w:rsidR="008317D4" w:rsidRPr="00050EB9" w:rsidRDefault="008317D4" w:rsidP="008317D4">
      <w:pPr>
        <w:tabs>
          <w:tab w:val="left" w:leader="dot" w:pos="9072"/>
        </w:tabs>
        <w:spacing w:before="120" w:after="120"/>
        <w:ind w:left="567"/>
        <w:jc w:val="both"/>
      </w:pPr>
      <w:r>
        <w:tab/>
      </w:r>
    </w:p>
    <w:p w14:paraId="02F7BEDB" w14:textId="6154C853" w:rsidR="006773CE" w:rsidRPr="00050EB9" w:rsidRDefault="00416D76" w:rsidP="00940D30">
      <w:pPr>
        <w:pStyle w:val="ListParagraph"/>
        <w:numPr>
          <w:ilvl w:val="1"/>
          <w:numId w:val="25"/>
        </w:numPr>
        <w:spacing w:before="120" w:after="120"/>
        <w:contextualSpacing w:val="0"/>
        <w:jc w:val="both"/>
      </w:pPr>
      <w:r>
        <w:t>Hvis der er andre udvælgelseskriterier, som ikke er direkte eller indirekte knyttet til foranstaltningernes hovedmål, skal den foreslåede tilgang begrundes, og det skal forklares, hvordan den er hensigtsmæssig i forhold til de mål, der forfølges med foranstaltningerne. Bekræft også, at disse kriterier ikke udgør mere end 30 % af vægtningen af alle udvælgelseskriterierne (punkt 50 i CEEAG).</w:t>
      </w:r>
    </w:p>
    <w:p w14:paraId="4B57F9BB" w14:textId="77777777" w:rsidR="00050EB9" w:rsidRPr="00050EB9" w:rsidRDefault="00050EB9" w:rsidP="00050EB9">
      <w:pPr>
        <w:tabs>
          <w:tab w:val="left" w:leader="dot" w:pos="9072"/>
        </w:tabs>
        <w:spacing w:before="120" w:after="120"/>
        <w:ind w:left="567"/>
        <w:jc w:val="both"/>
      </w:pPr>
      <w:r>
        <w:tab/>
      </w:r>
    </w:p>
    <w:p w14:paraId="16110C2B" w14:textId="08112F2E" w:rsidR="004525DA" w:rsidRPr="00B35F1C" w:rsidRDefault="000B46CA" w:rsidP="00940D30">
      <w:pPr>
        <w:pStyle w:val="ListParagraph"/>
        <w:numPr>
          <w:ilvl w:val="1"/>
          <w:numId w:val="25"/>
        </w:numPr>
        <w:spacing w:before="120" w:after="120"/>
        <w:contextualSpacing w:val="0"/>
        <w:jc w:val="both"/>
      </w:pPr>
      <w:r>
        <w:t>Forklar, hvor lang tid før ansøgningsfristens udløb udvælgelseskriterierne vil blive offentliggjort i hver udbudsprocedure (punkt 49, litra b), og fodnote 43 i CEEAG).</w:t>
      </w:r>
    </w:p>
    <w:p w14:paraId="2BCA9493" w14:textId="008AFF96" w:rsidR="004525DA" w:rsidRPr="00B35F1C" w:rsidRDefault="004525DA" w:rsidP="004525DA">
      <w:pPr>
        <w:tabs>
          <w:tab w:val="left" w:leader="dot" w:pos="9072"/>
        </w:tabs>
        <w:spacing w:before="120" w:after="120"/>
        <w:ind w:left="567"/>
        <w:jc w:val="both"/>
      </w:pPr>
      <w:r>
        <w:tab/>
      </w:r>
    </w:p>
    <w:p w14:paraId="3CC6F87F" w14:textId="11DD6EB3" w:rsidR="00A77677" w:rsidRPr="00B35F1C" w:rsidRDefault="00945368" w:rsidP="00940D30">
      <w:pPr>
        <w:pStyle w:val="ListParagraph"/>
        <w:numPr>
          <w:ilvl w:val="0"/>
          <w:numId w:val="24"/>
        </w:numPr>
        <w:spacing w:before="120" w:after="120"/>
        <w:ind w:hanging="229"/>
        <w:contextualSpacing w:val="0"/>
        <w:jc w:val="both"/>
      </w:pPr>
      <w:r>
        <w:t>Bekræft, at budget eller volumen i forbindelse med udbudsproceduren er en bindende begrænsning, idet det kan forventes, at ikke alle tilbudsgivere vil modtage støtte (punkt 49, litra c), i CEEAG).</w:t>
      </w:r>
      <w:r>
        <w:rPr>
          <w:shd w:val="clear" w:color="auto" w:fill="FFFFFF"/>
        </w:rPr>
        <w:t xml:space="preserve"> </w:t>
      </w:r>
    </w:p>
    <w:p w14:paraId="5348ED98" w14:textId="77777777" w:rsidR="00074701" w:rsidRPr="00B35F1C" w:rsidRDefault="00074701" w:rsidP="00074701">
      <w:pPr>
        <w:tabs>
          <w:tab w:val="left" w:leader="dot" w:pos="9072"/>
        </w:tabs>
        <w:spacing w:before="120" w:after="120"/>
        <w:ind w:left="567"/>
        <w:jc w:val="both"/>
      </w:pPr>
      <w:r>
        <w:tab/>
      </w:r>
    </w:p>
    <w:p w14:paraId="0C1024E1" w14:textId="4B4AFDF8" w:rsidR="005039EF" w:rsidRPr="00B35F1C" w:rsidRDefault="00A77677" w:rsidP="00940D30">
      <w:pPr>
        <w:pStyle w:val="ListParagraph"/>
        <w:numPr>
          <w:ilvl w:val="0"/>
          <w:numId w:val="24"/>
        </w:numPr>
        <w:spacing w:before="120" w:after="120"/>
        <w:ind w:hanging="229"/>
        <w:contextualSpacing w:val="0"/>
        <w:jc w:val="both"/>
      </w:pPr>
      <w:r>
        <w:rPr>
          <w:shd w:val="clear" w:color="auto" w:fill="FFFFFF"/>
        </w:rPr>
        <w:t>Angiv antallet af planlagte budrunder og det forventede antal tilbudsgivere i første runde og over tid.</w:t>
      </w:r>
    </w:p>
    <w:p w14:paraId="2F7D1482" w14:textId="77777777" w:rsidR="00074701" w:rsidRPr="00B35F1C" w:rsidRDefault="00074701" w:rsidP="00074701">
      <w:pPr>
        <w:tabs>
          <w:tab w:val="left" w:leader="dot" w:pos="9072"/>
        </w:tabs>
        <w:spacing w:before="120" w:after="120"/>
        <w:ind w:left="567"/>
        <w:jc w:val="both"/>
      </w:pPr>
      <w:r>
        <w:tab/>
      </w:r>
    </w:p>
    <w:p w14:paraId="5AC7C92A" w14:textId="57209921" w:rsidR="00866C66" w:rsidRPr="00B35F1C" w:rsidRDefault="00ED3116" w:rsidP="00940D30">
      <w:pPr>
        <w:pStyle w:val="ListParagraph"/>
        <w:numPr>
          <w:ilvl w:val="0"/>
          <w:numId w:val="24"/>
        </w:numPr>
        <w:spacing w:before="120" w:after="120"/>
        <w:ind w:hanging="229"/>
        <w:contextualSpacing w:val="0"/>
        <w:jc w:val="both"/>
      </w:pPr>
      <w:r>
        <w:t>Forklar, såfremt der er tale om en eller flere undertegnede udbudsprocedurer, hvordan og hvornår udformningen af undertegnede udbudsprocedurer vil blive korrigeret under gennemførelsen af ordningen for at genoprette effektiv konkurrence (punkt 49, litra c), i CEEAG).</w:t>
      </w:r>
      <w:r>
        <w:rPr>
          <w:shd w:val="clear" w:color="auto" w:fill="FFFFFF"/>
        </w:rPr>
        <w:t xml:space="preserve"> </w:t>
      </w:r>
    </w:p>
    <w:p w14:paraId="2E959DD6" w14:textId="77777777" w:rsidR="00074701" w:rsidRPr="00B35F1C" w:rsidRDefault="00074701" w:rsidP="00074701">
      <w:pPr>
        <w:tabs>
          <w:tab w:val="left" w:leader="dot" w:pos="9072"/>
        </w:tabs>
        <w:spacing w:before="120" w:after="120"/>
        <w:ind w:left="567"/>
        <w:jc w:val="both"/>
      </w:pPr>
      <w:r>
        <w:tab/>
      </w:r>
    </w:p>
    <w:p w14:paraId="6EE8F2DA" w14:textId="189F59B6" w:rsidR="009A606D" w:rsidRPr="009D65D3" w:rsidRDefault="009D22F2" w:rsidP="00940D30">
      <w:pPr>
        <w:pStyle w:val="ListParagraph"/>
        <w:numPr>
          <w:ilvl w:val="0"/>
          <w:numId w:val="24"/>
        </w:numPr>
        <w:spacing w:before="120" w:after="120"/>
        <w:ind w:hanging="229"/>
        <w:contextualSpacing w:val="0"/>
        <w:jc w:val="both"/>
      </w:pPr>
      <w:r>
        <w:lastRenderedPageBreak/>
        <w:t>Bekræft, at efterfølgende justeringer af resultatet af udbudsproceduren (f.eks. efterfølgende forhandlinger om budresultater eller rationering) undgås (punkt 49, litra d), i CEEAG).</w:t>
      </w:r>
    </w:p>
    <w:p w14:paraId="79B985A9" w14:textId="1AE3ABA0" w:rsidR="009A606D" w:rsidRPr="009D65D3" w:rsidRDefault="009A606D" w:rsidP="009A606D">
      <w:pPr>
        <w:tabs>
          <w:tab w:val="left" w:leader="dot" w:pos="9072"/>
        </w:tabs>
        <w:spacing w:before="120" w:after="120"/>
        <w:ind w:left="567"/>
        <w:jc w:val="both"/>
      </w:pPr>
      <w:r>
        <w:tab/>
      </w:r>
    </w:p>
    <w:p w14:paraId="2CD710C1" w14:textId="416B5132" w:rsidR="00AA6F85" w:rsidRPr="009D65D3" w:rsidRDefault="00AA6F85" w:rsidP="00940D30">
      <w:pPr>
        <w:pStyle w:val="ListParagraph"/>
        <w:numPr>
          <w:ilvl w:val="0"/>
          <w:numId w:val="24"/>
        </w:numPr>
        <w:spacing w:before="120" w:after="120"/>
        <w:ind w:hanging="229"/>
        <w:contextualSpacing w:val="0"/>
        <w:jc w:val="both"/>
      </w:pPr>
      <w:r>
        <w:t xml:space="preserve">Forklar, hvordan proportionaliteten sikres, hvis der er mulighed for "bud uden støtte". </w:t>
      </w:r>
    </w:p>
    <w:p w14:paraId="51AA817F" w14:textId="30E33912" w:rsidR="00AA6F85" w:rsidRPr="009D65D3" w:rsidRDefault="00217A1A" w:rsidP="00AA6F85">
      <w:pPr>
        <w:tabs>
          <w:tab w:val="left" w:leader="dot" w:pos="9072"/>
        </w:tabs>
        <w:spacing w:before="120" w:after="120"/>
        <w:ind w:left="567"/>
        <w:jc w:val="both"/>
      </w:pPr>
      <w:r>
        <w:tab/>
      </w:r>
      <w:r>
        <w:tab/>
      </w:r>
    </w:p>
    <w:p w14:paraId="2C803759" w14:textId="7320F048" w:rsidR="00CC373C" w:rsidRPr="009D65D3" w:rsidRDefault="000D7371" w:rsidP="00940D30">
      <w:pPr>
        <w:pStyle w:val="ListParagraph"/>
        <w:numPr>
          <w:ilvl w:val="0"/>
          <w:numId w:val="24"/>
        </w:numPr>
        <w:spacing w:before="120" w:after="120"/>
        <w:ind w:hanging="229"/>
        <w:contextualSpacing w:val="0"/>
        <w:jc w:val="both"/>
      </w:pPr>
      <w:r>
        <w:t>Angiv, om myndighederne forudser anvendelse af prisbundgrænser eller -lofter i udbudsproceduren. Begrund i bekræftende fald deres anvendelse, og forklar, hvordan de ikke begrænser udbudsproceduren</w:t>
      </w:r>
      <w:r>
        <w:rPr>
          <w:rStyle w:val="FootnoteReference"/>
          <w:lang w:eastAsia="en-GB"/>
        </w:rPr>
        <w:footnoteReference w:id="6"/>
      </w:r>
      <w:r>
        <w:t xml:space="preserve"> (punkt 49 og fodnote 42 i CEEAG).</w:t>
      </w:r>
    </w:p>
    <w:p w14:paraId="72C4C6C1" w14:textId="2C8399F8" w:rsidR="00CC373C" w:rsidRPr="009D65D3" w:rsidRDefault="00217A1A" w:rsidP="00CC373C">
      <w:pPr>
        <w:tabs>
          <w:tab w:val="left" w:leader="dot" w:pos="9072"/>
        </w:tabs>
        <w:spacing w:before="120" w:after="120"/>
        <w:ind w:left="567"/>
        <w:jc w:val="both"/>
      </w:pPr>
      <w:r>
        <w:tab/>
      </w:r>
      <w:r>
        <w:tab/>
      </w:r>
      <w:r>
        <w:tab/>
      </w:r>
    </w:p>
    <w:p w14:paraId="4FA200E6" w14:textId="77777777" w:rsidR="001620DB" w:rsidRPr="00863406" w:rsidRDefault="001620DB" w:rsidP="001620DB">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FC6878" w14:paraId="1FE953DC" w14:textId="77777777" w:rsidTr="001D69A5">
        <w:tc>
          <w:tcPr>
            <w:tcW w:w="9322" w:type="dxa"/>
            <w:shd w:val="pct15" w:color="auto" w:fill="auto"/>
          </w:tcPr>
          <w:p w14:paraId="150946AF" w14:textId="6E83DDA0" w:rsidR="001620DB" w:rsidRPr="00FC6878" w:rsidRDefault="007A4CB6" w:rsidP="00940D30">
            <w:pPr>
              <w:pStyle w:val="Heading1"/>
              <w:keepNext/>
              <w:keepLines/>
              <w:numPr>
                <w:ilvl w:val="3"/>
                <w:numId w:val="22"/>
              </w:numPr>
              <w:ind w:left="1723" w:right="-28" w:hanging="646"/>
              <w:rPr>
                <w:sz w:val="24"/>
                <w:szCs w:val="24"/>
              </w:rPr>
            </w:pPr>
            <w:r>
              <w:rPr>
                <w:sz w:val="24"/>
              </w:rPr>
              <w:t xml:space="preserve">Proportionaliteten af støtte, der </w:t>
            </w:r>
            <w:r>
              <w:rPr>
                <w:sz w:val="24"/>
                <w:u w:val="single"/>
              </w:rPr>
              <w:t>ikke</w:t>
            </w:r>
            <w:r>
              <w:rPr>
                <w:sz w:val="24"/>
              </w:rPr>
              <w:t xml:space="preserve"> ydes gennem en udbudsprocedure </w:t>
            </w:r>
          </w:p>
        </w:tc>
      </w:tr>
    </w:tbl>
    <w:p w14:paraId="0190ED95" w14:textId="4268A147" w:rsidR="001620DB" w:rsidRDefault="001620DB" w:rsidP="00DB2066">
      <w:pPr>
        <w:pStyle w:val="ListParagraph"/>
        <w:spacing w:before="120" w:after="120"/>
        <w:ind w:left="0"/>
        <w:contextualSpacing w:val="0"/>
        <w:jc w:val="both"/>
      </w:pPr>
      <w:r>
        <w:rPr>
          <w:i/>
        </w:rPr>
        <w:t>Med henblik på angivelsen af oplysningerne i dette afsnit henvises til punkt 51-55 og 353-357 i CEEAG</w:t>
      </w:r>
      <w:r>
        <w:t>.</w:t>
      </w:r>
    </w:p>
    <w:p w14:paraId="66E254B6" w14:textId="77D256A6" w:rsidR="00882890" w:rsidRPr="008969F9" w:rsidRDefault="00882890" w:rsidP="00DB2066">
      <w:pPr>
        <w:pStyle w:val="ListParagraph"/>
        <w:spacing w:before="120" w:after="120"/>
        <w:ind w:left="0"/>
        <w:contextualSpacing w:val="0"/>
        <w:jc w:val="both"/>
        <w:rPr>
          <w:i/>
          <w:iCs/>
        </w:rPr>
      </w:pPr>
      <w:r>
        <w:rPr>
          <w:i/>
        </w:rPr>
        <w:t xml:space="preserve">Dette afsnit finder </w:t>
      </w:r>
      <w:r>
        <w:rPr>
          <w:i/>
          <w:u w:val="single"/>
        </w:rPr>
        <w:t>ikke anvendelse</w:t>
      </w:r>
      <w:r>
        <w:rPr>
          <w:i/>
        </w:rPr>
        <w:t xml:space="preserve"> på foranstaltninger, hvor der ydes støtte gennem en </w:t>
      </w:r>
      <w:r>
        <w:rPr>
          <w:i/>
          <w:u w:val="single"/>
        </w:rPr>
        <w:t>udbudsprocedure</w:t>
      </w:r>
      <w:r>
        <w:rPr>
          <w:i/>
        </w:rPr>
        <w:t>. Besvar i stedet afsnit 2.5.1.1. ovenfor for sådanne foranstaltninger</w:t>
      </w:r>
    </w:p>
    <w:p w14:paraId="13C5DD7C" w14:textId="77777777" w:rsidR="00882890" w:rsidRPr="005536DD" w:rsidRDefault="00882890" w:rsidP="00DB2066">
      <w:pPr>
        <w:pStyle w:val="ListParagraph"/>
        <w:spacing w:before="120" w:after="120"/>
        <w:ind w:left="0"/>
        <w:contextualSpacing w:val="0"/>
        <w:jc w:val="both"/>
        <w:rPr>
          <w:lang w:eastAsia="en-GB"/>
        </w:rPr>
      </w:pPr>
    </w:p>
    <w:p w14:paraId="47450FEC" w14:textId="09EF0745" w:rsidR="00D45D04" w:rsidRDefault="00D45D04" w:rsidP="00D45D04">
      <w:pPr>
        <w:pStyle w:val="ListParagraph"/>
        <w:numPr>
          <w:ilvl w:val="0"/>
          <w:numId w:val="4"/>
        </w:numPr>
        <w:spacing w:before="120" w:after="120"/>
        <w:ind w:left="567" w:hanging="567"/>
        <w:contextualSpacing w:val="0"/>
        <w:jc w:val="both"/>
      </w:pPr>
      <w:r>
        <w:t xml:space="preserve">Med henblik på at vurdere overholdelsen af punkt 353 i CEEAG, og hvis der ikke allerede er givet svar i spørgsmål </w:t>
      </w:r>
      <w:r>
        <w:fldChar w:fldCharType="begin"/>
      </w:r>
      <w:r>
        <w:instrText xml:space="preserve"> REF _Ref167812746 \r \h </w:instrText>
      </w:r>
      <w:r>
        <w:fldChar w:fldCharType="separate"/>
      </w:r>
      <w:r>
        <w:t>16</w:t>
      </w:r>
      <w:r>
        <w:fldChar w:fldCharType="end"/>
      </w:r>
      <w:r>
        <w:t xml:space="preserve"> ovenfor, skal der fremlægges en analyse, der anvendes til at fastsætte efterspørgselsniveauet i den anmeldte forsyningssikkerhedsforanstaltning på grundlag af pålidelighedsstandarden eller cost-benefit-analysen. Bekræft, at den analyse, der anvendes til at fastsætte efterspørgselsniveauet, højst er 12 måneder gammel på det tidspunkt, hvor efterspørgslen fastsættes.</w:t>
      </w:r>
    </w:p>
    <w:p w14:paraId="3F80A4CE" w14:textId="77777777" w:rsidR="00D45D04" w:rsidRDefault="00D45D04" w:rsidP="00D45D04">
      <w:pPr>
        <w:pStyle w:val="ListParagraph"/>
        <w:spacing w:before="120" w:after="120"/>
        <w:ind w:left="567"/>
        <w:contextualSpacing w:val="0"/>
        <w:jc w:val="both"/>
      </w:pPr>
      <w:r>
        <w:t>…………………………………………………………………………………………….</w:t>
      </w:r>
    </w:p>
    <w:p w14:paraId="453F4508" w14:textId="77777777" w:rsidR="00D45D04" w:rsidRDefault="00D45D04" w:rsidP="00D45D04">
      <w:pPr>
        <w:numPr>
          <w:ilvl w:val="0"/>
          <w:numId w:val="4"/>
        </w:numPr>
        <w:ind w:left="567" w:hanging="567"/>
        <w:jc w:val="both"/>
      </w:pPr>
      <w:r>
        <w:t xml:space="preserve">I overensstemmelse med punkt 354 i CEEAG skal det påvises, at den tid, der går mellem tildelingen af støtten og fristen for, hvornår projekterne skal gennemføres, vil give mulighed for effektiv konkurrence mellem de forskellige støtteberettigede projekter. </w:t>
      </w:r>
    </w:p>
    <w:p w14:paraId="274827B6" w14:textId="77777777" w:rsidR="00D45D04" w:rsidRDefault="00D45D04" w:rsidP="00D45D04">
      <w:pPr>
        <w:ind w:left="567"/>
        <w:jc w:val="both"/>
        <w:rPr>
          <w:lang w:eastAsia="en-GB"/>
        </w:rPr>
      </w:pPr>
    </w:p>
    <w:p w14:paraId="162848DC" w14:textId="77777777" w:rsidR="00D45D04" w:rsidRDefault="00D45D04" w:rsidP="00D45D04">
      <w:pPr>
        <w:ind w:left="567"/>
        <w:jc w:val="both"/>
      </w:pPr>
      <w:bookmarkStart w:id="6" w:name="_Hlk167886782"/>
      <w:r>
        <w:t>…………………………………………………………………………………………….</w:t>
      </w:r>
    </w:p>
    <w:bookmarkEnd w:id="6"/>
    <w:p w14:paraId="227FEE4D" w14:textId="77777777" w:rsidR="00D45D04" w:rsidRDefault="00D45D04" w:rsidP="00D45D04">
      <w:pPr>
        <w:ind w:left="567"/>
        <w:jc w:val="both"/>
        <w:rPr>
          <w:lang w:eastAsia="en-GB"/>
        </w:rPr>
      </w:pPr>
    </w:p>
    <w:p w14:paraId="20E5B34D" w14:textId="77777777" w:rsidR="00D45D04" w:rsidRDefault="00D45D04" w:rsidP="00D45D04">
      <w:pPr>
        <w:numPr>
          <w:ilvl w:val="0"/>
          <w:numId w:val="4"/>
        </w:numPr>
        <w:ind w:left="567" w:hanging="567"/>
        <w:jc w:val="both"/>
      </w:pPr>
      <w:r>
        <w:t xml:space="preserve">I overensstemmelse med punkt 356 i CEEAG skal det påvises, at modtagerne af forsyningssikkerhedsforanstaltninger vil have effektive incitamenter til at bidrage til forsyningssikkerheden i leveringsperioden. Disse incitamenter bør generelt være knyttet til værdien af mistet forbrug (VoLL) som fastsat i henhold til artikel 11 i forordning (EU) 2019/943. </w:t>
      </w:r>
    </w:p>
    <w:p w14:paraId="2B0809CF" w14:textId="77777777" w:rsidR="00D45D04" w:rsidRDefault="00D45D04" w:rsidP="00D45D04">
      <w:pPr>
        <w:ind w:left="567"/>
        <w:jc w:val="both"/>
      </w:pPr>
      <w:r>
        <w:t>…………………………………………………………………………………………….</w:t>
      </w:r>
    </w:p>
    <w:p w14:paraId="49FC4837" w14:textId="31D30F5D" w:rsidR="005F14EB" w:rsidRDefault="005F14EB" w:rsidP="00A32872">
      <w:pPr>
        <w:pStyle w:val="ListParagraph"/>
        <w:numPr>
          <w:ilvl w:val="0"/>
          <w:numId w:val="4"/>
        </w:numPr>
        <w:spacing w:before="120" w:after="120"/>
        <w:ind w:left="567" w:hanging="567"/>
        <w:contextualSpacing w:val="0"/>
        <w:jc w:val="both"/>
      </w:pPr>
      <w:r>
        <w:lastRenderedPageBreak/>
        <w:t xml:space="preserve">Forklar, hvorfor der ikke anvendes en udbudsprocedure (i henhold til punkt 355 i CEEAG): </w:t>
      </w:r>
    </w:p>
    <w:p w14:paraId="5A7A4907" w14:textId="099BEAED" w:rsidR="005F14EB" w:rsidRDefault="005F14EB" w:rsidP="00DB2066">
      <w:pPr>
        <w:pStyle w:val="ListParagraph"/>
        <w:spacing w:before="120" w:after="120"/>
        <w:ind w:left="567"/>
        <w:contextualSpacing w:val="0"/>
        <w:jc w:val="both"/>
      </w:pPr>
      <w:r>
        <w:t>…………………………………………………………………………………………….</w:t>
      </w:r>
    </w:p>
    <w:p w14:paraId="54A1C8FD" w14:textId="04E54CB8" w:rsidR="00DB2066" w:rsidRPr="00303CDD" w:rsidRDefault="00C122DD" w:rsidP="00C122DD">
      <w:pPr>
        <w:numPr>
          <w:ilvl w:val="0"/>
          <w:numId w:val="4"/>
        </w:numPr>
        <w:ind w:left="567" w:hanging="567"/>
        <w:jc w:val="both"/>
      </w:pPr>
      <w:r>
        <w:t xml:space="preserve">Hvis der er tale om støtteordninger, skal der fremlægges en liste over referenceprojekter og en redegørelse for, hvorfor de er blevet defineret (det forklares f.eks., at omkostninger og indtægter inden for hvert referenceprojekt kan forventes at være stort set ens). For at undgå tvivl skal det bemærkes, at et referenceprojekt er et eksempel på et projekt, der er repræsentativt for det gennemsnitlige projekt i en kategori af støtteberettigede modtagere under en støtteordning (punkt 19, nr. 63), i CEEAG). </w:t>
      </w:r>
    </w:p>
    <w:p w14:paraId="5C69FCBF" w14:textId="4A976914" w:rsidR="007F119D" w:rsidRPr="00303CDD" w:rsidRDefault="007F119D" w:rsidP="007F119D">
      <w:pPr>
        <w:ind w:left="567"/>
      </w:pPr>
      <w:r>
        <w:t>……………………………………………………………………………………………</w:t>
      </w:r>
    </w:p>
    <w:p w14:paraId="4D68EF6E" w14:textId="55034A86" w:rsidR="007F119D" w:rsidRPr="007F119D" w:rsidRDefault="0003031C" w:rsidP="006F39D2">
      <w:pPr>
        <w:pStyle w:val="ListParagraph"/>
        <w:numPr>
          <w:ilvl w:val="0"/>
          <w:numId w:val="4"/>
        </w:numPr>
        <w:spacing w:before="120" w:after="120"/>
        <w:ind w:left="567" w:hanging="567"/>
        <w:contextualSpacing w:val="0"/>
        <w:jc w:val="both"/>
      </w:pPr>
      <w:r>
        <w:t>I overensstemmelse med punkt 51 i CEEAG skal det for hvert referenceprojekt (i tilfælde af støtteordninger) eller for hver støttemodtager (i tilfælde af individuel støtte) påvises, at støtten ikke overstiger det nødvendige minimum, dvs. forskellen mellem nettonutidsværdien (NNV) for det faktiske scenario og NNV for det kontrafaktiske scenario i referenceprojektets eller projektets levetid. Med henblik på denne vurdering skal der for det faktiske og det troværdige kontrafaktiske scenario</w:t>
      </w:r>
      <w:r>
        <w:rPr>
          <w:rStyle w:val="FootnoteReference"/>
        </w:rPr>
        <w:footnoteReference w:id="7"/>
      </w:r>
      <w:r>
        <w:t xml:space="preserve"> forelægges en kvantificering af alle de vigtigste omkostninger og indtægter, de anslåede vægtede gennemsnitlige kapitalomkostninger (WACC) for støttemodtagerne (eller referenceprojekterne i tilfælde af støtteordninger) for at diskontere fremtidige pengestrømme samt NNV for de faktiske og kontrafaktiske scenarier i projektets/referenceprojektets levetid.</w:t>
      </w:r>
    </w:p>
    <w:p w14:paraId="4DB6378F" w14:textId="77777777" w:rsidR="007F119D" w:rsidRDefault="007F119D" w:rsidP="00940D30">
      <w:pPr>
        <w:numPr>
          <w:ilvl w:val="0"/>
          <w:numId w:val="26"/>
        </w:numPr>
        <w:ind w:left="1134" w:hanging="283"/>
      </w:pPr>
      <w:r>
        <w:t xml:space="preserve">Angiv dette i et bilag til denne anmeldelsesformular (ved hjælp af en Excel-fil, hvor alle formler er synlige). </w:t>
      </w:r>
    </w:p>
    <w:p w14:paraId="791F4E37" w14:textId="77777777" w:rsidR="00217A1A" w:rsidRPr="00D53EDC" w:rsidRDefault="00217A1A" w:rsidP="00217A1A">
      <w:pPr>
        <w:ind w:left="1134"/>
        <w:rPr>
          <w:lang w:eastAsia="en-GB"/>
        </w:rPr>
      </w:pPr>
    </w:p>
    <w:p w14:paraId="51E93FB9" w14:textId="06325AD4" w:rsidR="006F39D2" w:rsidRDefault="006F39D2" w:rsidP="006F39D2">
      <w:pPr>
        <w:ind w:left="1134"/>
      </w:pPr>
      <w:r>
        <w:t>………………………………………………………………………………………</w:t>
      </w:r>
    </w:p>
    <w:p w14:paraId="1D1204B7" w14:textId="77777777" w:rsidR="00CA6577" w:rsidRPr="007F119D" w:rsidRDefault="00CA6577" w:rsidP="00CA6577">
      <w:pPr>
        <w:ind w:left="1287"/>
        <w:rPr>
          <w:lang w:val="en-IE" w:eastAsia="en-GB"/>
        </w:rPr>
      </w:pPr>
    </w:p>
    <w:p w14:paraId="627E58AA" w14:textId="77777777" w:rsidR="007F119D" w:rsidRDefault="007F119D" w:rsidP="00940D30">
      <w:pPr>
        <w:numPr>
          <w:ilvl w:val="0"/>
          <w:numId w:val="26"/>
        </w:numPr>
        <w:ind w:left="1134" w:hanging="283"/>
      </w:pPr>
      <w:r>
        <w:t>Giv detaljerede oplysninger om de antagelser, metoder, begrundelser og underliggende kilder, der er anvendt til hvert aspekt af kvantificeringen af omkostninger og indtægter i det faktiske scenario og det sandsynlige kontrafaktiske scenario (angiv f.eks. de antagelser, der er anvendt til at udarbejde disse scenarier, og kilden til/begrundelsen for disse antagelser).</w:t>
      </w:r>
    </w:p>
    <w:p w14:paraId="7C74300E" w14:textId="77777777" w:rsidR="00217A1A" w:rsidRPr="00D53EDC" w:rsidRDefault="00217A1A" w:rsidP="00217A1A">
      <w:pPr>
        <w:ind w:left="1134"/>
        <w:rPr>
          <w:lang w:eastAsia="en-GB"/>
        </w:rPr>
      </w:pPr>
    </w:p>
    <w:p w14:paraId="79918851" w14:textId="58CA1017" w:rsidR="00CA6577" w:rsidRDefault="006F39D2" w:rsidP="006F39D2">
      <w:pPr>
        <w:ind w:left="1134"/>
      </w:pPr>
      <w:r>
        <w:t>………………………………………………………………………………………</w:t>
      </w:r>
    </w:p>
    <w:p w14:paraId="16028413" w14:textId="77777777" w:rsidR="00CA6577" w:rsidRPr="007F119D" w:rsidRDefault="00CA6577" w:rsidP="00CA6577">
      <w:pPr>
        <w:rPr>
          <w:lang w:val="en-IE" w:eastAsia="en-GB"/>
        </w:rPr>
      </w:pPr>
    </w:p>
    <w:p w14:paraId="4A30E10A" w14:textId="2757CD4D" w:rsidR="005F14EB" w:rsidRPr="006F39D2" w:rsidRDefault="007F119D" w:rsidP="00940D30">
      <w:pPr>
        <w:numPr>
          <w:ilvl w:val="0"/>
          <w:numId w:val="26"/>
        </w:numPr>
        <w:ind w:left="1134" w:hanging="283"/>
      </w:pPr>
      <w:r>
        <w:t>De dokumenter, der er nævnt i fodnote 39 i CEEAG, kan også vedlægges denne anmeldelsesformular. Bestyrelsesdokumenter kan være særligt nyttige for individuelle støtteforanstaltninger eller -ordninger til fordel for et særligt begrænset antal støttemodtagere. Hvis sådanne dokumenter er vedlagt anmeldelsesformularen, skal der nedenfor anføres en liste over disse dokumenter med angivelse af forfatteren, datoen for deres udarbejdelse og konteksten for deres anvendelse.</w:t>
      </w:r>
    </w:p>
    <w:p w14:paraId="192A4C22" w14:textId="1929C07E" w:rsidR="004F192A" w:rsidRPr="000575C3" w:rsidRDefault="00217A1A" w:rsidP="004F192A">
      <w:pPr>
        <w:tabs>
          <w:tab w:val="left" w:leader="dot" w:pos="9072"/>
        </w:tabs>
        <w:spacing w:before="120" w:after="120"/>
        <w:ind w:left="567"/>
        <w:jc w:val="both"/>
      </w:pPr>
      <w:r>
        <w:tab/>
      </w:r>
      <w:r>
        <w:tab/>
      </w:r>
      <w:r>
        <w:tab/>
      </w:r>
    </w:p>
    <w:p w14:paraId="517A29B1" w14:textId="5B83B2D1" w:rsidR="000575C3" w:rsidRPr="00142B91" w:rsidRDefault="006630EE" w:rsidP="006630EE">
      <w:pPr>
        <w:pStyle w:val="ListParagraph"/>
        <w:numPr>
          <w:ilvl w:val="0"/>
          <w:numId w:val="4"/>
        </w:numPr>
        <w:spacing w:before="120" w:after="120"/>
        <w:ind w:left="567" w:hanging="567"/>
        <w:contextualSpacing w:val="0"/>
        <w:jc w:val="both"/>
      </w:pPr>
      <w:r>
        <w:t xml:space="preserve">Hvis punkt 55 i CEEAG finder anvendelse, skal der gives oplysninger om de kompensationsmodeller, som medlemsstaten eventuelt har til hensigt at indføre (en </w:t>
      </w:r>
      <w:r>
        <w:lastRenderedPageBreak/>
        <w:t xml:space="preserve">blanding af forudgående og efterfølgende eller efterfølgende tilbagebetalings- eller omkostningsovervågningsmekanismer). </w:t>
      </w:r>
    </w:p>
    <w:p w14:paraId="1469FE3D" w14:textId="3662127B" w:rsidR="000575C3" w:rsidRPr="008515FB" w:rsidRDefault="009329F1" w:rsidP="000575C3">
      <w:pPr>
        <w:tabs>
          <w:tab w:val="left" w:leader="dot" w:pos="9072"/>
        </w:tabs>
        <w:spacing w:before="120" w:after="120"/>
        <w:ind w:left="567"/>
        <w:jc w:val="both"/>
      </w:pPr>
      <w:r>
        <w:t xml:space="preserve">Hvis punkt 55 i CEEAG ikke finder anvendelse i forbindelse med foranstaltningen/foranstaltningerne, skal der gives en begrundelse herfor. </w:t>
      </w:r>
    </w:p>
    <w:p w14:paraId="63611800" w14:textId="5021059F" w:rsidR="00DD1BB0" w:rsidRDefault="009329F1" w:rsidP="00EA5DDD">
      <w:pPr>
        <w:tabs>
          <w:tab w:val="left" w:leader="dot" w:pos="9072"/>
        </w:tabs>
        <w:spacing w:before="120" w:after="120"/>
        <w:ind w:left="567"/>
        <w:jc w:val="both"/>
        <w:rPr>
          <w:highlight w:val="yellow"/>
        </w:rPr>
      </w:pPr>
      <w:r>
        <w:tab/>
      </w:r>
    </w:p>
    <w:p w14:paraId="3AD989F1" w14:textId="260AE715" w:rsidR="00EF6485" w:rsidRDefault="00EF6485" w:rsidP="00EA5DDD"/>
    <w:p w14:paraId="79CD33D7" w14:textId="4CABB3BA" w:rsidR="00EF6485" w:rsidRDefault="00EF6485" w:rsidP="00EF6485">
      <w:pPr>
        <w:numPr>
          <w:ilvl w:val="0"/>
          <w:numId w:val="4"/>
        </w:numPr>
        <w:ind w:left="567" w:hanging="567"/>
        <w:jc w:val="both"/>
      </w:pPr>
      <w:r>
        <w:t>Hvis den eller de anmeldte foranstaltninger har form af et konkurrencebaseret certifikat eller en leverandørforpligtelsesordning (punkt 357 i CEEAG):</w:t>
      </w:r>
    </w:p>
    <w:p w14:paraId="504AC813" w14:textId="77777777" w:rsidR="00EF6485" w:rsidRDefault="00EF6485" w:rsidP="00EF6485">
      <w:pPr>
        <w:pStyle w:val="ListParagraph"/>
        <w:ind w:hanging="436"/>
        <w:rPr>
          <w:lang w:eastAsia="en-GB"/>
        </w:rPr>
      </w:pPr>
    </w:p>
    <w:p w14:paraId="5FEA5C3D" w14:textId="5CC3AC8E" w:rsidR="00EF6485" w:rsidRDefault="0088099D" w:rsidP="00940D30">
      <w:pPr>
        <w:numPr>
          <w:ilvl w:val="0"/>
          <w:numId w:val="30"/>
        </w:numPr>
        <w:spacing w:after="240"/>
        <w:ind w:left="1134" w:hanging="283"/>
        <w:jc w:val="both"/>
      </w:pPr>
      <w:r>
        <w:t xml:space="preserve">bekræft, at efterspørgslen i ordningen vil ligge under det potentielle udbud </w:t>
      </w:r>
    </w:p>
    <w:p w14:paraId="3714D680" w14:textId="6175BEB4" w:rsidR="006F39D2" w:rsidRDefault="006F39D2" w:rsidP="00217A1A">
      <w:pPr>
        <w:spacing w:after="240"/>
        <w:ind w:left="720" w:firstLine="414"/>
        <w:jc w:val="both"/>
      </w:pPr>
      <w:r>
        <w:t>………………………………………………………………………………………</w:t>
      </w:r>
    </w:p>
    <w:p w14:paraId="3CE17A1C" w14:textId="3C19DDB2" w:rsidR="00EF6485" w:rsidRDefault="0088099D" w:rsidP="00940D30">
      <w:pPr>
        <w:numPr>
          <w:ilvl w:val="0"/>
          <w:numId w:val="30"/>
        </w:numPr>
        <w:spacing w:after="240"/>
        <w:ind w:left="1134" w:hanging="283"/>
        <w:jc w:val="both"/>
      </w:pPr>
      <w:r>
        <w:t>forklar, hvordan købs- eller sanktionsprisen vil blive fastsat og sikrer, at overkompensation ikke finder sted.</w:t>
      </w:r>
    </w:p>
    <w:p w14:paraId="27CDD2B2" w14:textId="60DAB3FE" w:rsidR="006F39D2" w:rsidRDefault="006F39D2" w:rsidP="00217A1A">
      <w:pPr>
        <w:spacing w:after="240"/>
        <w:ind w:left="720" w:firstLine="414"/>
        <w:jc w:val="both"/>
      </w:pPr>
      <w:r>
        <w:t>………………………………………………………………………………………</w:t>
      </w:r>
    </w:p>
    <w:p w14:paraId="3CF13603" w14:textId="77777777" w:rsidR="00EF6485" w:rsidRDefault="00EF6485" w:rsidP="00A32872">
      <w:pPr>
        <w:ind w:left="360"/>
      </w:pPr>
    </w:p>
    <w:p w14:paraId="4CEF8F72" w14:textId="77777777" w:rsidR="00B21377" w:rsidRPr="00863406" w:rsidRDefault="00B21377" w:rsidP="00A32872">
      <w:pPr>
        <w:ind w:left="360"/>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C6878" w14:paraId="5ADB97A4" w14:textId="77777777" w:rsidTr="00D25DD0">
        <w:tc>
          <w:tcPr>
            <w:tcW w:w="9322" w:type="dxa"/>
            <w:shd w:val="pct15" w:color="auto" w:fill="auto"/>
          </w:tcPr>
          <w:p w14:paraId="1D5ED9F0" w14:textId="2394281B" w:rsidR="00B21377" w:rsidRPr="00FC6878" w:rsidRDefault="00B21377" w:rsidP="00940D30">
            <w:pPr>
              <w:pStyle w:val="Heading1"/>
              <w:numPr>
                <w:ilvl w:val="2"/>
                <w:numId w:val="22"/>
              </w:numPr>
              <w:rPr>
                <w:sz w:val="24"/>
                <w:szCs w:val="24"/>
              </w:rPr>
            </w:pPr>
            <w:r>
              <w:rPr>
                <w:sz w:val="24"/>
              </w:rPr>
              <w:t>Kumulering</w:t>
            </w:r>
          </w:p>
        </w:tc>
      </w:tr>
    </w:tbl>
    <w:p w14:paraId="2346A85D" w14:textId="6CB77F89" w:rsidR="00B21377" w:rsidRPr="002A3B51" w:rsidRDefault="00B21377" w:rsidP="00B21377">
      <w:pPr>
        <w:pStyle w:val="ListParagraph"/>
        <w:spacing w:before="120" w:after="120"/>
        <w:ind w:left="567"/>
        <w:contextualSpacing w:val="0"/>
        <w:jc w:val="both"/>
      </w:pPr>
      <w:r>
        <w:t>Med henblik på angivelsen af oplysningerne i dette afsnit henvises til punkt 56 og 57 i CEEAG.</w:t>
      </w:r>
    </w:p>
    <w:p w14:paraId="7159B0AA" w14:textId="07C8FDAD" w:rsidR="00E5484B" w:rsidRPr="002A3B51" w:rsidRDefault="0004717F" w:rsidP="00DD1BB0">
      <w:pPr>
        <w:pStyle w:val="ListParagraph"/>
        <w:numPr>
          <w:ilvl w:val="0"/>
          <w:numId w:val="4"/>
        </w:numPr>
        <w:spacing w:before="120" w:after="120"/>
        <w:ind w:left="567" w:hanging="567"/>
        <w:contextualSpacing w:val="0"/>
        <w:jc w:val="both"/>
      </w:pPr>
      <w:r>
        <w:t>For så vidt som det ikke allerede er angivet i del I i den generelle anmeldelsesformular og for at kontrollere overholdelsen af punkt 56 i CEEAG, skal det præciseres, om støtten under den anmeldte foranstaltning kan tildeles sideløbende efter flere støtteordninger, eller den kan kumuleres med ad hoc-støtte eller de minimis-støtte i forbindelse med de samme støtteberettigede omkostninger. Giv, hvis dette er tilfældet, nærmere oplysninger om disse støtteordninger, ad hoc-støtte eller de minimis-støtte, og hvordan støtten vil blive kumuleret. Bemærk, at der kan henvises til kvantificeringen ovenfor.</w:t>
      </w:r>
    </w:p>
    <w:p w14:paraId="4EA350F2" w14:textId="6700FB40" w:rsidR="00D13239" w:rsidRPr="002A3B51" w:rsidRDefault="002A3B51" w:rsidP="002A3B51">
      <w:pPr>
        <w:tabs>
          <w:tab w:val="left" w:leader="dot" w:pos="9072"/>
        </w:tabs>
        <w:spacing w:before="120" w:after="120"/>
        <w:ind w:left="567"/>
        <w:jc w:val="both"/>
      </w:pPr>
      <w:r>
        <w:tab/>
      </w:r>
    </w:p>
    <w:p w14:paraId="113EC6AF" w14:textId="40D023B2" w:rsidR="007257F0" w:rsidRPr="00EE2D70" w:rsidRDefault="00720951" w:rsidP="00DD1BB0">
      <w:pPr>
        <w:pStyle w:val="ListParagraph"/>
        <w:numPr>
          <w:ilvl w:val="0"/>
          <w:numId w:val="4"/>
        </w:numPr>
        <w:spacing w:before="120" w:after="120"/>
        <w:ind w:left="567" w:hanging="567"/>
        <w:contextualSpacing w:val="0"/>
        <w:jc w:val="both"/>
      </w:pPr>
      <w:r>
        <w:t xml:space="preserve">Hvis punkt 56 i CEEAG finder anvendelse, skal der gives en begrundelse for, at det samlede støttebeløb, der ydes i henhold til den eller de anmeldte foranstaltninger til et projekt eller en aktivitet, ikke fører til overkompensation eller overstiger det maksimale støttebeløb, som er tilladt i henhold til CEEAG. Det maksimale støttebeløb, der er tilladt i henhold til CEEAG, er enten det støttebeløb, der er indregnet i det vindende bud, eller, i mangel af en udbudsprocedure, finansieringskløften under hensyntagen til alle de vigtigste indtægter, herunder andre støttekilder (punkt 51 i CEEAG). Hvis støtte givet i henhold til den eller de anmeldte støtteforanstaltninger kan kumuleres med statsstøtte under et andet instrument, skal den metode, der er anvendt til at sikre overholdelse af betingelserne i punkt 56 i CEEAG, angives. </w:t>
      </w:r>
    </w:p>
    <w:p w14:paraId="5A4E851C" w14:textId="1587758B" w:rsidR="007257F0" w:rsidRPr="00EE2D70" w:rsidRDefault="007257F0" w:rsidP="007257F0">
      <w:pPr>
        <w:tabs>
          <w:tab w:val="left" w:leader="dot" w:pos="9072"/>
        </w:tabs>
        <w:spacing w:before="120" w:after="120"/>
        <w:ind w:left="567"/>
        <w:jc w:val="both"/>
      </w:pPr>
      <w:r>
        <w:tab/>
      </w:r>
    </w:p>
    <w:p w14:paraId="4B762428" w14:textId="1C9A3BEB" w:rsidR="009861F5" w:rsidRPr="00EE2D70" w:rsidRDefault="00562354" w:rsidP="00DD1BB0">
      <w:pPr>
        <w:pStyle w:val="ListParagraph"/>
        <w:numPr>
          <w:ilvl w:val="0"/>
          <w:numId w:val="4"/>
        </w:numPr>
        <w:spacing w:before="120" w:after="120"/>
        <w:ind w:left="567" w:hanging="567"/>
        <w:contextualSpacing w:val="0"/>
        <w:jc w:val="both"/>
      </w:pPr>
      <w:r>
        <w:lastRenderedPageBreak/>
        <w:t>Hvis punkt 57 i CEEAG finder anvendelse, dvs. at den støtte, der ydes i henhold til den eller de anmeldte foranstaltninger, kombineres med centralt forvaltede EU-midler</w:t>
      </w:r>
      <w:r>
        <w:rPr>
          <w:rStyle w:val="FootnoteReference"/>
          <w:lang w:eastAsia="en-GB"/>
        </w:rPr>
        <w:footnoteReference w:id="8"/>
      </w:r>
      <w:r>
        <w:t xml:space="preserve"> (som ikke udgør statsstøtte), skal det begrundes, hvordan den samlede offentlige finansiering, der ydes i forbindelse med de samme støtteberettigede omkostninger, ikke fører til overkompensation. </w:t>
      </w:r>
    </w:p>
    <w:p w14:paraId="4A76BA85" w14:textId="5308E4AE" w:rsidR="0078387C" w:rsidRDefault="009861F5" w:rsidP="0078387C">
      <w:pPr>
        <w:tabs>
          <w:tab w:val="left" w:leader="dot" w:pos="9072"/>
        </w:tabs>
        <w:spacing w:before="120" w:after="120"/>
        <w:ind w:left="567"/>
        <w:jc w:val="both"/>
      </w:pPr>
      <w:r>
        <w:tab/>
      </w:r>
    </w:p>
    <w:p w14:paraId="1739D1B0" w14:textId="77777777" w:rsidR="0001211F" w:rsidRPr="00EE2D70" w:rsidRDefault="0001211F"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863406" w14:paraId="3B675B34" w14:textId="77777777" w:rsidTr="00504F2E">
        <w:tc>
          <w:tcPr>
            <w:tcW w:w="9322" w:type="dxa"/>
            <w:shd w:val="pct15" w:color="auto" w:fill="auto"/>
          </w:tcPr>
          <w:p w14:paraId="75619393" w14:textId="6035D4E3" w:rsidR="006773CE" w:rsidRPr="00863406" w:rsidRDefault="00571910" w:rsidP="00940D30">
            <w:pPr>
              <w:pStyle w:val="Heading1"/>
              <w:numPr>
                <w:ilvl w:val="2"/>
                <w:numId w:val="22"/>
              </w:numPr>
              <w:rPr>
                <w:color w:val="000000"/>
                <w:sz w:val="24"/>
                <w:szCs w:val="24"/>
              </w:rPr>
            </w:pPr>
            <w:r>
              <w:rPr>
                <w:sz w:val="24"/>
              </w:rPr>
              <w:t>Gennemsigtighed</w:t>
            </w:r>
          </w:p>
        </w:tc>
      </w:tr>
    </w:tbl>
    <w:p w14:paraId="07229A8F" w14:textId="5882F9C4" w:rsidR="006773CE" w:rsidRPr="007C0A44" w:rsidRDefault="006773CE" w:rsidP="006773CE">
      <w:pPr>
        <w:spacing w:before="360" w:after="120"/>
        <w:jc w:val="both"/>
        <w:rPr>
          <w:i/>
        </w:rPr>
      </w:pPr>
      <w:r>
        <w:rPr>
          <w:i/>
        </w:rPr>
        <w:t xml:space="preserve">Med henblik på angivelsen af oplysningerne i dette afsnit henvises til afsnit 3.2.1.4, punkt 58-61, i CEEAG. </w:t>
      </w:r>
    </w:p>
    <w:p w14:paraId="2F56ABE9" w14:textId="549CAE9D" w:rsidR="00FF1BF6" w:rsidRPr="007C0A44" w:rsidRDefault="006F4C1A" w:rsidP="00DD1BB0">
      <w:pPr>
        <w:pStyle w:val="ListParagraph"/>
        <w:numPr>
          <w:ilvl w:val="0"/>
          <w:numId w:val="4"/>
        </w:numPr>
        <w:spacing w:before="120" w:after="120"/>
        <w:ind w:left="567" w:hanging="567"/>
        <w:contextualSpacing w:val="0"/>
        <w:jc w:val="both"/>
      </w:pPr>
      <w:r>
        <w:t>Bekræft, at medlemsstaten vil opfylde kravene om gennemsigtighed i punkt 58-61 i CEEAG.</w:t>
      </w:r>
    </w:p>
    <w:p w14:paraId="23A38736" w14:textId="77777777" w:rsidR="003A66DE" w:rsidRPr="00AB745F" w:rsidRDefault="003A66DE" w:rsidP="003A66DE">
      <w:pPr>
        <w:tabs>
          <w:tab w:val="left" w:leader="dot" w:pos="9072"/>
        </w:tabs>
        <w:spacing w:before="120" w:after="120"/>
        <w:ind w:left="567"/>
        <w:jc w:val="both"/>
      </w:pPr>
      <w:r>
        <w:tab/>
      </w:r>
    </w:p>
    <w:p w14:paraId="03940E7D" w14:textId="6EA46CA0" w:rsidR="007C0A44" w:rsidRPr="00EA5DDD" w:rsidRDefault="006F4C1A" w:rsidP="006F4C1A">
      <w:pPr>
        <w:pStyle w:val="ListParagraph"/>
        <w:numPr>
          <w:ilvl w:val="0"/>
          <w:numId w:val="4"/>
        </w:numPr>
        <w:spacing w:before="120" w:after="120"/>
        <w:ind w:left="567" w:hanging="567"/>
        <w:contextualSpacing w:val="0"/>
        <w:jc w:val="both"/>
        <w:rPr>
          <w:rFonts w:ascii="inherit" w:hAnsi="inherit"/>
        </w:rPr>
      </w:pPr>
      <w:r>
        <w:rPr>
          <w:rFonts w:ascii="inherit" w:hAnsi="inherit"/>
        </w:rPr>
        <w:t xml:space="preserve">Angiv internetlinket til offentliggørelsen af den godkendte støtteordnings fulde ordlyd eller afgørelsen om at yde individuel støtte og dennes gennemførelsesbestemmelser samt oplysninger om hver enkelt individuel tildeling af støtte, som ydes ad hoc eller i henhold til en støtteordning, der er godkendt på grundlag af CEEAG, og som overstiger 100 000 EUR. </w:t>
      </w:r>
    </w:p>
    <w:p w14:paraId="314335F7" w14:textId="230B1D03" w:rsidR="007C0A44" w:rsidRDefault="007C0A44" w:rsidP="007C0A44">
      <w:pPr>
        <w:tabs>
          <w:tab w:val="left" w:leader="dot" w:pos="9072"/>
        </w:tabs>
        <w:spacing w:before="120" w:after="120"/>
        <w:ind w:left="567"/>
        <w:jc w:val="both"/>
      </w:pPr>
      <w:r>
        <w:tab/>
      </w:r>
    </w:p>
    <w:p w14:paraId="14FE0B14" w14:textId="77777777" w:rsidR="007C0A44" w:rsidRPr="00164ADE" w:rsidRDefault="007C0A44" w:rsidP="00EA5DDD">
      <w:pPr>
        <w:tabs>
          <w:tab w:val="left" w:leader="dot" w:pos="9072"/>
        </w:tabs>
        <w:spacing w:before="120" w:after="120"/>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164ADE" w14:paraId="3CD6496D" w14:textId="77777777" w:rsidTr="00504F2E">
        <w:tc>
          <w:tcPr>
            <w:tcW w:w="9322" w:type="dxa"/>
            <w:shd w:val="pct15" w:color="auto" w:fill="auto"/>
          </w:tcPr>
          <w:p w14:paraId="6D3C4956" w14:textId="26F109E2" w:rsidR="008D37F9" w:rsidRPr="00757930" w:rsidRDefault="00011908" w:rsidP="00940D30">
            <w:pPr>
              <w:pStyle w:val="Heading1"/>
              <w:numPr>
                <w:ilvl w:val="1"/>
                <w:numId w:val="22"/>
              </w:numPr>
              <w:jc w:val="left"/>
              <w:rPr>
                <w:iCs/>
                <w:color w:val="000000"/>
                <w:sz w:val="24"/>
                <w:szCs w:val="24"/>
              </w:rPr>
            </w:pPr>
            <w:r>
              <w:rPr>
                <w:color w:val="000000"/>
                <w:sz w:val="24"/>
              </w:rPr>
              <w:t>Undgåelse af uberettigede negative virkninger på konkurrencen og samhandelen og på balanceringen</w:t>
            </w:r>
          </w:p>
        </w:tc>
      </w:tr>
    </w:tbl>
    <w:p w14:paraId="6C8D04A2" w14:textId="31215476" w:rsidR="009D6AD7" w:rsidRDefault="00F83660" w:rsidP="00757930">
      <w:pPr>
        <w:spacing w:before="360" w:after="120"/>
        <w:jc w:val="both"/>
      </w:pPr>
      <w:r>
        <w:rPr>
          <w:i/>
        </w:rPr>
        <w:t xml:space="preserve">Med henblik på angivelsen af oplysningerne i dette afsnit henvises til afsnit 4.8.5, punkt 359-370, og afsnit 3.3, punkt 71-76, i CEEAG. </w:t>
      </w:r>
    </w:p>
    <w:p w14:paraId="289C641A" w14:textId="66B1FD1E" w:rsidR="002955E1" w:rsidRDefault="002955E1" w:rsidP="00AA5AF1">
      <w:pPr>
        <w:numPr>
          <w:ilvl w:val="0"/>
          <w:numId w:val="4"/>
        </w:numPr>
        <w:spacing w:after="240"/>
        <w:ind w:left="567" w:hanging="567"/>
        <w:jc w:val="both"/>
        <w:rPr>
          <w:i/>
          <w:color w:val="000000"/>
        </w:rPr>
      </w:pPr>
      <w:r>
        <w:rPr>
          <w:color w:val="000000"/>
        </w:rPr>
        <w:t>Med henblik på at påvise overholdelsen af punkt 359, 360 og 361 i CEEAG:</w:t>
      </w:r>
    </w:p>
    <w:p w14:paraId="3CDD8237" w14:textId="472E0A00" w:rsidR="005333EE" w:rsidRPr="00757930" w:rsidRDefault="00967292" w:rsidP="00940D30">
      <w:pPr>
        <w:numPr>
          <w:ilvl w:val="0"/>
          <w:numId w:val="34"/>
        </w:numPr>
        <w:spacing w:after="240"/>
        <w:ind w:left="1134" w:hanging="283"/>
        <w:jc w:val="both"/>
        <w:rPr>
          <w:i/>
          <w:color w:val="000000"/>
        </w:rPr>
      </w:pPr>
      <w:r>
        <w:t xml:space="preserve">Påvis (hvis det ikke allerede er oplyst som svar på spørgsmål </w:t>
      </w:r>
      <w:r>
        <w:rPr>
          <w:highlight w:val="yellow"/>
        </w:rPr>
        <w:fldChar w:fldCharType="begin"/>
      </w:r>
      <w:r>
        <w:instrText xml:space="preserve"> REF _Ref168390744 \r \h </w:instrText>
      </w:r>
      <w:r>
        <w:rPr>
          <w:highlight w:val="yellow"/>
        </w:rPr>
      </w:r>
      <w:r>
        <w:rPr>
          <w:highlight w:val="yellow"/>
        </w:rPr>
        <w:fldChar w:fldCharType="separate"/>
      </w:r>
      <w:r>
        <w:t>23</w:t>
      </w:r>
      <w:r>
        <w:rPr>
          <w:highlight w:val="yellow"/>
        </w:rPr>
        <w:fldChar w:fldCharType="end"/>
      </w:r>
      <w:r>
        <w:t xml:space="preserve"> ovenfor), at støtten er udformet således, at markederne fortsat fungerer effektivt, og så der opretholdes effektive driftsincitamenter og prissignaler.</w:t>
      </w:r>
      <w:r>
        <w:rPr>
          <w:color w:val="000000"/>
        </w:rPr>
        <w:t xml:space="preserve"> </w:t>
      </w:r>
    </w:p>
    <w:p w14:paraId="289DEBC3" w14:textId="1F4CE1C7" w:rsidR="0058494E" w:rsidRPr="00757930" w:rsidRDefault="0058494E" w:rsidP="00217A1A">
      <w:pPr>
        <w:spacing w:after="240"/>
        <w:ind w:left="720" w:firstLine="414"/>
        <w:jc w:val="both"/>
        <w:rPr>
          <w:i/>
          <w:color w:val="000000"/>
        </w:rPr>
      </w:pPr>
      <w:r>
        <w:rPr>
          <w:color w:val="000000"/>
        </w:rPr>
        <w:t>………………………………………………………………………………………</w:t>
      </w:r>
    </w:p>
    <w:p w14:paraId="2DDF31A5" w14:textId="25888BC4" w:rsidR="002955E1" w:rsidRPr="00757930" w:rsidRDefault="0058494E" w:rsidP="00940D30">
      <w:pPr>
        <w:numPr>
          <w:ilvl w:val="0"/>
          <w:numId w:val="34"/>
        </w:numPr>
        <w:spacing w:after="240"/>
        <w:ind w:left="1134" w:hanging="283"/>
        <w:jc w:val="both"/>
        <w:rPr>
          <w:i/>
          <w:color w:val="000000"/>
        </w:rPr>
      </w:pPr>
      <w:r>
        <w:rPr>
          <w:color w:val="000000"/>
        </w:rPr>
        <w:t>Bekræft, at der ikke gives incitamenter til produktion af energi, der vil fortrænge mindre forurenende energiformer.</w:t>
      </w:r>
    </w:p>
    <w:p w14:paraId="546A7806" w14:textId="3689F66E" w:rsidR="0058494E" w:rsidRPr="00757930" w:rsidRDefault="0058494E" w:rsidP="00217A1A">
      <w:pPr>
        <w:spacing w:after="240"/>
        <w:ind w:left="720" w:firstLine="414"/>
        <w:jc w:val="both"/>
        <w:rPr>
          <w:i/>
          <w:color w:val="000000"/>
        </w:rPr>
      </w:pPr>
      <w:r>
        <w:rPr>
          <w:color w:val="000000"/>
        </w:rPr>
        <w:t>………………………………………………………………………………………</w:t>
      </w:r>
    </w:p>
    <w:p w14:paraId="631CC8BC" w14:textId="41975194" w:rsidR="0058494E" w:rsidRPr="00757930" w:rsidRDefault="0058494E" w:rsidP="00940D30">
      <w:pPr>
        <w:numPr>
          <w:ilvl w:val="0"/>
          <w:numId w:val="34"/>
        </w:numPr>
        <w:spacing w:after="240"/>
        <w:ind w:left="1134" w:hanging="283"/>
        <w:jc w:val="both"/>
        <w:rPr>
          <w:i/>
          <w:color w:val="000000"/>
        </w:rPr>
      </w:pPr>
      <w:r>
        <w:rPr>
          <w:color w:val="000000"/>
        </w:rPr>
        <w:lastRenderedPageBreak/>
        <w:t>Angiv, om foranstaltningen betaler for kapacitet (EUR pr. megawatt (MW)) eller for elproduktion (EUR/MWh).</w:t>
      </w:r>
    </w:p>
    <w:p w14:paraId="2D8D148B" w14:textId="0F25A856" w:rsidR="00936A04" w:rsidRPr="00917696" w:rsidRDefault="00936A04" w:rsidP="00217A1A">
      <w:pPr>
        <w:spacing w:after="240"/>
        <w:ind w:left="720" w:firstLine="414"/>
        <w:jc w:val="both"/>
      </w:pPr>
      <w:r>
        <w:t>……………………………………………………………………………………..</w:t>
      </w:r>
    </w:p>
    <w:p w14:paraId="67025788" w14:textId="3A251072" w:rsidR="005333EE" w:rsidRDefault="005333EE" w:rsidP="00207312">
      <w:pPr>
        <w:numPr>
          <w:ilvl w:val="0"/>
          <w:numId w:val="4"/>
        </w:numPr>
        <w:spacing w:after="240"/>
        <w:ind w:left="567" w:hanging="567"/>
        <w:jc w:val="both"/>
        <w:rPr>
          <w:color w:val="000000"/>
        </w:rPr>
      </w:pPr>
      <w:bookmarkStart w:id="7" w:name="_Ref169096013"/>
      <w:r>
        <w:rPr>
          <w:color w:val="000000"/>
        </w:rPr>
        <w:t>Fremlæg dokumentation for, at foranstaltningen opfylder alle gældende betingelser for udformningen i artikel 22 i forordning (EU) 2019/943 (punkt 362 i CEEAG).</w:t>
      </w:r>
      <w:bookmarkEnd w:id="7"/>
    </w:p>
    <w:p w14:paraId="021E0476" w14:textId="1654EF0E" w:rsidR="0058494E" w:rsidRPr="00A32872" w:rsidRDefault="0058494E" w:rsidP="00757930">
      <w:pPr>
        <w:spacing w:after="240"/>
        <w:ind w:left="567"/>
        <w:jc w:val="both"/>
        <w:rPr>
          <w:color w:val="000000"/>
        </w:rPr>
      </w:pPr>
      <w:r>
        <w:rPr>
          <w:color w:val="000000"/>
        </w:rPr>
        <w:t>…………………………………………………………………………………………….</w:t>
      </w:r>
    </w:p>
    <w:p w14:paraId="5FE4F87C" w14:textId="67A4F29C" w:rsidR="005333EE" w:rsidRPr="00A32872" w:rsidRDefault="005333EE" w:rsidP="00207312">
      <w:pPr>
        <w:numPr>
          <w:ilvl w:val="0"/>
          <w:numId w:val="4"/>
        </w:numPr>
        <w:spacing w:after="240"/>
        <w:ind w:left="567" w:hanging="567"/>
        <w:jc w:val="both"/>
        <w:rPr>
          <w:color w:val="000000"/>
        </w:rPr>
      </w:pPr>
      <w:r>
        <w:rPr>
          <w:color w:val="000000"/>
        </w:rPr>
        <w:t>For strategiske reserver og andre foranstaltninger med henblik på ressourcetilstrækkelighed, herunder afbrydelighedsordninger, hvor kapaciteten holdes uden for markedet, bekræftes det for at sikre, at markedsprisdannelsen ikke fordrejes, at følgende kumulative betingelser overholdes i overensstemmelse med punkt 363 i CEEAG:</w:t>
      </w:r>
    </w:p>
    <w:p w14:paraId="6E1DA574" w14:textId="064EFA54" w:rsidR="005333EE" w:rsidRDefault="005333EE" w:rsidP="00940D30">
      <w:pPr>
        <w:numPr>
          <w:ilvl w:val="1"/>
          <w:numId w:val="29"/>
        </w:numPr>
        <w:spacing w:after="240"/>
        <w:ind w:left="1134" w:hanging="283"/>
        <w:jc w:val="both"/>
        <w:rPr>
          <w:color w:val="000000"/>
        </w:rPr>
      </w:pPr>
      <w:r>
        <w:rPr>
          <w:color w:val="000000"/>
        </w:rPr>
        <w:t>Ressourcerne i foranstaltningen/foranstaltningerne må kun indgå i lastfordelingen, hvis transmissionssystemoperatørerne kan forventes at udtømme deres balanceringsressourcer i bestræbelserne på at skabe ligevægt mellem udbud og efterspørgsel.</w:t>
      </w:r>
    </w:p>
    <w:p w14:paraId="5D83821E" w14:textId="0B8EBE68" w:rsidR="009A1DEA" w:rsidRPr="00A32872" w:rsidRDefault="009A1DEA" w:rsidP="00217A1A">
      <w:pPr>
        <w:spacing w:after="240"/>
        <w:ind w:left="720" w:firstLine="414"/>
        <w:jc w:val="both"/>
        <w:rPr>
          <w:color w:val="000000"/>
        </w:rPr>
      </w:pPr>
      <w:r>
        <w:rPr>
          <w:color w:val="000000"/>
        </w:rPr>
        <w:t>………………………………………………………………………………………</w:t>
      </w:r>
    </w:p>
    <w:p w14:paraId="02614F60" w14:textId="1C998EE6" w:rsidR="005333EE" w:rsidRDefault="005333EE" w:rsidP="00940D30">
      <w:pPr>
        <w:numPr>
          <w:ilvl w:val="1"/>
          <w:numId w:val="29"/>
        </w:numPr>
        <w:spacing w:after="240"/>
        <w:ind w:left="1134" w:hanging="283"/>
        <w:jc w:val="both"/>
        <w:rPr>
          <w:color w:val="000000"/>
        </w:rPr>
      </w:pPr>
      <w:r>
        <w:rPr>
          <w:color w:val="000000"/>
        </w:rPr>
        <w:t>Under afregningsperioder for ubalancer, hvor ressourcerne i foranstaltningen/foranstaltningerne indgår i lastfordelingen, skal ubalancer i markedet afregnes mindst til VoLL eller til en værdi, der er højere end intraday-prisgrænsen, alt efter hvad der er højest.</w:t>
      </w:r>
    </w:p>
    <w:p w14:paraId="65BE28FE" w14:textId="0E55FD17" w:rsidR="009A1DEA" w:rsidRPr="00A32872" w:rsidRDefault="009A1DEA" w:rsidP="00217A1A">
      <w:pPr>
        <w:spacing w:after="240"/>
        <w:ind w:left="720" w:firstLine="414"/>
        <w:jc w:val="both"/>
        <w:rPr>
          <w:color w:val="000000"/>
        </w:rPr>
      </w:pPr>
      <w:r>
        <w:rPr>
          <w:color w:val="000000"/>
        </w:rPr>
        <w:t>………………………………………………………………………………………</w:t>
      </w:r>
    </w:p>
    <w:p w14:paraId="6A2ECFA4" w14:textId="5AC0D555" w:rsidR="005333EE" w:rsidRDefault="005333EE" w:rsidP="00940D30">
      <w:pPr>
        <w:numPr>
          <w:ilvl w:val="1"/>
          <w:numId w:val="29"/>
        </w:numPr>
        <w:spacing w:after="240"/>
        <w:ind w:left="1134" w:hanging="283"/>
        <w:jc w:val="both"/>
        <w:rPr>
          <w:color w:val="000000"/>
        </w:rPr>
      </w:pPr>
      <w:r>
        <w:rPr>
          <w:color w:val="000000"/>
        </w:rPr>
        <w:t>Foranstaltningernes output efter lastfordeling skal tildeles balanceansvarlige aktører ved hjælp af mekanismen for afregning af ubalancer.</w:t>
      </w:r>
    </w:p>
    <w:p w14:paraId="4C371851" w14:textId="7E4E9F64" w:rsidR="009A1DEA" w:rsidRPr="00A32872" w:rsidRDefault="009A1DEA" w:rsidP="00217A1A">
      <w:pPr>
        <w:spacing w:after="240"/>
        <w:ind w:left="720" w:firstLine="414"/>
        <w:jc w:val="both"/>
        <w:rPr>
          <w:color w:val="000000"/>
        </w:rPr>
      </w:pPr>
      <w:r>
        <w:rPr>
          <w:color w:val="000000"/>
        </w:rPr>
        <w:t>………………………………………………………………………………………</w:t>
      </w:r>
    </w:p>
    <w:p w14:paraId="20E0C882" w14:textId="73A4092E" w:rsidR="005333EE" w:rsidRDefault="005333EE" w:rsidP="00940D30">
      <w:pPr>
        <w:numPr>
          <w:ilvl w:val="1"/>
          <w:numId w:val="29"/>
        </w:numPr>
        <w:spacing w:after="240"/>
        <w:ind w:left="1134" w:hanging="283"/>
        <w:jc w:val="both"/>
        <w:rPr>
          <w:color w:val="000000"/>
        </w:rPr>
      </w:pPr>
      <w:r>
        <w:rPr>
          <w:color w:val="000000"/>
        </w:rPr>
        <w:t>Ressourcerne modtager ikke vederlag fra engrosmarkedet for elektricitet eller balancemarkederne.</w:t>
      </w:r>
    </w:p>
    <w:p w14:paraId="28D6BF4F" w14:textId="7349BF2D" w:rsidR="009A1DEA" w:rsidRPr="00A32872" w:rsidRDefault="009A1DEA" w:rsidP="00217A1A">
      <w:pPr>
        <w:spacing w:after="240"/>
        <w:ind w:left="720" w:firstLine="414"/>
        <w:jc w:val="both"/>
        <w:rPr>
          <w:color w:val="000000"/>
        </w:rPr>
      </w:pPr>
      <w:r>
        <w:rPr>
          <w:color w:val="000000"/>
        </w:rPr>
        <w:t>………………………………………………………………………………………</w:t>
      </w:r>
    </w:p>
    <w:p w14:paraId="6A78EC5B" w14:textId="328854DC" w:rsidR="005333EE" w:rsidRDefault="005333EE" w:rsidP="00940D30">
      <w:pPr>
        <w:numPr>
          <w:ilvl w:val="1"/>
          <w:numId w:val="29"/>
        </w:numPr>
        <w:spacing w:after="240"/>
        <w:ind w:left="1134" w:hanging="283"/>
        <w:jc w:val="both"/>
        <w:rPr>
          <w:color w:val="000000"/>
        </w:rPr>
      </w:pPr>
      <w:r>
        <w:rPr>
          <w:color w:val="000000"/>
        </w:rPr>
        <w:t>Ressourcerne i foranstaltningen/foranstaltningerne skal holdes uden for energimarkederne som minimum under hele kontraktperioden.</w:t>
      </w:r>
    </w:p>
    <w:p w14:paraId="6A586022" w14:textId="1CE2C6BC" w:rsidR="009A1DEA" w:rsidRPr="00A32872" w:rsidRDefault="009A1DEA" w:rsidP="00757930">
      <w:pPr>
        <w:spacing w:after="240"/>
        <w:ind w:left="567"/>
        <w:jc w:val="both"/>
        <w:rPr>
          <w:color w:val="000000"/>
        </w:rPr>
      </w:pPr>
      <w:r>
        <w:rPr>
          <w:color w:val="000000"/>
        </w:rPr>
        <w:t>…………………………………………………………………………………………….</w:t>
      </w:r>
    </w:p>
    <w:p w14:paraId="3C1043B0" w14:textId="476303DD" w:rsidR="005333EE" w:rsidRDefault="005333EE" w:rsidP="00207312">
      <w:pPr>
        <w:numPr>
          <w:ilvl w:val="0"/>
          <w:numId w:val="4"/>
        </w:numPr>
        <w:spacing w:after="240"/>
        <w:ind w:left="567" w:hanging="567"/>
        <w:jc w:val="both"/>
        <w:rPr>
          <w:color w:val="000000"/>
        </w:rPr>
      </w:pPr>
      <w:r>
        <w:rPr>
          <w:color w:val="000000"/>
        </w:rPr>
        <w:t>For netoverbelastningsforanstaltninger, hvor ressourcerne holdes uden for markedet, skal det bekræftes, at disse ressourcer ikke vil modtage betaling fra engrosmarkedet for elektricitet eller balancemarkederne, og at de vil blive holdt uden for energimarkederne som minimum i kontraktperioden (punkt 364 i CEEAG).</w:t>
      </w:r>
    </w:p>
    <w:p w14:paraId="194E9B94" w14:textId="4EA0166D" w:rsidR="009A1DEA" w:rsidRPr="00A32872" w:rsidRDefault="009A1DEA" w:rsidP="00757930">
      <w:pPr>
        <w:spacing w:after="240"/>
        <w:ind w:left="567"/>
        <w:jc w:val="both"/>
        <w:rPr>
          <w:color w:val="000000"/>
        </w:rPr>
      </w:pPr>
      <w:r>
        <w:rPr>
          <w:color w:val="000000"/>
        </w:rPr>
        <w:t>…………………………………………………………………………………………….</w:t>
      </w:r>
    </w:p>
    <w:p w14:paraId="5AB2754B" w14:textId="479BCEE1" w:rsidR="00E55520" w:rsidRPr="00A32872" w:rsidRDefault="005333EE" w:rsidP="00207312">
      <w:pPr>
        <w:numPr>
          <w:ilvl w:val="0"/>
          <w:numId w:val="4"/>
        </w:numPr>
        <w:spacing w:after="240"/>
        <w:ind w:left="567" w:hanging="567"/>
        <w:jc w:val="both"/>
        <w:rPr>
          <w:color w:val="000000"/>
        </w:rPr>
      </w:pPr>
      <w:r>
        <w:rPr>
          <w:color w:val="000000"/>
        </w:rPr>
        <w:lastRenderedPageBreak/>
        <w:t>For andre kapacitetsmekanismer end strategiske reserver skal det i overensstemmelse med punkt 365 i CEEAG påvises, at foranstaltningen:</w:t>
      </w:r>
    </w:p>
    <w:p w14:paraId="61F8EA90" w14:textId="77777777" w:rsidR="00560F07" w:rsidRDefault="005333EE" w:rsidP="00940D30">
      <w:pPr>
        <w:numPr>
          <w:ilvl w:val="1"/>
          <w:numId w:val="35"/>
        </w:numPr>
        <w:spacing w:after="240"/>
        <w:ind w:left="1134" w:hanging="283"/>
        <w:jc w:val="both"/>
        <w:rPr>
          <w:color w:val="000000"/>
        </w:rPr>
      </w:pPr>
      <w:r>
        <w:rPr>
          <w:color w:val="000000"/>
        </w:rPr>
        <w:t>udformes således, at den pris, der betales for tilgængelighed, automatisk bliver nul, når niveauet for kapacitetslevering forventes at være tilstrækkeligt til at opfylde niveauet for den krævede kapacitet</w:t>
      </w:r>
    </w:p>
    <w:p w14:paraId="0E882792" w14:textId="50D04BCD" w:rsidR="00E308B3" w:rsidRPr="00560F07" w:rsidRDefault="00E308B3" w:rsidP="00217A1A">
      <w:pPr>
        <w:spacing w:after="240"/>
        <w:ind w:left="851" w:firstLine="283"/>
        <w:jc w:val="both"/>
        <w:rPr>
          <w:color w:val="000000"/>
        </w:rPr>
      </w:pPr>
      <w:r>
        <w:rPr>
          <w:color w:val="000000"/>
        </w:rPr>
        <w:t>…………………………………………………………………………………...</w:t>
      </w:r>
    </w:p>
    <w:p w14:paraId="56EC0706" w14:textId="77777777" w:rsidR="00560F07" w:rsidRDefault="005333EE" w:rsidP="00940D30">
      <w:pPr>
        <w:numPr>
          <w:ilvl w:val="1"/>
          <w:numId w:val="35"/>
        </w:numPr>
        <w:spacing w:after="240"/>
        <w:ind w:left="1134" w:hanging="283"/>
        <w:jc w:val="both"/>
        <w:rPr>
          <w:color w:val="000000"/>
        </w:rPr>
      </w:pPr>
      <w:r>
        <w:rPr>
          <w:color w:val="000000"/>
        </w:rPr>
        <w:t>kun aflønner de deltagende ressourcer for deres tilgængelighed og sikrer, at vederlaget ikke påvirker kapacitetsudbyderens beslutninger om, hvorvidt der produceres eller ej</w:t>
      </w:r>
    </w:p>
    <w:p w14:paraId="73BE4F0C" w14:textId="40F8224B" w:rsidR="00E308B3" w:rsidRPr="00560F07" w:rsidRDefault="00E308B3" w:rsidP="00217A1A">
      <w:pPr>
        <w:spacing w:after="240"/>
        <w:ind w:left="851" w:firstLine="283"/>
        <w:jc w:val="both"/>
        <w:rPr>
          <w:color w:val="000000"/>
        </w:rPr>
      </w:pPr>
      <w:r>
        <w:rPr>
          <w:color w:val="000000"/>
        </w:rPr>
        <w:t>……………………………………………………………………………...</w:t>
      </w:r>
    </w:p>
    <w:p w14:paraId="4E49888F" w14:textId="77012650" w:rsidR="00560F07" w:rsidRDefault="005333EE" w:rsidP="00940D30">
      <w:pPr>
        <w:numPr>
          <w:ilvl w:val="1"/>
          <w:numId w:val="35"/>
        </w:numPr>
        <w:ind w:left="1134" w:hanging="283"/>
        <w:jc w:val="both"/>
        <w:rPr>
          <w:color w:val="000000"/>
        </w:rPr>
      </w:pPr>
      <w:r>
        <w:rPr>
          <w:color w:val="000000"/>
        </w:rPr>
        <w:t>gør det muligt at overføre kapacitetsforpligtelser mellem berettigede kapacitetsudbydere.</w:t>
      </w:r>
    </w:p>
    <w:p w14:paraId="43516A84" w14:textId="77777777" w:rsidR="00560F07" w:rsidRDefault="00560F07" w:rsidP="00560F07">
      <w:pPr>
        <w:ind w:left="567"/>
        <w:jc w:val="both"/>
        <w:rPr>
          <w:color w:val="000000"/>
        </w:rPr>
      </w:pPr>
    </w:p>
    <w:p w14:paraId="6C9EB3AE" w14:textId="790F34BB" w:rsidR="00E308B3" w:rsidRPr="00560F07" w:rsidRDefault="00560F07" w:rsidP="00560F07">
      <w:pPr>
        <w:ind w:left="567"/>
        <w:jc w:val="both"/>
        <w:rPr>
          <w:color w:val="000000"/>
        </w:rPr>
      </w:pPr>
      <w:r>
        <w:rPr>
          <w:color w:val="000000"/>
        </w:rPr>
        <w:t xml:space="preserve"> </w:t>
      </w:r>
      <w:r>
        <w:tab/>
      </w:r>
      <w:r>
        <w:rPr>
          <w:color w:val="000000"/>
        </w:rPr>
        <w:t>…………………………………………………………………………………...</w:t>
      </w:r>
    </w:p>
    <w:p w14:paraId="2E032C77" w14:textId="77777777" w:rsidR="005333EE" w:rsidRPr="00A32872" w:rsidRDefault="005333EE" w:rsidP="00A32872">
      <w:pPr>
        <w:ind w:left="567" w:hanging="567"/>
        <w:jc w:val="both"/>
        <w:rPr>
          <w:color w:val="000000"/>
        </w:rPr>
      </w:pPr>
    </w:p>
    <w:p w14:paraId="4ACD8CF3" w14:textId="4F00D815" w:rsidR="005333EE" w:rsidRPr="00A32872" w:rsidRDefault="00AA3AE2" w:rsidP="00207312">
      <w:pPr>
        <w:numPr>
          <w:ilvl w:val="0"/>
          <w:numId w:val="4"/>
        </w:numPr>
        <w:spacing w:after="240"/>
        <w:ind w:left="567" w:hanging="567"/>
        <w:jc w:val="both"/>
        <w:rPr>
          <w:color w:val="000000"/>
        </w:rPr>
      </w:pPr>
      <w:r>
        <w:rPr>
          <w:color w:val="000000"/>
        </w:rPr>
        <w:t xml:space="preserve">Med henblik på at bekræfte overholdelsen af punkt 366 i CEEAG skal det påvises, at foranstaltningen ikke vil: </w:t>
      </w:r>
    </w:p>
    <w:p w14:paraId="28CFD8B5" w14:textId="77777777" w:rsidR="00727DA8" w:rsidRDefault="005333EE" w:rsidP="00940D30">
      <w:pPr>
        <w:numPr>
          <w:ilvl w:val="0"/>
          <w:numId w:val="38"/>
        </w:numPr>
        <w:spacing w:after="240"/>
        <w:jc w:val="both"/>
        <w:rPr>
          <w:color w:val="000000"/>
        </w:rPr>
      </w:pPr>
      <w:r>
        <w:rPr>
          <w:color w:val="000000"/>
        </w:rPr>
        <w:t>skabe urimelige markedsfordrejninger eller begrænse handelen på tværs af zoner</w:t>
      </w:r>
    </w:p>
    <w:p w14:paraId="13C124A6" w14:textId="4B7D8122" w:rsidR="00E308B3" w:rsidRPr="00727DA8" w:rsidRDefault="00E308B3" w:rsidP="00727DA8">
      <w:pPr>
        <w:spacing w:after="240"/>
        <w:ind w:left="1134"/>
        <w:jc w:val="both"/>
        <w:rPr>
          <w:color w:val="000000"/>
        </w:rPr>
      </w:pPr>
      <w:r>
        <w:rPr>
          <w:color w:val="000000"/>
        </w:rPr>
        <w:t>…………………………………………………………………………………...</w:t>
      </w:r>
    </w:p>
    <w:p w14:paraId="69F16327" w14:textId="77777777" w:rsidR="00727DA8" w:rsidRDefault="005333EE" w:rsidP="00940D30">
      <w:pPr>
        <w:numPr>
          <w:ilvl w:val="0"/>
          <w:numId w:val="38"/>
        </w:numPr>
        <w:spacing w:after="240"/>
        <w:jc w:val="both"/>
        <w:rPr>
          <w:color w:val="000000"/>
        </w:rPr>
      </w:pPr>
      <w:r>
        <w:rPr>
          <w:color w:val="000000"/>
        </w:rPr>
        <w:t>mindske incitamenterne til at investere i sammenkoblingskapacitet – f.eks. ved at reducere flaskehalsindtægterne for eksisterende eller nye samkøringslinjer</w:t>
      </w:r>
    </w:p>
    <w:p w14:paraId="3EA1C7F6" w14:textId="5DA3A4AD" w:rsidR="00E308B3" w:rsidRPr="00727DA8" w:rsidRDefault="00E308B3" w:rsidP="00727DA8">
      <w:pPr>
        <w:spacing w:after="240"/>
        <w:ind w:left="1134"/>
        <w:jc w:val="both"/>
        <w:rPr>
          <w:color w:val="000000"/>
        </w:rPr>
      </w:pPr>
      <w:r>
        <w:rPr>
          <w:color w:val="000000"/>
        </w:rPr>
        <w:t>…………………………………………………………………………………...</w:t>
      </w:r>
    </w:p>
    <w:p w14:paraId="23D7B171" w14:textId="77777777" w:rsidR="005333EE" w:rsidRDefault="005333EE" w:rsidP="00940D30">
      <w:pPr>
        <w:numPr>
          <w:ilvl w:val="0"/>
          <w:numId w:val="38"/>
        </w:numPr>
        <w:spacing w:after="240"/>
        <w:jc w:val="both"/>
        <w:rPr>
          <w:color w:val="000000"/>
        </w:rPr>
      </w:pPr>
      <w:r>
        <w:rPr>
          <w:color w:val="000000"/>
        </w:rPr>
        <w:t>undergrave markedskoblingen, herunder intraday- og balancemarkeder</w:t>
      </w:r>
    </w:p>
    <w:p w14:paraId="3BC8C6C5" w14:textId="2718EE32" w:rsidR="00E308B3" w:rsidRPr="00A32872" w:rsidRDefault="00E308B3" w:rsidP="00217A1A">
      <w:pPr>
        <w:spacing w:after="240"/>
        <w:ind w:left="414" w:firstLine="720"/>
        <w:jc w:val="both"/>
        <w:rPr>
          <w:color w:val="000000"/>
        </w:rPr>
      </w:pPr>
      <w:r>
        <w:rPr>
          <w:color w:val="000000"/>
        </w:rPr>
        <w:t>…………………………………………………………………………………..</w:t>
      </w:r>
    </w:p>
    <w:p w14:paraId="24BF040F" w14:textId="77777777" w:rsidR="005333EE" w:rsidRDefault="005333EE" w:rsidP="00940D30">
      <w:pPr>
        <w:numPr>
          <w:ilvl w:val="0"/>
          <w:numId w:val="38"/>
        </w:numPr>
        <w:spacing w:after="240"/>
        <w:jc w:val="both"/>
        <w:rPr>
          <w:color w:val="000000"/>
        </w:rPr>
      </w:pPr>
      <w:r>
        <w:rPr>
          <w:color w:val="000000"/>
        </w:rPr>
        <w:t>undergrave de investeringsbeslutninger om kapacitet, der gik forud for foranstaltningen.</w:t>
      </w:r>
      <w:r>
        <w:tab/>
      </w:r>
    </w:p>
    <w:p w14:paraId="2E565C79" w14:textId="750C581D" w:rsidR="00E308B3" w:rsidRPr="00A32872" w:rsidRDefault="00E308B3" w:rsidP="00217A1A">
      <w:pPr>
        <w:spacing w:after="240"/>
        <w:ind w:left="414" w:firstLine="720"/>
        <w:jc w:val="both"/>
        <w:rPr>
          <w:color w:val="000000"/>
        </w:rPr>
      </w:pPr>
      <w:r>
        <w:rPr>
          <w:color w:val="000000"/>
        </w:rPr>
        <w:t>…………………………………………………………………………………..</w:t>
      </w:r>
    </w:p>
    <w:p w14:paraId="72B90E0C" w14:textId="53E3A462" w:rsidR="00E308B3" w:rsidRPr="00E308B3" w:rsidRDefault="00AB4926" w:rsidP="00207312">
      <w:pPr>
        <w:numPr>
          <w:ilvl w:val="0"/>
          <w:numId w:val="4"/>
        </w:numPr>
        <w:spacing w:after="240"/>
        <w:ind w:left="567" w:hanging="567"/>
        <w:jc w:val="both"/>
        <w:rPr>
          <w:color w:val="000000"/>
        </w:rPr>
      </w:pPr>
      <w:r>
        <w:rPr>
          <w:color w:val="000000"/>
        </w:rPr>
        <w:t xml:space="preserve">For at bekræfte, at punkt 367 i CEEAG overholdes, skal det påvises, at omkostningerne ved den anmeldte foranstaltning vil blive afholdt af de markedsdeltagere, der bidrager til behovet for foranstaltningen/for foranstaltningerne. </w:t>
      </w:r>
      <w:r>
        <w:t>Hvis en sådan omkostningsfordeling ikke anses for påkrævet, skal det forklares, hvorfor dette er tilfældet, og der skal vedlægges dokumentation, herunder den, der blev indsamlet under den offentlige høring.</w:t>
      </w:r>
      <w:r>
        <w:rPr>
          <w:color w:val="000000"/>
        </w:rPr>
        <w:t xml:space="preserve"> </w:t>
      </w:r>
      <w:r>
        <w:rPr>
          <w:rStyle w:val="FootnoteReference"/>
          <w:color w:val="000000"/>
        </w:rPr>
        <w:footnoteReference w:id="9"/>
      </w:r>
    </w:p>
    <w:p w14:paraId="4F93E689" w14:textId="77777777" w:rsidR="00E308B3" w:rsidRDefault="00E308B3" w:rsidP="00E308B3">
      <w:pPr>
        <w:ind w:left="709"/>
        <w:jc w:val="both"/>
        <w:rPr>
          <w:color w:val="000000"/>
        </w:rPr>
      </w:pPr>
    </w:p>
    <w:p w14:paraId="7EC4C92B" w14:textId="30B0C7EA" w:rsidR="00E308B3" w:rsidRPr="00AB1DB6" w:rsidRDefault="00E308B3" w:rsidP="00757930">
      <w:pPr>
        <w:ind w:left="709"/>
        <w:jc w:val="both"/>
        <w:rPr>
          <w:color w:val="000000"/>
        </w:rPr>
      </w:pPr>
      <w:r>
        <w:rPr>
          <w:color w:val="000000"/>
        </w:rPr>
        <w:t>…………………………………………………………………………………………...</w:t>
      </w:r>
    </w:p>
    <w:p w14:paraId="0D3E49C5" w14:textId="77777777" w:rsidR="00F83660" w:rsidRPr="0096537D" w:rsidRDefault="00F83660" w:rsidP="00757930">
      <w:pPr>
        <w:rPr>
          <w:i/>
          <w:color w:val="000000"/>
        </w:rPr>
      </w:pPr>
    </w:p>
    <w:p w14:paraId="693D9200" w14:textId="536BDC11" w:rsidR="004B2EF3" w:rsidRPr="00564B1B" w:rsidRDefault="006D3167" w:rsidP="00207312">
      <w:pPr>
        <w:numPr>
          <w:ilvl w:val="0"/>
          <w:numId w:val="4"/>
        </w:numPr>
        <w:spacing w:after="240"/>
        <w:ind w:left="567" w:hanging="567"/>
        <w:jc w:val="both"/>
      </w:pPr>
      <w:r>
        <w:t>I overensstemmelse med punkt 72 i CEEAG skal det godtgøres, at den anmeldte foranstaltning overholder kriterierne for miljømæssigt bæredygtige økonomiske aktiviteter i artikel 3 i Europa-Parlamentets og Rådets forordning (EU) 2020/852</w:t>
      </w:r>
      <w:r>
        <w:rPr>
          <w:rStyle w:val="FootnoteReference"/>
          <w:lang w:eastAsia="en-GB"/>
        </w:rPr>
        <w:footnoteReference w:id="10"/>
      </w:r>
      <w:r>
        <w:t>, herunder princippet om "ikke at gøre væsentlig skade"</w:t>
      </w:r>
      <w:r>
        <w:rPr>
          <w:rStyle w:val="FootnoteReference"/>
          <w:shd w:val="clear" w:color="auto" w:fill="FFFFFF"/>
        </w:rPr>
        <w:footnoteReference w:id="11"/>
      </w:r>
      <w:r>
        <w:t>, eller er i overensstemmelse med andre sammenlignelige metoder.</w:t>
      </w:r>
    </w:p>
    <w:p w14:paraId="6DA71EEE" w14:textId="77777777" w:rsidR="004B2EF3" w:rsidRPr="00564B1B" w:rsidRDefault="004B2EF3" w:rsidP="004B2EF3">
      <w:pPr>
        <w:tabs>
          <w:tab w:val="left" w:leader="dot" w:pos="9072"/>
        </w:tabs>
        <w:spacing w:before="120" w:after="120"/>
        <w:ind w:left="567"/>
        <w:jc w:val="both"/>
      </w:pPr>
      <w:r>
        <w:tab/>
      </w:r>
    </w:p>
    <w:p w14:paraId="7EE65B5F" w14:textId="4B464544" w:rsidR="00B223A4" w:rsidRDefault="0070594E" w:rsidP="00207312">
      <w:pPr>
        <w:numPr>
          <w:ilvl w:val="0"/>
          <w:numId w:val="4"/>
        </w:numPr>
        <w:spacing w:after="240"/>
        <w:ind w:left="567" w:hanging="567"/>
        <w:jc w:val="both"/>
      </w:pPr>
      <w:r>
        <w:t>I overensstemmelse med punkt 75 i CEEAG skal det i tilfælde, hvor medlemsstaten vælger at gennemføre en udbudsprocedure, angives, om den anmeldte foranstaltning indeholder elementer, der letter deltagelsen af SMV'er eller VE-fællesskaber. Angiv i bekræftende fald oplysninger om disse elementer, og begrund, hvordan de positive virkninger af at sikre deltagelse og accept af SMV'er i den eller de anmeldte foranstaltninger opvejer de mulige konkurrenceforvridende virkninger.</w:t>
      </w:r>
    </w:p>
    <w:p w14:paraId="02E6A627" w14:textId="4B5682B8" w:rsidR="004901DA" w:rsidRPr="00AC1973" w:rsidRDefault="004901DA" w:rsidP="00757930">
      <w:pPr>
        <w:pStyle w:val="ListParagraph"/>
        <w:spacing w:before="120" w:after="120"/>
        <w:ind w:left="567"/>
        <w:contextualSpacing w:val="0"/>
        <w:jc w:val="both"/>
      </w:pPr>
      <w:r>
        <w:t xml:space="preserve"> </w:t>
      </w:r>
      <w:r>
        <w:br/>
        <w:t>…………………………………………………………………………………………….</w:t>
      </w:r>
    </w:p>
    <w:p w14:paraId="060F166E" w14:textId="76EDD169" w:rsidR="00363A2F" w:rsidRDefault="00363A2F" w:rsidP="00207312">
      <w:pPr>
        <w:numPr>
          <w:ilvl w:val="0"/>
          <w:numId w:val="4"/>
        </w:numPr>
        <w:spacing w:after="240"/>
        <w:ind w:left="567" w:hanging="567"/>
        <w:jc w:val="both"/>
      </w:pPr>
      <w:r>
        <w:t>Med henblik på at påvise overholdelsen af punkt 368 og 369 i CEEAG:</w:t>
      </w:r>
    </w:p>
    <w:p w14:paraId="0D229619" w14:textId="5FC55C14" w:rsidR="000B0545" w:rsidRDefault="00C3175A" w:rsidP="00940D30">
      <w:pPr>
        <w:pStyle w:val="ListParagraph"/>
        <w:numPr>
          <w:ilvl w:val="0"/>
          <w:numId w:val="39"/>
        </w:numPr>
        <w:spacing w:before="120" w:after="120"/>
        <w:contextualSpacing w:val="0"/>
        <w:jc w:val="both"/>
      </w:pPr>
      <w:r>
        <w:t>Hvis den anmeldte foranstaltning tilskynder til nye investeringer i de mest forurenende fossile brændstoffer, skal det forklares, om foranstaltningen, herunder netoverbelastningsforanstaltninger og afbrydelighedsordninger, overholder den emissionstærskel, der gælder for kapacitetsmekanismer i artikel 22 i forordning (EU) 2019/943.</w:t>
      </w:r>
    </w:p>
    <w:p w14:paraId="57AC9BB2" w14:textId="77E4A24F" w:rsidR="004901DA" w:rsidRPr="00363A2F" w:rsidRDefault="004901DA" w:rsidP="00217A1A">
      <w:pPr>
        <w:pStyle w:val="ListParagraph"/>
        <w:spacing w:before="120" w:after="120"/>
        <w:ind w:firstLine="414"/>
        <w:contextualSpacing w:val="0"/>
        <w:jc w:val="both"/>
      </w:pPr>
      <w:r>
        <w:t>…………………………………………………………………………………...</w:t>
      </w:r>
    </w:p>
    <w:p w14:paraId="220F0FE1" w14:textId="316A60D4" w:rsidR="00BE5CBB" w:rsidRDefault="006538C6" w:rsidP="00940D30">
      <w:pPr>
        <w:pStyle w:val="ListParagraph"/>
        <w:numPr>
          <w:ilvl w:val="0"/>
          <w:numId w:val="39"/>
        </w:numPr>
      </w:pPr>
      <w:r>
        <w:t>Forklar, såfremt den anmeldte foranstaltning tilskynder til nye investeringer i energiproduktion baseret på naturgas, hvordan foranstaltningen vil sikre, at den bidrager til at nå Unionens klimamål for 2030 og målet om klimaneutralitet i 2050. Forklar navnlig, hvordan en fastlåsning af det gasfyrede energiproduktionsudstyr eller gasfyrede produktionsudstyr undgås.</w:t>
      </w:r>
    </w:p>
    <w:p w14:paraId="69839542" w14:textId="77777777" w:rsidR="00217A1A" w:rsidRDefault="00217A1A" w:rsidP="00217A1A">
      <w:pPr>
        <w:pStyle w:val="ListParagraph"/>
        <w:ind w:left="414" w:firstLine="720"/>
      </w:pPr>
    </w:p>
    <w:p w14:paraId="6565254D" w14:textId="64E61369" w:rsidR="004901DA" w:rsidRDefault="004901DA" w:rsidP="00217A1A">
      <w:pPr>
        <w:pStyle w:val="ListParagraph"/>
        <w:ind w:left="414" w:firstLine="720"/>
      </w:pPr>
      <w:r>
        <w:t>…………………………………………………………………………………...</w:t>
      </w:r>
    </w:p>
    <w:p w14:paraId="1BBB058D" w14:textId="77777777" w:rsidR="00B223A4" w:rsidRDefault="00B223A4" w:rsidP="00A32872">
      <w:pPr>
        <w:pStyle w:val="ListParagraph"/>
        <w:ind w:left="1418"/>
      </w:pPr>
    </w:p>
    <w:p w14:paraId="6D44EA64" w14:textId="7E07C59F" w:rsidR="00B223A4" w:rsidRPr="006538C6" w:rsidRDefault="00B223A4" w:rsidP="00207312">
      <w:pPr>
        <w:numPr>
          <w:ilvl w:val="0"/>
          <w:numId w:val="4"/>
        </w:numPr>
        <w:spacing w:after="240"/>
        <w:ind w:left="567" w:hanging="567"/>
        <w:jc w:val="both"/>
        <w:rPr>
          <w:szCs w:val="24"/>
        </w:rPr>
      </w:pPr>
      <w:r>
        <w:rPr>
          <w:color w:val="333333"/>
          <w:shd w:val="clear" w:color="auto" w:fill="FFFFFF"/>
        </w:rPr>
        <w:t>For individuelle støtteforanstaltninger eller ordninger, der kun er til fordel for et særligt begrænset antal støttemodtagere eller en eksisterende støttemodtager, skal det desuden påvises, at den foreslåede støtteforanstaltning ikke vil føre til øget markedsstyrke (punkt 370 i CEEAG).</w:t>
      </w:r>
    </w:p>
    <w:p w14:paraId="642C246D" w14:textId="077B1239" w:rsidR="004B2EF3" w:rsidRDefault="004B2EF3" w:rsidP="004B2EF3">
      <w:pPr>
        <w:tabs>
          <w:tab w:val="left" w:leader="dot" w:pos="9072"/>
        </w:tabs>
        <w:spacing w:before="120" w:after="120"/>
        <w:ind w:left="567"/>
        <w:jc w:val="both"/>
      </w:pPr>
      <w:r>
        <w:lastRenderedPageBreak/>
        <w:tab/>
      </w:r>
    </w:p>
    <w:p w14:paraId="405B356B" w14:textId="77777777" w:rsidR="00BE5CBB" w:rsidRDefault="00BE5CBB" w:rsidP="004B2EF3">
      <w:pPr>
        <w:tabs>
          <w:tab w:val="left" w:leader="dot" w:pos="9072"/>
        </w:tabs>
        <w:spacing w:before="120" w:after="120"/>
        <w:ind w:left="567"/>
        <w:jc w:val="both"/>
      </w:pPr>
    </w:p>
    <w:p w14:paraId="04559139" w14:textId="28DBFA74" w:rsidR="00917556" w:rsidRDefault="00917556" w:rsidP="005C6138">
      <w:pPr>
        <w:tabs>
          <w:tab w:val="left" w:leader="dot" w:pos="9072"/>
        </w:tabs>
        <w:spacing w:before="120" w:after="120"/>
        <w:ind w:left="567"/>
        <w:jc w:val="both"/>
      </w:pPr>
    </w:p>
    <w:p w14:paraId="10688268" w14:textId="77777777" w:rsidR="00C33721" w:rsidRPr="0096537D" w:rsidRDefault="00C33721" w:rsidP="00C33721">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96537D" w14:paraId="2E5836DE" w14:textId="77777777" w:rsidTr="00757930">
        <w:trPr>
          <w:trHeight w:val="479"/>
        </w:trPr>
        <w:tc>
          <w:tcPr>
            <w:tcW w:w="9322" w:type="dxa"/>
            <w:shd w:val="pct15" w:color="auto" w:fill="auto"/>
          </w:tcPr>
          <w:p w14:paraId="145F7D57" w14:textId="0919B1F8" w:rsidR="00C33721" w:rsidRPr="00757930" w:rsidRDefault="00EB1F3B" w:rsidP="00757930">
            <w:pPr>
              <w:ind w:left="360"/>
              <w:jc w:val="center"/>
              <w:rPr>
                <w:rFonts w:eastAsia="Times New Roman"/>
                <w:b/>
                <w:iCs/>
                <w:color w:val="000000"/>
                <w:sz w:val="28"/>
                <w:szCs w:val="28"/>
              </w:rPr>
            </w:pPr>
            <w:r>
              <w:rPr>
                <w:b/>
                <w:color w:val="000000"/>
                <w:sz w:val="32"/>
              </w:rPr>
              <w:t>Afsnit C: Evaluering</w:t>
            </w:r>
          </w:p>
        </w:tc>
      </w:tr>
    </w:tbl>
    <w:p w14:paraId="78AC9B95" w14:textId="1FB76E7E" w:rsidR="00C33721" w:rsidRPr="0051324D" w:rsidRDefault="00C33721" w:rsidP="005C6138">
      <w:pPr>
        <w:tabs>
          <w:tab w:val="left" w:leader="dot" w:pos="9072"/>
        </w:tabs>
        <w:spacing w:before="120" w:after="120"/>
        <w:ind w:left="567"/>
        <w:jc w:val="both"/>
      </w:pPr>
      <w:r>
        <w:rPr>
          <w:i/>
        </w:rPr>
        <w:t>Med henblik på angivelsen af oplysningerne i dette afsnit henvises til punkt 76, litra a), og kapitel 5, punkt 455-463, i CEEAG.</w:t>
      </w:r>
    </w:p>
    <w:p w14:paraId="319011B2" w14:textId="6538C74F" w:rsidR="002F3E3B" w:rsidRDefault="002F3E3B" w:rsidP="00207312">
      <w:pPr>
        <w:numPr>
          <w:ilvl w:val="0"/>
          <w:numId w:val="4"/>
        </w:numPr>
        <w:spacing w:after="240"/>
        <w:ind w:left="567" w:hanging="567"/>
        <w:jc w:val="both"/>
      </w:pPr>
      <w:r>
        <w:t>Hvis den eller de anmeldte foranstaltninger overskrider budget- eller udgiftstærsklerne i punkt 456 i CEEAG, skal det enten forklares, hvorfor undtagelsen i punkt 457 i CEEAG efter jeres mening bør finde anvendelse, eller der skal vedlægges et bilag til denne anmeldelsesformular, som indeholder et udkast til evalueringsplan, der dækker det anvendelsesområde, der er nævnt i punkt 458 i CEEAG</w:t>
      </w:r>
      <w:r>
        <w:rPr>
          <w:vertAlign w:val="superscript"/>
          <w:lang w:eastAsia="en-GB"/>
        </w:rPr>
        <w:footnoteReference w:id="12"/>
      </w:r>
      <w:r>
        <w:t>.</w:t>
      </w:r>
    </w:p>
    <w:p w14:paraId="639F4623" w14:textId="77777777" w:rsidR="002F3E3B" w:rsidRDefault="002F3E3B" w:rsidP="002F3E3B">
      <w:pPr>
        <w:pStyle w:val="ListParagraph"/>
        <w:spacing w:before="120" w:after="120"/>
        <w:ind w:left="567"/>
        <w:jc w:val="both"/>
        <w:rPr>
          <w:lang w:eastAsia="en-GB"/>
        </w:rPr>
      </w:pPr>
    </w:p>
    <w:p w14:paraId="4052094C" w14:textId="1AC466C8" w:rsidR="002F3E3B" w:rsidRDefault="002F3E3B" w:rsidP="002F3E3B">
      <w:pPr>
        <w:pStyle w:val="ListParagraph"/>
        <w:spacing w:before="120" w:after="120"/>
        <w:ind w:left="567"/>
        <w:jc w:val="both"/>
      </w:pPr>
      <w:r>
        <w:t>…………………………………………………………………………………………….</w:t>
      </w:r>
    </w:p>
    <w:p w14:paraId="76FD2797" w14:textId="77777777" w:rsidR="002F3E3B" w:rsidRPr="002F3E3B" w:rsidRDefault="002F3E3B" w:rsidP="00757930">
      <w:pPr>
        <w:pStyle w:val="ListParagraph"/>
        <w:spacing w:before="120" w:after="120"/>
        <w:ind w:left="567"/>
        <w:jc w:val="both"/>
        <w:rPr>
          <w:lang w:eastAsia="en-GB"/>
        </w:rPr>
      </w:pPr>
    </w:p>
    <w:p w14:paraId="68CBD52D" w14:textId="1908A948" w:rsidR="002F3E3B" w:rsidRDefault="002F3E3B" w:rsidP="00207312">
      <w:pPr>
        <w:numPr>
          <w:ilvl w:val="0"/>
          <w:numId w:val="4"/>
        </w:numPr>
        <w:spacing w:after="240"/>
        <w:ind w:left="567" w:hanging="567"/>
        <w:jc w:val="both"/>
      </w:pPr>
      <w:r>
        <w:t>Hvis der fremlægges et udkast til evalueringsplan, skal der:</w:t>
      </w:r>
    </w:p>
    <w:p w14:paraId="2E38E9A8" w14:textId="77777777" w:rsidR="00237F5F" w:rsidRDefault="00237F5F" w:rsidP="00940D30">
      <w:pPr>
        <w:numPr>
          <w:ilvl w:val="2"/>
          <w:numId w:val="28"/>
        </w:numPr>
        <w:ind w:left="1134" w:hanging="283"/>
      </w:pPr>
      <w:r>
        <w:t>nedenfor gives et resumé af udkastet til evalueringsplanen i bilaget</w:t>
      </w:r>
    </w:p>
    <w:p w14:paraId="6D0BBA0C" w14:textId="1D077366" w:rsidR="009F5BAE" w:rsidRDefault="009F5BAE" w:rsidP="00217A1A">
      <w:pPr>
        <w:ind w:left="414" w:firstLine="720"/>
      </w:pPr>
      <w:r>
        <w:t>…………………………………………………………………………………...</w:t>
      </w:r>
    </w:p>
    <w:p w14:paraId="119A862E" w14:textId="77777777" w:rsidR="00237F5F" w:rsidRDefault="00237F5F" w:rsidP="00757930">
      <w:pPr>
        <w:ind w:left="2367"/>
        <w:rPr>
          <w:lang w:eastAsia="en-GB"/>
        </w:rPr>
      </w:pPr>
    </w:p>
    <w:p w14:paraId="420DA05D" w14:textId="77777777" w:rsidR="00237F5F" w:rsidRDefault="00237F5F" w:rsidP="00940D30">
      <w:pPr>
        <w:numPr>
          <w:ilvl w:val="2"/>
          <w:numId w:val="28"/>
        </w:numPr>
        <w:ind w:left="1134" w:hanging="283"/>
      </w:pPr>
      <w:r>
        <w:t>gives en bekræftelse af, at punkt 460 i CEEAG vil blive overholdt.</w:t>
      </w:r>
    </w:p>
    <w:p w14:paraId="2174214A" w14:textId="1D2FA691" w:rsidR="00237F5F" w:rsidRDefault="009F5BAE" w:rsidP="00217A1A">
      <w:pPr>
        <w:ind w:left="414" w:firstLine="720"/>
      </w:pPr>
      <w:r>
        <w:t>…………………………………………………………………………………...</w:t>
      </w:r>
    </w:p>
    <w:p w14:paraId="5BFA03E4" w14:textId="77777777" w:rsidR="00237F5F" w:rsidRPr="00237F5F" w:rsidRDefault="00237F5F" w:rsidP="00757930">
      <w:pPr>
        <w:ind w:left="2367"/>
        <w:rPr>
          <w:lang w:eastAsia="en-GB"/>
        </w:rPr>
      </w:pPr>
    </w:p>
    <w:p w14:paraId="663B3F20" w14:textId="77777777" w:rsidR="00237F5F" w:rsidRDefault="00237F5F" w:rsidP="00940D30">
      <w:pPr>
        <w:numPr>
          <w:ilvl w:val="2"/>
          <w:numId w:val="28"/>
        </w:numPr>
        <w:ind w:left="1134" w:hanging="283"/>
      </w:pPr>
      <w:r>
        <w:t>angives den dato og det internetlink, hvor evalueringsplanen offentliggøres.</w:t>
      </w:r>
    </w:p>
    <w:p w14:paraId="02EF96D4" w14:textId="79AFB600" w:rsidR="000166FC" w:rsidRDefault="000166FC" w:rsidP="00217A1A">
      <w:pPr>
        <w:ind w:left="1134"/>
      </w:pPr>
      <w:r>
        <w:t>…………………………………………………………………………………...</w:t>
      </w:r>
    </w:p>
    <w:p w14:paraId="54A1096C" w14:textId="77777777" w:rsidR="000166FC" w:rsidRDefault="000166FC" w:rsidP="000166FC">
      <w:pPr>
        <w:ind w:left="1418"/>
        <w:rPr>
          <w:lang w:eastAsia="en-GB"/>
        </w:rPr>
      </w:pPr>
    </w:p>
    <w:p w14:paraId="71ADC234" w14:textId="7C3CBF62" w:rsidR="009F5BAE" w:rsidRDefault="00576C43" w:rsidP="00207312">
      <w:pPr>
        <w:numPr>
          <w:ilvl w:val="0"/>
          <w:numId w:val="4"/>
        </w:numPr>
        <w:spacing w:after="240"/>
        <w:ind w:left="567" w:hanging="567"/>
        <w:jc w:val="both"/>
      </w:pPr>
      <w:r>
        <w:t xml:space="preserve">For at påvise overholdelsen af punkt 459, litra b), i CEEAG, såfremt støtteordningen i øjeblikket ikke er genstand for en efterfølgende evaluering, og dens varighed overstiger tre år, skal det bekræftes, at et udkast til evalueringsplan vil blive fremsendt inden for 30 arbejdsdage efter en betydelig ændring af ordningens budget til over 150 mio. EUR i et givet år eller 750 mio. EUR i løbet af ordningens samlede løbetid. </w:t>
      </w:r>
    </w:p>
    <w:p w14:paraId="4CF7C107" w14:textId="77777777" w:rsidR="000166FC" w:rsidRDefault="000166FC" w:rsidP="00757930">
      <w:pPr>
        <w:ind w:left="426"/>
        <w:jc w:val="both"/>
      </w:pPr>
    </w:p>
    <w:p w14:paraId="2E3C1BC9" w14:textId="66635505" w:rsidR="000166FC" w:rsidRDefault="000166FC" w:rsidP="000166FC">
      <w:pPr>
        <w:ind w:left="426"/>
        <w:jc w:val="both"/>
      </w:pPr>
      <w:r>
        <w:t>………………………………………………………………………………………………</w:t>
      </w:r>
    </w:p>
    <w:p w14:paraId="441AE4CC" w14:textId="77777777" w:rsidR="000166FC" w:rsidRDefault="000166FC" w:rsidP="00757930">
      <w:pPr>
        <w:ind w:left="426"/>
        <w:jc w:val="both"/>
      </w:pPr>
    </w:p>
    <w:p w14:paraId="0A79D2DB" w14:textId="77777777" w:rsidR="0012481A" w:rsidRDefault="00576C43" w:rsidP="00207312">
      <w:pPr>
        <w:numPr>
          <w:ilvl w:val="0"/>
          <w:numId w:val="4"/>
        </w:numPr>
        <w:spacing w:after="240"/>
        <w:ind w:left="567" w:hanging="567"/>
        <w:jc w:val="both"/>
      </w:pPr>
      <w:r>
        <w:t>For at påvise overholdelsen af punkt 459, litra c), i CEEAG, skal der, såfremt støtteordningen i øjeblikket ikke er genstand for en efterfølgende evaluering, nedenfor gives et tilsagn om, at medlemsstaten vil fremsende et udkast til evalueringsplan inden for 30 arbejdsdage efter registrering i de officielle regnskaber af udgifter på over 150 mio. EUR i det foregående år.</w:t>
      </w:r>
    </w:p>
    <w:p w14:paraId="14C2ED67" w14:textId="77777777" w:rsidR="0012481A" w:rsidRDefault="0012481A" w:rsidP="0012481A">
      <w:pPr>
        <w:ind w:left="426"/>
        <w:jc w:val="both"/>
      </w:pPr>
    </w:p>
    <w:p w14:paraId="6500F284" w14:textId="051EBFB0" w:rsidR="0012481A" w:rsidRDefault="0012481A" w:rsidP="00757930">
      <w:pPr>
        <w:ind w:left="426"/>
        <w:jc w:val="both"/>
      </w:pPr>
      <w:r>
        <w:lastRenderedPageBreak/>
        <w:t>………………………………………………………………………………………………</w:t>
      </w:r>
    </w:p>
    <w:p w14:paraId="1FB3C3C3" w14:textId="41871BA5" w:rsidR="0012481A" w:rsidRPr="0051324D" w:rsidRDefault="00576C43" w:rsidP="00757930">
      <w:pPr>
        <w:ind w:left="426"/>
        <w:jc w:val="both"/>
      </w:pPr>
      <w:r>
        <w:t xml:space="preserve"> </w:t>
      </w:r>
    </w:p>
    <w:p w14:paraId="33814D4B" w14:textId="4248137F" w:rsidR="0012481A" w:rsidRDefault="00F65B17" w:rsidP="00207312">
      <w:pPr>
        <w:numPr>
          <w:ilvl w:val="0"/>
          <w:numId w:val="4"/>
        </w:numPr>
        <w:spacing w:after="240"/>
        <w:ind w:left="567" w:hanging="567"/>
        <w:jc w:val="both"/>
      </w:pPr>
      <w:r>
        <w:t>I overensstemmelse med bestemmelserne i punkt 461 i CEEAG:</w:t>
      </w:r>
    </w:p>
    <w:p w14:paraId="516B7EF0" w14:textId="6220BF62" w:rsidR="0012481A" w:rsidRDefault="00277BC0" w:rsidP="00940D30">
      <w:pPr>
        <w:numPr>
          <w:ilvl w:val="0"/>
          <w:numId w:val="40"/>
        </w:numPr>
        <w:jc w:val="both"/>
      </w:pPr>
      <w:r>
        <w:t>Angiv, om den uafhængige ekspert allerede er blevet udvalgt eller vil blive udvalgt senere.</w:t>
      </w:r>
    </w:p>
    <w:p w14:paraId="6B14F116" w14:textId="77777777" w:rsidR="0012481A" w:rsidRDefault="0012481A" w:rsidP="00757930">
      <w:pPr>
        <w:ind w:left="1418"/>
        <w:jc w:val="both"/>
      </w:pPr>
    </w:p>
    <w:p w14:paraId="0333302B" w14:textId="7E19C8D0" w:rsidR="0012481A" w:rsidRDefault="0012481A" w:rsidP="00E760AF">
      <w:pPr>
        <w:ind w:left="414" w:firstLine="720"/>
        <w:jc w:val="both"/>
      </w:pPr>
      <w:r>
        <w:t>…………………………………………………………………………………........</w:t>
      </w:r>
    </w:p>
    <w:p w14:paraId="04208702" w14:textId="77777777" w:rsidR="0012481A" w:rsidRPr="0012481A" w:rsidRDefault="0012481A" w:rsidP="00757930">
      <w:pPr>
        <w:jc w:val="both"/>
      </w:pPr>
    </w:p>
    <w:p w14:paraId="093BCAA7" w14:textId="4743F928" w:rsidR="0012481A" w:rsidRPr="0012481A" w:rsidRDefault="00277BC0" w:rsidP="00940D30">
      <w:pPr>
        <w:numPr>
          <w:ilvl w:val="0"/>
          <w:numId w:val="40"/>
        </w:numPr>
        <w:jc w:val="both"/>
      </w:pPr>
      <w:r>
        <w:t>Angiv oplysninger om proceduren for udvælgelse af eksperten.</w:t>
      </w:r>
    </w:p>
    <w:p w14:paraId="366D520D" w14:textId="77777777" w:rsidR="0012481A" w:rsidRDefault="0012481A" w:rsidP="00757930">
      <w:pPr>
        <w:ind w:left="1418"/>
        <w:jc w:val="both"/>
      </w:pPr>
    </w:p>
    <w:p w14:paraId="4999CB35" w14:textId="2F754DAF" w:rsidR="0012481A" w:rsidRDefault="0012481A" w:rsidP="00E760AF">
      <w:pPr>
        <w:ind w:left="414" w:firstLine="720"/>
        <w:jc w:val="both"/>
      </w:pPr>
      <w:r>
        <w:t>…………………………………………………………………………………........</w:t>
      </w:r>
    </w:p>
    <w:p w14:paraId="2A7A5518" w14:textId="77777777" w:rsidR="0012481A" w:rsidRDefault="0012481A" w:rsidP="00757930">
      <w:pPr>
        <w:ind w:left="1418"/>
        <w:jc w:val="both"/>
      </w:pPr>
    </w:p>
    <w:p w14:paraId="38D67AE6" w14:textId="77777777" w:rsidR="0012481A" w:rsidRDefault="00277BC0" w:rsidP="00940D30">
      <w:pPr>
        <w:numPr>
          <w:ilvl w:val="0"/>
          <w:numId w:val="40"/>
        </w:numPr>
        <w:jc w:val="both"/>
      </w:pPr>
      <w:r>
        <w:t>Begrund, hvordan eksperten er uafhængig af den støttetildelende myndighed.</w:t>
      </w:r>
    </w:p>
    <w:p w14:paraId="1DF245BF" w14:textId="77777777" w:rsidR="0012481A" w:rsidRDefault="0012481A" w:rsidP="0012481A">
      <w:pPr>
        <w:ind w:left="1418"/>
        <w:jc w:val="both"/>
      </w:pPr>
    </w:p>
    <w:p w14:paraId="6615DE04" w14:textId="53FF0955" w:rsidR="004165E0" w:rsidRPr="0012481A" w:rsidRDefault="0012481A" w:rsidP="00E760AF">
      <w:pPr>
        <w:ind w:left="414" w:firstLine="720"/>
        <w:jc w:val="both"/>
      </w:pPr>
      <w:r>
        <w:t xml:space="preserve">……………………………………………………………………………................ </w:t>
      </w:r>
    </w:p>
    <w:p w14:paraId="43CB3832" w14:textId="77777777" w:rsidR="004165E0" w:rsidRPr="0012481A" w:rsidRDefault="004165E0" w:rsidP="00757930">
      <w:r>
        <w:tab/>
      </w:r>
    </w:p>
    <w:p w14:paraId="14172C76" w14:textId="29CCA9E5" w:rsidR="00A42834" w:rsidRPr="0012481A" w:rsidRDefault="00A42834" w:rsidP="00207312">
      <w:pPr>
        <w:numPr>
          <w:ilvl w:val="0"/>
          <w:numId w:val="4"/>
        </w:numPr>
        <w:spacing w:after="240"/>
        <w:ind w:left="567" w:hanging="567"/>
        <w:jc w:val="both"/>
      </w:pPr>
      <w:r>
        <w:t>I overensstemmelse med bestemmelserne i punkt 461 i CEEAG:</w:t>
      </w:r>
    </w:p>
    <w:p w14:paraId="56904831" w14:textId="2B9E8697" w:rsidR="007F77C3" w:rsidRDefault="002C0264" w:rsidP="00940D30">
      <w:pPr>
        <w:numPr>
          <w:ilvl w:val="0"/>
          <w:numId w:val="41"/>
        </w:numPr>
        <w:spacing w:before="240"/>
        <w:jc w:val="both"/>
      </w:pPr>
      <w:r>
        <w:t>Angiv de foreslåede frister for indgivelse af midtvejsrapporten og den endelige evalueringsrapport. Bemærk, at den endelige evalueringsrapport skal forelægges Kommissionen så betids, at den kan indgå i vurderingen af en eventuel forlængelse af støtteordningen, og senest ni måneder, før den udløber, jf. punkt 463 i CEEAG. Bemærk, at denne frist kan afkortes for ordninger, der udløser evalueringskravet i de sidste to gennemførelsesår.</w:t>
      </w:r>
    </w:p>
    <w:p w14:paraId="4B010BD2" w14:textId="1FB7DA35" w:rsidR="0012481A" w:rsidRPr="0012481A" w:rsidRDefault="007F77C3" w:rsidP="00E760AF">
      <w:pPr>
        <w:spacing w:before="240"/>
        <w:ind w:left="414" w:firstLine="720"/>
        <w:jc w:val="both"/>
      </w:pPr>
      <w:r>
        <w:t>…………………………………………………………………………………........</w:t>
      </w:r>
    </w:p>
    <w:p w14:paraId="36D10D21" w14:textId="79E1493E" w:rsidR="00F776CB" w:rsidRDefault="0036428C" w:rsidP="00940D30">
      <w:pPr>
        <w:numPr>
          <w:ilvl w:val="0"/>
          <w:numId w:val="41"/>
        </w:numPr>
        <w:spacing w:before="240"/>
        <w:jc w:val="both"/>
      </w:pPr>
      <w:r>
        <w:t xml:space="preserve">Bekræft, at midtvejsrapporten og den endelige evalueringsrapport vil blive offentliggjort. Angiv den dato og det internetlink, hvor disse rapporter offentliggøres. </w:t>
      </w:r>
    </w:p>
    <w:p w14:paraId="4D3DDF3B" w14:textId="321B4BE8" w:rsidR="00E760AF" w:rsidRPr="00F56057" w:rsidRDefault="00E760AF" w:rsidP="00E760AF">
      <w:pPr>
        <w:spacing w:before="240"/>
        <w:ind w:left="1134"/>
        <w:jc w:val="both"/>
      </w:pPr>
      <w:r>
        <w:t>………………………………………………………………………………………</w:t>
      </w:r>
    </w:p>
    <w:p w14:paraId="036BCB22" w14:textId="77777777" w:rsidR="00F776CB" w:rsidRDefault="00F776CB" w:rsidP="00627715">
      <w:pPr>
        <w:ind w:left="-567" w:firstLine="1412"/>
        <w:rPr>
          <w:i/>
        </w:rPr>
      </w:pPr>
    </w:p>
    <w:p w14:paraId="4A767050" w14:textId="77777777" w:rsidR="00F776CB" w:rsidRPr="0051324D" w:rsidRDefault="00F776CB" w:rsidP="00627715">
      <w:pPr>
        <w:ind w:left="-567" w:firstLine="1412"/>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51324D" w14:paraId="5AFCC7AE" w14:textId="77777777" w:rsidTr="00757930">
        <w:trPr>
          <w:trHeight w:val="488"/>
        </w:trPr>
        <w:tc>
          <w:tcPr>
            <w:tcW w:w="9322" w:type="dxa"/>
            <w:shd w:val="pct15" w:color="auto" w:fill="auto"/>
          </w:tcPr>
          <w:p w14:paraId="6B1D3811" w14:textId="57E7DCD4" w:rsidR="00627715" w:rsidRPr="00757930" w:rsidRDefault="00F776CB" w:rsidP="00757930">
            <w:pPr>
              <w:jc w:val="center"/>
              <w:rPr>
                <w:rFonts w:eastAsia="Times New Roman"/>
                <w:b/>
                <w:iCs/>
                <w:sz w:val="28"/>
                <w:szCs w:val="28"/>
              </w:rPr>
            </w:pPr>
            <w:r>
              <w:rPr>
                <w:b/>
                <w:sz w:val="32"/>
              </w:rPr>
              <w:t>Afsnit D: Rapportering og overvågning</w:t>
            </w:r>
          </w:p>
        </w:tc>
      </w:tr>
    </w:tbl>
    <w:p w14:paraId="56258899" w14:textId="77777777" w:rsidR="003C4F59" w:rsidRDefault="003C4F59" w:rsidP="004B2EF3">
      <w:pPr>
        <w:ind w:left="-567" w:firstLine="1412"/>
      </w:pPr>
    </w:p>
    <w:p w14:paraId="3FD434B7" w14:textId="3B8933C3" w:rsidR="00F776CB" w:rsidRPr="00F776CB" w:rsidRDefault="00F776CB" w:rsidP="00F776CB">
      <w:r>
        <w:rPr>
          <w:i/>
        </w:rPr>
        <w:t>Med henblik på angivelsen af oplysningerne i dette afsnit henvises til afsnit 6, punkt 464-465, i CEEAG.</w:t>
      </w:r>
    </w:p>
    <w:p w14:paraId="1F0B9181" w14:textId="4AF71976" w:rsidR="00F776CB" w:rsidRPr="0051324D" w:rsidRDefault="00F776CB" w:rsidP="00757930"/>
    <w:p w14:paraId="74E67784" w14:textId="77777777" w:rsidR="00F776CB" w:rsidRDefault="00F776CB" w:rsidP="00207312">
      <w:pPr>
        <w:numPr>
          <w:ilvl w:val="0"/>
          <w:numId w:val="4"/>
        </w:numPr>
        <w:spacing w:after="240"/>
        <w:ind w:left="567" w:hanging="567"/>
        <w:jc w:val="both"/>
      </w:pPr>
      <w:r>
        <w:t>Bekræft, at medlemsstaten vil opfylde kravene om rapportering og overvågning i afsnit 6, punkt 464 og 465, i CEEAG.</w:t>
      </w:r>
    </w:p>
    <w:p w14:paraId="7F3FE433" w14:textId="2FCF6E84" w:rsidR="00E760AF" w:rsidRDefault="00E760AF" w:rsidP="00E760AF">
      <w:pPr>
        <w:ind w:left="567"/>
      </w:pPr>
    </w:p>
    <w:p w14:paraId="0C0DCECB" w14:textId="1EBDC64B" w:rsidR="00E760AF" w:rsidRPr="00F776CB" w:rsidRDefault="00E760AF" w:rsidP="00E760AF">
      <w:pPr>
        <w:ind w:left="567"/>
      </w:pPr>
      <w:r>
        <w:t>………………………………………………………………………………………….....</w:t>
      </w:r>
    </w:p>
    <w:p w14:paraId="47BB883D" w14:textId="05B8D7B1" w:rsidR="00F776CB" w:rsidRDefault="00F776CB" w:rsidP="00757930">
      <w:pPr>
        <w:pStyle w:val="ListParagraph"/>
        <w:spacing w:before="120" w:after="120"/>
        <w:ind w:left="1854"/>
        <w:contextualSpacing w:val="0"/>
        <w:jc w:val="both"/>
      </w:pPr>
    </w:p>
    <w:p w14:paraId="6B996AF9" w14:textId="77777777" w:rsidR="00697188" w:rsidRPr="00711243" w:rsidRDefault="00697188" w:rsidP="000442F5"/>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B11C8D" w14:textId="77777777" w:rsidR="00F92B0E" w:rsidRDefault="00F92B0E" w:rsidP="000442F5">
      <w:r>
        <w:separator/>
      </w:r>
    </w:p>
  </w:endnote>
  <w:endnote w:type="continuationSeparator" w:id="0">
    <w:p w14:paraId="5E2FF6C5" w14:textId="77777777" w:rsidR="00F92B0E" w:rsidRDefault="00F92B0E" w:rsidP="000442F5">
      <w:r>
        <w:continuationSeparator/>
      </w:r>
    </w:p>
  </w:endnote>
  <w:endnote w:type="continuationNotice" w:id="1">
    <w:p w14:paraId="2DC96373" w14:textId="77777777" w:rsidR="00F92B0E" w:rsidRDefault="00F92B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charset w:val="00"/>
    <w:family w:val="roman"/>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76FD7198" w:rsidR="00E55520" w:rsidRDefault="00E55520">
    <w:pPr>
      <w:pStyle w:val="Footer"/>
      <w:jc w:val="center"/>
    </w:pPr>
    <w:r>
      <w:fldChar w:fldCharType="begin"/>
    </w:r>
    <w:r>
      <w:instrText xml:space="preserve"> PAGE   \* MERGEFORMAT </w:instrText>
    </w:r>
    <w:r>
      <w:fldChar w:fldCharType="separate"/>
    </w:r>
    <w:r>
      <w:t>17</w:t>
    </w:r>
    <w:r>
      <w:fldChar w:fldCharType="end"/>
    </w:r>
  </w:p>
  <w:p w14:paraId="75E356FD" w14:textId="77777777" w:rsidR="00E55520" w:rsidRDefault="00E555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8A3C0E" w14:textId="77777777" w:rsidR="00F92B0E" w:rsidRDefault="00F92B0E" w:rsidP="000442F5">
      <w:r>
        <w:separator/>
      </w:r>
    </w:p>
  </w:footnote>
  <w:footnote w:type="continuationSeparator" w:id="0">
    <w:p w14:paraId="24FC442A" w14:textId="77777777" w:rsidR="00F92B0E" w:rsidRDefault="00F92B0E" w:rsidP="000442F5">
      <w:r>
        <w:continuationSeparator/>
      </w:r>
    </w:p>
  </w:footnote>
  <w:footnote w:type="continuationNotice" w:id="1">
    <w:p w14:paraId="48FCD177" w14:textId="77777777" w:rsidR="00F92B0E" w:rsidRDefault="00F92B0E"/>
  </w:footnote>
  <w:footnote w:id="2">
    <w:p w14:paraId="2E1DAC13" w14:textId="77777777" w:rsidR="00E55520" w:rsidRPr="0067348B" w:rsidRDefault="00E55520" w:rsidP="007B485D">
      <w:pPr>
        <w:pStyle w:val="FootnoteText"/>
      </w:pPr>
      <w:r>
        <w:rPr>
          <w:rStyle w:val="FootnoteReference"/>
        </w:rPr>
        <w:footnoteRef/>
      </w:r>
      <w:r>
        <w:tab/>
        <w:t>EUT C 80 af 18.2.2022, s. 1.</w:t>
      </w:r>
    </w:p>
  </w:footnote>
  <w:footnote w:id="3">
    <w:p w14:paraId="25384A16" w14:textId="699CB629" w:rsidR="00FA6EB5" w:rsidRPr="009F1C3C" w:rsidRDefault="00FA6EB5">
      <w:pPr>
        <w:pStyle w:val="FootnoteText"/>
      </w:pPr>
      <w:r>
        <w:rPr>
          <w:rStyle w:val="FootnoteReference"/>
        </w:rPr>
        <w:footnoteRef/>
      </w:r>
      <w:r>
        <w:tab/>
        <w:t>Bemærk, at for en støtteordning er varigheden den periode, hvor der kan ansøges om og træffes afgørelse om støtte (herunder den tid, der er nødvendig for, at de nationale myndigheder kan godkende støtteansøgningerne). Den varighed, der henvises til i dette spørgsmål, vedrører ikke varigheden af de kontrakter, der er indgået inden for rammerne af støtteordningen og kan fortsætte ud over foranstaltningens varighed.</w:t>
      </w:r>
    </w:p>
  </w:footnote>
  <w:footnote w:id="4">
    <w:p w14:paraId="3A3265CA" w14:textId="77777777" w:rsidR="00B22D69" w:rsidRPr="0067348B" w:rsidRDefault="00B22D69" w:rsidP="00B22D69">
      <w:pPr>
        <w:pStyle w:val="FootnoteText"/>
      </w:pPr>
      <w:r>
        <w:rPr>
          <w:rStyle w:val="FootnoteReference"/>
        </w:rPr>
        <w:footnoteRef/>
      </w:r>
      <w:r>
        <w:tab/>
        <w:t>Bemærk, at en ændring af det faktiske eller anslåede budget kan være en ændring af støtten, som kræver en ny anmeldelse.</w:t>
      </w:r>
    </w:p>
  </w:footnote>
  <w:footnote w:id="5">
    <w:p w14:paraId="590F3FC7" w14:textId="30CB4935" w:rsidR="00E55520" w:rsidRDefault="00E55520" w:rsidP="00821F07">
      <w:pPr>
        <w:pStyle w:val="FootnoteText"/>
      </w:pPr>
      <w:r>
        <w:rPr>
          <w:rStyle w:val="FootnoteReference"/>
        </w:rPr>
        <w:footnoteRef/>
      </w:r>
      <w:r>
        <w:t xml:space="preserve"> </w:t>
      </w:r>
      <w:r>
        <w:tab/>
        <w:t>I henhold til punkt 19, nr. 89, i CEEAG forstås ved "EU-standard":</w:t>
      </w:r>
    </w:p>
    <w:p w14:paraId="340A0B20" w14:textId="77777777" w:rsidR="00E55520" w:rsidRPr="004B74BC" w:rsidRDefault="00E55520" w:rsidP="00940D30">
      <w:pPr>
        <w:pStyle w:val="FootnoteText"/>
        <w:numPr>
          <w:ilvl w:val="0"/>
          <w:numId w:val="27"/>
        </w:numPr>
        <w:rPr>
          <w:i/>
        </w:rPr>
      </w:pPr>
      <w:r>
        <w:rPr>
          <w:i/>
        </w:rPr>
        <w:t>en obligatorisk EU-standard, der fastsætter de niveauer, som de enkelte virksomheder skal nå på miljøområdet, med undtagelse af standarder eller mål fastsat på EU-plan, som er bindende for medlemsstaterne, men ikke for individuelle virksomheder</w:t>
      </w:r>
    </w:p>
    <w:p w14:paraId="02AC4E0B" w14:textId="14D21BDD" w:rsidR="00E55520" w:rsidRDefault="00E55520" w:rsidP="00940D30">
      <w:pPr>
        <w:pStyle w:val="FootnoteText"/>
        <w:numPr>
          <w:ilvl w:val="0"/>
          <w:numId w:val="27"/>
        </w:numPr>
      </w:pPr>
      <w:r>
        <w:rPr>
          <w:i/>
        </w:rPr>
        <w:t>forpligtelsen til at anvende den bedste tilgængelige teknik (BAT) som defineret i direktiv 2010/75/EU og til at sikre, at emissionsniveauerne ikke overstiger dem, der ville være opnået ved anvendelse af BAT. Hvis de emissionsniveauer, der er forbundet med BAT, er defineret i gennemførelsesretsakter vedtaget i henhold til direktiv 2010/75/EU eller i henhold til andre gældende direktiver, finder disse niveauer anvendelse i forbindelse med disse retningslinjer. Hvis disse niveauer er udtrykt som et interval, finder den grænse, for hvilken BAT først er opnået for den pågældende virksomhed, anvendelse.</w:t>
      </w:r>
    </w:p>
  </w:footnote>
  <w:footnote w:id="6">
    <w:p w14:paraId="6598727F" w14:textId="3BC8A5C2" w:rsidR="00E55520" w:rsidRDefault="00E55520">
      <w:pPr>
        <w:pStyle w:val="FootnoteText"/>
      </w:pPr>
      <w:r>
        <w:rPr>
          <w:rStyle w:val="FootnoteReference"/>
        </w:rPr>
        <w:footnoteRef/>
      </w:r>
      <w:r>
        <w:tab/>
        <w:t>Bemærk venligst, at det i fodnote 42 i CEEAG fastsættes, at "</w:t>
      </w:r>
      <w:r>
        <w:rPr>
          <w:color w:val="000000"/>
          <w:sz w:val="19"/>
          <w:shd w:val="clear" w:color="auto" w:fill="FFFFFF"/>
        </w:rPr>
        <w:t>[p]risbundgrænser eller -lofter, der begrænser konkurrenceprocessen, og som underminerer proportionaliteten, bør undgås, selv om de er nul</w:t>
      </w:r>
      <w:r w:rsidR="00D53EDC">
        <w:rPr>
          <w:color w:val="000000"/>
          <w:sz w:val="19"/>
          <w:shd w:val="clear" w:color="auto" w:fill="FFFFFF"/>
        </w:rPr>
        <w:t>.</w:t>
      </w:r>
      <w:r>
        <w:t>"</w:t>
      </w:r>
      <w:r w:rsidR="00D53EDC">
        <w:t>.</w:t>
      </w:r>
    </w:p>
  </w:footnote>
  <w:footnote w:id="7">
    <w:p w14:paraId="7BF90FA8" w14:textId="77777777" w:rsidR="0003031C" w:rsidRPr="0095488F" w:rsidRDefault="0003031C" w:rsidP="0003031C">
      <w:pPr>
        <w:pStyle w:val="FootnoteText"/>
      </w:pPr>
      <w:r>
        <w:rPr>
          <w:rStyle w:val="FootnoteReference"/>
        </w:rPr>
        <w:footnoteRef/>
      </w:r>
      <w:r>
        <w:tab/>
        <w:t>Se også de yderligere oplysninger i punkt 51-53 og fodnote 45, 46 og 55 i CEEAG.</w:t>
      </w:r>
    </w:p>
  </w:footnote>
  <w:footnote w:id="8">
    <w:p w14:paraId="086AD512" w14:textId="7087BE19" w:rsidR="00E55520" w:rsidRDefault="00E55520">
      <w:pPr>
        <w:pStyle w:val="FootnoteText"/>
      </w:pPr>
      <w:r>
        <w:rPr>
          <w:rStyle w:val="FootnoteReference"/>
        </w:rPr>
        <w:footnoteRef/>
      </w:r>
      <w:r>
        <w:tab/>
        <w:t>Centralt forvaltede EU-midler, der forvaltes centralt af EU-institutioner, EU-agenturer, EU-kontorer, EU-fællesforetagender eller andre EU-organer, som ikke direkte eller indirekte er underlagt medlemsstatens kontrol?</w:t>
      </w:r>
    </w:p>
  </w:footnote>
  <w:footnote w:id="9">
    <w:p w14:paraId="46FDB4C5" w14:textId="1B8BC8A3" w:rsidR="00E308B3" w:rsidRPr="004A1D89" w:rsidRDefault="00E308B3">
      <w:pPr>
        <w:pStyle w:val="FootnoteText"/>
      </w:pPr>
      <w:r>
        <w:rPr>
          <w:rStyle w:val="FootnoteReference"/>
        </w:rPr>
        <w:footnoteRef/>
      </w:r>
      <w:r>
        <w:tab/>
        <w:t>Jf. punkt 367 i CEEAG: "</w:t>
      </w:r>
      <w:r>
        <w:rPr>
          <w:i/>
        </w:rPr>
        <w:t>En sådan omkostningsfordeling er dog muligvis ikke påkrævet, hvis medlemsstaten fremlægger en analyse baseret på dokumentation, herunder den, der blev indsamlet under den offentlige høring, om, at en sådan omkostningsfordeling ville underminere foranstaltningens omkostningseffektivitet eller føre til alvorlige konkurrencefordrejninger, som klart ville underminere de potentielle fordele ved en sådan omkostningsfordeling.</w:t>
      </w:r>
      <w:r>
        <w:t>"</w:t>
      </w:r>
      <w:r w:rsidR="00D53EDC">
        <w:t>.</w:t>
      </w:r>
    </w:p>
  </w:footnote>
  <w:footnote w:id="10">
    <w:p w14:paraId="02AA3570" w14:textId="77777777" w:rsidR="00E55520" w:rsidRPr="008772CC" w:rsidRDefault="00E55520" w:rsidP="004B2EF3">
      <w:pPr>
        <w:pStyle w:val="FootnoteText"/>
      </w:pPr>
      <w:r>
        <w:rPr>
          <w:rStyle w:val="FootnoteReference"/>
        </w:rPr>
        <w:footnoteRef/>
      </w:r>
      <w:r>
        <w:tab/>
        <w:t>Europa-Parlamentets og Rådets forordning (EU) 2020/852 af 18. juni 2020 om fastlæggelse af en ramme til fremme af bæredygtige investeringer og om ændring af forordning (EU) 2019/2088 (EUT L 198 af 22.6.2020, s. 13).</w:t>
      </w:r>
    </w:p>
  </w:footnote>
  <w:footnote w:id="11">
    <w:p w14:paraId="56D0AFFA" w14:textId="77777777" w:rsidR="00E55520" w:rsidRDefault="00E55520" w:rsidP="004B2EF3">
      <w:pPr>
        <w:pStyle w:val="FootnoteText"/>
      </w:pPr>
      <w:r>
        <w:rPr>
          <w:rStyle w:val="FootnoteReference"/>
        </w:rPr>
        <w:footnoteRef/>
      </w:r>
      <w:r>
        <w:t xml:space="preserve"> </w:t>
      </w:r>
      <w:r>
        <w:tab/>
        <w:t xml:space="preserve"> Bemærk følgende i fodnote 50 i CEEAG: "</w:t>
      </w:r>
      <w:r>
        <w:rPr>
          <w:i/>
          <w:color w:val="000000"/>
          <w:sz w:val="19"/>
          <w:shd w:val="clear" w:color="auto" w:fill="FFFFFF"/>
        </w:rPr>
        <w:t>For foranstaltninger, der er identiske med foranstaltninger inden for rammerne af genopretnings- og resiliensplaner som godkendt af Rådet, anses deres overholdelse af princippet om "ikke at gøre væsentlig skade" for at være opfyldt, da dette allerede er blevet kontrolleret</w:t>
      </w:r>
      <w:r>
        <w:t>".</w:t>
      </w:r>
    </w:p>
  </w:footnote>
  <w:footnote w:id="12">
    <w:p w14:paraId="4C240C5F" w14:textId="28C762FC" w:rsidR="002F3E3B" w:rsidRDefault="002F3E3B" w:rsidP="002F3E3B">
      <w:pPr>
        <w:pStyle w:val="FootnoteText"/>
      </w:pPr>
      <w:r>
        <w:rPr>
          <w:rStyle w:val="FootnoteReference"/>
        </w:rPr>
        <w:footnoteRef/>
      </w:r>
      <w:r>
        <w:tab/>
        <w:t xml:space="preserve">Skabelonen til det supplerende informationsskema til anmeldelse af en evalueringsplan (del III.8) er tilgængelig her: </w:t>
      </w:r>
      <w:hyperlink w:anchor="evaluation-plan" w:history="1">
        <w:r>
          <w:rPr>
            <w:rStyle w:val="Hyperlink"/>
          </w:rPr>
          <w:t>https://competition-policy.ec.europa.eu/state-aid/legislation/forms-notifications-and-reporting_en#evaluation-plan</w:t>
        </w:r>
      </w:hyperlink>
      <w:r w:rsidR="00D53EDC">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E55520" w:rsidRDefault="00E55520"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2193607"/>
    <w:multiLevelType w:val="hybridMultilevel"/>
    <w:tmpl w:val="C1CADE9A"/>
    <w:lvl w:ilvl="0" w:tplc="DE027A8C">
      <w:start w:val="1"/>
      <w:numFmt w:val="lowerLetter"/>
      <w:lvlText w:val="(%1)"/>
      <w:lvlJc w:val="left"/>
      <w:pPr>
        <w:ind w:left="927" w:hanging="360"/>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04AB3AF2"/>
    <w:multiLevelType w:val="hybridMultilevel"/>
    <w:tmpl w:val="B95C9DFC"/>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1042731F"/>
    <w:multiLevelType w:val="hybridMultilevel"/>
    <w:tmpl w:val="B95C9DFC"/>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8"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8AA6E13"/>
    <w:multiLevelType w:val="hybridMultilevel"/>
    <w:tmpl w:val="344483E2"/>
    <w:lvl w:ilvl="0" w:tplc="CBB2EC0A">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1" w15:restartNumberingAfterBreak="0">
    <w:nsid w:val="19AF13D6"/>
    <w:multiLevelType w:val="hybridMultilevel"/>
    <w:tmpl w:val="014C3DC2"/>
    <w:lvl w:ilvl="0" w:tplc="97868084">
      <w:start w:val="1"/>
      <w:numFmt w:val="lowerRoman"/>
      <w:lvlText w:val="%1."/>
      <w:lvlJc w:val="right"/>
      <w:pPr>
        <w:ind w:left="1342" w:hanging="360"/>
      </w:pPr>
      <w:rPr>
        <w:rFonts w:ascii="Times New Roman" w:eastAsia="Calibri" w:hAnsi="Times New Roman" w:cs="Times New Roman"/>
        <w:b w:val="0"/>
      </w:rPr>
    </w:lvl>
    <w:lvl w:ilvl="1" w:tplc="04090019">
      <w:start w:val="1"/>
      <w:numFmt w:val="lowerLetter"/>
      <w:lvlText w:val="%2."/>
      <w:lvlJc w:val="left"/>
      <w:pPr>
        <w:ind w:left="2062" w:hanging="360"/>
      </w:pPr>
    </w:lvl>
    <w:lvl w:ilvl="2" w:tplc="0409001B" w:tentative="1">
      <w:start w:val="1"/>
      <w:numFmt w:val="lowerRoman"/>
      <w:lvlText w:val="%3."/>
      <w:lvlJc w:val="right"/>
      <w:pPr>
        <w:ind w:left="2782" w:hanging="180"/>
      </w:pPr>
    </w:lvl>
    <w:lvl w:ilvl="3" w:tplc="0409000F" w:tentative="1">
      <w:start w:val="1"/>
      <w:numFmt w:val="decimal"/>
      <w:lvlText w:val="%4."/>
      <w:lvlJc w:val="left"/>
      <w:pPr>
        <w:ind w:left="3502" w:hanging="360"/>
      </w:pPr>
    </w:lvl>
    <w:lvl w:ilvl="4" w:tplc="04090019" w:tentative="1">
      <w:start w:val="1"/>
      <w:numFmt w:val="lowerLetter"/>
      <w:lvlText w:val="%5."/>
      <w:lvlJc w:val="left"/>
      <w:pPr>
        <w:ind w:left="4222" w:hanging="360"/>
      </w:pPr>
    </w:lvl>
    <w:lvl w:ilvl="5" w:tplc="0409001B" w:tentative="1">
      <w:start w:val="1"/>
      <w:numFmt w:val="lowerRoman"/>
      <w:lvlText w:val="%6."/>
      <w:lvlJc w:val="right"/>
      <w:pPr>
        <w:ind w:left="4942" w:hanging="180"/>
      </w:pPr>
    </w:lvl>
    <w:lvl w:ilvl="6" w:tplc="0409000F" w:tentative="1">
      <w:start w:val="1"/>
      <w:numFmt w:val="decimal"/>
      <w:lvlText w:val="%7."/>
      <w:lvlJc w:val="left"/>
      <w:pPr>
        <w:ind w:left="5662" w:hanging="360"/>
      </w:pPr>
    </w:lvl>
    <w:lvl w:ilvl="7" w:tplc="04090019" w:tentative="1">
      <w:start w:val="1"/>
      <w:numFmt w:val="lowerLetter"/>
      <w:lvlText w:val="%8."/>
      <w:lvlJc w:val="left"/>
      <w:pPr>
        <w:ind w:left="6382" w:hanging="360"/>
      </w:pPr>
    </w:lvl>
    <w:lvl w:ilvl="8" w:tplc="0409001B" w:tentative="1">
      <w:start w:val="1"/>
      <w:numFmt w:val="lowerRoman"/>
      <w:lvlText w:val="%9."/>
      <w:lvlJc w:val="right"/>
      <w:pPr>
        <w:ind w:left="7102" w:hanging="180"/>
      </w:pPr>
    </w:lvl>
  </w:abstractNum>
  <w:abstractNum w:abstractNumId="12"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2072F8E"/>
    <w:multiLevelType w:val="hybridMultilevel"/>
    <w:tmpl w:val="3FD6502A"/>
    <w:lvl w:ilvl="0" w:tplc="82A46EEA">
      <w:start w:val="1"/>
      <w:numFmt w:val="decimal"/>
      <w:lvlText w:val="%1."/>
      <w:lvlJc w:val="left"/>
      <w:pPr>
        <w:ind w:left="720" w:hanging="360"/>
      </w:pPr>
      <w:rPr>
        <w:rFonts w:hint="default"/>
        <w:b/>
        <w:i w:val="0"/>
      </w:rPr>
    </w:lvl>
    <w:lvl w:ilvl="1" w:tplc="D72AF966">
      <w:start w:val="1"/>
      <w:numFmt w:val="lowerRoman"/>
      <w:lvlText w:val="%2."/>
      <w:lvlJc w:val="right"/>
      <w:pPr>
        <w:ind w:left="1440" w:hanging="360"/>
      </w:pPr>
      <w:rPr>
        <w:rFonts w:ascii="Times New Roman" w:eastAsia="Calibri" w:hAnsi="Times New Roman" w:cs="Times New Roman"/>
        <w:b w:val="0"/>
        <w:i w:val="0"/>
        <w:sz w:val="24"/>
      </w:rPr>
    </w:lvl>
    <w:lvl w:ilvl="2" w:tplc="C91A5F2A">
      <w:start w:val="1"/>
      <w:numFmt w:val="lowerLetter"/>
      <w:lvlText w:val="%3."/>
      <w:lvlJc w:val="right"/>
      <w:pPr>
        <w:ind w:left="2160" w:hanging="180"/>
      </w:pPr>
      <w:rPr>
        <w:rFonts w:hint="default"/>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2E60F42"/>
    <w:multiLevelType w:val="hybridMultilevel"/>
    <w:tmpl w:val="C9045C0A"/>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 w15:restartNumberingAfterBreak="0">
    <w:nsid w:val="23AD51D8"/>
    <w:multiLevelType w:val="hybridMultilevel"/>
    <w:tmpl w:val="4748FF48"/>
    <w:lvl w:ilvl="0" w:tplc="276E325A">
      <w:start w:val="1"/>
      <w:numFmt w:val="lowerRoman"/>
      <w:lvlText w:val="%1."/>
      <w:lvlJc w:val="left"/>
      <w:pPr>
        <w:ind w:left="1440" w:hanging="360"/>
      </w:pPr>
      <w:rPr>
        <w:rFonts w:ascii="Times New Roman" w:eastAsia="Calibri" w:hAnsi="Times New Roman" w:cs="Times New Roman"/>
        <w:i w:val="0"/>
      </w:r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17"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8" w15:restartNumberingAfterBreak="0">
    <w:nsid w:val="2A640731"/>
    <w:multiLevelType w:val="hybridMultilevel"/>
    <w:tmpl w:val="3BE2A288"/>
    <w:lvl w:ilvl="0" w:tplc="FFFFFFFF">
      <w:start w:val="1"/>
      <w:numFmt w:val="lowerRoman"/>
      <w:lvlText w:val="%1."/>
      <w:lvlJc w:val="right"/>
      <w:pPr>
        <w:ind w:left="1211" w:hanging="360"/>
      </w:pPr>
      <w:rPr>
        <w:rFonts w:ascii="Times New Roman" w:hAnsi="Times New Roman" w:hint="default"/>
        <w:b w:val="0"/>
        <w:i w:val="0"/>
        <w:sz w:val="24"/>
      </w:rPr>
    </w:lvl>
    <w:lvl w:ilvl="1" w:tplc="FFFFFFFF" w:tentative="1">
      <w:start w:val="1"/>
      <w:numFmt w:val="lowerLetter"/>
      <w:lvlText w:val="%2."/>
      <w:lvlJc w:val="left"/>
      <w:pPr>
        <w:ind w:left="1101" w:hanging="360"/>
      </w:pPr>
    </w:lvl>
    <w:lvl w:ilvl="2" w:tplc="FFFFFFFF" w:tentative="1">
      <w:start w:val="1"/>
      <w:numFmt w:val="lowerRoman"/>
      <w:lvlText w:val="%3."/>
      <w:lvlJc w:val="right"/>
      <w:pPr>
        <w:ind w:left="1821" w:hanging="180"/>
      </w:pPr>
    </w:lvl>
    <w:lvl w:ilvl="3" w:tplc="FFFFFFFF" w:tentative="1">
      <w:start w:val="1"/>
      <w:numFmt w:val="decimal"/>
      <w:lvlText w:val="%4."/>
      <w:lvlJc w:val="left"/>
      <w:pPr>
        <w:ind w:left="2541" w:hanging="360"/>
      </w:pPr>
    </w:lvl>
    <w:lvl w:ilvl="4" w:tplc="FFFFFFFF" w:tentative="1">
      <w:start w:val="1"/>
      <w:numFmt w:val="lowerLetter"/>
      <w:lvlText w:val="%5."/>
      <w:lvlJc w:val="left"/>
      <w:pPr>
        <w:ind w:left="3261" w:hanging="360"/>
      </w:pPr>
    </w:lvl>
    <w:lvl w:ilvl="5" w:tplc="FFFFFFFF" w:tentative="1">
      <w:start w:val="1"/>
      <w:numFmt w:val="lowerRoman"/>
      <w:lvlText w:val="%6."/>
      <w:lvlJc w:val="right"/>
      <w:pPr>
        <w:ind w:left="3981" w:hanging="180"/>
      </w:pPr>
    </w:lvl>
    <w:lvl w:ilvl="6" w:tplc="FFFFFFFF" w:tentative="1">
      <w:start w:val="1"/>
      <w:numFmt w:val="decimal"/>
      <w:lvlText w:val="%7."/>
      <w:lvlJc w:val="left"/>
      <w:pPr>
        <w:ind w:left="4701" w:hanging="360"/>
      </w:pPr>
    </w:lvl>
    <w:lvl w:ilvl="7" w:tplc="FFFFFFFF" w:tentative="1">
      <w:start w:val="1"/>
      <w:numFmt w:val="lowerLetter"/>
      <w:lvlText w:val="%8."/>
      <w:lvlJc w:val="left"/>
      <w:pPr>
        <w:ind w:left="5421" w:hanging="360"/>
      </w:pPr>
    </w:lvl>
    <w:lvl w:ilvl="8" w:tplc="FFFFFFFF" w:tentative="1">
      <w:start w:val="1"/>
      <w:numFmt w:val="lowerRoman"/>
      <w:lvlText w:val="%9."/>
      <w:lvlJc w:val="right"/>
      <w:pPr>
        <w:ind w:left="6141" w:hanging="180"/>
      </w:pPr>
    </w:lvl>
  </w:abstractNum>
  <w:abstractNum w:abstractNumId="19" w15:restartNumberingAfterBreak="0">
    <w:nsid w:val="2BDD00CF"/>
    <w:multiLevelType w:val="hybridMultilevel"/>
    <w:tmpl w:val="4DF66CD0"/>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EC3C5914">
      <w:start w:val="1"/>
      <w:numFmt w:val="lowerLetter"/>
      <w:lvlText w:val="(%4)"/>
      <w:lvlJc w:val="left"/>
      <w:pPr>
        <w:ind w:left="3240" w:hanging="360"/>
      </w:pPr>
      <w:rPr>
        <w:rFonts w:hint="default"/>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1"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312B69AE"/>
    <w:multiLevelType w:val="multilevel"/>
    <w:tmpl w:val="0809001F"/>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5" w15:restartNumberingAfterBreak="0">
    <w:nsid w:val="3D540224"/>
    <w:multiLevelType w:val="hybridMultilevel"/>
    <w:tmpl w:val="B95C9DFC"/>
    <w:lvl w:ilvl="0" w:tplc="18090019">
      <w:start w:val="1"/>
      <w:numFmt w:val="lowerLetter"/>
      <w:lvlText w:val="%1."/>
      <w:lvlJc w:val="lef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26"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437D5FD0"/>
    <w:multiLevelType w:val="hybridMultilevel"/>
    <w:tmpl w:val="99CCBD12"/>
    <w:lvl w:ilvl="0" w:tplc="4E383B92">
      <w:start w:val="4"/>
      <w:numFmt w:val="bullet"/>
      <w:lvlText w:val=""/>
      <w:lvlJc w:val="left"/>
      <w:pPr>
        <w:ind w:left="720" w:hanging="360"/>
      </w:pPr>
      <w:rPr>
        <w:rFonts w:ascii="Symbol" w:eastAsia="Calibri" w:hAnsi="Symbol"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8"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46B72556"/>
    <w:multiLevelType w:val="hybridMultilevel"/>
    <w:tmpl w:val="3BE2A288"/>
    <w:lvl w:ilvl="0" w:tplc="9D1E0C9A">
      <w:start w:val="1"/>
      <w:numFmt w:val="lowerRoman"/>
      <w:lvlText w:val="%1."/>
      <w:lvlJc w:val="right"/>
      <w:pPr>
        <w:ind w:left="1211" w:hanging="360"/>
      </w:pPr>
      <w:rPr>
        <w:rFonts w:ascii="Times New Roman" w:hAnsi="Times New Roman" w:hint="default"/>
        <w:b w:val="0"/>
        <w:i w:val="0"/>
        <w:sz w:val="24"/>
      </w:rPr>
    </w:lvl>
    <w:lvl w:ilvl="1" w:tplc="18090019" w:tentative="1">
      <w:start w:val="1"/>
      <w:numFmt w:val="lowerLetter"/>
      <w:lvlText w:val="%2."/>
      <w:lvlJc w:val="left"/>
      <w:pPr>
        <w:ind w:left="1101" w:hanging="360"/>
      </w:pPr>
    </w:lvl>
    <w:lvl w:ilvl="2" w:tplc="1809001B" w:tentative="1">
      <w:start w:val="1"/>
      <w:numFmt w:val="lowerRoman"/>
      <w:lvlText w:val="%3."/>
      <w:lvlJc w:val="right"/>
      <w:pPr>
        <w:ind w:left="1821" w:hanging="180"/>
      </w:pPr>
    </w:lvl>
    <w:lvl w:ilvl="3" w:tplc="1809000F" w:tentative="1">
      <w:start w:val="1"/>
      <w:numFmt w:val="decimal"/>
      <w:lvlText w:val="%4."/>
      <w:lvlJc w:val="left"/>
      <w:pPr>
        <w:ind w:left="2541" w:hanging="360"/>
      </w:pPr>
    </w:lvl>
    <w:lvl w:ilvl="4" w:tplc="18090019" w:tentative="1">
      <w:start w:val="1"/>
      <w:numFmt w:val="lowerLetter"/>
      <w:lvlText w:val="%5."/>
      <w:lvlJc w:val="left"/>
      <w:pPr>
        <w:ind w:left="3261" w:hanging="360"/>
      </w:pPr>
    </w:lvl>
    <w:lvl w:ilvl="5" w:tplc="1809001B" w:tentative="1">
      <w:start w:val="1"/>
      <w:numFmt w:val="lowerRoman"/>
      <w:lvlText w:val="%6."/>
      <w:lvlJc w:val="right"/>
      <w:pPr>
        <w:ind w:left="3981" w:hanging="180"/>
      </w:pPr>
    </w:lvl>
    <w:lvl w:ilvl="6" w:tplc="1809000F" w:tentative="1">
      <w:start w:val="1"/>
      <w:numFmt w:val="decimal"/>
      <w:lvlText w:val="%7."/>
      <w:lvlJc w:val="left"/>
      <w:pPr>
        <w:ind w:left="4701" w:hanging="360"/>
      </w:pPr>
    </w:lvl>
    <w:lvl w:ilvl="7" w:tplc="18090019" w:tentative="1">
      <w:start w:val="1"/>
      <w:numFmt w:val="lowerLetter"/>
      <w:lvlText w:val="%8."/>
      <w:lvlJc w:val="left"/>
      <w:pPr>
        <w:ind w:left="5421" w:hanging="360"/>
      </w:pPr>
    </w:lvl>
    <w:lvl w:ilvl="8" w:tplc="1809001B" w:tentative="1">
      <w:start w:val="1"/>
      <w:numFmt w:val="lowerRoman"/>
      <w:lvlText w:val="%9."/>
      <w:lvlJc w:val="right"/>
      <w:pPr>
        <w:ind w:left="6141" w:hanging="180"/>
      </w:pPr>
    </w:lvl>
  </w:abstractNum>
  <w:abstractNum w:abstractNumId="31"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4C7E52AF"/>
    <w:multiLevelType w:val="hybridMultilevel"/>
    <w:tmpl w:val="B99E9A9E"/>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4"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5" w15:restartNumberingAfterBreak="0">
    <w:nsid w:val="66A63355"/>
    <w:multiLevelType w:val="hybridMultilevel"/>
    <w:tmpl w:val="094CE98E"/>
    <w:lvl w:ilvl="0" w:tplc="82A46EEA">
      <w:start w:val="1"/>
      <w:numFmt w:val="decimal"/>
      <w:lvlText w:val="%1."/>
      <w:lvlJc w:val="left"/>
      <w:pPr>
        <w:ind w:left="720" w:hanging="360"/>
      </w:pPr>
      <w:rPr>
        <w:rFonts w:hint="default"/>
        <w:b/>
        <w:i w:val="0"/>
      </w:rPr>
    </w:lvl>
    <w:lvl w:ilvl="1" w:tplc="E0BC24B8">
      <w:start w:val="1"/>
      <w:numFmt w:val="lowerRoman"/>
      <w:lvlText w:val="%2."/>
      <w:lvlJc w:val="left"/>
      <w:pPr>
        <w:ind w:left="1548" w:hanging="357"/>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7" w15:restartNumberingAfterBreak="0">
    <w:nsid w:val="6CF011E3"/>
    <w:multiLevelType w:val="hybridMultilevel"/>
    <w:tmpl w:val="179E7C2E"/>
    <w:lvl w:ilvl="0" w:tplc="9B4884B4">
      <w:start w:val="43"/>
      <w:numFmt w:val="decimal"/>
      <w:lvlText w:val="%1."/>
      <w:lvlJc w:val="left"/>
      <w:pPr>
        <w:ind w:left="720" w:hanging="360"/>
      </w:pPr>
      <w:rPr>
        <w:rFonts w:hint="default"/>
        <w:b/>
        <w:i w:val="0"/>
      </w:rPr>
    </w:lvl>
    <w:lvl w:ilvl="1" w:tplc="58460CBE">
      <w:start w:val="1"/>
      <w:numFmt w:val="lowerRoman"/>
      <w:lvlText w:val="%2."/>
      <w:lvlJc w:val="right"/>
      <w:pPr>
        <w:ind w:left="1440" w:hanging="360"/>
      </w:pPr>
      <w:rPr>
        <w:rFonts w:ascii="Times New Roman" w:eastAsia="Calibri" w:hAnsi="Times New Roman" w:cs="Times New Roman"/>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DA810D1"/>
    <w:multiLevelType w:val="hybridMultilevel"/>
    <w:tmpl w:val="B95C9DFC"/>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9"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0" w15:restartNumberingAfterBreak="0">
    <w:nsid w:val="7A6A04A6"/>
    <w:multiLevelType w:val="hybridMultilevel"/>
    <w:tmpl w:val="0BCA81E6"/>
    <w:lvl w:ilvl="0" w:tplc="C91CCC1E">
      <w:start w:val="49"/>
      <w:numFmt w:val="decimal"/>
      <w:lvlText w:val="%1."/>
      <w:lvlJc w:val="left"/>
      <w:pPr>
        <w:ind w:left="1440" w:hanging="360"/>
      </w:pPr>
      <w:rPr>
        <w:rFonts w:hint="default"/>
        <w:b/>
        <w:i w:val="0"/>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16cid:durableId="1260404938">
    <w:abstractNumId w:val="9"/>
  </w:num>
  <w:num w:numId="2" w16cid:durableId="167333053">
    <w:abstractNumId w:val="13"/>
  </w:num>
  <w:num w:numId="3" w16cid:durableId="189157758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03106915">
    <w:abstractNumId w:val="35"/>
  </w:num>
  <w:num w:numId="5" w16cid:durableId="212599820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83740251">
    <w:abstractNumId w:val="24"/>
  </w:num>
  <w:num w:numId="7" w16cid:durableId="1226913539">
    <w:abstractNumId w:val="20"/>
  </w:num>
  <w:num w:numId="8" w16cid:durableId="599215065">
    <w:abstractNumId w:val="8"/>
  </w:num>
  <w:num w:numId="9" w16cid:durableId="2031644641">
    <w:abstractNumId w:val="7"/>
  </w:num>
  <w:num w:numId="10" w16cid:durableId="1092891155">
    <w:abstractNumId w:val="33"/>
  </w:num>
  <w:num w:numId="11" w16cid:durableId="1907104691">
    <w:abstractNumId w:val="36"/>
  </w:num>
  <w:num w:numId="12" w16cid:durableId="51199480">
    <w:abstractNumId w:val="34"/>
  </w:num>
  <w:num w:numId="13" w16cid:durableId="1976720153">
    <w:abstractNumId w:val="39"/>
  </w:num>
  <w:num w:numId="14" w16cid:durableId="1375690653">
    <w:abstractNumId w:val="17"/>
  </w:num>
  <w:num w:numId="15" w16cid:durableId="1240402151">
    <w:abstractNumId w:val="28"/>
  </w:num>
  <w:num w:numId="16" w16cid:durableId="975187432">
    <w:abstractNumId w:val="4"/>
  </w:num>
  <w:num w:numId="17" w16cid:durableId="1867600656">
    <w:abstractNumId w:val="31"/>
  </w:num>
  <w:num w:numId="18" w16cid:durableId="503472073">
    <w:abstractNumId w:val="1"/>
  </w:num>
  <w:num w:numId="19" w16cid:durableId="1784031062">
    <w:abstractNumId w:val="0"/>
  </w:num>
  <w:num w:numId="20" w16cid:durableId="1439989596">
    <w:abstractNumId w:val="5"/>
  </w:num>
  <w:num w:numId="21" w16cid:durableId="1016275709">
    <w:abstractNumId w:val="15"/>
  </w:num>
  <w:num w:numId="22" w16cid:durableId="151063031">
    <w:abstractNumId w:val="22"/>
  </w:num>
  <w:num w:numId="23" w16cid:durableId="53816324">
    <w:abstractNumId w:val="12"/>
  </w:num>
  <w:num w:numId="24" w16cid:durableId="1094087480">
    <w:abstractNumId w:val="32"/>
  </w:num>
  <w:num w:numId="25" w16cid:durableId="1749956519">
    <w:abstractNumId w:val="19"/>
  </w:num>
  <w:num w:numId="26" w16cid:durableId="190800748">
    <w:abstractNumId w:val="10"/>
  </w:num>
  <w:num w:numId="27" w16cid:durableId="397703930">
    <w:abstractNumId w:val="23"/>
  </w:num>
  <w:num w:numId="28" w16cid:durableId="2000887330">
    <w:abstractNumId w:val="2"/>
  </w:num>
  <w:num w:numId="29" w16cid:durableId="404423481">
    <w:abstractNumId w:val="37"/>
  </w:num>
  <w:num w:numId="30" w16cid:durableId="962618137">
    <w:abstractNumId w:val="11"/>
  </w:num>
  <w:num w:numId="31" w16cid:durableId="1390108512">
    <w:abstractNumId w:val="14"/>
  </w:num>
  <w:num w:numId="32" w16cid:durableId="55207693">
    <w:abstractNumId w:val="27"/>
  </w:num>
  <w:num w:numId="33" w16cid:durableId="1832794821">
    <w:abstractNumId w:val="30"/>
  </w:num>
  <w:num w:numId="34" w16cid:durableId="1959412921">
    <w:abstractNumId w:val="16"/>
  </w:num>
  <w:num w:numId="35" w16cid:durableId="196967872">
    <w:abstractNumId w:val="40"/>
  </w:num>
  <w:num w:numId="36" w16cid:durableId="2031370701">
    <w:abstractNumId w:val="21"/>
  </w:num>
  <w:num w:numId="37" w16cid:durableId="127818530">
    <w:abstractNumId w:val="18"/>
  </w:num>
  <w:num w:numId="38" w16cid:durableId="1008143154">
    <w:abstractNumId w:val="25"/>
  </w:num>
  <w:num w:numId="39" w16cid:durableId="1151482035">
    <w:abstractNumId w:val="6"/>
  </w:num>
  <w:num w:numId="40" w16cid:durableId="275412417">
    <w:abstractNumId w:val="3"/>
  </w:num>
  <w:num w:numId="41" w16cid:durableId="1561405956">
    <w:abstractNumId w:val="38"/>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doNotTrackMov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442F5"/>
    <w:rsid w:val="00001A9C"/>
    <w:rsid w:val="0000461B"/>
    <w:rsid w:val="00004DA7"/>
    <w:rsid w:val="00011908"/>
    <w:rsid w:val="0001211F"/>
    <w:rsid w:val="00012F14"/>
    <w:rsid w:val="00015204"/>
    <w:rsid w:val="00015E2B"/>
    <w:rsid w:val="000166FC"/>
    <w:rsid w:val="00016884"/>
    <w:rsid w:val="00016924"/>
    <w:rsid w:val="00020ECB"/>
    <w:rsid w:val="0002251B"/>
    <w:rsid w:val="000236B2"/>
    <w:rsid w:val="00026DCF"/>
    <w:rsid w:val="00030283"/>
    <w:rsid w:val="0003031C"/>
    <w:rsid w:val="000314D8"/>
    <w:rsid w:val="00033005"/>
    <w:rsid w:val="0003339A"/>
    <w:rsid w:val="00033BA9"/>
    <w:rsid w:val="00034704"/>
    <w:rsid w:val="00034A1B"/>
    <w:rsid w:val="000369C2"/>
    <w:rsid w:val="00041455"/>
    <w:rsid w:val="0004197A"/>
    <w:rsid w:val="00042D7B"/>
    <w:rsid w:val="0004325C"/>
    <w:rsid w:val="000442F5"/>
    <w:rsid w:val="0004464A"/>
    <w:rsid w:val="0004513C"/>
    <w:rsid w:val="000456D8"/>
    <w:rsid w:val="0004717F"/>
    <w:rsid w:val="00050EB9"/>
    <w:rsid w:val="00051090"/>
    <w:rsid w:val="000522D3"/>
    <w:rsid w:val="000531F9"/>
    <w:rsid w:val="00054125"/>
    <w:rsid w:val="0005413D"/>
    <w:rsid w:val="00054C3D"/>
    <w:rsid w:val="00054C7D"/>
    <w:rsid w:val="000575C3"/>
    <w:rsid w:val="00062608"/>
    <w:rsid w:val="00063688"/>
    <w:rsid w:val="0006674F"/>
    <w:rsid w:val="00067138"/>
    <w:rsid w:val="0006798B"/>
    <w:rsid w:val="00074701"/>
    <w:rsid w:val="000779F9"/>
    <w:rsid w:val="00080476"/>
    <w:rsid w:val="00081E48"/>
    <w:rsid w:val="00082E97"/>
    <w:rsid w:val="000A055E"/>
    <w:rsid w:val="000A14EF"/>
    <w:rsid w:val="000A1FC2"/>
    <w:rsid w:val="000A276B"/>
    <w:rsid w:val="000A5825"/>
    <w:rsid w:val="000A5C13"/>
    <w:rsid w:val="000A671A"/>
    <w:rsid w:val="000B0545"/>
    <w:rsid w:val="000B0AAF"/>
    <w:rsid w:val="000B1BDB"/>
    <w:rsid w:val="000B3833"/>
    <w:rsid w:val="000B3DE1"/>
    <w:rsid w:val="000B4557"/>
    <w:rsid w:val="000B46CA"/>
    <w:rsid w:val="000C2C10"/>
    <w:rsid w:val="000C3517"/>
    <w:rsid w:val="000C614B"/>
    <w:rsid w:val="000C64AD"/>
    <w:rsid w:val="000D2089"/>
    <w:rsid w:val="000D23DD"/>
    <w:rsid w:val="000D3C54"/>
    <w:rsid w:val="000D7371"/>
    <w:rsid w:val="000E7DFF"/>
    <w:rsid w:val="000F176E"/>
    <w:rsid w:val="000F2D1E"/>
    <w:rsid w:val="000F6575"/>
    <w:rsid w:val="00100464"/>
    <w:rsid w:val="00102684"/>
    <w:rsid w:val="00102E32"/>
    <w:rsid w:val="00105CC5"/>
    <w:rsid w:val="00115C85"/>
    <w:rsid w:val="001169CB"/>
    <w:rsid w:val="00117CBD"/>
    <w:rsid w:val="00120336"/>
    <w:rsid w:val="0012340C"/>
    <w:rsid w:val="00124329"/>
    <w:rsid w:val="001243C2"/>
    <w:rsid w:val="0012481A"/>
    <w:rsid w:val="00124B6F"/>
    <w:rsid w:val="00125122"/>
    <w:rsid w:val="00126334"/>
    <w:rsid w:val="001368AC"/>
    <w:rsid w:val="0013713F"/>
    <w:rsid w:val="0013791D"/>
    <w:rsid w:val="00137C03"/>
    <w:rsid w:val="00140522"/>
    <w:rsid w:val="00142B91"/>
    <w:rsid w:val="00143ABF"/>
    <w:rsid w:val="00144C96"/>
    <w:rsid w:val="001474B5"/>
    <w:rsid w:val="00150788"/>
    <w:rsid w:val="0015340B"/>
    <w:rsid w:val="001548B6"/>
    <w:rsid w:val="001555F0"/>
    <w:rsid w:val="001620DB"/>
    <w:rsid w:val="001622D8"/>
    <w:rsid w:val="00162A94"/>
    <w:rsid w:val="00164ADE"/>
    <w:rsid w:val="0016750C"/>
    <w:rsid w:val="00170FBF"/>
    <w:rsid w:val="0017251B"/>
    <w:rsid w:val="00173E14"/>
    <w:rsid w:val="001759B4"/>
    <w:rsid w:val="00175C89"/>
    <w:rsid w:val="0017744F"/>
    <w:rsid w:val="00181BB0"/>
    <w:rsid w:val="0018463C"/>
    <w:rsid w:val="001870A1"/>
    <w:rsid w:val="001874A6"/>
    <w:rsid w:val="00191564"/>
    <w:rsid w:val="00193E48"/>
    <w:rsid w:val="001943A8"/>
    <w:rsid w:val="00196847"/>
    <w:rsid w:val="00197CE8"/>
    <w:rsid w:val="001A03C6"/>
    <w:rsid w:val="001A7BBF"/>
    <w:rsid w:val="001A7CAC"/>
    <w:rsid w:val="001B0D9B"/>
    <w:rsid w:val="001B645C"/>
    <w:rsid w:val="001B6590"/>
    <w:rsid w:val="001B6DD1"/>
    <w:rsid w:val="001C1CEF"/>
    <w:rsid w:val="001C27EF"/>
    <w:rsid w:val="001C4D88"/>
    <w:rsid w:val="001C5A50"/>
    <w:rsid w:val="001C7129"/>
    <w:rsid w:val="001D2520"/>
    <w:rsid w:val="001D3382"/>
    <w:rsid w:val="001D69A5"/>
    <w:rsid w:val="001D7EE4"/>
    <w:rsid w:val="001E6859"/>
    <w:rsid w:val="001F17A4"/>
    <w:rsid w:val="001F444E"/>
    <w:rsid w:val="001F5125"/>
    <w:rsid w:val="001F56DC"/>
    <w:rsid w:val="001F7806"/>
    <w:rsid w:val="0020109B"/>
    <w:rsid w:val="0020702F"/>
    <w:rsid w:val="00207312"/>
    <w:rsid w:val="0020770B"/>
    <w:rsid w:val="00207D52"/>
    <w:rsid w:val="00210BE0"/>
    <w:rsid w:val="00211A92"/>
    <w:rsid w:val="002125D2"/>
    <w:rsid w:val="0021413B"/>
    <w:rsid w:val="00217A1A"/>
    <w:rsid w:val="00222274"/>
    <w:rsid w:val="0022598D"/>
    <w:rsid w:val="002260E0"/>
    <w:rsid w:val="00230614"/>
    <w:rsid w:val="0023543E"/>
    <w:rsid w:val="00235A26"/>
    <w:rsid w:val="002377EE"/>
    <w:rsid w:val="00237F5F"/>
    <w:rsid w:val="002414F2"/>
    <w:rsid w:val="002464D3"/>
    <w:rsid w:val="00250081"/>
    <w:rsid w:val="00250481"/>
    <w:rsid w:val="0025374D"/>
    <w:rsid w:val="002565B7"/>
    <w:rsid w:val="00256F72"/>
    <w:rsid w:val="0025777C"/>
    <w:rsid w:val="00262A6D"/>
    <w:rsid w:val="00263A65"/>
    <w:rsid w:val="00264FE6"/>
    <w:rsid w:val="00265702"/>
    <w:rsid w:val="002727F7"/>
    <w:rsid w:val="00277BC0"/>
    <w:rsid w:val="00280D61"/>
    <w:rsid w:val="00284535"/>
    <w:rsid w:val="00284ADA"/>
    <w:rsid w:val="0029002E"/>
    <w:rsid w:val="0029110A"/>
    <w:rsid w:val="00291ACC"/>
    <w:rsid w:val="002928CD"/>
    <w:rsid w:val="00293076"/>
    <w:rsid w:val="002933E1"/>
    <w:rsid w:val="00295028"/>
    <w:rsid w:val="00295065"/>
    <w:rsid w:val="0029549F"/>
    <w:rsid w:val="002955E1"/>
    <w:rsid w:val="00295C90"/>
    <w:rsid w:val="0029714D"/>
    <w:rsid w:val="002A11D4"/>
    <w:rsid w:val="002A2303"/>
    <w:rsid w:val="002A2FF0"/>
    <w:rsid w:val="002A3B51"/>
    <w:rsid w:val="002A463C"/>
    <w:rsid w:val="002B0498"/>
    <w:rsid w:val="002B0F24"/>
    <w:rsid w:val="002B4509"/>
    <w:rsid w:val="002B52B3"/>
    <w:rsid w:val="002B70C6"/>
    <w:rsid w:val="002B7417"/>
    <w:rsid w:val="002B7718"/>
    <w:rsid w:val="002C0264"/>
    <w:rsid w:val="002C1559"/>
    <w:rsid w:val="002C1617"/>
    <w:rsid w:val="002C3BBC"/>
    <w:rsid w:val="002C4CEE"/>
    <w:rsid w:val="002C6636"/>
    <w:rsid w:val="002C6BE5"/>
    <w:rsid w:val="002D014F"/>
    <w:rsid w:val="002D1ED7"/>
    <w:rsid w:val="002D3277"/>
    <w:rsid w:val="002D67D0"/>
    <w:rsid w:val="002D6F97"/>
    <w:rsid w:val="002D7A99"/>
    <w:rsid w:val="002E0CE8"/>
    <w:rsid w:val="002E10AC"/>
    <w:rsid w:val="002E1321"/>
    <w:rsid w:val="002E1B91"/>
    <w:rsid w:val="002F16BD"/>
    <w:rsid w:val="002F3E3B"/>
    <w:rsid w:val="002F4845"/>
    <w:rsid w:val="002F4F73"/>
    <w:rsid w:val="0030040A"/>
    <w:rsid w:val="00303CDD"/>
    <w:rsid w:val="00304535"/>
    <w:rsid w:val="00305DC0"/>
    <w:rsid w:val="00307FC7"/>
    <w:rsid w:val="00312A8F"/>
    <w:rsid w:val="00313947"/>
    <w:rsid w:val="003151F7"/>
    <w:rsid w:val="00321874"/>
    <w:rsid w:val="00321FD4"/>
    <w:rsid w:val="00324224"/>
    <w:rsid w:val="00325713"/>
    <w:rsid w:val="00326F40"/>
    <w:rsid w:val="00327439"/>
    <w:rsid w:val="003342BE"/>
    <w:rsid w:val="003358B3"/>
    <w:rsid w:val="00336A87"/>
    <w:rsid w:val="00341B7A"/>
    <w:rsid w:val="00341C6B"/>
    <w:rsid w:val="00342D59"/>
    <w:rsid w:val="00343948"/>
    <w:rsid w:val="00345523"/>
    <w:rsid w:val="003458AA"/>
    <w:rsid w:val="00346146"/>
    <w:rsid w:val="003469DB"/>
    <w:rsid w:val="00355ECB"/>
    <w:rsid w:val="0036238A"/>
    <w:rsid w:val="00363A2F"/>
    <w:rsid w:val="0036428C"/>
    <w:rsid w:val="00364FC0"/>
    <w:rsid w:val="003661A8"/>
    <w:rsid w:val="003664A8"/>
    <w:rsid w:val="00370DD5"/>
    <w:rsid w:val="00372914"/>
    <w:rsid w:val="00373272"/>
    <w:rsid w:val="003739AF"/>
    <w:rsid w:val="00374DC2"/>
    <w:rsid w:val="00374F76"/>
    <w:rsid w:val="003764EE"/>
    <w:rsid w:val="003765A5"/>
    <w:rsid w:val="00384B34"/>
    <w:rsid w:val="00387A82"/>
    <w:rsid w:val="0039008E"/>
    <w:rsid w:val="00391015"/>
    <w:rsid w:val="00392A3E"/>
    <w:rsid w:val="00393A93"/>
    <w:rsid w:val="0039646D"/>
    <w:rsid w:val="00396BCE"/>
    <w:rsid w:val="003A0C94"/>
    <w:rsid w:val="003A66DE"/>
    <w:rsid w:val="003A77D8"/>
    <w:rsid w:val="003B58FE"/>
    <w:rsid w:val="003C1D16"/>
    <w:rsid w:val="003C1D18"/>
    <w:rsid w:val="003C33B1"/>
    <w:rsid w:val="003C4F59"/>
    <w:rsid w:val="003C668A"/>
    <w:rsid w:val="003D0AAE"/>
    <w:rsid w:val="003D433B"/>
    <w:rsid w:val="003D476F"/>
    <w:rsid w:val="003D4D77"/>
    <w:rsid w:val="003E2897"/>
    <w:rsid w:val="003E4266"/>
    <w:rsid w:val="003E6E6B"/>
    <w:rsid w:val="003E70DB"/>
    <w:rsid w:val="003F629D"/>
    <w:rsid w:val="00401264"/>
    <w:rsid w:val="00403BCE"/>
    <w:rsid w:val="004065A8"/>
    <w:rsid w:val="00407C0A"/>
    <w:rsid w:val="0041079D"/>
    <w:rsid w:val="00411A2F"/>
    <w:rsid w:val="004133BD"/>
    <w:rsid w:val="004152C3"/>
    <w:rsid w:val="00415614"/>
    <w:rsid w:val="004165E0"/>
    <w:rsid w:val="00416B1E"/>
    <w:rsid w:val="00416D76"/>
    <w:rsid w:val="00421F63"/>
    <w:rsid w:val="00423F83"/>
    <w:rsid w:val="004261E0"/>
    <w:rsid w:val="00427762"/>
    <w:rsid w:val="00431D32"/>
    <w:rsid w:val="00432738"/>
    <w:rsid w:val="0043413B"/>
    <w:rsid w:val="00435C49"/>
    <w:rsid w:val="00441F0B"/>
    <w:rsid w:val="00444B6D"/>
    <w:rsid w:val="00445F48"/>
    <w:rsid w:val="004473F5"/>
    <w:rsid w:val="004525DA"/>
    <w:rsid w:val="00452F5A"/>
    <w:rsid w:val="00453B4F"/>
    <w:rsid w:val="004556D2"/>
    <w:rsid w:val="004569F7"/>
    <w:rsid w:val="004668F8"/>
    <w:rsid w:val="004677FA"/>
    <w:rsid w:val="00470DD0"/>
    <w:rsid w:val="00471B74"/>
    <w:rsid w:val="004748A9"/>
    <w:rsid w:val="004755F4"/>
    <w:rsid w:val="004776A4"/>
    <w:rsid w:val="0048026D"/>
    <w:rsid w:val="004810CA"/>
    <w:rsid w:val="00483882"/>
    <w:rsid w:val="00484374"/>
    <w:rsid w:val="004901DA"/>
    <w:rsid w:val="004942AB"/>
    <w:rsid w:val="00497548"/>
    <w:rsid w:val="00497669"/>
    <w:rsid w:val="004A0EB6"/>
    <w:rsid w:val="004A1D89"/>
    <w:rsid w:val="004B0C34"/>
    <w:rsid w:val="004B10B5"/>
    <w:rsid w:val="004B2EF3"/>
    <w:rsid w:val="004B5C2A"/>
    <w:rsid w:val="004B72C8"/>
    <w:rsid w:val="004B74BC"/>
    <w:rsid w:val="004C0064"/>
    <w:rsid w:val="004C2637"/>
    <w:rsid w:val="004C4E88"/>
    <w:rsid w:val="004C61B3"/>
    <w:rsid w:val="004D061A"/>
    <w:rsid w:val="004D1161"/>
    <w:rsid w:val="004D14A6"/>
    <w:rsid w:val="004D34AD"/>
    <w:rsid w:val="004D6830"/>
    <w:rsid w:val="004D6B12"/>
    <w:rsid w:val="004E0647"/>
    <w:rsid w:val="004E1CCE"/>
    <w:rsid w:val="004E6A0A"/>
    <w:rsid w:val="004F16F9"/>
    <w:rsid w:val="004F192A"/>
    <w:rsid w:val="004F1FC4"/>
    <w:rsid w:val="004F668D"/>
    <w:rsid w:val="005003AE"/>
    <w:rsid w:val="0050139C"/>
    <w:rsid w:val="00501DBF"/>
    <w:rsid w:val="0050219C"/>
    <w:rsid w:val="005021C4"/>
    <w:rsid w:val="00502FC2"/>
    <w:rsid w:val="005039EF"/>
    <w:rsid w:val="00503FD6"/>
    <w:rsid w:val="00504F2E"/>
    <w:rsid w:val="00507D75"/>
    <w:rsid w:val="005105A1"/>
    <w:rsid w:val="0051165C"/>
    <w:rsid w:val="00512A31"/>
    <w:rsid w:val="0051324D"/>
    <w:rsid w:val="00514375"/>
    <w:rsid w:val="00516BAF"/>
    <w:rsid w:val="00523E17"/>
    <w:rsid w:val="00524B1A"/>
    <w:rsid w:val="00526607"/>
    <w:rsid w:val="00526ADF"/>
    <w:rsid w:val="00526E16"/>
    <w:rsid w:val="0053006D"/>
    <w:rsid w:val="005333AD"/>
    <w:rsid w:val="005333EE"/>
    <w:rsid w:val="00533AE4"/>
    <w:rsid w:val="00543B5E"/>
    <w:rsid w:val="005440AC"/>
    <w:rsid w:val="0054472A"/>
    <w:rsid w:val="0054476F"/>
    <w:rsid w:val="00544B04"/>
    <w:rsid w:val="00545B2F"/>
    <w:rsid w:val="00546CDE"/>
    <w:rsid w:val="005536DD"/>
    <w:rsid w:val="00554E1F"/>
    <w:rsid w:val="0055655C"/>
    <w:rsid w:val="00557962"/>
    <w:rsid w:val="00560F07"/>
    <w:rsid w:val="00562354"/>
    <w:rsid w:val="005635EF"/>
    <w:rsid w:val="00564D5B"/>
    <w:rsid w:val="00566315"/>
    <w:rsid w:val="00570826"/>
    <w:rsid w:val="00571910"/>
    <w:rsid w:val="0057276B"/>
    <w:rsid w:val="0057408B"/>
    <w:rsid w:val="00574327"/>
    <w:rsid w:val="00576C43"/>
    <w:rsid w:val="00577AF5"/>
    <w:rsid w:val="005832CC"/>
    <w:rsid w:val="0058489E"/>
    <w:rsid w:val="0058494E"/>
    <w:rsid w:val="00584A3A"/>
    <w:rsid w:val="00592A5F"/>
    <w:rsid w:val="0059425F"/>
    <w:rsid w:val="00597508"/>
    <w:rsid w:val="005A370E"/>
    <w:rsid w:val="005A412F"/>
    <w:rsid w:val="005A4D83"/>
    <w:rsid w:val="005A7294"/>
    <w:rsid w:val="005B1A69"/>
    <w:rsid w:val="005B2FED"/>
    <w:rsid w:val="005B40D5"/>
    <w:rsid w:val="005B7DF0"/>
    <w:rsid w:val="005C0B39"/>
    <w:rsid w:val="005C0DBD"/>
    <w:rsid w:val="005C2ABA"/>
    <w:rsid w:val="005C5481"/>
    <w:rsid w:val="005C6138"/>
    <w:rsid w:val="005C6594"/>
    <w:rsid w:val="005C7B32"/>
    <w:rsid w:val="005D490D"/>
    <w:rsid w:val="005E0688"/>
    <w:rsid w:val="005E1022"/>
    <w:rsid w:val="005E3625"/>
    <w:rsid w:val="005F0397"/>
    <w:rsid w:val="005F0E0A"/>
    <w:rsid w:val="005F14EB"/>
    <w:rsid w:val="005F4A56"/>
    <w:rsid w:val="005F6E6B"/>
    <w:rsid w:val="00606D3F"/>
    <w:rsid w:val="00607E18"/>
    <w:rsid w:val="00611562"/>
    <w:rsid w:val="00613560"/>
    <w:rsid w:val="0061499B"/>
    <w:rsid w:val="00615130"/>
    <w:rsid w:val="006155E5"/>
    <w:rsid w:val="006209FA"/>
    <w:rsid w:val="00622E98"/>
    <w:rsid w:val="00627715"/>
    <w:rsid w:val="00630639"/>
    <w:rsid w:val="00631A11"/>
    <w:rsid w:val="00632414"/>
    <w:rsid w:val="00633726"/>
    <w:rsid w:val="00633A78"/>
    <w:rsid w:val="0064082D"/>
    <w:rsid w:val="006445C3"/>
    <w:rsid w:val="006461A6"/>
    <w:rsid w:val="00646D6A"/>
    <w:rsid w:val="006538C6"/>
    <w:rsid w:val="00653DDC"/>
    <w:rsid w:val="00654021"/>
    <w:rsid w:val="006563CE"/>
    <w:rsid w:val="00660F14"/>
    <w:rsid w:val="00663008"/>
    <w:rsid w:val="006630EE"/>
    <w:rsid w:val="00663F9A"/>
    <w:rsid w:val="00665AC2"/>
    <w:rsid w:val="00665B4F"/>
    <w:rsid w:val="006668D8"/>
    <w:rsid w:val="00671053"/>
    <w:rsid w:val="0067348B"/>
    <w:rsid w:val="006773CE"/>
    <w:rsid w:val="00677805"/>
    <w:rsid w:val="00677E67"/>
    <w:rsid w:val="00684B3B"/>
    <w:rsid w:val="006906AE"/>
    <w:rsid w:val="00697188"/>
    <w:rsid w:val="00697BDC"/>
    <w:rsid w:val="006B0930"/>
    <w:rsid w:val="006B0FB0"/>
    <w:rsid w:val="006B1712"/>
    <w:rsid w:val="006B2D40"/>
    <w:rsid w:val="006B3DE1"/>
    <w:rsid w:val="006B59A2"/>
    <w:rsid w:val="006B6657"/>
    <w:rsid w:val="006B7161"/>
    <w:rsid w:val="006C0335"/>
    <w:rsid w:val="006C262A"/>
    <w:rsid w:val="006D10E1"/>
    <w:rsid w:val="006D3167"/>
    <w:rsid w:val="006D38D6"/>
    <w:rsid w:val="006D6281"/>
    <w:rsid w:val="006D6AED"/>
    <w:rsid w:val="006E34F7"/>
    <w:rsid w:val="006E59A1"/>
    <w:rsid w:val="006F256F"/>
    <w:rsid w:val="006F2898"/>
    <w:rsid w:val="006F39D2"/>
    <w:rsid w:val="006F4C1A"/>
    <w:rsid w:val="006F55B6"/>
    <w:rsid w:val="006F666A"/>
    <w:rsid w:val="006F700D"/>
    <w:rsid w:val="007009D9"/>
    <w:rsid w:val="007019E7"/>
    <w:rsid w:val="0070514E"/>
    <w:rsid w:val="0070551A"/>
    <w:rsid w:val="0070594E"/>
    <w:rsid w:val="00710029"/>
    <w:rsid w:val="00710EED"/>
    <w:rsid w:val="00711243"/>
    <w:rsid w:val="007123ED"/>
    <w:rsid w:val="00712B3C"/>
    <w:rsid w:val="007133EC"/>
    <w:rsid w:val="00717049"/>
    <w:rsid w:val="0071799C"/>
    <w:rsid w:val="00720766"/>
    <w:rsid w:val="00720951"/>
    <w:rsid w:val="007210F3"/>
    <w:rsid w:val="0072121D"/>
    <w:rsid w:val="00721FF8"/>
    <w:rsid w:val="007237B8"/>
    <w:rsid w:val="0072538B"/>
    <w:rsid w:val="007257F0"/>
    <w:rsid w:val="00725C45"/>
    <w:rsid w:val="00726FB4"/>
    <w:rsid w:val="00727DA8"/>
    <w:rsid w:val="007302C9"/>
    <w:rsid w:val="007315B8"/>
    <w:rsid w:val="00734FD0"/>
    <w:rsid w:val="007366E4"/>
    <w:rsid w:val="00741A7A"/>
    <w:rsid w:val="00741C93"/>
    <w:rsid w:val="00745B62"/>
    <w:rsid w:val="0074772E"/>
    <w:rsid w:val="00750C29"/>
    <w:rsid w:val="00752850"/>
    <w:rsid w:val="00753463"/>
    <w:rsid w:val="00753B93"/>
    <w:rsid w:val="00754C35"/>
    <w:rsid w:val="0075622E"/>
    <w:rsid w:val="00757930"/>
    <w:rsid w:val="00757E45"/>
    <w:rsid w:val="007629B8"/>
    <w:rsid w:val="00763003"/>
    <w:rsid w:val="00764CD2"/>
    <w:rsid w:val="00767FB5"/>
    <w:rsid w:val="0077075F"/>
    <w:rsid w:val="00770BD4"/>
    <w:rsid w:val="007746DD"/>
    <w:rsid w:val="007754A5"/>
    <w:rsid w:val="00775A33"/>
    <w:rsid w:val="00775A7E"/>
    <w:rsid w:val="0078387C"/>
    <w:rsid w:val="00785906"/>
    <w:rsid w:val="007979CA"/>
    <w:rsid w:val="007A002C"/>
    <w:rsid w:val="007A4CB6"/>
    <w:rsid w:val="007A4DBB"/>
    <w:rsid w:val="007A56A1"/>
    <w:rsid w:val="007A5DD1"/>
    <w:rsid w:val="007A5F19"/>
    <w:rsid w:val="007A704E"/>
    <w:rsid w:val="007B1CF1"/>
    <w:rsid w:val="007B32B8"/>
    <w:rsid w:val="007B485D"/>
    <w:rsid w:val="007B706A"/>
    <w:rsid w:val="007B7B48"/>
    <w:rsid w:val="007C0A44"/>
    <w:rsid w:val="007C0C88"/>
    <w:rsid w:val="007C2A01"/>
    <w:rsid w:val="007C4E0C"/>
    <w:rsid w:val="007C558A"/>
    <w:rsid w:val="007C72F6"/>
    <w:rsid w:val="007D1E08"/>
    <w:rsid w:val="007D3544"/>
    <w:rsid w:val="007E1D76"/>
    <w:rsid w:val="007E3BA1"/>
    <w:rsid w:val="007E434C"/>
    <w:rsid w:val="007E4583"/>
    <w:rsid w:val="007E61BB"/>
    <w:rsid w:val="007E798E"/>
    <w:rsid w:val="007F0A5C"/>
    <w:rsid w:val="007F119D"/>
    <w:rsid w:val="007F2769"/>
    <w:rsid w:val="007F2D9B"/>
    <w:rsid w:val="007F5375"/>
    <w:rsid w:val="007F648C"/>
    <w:rsid w:val="007F77C3"/>
    <w:rsid w:val="007F7B2E"/>
    <w:rsid w:val="00803223"/>
    <w:rsid w:val="00805640"/>
    <w:rsid w:val="0080609B"/>
    <w:rsid w:val="00807298"/>
    <w:rsid w:val="0080741F"/>
    <w:rsid w:val="00807B85"/>
    <w:rsid w:val="00807C9E"/>
    <w:rsid w:val="00812A88"/>
    <w:rsid w:val="00815B50"/>
    <w:rsid w:val="00815E69"/>
    <w:rsid w:val="008168FD"/>
    <w:rsid w:val="00816A2B"/>
    <w:rsid w:val="008172E2"/>
    <w:rsid w:val="00820985"/>
    <w:rsid w:val="00821F07"/>
    <w:rsid w:val="00825414"/>
    <w:rsid w:val="00825B94"/>
    <w:rsid w:val="0082799F"/>
    <w:rsid w:val="008309FC"/>
    <w:rsid w:val="008317D4"/>
    <w:rsid w:val="00832FB6"/>
    <w:rsid w:val="008334E3"/>
    <w:rsid w:val="00833705"/>
    <w:rsid w:val="00836324"/>
    <w:rsid w:val="00836816"/>
    <w:rsid w:val="00843D95"/>
    <w:rsid w:val="00844945"/>
    <w:rsid w:val="00846B27"/>
    <w:rsid w:val="00846CE7"/>
    <w:rsid w:val="008514DC"/>
    <w:rsid w:val="008515FB"/>
    <w:rsid w:val="0085208E"/>
    <w:rsid w:val="00853AC4"/>
    <w:rsid w:val="008566EE"/>
    <w:rsid w:val="008618B1"/>
    <w:rsid w:val="00861BFF"/>
    <w:rsid w:val="00861D9F"/>
    <w:rsid w:val="00863406"/>
    <w:rsid w:val="00863626"/>
    <w:rsid w:val="00864DCD"/>
    <w:rsid w:val="00865A9D"/>
    <w:rsid w:val="00866C66"/>
    <w:rsid w:val="008674C0"/>
    <w:rsid w:val="00870C6A"/>
    <w:rsid w:val="008806FA"/>
    <w:rsid w:val="0088099D"/>
    <w:rsid w:val="00880B87"/>
    <w:rsid w:val="00882890"/>
    <w:rsid w:val="008828D4"/>
    <w:rsid w:val="008848B5"/>
    <w:rsid w:val="008861D9"/>
    <w:rsid w:val="0088676B"/>
    <w:rsid w:val="00890F0D"/>
    <w:rsid w:val="0089255F"/>
    <w:rsid w:val="00892E05"/>
    <w:rsid w:val="008948A5"/>
    <w:rsid w:val="008969F9"/>
    <w:rsid w:val="00897919"/>
    <w:rsid w:val="008A18BC"/>
    <w:rsid w:val="008A3CB7"/>
    <w:rsid w:val="008A4ED4"/>
    <w:rsid w:val="008A559D"/>
    <w:rsid w:val="008A5B68"/>
    <w:rsid w:val="008A7E93"/>
    <w:rsid w:val="008B16AB"/>
    <w:rsid w:val="008B1CA3"/>
    <w:rsid w:val="008B1E43"/>
    <w:rsid w:val="008C3068"/>
    <w:rsid w:val="008C3AB2"/>
    <w:rsid w:val="008C5759"/>
    <w:rsid w:val="008D1DCC"/>
    <w:rsid w:val="008D2AB4"/>
    <w:rsid w:val="008D37F9"/>
    <w:rsid w:val="008D3BAA"/>
    <w:rsid w:val="008D5571"/>
    <w:rsid w:val="008D67DE"/>
    <w:rsid w:val="008D71EF"/>
    <w:rsid w:val="008E0275"/>
    <w:rsid w:val="008E4062"/>
    <w:rsid w:val="008E4E94"/>
    <w:rsid w:val="008F00AC"/>
    <w:rsid w:val="008F12AC"/>
    <w:rsid w:val="008F26C5"/>
    <w:rsid w:val="008F2CDE"/>
    <w:rsid w:val="008F5A1E"/>
    <w:rsid w:val="009000F0"/>
    <w:rsid w:val="00900825"/>
    <w:rsid w:val="0090138C"/>
    <w:rsid w:val="00904729"/>
    <w:rsid w:val="00904979"/>
    <w:rsid w:val="00915173"/>
    <w:rsid w:val="009159A7"/>
    <w:rsid w:val="009162D0"/>
    <w:rsid w:val="00917556"/>
    <w:rsid w:val="00917696"/>
    <w:rsid w:val="00920B9C"/>
    <w:rsid w:val="00921247"/>
    <w:rsid w:val="0092172E"/>
    <w:rsid w:val="00925EF8"/>
    <w:rsid w:val="0093046D"/>
    <w:rsid w:val="009304CF"/>
    <w:rsid w:val="009329F1"/>
    <w:rsid w:val="00932D56"/>
    <w:rsid w:val="00936573"/>
    <w:rsid w:val="009368F1"/>
    <w:rsid w:val="00936A04"/>
    <w:rsid w:val="00940D30"/>
    <w:rsid w:val="009412D3"/>
    <w:rsid w:val="009433B5"/>
    <w:rsid w:val="0094429F"/>
    <w:rsid w:val="00945368"/>
    <w:rsid w:val="00947BCE"/>
    <w:rsid w:val="00956BE2"/>
    <w:rsid w:val="00957D47"/>
    <w:rsid w:val="00961876"/>
    <w:rsid w:val="0096537D"/>
    <w:rsid w:val="00967292"/>
    <w:rsid w:val="0096752D"/>
    <w:rsid w:val="00970EF3"/>
    <w:rsid w:val="00971705"/>
    <w:rsid w:val="00972572"/>
    <w:rsid w:val="00980694"/>
    <w:rsid w:val="00980D9E"/>
    <w:rsid w:val="009813AF"/>
    <w:rsid w:val="00981863"/>
    <w:rsid w:val="0098393D"/>
    <w:rsid w:val="009861F5"/>
    <w:rsid w:val="0098722B"/>
    <w:rsid w:val="00990B4F"/>
    <w:rsid w:val="009916D5"/>
    <w:rsid w:val="009965BA"/>
    <w:rsid w:val="00996699"/>
    <w:rsid w:val="00997FE0"/>
    <w:rsid w:val="009A0915"/>
    <w:rsid w:val="009A1DEA"/>
    <w:rsid w:val="009A224C"/>
    <w:rsid w:val="009A4630"/>
    <w:rsid w:val="009A606D"/>
    <w:rsid w:val="009B04B1"/>
    <w:rsid w:val="009B23EB"/>
    <w:rsid w:val="009B2A4B"/>
    <w:rsid w:val="009B2F61"/>
    <w:rsid w:val="009B6EA8"/>
    <w:rsid w:val="009B6FDF"/>
    <w:rsid w:val="009C275F"/>
    <w:rsid w:val="009C5F81"/>
    <w:rsid w:val="009D0772"/>
    <w:rsid w:val="009D15AC"/>
    <w:rsid w:val="009D22F2"/>
    <w:rsid w:val="009D3BC5"/>
    <w:rsid w:val="009D65D3"/>
    <w:rsid w:val="009D6AD7"/>
    <w:rsid w:val="009E2C04"/>
    <w:rsid w:val="009E2EA1"/>
    <w:rsid w:val="009E309F"/>
    <w:rsid w:val="009E5AE0"/>
    <w:rsid w:val="009E7959"/>
    <w:rsid w:val="009F1C3C"/>
    <w:rsid w:val="009F264B"/>
    <w:rsid w:val="009F4041"/>
    <w:rsid w:val="009F5BAE"/>
    <w:rsid w:val="00A05235"/>
    <w:rsid w:val="00A05506"/>
    <w:rsid w:val="00A2108A"/>
    <w:rsid w:val="00A22402"/>
    <w:rsid w:val="00A25455"/>
    <w:rsid w:val="00A255BF"/>
    <w:rsid w:val="00A25D46"/>
    <w:rsid w:val="00A27600"/>
    <w:rsid w:val="00A27E0C"/>
    <w:rsid w:val="00A31B5C"/>
    <w:rsid w:val="00A32872"/>
    <w:rsid w:val="00A33BDE"/>
    <w:rsid w:val="00A35E9E"/>
    <w:rsid w:val="00A40CA2"/>
    <w:rsid w:val="00A42834"/>
    <w:rsid w:val="00A42A4F"/>
    <w:rsid w:val="00A45079"/>
    <w:rsid w:val="00A51C4A"/>
    <w:rsid w:val="00A51F4E"/>
    <w:rsid w:val="00A54EFB"/>
    <w:rsid w:val="00A567B2"/>
    <w:rsid w:val="00A56FE6"/>
    <w:rsid w:val="00A6007A"/>
    <w:rsid w:val="00A66FA2"/>
    <w:rsid w:val="00A70104"/>
    <w:rsid w:val="00A77677"/>
    <w:rsid w:val="00A77F76"/>
    <w:rsid w:val="00A84D63"/>
    <w:rsid w:val="00A86253"/>
    <w:rsid w:val="00A864A9"/>
    <w:rsid w:val="00A867DA"/>
    <w:rsid w:val="00A86D0B"/>
    <w:rsid w:val="00A94C5F"/>
    <w:rsid w:val="00A96327"/>
    <w:rsid w:val="00AA0C07"/>
    <w:rsid w:val="00AA0DC4"/>
    <w:rsid w:val="00AA1CA7"/>
    <w:rsid w:val="00AA251D"/>
    <w:rsid w:val="00AA36A9"/>
    <w:rsid w:val="00AA3AE2"/>
    <w:rsid w:val="00AA57E1"/>
    <w:rsid w:val="00AA5AF1"/>
    <w:rsid w:val="00AA6095"/>
    <w:rsid w:val="00AA6F85"/>
    <w:rsid w:val="00AA7DB4"/>
    <w:rsid w:val="00AB1DB6"/>
    <w:rsid w:val="00AB322D"/>
    <w:rsid w:val="00AB47A1"/>
    <w:rsid w:val="00AB4926"/>
    <w:rsid w:val="00AB7338"/>
    <w:rsid w:val="00AB745F"/>
    <w:rsid w:val="00AC16A7"/>
    <w:rsid w:val="00AC1835"/>
    <w:rsid w:val="00AC5B96"/>
    <w:rsid w:val="00AD0976"/>
    <w:rsid w:val="00AD3A3E"/>
    <w:rsid w:val="00AD6217"/>
    <w:rsid w:val="00AE4020"/>
    <w:rsid w:val="00AF1422"/>
    <w:rsid w:val="00AF203B"/>
    <w:rsid w:val="00AF3BAB"/>
    <w:rsid w:val="00AF3E4A"/>
    <w:rsid w:val="00AF516A"/>
    <w:rsid w:val="00AF520F"/>
    <w:rsid w:val="00B0125F"/>
    <w:rsid w:val="00B02BC1"/>
    <w:rsid w:val="00B049F9"/>
    <w:rsid w:val="00B05591"/>
    <w:rsid w:val="00B0615C"/>
    <w:rsid w:val="00B07E32"/>
    <w:rsid w:val="00B104B1"/>
    <w:rsid w:val="00B12528"/>
    <w:rsid w:val="00B13D02"/>
    <w:rsid w:val="00B13E24"/>
    <w:rsid w:val="00B13E4F"/>
    <w:rsid w:val="00B15313"/>
    <w:rsid w:val="00B17758"/>
    <w:rsid w:val="00B2002A"/>
    <w:rsid w:val="00B21377"/>
    <w:rsid w:val="00B21E90"/>
    <w:rsid w:val="00B223A4"/>
    <w:rsid w:val="00B22D69"/>
    <w:rsid w:val="00B246B7"/>
    <w:rsid w:val="00B249F6"/>
    <w:rsid w:val="00B24D9B"/>
    <w:rsid w:val="00B2631C"/>
    <w:rsid w:val="00B26532"/>
    <w:rsid w:val="00B27DBF"/>
    <w:rsid w:val="00B350DB"/>
    <w:rsid w:val="00B35F1C"/>
    <w:rsid w:val="00B36962"/>
    <w:rsid w:val="00B41851"/>
    <w:rsid w:val="00B418CC"/>
    <w:rsid w:val="00B420EA"/>
    <w:rsid w:val="00B42D95"/>
    <w:rsid w:val="00B444A2"/>
    <w:rsid w:val="00B45260"/>
    <w:rsid w:val="00B472DF"/>
    <w:rsid w:val="00B47AC1"/>
    <w:rsid w:val="00B47CDB"/>
    <w:rsid w:val="00B47D6F"/>
    <w:rsid w:val="00B54884"/>
    <w:rsid w:val="00B568A2"/>
    <w:rsid w:val="00B56D14"/>
    <w:rsid w:val="00B578A9"/>
    <w:rsid w:val="00B615B4"/>
    <w:rsid w:val="00B62EDD"/>
    <w:rsid w:val="00B70355"/>
    <w:rsid w:val="00B728A5"/>
    <w:rsid w:val="00B72939"/>
    <w:rsid w:val="00B76185"/>
    <w:rsid w:val="00B76FB9"/>
    <w:rsid w:val="00B815E3"/>
    <w:rsid w:val="00B87223"/>
    <w:rsid w:val="00B91BE0"/>
    <w:rsid w:val="00B932EC"/>
    <w:rsid w:val="00B9355B"/>
    <w:rsid w:val="00B942E0"/>
    <w:rsid w:val="00BA0515"/>
    <w:rsid w:val="00BA42C6"/>
    <w:rsid w:val="00BA5751"/>
    <w:rsid w:val="00BA65D4"/>
    <w:rsid w:val="00BB0FC6"/>
    <w:rsid w:val="00BB1DF5"/>
    <w:rsid w:val="00BB2068"/>
    <w:rsid w:val="00BB2FD0"/>
    <w:rsid w:val="00BB56D1"/>
    <w:rsid w:val="00BC0409"/>
    <w:rsid w:val="00BC1A80"/>
    <w:rsid w:val="00BC250F"/>
    <w:rsid w:val="00BC2DAA"/>
    <w:rsid w:val="00BC5DDD"/>
    <w:rsid w:val="00BC61CF"/>
    <w:rsid w:val="00BC7321"/>
    <w:rsid w:val="00BC7F53"/>
    <w:rsid w:val="00BD17BC"/>
    <w:rsid w:val="00BD193B"/>
    <w:rsid w:val="00BD2DC7"/>
    <w:rsid w:val="00BD2E36"/>
    <w:rsid w:val="00BD33A7"/>
    <w:rsid w:val="00BD7C58"/>
    <w:rsid w:val="00BE09C7"/>
    <w:rsid w:val="00BE4C16"/>
    <w:rsid w:val="00BE5CBB"/>
    <w:rsid w:val="00BE6629"/>
    <w:rsid w:val="00BE702A"/>
    <w:rsid w:val="00BF09E3"/>
    <w:rsid w:val="00BF1761"/>
    <w:rsid w:val="00BF1944"/>
    <w:rsid w:val="00BF32AF"/>
    <w:rsid w:val="00BF38BD"/>
    <w:rsid w:val="00BF53A3"/>
    <w:rsid w:val="00BF716C"/>
    <w:rsid w:val="00C0147D"/>
    <w:rsid w:val="00C020A0"/>
    <w:rsid w:val="00C0291D"/>
    <w:rsid w:val="00C041E3"/>
    <w:rsid w:val="00C068D1"/>
    <w:rsid w:val="00C07889"/>
    <w:rsid w:val="00C07AEA"/>
    <w:rsid w:val="00C109E2"/>
    <w:rsid w:val="00C11149"/>
    <w:rsid w:val="00C11603"/>
    <w:rsid w:val="00C121DE"/>
    <w:rsid w:val="00C122DD"/>
    <w:rsid w:val="00C13395"/>
    <w:rsid w:val="00C13B55"/>
    <w:rsid w:val="00C14706"/>
    <w:rsid w:val="00C158CA"/>
    <w:rsid w:val="00C1643D"/>
    <w:rsid w:val="00C17552"/>
    <w:rsid w:val="00C17702"/>
    <w:rsid w:val="00C24760"/>
    <w:rsid w:val="00C24D2F"/>
    <w:rsid w:val="00C2550E"/>
    <w:rsid w:val="00C25FDB"/>
    <w:rsid w:val="00C3175A"/>
    <w:rsid w:val="00C33721"/>
    <w:rsid w:val="00C347F6"/>
    <w:rsid w:val="00C34C79"/>
    <w:rsid w:val="00C40309"/>
    <w:rsid w:val="00C4221F"/>
    <w:rsid w:val="00C458F9"/>
    <w:rsid w:val="00C506E3"/>
    <w:rsid w:val="00C50CBE"/>
    <w:rsid w:val="00C50F7B"/>
    <w:rsid w:val="00C52389"/>
    <w:rsid w:val="00C52CE6"/>
    <w:rsid w:val="00C52CFD"/>
    <w:rsid w:val="00C53C43"/>
    <w:rsid w:val="00C55D4C"/>
    <w:rsid w:val="00C6021D"/>
    <w:rsid w:val="00C61829"/>
    <w:rsid w:val="00C63D7C"/>
    <w:rsid w:val="00C63FA7"/>
    <w:rsid w:val="00C64270"/>
    <w:rsid w:val="00C64A54"/>
    <w:rsid w:val="00C66590"/>
    <w:rsid w:val="00C667C0"/>
    <w:rsid w:val="00C702A2"/>
    <w:rsid w:val="00C707A0"/>
    <w:rsid w:val="00C70CD0"/>
    <w:rsid w:val="00C70D68"/>
    <w:rsid w:val="00C713DD"/>
    <w:rsid w:val="00C71DB2"/>
    <w:rsid w:val="00C77434"/>
    <w:rsid w:val="00C842AF"/>
    <w:rsid w:val="00C8481E"/>
    <w:rsid w:val="00C86C53"/>
    <w:rsid w:val="00C90797"/>
    <w:rsid w:val="00C90B4F"/>
    <w:rsid w:val="00C97812"/>
    <w:rsid w:val="00CA1921"/>
    <w:rsid w:val="00CA3172"/>
    <w:rsid w:val="00CA6577"/>
    <w:rsid w:val="00CA6ADC"/>
    <w:rsid w:val="00CA7111"/>
    <w:rsid w:val="00CA7A4A"/>
    <w:rsid w:val="00CB09E0"/>
    <w:rsid w:val="00CB0B5C"/>
    <w:rsid w:val="00CB1E0C"/>
    <w:rsid w:val="00CB253B"/>
    <w:rsid w:val="00CB43A7"/>
    <w:rsid w:val="00CC02E1"/>
    <w:rsid w:val="00CC09AC"/>
    <w:rsid w:val="00CC1756"/>
    <w:rsid w:val="00CC1A2C"/>
    <w:rsid w:val="00CC29A8"/>
    <w:rsid w:val="00CC2B48"/>
    <w:rsid w:val="00CC373C"/>
    <w:rsid w:val="00CC3843"/>
    <w:rsid w:val="00CC7D76"/>
    <w:rsid w:val="00CC7EFA"/>
    <w:rsid w:val="00CD498E"/>
    <w:rsid w:val="00CD4EC7"/>
    <w:rsid w:val="00CD6B86"/>
    <w:rsid w:val="00CD6ED4"/>
    <w:rsid w:val="00CE1ED6"/>
    <w:rsid w:val="00CF0917"/>
    <w:rsid w:val="00CF1135"/>
    <w:rsid w:val="00CF412D"/>
    <w:rsid w:val="00D00AB5"/>
    <w:rsid w:val="00D01C6E"/>
    <w:rsid w:val="00D06B73"/>
    <w:rsid w:val="00D073C2"/>
    <w:rsid w:val="00D07969"/>
    <w:rsid w:val="00D10FE7"/>
    <w:rsid w:val="00D12079"/>
    <w:rsid w:val="00D12D34"/>
    <w:rsid w:val="00D13239"/>
    <w:rsid w:val="00D1529E"/>
    <w:rsid w:val="00D24030"/>
    <w:rsid w:val="00D24240"/>
    <w:rsid w:val="00D25DD0"/>
    <w:rsid w:val="00D25FB9"/>
    <w:rsid w:val="00D2673A"/>
    <w:rsid w:val="00D271A2"/>
    <w:rsid w:val="00D27443"/>
    <w:rsid w:val="00D275BF"/>
    <w:rsid w:val="00D357DF"/>
    <w:rsid w:val="00D35C74"/>
    <w:rsid w:val="00D37676"/>
    <w:rsid w:val="00D43837"/>
    <w:rsid w:val="00D4550D"/>
    <w:rsid w:val="00D45D04"/>
    <w:rsid w:val="00D53859"/>
    <w:rsid w:val="00D53EDC"/>
    <w:rsid w:val="00D54947"/>
    <w:rsid w:val="00D55ACA"/>
    <w:rsid w:val="00D56E44"/>
    <w:rsid w:val="00D60473"/>
    <w:rsid w:val="00D605C9"/>
    <w:rsid w:val="00D6096B"/>
    <w:rsid w:val="00D61D41"/>
    <w:rsid w:val="00D65E69"/>
    <w:rsid w:val="00D7055C"/>
    <w:rsid w:val="00D70FE9"/>
    <w:rsid w:val="00D72D27"/>
    <w:rsid w:val="00D747C5"/>
    <w:rsid w:val="00D7525E"/>
    <w:rsid w:val="00D77A43"/>
    <w:rsid w:val="00D81C3B"/>
    <w:rsid w:val="00D84DA0"/>
    <w:rsid w:val="00D90307"/>
    <w:rsid w:val="00D90AAC"/>
    <w:rsid w:val="00D90BD8"/>
    <w:rsid w:val="00D93836"/>
    <w:rsid w:val="00D95B36"/>
    <w:rsid w:val="00D97B3D"/>
    <w:rsid w:val="00DA74C7"/>
    <w:rsid w:val="00DB09CF"/>
    <w:rsid w:val="00DB2066"/>
    <w:rsid w:val="00DB40A5"/>
    <w:rsid w:val="00DB681E"/>
    <w:rsid w:val="00DC012A"/>
    <w:rsid w:val="00DC11B9"/>
    <w:rsid w:val="00DC25E7"/>
    <w:rsid w:val="00DC347A"/>
    <w:rsid w:val="00DC5AF1"/>
    <w:rsid w:val="00DC68C6"/>
    <w:rsid w:val="00DD1BB0"/>
    <w:rsid w:val="00DD298A"/>
    <w:rsid w:val="00DD3E6F"/>
    <w:rsid w:val="00DD6E86"/>
    <w:rsid w:val="00DD7F4B"/>
    <w:rsid w:val="00DD7FD6"/>
    <w:rsid w:val="00DE063E"/>
    <w:rsid w:val="00DE1D68"/>
    <w:rsid w:val="00DE2433"/>
    <w:rsid w:val="00DE3BED"/>
    <w:rsid w:val="00DE4086"/>
    <w:rsid w:val="00DE525C"/>
    <w:rsid w:val="00DF0130"/>
    <w:rsid w:val="00DF0AED"/>
    <w:rsid w:val="00DF1DD3"/>
    <w:rsid w:val="00DF62B2"/>
    <w:rsid w:val="00DF76BD"/>
    <w:rsid w:val="00DF7875"/>
    <w:rsid w:val="00E02B81"/>
    <w:rsid w:val="00E13506"/>
    <w:rsid w:val="00E142B1"/>
    <w:rsid w:val="00E152E7"/>
    <w:rsid w:val="00E15CCB"/>
    <w:rsid w:val="00E1791B"/>
    <w:rsid w:val="00E21EC7"/>
    <w:rsid w:val="00E25CF2"/>
    <w:rsid w:val="00E27C46"/>
    <w:rsid w:val="00E308B3"/>
    <w:rsid w:val="00E30A75"/>
    <w:rsid w:val="00E31BAA"/>
    <w:rsid w:val="00E32327"/>
    <w:rsid w:val="00E32AD5"/>
    <w:rsid w:val="00E33385"/>
    <w:rsid w:val="00E338F5"/>
    <w:rsid w:val="00E34D0D"/>
    <w:rsid w:val="00E35BE1"/>
    <w:rsid w:val="00E37014"/>
    <w:rsid w:val="00E41843"/>
    <w:rsid w:val="00E41869"/>
    <w:rsid w:val="00E4424D"/>
    <w:rsid w:val="00E446F2"/>
    <w:rsid w:val="00E47719"/>
    <w:rsid w:val="00E50388"/>
    <w:rsid w:val="00E5054F"/>
    <w:rsid w:val="00E50B44"/>
    <w:rsid w:val="00E51F85"/>
    <w:rsid w:val="00E528A7"/>
    <w:rsid w:val="00E52B4D"/>
    <w:rsid w:val="00E535D8"/>
    <w:rsid w:val="00E5484B"/>
    <w:rsid w:val="00E55520"/>
    <w:rsid w:val="00E55631"/>
    <w:rsid w:val="00E573FA"/>
    <w:rsid w:val="00E57872"/>
    <w:rsid w:val="00E57CAF"/>
    <w:rsid w:val="00E620FB"/>
    <w:rsid w:val="00E6480B"/>
    <w:rsid w:val="00E65C2B"/>
    <w:rsid w:val="00E661B9"/>
    <w:rsid w:val="00E6636B"/>
    <w:rsid w:val="00E71C59"/>
    <w:rsid w:val="00E73F38"/>
    <w:rsid w:val="00E74034"/>
    <w:rsid w:val="00E74CAF"/>
    <w:rsid w:val="00E754D1"/>
    <w:rsid w:val="00E760AF"/>
    <w:rsid w:val="00E77DDE"/>
    <w:rsid w:val="00E80F06"/>
    <w:rsid w:val="00E8390C"/>
    <w:rsid w:val="00E86C23"/>
    <w:rsid w:val="00E870A4"/>
    <w:rsid w:val="00E91CD6"/>
    <w:rsid w:val="00E9233A"/>
    <w:rsid w:val="00E95B31"/>
    <w:rsid w:val="00E965BD"/>
    <w:rsid w:val="00EA272E"/>
    <w:rsid w:val="00EA354A"/>
    <w:rsid w:val="00EA5AC6"/>
    <w:rsid w:val="00EA5CBC"/>
    <w:rsid w:val="00EA5DDD"/>
    <w:rsid w:val="00EA609E"/>
    <w:rsid w:val="00EB1F3B"/>
    <w:rsid w:val="00EB2530"/>
    <w:rsid w:val="00EB2A67"/>
    <w:rsid w:val="00EB2CDE"/>
    <w:rsid w:val="00EB33B1"/>
    <w:rsid w:val="00EB4633"/>
    <w:rsid w:val="00EB4C63"/>
    <w:rsid w:val="00EB5D7F"/>
    <w:rsid w:val="00EB6682"/>
    <w:rsid w:val="00EB729D"/>
    <w:rsid w:val="00EC2254"/>
    <w:rsid w:val="00EC2A7D"/>
    <w:rsid w:val="00EC47CD"/>
    <w:rsid w:val="00EC5DCC"/>
    <w:rsid w:val="00ED2FA7"/>
    <w:rsid w:val="00ED3116"/>
    <w:rsid w:val="00ED4E85"/>
    <w:rsid w:val="00ED71CB"/>
    <w:rsid w:val="00ED7929"/>
    <w:rsid w:val="00EE0083"/>
    <w:rsid w:val="00EE038E"/>
    <w:rsid w:val="00EE049C"/>
    <w:rsid w:val="00EE13D5"/>
    <w:rsid w:val="00EE2818"/>
    <w:rsid w:val="00EE2D70"/>
    <w:rsid w:val="00EE2FCC"/>
    <w:rsid w:val="00EE4105"/>
    <w:rsid w:val="00EE56DD"/>
    <w:rsid w:val="00EE6689"/>
    <w:rsid w:val="00EF0A45"/>
    <w:rsid w:val="00EF1F6E"/>
    <w:rsid w:val="00EF313B"/>
    <w:rsid w:val="00EF6485"/>
    <w:rsid w:val="00F02B0C"/>
    <w:rsid w:val="00F04F55"/>
    <w:rsid w:val="00F05162"/>
    <w:rsid w:val="00F05DB7"/>
    <w:rsid w:val="00F06DCF"/>
    <w:rsid w:val="00F070CE"/>
    <w:rsid w:val="00F1014F"/>
    <w:rsid w:val="00F1260A"/>
    <w:rsid w:val="00F12C88"/>
    <w:rsid w:val="00F136B7"/>
    <w:rsid w:val="00F14A91"/>
    <w:rsid w:val="00F211C2"/>
    <w:rsid w:val="00F21363"/>
    <w:rsid w:val="00F25D42"/>
    <w:rsid w:val="00F30F01"/>
    <w:rsid w:val="00F32C74"/>
    <w:rsid w:val="00F33CC0"/>
    <w:rsid w:val="00F35B92"/>
    <w:rsid w:val="00F36456"/>
    <w:rsid w:val="00F41459"/>
    <w:rsid w:val="00F43D8F"/>
    <w:rsid w:val="00F45E3F"/>
    <w:rsid w:val="00F52A81"/>
    <w:rsid w:val="00F53942"/>
    <w:rsid w:val="00F5520A"/>
    <w:rsid w:val="00F556AD"/>
    <w:rsid w:val="00F56057"/>
    <w:rsid w:val="00F60172"/>
    <w:rsid w:val="00F605A7"/>
    <w:rsid w:val="00F62B8F"/>
    <w:rsid w:val="00F65779"/>
    <w:rsid w:val="00F65835"/>
    <w:rsid w:val="00F65B17"/>
    <w:rsid w:val="00F66980"/>
    <w:rsid w:val="00F6756A"/>
    <w:rsid w:val="00F710BE"/>
    <w:rsid w:val="00F7141D"/>
    <w:rsid w:val="00F7280F"/>
    <w:rsid w:val="00F73C42"/>
    <w:rsid w:val="00F73CA6"/>
    <w:rsid w:val="00F760AD"/>
    <w:rsid w:val="00F76B39"/>
    <w:rsid w:val="00F7705E"/>
    <w:rsid w:val="00F776CB"/>
    <w:rsid w:val="00F83660"/>
    <w:rsid w:val="00F8597E"/>
    <w:rsid w:val="00F91E0F"/>
    <w:rsid w:val="00F92B0E"/>
    <w:rsid w:val="00F935DE"/>
    <w:rsid w:val="00F94C46"/>
    <w:rsid w:val="00FA0034"/>
    <w:rsid w:val="00FA1F8A"/>
    <w:rsid w:val="00FA3804"/>
    <w:rsid w:val="00FA5166"/>
    <w:rsid w:val="00FA5348"/>
    <w:rsid w:val="00FA6322"/>
    <w:rsid w:val="00FA6EB5"/>
    <w:rsid w:val="00FB1406"/>
    <w:rsid w:val="00FB1FC5"/>
    <w:rsid w:val="00FB1FD6"/>
    <w:rsid w:val="00FB2CFC"/>
    <w:rsid w:val="00FB2E17"/>
    <w:rsid w:val="00FB4C21"/>
    <w:rsid w:val="00FC1454"/>
    <w:rsid w:val="00FC1BCC"/>
    <w:rsid w:val="00FC3880"/>
    <w:rsid w:val="00FC3C58"/>
    <w:rsid w:val="00FC4A9E"/>
    <w:rsid w:val="00FC5D31"/>
    <w:rsid w:val="00FC6878"/>
    <w:rsid w:val="00FC6BCD"/>
    <w:rsid w:val="00FC7552"/>
    <w:rsid w:val="00FD010F"/>
    <w:rsid w:val="00FD1D13"/>
    <w:rsid w:val="00FD2086"/>
    <w:rsid w:val="00FD2212"/>
    <w:rsid w:val="00FD2296"/>
    <w:rsid w:val="00FD43A6"/>
    <w:rsid w:val="00FD5A3E"/>
    <w:rsid w:val="00FD5F79"/>
    <w:rsid w:val="00FE281D"/>
    <w:rsid w:val="00FE3044"/>
    <w:rsid w:val="00FE4483"/>
    <w:rsid w:val="00FE7025"/>
    <w:rsid w:val="00FE7C85"/>
    <w:rsid w:val="00FF1BF6"/>
    <w:rsid w:val="00FF1E6E"/>
    <w:rsid w:val="00FF3F87"/>
    <w:rsid w:val="00FF79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88F73F"/>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da-DK"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0034"/>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da-DK"/>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da-DK"/>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B350DB"/>
    <w:rPr>
      <w:sz w:val="24"/>
      <w:lang w:eastAsia="en-US"/>
    </w:rPr>
  </w:style>
  <w:style w:type="paragraph" w:customStyle="1" w:styleId="LegalNumPar">
    <w:name w:val="LegalNumPar"/>
    <w:basedOn w:val="Normal"/>
    <w:rsid w:val="00DD7FD6"/>
    <w:pPr>
      <w:numPr>
        <w:numId w:val="36"/>
      </w:numPr>
      <w:spacing w:line="360" w:lineRule="auto"/>
    </w:pPr>
  </w:style>
  <w:style w:type="paragraph" w:customStyle="1" w:styleId="LegalNumPar2">
    <w:name w:val="LegalNumPar2"/>
    <w:basedOn w:val="Normal"/>
    <w:rsid w:val="00DD7FD6"/>
    <w:pPr>
      <w:numPr>
        <w:ilvl w:val="1"/>
        <w:numId w:val="36"/>
      </w:numPr>
      <w:spacing w:line="360" w:lineRule="auto"/>
    </w:pPr>
  </w:style>
  <w:style w:type="paragraph" w:customStyle="1" w:styleId="LegalNumPar3">
    <w:name w:val="LegalNumPar3"/>
    <w:basedOn w:val="Normal"/>
    <w:rsid w:val="00DD7FD6"/>
    <w:pPr>
      <w:numPr>
        <w:ilvl w:val="2"/>
        <w:numId w:val="3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480466569">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145581344">
      <w:bodyDiv w:val="1"/>
      <w:marLeft w:val="0"/>
      <w:marRight w:val="0"/>
      <w:marTop w:val="0"/>
      <w:marBottom w:val="0"/>
      <w:divBdr>
        <w:top w:val="none" w:sz="0" w:space="0" w:color="auto"/>
        <w:left w:val="none" w:sz="0" w:space="0" w:color="auto"/>
        <w:bottom w:val="none" w:sz="0" w:space="0" w:color="auto"/>
        <w:right w:val="none" w:sz="0" w:space="0" w:color="auto"/>
      </w:divBdr>
      <w:divsChild>
        <w:div w:id="1857231142">
          <w:marLeft w:val="446"/>
          <w:marRight w:val="0"/>
          <w:marTop w:val="0"/>
          <w:marBottom w:val="0"/>
          <w:divBdr>
            <w:top w:val="none" w:sz="0" w:space="0" w:color="auto"/>
            <w:left w:val="none" w:sz="0" w:space="0" w:color="auto"/>
            <w:bottom w:val="none" w:sz="0" w:space="0" w:color="auto"/>
            <w:right w:val="none" w:sz="0" w:space="0" w:color="auto"/>
          </w:divBdr>
        </w:div>
      </w:divsChild>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236E7BA1538E8D44B6EF7A1F30261CA7" ma:contentTypeVersion="5" ma:contentTypeDescription="Upload a any type of Document to this Document Library, Tag and Categorize." ma:contentTypeScope="" ma:versionID="cbadaa2d528840816611599b21ad1f4c">
  <xsd:schema xmlns:xsd="http://www.w3.org/2001/XMLSchema" xmlns:xs="http://www.w3.org/2001/XMLSchema" xmlns:p="http://schemas.microsoft.com/office/2006/metadata/properties" xmlns:ns1="01a4cf75-cd7c-4298-a8d0-4b1c71ad45b4" targetNamespace="http://schemas.microsoft.com/office/2006/metadata/properties" ma:root="true" ma:fieldsID="fd3a69f157b82fb3cfe0c7c6fc0f49a9" ns1:_="">
    <xsd:import namespace="01a4cf75-cd7c-4298-a8d0-4b1c71ad45b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ie39855556fa4c99b694f0a9c496cf5f" minOccurs="0"/>
                <xsd:element ref="ns1:TaxCatchAll" minOccurs="0"/>
                <xsd:element ref="ns1:TaxCatchAllLabel" minOccurs="0"/>
                <xsd:element ref="ns1:n3a4edb2db6145639abd532a94f4c96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a4cf75-cd7c-4298-a8d0-4b1c71ad45b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ie39855556fa4c99b694f0a9c496cf5f" ma:index="6" nillable="true" ma:taxonomy="true" ma:internalName="ie39855556fa4c99b694f0a9c496cf5f" ma:taxonomyFieldName="documentGeneralTags" ma:displayName="General Tags" ma:fieldId="{2e398555-56fa-4c99-b694-f0a9c496cf5f}"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1abade67-9eb3-4e61-b5c5-ab5df2d3602d}" ma:internalName="TaxCatchAll" ma:showField="CatchAllData" ma:web="01a4cf75-cd7c-4298-a8d0-4b1c71ad45b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1abade67-9eb3-4e61-b5c5-ab5df2d3602d}" ma:internalName="TaxCatchAllLabel" ma:readOnly="true" ma:showField="CatchAllDataLabel" ma:web="01a4cf75-cd7c-4298-a8d0-4b1c71ad45b4">
      <xsd:complexType>
        <xsd:complexContent>
          <xsd:extension base="dms:MultiChoiceLookup">
            <xsd:sequence>
              <xsd:element name="Value" type="dms:Lookup" maxOccurs="unbounded" minOccurs="0" nillable="true"/>
            </xsd:sequence>
          </xsd:extension>
        </xsd:complexContent>
      </xsd:complexType>
    </xsd:element>
    <xsd:element name="n3a4edb2db6145639abd532a94f4c96e" ma:index="10" nillable="true" ma:taxonomy="true" ma:internalName="n3a4edb2db6145639abd532a94f4c96e" ma:taxonomyFieldName="documentCaseTags" ma:displayName="Case Tags" ma:fieldId="{73a4edb2-db61-4563-9abd-532a94f4c96e}" ma:taxonomyMulti="true" ma:sspId="0b3cc5dc-dc2a-4346-9392-57628a0b46cb" ma:termSetId="b67886b4-2d11-412b-b11a-f12f2e978deb"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documentSummary xmlns="01a4cf75-cd7c-4298-a8d0-4b1c71ad45b4" xsi:nil="true"/>
    <n3a4edb2db6145639abd532a94f4c96e xmlns="01a4cf75-cd7c-4298-a8d0-4b1c71ad45b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n3a4edb2db6145639abd532a94f4c96e>
    <TaxCatchAll xmlns="01a4cf75-cd7c-4298-a8d0-4b1c71ad45b4"/>
    <documentTitle xmlns="01a4cf75-cd7c-4298-a8d0-4b1c71ad45b4" xsi:nil="true"/>
    <documentFollowUp xmlns="01a4cf75-cd7c-4298-a8d0-4b1c71ad45b4" xsi:nil="true"/>
    <ie39855556fa4c99b694f0a9c496cf5f xmlns="01a4cf75-cd7c-4298-a8d0-4b1c71ad45b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ie39855556fa4c99b694f0a9c496cf5f>
    <_dlc_DocId xmlns="01a4cf75-cd7c-4298-a8d0-4b1c71ad45b4">COMPCOLLAB-850037142-140</_dlc_DocId>
    <_dlc_DocIdUrl xmlns="01a4cf75-cd7c-4298-a8d0-4b1c71ad45b4">
      <Url>https://compcollab.ec.europa.eu/cases/HT.6305/_layouts/15/DocIdRedir.aspx?ID=COMPCOLLAB-850037142-140</Url>
      <Description>COMPCOLLAB-850037142-140</Description>
    </_dlc_DocIdUrl>
  </documentManagement>
</p:properties>
</file>

<file path=customXml/itemProps1.xml><?xml version="1.0" encoding="utf-8"?>
<ds:datastoreItem xmlns:ds="http://schemas.openxmlformats.org/officeDocument/2006/customXml" ds:itemID="{391CEE9B-53A5-4CF9-A0D6-4B314AEC7EEC}">
  <ds:schemaRefs>
    <ds:schemaRef ds:uri="http://schemas.openxmlformats.org/officeDocument/2006/bibliography"/>
  </ds:schemaRefs>
</ds:datastoreItem>
</file>

<file path=customXml/itemProps2.xml><?xml version="1.0" encoding="utf-8"?>
<ds:datastoreItem xmlns:ds="http://schemas.openxmlformats.org/officeDocument/2006/customXml" ds:itemID="{A5062FFC-6034-4120-86A5-2632A8EA6C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a4cf75-cd7c-4298-a8d0-4b1c71ad45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4.xml><?xml version="1.0" encoding="utf-8"?>
<ds:datastoreItem xmlns:ds="http://schemas.openxmlformats.org/officeDocument/2006/customXml" ds:itemID="{D52C06CA-21D3-4CD0-95B2-A3BF4E61382A}">
  <ds:schemaRefs>
    <ds:schemaRef ds:uri="http://schemas.microsoft.com/sharepoint/events"/>
  </ds:schemaRefs>
</ds:datastoreItem>
</file>

<file path=customXml/itemProps5.xml><?xml version="1.0" encoding="utf-8"?>
<ds:datastoreItem xmlns:ds="http://schemas.openxmlformats.org/officeDocument/2006/customXml" ds:itemID="{A1C1DA78-896E-461D-A61E-B93DC91F7A48}">
  <ds:schemaRefs>
    <ds:schemaRef ds:uri="http://purl.org/dc/elements/1.1/"/>
    <ds:schemaRef ds:uri="01a4cf75-cd7c-4298-a8d0-4b1c71ad45b4"/>
    <ds:schemaRef ds:uri="http://purl.org/dc/dcmitype/"/>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20</Pages>
  <Words>4775</Words>
  <Characters>33193</Characters>
  <Application>Microsoft Office Word</Application>
  <DocSecurity>0</DocSecurity>
  <Lines>721</Lines>
  <Paragraphs>253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37715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MICHEAU Claire (COMP)</dc:creator>
  <cp:keywords/>
  <cp:lastModifiedBy>WIECKOWSKI Matt (COMP)</cp:lastModifiedBy>
  <cp:revision>5</cp:revision>
  <cp:lastPrinted>2024-05-22T14:05:00Z</cp:lastPrinted>
  <dcterms:created xsi:type="dcterms:W3CDTF">2024-08-29T09:58:00Z</dcterms:created>
  <dcterms:modified xsi:type="dcterms:W3CDTF">2024-09-11T14:58:00Z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6eee7d3e-bd88-4745-b06f-0fc2a513549c</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0x01010400988603A364794F7AA753E65AAE73280500236E7BA1538E8D44B6EF7A1F30261CA7</vt:lpwstr>
  </property>
  <property fmtid="{D5CDD505-2E9C-101B-9397-08002B2CF9AE}" pid="8" name="MSIP_Label_6bd9ddd1-4d20-43f6-abfa-fc3c07406f94_Enabled">
    <vt:lpwstr>true</vt:lpwstr>
  </property>
  <property fmtid="{D5CDD505-2E9C-101B-9397-08002B2CF9AE}" pid="9" name="MSIP_Label_6bd9ddd1-4d20-43f6-abfa-fc3c07406f94_SetDate">
    <vt:lpwstr>2024-01-18T14:05:07Z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32f00ed0-df31-4c2b-807f-17ee8d5be956</vt:lpwstr>
  </property>
  <property fmtid="{D5CDD505-2E9C-101B-9397-08002B2CF9AE}" pid="14" name="MSIP_Label_6bd9ddd1-4d20-43f6-abfa-fc3c07406f94_ContentBits">
    <vt:lpwstr>0</vt:lpwstr>
  </property>
</Properties>
</file>