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p>
          <w:p w14:paraId="1C239D2C" w14:textId="25225CC9" w:rsidR="000442F5" w:rsidRPr="009916D5" w:rsidRDefault="004569F7" w:rsidP="007B485D">
            <w:pPr>
              <w:pStyle w:val="Heading2"/>
              <w:spacing w:before="240" w:after="240"/>
              <w:jc w:val="center"/>
              <w:rPr>
                <w:sz w:val="32"/>
                <w:szCs w:val="32"/>
              </w:rPr>
            </w:pPr>
            <w:r>
              <w:rPr>
                <w:sz w:val="32"/>
              </w:rPr>
              <w:t>Uppdaterat* formulär för kompletterande information om statligt stöd som beviljas enligt riktlinjerna för statligt stöd till klimat, miljöskydd och energi 2022 (riktlinjerna)</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Kapitel 4.8 – Stöd för att trygga elförsörjningen</w:t>
            </w:r>
          </w:p>
          <w:p w14:paraId="243D1A50" w14:textId="77777777" w:rsidR="004569F7" w:rsidRDefault="004569F7" w:rsidP="00A31B5C">
            <w:pPr>
              <w:jc w:val="center"/>
            </w:pPr>
          </w:p>
          <w:p w14:paraId="469DC4EF" w14:textId="68811B32" w:rsidR="004569F7" w:rsidRPr="00711243" w:rsidRDefault="004569F7" w:rsidP="00600689">
            <w:pPr>
              <w:numPr>
                <w:ilvl w:val="0"/>
                <w:numId w:val="32"/>
              </w:numPr>
            </w:pPr>
            <w:r>
              <w:rPr>
                <w:highlight w:val="yellow"/>
              </w:rPr>
              <w:t>ännu inte formellt antaget</w:t>
            </w:r>
          </w:p>
        </w:tc>
      </w:tr>
    </w:tbl>
    <w:p w14:paraId="5F26D476" w14:textId="0645BA6F" w:rsidR="000442F5" w:rsidRPr="00711243" w:rsidRDefault="000442F5" w:rsidP="000442F5">
      <w:pPr>
        <w:spacing w:before="120" w:after="120"/>
        <w:ind w:right="-142"/>
        <w:jc w:val="both"/>
        <w:rPr>
          <w:i/>
          <w:iCs/>
        </w:rPr>
      </w:pPr>
      <w:r>
        <w:rPr>
          <w:i/>
        </w:rPr>
        <w:t>Detta formulär ska användas för anmälan av stöd som omfattas av riktlinjerna för statligt stöd till klimat, miljöskydd och energi 2022 (riktlinjerna).</w:t>
      </w:r>
    </w:p>
    <w:p w14:paraId="1B60656B" w14:textId="00968BE9" w:rsidR="009E2EA1" w:rsidRPr="00711243" w:rsidRDefault="0072538B" w:rsidP="009E2EA1">
      <w:pPr>
        <w:spacing w:before="120" w:after="120"/>
        <w:ind w:right="-142"/>
        <w:jc w:val="both"/>
        <w:rPr>
          <w:i/>
          <w:iCs/>
        </w:rPr>
      </w:pPr>
      <w:r>
        <w:rPr>
          <w:i/>
        </w:rPr>
        <w:t xml:space="preserve">Anmälningsformuläret avser åtgärder som omfattas av kapitel 4.8 i riktlinjerna. Om anmälan inbegriper åtgärder som omfattas av mer än ett kapitel i riktlinjerna ska även det anmälningsformulär som rör det aktuella kapitel i riktlinjerna fyllas i. </w:t>
      </w:r>
    </w:p>
    <w:p w14:paraId="05E36007" w14:textId="57A7067D" w:rsidR="009E2EA1" w:rsidRPr="00711243" w:rsidRDefault="009E2EA1" w:rsidP="009E2EA1">
      <w:pPr>
        <w:spacing w:before="120" w:after="120"/>
        <w:ind w:right="-142"/>
        <w:jc w:val="both"/>
        <w:rPr>
          <w:i/>
          <w:iCs/>
        </w:rPr>
      </w:pPr>
      <w:r>
        <w:rPr>
          <w:i/>
        </w:rPr>
        <w:t>Alla dokument som medlemsstaterna bifogar anmälningsformuläret måste numreras och dokumentnumren anges i de relevanta avsnitten av detta formulär.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Avsnitt A: Sammanfattning av huvuddragen i den eller de anmälda åtgärderna</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Bakgrund och mål för den eller de anmälda åtgärderna:</w:t>
      </w:r>
    </w:p>
    <w:p w14:paraId="1FADA2B1" w14:textId="573EB419" w:rsidR="00FA0034" w:rsidRPr="00FA0034" w:rsidRDefault="004569F7" w:rsidP="00600689">
      <w:pPr>
        <w:numPr>
          <w:ilvl w:val="0"/>
          <w:numId w:val="33"/>
        </w:numPr>
        <w:spacing w:before="120" w:after="120"/>
        <w:ind w:left="993" w:hanging="142"/>
        <w:jc w:val="both"/>
      </w:pPr>
      <w:r>
        <w:t xml:space="preserve">Om det inte redan har beskrivits i avsnitt 5.2 i formuläret för allmän information (del I), ange åtgärdens bakgrund och huvudsakliga mål.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600689">
      <w:pPr>
        <w:numPr>
          <w:ilvl w:val="0"/>
          <w:numId w:val="33"/>
        </w:numPr>
        <w:ind w:left="993" w:hanging="142"/>
        <w:rPr>
          <w:szCs w:val="24"/>
        </w:rPr>
      </w:pPr>
      <w:r>
        <w:t xml:space="preserve">Ange eventuella andra mål som eftersträvas med åtgärden. För alla mål som inte rör en trygg elförsörjning eller miljöskydd, ange om de kan leda till snedvridningar på den inre marknaden.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Ikraftträdande och varaktighet</w:t>
      </w:r>
      <w:r>
        <w:t>:</w:t>
      </w:r>
    </w:p>
    <w:p w14:paraId="3951E532" w14:textId="5BB35D03" w:rsidR="00FD5F79" w:rsidRPr="00FA6EB5" w:rsidRDefault="00FA6EB5" w:rsidP="00600689">
      <w:pPr>
        <w:numPr>
          <w:ilvl w:val="0"/>
          <w:numId w:val="37"/>
        </w:numPr>
        <w:rPr>
          <w:szCs w:val="24"/>
        </w:rPr>
      </w:pPr>
      <w:r>
        <w:t>Om det inte redan har uppgetts i avsnitt 5.5 i formuläret för allmän information (del I), ange det datum från och med vilket åtgärden/åtgärderna planeras träda i kraft.</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600689">
      <w:pPr>
        <w:pStyle w:val="ListParagraph"/>
        <w:numPr>
          <w:ilvl w:val="0"/>
          <w:numId w:val="37"/>
        </w:numPr>
        <w:spacing w:after="240"/>
        <w:ind w:left="993" w:hanging="142"/>
        <w:jc w:val="both"/>
        <w:rPr>
          <w:szCs w:val="24"/>
        </w:rPr>
      </w:pPr>
      <w:r>
        <w:t>Ange åtgärden/åtgärdernas varaktighet</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Stödmottagare</w:t>
      </w:r>
      <w:r>
        <w:tab/>
      </w:r>
    </w:p>
    <w:p w14:paraId="0B353EA4" w14:textId="460FB4A4" w:rsidR="00BC5DDD" w:rsidRPr="00F35B92" w:rsidRDefault="00F35B92" w:rsidP="00600689">
      <w:pPr>
        <w:numPr>
          <w:ilvl w:val="0"/>
          <w:numId w:val="20"/>
        </w:numPr>
        <w:ind w:left="993" w:hanging="142"/>
        <w:rPr>
          <w:szCs w:val="24"/>
        </w:rPr>
      </w:pPr>
      <w:r>
        <w:t>Om det inte redan har uppgetts i avsnitt 3 i formuläret för allmän information (del I), beskriv (potentiell(a)) stödmottagare för åtgärden/åtgärderna.</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600689">
      <w:pPr>
        <w:numPr>
          <w:ilvl w:val="0"/>
          <w:numId w:val="20"/>
        </w:numPr>
        <w:ind w:left="993" w:hanging="142"/>
        <w:rPr>
          <w:szCs w:val="24"/>
        </w:rPr>
      </w:pPr>
      <w:r>
        <w:t>Ange var stödmottagarna är belägna (dvs. om endast ekonomiska enheter belägna i respektive medlemsstat får delta i åtgärden eller även ekonomiska enheter i andra medlemsstater).</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600689">
      <w:pPr>
        <w:numPr>
          <w:ilvl w:val="0"/>
          <w:numId w:val="20"/>
        </w:numPr>
        <w:ind w:left="993" w:hanging="142"/>
        <w:rPr>
          <w:szCs w:val="24"/>
        </w:rPr>
      </w:pPr>
      <w:r>
        <w:t xml:space="preserve">För att bedöma efterlevnaden av punkt 15 i riktlinjerna, ange om stöd genom denna åtgärd beviljas företag (enskilt eller som del av en stödordning) som är föremål för ett oreglerat återbetalningskrav till följd av ett tidigare kommissionsbeslut som förklarat ett stöd olagligt och oförenligt med den inre marknaden.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Om så är fallet, ange det stödbelopp som återstår att återbetala så att kommissionen tar hänsyn till detta vid bedömningen av den anmälda åtgärden.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Bekräfta att åtgärden/åtgärderna inte inbegriper stöd till verksamheter som inte ingår i riktlinjernas tillämpningsområde (se punkt 13 i riktlinjerna). I annat fall, lämna närmare uppgifter.</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Budget</w:t>
      </w:r>
    </w:p>
    <w:p w14:paraId="52B28A95" w14:textId="51E3B41D" w:rsidR="00115C85" w:rsidRPr="00B22D69" w:rsidRDefault="00B22D69" w:rsidP="00600689">
      <w:pPr>
        <w:pStyle w:val="ListParagraph"/>
        <w:numPr>
          <w:ilvl w:val="0"/>
          <w:numId w:val="21"/>
        </w:numPr>
        <w:spacing w:before="120" w:after="120"/>
        <w:ind w:left="993" w:hanging="284"/>
        <w:contextualSpacing w:val="0"/>
        <w:jc w:val="both"/>
        <w:rPr>
          <w:rFonts w:cs="Arial Unicode MS"/>
          <w:bCs/>
        </w:rPr>
      </w:pPr>
      <w: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denna</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Avsnitt B: Bedömning av stödets förenlighet</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600689">
            <w:pPr>
              <w:pStyle w:val="Heading1"/>
              <w:numPr>
                <w:ilvl w:val="0"/>
                <w:numId w:val="22"/>
              </w:numPr>
              <w:rPr>
                <w:i/>
                <w:sz w:val="28"/>
                <w:szCs w:val="28"/>
              </w:rPr>
            </w:pPr>
            <w:r>
              <w:rPr>
                <w:i/>
                <w:sz w:val="28"/>
              </w:rPr>
              <w:t>Positivt villkor: stödet ska underlätta utvecklingen av en näringsverksamhet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00689">
            <w:pPr>
              <w:pStyle w:val="Heading1"/>
              <w:numPr>
                <w:ilvl w:val="1"/>
                <w:numId w:val="22"/>
              </w:numPr>
              <w:rPr>
                <w:sz w:val="24"/>
                <w:szCs w:val="24"/>
              </w:rPr>
            </w:pPr>
            <w:r>
              <w:rPr>
                <w:sz w:val="24"/>
              </w:rPr>
              <w:t>Bidrag till utvecklingen av en näringsverksamhet</w:t>
            </w:r>
          </w:p>
        </w:tc>
      </w:tr>
    </w:tbl>
    <w:p w14:paraId="1E2599D2" w14:textId="044F1BE7" w:rsidR="000442F5" w:rsidRPr="00DB40A5" w:rsidRDefault="000442F5" w:rsidP="000442F5">
      <w:pPr>
        <w:spacing w:before="360" w:after="120"/>
        <w:jc w:val="both"/>
        <w:rPr>
          <w:i/>
        </w:rPr>
      </w:pPr>
      <w:r>
        <w:rPr>
          <w:i/>
        </w:rPr>
        <w:t xml:space="preserve">För att lämna information i detta avsnitt, se avsnitt 3.1.1 (punkterna 23–25) och </w:t>
      </w:r>
      <w:r>
        <w:rPr>
          <w:i/>
          <w:color w:val="000000"/>
        </w:rPr>
        <w:t>avsnitten 4.8.1 och 4.8.2 (punkterna 325–328)</w:t>
      </w:r>
      <w:r>
        <w:rPr>
          <w:i/>
        </w:rPr>
        <w:t xml:space="preserve"> i riktlinjerna.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 xml:space="preserve">Enligt artikel 107.3 c i fördraget om Europeiska unionens funktionssätt (EUF-fördraget)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bidra till utvecklingen av en viss näringsverksamhet för att vara förenligt med den inre marknaden enligt denna bestämmelse i EUF-fördraget. </w:t>
      </w:r>
    </w:p>
    <w:p w14:paraId="78AC4A6E" w14:textId="5DA81B01" w:rsidR="00EE2FCC" w:rsidRPr="00864DCD" w:rsidRDefault="00EE56DD" w:rsidP="00EE56DD">
      <w:pPr>
        <w:pStyle w:val="ListParagraph"/>
        <w:spacing w:before="120" w:after="120"/>
        <w:ind w:left="567"/>
        <w:contextualSpacing w:val="0"/>
        <w:jc w:val="both"/>
      </w:pPr>
      <w:r>
        <w:t>För att bedöma efterlevnaden av punkt 23 i riktlinjerna, ange vilka näringsverksamheter som kommer att underlättas som en följd av stödet och hur utvecklingen av dessa verksamheter stöds. Punkt 328 i riktlinjerna innehåller exempel på sådana näringsverksamheter i samband med åtgärder som syftar till att öka elförsörjningstryggheten.</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 xml:space="preserve">För att bedöma efterlevnaden av punkt 25 i riktlinjerna, beskriv om och hur stödet kommer att bidra till uppnåendet av målen i unionens </w:t>
      </w:r>
      <w:proofErr w:type="spellStart"/>
      <w:r>
        <w:t>klimatpolitik</w:t>
      </w:r>
      <w:proofErr w:type="spellEnd"/>
      <w:r>
        <w:t>, miljöpolitik och energipolitik och mer specifikt stödets förväntade fördelar vad gäller dess väsentliga bidrag till miljöskydd, inklusive begränsning av klimatförändringarna, eller en effektivt fungerande inre energimarknad.</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Beskriv de krav som är tillämpliga på stödmottagaren/stödmottagarna (t.ex. genom att ange eventuella tekniska, miljömässiga (dvs. tillstånd), finansiella (dvs. säkerheter) eller andra krav som stödmottagaren/stödmottagarna måste uppfylla).</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Lämna uppgifter om bakgrunden till stödet, i enlighet med avsnitt 4.8.1 (punkt 325) i riktlinjerna.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Lämna uppgifter om stödets tillämpningsområde, i enlighet med avsnitt 4.8.2 (punkterna 326–327) i riktlinjerna.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600689">
            <w:pPr>
              <w:pStyle w:val="Heading1"/>
              <w:numPr>
                <w:ilvl w:val="1"/>
                <w:numId w:val="22"/>
              </w:numPr>
              <w:rPr>
                <w:sz w:val="24"/>
                <w:szCs w:val="24"/>
              </w:rPr>
            </w:pPr>
            <w:r>
              <w:rPr>
                <w:sz w:val="24"/>
              </w:rPr>
              <w:t>Stimulanseffekt</w:t>
            </w:r>
          </w:p>
        </w:tc>
      </w:tr>
    </w:tbl>
    <w:p w14:paraId="20915284" w14:textId="14126DC4" w:rsidR="00015E2B" w:rsidRPr="00A05235" w:rsidRDefault="00B15313" w:rsidP="00015E2B">
      <w:pPr>
        <w:spacing w:before="360" w:after="120"/>
        <w:jc w:val="both"/>
        <w:rPr>
          <w:i/>
        </w:rPr>
      </w:pPr>
      <w:r>
        <w:rPr>
          <w:i/>
        </w:rPr>
        <w:t xml:space="preserve">För att lämna information i detta avsnitt, se punkterna 329 och avsnitt 3.1.2 (punkterna 29, 30, 31 och 32) i riktlinjerna.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För att visa att punkterna 29 och 31 i riktlinjerna efterlevs gäller följande:</w:t>
      </w:r>
    </w:p>
    <w:p w14:paraId="48499390" w14:textId="47E7D7F7" w:rsidR="006445C3" w:rsidRPr="00471B74" w:rsidRDefault="00677805" w:rsidP="00600689">
      <w:pPr>
        <w:pStyle w:val="ListParagraph"/>
        <w:numPr>
          <w:ilvl w:val="0"/>
          <w:numId w:val="23"/>
        </w:numPr>
        <w:spacing w:before="120" w:after="120"/>
        <w:ind w:left="993" w:hanging="284"/>
        <w:contextualSpacing w:val="0"/>
        <w:jc w:val="both"/>
      </w:pPr>
      <w:r>
        <w:t>Bekräfta att arbetet med projektet eller verksamheten inte inleddes innan stödmottagaren lämnat in en skriftlig stödansökan till de nationella myndigheterna.</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ELLER</w:t>
      </w:r>
    </w:p>
    <w:p w14:paraId="0252AF86" w14:textId="2507B978" w:rsidR="000442F5" w:rsidRPr="00F53942" w:rsidRDefault="008514DC" w:rsidP="00600689">
      <w:pPr>
        <w:pStyle w:val="ListParagraph"/>
        <w:numPr>
          <w:ilvl w:val="0"/>
          <w:numId w:val="23"/>
        </w:numPr>
        <w:spacing w:before="120" w:after="120"/>
        <w:ind w:left="993" w:hanging="284"/>
        <w:contextualSpacing w:val="0"/>
        <w:jc w:val="both"/>
      </w:pPr>
      <w:r>
        <w:t xml:space="preserve">När det gäller projekt som inleddes innan stödansökan lämnades in, visa att projektet faller inom ramen för något av de undantagsfall som anges i punkt 31 (a, b eller c) i riktlinjerna.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För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För att visa att punkt 32 i riktlinjerna efterlevs, ange om det finns unionsnormer</w:t>
      </w:r>
      <w:r>
        <w:rPr>
          <w:rStyle w:val="FootnoteReference"/>
          <w:lang w:val="en-IE" w:eastAsia="en-GB"/>
        </w:rPr>
        <w:footnoteReference w:id="5"/>
      </w:r>
      <w:r>
        <w:t xml:space="preserve"> som är tillämpliga på den anmälda åtgärden, obligatoriska nationella normer som är strängare eller ambitiösare än motsvarande unionsnormer eller obligatoriska nationella normer som antagits i avsaknad av unionsnormer. Lämna i detta sammanhang information för att påvisa stimulanseffekten.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Om den relevanta unionsnormen redan har antagits men inte trätt i kraft än, visa då att stödet har en stimulanseffekt genom att det bidrar till att investeringen görs och slutförs minst 18 månader innan normen träder i kraft.</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600689">
            <w:pPr>
              <w:pStyle w:val="Heading1"/>
              <w:numPr>
                <w:ilvl w:val="1"/>
                <w:numId w:val="22"/>
              </w:numPr>
              <w:rPr>
                <w:sz w:val="24"/>
                <w:szCs w:val="24"/>
              </w:rPr>
            </w:pPr>
            <w:r>
              <w:rPr>
                <w:sz w:val="24"/>
              </w:rPr>
              <w:t>Ingen överträdelse av någon relevant bestämmelse i unionsrätten</w:t>
            </w:r>
          </w:p>
        </w:tc>
      </w:tr>
    </w:tbl>
    <w:p w14:paraId="665FE026" w14:textId="7D0593B2" w:rsidR="00DE1D68" w:rsidRDefault="00DE1D68" w:rsidP="00DE1D68">
      <w:pPr>
        <w:spacing w:before="360" w:after="120"/>
        <w:jc w:val="both"/>
        <w:rPr>
          <w:i/>
        </w:rPr>
      </w:pPr>
      <w:r>
        <w:rPr>
          <w:i/>
        </w:rPr>
        <w:lastRenderedPageBreak/>
        <w:t xml:space="preserve">För att lämna information i detta avsnitt, se avsnitt 3.1.3 (punkt 33 i riktlinjerna).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Lämna information för att bekräfta efterlevnaden av relevanta bestämmelser i EU-rätten, i enlighet med punkt 33 i riktlinjerna (se exempelvis fråga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xml:space="preserve"> angående efterlevnaden av förordning (EU)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Om en avgift används för att finansiera åtgärden eller åtgärderna (se fråga 54 nedan), ange om</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avgiften tas ut på både inhemska och importerade produkter.</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den anmälda åtgärden kommer att gynna både inhemska och importerade produkter.</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600689">
            <w:pPr>
              <w:pStyle w:val="Heading1"/>
              <w:numPr>
                <w:ilvl w:val="0"/>
                <w:numId w:val="22"/>
              </w:numPr>
              <w:rPr>
                <w:i/>
                <w:color w:val="000000"/>
                <w:sz w:val="28"/>
                <w:szCs w:val="28"/>
              </w:rPr>
            </w:pPr>
            <w:r>
              <w:rPr>
                <w:i/>
                <w:color w:val="000000"/>
                <w:sz w:val="28"/>
              </w:rPr>
              <w:t>Negativt villkor: stödet får inte påverka handeln på ett otillbörligt sätt i en omfattning som strider mot det gemensamma intresset</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Minimering av snedvridning av konkurrens och handel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600689">
            <w:pPr>
              <w:pStyle w:val="Heading1"/>
              <w:numPr>
                <w:ilvl w:val="2"/>
                <w:numId w:val="22"/>
              </w:numPr>
              <w:rPr>
                <w:color w:val="000000"/>
                <w:sz w:val="24"/>
                <w:szCs w:val="24"/>
              </w:rPr>
            </w:pPr>
            <w:r>
              <w:rPr>
                <w:color w:val="000000"/>
                <w:sz w:val="24"/>
              </w:rPr>
              <w:t>Stödets nödvändighet</w:t>
            </w:r>
          </w:p>
        </w:tc>
      </w:tr>
    </w:tbl>
    <w:p w14:paraId="3C23674F" w14:textId="79C4B802" w:rsidR="00663008" w:rsidRPr="00F83660" w:rsidRDefault="00663008" w:rsidP="00663008">
      <w:pPr>
        <w:spacing w:before="360" w:after="120"/>
        <w:jc w:val="both"/>
        <w:rPr>
          <w:i/>
          <w:color w:val="000000"/>
        </w:rPr>
      </w:pPr>
      <w:r>
        <w:rPr>
          <w:i/>
        </w:rPr>
        <w:t>För att lämna information i detta avsnitt, se avsnitt 4.8.4.1 (punkterna 331–339) i riktlinjerna.</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I punkt 331 i riktlinjerna fastställs att typerna av och orsakerna till problem med elförsörjningstryggheten, och därmed behovet av statligt stöd för att trygga elförsörjningen, ska analyseras och kvantifieras på korrekt sätt, inbegripet när och var problemet väntas uppstå, i förekommande fall med hänvisning till den tillförlitlighetsnorm som föreskrivs i artikel 25 i förordning (EU) 2019/943.</w:t>
      </w:r>
      <w:bookmarkEnd w:id="4"/>
    </w:p>
    <w:p w14:paraId="1ABC600C" w14:textId="174FCB8E" w:rsidR="00CD4EC7" w:rsidRDefault="00DD7F4B" w:rsidP="00A32872">
      <w:pPr>
        <w:pStyle w:val="ListParagraph"/>
        <w:spacing w:before="120" w:after="120"/>
        <w:ind w:left="567"/>
        <w:contextualSpacing w:val="0"/>
        <w:jc w:val="both"/>
      </w:pPr>
      <w:r>
        <w:t xml:space="preserve">Tillhandahåll en analys där problemet med elförsörjningstryggheten identifieras och kvantifieras. Lämna närmare uppgifter med utgångspunkt i det som tas upp i punkterna 331– 333 i riktlinjerna.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I enlighet med punkt 334 i riktlinjerna, och för åtgärder avseende risken för </w:t>
      </w:r>
      <w:proofErr w:type="spellStart"/>
      <w:r>
        <w:t>elkriser</w:t>
      </w:r>
      <w:proofErr w:type="spellEnd"/>
      <w:r>
        <w:t xml:space="preserve">, tillhandahåll den nationella riskberedskapsplan som föreskrivs i artikel 11 i förordning (EU) 2019/941 och i vilken den föreslagna åtgärden bör anges.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 xml:space="preserve">I enlighet med punkt 335 i riktlinjerna, och om det finns förslag på att införa flera olika åtgärder för att trygga elförsörjningen, förklara tydligt hur de samverkar med varandra för att säkerställa en övergripande kostnadseffektivitet hos de kombinerade åtgärderna </w:t>
      </w:r>
      <w:r>
        <w:lastRenderedPageBreak/>
        <w:t>för att säkerställa försörjningstryggheten, till exempel, när det gäller kapacitetsmekanismer, genom att redogöra för hur de uppnår (men inte överstiger) den tillförlitlighetsnorm som avses i punkt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I enlighet med punkt 336 i riktlinjerna, beskriv lagstiftnings- eller marknadsmisslyckanden, tillsammans med andra problem som förhindrar att en tillräcklig nivå av elförsörjningstrygghet (och av miljöskydd i relevanta fall) uppnås i avsaknad av insatser.</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I enlighet med punkt 337 i riktlinjerna, beskriv befintliga åtgärder som redan är inriktade på marknads- eller lagstiftningsmisslyckanden eller andra problem som avses i punkt 336. Hänvisa om lämpligt till det underlag som redan lämnats som svar på fråga </w:t>
      </w:r>
      <w:r>
        <w:fldChar w:fldCharType="begin"/>
      </w:r>
      <w:r>
        <w:instrText xml:space="preserve"> REF _Ref167812746 \r \h </w:instrText>
      </w:r>
      <w:r>
        <w:fldChar w:fldCharType="separate"/>
      </w:r>
      <w:r>
        <w:t>16</w:t>
      </w:r>
      <w:r>
        <w:fldChar w:fldCharType="end"/>
      </w:r>
      <w:r>
        <w:t xml:space="preserve"> ovan.</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I enlighet med punkt 338 i riktlinjerna, visa varför marknaden inte kan förväntas leverera en trygg elförsörjning i avsaknad av statligt stöd, med beaktande av de marknadsreformer och förbättringar som planeras av medlemsstaten och den tekniska utveckling som förutses.</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Lämna följande uppgifter som anges i punkt 339 i riktlinjerna:</w:t>
      </w:r>
    </w:p>
    <w:p w14:paraId="22B1B19C" w14:textId="02BC0A6D" w:rsidR="001F444E" w:rsidRDefault="00CC02E1" w:rsidP="0013713F">
      <w:pPr>
        <w:pStyle w:val="ListParagraph"/>
        <w:numPr>
          <w:ilvl w:val="1"/>
          <w:numId w:val="4"/>
        </w:numPr>
        <w:spacing w:after="240"/>
        <w:ind w:left="1134" w:hanging="283"/>
        <w:jc w:val="both"/>
      </w:pPr>
      <w:r>
        <w:t xml:space="preserve">En bedömning av inverkan av variabel produktion, även av produktion som kommer från angränsande system.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En bedömning av inverkan av efterfråge- och lagringssidans deltagande, inklusive en beskrivning av åtgärder för att uppmuntra styrning av efterfrågesidan.</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En bedömning av den befintliga eller potentiella förekomsten av länkar och större intern överföringsnätinfrastruktur, inklusive en beskrivning av pågående och planerade projekt.</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En bedömning av eventuella andra faktorer som kan orsaka eller förvärra problemet med elförsörjningstryggheten, såsom tak för grossistpriser eller andra lagstiftnings- eller marknadsmisslyckanden. I tillämpliga fall, tillhandahåll genomförandeplanen avseende åtgärder för att undanröja identifierade snedvridningar eller marknadsmisslyckanden och beakta denna och </w:t>
      </w:r>
      <w:r>
        <w:lastRenderedPageBreak/>
        <w:t>kommissionens yttrande om en sådan genomförandeplan enligt artikel 20.3 och (5) i förordning (EU)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Allt relevant innehåll i en handlingsplan enligt artikel 15 i förordning (EU)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600689">
            <w:pPr>
              <w:pStyle w:val="Heading1"/>
              <w:numPr>
                <w:ilvl w:val="2"/>
                <w:numId w:val="22"/>
              </w:numPr>
              <w:rPr>
                <w:color w:val="000000"/>
                <w:sz w:val="24"/>
                <w:szCs w:val="24"/>
              </w:rPr>
            </w:pPr>
            <w:r>
              <w:rPr>
                <w:color w:val="000000"/>
                <w:sz w:val="24"/>
              </w:rPr>
              <w:t>Lämplighet</w:t>
            </w:r>
          </w:p>
        </w:tc>
      </w:tr>
    </w:tbl>
    <w:p w14:paraId="4C2D927B" w14:textId="3E3F17BF" w:rsidR="00EA354A" w:rsidRPr="00F83660" w:rsidRDefault="00EA354A" w:rsidP="00EA354A">
      <w:pPr>
        <w:spacing w:before="360" w:after="120"/>
        <w:jc w:val="both"/>
        <w:rPr>
          <w:i/>
          <w:color w:val="000000"/>
        </w:rPr>
      </w:pPr>
      <w:r>
        <w:rPr>
          <w:i/>
          <w:color w:val="000000"/>
        </w:rPr>
        <w:t>För</w:t>
      </w:r>
      <w:r>
        <w:rPr>
          <w:i/>
        </w:rPr>
        <w:t xml:space="preserve"> att lämna information </w:t>
      </w:r>
      <w:r>
        <w:rPr>
          <w:i/>
          <w:color w:val="000000"/>
        </w:rPr>
        <w:t xml:space="preserve">i detta avsnitt, se avsnitt 4.8.4.2 (punkterna 341–342) i riktlinjerna.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För att kunna göra en bedömning av om punkt 341 i riktlinjerna efterlevs gäller följande:</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Ange vilka alternativa metoder som har övervägts för att uppnå en trygg elförsörjning, i synnerhet en effektivare utformning av elmarknaden som kan mildra marknadsmisslyckanden som undergräver elförsörjningstryggheten. Punkt 341 i riktlinjerna innehåller exempel på hur utformningen av elmarknaden kan förbättras (effektivisera avräkningen av obalanser för el, bättre integrera variabel produktion, stimulera och integrera efterfrågeflexibilitet och lagring, möjliggöra effektiva prissignaler, undanröja hinder för gränsöverskridande handel och förbättra infrastrukturen, inklusive sammanlänkning).</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Visa att det kvarstår ett problem med försörjningstryggheten trots lämpliga och proportionerliga förbättringar av marknadsutformningen och investeringar i nättillgångar, vare sig de redan har genomförts eller planeras (punkt 341 i riktlinjerna).</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När det gäller åtgärder mot överbelastning av nätet, förklara också hur effektiviteten hos åtgärderna för omdirigering har förbättrats i linje med artikel 13 i förordning (EU) 2019/943 (punkt 342 i riktlinjerna).</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600689">
            <w:pPr>
              <w:pStyle w:val="Heading1"/>
              <w:numPr>
                <w:ilvl w:val="2"/>
                <w:numId w:val="22"/>
              </w:numPr>
              <w:rPr>
                <w:sz w:val="24"/>
                <w:szCs w:val="24"/>
              </w:rPr>
            </w:pPr>
            <w:r>
              <w:rPr>
                <w:sz w:val="24"/>
              </w:rPr>
              <w:t>Stödberättigande</w:t>
            </w:r>
          </w:p>
        </w:tc>
      </w:tr>
    </w:tbl>
    <w:p w14:paraId="2460A5B7" w14:textId="542C5474" w:rsidR="00AB322D" w:rsidRPr="00E74034" w:rsidRDefault="00AB322D" w:rsidP="00AB322D">
      <w:pPr>
        <w:spacing w:before="360" w:after="120"/>
        <w:jc w:val="both"/>
        <w:rPr>
          <w:i/>
        </w:rPr>
      </w:pPr>
      <w:r>
        <w:rPr>
          <w:i/>
        </w:rPr>
        <w:t xml:space="preserve">För att lämna information i detta avsnitt, se avsnitt 4.8.4.3 (punkterna 343–346) i riktlinjerna.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För att visa att punkt 343 i riktlinjerna efterlevs, bekräfta att åtgärden kommer att vara öppen för alla stödmottagare eller projekt som har den tekniska förmågan att bidra på ett effektivt sätt till att uppnå målet om försörjningstrygghet (t.ex. produktion, lagring, efterfrågeflexibilitet, aggregering av små enheter till större block).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lastRenderedPageBreak/>
        <w:t xml:space="preserve">I enlighet med punkt 344 i riktlinjerna, ange om det finns några begränsningar för deltagande i den föreslagna åtgärden för försörjningstrygghet som syftar till att säkerställa att åtgärden inte undergräver miljöskyddet.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Om den anmälda åtgärden för försörjningstrygghet innehåller ytterligare kriterier eller egenskaper för att främja deltagandet av mer miljövänlig teknik (eller minska deltagandet av förorenande teknik) som är nödvändiga för att stödja uppnåendet av unionens miljöskyddsmål, visa att sådana ytterligare kriterier eller egenskaper är objektiva, transparenta och icke-diskriminerande i förhållande till tydligt identifierade miljöskyddsmål och inte leder till att stödmottagarna överkompenseras (punkt 345 i riktlinjerna).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I enlighet med punkt 346 i riktlinjerna ska följande göras: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Ange om åtgärden för elförsörjningstrygghet kommer att vara öppen för direkt gränsöverskridande deltagande av kapacitetsleverantörer i en annan medlemsstat. Om inte, motivera varför.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Visa hur utländsk kapacitet som kan tillhandahålla likvärdig teknisk prestanda som inhemsk kapacitet kommer att kunna delta i samma konkurrensutsatta process som den inhemska kapaciteten.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Om tillämpligt, visa att de relevanta reglerna i artikel 26 i förordning (EU) 2019/943 om gränsöverskridande deltagande i kapacitetsmekanismer efterlevs.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600689">
            <w:pPr>
              <w:pStyle w:val="Heading1"/>
              <w:numPr>
                <w:ilvl w:val="2"/>
                <w:numId w:val="22"/>
              </w:numPr>
              <w:rPr>
                <w:sz w:val="24"/>
                <w:szCs w:val="24"/>
              </w:rPr>
            </w:pPr>
            <w:r>
              <w:rPr>
                <w:sz w:val="24"/>
              </w:rPr>
              <w:t>Offentligt samråd</w:t>
            </w:r>
          </w:p>
        </w:tc>
      </w:tr>
    </w:tbl>
    <w:p w14:paraId="1B229D4F" w14:textId="57AA6556" w:rsidR="00E74034" w:rsidRPr="00E74034" w:rsidRDefault="00E74034" w:rsidP="00E74034">
      <w:pPr>
        <w:spacing w:before="360" w:after="120"/>
        <w:jc w:val="both"/>
        <w:rPr>
          <w:i/>
        </w:rPr>
      </w:pPr>
      <w:r>
        <w:rPr>
          <w:i/>
        </w:rPr>
        <w:t xml:space="preserve">För att lämna information i detta avsnitt, se avsnitt 4.8.4.4 (punkterna 348–351) i riktlinjerna. </w:t>
      </w:r>
    </w:p>
    <w:p w14:paraId="78EF67B8" w14:textId="77777777" w:rsidR="00725C45" w:rsidRDefault="0004197A" w:rsidP="0004197A">
      <w:pPr>
        <w:pStyle w:val="ListParagraph"/>
        <w:numPr>
          <w:ilvl w:val="0"/>
          <w:numId w:val="4"/>
        </w:numPr>
        <w:spacing w:before="120" w:after="120"/>
        <w:ind w:left="567" w:hanging="567"/>
        <w:contextualSpacing w:val="0"/>
        <w:jc w:val="both"/>
      </w:pPr>
      <w:r>
        <w:t>Ange om åtgärden kräver ett offentligt samråd enligt avsnitt 4.8.4.4 och, om så inte är fallet förklara varför.</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Om åtgärden kräver ett offentligt samråd,</w:t>
      </w:r>
    </w:p>
    <w:p w14:paraId="10ED4DF3" w14:textId="0709E691" w:rsidR="00915173" w:rsidRDefault="00725C45" w:rsidP="00600689">
      <w:pPr>
        <w:pStyle w:val="ListParagraph"/>
        <w:numPr>
          <w:ilvl w:val="1"/>
          <w:numId w:val="31"/>
        </w:numPr>
        <w:spacing w:before="120" w:after="120"/>
        <w:ind w:left="1134" w:hanging="283"/>
        <w:contextualSpacing w:val="0"/>
        <w:jc w:val="both"/>
      </w:pPr>
      <w:r>
        <w:t>ange det offentliga samrådets varaktighet och ge en sammanfattning av de viktigaste frågor som det kommer att omfatta,</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600689">
      <w:pPr>
        <w:pStyle w:val="ListParagraph"/>
        <w:numPr>
          <w:ilvl w:val="1"/>
          <w:numId w:val="31"/>
        </w:numPr>
        <w:spacing w:before="120" w:after="120"/>
        <w:ind w:left="1134" w:hanging="283"/>
        <w:contextualSpacing w:val="0"/>
        <w:jc w:val="both"/>
      </w:pPr>
      <w:r>
        <w:t>ange i enlighet med kraven i punkt 350 i riktlinjerna adressen till den offentliga webbplats där frågeformulär för samråd och myndigheternas sammanfattning av svaren offentliggörs.</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600689">
            <w:pPr>
              <w:pStyle w:val="Heading1"/>
              <w:numPr>
                <w:ilvl w:val="2"/>
                <w:numId w:val="22"/>
              </w:numPr>
              <w:rPr>
                <w:sz w:val="24"/>
                <w:szCs w:val="24"/>
              </w:rPr>
            </w:pPr>
            <w:r>
              <w:rPr>
                <w:sz w:val="24"/>
              </w:rPr>
              <w:lastRenderedPageBreak/>
              <w:t>Proportionalitet</w:t>
            </w:r>
          </w:p>
        </w:tc>
      </w:tr>
    </w:tbl>
    <w:p w14:paraId="2592F405" w14:textId="7ACA92B9" w:rsidR="00081E48" w:rsidRDefault="00081E48" w:rsidP="001D2520">
      <w:pPr>
        <w:pStyle w:val="ListParagraph"/>
        <w:spacing w:before="120" w:after="120"/>
        <w:ind w:left="0"/>
        <w:contextualSpacing w:val="0"/>
        <w:jc w:val="both"/>
      </w:pPr>
      <w:r>
        <w:rPr>
          <w:i/>
        </w:rPr>
        <w:t xml:space="preserve">För att lämna information i detta avsnitt, se avsnitt 3.2.1.3 (punkterna 49–53 och 55) och avsnitt 4.8.4.5 (punkterna 353–357) i riktlinjerna. Observera att ni ska välja antingen </w:t>
      </w:r>
      <w:r>
        <w:rPr>
          <w:i/>
          <w:u w:val="single"/>
        </w:rPr>
        <w:t xml:space="preserve">avsnitt 2.1.5.1 eller 2.1.5.2 nedan, </w:t>
      </w:r>
      <w:r>
        <w:rPr>
          <w:i/>
        </w:rPr>
        <w:t xml:space="preserve"> beroende på den föreslagna åtgärdens utformning, och endast lämna dina svar i det avsnittet.</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600689">
            <w:pPr>
              <w:pStyle w:val="Heading1"/>
              <w:keepNext/>
              <w:keepLines/>
              <w:numPr>
                <w:ilvl w:val="3"/>
                <w:numId w:val="22"/>
              </w:numPr>
              <w:ind w:left="1723" w:right="-28" w:hanging="646"/>
              <w:rPr>
                <w:sz w:val="24"/>
                <w:szCs w:val="24"/>
              </w:rPr>
            </w:pPr>
            <w:r>
              <w:rPr>
                <w:sz w:val="24"/>
              </w:rPr>
              <w:t>Proportionalitet hos stöd som beviljas genom ett konkurrensutsatt anbudsförfarande</w:t>
            </w:r>
          </w:p>
        </w:tc>
      </w:tr>
    </w:tbl>
    <w:p w14:paraId="3A2A7C7F" w14:textId="4061FA26" w:rsidR="00863406" w:rsidRDefault="00863406" w:rsidP="00863406">
      <w:pPr>
        <w:spacing w:before="360" w:after="120"/>
        <w:jc w:val="both"/>
        <w:rPr>
          <w:i/>
        </w:rPr>
      </w:pPr>
      <w:r>
        <w:rPr>
          <w:i/>
        </w:rPr>
        <w:t xml:space="preserve">För att lämna information i detta avsnitt, se avsnitt 3.2.1.3 (punkterna 49, 50, 51, 52, 53 och 55), och punkterna 353, 354 och 356 i riktlinjerna. </w:t>
      </w:r>
    </w:p>
    <w:p w14:paraId="50E2DDC9" w14:textId="48FD7994" w:rsidR="00882890" w:rsidRDefault="00882890" w:rsidP="00863406">
      <w:pPr>
        <w:spacing w:before="360" w:after="120"/>
        <w:jc w:val="both"/>
        <w:rPr>
          <w:i/>
        </w:rPr>
      </w:pPr>
      <w:r>
        <w:rPr>
          <w:i/>
        </w:rPr>
        <w:t xml:space="preserve">Detta avsnitt gäller </w:t>
      </w:r>
      <w:r>
        <w:rPr>
          <w:i/>
          <w:u w:val="single"/>
        </w:rPr>
        <w:t>inte</w:t>
      </w:r>
      <w:r>
        <w:rPr>
          <w:i/>
        </w:rPr>
        <w:t xml:space="preserve"> stöd som beviljas </w:t>
      </w:r>
      <w:r>
        <w:rPr>
          <w:i/>
          <w:u w:val="single"/>
        </w:rPr>
        <w:t>utan</w:t>
      </w:r>
      <w:r>
        <w:rPr>
          <w:i/>
        </w:rPr>
        <w:t xml:space="preserve"> ett </w:t>
      </w:r>
      <w:r>
        <w:rPr>
          <w:i/>
          <w:u w:val="single"/>
        </w:rPr>
        <w:t>konkurrensutsatt anbudsförfarande</w:t>
      </w:r>
      <w:r>
        <w:rPr>
          <w:i/>
        </w:rPr>
        <w:t>. För den typen av åtgärder, gå direkt till avsnitt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För att bedöma efterlevnaden av punkt 353 i riktlinjerna, och om detta inte redan ingår i svaret på fråga </w:t>
      </w:r>
      <w:r>
        <w:fldChar w:fldCharType="begin"/>
      </w:r>
      <w:r>
        <w:instrText xml:space="preserve"> REF _Ref167812746 \r \h </w:instrText>
      </w:r>
      <w:r>
        <w:fldChar w:fldCharType="separate"/>
      </w:r>
      <w:r>
        <w:t>16</w:t>
      </w:r>
      <w:r>
        <w:fldChar w:fldCharType="end"/>
      </w:r>
      <w:r>
        <w:t xml:space="preserve"> ovan, beskriv den analys som används för att fastställa behovsnivån i den anmälda åtgärden för försörjningstrygghet på grundval av tillförlitlighetsnormen eller kostnads-nyttoanalysen. Bekräfta att den analys som används för att fastställa behovsnivån är högst tolv månader gammal vid den tidpunkt då behovsnivån fastställs.</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I enlighet med punkt 354 i riktlinjerna, visa att leveranstiden mellan beviljandet av stödet och den sista dagen för slutförande av projekten kommer att möjliggöra en effektiv konkurrens mellan de olika stödberättigade projekten.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I enlighet med punkt 356 i riktlinjerna, visa att mottagare av stöd för försörjningstrygghetsåtgärder kommer att ha effektiva incitament att bidra till försörjningstryggheten under leveransperioden. Dessa incitament bör ha koppling till värdet av förlorad last (</w:t>
      </w:r>
      <w:proofErr w:type="spellStart"/>
      <w:r>
        <w:t>value</w:t>
      </w:r>
      <w:proofErr w:type="spellEnd"/>
      <w:r>
        <w:t xml:space="preserve"> </w:t>
      </w:r>
      <w:proofErr w:type="spellStart"/>
      <w:r>
        <w:t>of</w:t>
      </w:r>
      <w:proofErr w:type="spellEnd"/>
      <w:r>
        <w:t xml:space="preserve"> </w:t>
      </w:r>
      <w:proofErr w:type="spellStart"/>
      <w:r>
        <w:t>lost</w:t>
      </w:r>
      <w:proofErr w:type="spellEnd"/>
      <w:r>
        <w:t xml:space="preserve"> </w:t>
      </w:r>
      <w:proofErr w:type="spellStart"/>
      <w:r>
        <w:t>load</w:t>
      </w:r>
      <w:proofErr w:type="spellEnd"/>
      <w:r>
        <w:t xml:space="preserve">) i enlighet med vad som fastställs i artikel 11 i förordning (EU)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För att visa att punkterna 49 och 50 i riktlinjerna efterlevs ange följande:</w:t>
      </w:r>
    </w:p>
    <w:p w14:paraId="2AB5C620" w14:textId="7A6DCCC0" w:rsidR="00CD498E" w:rsidRPr="00441F0B" w:rsidRDefault="00033BA9" w:rsidP="00600689">
      <w:pPr>
        <w:numPr>
          <w:ilvl w:val="0"/>
          <w:numId w:val="24"/>
        </w:numPr>
        <w:ind w:left="1134" w:hanging="283"/>
      </w:pPr>
      <w:r>
        <w:t>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600689">
      <w:pPr>
        <w:numPr>
          <w:ilvl w:val="0"/>
          <w:numId w:val="24"/>
        </w:numPr>
        <w:ind w:left="1134" w:hanging="283"/>
      </w:pPr>
      <w:r>
        <w:t xml:space="preserve">De urvalskriterier som använts för att rangordna anbuden och slutligen identifiera stödnivån i det konkurrensutsatta anbudsförfarandet, närmare bestämt följande: </w:t>
      </w:r>
    </w:p>
    <w:p w14:paraId="62322C89" w14:textId="24B28289" w:rsidR="004D6830" w:rsidRPr="00050EB9" w:rsidRDefault="000B1BDB" w:rsidP="00600689">
      <w:pPr>
        <w:pStyle w:val="ListParagraph"/>
        <w:numPr>
          <w:ilvl w:val="1"/>
          <w:numId w:val="25"/>
        </w:numPr>
        <w:spacing w:before="120" w:after="120"/>
        <w:contextualSpacing w:val="0"/>
        <w:jc w:val="both"/>
      </w:pPr>
      <w:r>
        <w:lastRenderedPageBreak/>
        <w:t>Lämna en förteckning över urvalskriterierna och ange vilka av dem som är/inte är direkt eller indirekt kopplade till de huvudsakliga målen för åtgärden. Ange deras viktning.</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600689">
      <w:pPr>
        <w:pStyle w:val="ListParagraph"/>
        <w:numPr>
          <w:ilvl w:val="1"/>
          <w:numId w:val="25"/>
        </w:numPr>
        <w:spacing w:before="120" w:after="120"/>
        <w:contextualSpacing w:val="0"/>
        <w:jc w:val="both"/>
      </w:pPr>
      <w:r>
        <w:t>Förklara hur urvalskriterierna ställer bidraget till de huvudsakliga målen för åtgärden eller åtgärderna i direkt eller indirekt relation till det stödbelopp som sökanden begär. Detta kan exempelvis uttryckas i stöd per miljöskyddsenhet eller stöd per energienhet (punkt 50 och fotnot 44 i riktlinjerna).</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600689">
      <w:pPr>
        <w:pStyle w:val="ListParagraph"/>
        <w:numPr>
          <w:ilvl w:val="1"/>
          <w:numId w:val="25"/>
        </w:numPr>
        <w:spacing w:before="120" w:after="120"/>
        <w:contextualSpacing w:val="0"/>
        <w:jc w:val="both"/>
      </w:pPr>
      <w:r>
        <w:t>Om det finns andra urvalskriterier som inte är direkt eller indirekt kopplade till de huvudsakliga målen för åtgärden, ange skälen för det föreslagna tillvägagångssättet och förklara på vilket sätt det är lämpligt för de mål som eftersträvas genom åtgärden. Bekräfta också att dessa kriterier inte utgör mer än 30 % av viktningen för alla urvalskriterier (punkt 50 i riktlinjerna).</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600689">
      <w:pPr>
        <w:pStyle w:val="ListParagraph"/>
        <w:numPr>
          <w:ilvl w:val="1"/>
          <w:numId w:val="25"/>
        </w:numPr>
        <w:spacing w:before="120" w:after="120"/>
        <w:contextualSpacing w:val="0"/>
        <w:jc w:val="both"/>
      </w:pPr>
      <w:r>
        <w:rPr>
          <w:color w:val="000000"/>
        </w:rPr>
        <w:t xml:space="preserve">Ange hur </w:t>
      </w:r>
      <w:r>
        <w:rPr>
          <w:color w:val="000000"/>
          <w:shd w:val="clear" w:color="auto" w:fill="FFFFFF"/>
        </w:rPr>
        <w:t>långt före sista dagen för inlämning av ansökningar i varje konkurrensutsatt anbudsförfarande urvalskriterierna kommer att offentliggöras</w:t>
      </w:r>
      <w:r>
        <w:rPr>
          <w:shd w:val="clear" w:color="auto" w:fill="FFFFFF"/>
        </w:rPr>
        <w:t xml:space="preserve"> </w:t>
      </w:r>
      <w:r>
        <w:t>(punkt 49 b och fotnot 43 i riktlinjerna)</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600689">
      <w:pPr>
        <w:pStyle w:val="ListParagraph"/>
        <w:numPr>
          <w:ilvl w:val="0"/>
          <w:numId w:val="24"/>
        </w:numPr>
        <w:spacing w:before="120" w:after="120"/>
        <w:ind w:hanging="229"/>
        <w:contextualSpacing w:val="0"/>
        <w:jc w:val="both"/>
      </w:pPr>
      <w:r>
        <w:rPr>
          <w:shd w:val="clear" w:color="auto" w:fill="FFFFFF"/>
        </w:rPr>
        <w:t>Bekräfta att budgeten eller volymen med anknytning till anbudsförfarandet utgör en bindande begränsning som innebär att det kan förväntas att inte alla anbudsgivare kommer att erhålla stöd</w:t>
      </w:r>
      <w:r>
        <w:t xml:space="preserve"> (punkt 49 c i riktlinjerna)</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600689">
      <w:pPr>
        <w:pStyle w:val="ListParagraph"/>
        <w:numPr>
          <w:ilvl w:val="0"/>
          <w:numId w:val="24"/>
        </w:numPr>
        <w:spacing w:before="120" w:after="120"/>
        <w:ind w:hanging="229"/>
        <w:contextualSpacing w:val="0"/>
        <w:jc w:val="both"/>
      </w:pPr>
      <w:r>
        <w:rPr>
          <w:shd w:val="clear" w:color="auto" w:fill="FFFFFF"/>
        </w:rPr>
        <w:t>Lämna information om antalet planerade anbudsomgångar och förväntat antal anbudsgivare i första omgången och över tid.</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600689">
      <w:pPr>
        <w:pStyle w:val="ListParagraph"/>
        <w:numPr>
          <w:ilvl w:val="0"/>
          <w:numId w:val="24"/>
        </w:numPr>
        <w:spacing w:before="120" w:after="120"/>
        <w:ind w:hanging="229"/>
        <w:contextualSpacing w:val="0"/>
        <w:jc w:val="both"/>
      </w:pPr>
      <w:r>
        <w:rPr>
          <w:shd w:val="clear" w:color="auto" w:fill="FFFFFF"/>
        </w:rPr>
        <w:t>Om det rör sig om ett eller flera anbudsförfaranden med för få sökande, förklara hur och när utformningen av anbudsförfaranden kommer att korrigeras under genomförandet av stödordningen i syfte att återställa effektiv konkurrens</w:t>
      </w:r>
      <w:r>
        <w:t xml:space="preserve"> (punkt 49 c i riktlinjerna)</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600689">
      <w:pPr>
        <w:pStyle w:val="ListParagraph"/>
        <w:numPr>
          <w:ilvl w:val="0"/>
          <w:numId w:val="24"/>
        </w:numPr>
        <w:spacing w:before="120" w:after="120"/>
        <w:ind w:hanging="229"/>
        <w:contextualSpacing w:val="0"/>
        <w:jc w:val="both"/>
      </w:pPr>
      <w:r>
        <w:rPr>
          <w:color w:val="000000"/>
          <w:shd w:val="clear" w:color="auto" w:fill="FFFFFF"/>
        </w:rPr>
        <w:t>Bekräfta att efterhandsjusteringar av resultatet av anbudsförfarandet (såsom efterföljande</w:t>
      </w:r>
      <w:r>
        <w:rPr>
          <w:shd w:val="clear" w:color="auto" w:fill="FFFFFF"/>
        </w:rPr>
        <w:t xml:space="preserve"> förhandlingar om anbudsresultat eller ransonering) undviks</w:t>
      </w:r>
      <w:r>
        <w:t xml:space="preserve"> (punkt 49 d i riktlinjerna)</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600689">
      <w:pPr>
        <w:pStyle w:val="ListParagraph"/>
        <w:numPr>
          <w:ilvl w:val="0"/>
          <w:numId w:val="24"/>
        </w:numPr>
        <w:spacing w:before="120" w:after="120"/>
        <w:ind w:hanging="229"/>
        <w:contextualSpacing w:val="0"/>
        <w:jc w:val="both"/>
      </w:pPr>
      <w:r>
        <w:t xml:space="preserve">Om ”anbud utan subvention” kan förekomma, förklara hur proportionaliteten kommer att säkerställas.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600689">
      <w:pPr>
        <w:pStyle w:val="ListParagraph"/>
        <w:numPr>
          <w:ilvl w:val="0"/>
          <w:numId w:val="24"/>
        </w:numPr>
        <w:spacing w:before="120" w:after="120"/>
        <w:ind w:hanging="229"/>
        <w:contextualSpacing w:val="0"/>
        <w:jc w:val="both"/>
      </w:pPr>
      <w:r>
        <w:t xml:space="preserve">Ange om myndigheterna planerar att använda lägsta prisgränser eller pristak i det konkurrensutsatta anbudsförfarandet. Om så är fallet, motivera varför de används </w:t>
      </w:r>
      <w:r>
        <w:lastRenderedPageBreak/>
        <w:t>och förklara hur de inte inskränker det konkurrensutsatta anbudsförfarandet</w:t>
      </w:r>
      <w:r>
        <w:rPr>
          <w:rStyle w:val="FootnoteReference"/>
          <w:lang w:eastAsia="en-GB"/>
        </w:rPr>
        <w:footnoteReference w:id="6"/>
      </w:r>
      <w:r>
        <w:t xml:space="preserve"> (punkt 49 och fotnot 42 i riktlinjerna).</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600689">
            <w:pPr>
              <w:pStyle w:val="Heading1"/>
              <w:keepNext/>
              <w:keepLines/>
              <w:numPr>
                <w:ilvl w:val="3"/>
                <w:numId w:val="22"/>
              </w:numPr>
              <w:ind w:left="1723" w:right="-28" w:hanging="646"/>
              <w:rPr>
                <w:sz w:val="24"/>
                <w:szCs w:val="24"/>
              </w:rPr>
            </w:pPr>
            <w:r>
              <w:rPr>
                <w:sz w:val="24"/>
              </w:rPr>
              <w:t xml:space="preserve">Proportionalitet hos stöd som </w:t>
            </w:r>
            <w:r>
              <w:rPr>
                <w:sz w:val="24"/>
                <w:u w:val="single"/>
              </w:rPr>
              <w:t>inte</w:t>
            </w:r>
            <w:r>
              <w:rPr>
                <w:sz w:val="24"/>
              </w:rPr>
              <w:t xml:space="preserve"> beviljas genom ett konkurrensutsatt anbudsförfarande </w:t>
            </w:r>
          </w:p>
        </w:tc>
      </w:tr>
    </w:tbl>
    <w:p w14:paraId="0190ED95" w14:textId="4268A147" w:rsidR="001620DB" w:rsidRDefault="001620DB" w:rsidP="00DB2066">
      <w:pPr>
        <w:pStyle w:val="ListParagraph"/>
        <w:spacing w:before="120" w:after="120"/>
        <w:ind w:left="0"/>
        <w:contextualSpacing w:val="0"/>
        <w:jc w:val="both"/>
      </w:pPr>
      <w:r>
        <w:rPr>
          <w:i/>
        </w:rPr>
        <w:t>För att lämna information i detta avsnitt, se punkterna 51–55 och 353–357 i riktlinjerna.</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Detta avsnitt gäller </w:t>
      </w:r>
      <w:r>
        <w:rPr>
          <w:i/>
          <w:u w:val="single"/>
        </w:rPr>
        <w:t>inte</w:t>
      </w:r>
      <w:r>
        <w:rPr>
          <w:i/>
        </w:rPr>
        <w:t xml:space="preserve"> åtgärder där stöd beviljas genom ett </w:t>
      </w:r>
      <w:r>
        <w:rPr>
          <w:i/>
          <w:u w:val="single"/>
        </w:rPr>
        <w:t>konkurrensutsatt anbudsförfarande</w:t>
      </w:r>
      <w:r>
        <w:rPr>
          <w:i/>
        </w:rPr>
        <w:t>. För den typen av åtgärder hänvisas till avsnitt 2.5.1.1 ovan.</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För att bedöma efterlevnaden av punkt 353 i riktlinjerna, och om detta inte redan ingår i svaret på fråga </w:t>
      </w:r>
      <w:r>
        <w:fldChar w:fldCharType="begin"/>
      </w:r>
      <w:r>
        <w:instrText xml:space="preserve"> REF _Ref167812746 \r \h </w:instrText>
      </w:r>
      <w:r>
        <w:fldChar w:fldCharType="separate"/>
      </w:r>
      <w:r>
        <w:t>16</w:t>
      </w:r>
      <w:r>
        <w:fldChar w:fldCharType="end"/>
      </w:r>
      <w:r>
        <w:t xml:space="preserve"> ovan, beskriv den analys som används för att fastställa behovsnivån i den anmälda åtgärden för försörjningstrygghet på grundval av tillförlitlighetsnormen eller kostnads-nyttoanalysen. Bekräfta att den analys som används för att fastställa behovsnivån är högst tolv månader gammal vid den tidpunkt då behovsnivån fastställs.</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I enlighet med punkt 354 i riktlinjerna, visa att leveranstiden mellan beviljandet av stödet och den sista dagen för slutförande av projekten kommer att möjliggöra en effektiv konkurrens mellan de olika stödberättigade projekten.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I enlighet med punkt 356 i riktlinjerna, visa att mottagare av stöd för försörjningstrygghetsåtgärder kommer att ha effektiva incitament att bidra till försörjningstryggheten under leveransperioden. Dessa incitament bör ha koppling till värdet av förlorad last (</w:t>
      </w:r>
      <w:proofErr w:type="spellStart"/>
      <w:r>
        <w:t>value</w:t>
      </w:r>
      <w:proofErr w:type="spellEnd"/>
      <w:r>
        <w:t xml:space="preserve"> </w:t>
      </w:r>
      <w:proofErr w:type="spellStart"/>
      <w:r>
        <w:t>of</w:t>
      </w:r>
      <w:proofErr w:type="spellEnd"/>
      <w:r>
        <w:t xml:space="preserve"> </w:t>
      </w:r>
      <w:proofErr w:type="spellStart"/>
      <w:r>
        <w:t>lost</w:t>
      </w:r>
      <w:proofErr w:type="spellEnd"/>
      <w:r>
        <w:t xml:space="preserve"> </w:t>
      </w:r>
      <w:proofErr w:type="spellStart"/>
      <w:r>
        <w:t>load</w:t>
      </w:r>
      <w:proofErr w:type="spellEnd"/>
      <w:r>
        <w:t xml:space="preserve">) i enlighet med vad som fastställs i artikel 11 i förordning (EU)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Förklara varför ett konkurrensutsatt anbudsförfarande inte används (i enlighet med punkt 355 i riktlinjerna).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När det gäller stödordningar, lämna en förteckning över referensprojekt och en redogörelse för varför dessa har definierats (t.ex. förklara att kostnaderna och intäkterna inom varje referensprojekt kan förväntas vara i stort sett likartade). Det bör för tydlighets skull klargöras att ett referensprojekt är ett exempel på ett projekt som är representativt för ett genomsnittligt projekt i en kategori av stödberättigade stödmottagare inom en stödordning (punkt 19.63 i riktlinjerna).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I enlighet med punkt 51 i riktlinjerna, för varje referensprojekt (när det gäller stödordningar) eller för varje stödmottagare (när det gäller individuellt stöd) visa att stödbeloppet inte överstiger det minimum som krävs, dvs. skillnaden mellan </w:t>
      </w:r>
      <w:r>
        <w:lastRenderedPageBreak/>
        <w:t>nettonuvärdet för det faktiska scenariot och nettonuvärdet för det kontrafaktiska scenariot under referensprojektets eller projektets livstid. För denna bedömning, lämna in en kvantifiering, för det faktiska scenariot och ett realistiskt kontrafaktiskt scenario</w:t>
      </w:r>
      <w:r>
        <w:rPr>
          <w:rStyle w:val="FootnoteReference"/>
        </w:rPr>
        <w:footnoteReference w:id="7"/>
      </w:r>
      <w:r>
        <w:t xml:space="preserve">, av alla viktiga kostnader och intäkter, stödmottagarnas (eller referensprojektens om det gäller stödordningar) beräknade vägda genomsnittliga kapitalkostnad för att diskontera framtida kassaflöden samt nettonuvärdet för de faktiska och kontrafaktiska scenarierna under projektets/referensprojektets livstid.  </w:t>
      </w:r>
    </w:p>
    <w:p w14:paraId="4DB6378F" w14:textId="77777777" w:rsidR="007F119D" w:rsidRDefault="007F119D" w:rsidP="00600689">
      <w:pPr>
        <w:numPr>
          <w:ilvl w:val="0"/>
          <w:numId w:val="26"/>
        </w:numPr>
        <w:ind w:left="1134" w:hanging="283"/>
      </w:pPr>
      <w:r>
        <w:t xml:space="preserve">Bifoga detta som en bilaga till detta anmälningsformulär (i form av en Excel-fil där alla formler är synliga). </w:t>
      </w:r>
    </w:p>
    <w:p w14:paraId="791F4E37" w14:textId="77777777" w:rsidR="00217A1A" w:rsidRPr="00600689"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00689">
      <w:pPr>
        <w:numPr>
          <w:ilvl w:val="0"/>
          <w:numId w:val="26"/>
        </w:numPr>
        <w:ind w:left="1134" w:hanging="283"/>
      </w:pPr>
      <w:r>
        <w:t>Lämna detaljerad information om de antaganden, metoder, skäl och underliggande källor till dessa som används för varje aspekt av kvantifieringen av kostnader och intäkter i det faktiska scenariot och det sannolika kontrafaktiska scenariot (ange t.ex. de antaganden som används för att utveckla dessa scenarier och källan/skälen till dessa antaganden).</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00689">
      <w:pPr>
        <w:numPr>
          <w:ilvl w:val="0"/>
          <w:numId w:val="26"/>
        </w:numPr>
        <w:ind w:left="1134" w:hanging="283"/>
      </w:pPr>
      <w:r>
        <w:t>Till detta anmälningsformulär kan ni även bifoga de handlingar som anges i fotnot 39 i riktlinjerna. Styrelsedokument kan vara särskilt användbara för individuella stödåtgärder eller stödordningar som gynnar ett särskilt begränsat antal stödmottagare. Om sådana handlingar bifogas anmälningsformuläret, ange en förteckning över dem nedan med uppgift om vem som upprättade dem, datum då de upprättades och i vilket sammanhang de har använts.</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Om punkt 55 i riktlinjerna är tillämplig, lämna information om de ersättningsmodeller som medlemsstaten kan ha för avsikt att införa (en blandning av mekanismer i för- och efterhand eller mekanismer för återbetalning i efterhand eller kostnadsövervakning). </w:t>
      </w:r>
    </w:p>
    <w:p w14:paraId="1469FE3D" w14:textId="3662127B" w:rsidR="000575C3" w:rsidRPr="008515FB" w:rsidRDefault="009329F1" w:rsidP="000575C3">
      <w:pPr>
        <w:tabs>
          <w:tab w:val="left" w:leader="dot" w:pos="9072"/>
        </w:tabs>
        <w:spacing w:before="120" w:after="120"/>
        <w:ind w:left="567"/>
        <w:jc w:val="both"/>
      </w:pPr>
      <w:r>
        <w:t xml:space="preserve">Om punkt 55 i riktlinjerna inte är tillämplig på åtgärden/åtgärderna, lämna en motivering.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Om den eller de anmälda åtgärderna utformas som ett konkurrensbaserat certifikat eller system för leverantörsskyldighet (punkt 357 i riktlinjerna)</w:t>
      </w:r>
    </w:p>
    <w:p w14:paraId="504AC813" w14:textId="77777777" w:rsidR="00EF6485" w:rsidRDefault="00EF6485" w:rsidP="00EF6485">
      <w:pPr>
        <w:pStyle w:val="ListParagraph"/>
        <w:ind w:hanging="436"/>
        <w:rPr>
          <w:lang w:eastAsia="en-GB"/>
        </w:rPr>
      </w:pPr>
    </w:p>
    <w:p w14:paraId="5FEA5C3D" w14:textId="5CC3AC8E" w:rsidR="00EF6485" w:rsidRDefault="0088099D" w:rsidP="00600689">
      <w:pPr>
        <w:numPr>
          <w:ilvl w:val="0"/>
          <w:numId w:val="30"/>
        </w:numPr>
        <w:spacing w:after="240"/>
        <w:ind w:left="1134" w:hanging="283"/>
        <w:jc w:val="both"/>
      </w:pPr>
      <w:r>
        <w:t>bekräfta att efterfrågan inom stödordningen kommer att ligga under det potentiella utbudet, och</w:t>
      </w:r>
    </w:p>
    <w:p w14:paraId="3714D680" w14:textId="6175BEB4" w:rsidR="006F39D2" w:rsidRDefault="006F39D2" w:rsidP="00217A1A">
      <w:pPr>
        <w:spacing w:after="240"/>
        <w:ind w:left="720" w:firstLine="414"/>
        <w:jc w:val="both"/>
      </w:pPr>
      <w:r>
        <w:t>………………………………………………………………………………………</w:t>
      </w:r>
    </w:p>
    <w:p w14:paraId="3CE17A1C" w14:textId="3C19DDB2" w:rsidR="00EF6485" w:rsidRDefault="0088099D" w:rsidP="00600689">
      <w:pPr>
        <w:numPr>
          <w:ilvl w:val="0"/>
          <w:numId w:val="30"/>
        </w:numPr>
        <w:spacing w:after="240"/>
        <w:ind w:left="1134" w:hanging="283"/>
        <w:jc w:val="both"/>
      </w:pPr>
      <w:r>
        <w:t>förklara hur uppköpspriset/påföljdspriset kommer att fastställas och hur detta säkerställer att någon överkompensation inte kan förekomma.</w:t>
      </w:r>
    </w:p>
    <w:p w14:paraId="27CDD2B2" w14:textId="60DAB3FE" w:rsidR="006F39D2" w:rsidRDefault="006F39D2" w:rsidP="00217A1A">
      <w:pPr>
        <w:spacing w:after="240"/>
        <w:ind w:left="720" w:firstLine="414"/>
        <w:jc w:val="both"/>
      </w:pPr>
      <w:r>
        <w:lastRenderedPageBreak/>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600689">
            <w:pPr>
              <w:pStyle w:val="Heading1"/>
              <w:numPr>
                <w:ilvl w:val="2"/>
                <w:numId w:val="22"/>
              </w:numPr>
              <w:rPr>
                <w:sz w:val="24"/>
                <w:szCs w:val="24"/>
              </w:rPr>
            </w:pPr>
            <w:r>
              <w:rPr>
                <w:sz w:val="24"/>
              </w:rPr>
              <w:t>Kumulering</w:t>
            </w:r>
          </w:p>
        </w:tc>
      </w:tr>
    </w:tbl>
    <w:p w14:paraId="2346A85D" w14:textId="6CB77F89" w:rsidR="00B21377" w:rsidRPr="002A3B51" w:rsidRDefault="00B21377" w:rsidP="00B21377">
      <w:pPr>
        <w:pStyle w:val="ListParagraph"/>
        <w:spacing w:before="120" w:after="120"/>
        <w:ind w:left="567"/>
        <w:contextualSpacing w:val="0"/>
        <w:jc w:val="both"/>
      </w:pPr>
      <w:r>
        <w:rPr>
          <w:i/>
        </w:rPr>
        <w:t>För att lämna information i detta avsnitt, se punkterna 56 och 57 i riktlinjerna.</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Klargör om stödet inom ramen för den anmälda åtgärden kan beviljas samtidigt inom ramen för flera stödordningar eller kumuleras med stöd för särskilda ändamål eller stöd av mindre betydelse i förhållande till samma stödberättigande kostnader, om detta inte redan anges i del I </w:t>
      </w:r>
      <w:proofErr w:type="spellStart"/>
      <w:r>
        <w:t>i</w:t>
      </w:r>
      <w:proofErr w:type="spellEnd"/>
      <w:r>
        <w:t xml:space="preserve"> det allmänna anmälningsformuläret och för att visa att punkt 56 i riktlinjerna efterlevs. Om så är fallet, lämna närmare uppgifter om dessa stödordningar, stöd för särskilda ändamål eller stöd av mindre betydelse och hur stödet kommer att kumuleras. Observera att det kan vara lämpligt att hänvisa till kvantifieringen ovan.</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Om punkt 56 i riktlinjerna är tillämplig, motivera hur det totala stödbelopp som beviljas inom ramen för den eller de anmälda åtgärderna till ett projekt eller en verksamhet inte leder till överkompensation eller överskrider det högsta stödbelopp som tillåts enligt riktlinjerna. Det högsta stödbelopp som tillåts enligt riktlinjerna är antingen det stödbelopp som är inräknat i det vinnande anbudet eller, i avsaknad av ett konkurrensutsatt förfarande, det finansieringsunderskott som kvarstår när alla viktiga intäkter, inklusive andra stödkällor, har beaktats (punkt 51 i riktlinjerna). För stöd som beviljas inom ramen för den eller de anmälda stödåtgärderna och som kan kumuleras med statligt stöd inom ramen för ett annat instrument, ange den metod som används för att säkerställa att villkoren i punkt 56 i riktlinjerna efterlevs.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Om punkt 57 i riktlinjerna är tillämplig, dvs. om det stöd som beviljas inom ramen för den eller de anmälda åtgärderna kombineras med en centralt förvaltad unionsfinansiering</w:t>
      </w:r>
      <w:r>
        <w:rPr>
          <w:rStyle w:val="FootnoteReference"/>
          <w:lang w:eastAsia="en-GB"/>
        </w:rPr>
        <w:footnoteReference w:id="8"/>
      </w:r>
      <w:r>
        <w:t xml:space="preserve"> (som inte utgör statligt stöd), motivera hur </w:t>
      </w:r>
      <w:r>
        <w:rPr>
          <w:shd w:val="clear" w:color="auto" w:fill="FFFFFF"/>
        </w:rPr>
        <w:t>den totala offentliga finansiering som beviljas för samma stödberättigande kostnader inte leder till överkompensation</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600689">
            <w:pPr>
              <w:pStyle w:val="Heading1"/>
              <w:numPr>
                <w:ilvl w:val="2"/>
                <w:numId w:val="22"/>
              </w:numPr>
              <w:rPr>
                <w:color w:val="000000"/>
                <w:sz w:val="24"/>
                <w:szCs w:val="24"/>
              </w:rPr>
            </w:pPr>
            <w:r>
              <w:rPr>
                <w:sz w:val="24"/>
              </w:rPr>
              <w:t>Öppenhet</w:t>
            </w:r>
          </w:p>
        </w:tc>
      </w:tr>
    </w:tbl>
    <w:p w14:paraId="07229A8F" w14:textId="5882F9C4" w:rsidR="006773CE" w:rsidRPr="007C0A44" w:rsidRDefault="006773CE" w:rsidP="006773CE">
      <w:pPr>
        <w:spacing w:before="360" w:after="120"/>
        <w:jc w:val="both"/>
        <w:rPr>
          <w:i/>
        </w:rPr>
      </w:pPr>
      <w:r>
        <w:rPr>
          <w:i/>
          <w:color w:val="000000"/>
        </w:rPr>
        <w:t>För</w:t>
      </w:r>
      <w:r>
        <w:rPr>
          <w:i/>
        </w:rPr>
        <w:t xml:space="preserve"> att lämna information </w:t>
      </w:r>
      <w:r>
        <w:rPr>
          <w:i/>
          <w:color w:val="000000"/>
        </w:rPr>
        <w:t>i detta avsnitt, se avsnitt 3.2.1.4 (punkterna 58–61) i riktlinjerna.</w:t>
      </w:r>
      <w:r>
        <w:rPr>
          <w:i/>
        </w:rPr>
        <w:t xml:space="preserve">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Bekräfta att medlemsstaten kommer att efterleva de krav på öppenhet som fastställs i punkterna 58–61 i riktlinjerna.</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lastRenderedPageBreak/>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600689">
            <w:pPr>
              <w:pStyle w:val="Heading1"/>
              <w:numPr>
                <w:ilvl w:val="1"/>
                <w:numId w:val="22"/>
              </w:numPr>
              <w:jc w:val="left"/>
              <w:rPr>
                <w:iCs/>
                <w:color w:val="000000"/>
                <w:sz w:val="24"/>
                <w:szCs w:val="24"/>
              </w:rPr>
            </w:pPr>
            <w:r>
              <w:rPr>
                <w:color w:val="000000"/>
                <w:sz w:val="24"/>
              </w:rPr>
              <w:t>Undvikande av otillbörliga negativa effekter på handel och konkurrens och balansering</w:t>
            </w:r>
          </w:p>
        </w:tc>
      </w:tr>
    </w:tbl>
    <w:p w14:paraId="6C8D04A2" w14:textId="31215476" w:rsidR="009D6AD7" w:rsidRDefault="00F83660" w:rsidP="00757930">
      <w:pPr>
        <w:spacing w:before="360" w:after="120"/>
        <w:jc w:val="both"/>
      </w:pPr>
      <w:r>
        <w:rPr>
          <w:i/>
        </w:rPr>
        <w:t xml:space="preserve">För att lämna information i detta avsnitt, se avsnitt 4.8.5 (punkterna 359–370) och avsnitt 3.3 (punkterna 71–76) i riktlinjerna. </w:t>
      </w:r>
    </w:p>
    <w:p w14:paraId="289C641A" w14:textId="66B1FD1E" w:rsidR="002955E1" w:rsidRDefault="002955E1" w:rsidP="00AA5AF1">
      <w:pPr>
        <w:numPr>
          <w:ilvl w:val="0"/>
          <w:numId w:val="4"/>
        </w:numPr>
        <w:spacing w:after="240"/>
        <w:ind w:left="567" w:hanging="567"/>
        <w:jc w:val="both"/>
        <w:rPr>
          <w:i/>
          <w:color w:val="000000"/>
        </w:rPr>
      </w:pPr>
      <w:r>
        <w:rPr>
          <w:color w:val="000000"/>
        </w:rPr>
        <w:t>För att visa att punkterna 359, 360 och 361 i riktlinjerna efterlevs gäller följande:</w:t>
      </w:r>
    </w:p>
    <w:p w14:paraId="3CDD8237" w14:textId="472E0A00" w:rsidR="005333EE" w:rsidRPr="00757930" w:rsidRDefault="00967292" w:rsidP="00600689">
      <w:pPr>
        <w:numPr>
          <w:ilvl w:val="0"/>
          <w:numId w:val="34"/>
        </w:numPr>
        <w:spacing w:after="240"/>
        <w:ind w:left="1134" w:hanging="283"/>
        <w:jc w:val="both"/>
        <w:rPr>
          <w:i/>
          <w:color w:val="000000"/>
        </w:rPr>
      </w:pPr>
      <w:r>
        <w:t xml:space="preserve">Visa (om detta inte redan ingår i svaret på fråga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ovan) att stödet är utformat för att upprätthålla effektivt fungerande marknader och bevara effektiva driftsincitament och prissignaler.</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600689">
      <w:pPr>
        <w:numPr>
          <w:ilvl w:val="0"/>
          <w:numId w:val="34"/>
        </w:numPr>
        <w:spacing w:after="240"/>
        <w:ind w:left="1134" w:hanging="283"/>
        <w:jc w:val="both"/>
        <w:rPr>
          <w:i/>
          <w:color w:val="000000"/>
        </w:rPr>
      </w:pPr>
      <w:r>
        <w:rPr>
          <w:color w:val="000000"/>
        </w:rPr>
        <w:t>Bekräfta att det inte förekommer incitament till produktion av energi som skulle ersätta mindre förorenande energislag.</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600689">
      <w:pPr>
        <w:numPr>
          <w:ilvl w:val="0"/>
          <w:numId w:val="34"/>
        </w:numPr>
        <w:spacing w:after="240"/>
        <w:ind w:left="1134" w:hanging="283"/>
        <w:jc w:val="both"/>
        <w:rPr>
          <w:i/>
          <w:color w:val="000000"/>
        </w:rPr>
      </w:pPr>
      <w:r>
        <w:rPr>
          <w:color w:val="000000"/>
        </w:rPr>
        <w:t>Ange om åtgärden används för att betala för kapacitet (euro per MW) eller för elproduktion (euro per 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Lämna bevis för att åtgärden uppfyller alla tillämpliga villkor för utformningen som anges i artikel 22 i förordning (EU) 2019/943 (punkt 362 i riktlinjerna).</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I enlighet med punkt 363 i riktlinjerna, visa att följande kumulativa krav är uppfyllda när det gäller strategiska reserver och eventuella andra åtgärder för resurstillräcklighet, inbegripet leveransavbrottsprogram, där kapaciteten hålls utanför marknaden för att säkerställa att prisbildningen på marknaden inte snedvrids:</w:t>
      </w:r>
    </w:p>
    <w:p w14:paraId="6E1DA574" w14:textId="064EFA54" w:rsidR="005333EE" w:rsidRDefault="005333EE" w:rsidP="00600689">
      <w:pPr>
        <w:numPr>
          <w:ilvl w:val="1"/>
          <w:numId w:val="29"/>
        </w:numPr>
        <w:spacing w:after="240"/>
        <w:ind w:left="1134" w:hanging="283"/>
        <w:jc w:val="both"/>
        <w:rPr>
          <w:color w:val="000000"/>
        </w:rPr>
      </w:pPr>
      <w:r>
        <w:rPr>
          <w:color w:val="000000"/>
        </w:rPr>
        <w:t>Dirigering av åtgärdens resurser får endast förekomma om de systemansvariga för överföringssystem sannolikt kommer att uttömma sina balansresurser för att upprätta jämvikt mellan tillgång och efterfrågan.</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600689">
      <w:pPr>
        <w:numPr>
          <w:ilvl w:val="1"/>
          <w:numId w:val="29"/>
        </w:numPr>
        <w:spacing w:after="240"/>
        <w:ind w:left="1134" w:hanging="283"/>
        <w:jc w:val="both"/>
        <w:rPr>
          <w:color w:val="000000"/>
        </w:rPr>
      </w:pPr>
      <w:r>
        <w:rPr>
          <w:color w:val="000000"/>
        </w:rPr>
        <w:t xml:space="preserve">Under de avräkningsperioder för obalanser då åtgärdens resurser dirigeras ska obalanser på marknaden avräknas till minst värdet av förlorad last eller till ett </w:t>
      </w:r>
      <w:r>
        <w:rPr>
          <w:color w:val="000000"/>
        </w:rPr>
        <w:lastRenderedPageBreak/>
        <w:t>värde som är högre än den tekniska prisgränsen på intradagsmarknaden, beroende på vilket som är högre.</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600689">
      <w:pPr>
        <w:numPr>
          <w:ilvl w:val="1"/>
          <w:numId w:val="29"/>
        </w:numPr>
        <w:spacing w:after="240"/>
        <w:ind w:left="1134" w:hanging="283"/>
        <w:jc w:val="both"/>
        <w:rPr>
          <w:color w:val="000000"/>
        </w:rPr>
      </w:pPr>
      <w:r>
        <w:rPr>
          <w:color w:val="000000"/>
        </w:rPr>
        <w:t>Resultatet av åtgärden eller åtgärderna efter dirigeringen ska tilldelas balansansvariga parter genom mekanismen för avräkning av obalanser.</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600689">
      <w:pPr>
        <w:numPr>
          <w:ilvl w:val="1"/>
          <w:numId w:val="29"/>
        </w:numPr>
        <w:spacing w:after="240"/>
        <w:ind w:left="1134" w:hanging="283"/>
        <w:jc w:val="both"/>
        <w:rPr>
          <w:color w:val="000000"/>
        </w:rPr>
      </w:pPr>
      <w:r>
        <w:rPr>
          <w:color w:val="000000"/>
        </w:rPr>
        <w:t>Resurserna får inte erhålla ersättning från elgrossistmarknaden eller balansmarknaderna.</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600689">
      <w:pPr>
        <w:numPr>
          <w:ilvl w:val="1"/>
          <w:numId w:val="29"/>
        </w:numPr>
        <w:spacing w:after="240"/>
        <w:ind w:left="1134" w:hanging="283"/>
        <w:jc w:val="both"/>
        <w:rPr>
          <w:color w:val="000000"/>
        </w:rPr>
      </w:pPr>
      <w:r>
        <w:rPr>
          <w:color w:val="000000"/>
        </w:rPr>
        <w:t>Åtgärdens resurser ska hållas utanför energimarknaderna åtminstone under avtalets löptid.</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När det gäller åtgärder mot överbelastning av nätet där resurser hålls utanför marknaden, bekräfta att dessa resurser inte kommer att erhålla ersättning från elgrossistmarknaden eller balansmarknaderna, och att de kommer att hållas utanför energimarknaderna åtminstone under avtalets löptid (punkt 364 i riktlinjerna).</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När det gäller andra kapacitetsmekanismer än strategiska reserver, visa i enlighet med punkt 365 i riktlinjerna att åtgärden</w:t>
      </w:r>
    </w:p>
    <w:p w14:paraId="61F8EA90" w14:textId="77777777" w:rsidR="00560F07" w:rsidRDefault="005333EE" w:rsidP="00600689">
      <w:pPr>
        <w:numPr>
          <w:ilvl w:val="1"/>
          <w:numId w:val="35"/>
        </w:numPr>
        <w:spacing w:after="240"/>
        <w:ind w:left="1134" w:hanging="283"/>
        <w:jc w:val="both"/>
        <w:rPr>
          <w:color w:val="000000"/>
        </w:rPr>
      </w:pPr>
      <w:r>
        <w:rPr>
          <w:color w:val="000000"/>
        </w:rPr>
        <w:t>är utformad så att den garanterar att det pris som betalas för tillgänglighet automatiskt rör sig mot noll när den levererade kapacitetsnivån förväntas vara tillräcklig för att tillgodose den efterfrågade kapacitetsnivån,</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600689">
      <w:pPr>
        <w:numPr>
          <w:ilvl w:val="1"/>
          <w:numId w:val="35"/>
        </w:numPr>
        <w:spacing w:after="240"/>
        <w:ind w:left="1134" w:hanging="283"/>
        <w:jc w:val="both"/>
        <w:rPr>
          <w:color w:val="000000"/>
        </w:rPr>
      </w:pPr>
      <w:r>
        <w:rPr>
          <w:color w:val="000000"/>
        </w:rPr>
        <w:t>ersätter deltagande resurser enbart för deras tillgänglighet, och säkerställ att ersättningen inte påverkar kapacitetsleverantörens beslut att producera eller inte,</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600689">
      <w:pPr>
        <w:numPr>
          <w:ilvl w:val="1"/>
          <w:numId w:val="35"/>
        </w:numPr>
        <w:ind w:left="1134" w:hanging="283"/>
        <w:jc w:val="both"/>
        <w:rPr>
          <w:color w:val="000000"/>
        </w:rPr>
      </w:pPr>
      <w:r>
        <w:rPr>
          <w:color w:val="000000"/>
        </w:rPr>
        <w:t>gör att kapacitetsskyldigheter kan överföras mellan stödberättigade kapacitetsleverantörer.</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För att kontrollera att punkt 366 i riktlinjerna efterlevs, visa att åtgärden inte </w:t>
      </w:r>
    </w:p>
    <w:p w14:paraId="28CFD8B5" w14:textId="77777777" w:rsidR="00727DA8" w:rsidRDefault="005333EE" w:rsidP="00600689">
      <w:pPr>
        <w:numPr>
          <w:ilvl w:val="0"/>
          <w:numId w:val="38"/>
        </w:numPr>
        <w:spacing w:after="240"/>
        <w:jc w:val="both"/>
        <w:rPr>
          <w:color w:val="000000"/>
        </w:rPr>
      </w:pPr>
      <w:r>
        <w:rPr>
          <w:color w:val="000000"/>
        </w:rPr>
        <w:t xml:space="preserve">leder till otillbörlig snedvridning av marknaden eller begränsar handeln mellan </w:t>
      </w:r>
      <w:proofErr w:type="spellStart"/>
      <w:r>
        <w:rPr>
          <w:color w:val="000000"/>
        </w:rPr>
        <w:t>elområden</w:t>
      </w:r>
      <w:proofErr w:type="spellEnd"/>
      <w:r>
        <w:rPr>
          <w:color w:val="000000"/>
        </w:rPr>
        <w:t>,</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600689">
      <w:pPr>
        <w:numPr>
          <w:ilvl w:val="0"/>
          <w:numId w:val="38"/>
        </w:numPr>
        <w:spacing w:after="240"/>
        <w:jc w:val="both"/>
        <w:rPr>
          <w:color w:val="000000"/>
        </w:rPr>
      </w:pPr>
      <w:r>
        <w:rPr>
          <w:color w:val="000000"/>
        </w:rPr>
        <w:lastRenderedPageBreak/>
        <w:t>minskar incitamenten att investera i sammanlänkningskapacitet, till exempel genom att minska kapacitetssintäkter för befintliga eller nya sammanlänkningar,</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600689">
      <w:pPr>
        <w:numPr>
          <w:ilvl w:val="0"/>
          <w:numId w:val="38"/>
        </w:numPr>
        <w:spacing w:after="240"/>
        <w:jc w:val="both"/>
        <w:rPr>
          <w:color w:val="000000"/>
        </w:rPr>
      </w:pPr>
      <w:r>
        <w:rPr>
          <w:color w:val="000000"/>
        </w:rPr>
        <w:t>motverkar marknadskoppling, inbegripet intradagsmarknader och balansmarknader,</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600689">
      <w:pPr>
        <w:numPr>
          <w:ilvl w:val="0"/>
          <w:numId w:val="38"/>
        </w:numPr>
        <w:spacing w:after="240"/>
        <w:jc w:val="both"/>
        <w:rPr>
          <w:color w:val="000000"/>
        </w:rPr>
      </w:pPr>
      <w:r>
        <w:rPr>
          <w:color w:val="000000"/>
        </w:rPr>
        <w:t>motverkar investeringsbeslut om kapacitet som föregick åtgärden.</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För att kontrollera efterlevnaden av punkt 367 i riktlinjerna, visa att kostnaderna för den anmälda åtgärden kommer att bäras av de marknadsaktörer som bidrar till behovet av åtgärden eller åtgärderna. </w:t>
      </w:r>
      <w:r>
        <w:t>Om ni anser att en sådan kostnadsfördelning inte krävs, förklara varför och lägg fram uppgifter som styrker detta, till exempel styrkande uppgifter som inkommit under det offentliga samrådet.</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I enlighet</w:t>
      </w:r>
      <w:r>
        <w:t xml:space="preserve"> med punkt 72 i riktlinjerna, beskriv hur den anmälda åtgärden uppfyller kriterierna för miljömässigt hållbara ekonomiska verksamheter som </w:t>
      </w:r>
      <w:r>
        <w:rPr>
          <w:shd w:val="clear" w:color="auto" w:fill="FFFFFF"/>
        </w:rPr>
        <w:t>anges i</w:t>
      </w:r>
      <w:r>
        <w:t xml:space="preserve"> artikel 3 i Europaparlamentets och rådets förordning (EU) 2020/852</w:t>
      </w:r>
      <w:r>
        <w:rPr>
          <w:rStyle w:val="FootnoteReference"/>
          <w:lang w:eastAsia="en-GB"/>
        </w:rPr>
        <w:footnoteReference w:id="10"/>
      </w:r>
      <w:r>
        <w:t xml:space="preserve">, </w:t>
      </w:r>
      <w:r>
        <w:rPr>
          <w:shd w:val="clear" w:color="auto" w:fill="FFFFFF"/>
        </w:rPr>
        <w:t>inklusive principen om att inte orsaka betydande skada</w:t>
      </w:r>
      <w:r>
        <w:rPr>
          <w:rStyle w:val="FootnoteReference"/>
          <w:shd w:val="clear" w:color="auto" w:fill="FFFFFF"/>
        </w:rPr>
        <w:footnoteReference w:id="11"/>
      </w:r>
      <w:r>
        <w:rPr>
          <w:shd w:val="clear" w:color="auto" w:fill="FFFFFF"/>
        </w:rPr>
        <w:t>, eller enligt andra jämförbara metoder.</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I enlighet</w:t>
      </w:r>
      <w:r>
        <w:t xml:space="preserve"> med punkt 75 i riktlinjerna, förtydliga om den anmälda åtgärden har inslag som underlättar deltagandet av små och medelstora företag eller gemenskaper för förnybar energi i de fall där medlemsstaten väljer att genomföra ett konkurrensutsatt anbudsförfarande. Om så är fallet, lämna information om dessa inslag och motivera hur de positiva effekterna av att säkerställa att små och medelstora företag kan delta och godtas i den eller de anmälda åtgärderna uppväger de eventuella snedvridande effekterna.</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rPr>
          <w:color w:val="000000"/>
        </w:rPr>
        <w:lastRenderedPageBreak/>
        <w:t>För</w:t>
      </w:r>
      <w:r>
        <w:t xml:space="preserve"> att visa att punkterna 368 och 369 i riktlinjerna efterlevs gäller följande:</w:t>
      </w:r>
    </w:p>
    <w:p w14:paraId="0D229619" w14:textId="5FC55C14" w:rsidR="000B0545" w:rsidRDefault="00C3175A" w:rsidP="00600689">
      <w:pPr>
        <w:pStyle w:val="ListParagraph"/>
        <w:numPr>
          <w:ilvl w:val="0"/>
          <w:numId w:val="39"/>
        </w:numPr>
        <w:spacing w:before="120" w:after="120"/>
        <w:contextualSpacing w:val="0"/>
        <w:jc w:val="both"/>
      </w:pPr>
      <w:r>
        <w:t>Om den anmälda åtgärden stimulerar nya investeringar i de mest förorenande fossila bränslena, förklara om åtgärden, inbegripet åtgärder för överbelastning av nätet och system för avbrott, uppfyller det utsläppsgränsvärde för kapacitetsmekanismer som anges i artikel 22 i förordning (EU)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600689">
      <w:pPr>
        <w:pStyle w:val="ListParagraph"/>
        <w:numPr>
          <w:ilvl w:val="0"/>
          <w:numId w:val="39"/>
        </w:numPr>
      </w:pPr>
      <w:r>
        <w:t>Om den anmälda åtgärden stimulerar nya investeringar i naturgasbaserad energiproduktion, förklara hur åtgärden kommer att säkerställa att den bidrar till att uppnå unionens klimatmål för 2030 och klimatneutralitetsmålet för 2050. Förklara i synnerhet hur en inlåsning av denna gaseldade energiproduktion eller gaseldade produktionsutrustning kommer att undvikas.</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För</w:t>
      </w:r>
      <w:r>
        <w:t xml:space="preserve"> </w:t>
      </w:r>
      <w:r>
        <w:rPr>
          <w:color w:val="333333"/>
          <w:shd w:val="clear" w:color="auto" w:fill="FFFFFF"/>
        </w:rPr>
        <w:t>individuella stödåtgärder eller stödordningar som endast gynnar ett synnerligen begränsat antal stödmottagare eller en befintlig stödmottagare, visa också att den föreslagna stödåtgärden inte kommer att leda till ökad marknadsmakt (punkt 370 i riktlinjerna).</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Avsnitt C: Utvärdering</w:t>
            </w:r>
          </w:p>
        </w:tc>
      </w:tr>
    </w:tbl>
    <w:p w14:paraId="78AC9B95" w14:textId="1FB76E7E" w:rsidR="00C33721" w:rsidRPr="0051324D" w:rsidRDefault="00C33721" w:rsidP="005C6138">
      <w:pPr>
        <w:tabs>
          <w:tab w:val="left" w:leader="dot" w:pos="9072"/>
        </w:tabs>
        <w:spacing w:before="120" w:after="120"/>
        <w:ind w:left="567"/>
        <w:jc w:val="both"/>
      </w:pPr>
      <w:r>
        <w:rPr>
          <w:i/>
        </w:rPr>
        <w:t>För att lämna information i detta avsnitt, se punkt 76 a och kapitel 5 (punkterna 455–463) i riktlinjerna.</w:t>
      </w:r>
    </w:p>
    <w:p w14:paraId="319011B2" w14:textId="6538C74F" w:rsidR="002F3E3B" w:rsidRDefault="002F3E3B" w:rsidP="00207312">
      <w:pPr>
        <w:numPr>
          <w:ilvl w:val="0"/>
          <w:numId w:val="4"/>
        </w:numPr>
        <w:spacing w:after="240"/>
        <w:ind w:left="567" w:hanging="567"/>
        <w:jc w:val="both"/>
      </w:pPr>
      <w:r>
        <w:t>Om den eller de anmälda åtgärderna överskrider de budget-/utgiftströskelvärdena som avses i punkt 456 i riktlinjerna, ange antingen varför ni anser att undantaget i punkt 457 i riktlinjerna bör tillämpas eller bifoga en bilaga till detta anmälningsformulär som innehåller ett utkast till utvärderingsplan som täcker det tillämpningsområde som anges i punkt 458 i riktlinjerna</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Om ett utkast till utvärderingsplan tillhandahålls, ska följande göras:</w:t>
      </w:r>
    </w:p>
    <w:p w14:paraId="2E38E9A8" w14:textId="77777777" w:rsidR="00237F5F" w:rsidRDefault="00237F5F" w:rsidP="00600689">
      <w:pPr>
        <w:numPr>
          <w:ilvl w:val="2"/>
          <w:numId w:val="28"/>
        </w:numPr>
        <w:ind w:left="1134" w:hanging="283"/>
      </w:pPr>
      <w:r>
        <w:t>Lämna nedan en sammanfattning av det utkast till utvärderingsplan som finns i bilagan.</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600689">
      <w:pPr>
        <w:numPr>
          <w:ilvl w:val="2"/>
          <w:numId w:val="28"/>
        </w:numPr>
        <w:ind w:left="1134" w:hanging="283"/>
      </w:pPr>
      <w:r>
        <w:lastRenderedPageBreak/>
        <w:t>Bekräfta att punkt 460 i riktlinjerna kommer att iakttas.</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600689">
      <w:pPr>
        <w:numPr>
          <w:ilvl w:val="2"/>
          <w:numId w:val="28"/>
        </w:numPr>
        <w:ind w:left="1134" w:hanging="283"/>
      </w:pPr>
      <w:r>
        <w:t>Ange datum och internetlänk där utvärderingsplanen kommer att finnas tillgänglig för allmänheten.</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För att visa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750 miljoner euro under stödordningens totala varaktighet.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För</w:t>
      </w:r>
      <w:r>
        <w:t xml:space="preserve"> att visa att punkt 459 c i riktlinjerna efterlevs och om stödordningen för närvarande inte är föremål för en efterhandsutvärdering, ange nedan ett åtagande om att medlemsstaten kommer att anmäla ett utkast till utvärderingsplan </w:t>
      </w:r>
      <w:r>
        <w:rPr>
          <w:shd w:val="clear" w:color="auto" w:fill="FFFFFF"/>
        </w:rPr>
        <w:t>inom 30 arbetsdagar efter att i de officiella räkenskaperna ha redovisat utgifter på över 150 miljoner euro under föregående år</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I enlighet med vad som anges i punkt 461 i riktlinjerna ska följande göras:</w:t>
      </w:r>
    </w:p>
    <w:p w14:paraId="516B7EF0" w14:textId="6220BF62" w:rsidR="0012481A" w:rsidRDefault="00277BC0" w:rsidP="00600689">
      <w:pPr>
        <w:numPr>
          <w:ilvl w:val="0"/>
          <w:numId w:val="40"/>
        </w:numPr>
        <w:jc w:val="both"/>
      </w:pPr>
      <w:r>
        <w:t>Klargör om den oberoende experten redan har valts eller kommer att väljas i framtiden.</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600689">
      <w:pPr>
        <w:numPr>
          <w:ilvl w:val="0"/>
          <w:numId w:val="40"/>
        </w:numPr>
        <w:jc w:val="both"/>
      </w:pPr>
      <w:r>
        <w:t>Lämna information om förfarandet för val av expert.</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600689">
      <w:pPr>
        <w:numPr>
          <w:ilvl w:val="0"/>
          <w:numId w:val="40"/>
        </w:numPr>
        <w:jc w:val="both"/>
      </w:pPr>
      <w:r>
        <w:t>Förklara hur experten är oberoende av den beviljande myndigheten.</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I enlighet med vad som anges i punkt 461 i riktlinjerna ska följande göras:</w:t>
      </w:r>
    </w:p>
    <w:p w14:paraId="56904831" w14:textId="2B9E8697" w:rsidR="007F77C3" w:rsidRDefault="002C0264" w:rsidP="00600689">
      <w:pPr>
        <w:numPr>
          <w:ilvl w:val="0"/>
          <w:numId w:val="41"/>
        </w:numPr>
        <w:spacing w:before="240"/>
        <w:jc w:val="both"/>
      </w:pPr>
      <w:r>
        <w:t xml:space="preserve">Ange de föreslagna tidsfristerna för inlämning av </w:t>
      </w:r>
      <w:proofErr w:type="spellStart"/>
      <w:r>
        <w:t>interimsutvärderingsrapporten</w:t>
      </w:r>
      <w:proofErr w:type="spellEnd"/>
      <w:r>
        <w:t xml:space="preserve">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600689">
      <w:pPr>
        <w:numPr>
          <w:ilvl w:val="0"/>
          <w:numId w:val="41"/>
        </w:numPr>
        <w:spacing w:before="240"/>
        <w:jc w:val="both"/>
      </w:pPr>
      <w:r>
        <w:lastRenderedPageBreak/>
        <w:t xml:space="preserve">Bekräfta att </w:t>
      </w:r>
      <w:proofErr w:type="spellStart"/>
      <w:r>
        <w:t>interimsutvärderingsrapporten</w:t>
      </w:r>
      <w:proofErr w:type="spellEnd"/>
      <w:r>
        <w:t xml:space="preserve"> och den slutliga utvärderingsrapporten kommer att offentliggöras. Ange datum och internetlänk där dessa rapporter kommer att finnas tillgängliga för allmänheten.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Avsnitt D: Rapportering och övervakning.</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För att lämna information i detta avsnitt, se avsnitt 6 (punkterna 464–465) i riktlinjerna.</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Bekräfta att medlemsstaten kommer att efterleva de krav på rapportering och övervakning som anges i avsnitt 6, punkterna 464 och 465, i riktlinjerna.</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EUT C 80, 18.2.2022, s. 1.</w:t>
      </w:r>
    </w:p>
  </w:footnote>
  <w:footnote w:id="3">
    <w:p w14:paraId="25384A16" w14:textId="699CB629" w:rsidR="00FA6EB5" w:rsidRPr="009F1C3C" w:rsidRDefault="00FA6EB5">
      <w:pPr>
        <w:pStyle w:val="FootnoteText"/>
      </w:pPr>
      <w:r>
        <w:rPr>
          <w:rStyle w:val="FootnoteReference"/>
        </w:rPr>
        <w:footnoteRef/>
      </w:r>
      <w:r>
        <w:tab/>
        <w:t>Observera att varaktigheten för en stödordning är den period under vilken stöd kan sökas och beslutas (och därför inkluderar den tid som krävs för att de nationella myndigheterna ska godkänna stödansökningarna). Med varaktighet avses här inte löptiden för de avtal som ingås inom ramen för stödordningen och som kan fortsätta att löpa efter åtgärdens varaktighet.</w:t>
      </w:r>
    </w:p>
  </w:footnote>
  <w:footnote w:id="4">
    <w:p w14:paraId="3A3265CA" w14:textId="77777777" w:rsidR="00B22D69" w:rsidRPr="0067348B" w:rsidRDefault="00B22D69" w:rsidP="00B22D69">
      <w:pPr>
        <w:pStyle w:val="FootnoteText"/>
      </w:pPr>
      <w:r>
        <w:rPr>
          <w:rStyle w:val="FootnoteReference"/>
        </w:rPr>
        <w:footnoteRef/>
      </w:r>
      <w:r>
        <w:tab/>
        <w:t>Observera att en ändring av den faktiska eller beräknade budgeten kan utgöra en ändring av stöd, vilket kräver en ny anmälan.</w:t>
      </w:r>
    </w:p>
  </w:footnote>
  <w:footnote w:id="5">
    <w:p w14:paraId="590F3FC7" w14:textId="30CB4935" w:rsidR="00E55520" w:rsidRDefault="00E55520" w:rsidP="00821F07">
      <w:pPr>
        <w:pStyle w:val="FootnoteText"/>
      </w:pPr>
      <w:r>
        <w:rPr>
          <w:rStyle w:val="FootnoteReference"/>
        </w:rPr>
        <w:footnoteRef/>
      </w:r>
      <w:r>
        <w:tab/>
        <w:t xml:space="preserve">Enligt punkt 19.89 i riktlinjerna avses med </w:t>
      </w:r>
      <w:r>
        <w:rPr>
          <w:i/>
        </w:rPr>
        <w:t>unionsnorm</w:t>
      </w:r>
      <w:r>
        <w:t xml:space="preserve"> följande:</w:t>
      </w:r>
    </w:p>
    <w:p w14:paraId="340A0B20" w14:textId="77777777" w:rsidR="00E55520" w:rsidRPr="004B74BC" w:rsidRDefault="00E55520" w:rsidP="00600689">
      <w:pPr>
        <w:pStyle w:val="FootnoteText"/>
        <w:numPr>
          <w:ilvl w:val="0"/>
          <w:numId w:val="27"/>
        </w:numPr>
        <w:rPr>
          <w:i/>
        </w:rPr>
      </w:pPr>
      <w:r>
        <w:rPr>
          <w:i/>
        </w:rPr>
        <w:t>”Obligatorisk unionsnorm som anger vilka nivåer som enskilda företag ska uppnå i miljöavseende, med undantag för normer eller mål som fastställs på unionsnivå och som är bindande för medlemsstaterna men inte för enskilda företag.</w:t>
      </w:r>
    </w:p>
    <w:p w14:paraId="02AC4E0B" w14:textId="14D21BDD" w:rsidR="00E55520" w:rsidRDefault="00E55520" w:rsidP="00600689">
      <w:pPr>
        <w:pStyle w:val="FootnoteText"/>
        <w:numPr>
          <w:ilvl w:val="0"/>
          <w:numId w:val="27"/>
        </w:numPr>
      </w:pPr>
      <w:r>
        <w:rPr>
          <w:i/>
        </w:rPr>
        <w:t xml:space="preserve">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w:t>
      </w:r>
      <w:proofErr w:type="spellStart"/>
      <w:r>
        <w:rPr>
          <w:i/>
        </w:rPr>
        <w:t>genomförandeakter</w:t>
      </w:r>
      <w:proofErr w:type="spellEnd"/>
      <w:r>
        <w:rPr>
          <w:i/>
        </w:rPr>
        <w:t xml:space="preserve"> som antagits enligt direktiv 2010/75/EU, eller enligt andra tillämpliga direktiv, ska dessa nivåer gälla vid tillämpningen av dessa riktlinjer; om nivåerna uttrycks i form av ett intervall ska den gräns för vilken den bästa tillgängliga tekniken först uppnås för det berörda företaget vara tillämplig.”</w:t>
      </w:r>
    </w:p>
  </w:footnote>
  <w:footnote w:id="6">
    <w:p w14:paraId="6598727F" w14:textId="2CE0C196" w:rsidR="00E55520" w:rsidRDefault="00E55520">
      <w:pPr>
        <w:pStyle w:val="FootnoteText"/>
      </w:pPr>
      <w:r>
        <w:rPr>
          <w:rStyle w:val="FootnoteReference"/>
        </w:rPr>
        <w:footnoteRef/>
      </w:r>
      <w:r>
        <w:tab/>
        <w:t>Notera att det i fotnot 42 i riktlinjerna anges att ”[l]</w:t>
      </w:r>
      <w:proofErr w:type="spellStart"/>
      <w:r>
        <w:t>ägsta</w:t>
      </w:r>
      <w:proofErr w:type="spellEnd"/>
      <w:r>
        <w:t xml:space="preserve"> prisgränser eller pristak som inskränker konkurrensprocessen och underminerar proportionaliteten, även om den är noll, bör undvikas.”</w:t>
      </w:r>
    </w:p>
  </w:footnote>
  <w:footnote w:id="7">
    <w:p w14:paraId="7BF90FA8" w14:textId="77777777" w:rsidR="0003031C" w:rsidRPr="0095488F" w:rsidRDefault="0003031C" w:rsidP="0003031C">
      <w:pPr>
        <w:pStyle w:val="FootnoteText"/>
      </w:pPr>
      <w:r>
        <w:rPr>
          <w:rStyle w:val="FootnoteReference"/>
        </w:rPr>
        <w:footnoteRef/>
      </w:r>
      <w:r>
        <w:tab/>
        <w:t>Se även ytterligare uppgifter i punkterna 51–53 samt fotnoterna 45, 46 och 55 i riktlinjerna.</w:t>
      </w:r>
    </w:p>
  </w:footnote>
  <w:footnote w:id="8">
    <w:p w14:paraId="086AD512" w14:textId="7087BE19" w:rsidR="00E55520" w:rsidRDefault="00E55520">
      <w:pPr>
        <w:pStyle w:val="FootnoteText"/>
      </w:pPr>
      <w:r>
        <w:rPr>
          <w:rStyle w:val="FootnoteReference"/>
        </w:rPr>
        <w:footnoteRef/>
      </w:r>
      <w:r>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9">
    <w:p w14:paraId="46FDB4C5" w14:textId="626320F5" w:rsidR="00E308B3" w:rsidRPr="004A1D89" w:rsidRDefault="00E308B3">
      <w:pPr>
        <w:pStyle w:val="FootnoteText"/>
      </w:pPr>
      <w:r>
        <w:rPr>
          <w:rStyle w:val="FootnoteReference"/>
        </w:rPr>
        <w:footnoteRef/>
      </w:r>
      <w:r>
        <w:tab/>
        <w:t>”En sådan fördelning av kostnaderna är emellertid inte nödvändig om medlemsstaterna tillhandahåller en analys på grundval av bevisning, däribland bevisning som samlats in vid det offentliga samrådet, som visar att en fördelning av kostnaderna på detta sätt skulle undergräva åtgärdens kostnadseffektivitet eller leda till allvarliga snedvridningar av konkurrensen som uppenbart skulle undergräva de möjliga fördelarna med en sådan kostnadsfördelning” (artikel 367 i riktlinjerna).</w:t>
      </w:r>
    </w:p>
  </w:footnote>
  <w:footnote w:id="10">
    <w:p w14:paraId="02AA3570" w14:textId="77777777" w:rsidR="00E55520" w:rsidRPr="008772CC" w:rsidRDefault="00E55520" w:rsidP="004B2EF3">
      <w:pPr>
        <w:pStyle w:val="FootnoteText"/>
      </w:pPr>
      <w:r>
        <w:rPr>
          <w:rStyle w:val="FootnoteReference"/>
        </w:rPr>
        <w:footnoteRef/>
      </w:r>
      <w:r>
        <w:tab/>
        <w:t>Europaparlamentets och rådets förordning (EU) 2020/852 av den 18 juni 2020 om inrättande av en ram för att underlätta hållbara investeringar och om ändring av förordning (EU) 2019/2088 (EUT L 198, 22.6.2020, s. 13).</w:t>
      </w:r>
    </w:p>
  </w:footnote>
  <w:footnote w:id="11">
    <w:p w14:paraId="56D0AFFA" w14:textId="77777777" w:rsidR="00E55520" w:rsidRDefault="00E55520" w:rsidP="004B2EF3">
      <w:pPr>
        <w:pStyle w:val="FootnoteText"/>
      </w:pPr>
      <w:r>
        <w:rPr>
          <w:rStyle w:val="FootnoteReference"/>
        </w:rPr>
        <w:footnoteRef/>
      </w:r>
      <w:r>
        <w:tab/>
        <w:t xml:space="preserve">Notera följande i fotnot 50 i riktlinjerna: ”Efterlevnaden av principen orsaka inte betydande skada har redan verifierats och anses vara uppfylld för åtgärder som är identiska med åtgärderna inom ramen för planerna för återhämtning och </w:t>
      </w:r>
      <w:proofErr w:type="spellStart"/>
      <w:r>
        <w:t>resiliens</w:t>
      </w:r>
      <w:proofErr w:type="spellEnd"/>
      <w:r>
        <w:t xml:space="preserve"> som godkänts av rådet”.</w:t>
      </w:r>
    </w:p>
  </w:footnote>
  <w:footnote w:id="12">
    <w:p w14:paraId="4C240C5F" w14:textId="77777777" w:rsidR="002F3E3B" w:rsidRDefault="002F3E3B" w:rsidP="002F3E3B">
      <w:pPr>
        <w:pStyle w:val="FootnoteText"/>
      </w:pPr>
      <w:r>
        <w:rPr>
          <w:rStyle w:val="FootnoteReference"/>
        </w:rPr>
        <w:footnoteRef/>
      </w:r>
      <w:r>
        <w:tab/>
        <w:t xml:space="preserve">Mallen till formuläret för kompletterande upplysningar för anmälan av en utvärderingsplan (del III.8) finns här: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8DB4C9D"/>
    <w:multiLevelType w:val="hybridMultilevel"/>
    <w:tmpl w:val="10E0D3F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6734F57"/>
    <w:multiLevelType w:val="hybridMultilevel"/>
    <w:tmpl w:val="10E0D3F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5D320691"/>
    <w:multiLevelType w:val="hybridMultilevel"/>
    <w:tmpl w:val="10E0D3F4"/>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3" w15:restartNumberingAfterBreak="0">
    <w:nsid w:val="63126AD2"/>
    <w:multiLevelType w:val="hybridMultilevel"/>
    <w:tmpl w:val="10E0D3F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7"/>
  </w:num>
  <w:num w:numId="2" w16cid:durableId="167333053">
    <w:abstractNumId w:val="12"/>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6"/>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9"/>
  </w:num>
  <w:num w:numId="8" w16cid:durableId="599215065">
    <w:abstractNumId w:val="6"/>
  </w:num>
  <w:num w:numId="9" w16cid:durableId="2031644641">
    <w:abstractNumId w:val="5"/>
  </w:num>
  <w:num w:numId="10" w16cid:durableId="1092891155">
    <w:abstractNumId w:val="34"/>
  </w:num>
  <w:num w:numId="11" w16cid:durableId="1907104691">
    <w:abstractNumId w:val="37"/>
  </w:num>
  <w:num w:numId="12" w16cid:durableId="51199480">
    <w:abstractNumId w:val="35"/>
  </w:num>
  <w:num w:numId="13" w16cid:durableId="1976720153">
    <w:abstractNumId w:val="39"/>
  </w:num>
  <w:num w:numId="14" w16cid:durableId="1375690653">
    <w:abstractNumId w:val="16"/>
  </w:num>
  <w:num w:numId="15" w16cid:durableId="1240402151">
    <w:abstractNumId w:val="26"/>
  </w:num>
  <w:num w:numId="16" w16cid:durableId="975187432">
    <w:abstractNumId w:val="3"/>
  </w:num>
  <w:num w:numId="17" w16cid:durableId="1867600656">
    <w:abstractNumId w:val="29"/>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1"/>
  </w:num>
  <w:num w:numId="23" w16cid:durableId="53816324">
    <w:abstractNumId w:val="11"/>
  </w:num>
  <w:num w:numId="24" w16cid:durableId="1094087480">
    <w:abstractNumId w:val="30"/>
  </w:num>
  <w:num w:numId="25" w16cid:durableId="1749956519">
    <w:abstractNumId w:val="18"/>
  </w:num>
  <w:num w:numId="26" w16cid:durableId="190800748">
    <w:abstractNumId w:val="8"/>
  </w:num>
  <w:num w:numId="27" w16cid:durableId="397703930">
    <w:abstractNumId w:val="22"/>
  </w:num>
  <w:num w:numId="28" w16cid:durableId="2000887330">
    <w:abstractNumId w:val="2"/>
  </w:num>
  <w:num w:numId="29" w16cid:durableId="404423481">
    <w:abstractNumId w:val="38"/>
  </w:num>
  <w:num w:numId="30" w16cid:durableId="962618137">
    <w:abstractNumId w:val="10"/>
  </w:num>
  <w:num w:numId="31" w16cid:durableId="1390108512">
    <w:abstractNumId w:val="13"/>
  </w:num>
  <w:num w:numId="32" w16cid:durableId="55207693">
    <w:abstractNumId w:val="25"/>
  </w:num>
  <w:num w:numId="33" w16cid:durableId="1832794821">
    <w:abstractNumId w:val="28"/>
  </w:num>
  <w:num w:numId="34" w16cid:durableId="1959412921">
    <w:abstractNumId w:val="15"/>
  </w:num>
  <w:num w:numId="35" w16cid:durableId="196967872">
    <w:abstractNumId w:val="40"/>
  </w:num>
  <w:num w:numId="36" w16cid:durableId="2031370701">
    <w:abstractNumId w:val="20"/>
  </w:num>
  <w:num w:numId="37" w16cid:durableId="127818530">
    <w:abstractNumId w:val="17"/>
  </w:num>
  <w:num w:numId="38" w16cid:durableId="1407991820">
    <w:abstractNumId w:val="32"/>
  </w:num>
  <w:num w:numId="39" w16cid:durableId="2101095565">
    <w:abstractNumId w:val="31"/>
  </w:num>
  <w:num w:numId="40" w16cid:durableId="1115640449">
    <w:abstractNumId w:val="33"/>
  </w:num>
  <w:num w:numId="41" w16cid:durableId="1758090364">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0689"/>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17C5A"/>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4943</Words>
  <Characters>31837</Characters>
  <Application>Microsoft Office Word</Application>
  <DocSecurity>0</DocSecurity>
  <Lines>707</Lines>
  <Paragraphs>285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