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Deel III.6 </w:t>
            </w:r>
          </w:p>
          <w:p w14:paraId="1C239D2C" w14:textId="25225CC9" w:rsidR="000442F5" w:rsidRPr="009916D5" w:rsidRDefault="004569F7" w:rsidP="007B485D">
            <w:pPr>
              <w:pStyle w:val="Heading2"/>
              <w:spacing w:before="240" w:after="240"/>
              <w:jc w:val="center"/>
              <w:rPr>
                <w:sz w:val="32"/>
                <w:szCs w:val="32"/>
              </w:rPr>
            </w:pPr>
            <w:r>
              <w:rPr>
                <w:sz w:val="32"/>
              </w:rPr>
              <w:t>Bijgewerkt* formulier aanvullende informatie voor staatssteun verleend in het kader van de richtsnoeren staatssteun ten behoeve van klimaat, milieubescherming en energie 2022</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Hoofdstuk 4.8 – Steun voor de zekerheid van de elektriciteitsvoorziening</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nog niet formeel goedgekeurd</w:t>
            </w:r>
          </w:p>
        </w:tc>
      </w:tr>
    </w:tbl>
    <w:p w14:paraId="5F26D476" w14:textId="0645BA6F" w:rsidR="000442F5" w:rsidRPr="00711243" w:rsidRDefault="000442F5" w:rsidP="000442F5">
      <w:pPr>
        <w:spacing w:before="120" w:after="120"/>
        <w:ind w:right="-142"/>
        <w:jc w:val="both"/>
        <w:rPr>
          <w:i/>
          <w:iCs/>
        </w:rPr>
      </w:pPr>
      <w:r>
        <w:rPr>
          <w:i/>
        </w:rPr>
        <w:t>Dit aanmeldingsformulier moet worden gebruikt voor het aanmelden van steun die valt onder de richtsnoeren staatssteun ten behoeve van klimaat, milieubescherming en energie 2022 (hierna “richtsnoeren”).</w:t>
      </w:r>
    </w:p>
    <w:p w14:paraId="1B60656B" w14:textId="00968BE9" w:rsidR="009E2EA1" w:rsidRPr="00711243" w:rsidRDefault="0072538B" w:rsidP="009E2EA1">
      <w:pPr>
        <w:spacing w:before="120" w:after="120"/>
        <w:ind w:right="-142"/>
        <w:jc w:val="both"/>
        <w:rPr>
          <w:i/>
          <w:iCs/>
        </w:rPr>
      </w:pPr>
      <w:r>
        <w:rPr>
          <w:i/>
        </w:rPr>
        <w:t xml:space="preserve">Dit aanmeldingsformulier heeft betrekking op maatregelen die onder afdeling 4.8 van de richtsnoeren vallen. Indien de aanmelding maatregelen omvat die onder meer dan één hoofdstuk van de richtsnoeren vallen, vul dan ook het aanmeldingsformulier in dat betrekking heeft op het desbetreffende hoofdstuk van de richtsnoeren. </w:t>
      </w:r>
    </w:p>
    <w:p w14:paraId="05E36007" w14:textId="57A7067D" w:rsidR="009E2EA1" w:rsidRPr="00711243" w:rsidRDefault="009E2EA1" w:rsidP="009E2EA1">
      <w:pPr>
        <w:spacing w:before="120" w:after="120"/>
        <w:ind w:right="-142"/>
        <w:jc w:val="both"/>
        <w:rPr>
          <w:i/>
          <w:iCs/>
        </w:rPr>
      </w:pPr>
      <w:r>
        <w:rPr>
          <w:i/>
        </w:rPr>
        <w:t>Alle documenten die lidstaten als bijlagen bij de aanmelding verstrekken, moeten genummerd zijn en de nummers van de documenten moeten worden aangegeven in het desbetreffende aanmeldingsformulier.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Afdeling A: Samenvatting van de belangrijkste kenmerken van de aangemelde maatregel(en)</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1FADA2B1" w14:textId="573EB419" w:rsidR="00FA0034" w:rsidRPr="00FA0034" w:rsidRDefault="004569F7" w:rsidP="005437CF">
      <w:pPr>
        <w:numPr>
          <w:ilvl w:val="0"/>
          <w:numId w:val="65"/>
        </w:numPr>
        <w:spacing w:before="120" w:after="120"/>
        <w:ind w:left="993" w:hanging="142"/>
        <w:jc w:val="both"/>
      </w:pPr>
      <w:r>
        <w:t xml:space="preserve">Indien dit nog niet is behandeld in afdeling 5,2 van het formulier algemene informatie (deel I), geef dan de achtergrond en de hoofddoelstelling van de maatregel.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Geef aan welke andere doelstellingen met de maatregel worden nagestreefd. Leg uit voor doelstellingen die geen betrekking hebben op zekerheid van de elektriciteitsvoorziening of milieubescherming, of zij tot verstoringen van de interne markt kunnen leiden.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t>Inwerkingtreding en duur:</w:t>
      </w:r>
    </w:p>
    <w:p w14:paraId="3951E532" w14:textId="5BB35D03" w:rsidR="00FD5F79" w:rsidRPr="00FA6EB5" w:rsidRDefault="00FA6EB5" w:rsidP="00FA0034">
      <w:pPr>
        <w:numPr>
          <w:ilvl w:val="0"/>
          <w:numId w:val="72"/>
        </w:numPr>
        <w:rPr>
          <w:szCs w:val="24"/>
        </w:rPr>
      </w:pPr>
      <w:r>
        <w:t>Geef aan, voor zover dit niet reeds is vermeld in het kader van afdeling 5.5 van het formulier algemene informatie (deel I), op welke datum de maatregel in werking moet treden.</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Geef de looptijd van de regeling aan</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0B353EA4" w14:textId="460FB4A4" w:rsidR="00BC5DDD" w:rsidRPr="00F35B92" w:rsidRDefault="00F35B92" w:rsidP="007366E4">
      <w:pPr>
        <w:numPr>
          <w:ilvl w:val="0"/>
          <w:numId w:val="22"/>
        </w:numPr>
        <w:ind w:left="993" w:hanging="142"/>
        <w:rPr>
          <w:szCs w:val="24"/>
        </w:rPr>
      </w:pPr>
      <w:r>
        <w:t>Indien dit nog niet is vermeld in afdeling 3 van het formulier algemene informatie (deel I), beschrijf dan de (potentiële) begunstigde(n) van de maatregel(en).</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Vermeld de locatie van de begunstigde(n) (d.w.z. of alleen economische entiteiten in de desbetreffende lidstaten of ook in andere lidstaten in aanmerking komen voor deelname aan de maatregel).</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Geef met het oog op de beoordeling van de naleving van punt 15 van de richtsnoeren aan of in het kader van de maatregel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Indien dit het geval is, geef dan informatie over het bedrag aan steun dat nog moet worden teruggevorderd, zodat de Commissie hiermee rekening kan houden bij de beoordeling van de aangemelde steunmaatregel.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Bevestig dat de maatregelen geen steun inhouden voor activiteiten die buiten het toepassingsgebied van de richtsnoeren vallen (zie punt 13 van de richtsnoeren). Als dat niet het geval is, geef dan nadere informatie.</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Begrotingsmiddelen</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Indien dit niet reeds vermeld is in de tabel onder afdeling 7.1 van het formulier algemene informatie (deel I), vul dan het jaarlijkse en/of totale budget in voor de gehele looptijd van de maatregelen; indien het totale budget niet bekend is (bijvoorbeeld omdat het afhankelijk is van de resultaten van de inschrijvingen), geef dan een geraamd budget op, met inbegrip van de aannames die zijn gebruikt om het respectieve geraamde budget te berekenen</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Afdeling B: Verenigbaarheidsbeoordeling van de steun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Positieve voorwaarde: de steun moet de ontwikkeling van een economische bedrijvigheid vergemakkelijken</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Bijdrage aan de ontwikkeling van een vorm van economische bedrijvigheid</w:t>
            </w:r>
          </w:p>
        </w:tc>
      </w:tr>
    </w:tbl>
    <w:p w14:paraId="1E2599D2" w14:textId="044F1BE7" w:rsidR="000442F5" w:rsidRPr="00DB40A5" w:rsidRDefault="000442F5" w:rsidP="000442F5">
      <w:pPr>
        <w:spacing w:before="360" w:after="120"/>
        <w:jc w:val="both"/>
        <w:rPr>
          <w:i/>
        </w:rPr>
      </w:pPr>
      <w:r>
        <w:rPr>
          <w:i/>
        </w:rPr>
        <w:t xml:space="preserve">Voor de informatie die in dit deel moet worden verstrekt, zie afdeling 3.1.1 (punten 23, 24 en 25), afdelingen 4.8.1 en 4.8.2 (punten 325 tot en met 328) van de richtsnoeren.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een bepaalde vorm van economische bedrijvigheid. </w:t>
      </w:r>
    </w:p>
    <w:p w14:paraId="78AC4A6E" w14:textId="5DA81B01" w:rsidR="00EE2FCC" w:rsidRPr="00864DCD" w:rsidRDefault="00EE56DD" w:rsidP="00EE56DD">
      <w:pPr>
        <w:pStyle w:val="ListParagraph"/>
        <w:spacing w:before="120" w:after="120"/>
        <w:ind w:left="567"/>
        <w:contextualSpacing w:val="0"/>
        <w:jc w:val="both"/>
      </w:pPr>
      <w:r>
        <w:t>Geef aan, met het oog op de beoordeling van de naleving van punt 23 van de richtsnoeren, welke economische activiteiten met behulp van de steun zullen worden vergemakkelijkt en hoe de ontwikkeling van die activiteiten wordt ondersteund. Punt 328 van de richtsnoeren geeft voorbeelden van dergelijke economische activiteiten met betrekking tot maatregelen ter vergroting van de zekerheid van de elektriciteitsvoorziening.</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Beschrijf de vereisten die van toepassing zijn op de begunstigde(n) (bijvoorbeeld door technische, ecologische (d.w.z. vergunningen), financiële (d.w.z. zekerheden) of andere voorwaarden voor de begunstigde(n) op te nemen).</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Geef informatie over de redenen voor de steunmaatregelen, zoals vermeld in afdeling 4.8.1 (punt 325) van de richtsnoeren.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Geef informatie over de reikwijdte van de steunmaatregelen, zoals vermeld in afdeling 4.8.2 (punten 326 en 327) van de richtsnoeren. </w:t>
      </w:r>
    </w:p>
    <w:p w14:paraId="2BCE8BBC" w14:textId="77777777" w:rsidR="009E5AE0" w:rsidRDefault="009E5AE0" w:rsidP="009E5AE0">
      <w:pPr>
        <w:tabs>
          <w:tab w:val="left" w:leader="dot" w:pos="9072"/>
        </w:tabs>
        <w:spacing w:before="120" w:after="120"/>
        <w:ind w:left="567"/>
        <w:jc w:val="both"/>
      </w:pPr>
      <w:r>
        <w:tab/>
      </w: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t>Stimulerend effect</w:t>
            </w:r>
          </w:p>
        </w:tc>
      </w:tr>
    </w:tbl>
    <w:p w14:paraId="20915284" w14:textId="14126DC4" w:rsidR="00015E2B" w:rsidRPr="00A05235" w:rsidRDefault="00B15313" w:rsidP="00015E2B">
      <w:pPr>
        <w:spacing w:before="360" w:after="120"/>
        <w:jc w:val="both"/>
        <w:rPr>
          <w:i/>
        </w:rPr>
      </w:pPr>
      <w:r>
        <w:rPr>
          <w:i/>
        </w:rPr>
        <w:t xml:space="preserve">Voor de informatie die in dit deel moet worden verstrekt, zie punt 329 en afdeling 3.1.2 (punten 29 tot en met 32) van de richtsnoeren.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Om aan te tonen dat aan de punten 29 en 31 van de richtsnoeren is voldaan:</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bevestig dat niet met de werkzaamheden aan het project of de activiteit is aangevangen voordat de begunstigde bij de nationale autoriteiten een schriftelijke steunaanvraag heeft ingediend;</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OF</w:t>
      </w:r>
    </w:p>
    <w:p w14:paraId="0252AF86" w14:textId="2507B978" w:rsidR="000442F5" w:rsidRPr="00F53942" w:rsidRDefault="008514DC" w:rsidP="00526607">
      <w:pPr>
        <w:pStyle w:val="ListParagraph"/>
        <w:numPr>
          <w:ilvl w:val="0"/>
          <w:numId w:val="25"/>
        </w:numPr>
        <w:spacing w:before="120" w:after="120"/>
        <w:ind w:left="993" w:hanging="284"/>
        <w:contextualSpacing w:val="0"/>
        <w:jc w:val="both"/>
      </w:pPr>
      <w:r>
        <w:t xml:space="preserve">voor projecten die vóór de steunaanvraag zijn aangevangen, toon aan dat het project valt onder een van de uitzonderlijke omstandigheden als bedoeld in punt 31, a), b) of c), van de richtsnoeren.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Om aan te tonen dat aan punt 32 van de richtsnoeren is voldaan, geef aan of er Unienormen</w:t>
      </w:r>
      <w:r w:rsidR="005B7DF0">
        <w:rPr>
          <w:rStyle w:val="FootnoteReference"/>
          <w:lang w:val="en-IE" w:eastAsia="en-GB"/>
        </w:rPr>
        <w:footnoteReference w:id="5"/>
      </w:r>
      <w:r>
        <w:t xml:space="preserve"> van toepassing zijn op de aangemelde maatregel, verplichte nationale normen die strenger of ambitieuzer zijn dan de overeenkomstige Unienormen, of verplichte nationale normen die bij ontstentenis van Unienormen zijn vastgesteld. Verstrek in dat verband informatie om het stimulerende effect aan te tonen.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Geen inbreuk op relevante bepalingen van het Unierecht</w:t>
            </w:r>
          </w:p>
        </w:tc>
      </w:tr>
    </w:tbl>
    <w:p w14:paraId="665FE026" w14:textId="7D0593B2" w:rsidR="00DE1D68" w:rsidRDefault="00DE1D68" w:rsidP="00DE1D68">
      <w:pPr>
        <w:spacing w:before="360" w:after="120"/>
        <w:jc w:val="both"/>
        <w:rPr>
          <w:i/>
        </w:rPr>
      </w:pPr>
      <w:r>
        <w:rPr>
          <w:i/>
        </w:rPr>
        <w:t xml:space="preserve">Voor de informatie die in dit deel moet worden verstrekt, zie afdeling 3.1.3 (punt 33 van de richtsnoeren).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Verstrek informatie om de naleving van de relevante bepalingen van het EU-recht, overeenkomstig punt 33 van de richtsnoeren, te bevestigen (zie bijvoorbeeld vraag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xml:space="preserve"> betreffende de naleving van Verordening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Indien een heffing wordt gebruikt om de maatregel(en) te financieren (zie vraag 54 hieronder), verduidelijk of:</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de heffing zowel op binnenlandse als op ingevoerde producten wordt geheven;</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de aangemelde maatregelen in gelijke mate ten goede zullen komen aan binnenlandse en ingevoerde producten.</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Verstoringen van de mededinging en het handelsverkeer tot een minimum beperken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Noodzaak van de steun</w:t>
            </w:r>
          </w:p>
        </w:tc>
      </w:tr>
    </w:tbl>
    <w:p w14:paraId="3C23674F" w14:textId="79C4B802" w:rsidR="00663008" w:rsidRPr="00F83660" w:rsidRDefault="00663008" w:rsidP="00663008">
      <w:pPr>
        <w:spacing w:before="360" w:after="120"/>
        <w:jc w:val="both"/>
        <w:rPr>
          <w:i/>
          <w:color w:val="000000"/>
        </w:rPr>
      </w:pPr>
      <w:r>
        <w:rPr>
          <w:i/>
        </w:rPr>
        <w:t>Voor de informatie die in dit deel moet worden verstrekt, zie afdeling 4.8.4.1 (punten 331 tot en met 339 van de richtsnoeren).</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Volgens punt 331 van de richtsnoeren moeten de aard en de oorzaken van het probleem met de zekerheid van de elektriciteitsvoorziening, en dus de noodzaak van staatssteun om de zekerheid van de elektriciteitsvoorziening te garanderen, correct worden geanalyseerd en gekwantificeerd, onder meer de vraag wanneer en waar het probleem zich naar verwachting zal voordoen, in voorkomend geval, volgens de betrouwbaarheidsnorm in de zin van artikel 25 van Verordening (EU) 2019/943.</w:t>
      </w:r>
      <w:bookmarkEnd w:id="4"/>
    </w:p>
    <w:p w14:paraId="1ABC600C" w14:textId="174FCB8E" w:rsidR="00CD4EC7" w:rsidRDefault="00DD7F4B" w:rsidP="00A32872">
      <w:pPr>
        <w:pStyle w:val="ListParagraph"/>
        <w:spacing w:before="120" w:after="120"/>
        <w:ind w:left="567"/>
        <w:contextualSpacing w:val="0"/>
        <w:jc w:val="both"/>
      </w:pPr>
      <w:r>
        <w:t xml:space="preserve">Geef een analyse om het probleem van de zekerheid van de elektriciteitsvoorziening in kaart te brengen en te kwantificeren. Ga in uw antwoord nader in op de overwegingen die in de punten 331, 332 en 333 van de richtsnoeren worden geformuleerd.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lastRenderedPageBreak/>
        <w:t xml:space="preserve">Verstrek, overeenkomstig punt 334 van de richtsnoeren en voor maatregelen betreffende het risico van elektriciteitscrises, het in artikel 11 van Verordening (EU) 2019/941 bedoelde nationale risicoparaatheidsplan waarin de voorgestelde maatregel moet worden vastgesteld.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Overeenkomstig punt 335 van de richtsnoeren en in geval van een voorstel voor de invoering van verschillende maatregelen om de zekerheid van de elektriciteitsvoorziening te waarborgen, maak duidelijk hoe deze op elkaar inwerken bij het waarborgen van de totale kosteneffectiviteit van de gecombineerde maatregelen om de voorzieningszekerheid te waarborgen, bijvoorbeeld door wat betreft capaciteitsmechanismen uit te leggen hoe zij de in punt 331 bedoelde betrouwbaarheidsnorm bereiken (doch niet overtreffen).</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 xml:space="preserve">Vermeld, overeenkomstig punt 336 van de richtsnoeren, het regulerings- of </w:t>
      </w:r>
      <w:proofErr w:type="spellStart"/>
      <w:r>
        <w:t>marktfalen</w:t>
      </w:r>
      <w:proofErr w:type="spellEnd"/>
      <w:r>
        <w:t>, naast alle andere problemen die beletten dat zonder de maatregel voldoende zekerheid van de elektriciteitsvoorziening (en, in voorkomend geval, voldoende milieubescherming) wordt bereikt.</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Vermeld, overeenkomstig punt 337 van de richtsnoeren, bestaande maatregelen die reeds gericht zijn op het regulerings- of </w:t>
      </w:r>
      <w:proofErr w:type="spellStart"/>
      <w:r>
        <w:t>marktfalen</w:t>
      </w:r>
      <w:proofErr w:type="spellEnd"/>
      <w:r>
        <w:t xml:space="preserve"> of andere in punt 336 genoemde problemen. Voor zover van toepassing, kunt u het bewijsmateriaal aanhalen dat reeds in antwoord op vraag </w:t>
      </w:r>
      <w:r w:rsidR="00B41851">
        <w:fldChar w:fldCharType="begin"/>
      </w:r>
      <w:r w:rsidR="00B41851">
        <w:instrText xml:space="preserve"> REF _Ref167812746 \r \h </w:instrText>
      </w:r>
      <w:r w:rsidR="00B41851">
        <w:fldChar w:fldCharType="separate"/>
      </w:r>
      <w:r w:rsidR="00B41851">
        <w:t>16</w:t>
      </w:r>
      <w:r w:rsidR="00B41851">
        <w:fldChar w:fldCharType="end"/>
      </w:r>
      <w:r>
        <w:t xml:space="preserve"> is gegeven.</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Geef aan, overeenkomstig punt 338 van de richtsnoeren, om welke redenen de markt, zonder staatssteun, waarschijnlijk niet de zekerheid van de elektriciteitsvoorziening kan opleveren, rekening houdende met door de lidstaat voorgenomen hervormingen en verbeteringen van de markt en met technologische ontwikkelingen.</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Geef de volgende informatie in overeenstemming met punt 339 van de richtsnoeren:</w:t>
      </w:r>
    </w:p>
    <w:p w14:paraId="22B1B19C" w14:textId="02BC0A6D" w:rsidR="001F444E" w:rsidRDefault="00CC02E1" w:rsidP="0013713F">
      <w:pPr>
        <w:pStyle w:val="ListParagraph"/>
        <w:numPr>
          <w:ilvl w:val="1"/>
          <w:numId w:val="4"/>
        </w:numPr>
        <w:spacing w:after="240"/>
        <w:ind w:left="1134" w:hanging="283"/>
        <w:jc w:val="both"/>
      </w:pPr>
      <w:r>
        <w:t xml:space="preserve">een inschatting van de impact van variabele productie, ook die welke afkomstig is van aangrenzende netten;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een inschatting van het effect van de participatie aan de vraagzijde en de opslagparticipatie, met inbegrip van een beschrijving van maatregelen om vraagbeheersing te bevorderen;</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lastRenderedPageBreak/>
        <w:t xml:space="preserve">een inschatting van de daadwerkelijke of potentiële beschikbaarheid van </w:t>
      </w:r>
      <w:proofErr w:type="spellStart"/>
      <w:r>
        <w:t>interconnectoren</w:t>
      </w:r>
      <w:proofErr w:type="spellEnd"/>
      <w:r>
        <w:t xml:space="preserve"> en belangrijke interne </w:t>
      </w:r>
      <w:proofErr w:type="spellStart"/>
      <w:r>
        <w:t>transmissienetinfrastructuur</w:t>
      </w:r>
      <w:proofErr w:type="spellEnd"/>
      <w:r>
        <w:t>, met inbegrip van een beschrijving van projecten in aanbouw en in planning;</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een beoordeling van alle overige elementen die het probleem inzake zekerheid van de elektriciteitsvoorziening kunnen veroorzaken of aanscherpen, zoals plafonds voor groothandelstarieven of ander regulerings- of </w:t>
      </w:r>
      <w:proofErr w:type="spellStart"/>
      <w:r>
        <w:t>marktfalen</w:t>
      </w:r>
      <w:proofErr w:type="spellEnd"/>
      <w:r>
        <w:t xml:space="preserve">. Verstrek, in voorkomend geval, het uitvoeringsplan, en hou er rekening mee, voor maatregelen om vastgesteld regulerings- of </w:t>
      </w:r>
      <w:proofErr w:type="spellStart"/>
      <w:r>
        <w:t>marktfalen</w:t>
      </w:r>
      <w:proofErr w:type="spellEnd"/>
      <w:r>
        <w:t xml:space="preserve"> weg te werken, alsook het advies van de Commissie over een dergelijk uitvoeringsplan uit hoofde van artikel 20, leden 3 en 5, van Verordening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alle relevante inhoud in een actieplan als bedoeld in artikel 15 van Verordening (EU)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Geschiktheid</w:t>
            </w:r>
          </w:p>
        </w:tc>
      </w:tr>
    </w:tbl>
    <w:p w14:paraId="4C2D927B" w14:textId="3E3F17BF" w:rsidR="00EA354A" w:rsidRPr="00F83660" w:rsidRDefault="00EA354A" w:rsidP="00EA354A">
      <w:pPr>
        <w:spacing w:before="360" w:after="120"/>
        <w:jc w:val="both"/>
        <w:rPr>
          <w:i/>
          <w:color w:val="000000"/>
        </w:rPr>
      </w:pPr>
      <w:r>
        <w:rPr>
          <w:i/>
        </w:rPr>
        <w:t>Voor de informatie die in dit deel moet worden verstrekt, zie afdeling 4.8.4.2 (punten 341 en 342) van de richtsnoeren.</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Om na te gaan of aan punt 341 van de richtsnoeren is voldaan:</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 xml:space="preserve">Leg uit welke alternatieve oplossingen zijn onderzocht om zekerheid van de elektriciteitsvoorziening te bereiken, met name een doeltreffender ontwerp van de elektriciteitsmarkt ter vermindering van </w:t>
      </w:r>
      <w:proofErr w:type="spellStart"/>
      <w:r>
        <w:t>marktfalen</w:t>
      </w:r>
      <w:proofErr w:type="spellEnd"/>
      <w:r>
        <w:t xml:space="preserve"> dat de zekerheid van de elektriciteitsvoorziening aantast. In dit verband bevat punt 341 van de richtsnoeren voorbeelden hoe het ontwerp van de elektriciteitsmarkt van worden verbeterd (door het functioneren van de onbalansverrekening voor elektriciteit te verbeteren, door betere integratie van variabele productie, door het stimuleren en integreren van vraagrespons en opslag, door efficiënte prijsprikkels mogelijk te maken, door het verwijderen van belemmeringen voor grensoverschrijdende handel of door infrastructuur zoals </w:t>
      </w:r>
      <w:proofErr w:type="spellStart"/>
      <w:r>
        <w:t>interconnectie</w:t>
      </w:r>
      <w:proofErr w:type="spellEnd"/>
      <w:r>
        <w:t xml:space="preserve"> te verbeteren).</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Toon aan dat, ondanks passende en evenredige verbeteringen in de opzet van de markt en investeringen in netwerkactiva, ongeacht of deze reeds ten uitvoer zijn gelegd of gepland, een punt van zorg voor de voorzieningszekerheid blijft bestaan (punt 341 van de richtsnoeren).</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 xml:space="preserve">Voor maatregelen om netwerkcongestie aan te pakken, licht toe hoe de efficiëntie van </w:t>
      </w:r>
      <w:proofErr w:type="spellStart"/>
      <w:r>
        <w:t>redispatchmaatregelen</w:t>
      </w:r>
      <w:proofErr w:type="spellEnd"/>
      <w:r>
        <w:t xml:space="preserve"> wordt verbeterd in overeenstemming met artikel 13 van Verordening (EU) 2019/943.</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lastRenderedPageBreak/>
              <w:t>.</w:t>
            </w:r>
            <w:proofErr w:type="spellStart"/>
            <w:r>
              <w:rPr>
                <w:sz w:val="24"/>
              </w:rPr>
              <w:t>Subsidiabiliteit</w:t>
            </w:r>
            <w:proofErr w:type="spellEnd"/>
          </w:p>
        </w:tc>
      </w:tr>
    </w:tbl>
    <w:p w14:paraId="2460A5B7" w14:textId="542C5474" w:rsidR="00AB322D" w:rsidRPr="00E74034" w:rsidRDefault="00AB322D" w:rsidP="00AB322D">
      <w:pPr>
        <w:spacing w:before="360" w:after="120"/>
        <w:jc w:val="both"/>
        <w:rPr>
          <w:i/>
        </w:rPr>
      </w:pPr>
      <w:r>
        <w:rPr>
          <w:i/>
        </w:rPr>
        <w:t xml:space="preserve">Voor de in dit deel te verstrekken informatie, zie afdeling 4.8.4.3 (punten 343 tot en met 346) van de richtsnoeren.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Om aan te tonen dat aan punt 343 van de richtsnoeren is voldaan, bevestig dat de maatregel open zal staan voor alle begunstigden of projecten die technisch in staat zijn efficiënt bij te dragen tot de verwezenlijking van de doelstelling van voorzieningszekerheid (bv. opwekking, opslag, vraagrespons, aggregatie van kleine eenheden in grotere blokken).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Leg uit, in overeenstemming met punt 344 van de richtsnoeren, of er beperkingen zijn op deelname aan de voorgestelde maatregel voor voorzieningszekerheid die tot doel hebben ervoor te zorgen dat de maatregel de milieubescherming niet ondermijnt.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Indien de aangemelde maatregel voor voorzieningszekerheid aanvullende criteria of kenmerken bevat om de deelname van groenere technologieën te bevorderen (of de deelname van vervuilende technologieën te verminderen) die nodig zijn om de verwezenlijking van de milieudoelstellingen van de Unie te ondersteunen, toon aan dat die aanvullende criteria of kenmerken objectief, transparant en niet-discriminerend zijn in verhouding tot duidelijk omschreven milieubeschermingsdoelstellingen en niet tot overcompensatie van de begunstigden zullen leiden (punt 345 van de richtsnoeren).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Overeenkomstig punt 346 van de richtsnoeren,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toon aan of de maatregel ten behoeve van de zekerheid van de elektriciteitsvoorziening openstaat voor directe grensoverschrijdende deelname van capaciteitsaanbieders uit een andere lidstaat. Zo nee, motiveer waarom.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toon aan dat buitenlandse capaciteit die technische prestaties kan leveren die gelijkwaardig zijn aan binnenlandse capaciteit, de mogelijkheid zal krijgen om deel te nemen aan dezelfde concurrerende procedure als binnenlandse capaciteit.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toon aan, indien van toepassing, dat is voldaan aan de relevante regels van artikel 26 van Verordening (EU) 2019/943 betreffende grensoverschrijdende deelname aan capaciteitsmechanismen.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Publieke consultatie</w:t>
            </w:r>
          </w:p>
        </w:tc>
      </w:tr>
    </w:tbl>
    <w:p w14:paraId="1B229D4F" w14:textId="57AA6556" w:rsidR="00E74034" w:rsidRPr="00E74034" w:rsidRDefault="00E74034" w:rsidP="00E74034">
      <w:pPr>
        <w:spacing w:before="360" w:after="120"/>
        <w:jc w:val="both"/>
        <w:rPr>
          <w:i/>
        </w:rPr>
      </w:pPr>
      <w:r>
        <w:rPr>
          <w:i/>
        </w:rPr>
        <w:t xml:space="preserve">Voor de in dit deel te verstrekken informatie, zie afdeling 4.8.4.4 (punten 348 tot en met 351) van de richtsnoeren. </w:t>
      </w:r>
    </w:p>
    <w:p w14:paraId="78EF67B8" w14:textId="77777777" w:rsidR="00725C45" w:rsidRDefault="0004197A" w:rsidP="0004197A">
      <w:pPr>
        <w:pStyle w:val="ListParagraph"/>
        <w:numPr>
          <w:ilvl w:val="0"/>
          <w:numId w:val="4"/>
        </w:numPr>
        <w:spacing w:before="120" w:after="120"/>
        <w:ind w:left="567" w:hanging="567"/>
        <w:contextualSpacing w:val="0"/>
        <w:jc w:val="both"/>
      </w:pPr>
      <w:r>
        <w:lastRenderedPageBreak/>
        <w:t>Leg uit of voor de maatregelen een publieke consultatie vereist is overeenkomstig afdeling 4.8.4.4, en zo nee, waarom niet.</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Indien voor de maatregel een publieke consultatie nodig is,</w:t>
      </w:r>
    </w:p>
    <w:p w14:paraId="10ED4DF3" w14:textId="0709E691" w:rsidR="00915173" w:rsidRDefault="00725C45" w:rsidP="00CB1E0C">
      <w:pPr>
        <w:pStyle w:val="ListParagraph"/>
        <w:numPr>
          <w:ilvl w:val="1"/>
          <w:numId w:val="62"/>
        </w:numPr>
        <w:spacing w:before="120" w:after="120"/>
        <w:ind w:left="1134" w:hanging="283"/>
        <w:contextualSpacing w:val="0"/>
        <w:jc w:val="both"/>
      </w:pPr>
      <w:r>
        <w:t>vermeld de duur van de publieke consultatie en geef een samenvatting van de belangrijkste behandelde kwesties.</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Vermeld, in overeenstemming met de vereisten van punt 350 van de richtsnoeren, het adres van de openbare website waar vragenlijsten voor raadplegingen en de samenvatting van de antwoorden van de regering worden gepubliceerd of zullen worden gepubliceerd.</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Evenredigheid</w:t>
            </w:r>
          </w:p>
        </w:tc>
      </w:tr>
    </w:tbl>
    <w:p w14:paraId="2592F405" w14:textId="7ACA92B9" w:rsidR="00081E48" w:rsidRDefault="00081E48" w:rsidP="001D2520">
      <w:pPr>
        <w:pStyle w:val="ListParagraph"/>
        <w:spacing w:before="120" w:after="120"/>
        <w:ind w:left="0"/>
        <w:contextualSpacing w:val="0"/>
        <w:jc w:val="both"/>
      </w:pPr>
      <w:r>
        <w:rPr>
          <w:i/>
        </w:rPr>
        <w:t>Voor de in dit deel te verstrekken informatie, zie afdeling 3.2.1.3 (punten 49 tot en met 53 en punt 55) en afdeling 4.8.4.5 (punten 353 tot en met 357) van de richtsnoeren. De volgende twee afdelingen 2.1.5.1 en 2.1.5.2 vormen een alternatief. Geef alleen antwoorden op de toepasselijke afdeling, afhankelijk van de opzet van de voorgestelde maatregel.</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Evenredigheid van steun die via een concurrerende biedprocedure wordt verleend</w:t>
            </w:r>
          </w:p>
        </w:tc>
      </w:tr>
    </w:tbl>
    <w:p w14:paraId="3A2A7C7F" w14:textId="4061FA26" w:rsidR="00863406" w:rsidRDefault="00863406" w:rsidP="00863406">
      <w:pPr>
        <w:spacing w:before="360" w:after="120"/>
        <w:jc w:val="both"/>
        <w:rPr>
          <w:i/>
        </w:rPr>
      </w:pPr>
      <w:r>
        <w:t>Voor de in dit deel te verstrekken informatie, zie afdeling 3.2.1.3 (punten 49, 50, 51, 52, 53 en 55) en punten 353, 354 en 356 van de richtsnoeren.</w:t>
      </w:r>
      <w:r>
        <w:rPr>
          <w:i/>
        </w:rPr>
        <w:t xml:space="preserve"> </w:t>
      </w:r>
    </w:p>
    <w:p w14:paraId="50E2DDC9" w14:textId="48FD7994" w:rsidR="00882890" w:rsidRDefault="00882890" w:rsidP="00863406">
      <w:pPr>
        <w:spacing w:before="360" w:after="120"/>
        <w:jc w:val="both"/>
        <w:rPr>
          <w:i/>
        </w:rPr>
      </w:pPr>
      <w:r>
        <w:rPr>
          <w:i/>
        </w:rPr>
        <w:t>Voor steun die zonder concurrerende biedprocedure wordt verleend, is deze afdeling niet van toepassing. Ga voor dergelijke maatregelen rechtstreeks naar punt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Om de naleving van punt 353 van de richtsnoeren te beoordelen, en voor het geval dat daarop nog niet is geantwoord onder bovenstaande vraag </w:t>
      </w:r>
      <w:r>
        <w:fldChar w:fldCharType="begin"/>
      </w:r>
      <w:r>
        <w:instrText xml:space="preserve"> REF _Ref167812746 \r \h </w:instrText>
      </w:r>
      <w:r>
        <w:fldChar w:fldCharType="separate"/>
      </w:r>
      <w:r>
        <w:t>16</w:t>
      </w:r>
      <w:r>
        <w:fldChar w:fldCharType="end"/>
      </w:r>
      <w:r>
        <w:t>, geef een analyse die wordt gebruikt om het vraagniveau in de aangemelde maatregel voor voorzieningszekerheid vast te stellen op basis van de betrouwbaarheidsnorm of de kosten-batenanalyse. Bevestig dat de analyse die wordt gebruikt om het vraagniveau vast te stellen, hoogstens twaalf maanden oud is op het moment waarop het vraagniveau wordt vastgesteld.</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Overeenkomstig punt 354 van de richtsnoeren, toon aan dat de doorlooptijd tussen de toekenning van de steun en de termijn waarin projecten moeten zijn uitgevoerd, de mogelijkheid biedt voor daadwerkelijke concurrentie tussen uiteenlopende in aanmerking komende projecten.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lastRenderedPageBreak/>
        <w:t>Overeenkomstig punt 356 van de richtsnoeren, toon aan dat de begunstigden van maatregelen voor voorzieningszekerheid efficiënte prikkels zullen krijgen om tijdens de leveringsperiode bij te dragen tot de voorzieningszekerheid. Deze stimulansen moeten in het algemeen gerelateerd zijn aan de waarde van verloren belasting (</w:t>
      </w:r>
      <w:proofErr w:type="spellStart"/>
      <w:r>
        <w:t>VoLL</w:t>
      </w:r>
      <w:proofErr w:type="spellEnd"/>
      <w:r>
        <w:t xml:space="preserve">) zoals bepaald overeenkomstig artikel 11 van Verordening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Om na te gaan of aan de punten 49 en 50 van de richtsnoeren is voldaan, geef de volgende informatie:</w:t>
      </w:r>
    </w:p>
    <w:p w14:paraId="2AB5C620" w14:textId="14970CE9" w:rsidR="00CD498E" w:rsidRPr="00441F0B" w:rsidRDefault="00033BA9" w:rsidP="001D2520">
      <w:pPr>
        <w:numPr>
          <w:ilvl w:val="0"/>
          <w:numId w:val="30"/>
        </w:numPr>
        <w:ind w:left="1134" w:hanging="283"/>
      </w:pPr>
      <w:r>
        <w:t>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w:t>
      </w:r>
      <w:r w:rsidR="00084E93">
        <w:t>.</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8756AF">
      <w:pPr>
        <w:numPr>
          <w:ilvl w:val="0"/>
          <w:numId w:val="30"/>
        </w:numPr>
        <w:ind w:left="1134" w:hanging="283"/>
      </w:pPr>
      <w:r>
        <w:t xml:space="preserve">De selectiecriteria die worden gebruikt om de inschrijvingen te rangschikken en uiteindelijk het steunniveau in de concurrerende biedprocedure vast te stellen. Meer in het bijzonder: </w:t>
      </w:r>
    </w:p>
    <w:p w14:paraId="62322C89" w14:textId="24B28289" w:rsidR="004D6830" w:rsidRPr="00050EB9" w:rsidRDefault="000B1BDB" w:rsidP="00EA272E">
      <w:pPr>
        <w:pStyle w:val="ListParagraph"/>
        <w:numPr>
          <w:ilvl w:val="1"/>
          <w:numId w:val="31"/>
        </w:numPr>
        <w:spacing w:before="120" w:after="120"/>
        <w:contextualSpacing w:val="0"/>
        <w:jc w:val="both"/>
      </w:pPr>
      <w:r>
        <w:t>Geef een lijst van de selectiecriteria en geef aan welke daarvan al dan niet direct of indirect verband houden met de hoofddoelstellingen van de maatregel. Neem de weging van de criteria op.</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t>Leg uit hoe de selectiecriteria de bijdrage aan de hoofddoelstellingen van de maatregelen direct of indirect in verband brengen met het door de aanvrager gevraagde steunbedrag. Dit kan bijvoorbeeld worden uitgedrukt in steun per eenheid milieubescherming (punt 50 en voetnoot 44 van de richtsnoeren).</w:t>
      </w:r>
    </w:p>
    <w:p w14:paraId="633DF06D" w14:textId="77777777" w:rsidR="008317D4" w:rsidRPr="00050EB9" w:rsidRDefault="008317D4" w:rsidP="008317D4">
      <w:pPr>
        <w:tabs>
          <w:tab w:val="left" w:leader="dot" w:pos="9072"/>
        </w:tabs>
        <w:spacing w:before="120" w:after="120"/>
        <w:ind w:left="567"/>
        <w:jc w:val="both"/>
      </w:pPr>
      <w:r>
        <w:tab/>
      </w:r>
    </w:p>
    <w:p w14:paraId="02F7BEDB" w14:textId="0F11546A" w:rsidR="006773CE" w:rsidRPr="00050EB9" w:rsidRDefault="00416D76" w:rsidP="00EA272E">
      <w:pPr>
        <w:pStyle w:val="ListParagraph"/>
        <w:numPr>
          <w:ilvl w:val="1"/>
          <w:numId w:val="31"/>
        </w:numPr>
        <w:spacing w:before="120" w:after="120"/>
        <w:contextualSpacing w:val="0"/>
        <w:jc w:val="both"/>
      </w:pPr>
      <w:r>
        <w:t>Indien er andere selectiecriteria zijn die niet direct of indirect verband houden met de hoofddoelstellingen van de maatregel, motiveer de voorgestelde aanpak en leg uit hoe deze geschikt is voor de met de maatregel nagestreefde doelstellingen. Bevestig ook dat deze criteria niet meer dan 30 % vertegenwoordigen van alle meegewogen selectiecriteria (punt 50 van de richtsnoeren).</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A272E">
      <w:pPr>
        <w:pStyle w:val="ListParagraph"/>
        <w:numPr>
          <w:ilvl w:val="1"/>
          <w:numId w:val="31"/>
        </w:numPr>
        <w:spacing w:before="120" w:after="120"/>
        <w:contextualSpacing w:val="0"/>
        <w:jc w:val="both"/>
      </w:pPr>
      <w:r>
        <w:t>Leg uit hoe lang vooraf vóór elke concurrerende biedprocedure de selectiecriteria zullen worden gepubliceerd (punt 49, b), en voetnoot 43 van de richtsnoeren).</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t>Bevestig dat het budget of het volume in verband met de inschrijvingsprocedure een bindende beperking is, aangezien kan worden verwacht dat niet alle inschrijvers steun zullen ontvangen (punt 49, c), van de richtsnoeren).</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lastRenderedPageBreak/>
        <w:t>Geef informatie over het aantal geplande biedronden en het verwachte aantal inschrijvers in de eerste ronde en in de loop van de tijd.</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t>In geval van een of meer inschrijvingsprocedures waarvoor onvoldoende is ingeschreven, leg uit hoe en wanneer de opzet van de biedprocedures tijdens de uitvoering van de regeling zal worden gecorrigeerd om de daadwerkelijke mededinging te herstellen (punt 49, c), van de richtsnoeren).</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t>Bevestig dat aanpassingen achteraf van de uitkomst van de biedprocedure (zoals aansluitende onderhandelingen over de uitkomsten van de biedingen of contingentering) worden vermeden (punt 49, d), van de richtsnoeren).</w:t>
      </w:r>
    </w:p>
    <w:p w14:paraId="79B985A9" w14:textId="1AE3ABA0" w:rsidR="009A606D" w:rsidRPr="009D65D3" w:rsidRDefault="009A606D" w:rsidP="009A606D">
      <w:pPr>
        <w:tabs>
          <w:tab w:val="left" w:leader="dot" w:pos="9072"/>
        </w:tabs>
        <w:spacing w:before="120" w:after="120"/>
        <w:ind w:left="567"/>
        <w:jc w:val="both"/>
      </w:pPr>
      <w:r>
        <w:tab/>
      </w:r>
    </w:p>
    <w:p w14:paraId="2CD710C1" w14:textId="2A25AE16" w:rsidR="00AA6F85" w:rsidRPr="009D65D3" w:rsidRDefault="00AA6F85" w:rsidP="00712B3C">
      <w:pPr>
        <w:pStyle w:val="ListParagraph"/>
        <w:numPr>
          <w:ilvl w:val="0"/>
          <w:numId w:val="30"/>
        </w:numPr>
        <w:spacing w:before="120" w:after="120"/>
        <w:ind w:hanging="229"/>
        <w:contextualSpacing w:val="0"/>
        <w:jc w:val="both"/>
      </w:pPr>
      <w:r>
        <w:t>Indien “subsidievrije biedingen” mogelijk zijn, leg uit hoe de evenredigheid zal worden gewaarborgd.</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Licht toe of de autoriteiten in de concurrerende biedprocedure voorzien in het gebruik van minimum- en maximumprijzen. Indien dit het geval is, onderbouw dan het gebruik ervan en leg uit hoe zij de concurrerende biedprocedure niet beperken</w:t>
      </w:r>
      <w:r w:rsidR="00295065" w:rsidRPr="009D65D3">
        <w:rPr>
          <w:rStyle w:val="FootnoteReference"/>
          <w:lang w:eastAsia="en-GB"/>
        </w:rPr>
        <w:footnoteReference w:id="6"/>
      </w:r>
      <w:r>
        <w:t xml:space="preserve"> (punt 49 en voetnoot 42 van de richtsnoeren).</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t xml:space="preserve">Evenredigheid van niet via een concurrerende biedprocedure verleende steun </w:t>
            </w:r>
          </w:p>
        </w:tc>
      </w:tr>
    </w:tbl>
    <w:p w14:paraId="0190ED95" w14:textId="4268A147" w:rsidR="001620DB" w:rsidRDefault="001620DB" w:rsidP="00DB2066">
      <w:pPr>
        <w:pStyle w:val="ListParagraph"/>
        <w:spacing w:before="120" w:after="120"/>
        <w:ind w:left="0"/>
        <w:contextualSpacing w:val="0"/>
        <w:jc w:val="both"/>
      </w:pPr>
      <w:r>
        <w:t>Voor de in dit deel te verstrekken informatie, zie de punten 51 tot en met 55 en 353 tot en met 357 van de richtsnoeren.</w:t>
      </w:r>
    </w:p>
    <w:p w14:paraId="66E254B6" w14:textId="77D256A6" w:rsidR="00882890" w:rsidRPr="008969F9" w:rsidRDefault="00882890" w:rsidP="00DB2066">
      <w:pPr>
        <w:pStyle w:val="ListParagraph"/>
        <w:spacing w:before="120" w:after="120"/>
        <w:ind w:left="0"/>
        <w:contextualSpacing w:val="0"/>
        <w:jc w:val="both"/>
        <w:rPr>
          <w:i/>
          <w:iCs/>
        </w:rPr>
      </w:pPr>
      <w:r>
        <w:rPr>
          <w:i/>
        </w:rPr>
        <w:t>Deze afdeling is niet van toepassing op maatregelen waarbij steun wordt verleend via een concurrerende biedprocedure. Ga voor dergelijke maatregelen rechtstreeks naar punt 2.5.1.1.</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425331F" w:rsidR="00D45D04" w:rsidRDefault="00D45D04" w:rsidP="00D45D04">
      <w:pPr>
        <w:pStyle w:val="ListParagraph"/>
        <w:numPr>
          <w:ilvl w:val="0"/>
          <w:numId w:val="4"/>
        </w:numPr>
        <w:spacing w:before="120" w:after="120"/>
        <w:ind w:left="567" w:hanging="567"/>
        <w:contextualSpacing w:val="0"/>
        <w:jc w:val="both"/>
      </w:pPr>
      <w:r>
        <w:t xml:space="preserve">Om de naleving van punt 353 van de richtsnoeren te beoordelen, en voor het geval dat daarop nog niet is geantwoord onder bovenstaande vraag </w:t>
      </w:r>
      <w:r w:rsidR="00F65779">
        <w:fldChar w:fldCharType="begin"/>
      </w:r>
      <w:r w:rsidR="00F65779">
        <w:instrText xml:space="preserve"> REF _Ref167812746 \r \h </w:instrText>
      </w:r>
      <w:r w:rsidR="00F65779">
        <w:fldChar w:fldCharType="separate"/>
      </w:r>
      <w:r w:rsidR="00F65779">
        <w:t>16</w:t>
      </w:r>
      <w:r w:rsidR="00F65779">
        <w:fldChar w:fldCharType="end"/>
      </w:r>
      <w:r>
        <w:t>, geef een analyse die wordt gebruikt om het niveau van de vraag in de aangemelde maatregel voor voorzieningszekerheid vast te stellen op basis van de betrouwbaarheidsnorm of de kosten-batenanalyse. Bevestig dat de analyse die wordt gebruikt om het vraagniveau vast te stellen, hoogstens twaalf maanden oud is op het moment waarop het vraagniveau wordt vastgesteld.</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Overeenkomstig punt 354 van de richtsnoeren, toon aan dat de doorlooptijd tussen de toekenning van de steun en de termijn waarin projecten moeten zijn uitgevoerd, de </w:t>
      </w:r>
      <w:r>
        <w:lastRenderedPageBreak/>
        <w:t xml:space="preserve">mogelijkheid biedt voor daadwerkelijke concurrentie tussen uiteenlopende in aanmerking komende projecten.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Overeenkomstig punt 356 van de richtsnoeren, toon aan dat de begunstigden van maatregelen voor voorzieningszekerheid efficiënte prikkels zullen krijgen om tijdens de leveringsperiode bij te dragen tot de voorzieningszekerheid. Deze prikkels moeten in het algemeen worden gerelateerd aan de waarde van de verloren belasting (</w:t>
      </w:r>
      <w:proofErr w:type="spellStart"/>
      <w:r>
        <w:t>VoLL</w:t>
      </w:r>
      <w:proofErr w:type="spellEnd"/>
      <w:r>
        <w:t xml:space="preserve">) zoals bepaald overeenkomstig artikel 11 van Verordening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Leg uit waarom geen gebruik wordt gemaakt van een concurrerende biedprocedure (overeenkomstig punt 355 van de richtsnoeren).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Geef in het geval van steunregelingen een lijst van referentieprojecten en een toelichting waarom deze zijn gedefinieerd (bijvoorbeeld door uit te leggen dat de kosten en inkomsten binnen elk referentieproject naar verwachting grotendeels vergelijkbaar zullen zijn). Om twijfel weg te nemen, is een referentieproject een voorbeeld dat representatief is voor het gemiddelde project in een categorie van voor een steunregeling in aanmerking komende begunstigden (punt 19, 63), van de richtsnoeren).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Toon aan, op grond van punt 51 van de richtsnoeren, voor elk referentieproject (in het geval van steunregelingen) of voor elke begunstigde (in het geval van individuele steun), dat de steun niet hoger is dan het noodzakelijke minimum, d.w.z. het verschil tussen de netto contante waarde (NPV) voor het feitelijke scenario en de NPV voor het </w:t>
      </w:r>
      <w:proofErr w:type="spellStart"/>
      <w:r>
        <w:t>nulscenario</w:t>
      </w:r>
      <w:proofErr w:type="spellEnd"/>
      <w:r>
        <w:t xml:space="preserve"> gedurende de looptijd van het referentieproject of het project. Verstrek voor deze beoordeling een kwantificering, voor het feitelijke scenario, en voor een realistisch </w:t>
      </w:r>
      <w:proofErr w:type="spellStart"/>
      <w:r>
        <w:t>nulscenario</w:t>
      </w:r>
      <w:proofErr w:type="spellEnd"/>
      <w:r w:rsidRPr="00FF6161">
        <w:rPr>
          <w:rStyle w:val="FootnoteReference"/>
        </w:rPr>
        <w:footnoteReference w:id="7"/>
      </w:r>
      <w:r>
        <w:t xml:space="preserve">, van alle belangrijke kosten en opbrengsten, de voor het disconteren van toekomstige kasstromen geraamde gewogen gemiddelde vermogenskostenvoet (WACC) van de begunstigden (of van de referentieprojecten in het geval van steunregelingen), alsmede de NPV voor het feitelijke scenario en voor het </w:t>
      </w:r>
      <w:proofErr w:type="spellStart"/>
      <w:r>
        <w:t>nulscenario</w:t>
      </w:r>
      <w:proofErr w:type="spellEnd"/>
      <w:r>
        <w:t xml:space="preserve">, over de levensduur van het project/referentieproject.  </w:t>
      </w:r>
    </w:p>
    <w:p w14:paraId="4DB6378F" w14:textId="77777777" w:rsidR="007F119D" w:rsidRDefault="007F119D" w:rsidP="006F39D2">
      <w:pPr>
        <w:numPr>
          <w:ilvl w:val="0"/>
          <w:numId w:val="37"/>
        </w:numPr>
        <w:ind w:left="1134" w:hanging="283"/>
      </w:pPr>
      <w:r>
        <w:t xml:space="preserve">Vermeld dit in een bijlage bij dit aanmeldingsformulier (in een Excel-bestand waarin alle formules zichtbaar zijn). </w:t>
      </w:r>
    </w:p>
    <w:p w14:paraId="791F4E37" w14:textId="77777777" w:rsidR="00217A1A" w:rsidRPr="00C349D8"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 xml:space="preserve">Geef gedetailleerde informatie over de aannames, methodieken, redenen en onderliggende bronnen daarvan, die worden gebruikt voor elk aspect van de kwantificering van de kosten en opbrengsten in het feitelijke scenario en het waarschijnlijke </w:t>
      </w:r>
      <w:proofErr w:type="spellStart"/>
      <w:r>
        <w:t>nulscenario</w:t>
      </w:r>
      <w:proofErr w:type="spellEnd"/>
      <w:r>
        <w:t xml:space="preserve"> (vermeld bijvoorbeeld de aannames die zijn gebruikt om die scenario’s te ontwikkelen en de bron/redenen voor deze aannames).</w:t>
      </w:r>
    </w:p>
    <w:p w14:paraId="7C74300E" w14:textId="77777777" w:rsidR="00217A1A" w:rsidRPr="00C349D8" w:rsidRDefault="00217A1A" w:rsidP="00217A1A">
      <w:pPr>
        <w:ind w:left="1134"/>
        <w:rPr>
          <w:lang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lastRenderedPageBreak/>
        <w:t>U kunt bij deze aanmelding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de aanmelding zijn gevoegd, verstrek dan hieronder een lijst van die documenten en vermeld daarbij de auteur, de datum waarop zij zijn opgesteld en de context waarin zij zijn gebruikt.</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Indien punt 55 van de richtsnoeren van toepassing is, geef dan informatie over de compensatiemodellen die de lidstaat eventueel voornemens is in te voeren (een mix van ex-ante- en ex-postmaatregelen of mechanismen voor terugvordering achteraf of kostenmonitoring). </w:t>
      </w:r>
    </w:p>
    <w:p w14:paraId="1469FE3D" w14:textId="3662127B" w:rsidR="000575C3" w:rsidRPr="008515FB" w:rsidRDefault="009329F1" w:rsidP="000575C3">
      <w:pPr>
        <w:tabs>
          <w:tab w:val="left" w:leader="dot" w:pos="9072"/>
        </w:tabs>
        <w:spacing w:before="120" w:after="120"/>
        <w:ind w:left="567"/>
        <w:jc w:val="both"/>
      </w:pPr>
      <w:r>
        <w:t xml:space="preserve">Indien punt 55 van de richtsnoeren niet van toepassing is op de maatregelen, gelieve dit te motiveren.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Indien de aangemelde maatregelen de vorm hebben van concurrerende regelingen met certificaten of regelingen met leveranciersverplichtingen (punt 357 van de richtsnoeren),</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bevestig dat de vraag in de regeling onder het niveau van het potentiële aanbod wordt vastgesteld; en</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leg uit hoe de afkoopsom of geldboete zal worden vastgesteld en ervoor zorgt dat er geen sprake is van overcompensatie.</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Cumulatie</w:t>
            </w:r>
          </w:p>
        </w:tc>
      </w:tr>
    </w:tbl>
    <w:p w14:paraId="2346A85D" w14:textId="6CB77F89" w:rsidR="00B21377" w:rsidRPr="00C349D8" w:rsidRDefault="00B21377" w:rsidP="00B21377">
      <w:pPr>
        <w:pStyle w:val="ListParagraph"/>
        <w:spacing w:before="120" w:after="120"/>
        <w:ind w:left="567"/>
        <w:contextualSpacing w:val="0"/>
        <w:jc w:val="both"/>
        <w:rPr>
          <w:i/>
          <w:iCs/>
        </w:rPr>
      </w:pPr>
      <w:r w:rsidRPr="00C349D8">
        <w:rPr>
          <w:i/>
          <w:iCs/>
        </w:rPr>
        <w:t>Voor de in dit deel te verstrekken informatie, zie de punten 56 en 57 van de richtsnoeren.</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Verduidelijk, voor zover nog niet vermeld in deel I van het algemene aanmeldingsformulier en om na te gaan of aan punt 56 van de richtsnoeren is voldaan, of de steun in het kader van de aangemelde maatregel gelijktijdig op grond van meerdere steunregelingen kan worden toegekend of kan worden gecumuleerd met ad-</w:t>
      </w:r>
      <w:proofErr w:type="spellStart"/>
      <w:r>
        <w:t>hocsteun</w:t>
      </w:r>
      <w:proofErr w:type="spellEnd"/>
      <w:r>
        <w:t xml:space="preserve"> of de-minimissteun met betrekking tot dezelfde in aanmerking komende kosten. Indien dit het geval is, verstrek dan nadere bijzonderheden over die steunregelingen, ad-</w:t>
      </w:r>
      <w:proofErr w:type="spellStart"/>
      <w:r>
        <w:t>hocsteun</w:t>
      </w:r>
      <w:proofErr w:type="spellEnd"/>
      <w:r>
        <w:t xml:space="preserve"> of de-minimissteun en hoe de steun zal worden gecumuleerd. U kunt desgewenst verwijzen naar de hierboven vermelde kwantificering.</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Indien punt 56 van de richtsnoeren van toepassing is, onderbouw dan hoe het totale bedrag aan steun dat in het kader van de aangemelde maatregelen voor een project of </w:t>
      </w:r>
      <w:r>
        <w:lastRenderedPageBreak/>
        <w:t xml:space="preserve">een activiteit wordt toegekend, niet leidt tot overcompensatie en het op grond van de richtsnoeren toegestane maximale steunbedrag niet overschrijdt. Het maximale steunbedrag dat in het kader van de richtsnoeren is toegestaan, is hetzij het steunbedrag dat in de succesvolle offerte in aanmerking is genomen, hetzij, indien er geen concurrerende procedure plaatsvindt, de financieringskloof, rekening houdend met alle belangrijkste inkomsten, met inbegrip van andere bronnen van steun (punt 51 van de richtsnoeren). Geef aan, wanneer in het kader van de aangemelde steunmaatregelen verleende steun kan worden gecumuleerd met staatssteun in het kader van een ander instrument, welke methode wordt gebruikt om de voorwaarden van punt 56 van de richtsnoeren na te leven.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Indien punt 57 van de richtsnoeren van toepassing is, d.w.z. dat de in het kader van de aangemelde maatregel(en) verleende steun wordt gecombineerd met centraal beheerde Uniefinanciering</w:t>
      </w:r>
      <w:r w:rsidR="009B2F61">
        <w:rPr>
          <w:rStyle w:val="FootnoteReference"/>
          <w:lang w:eastAsia="en-GB"/>
        </w:rPr>
        <w:footnoteReference w:id="8"/>
      </w:r>
      <w:r>
        <w:t xml:space="preserve"> (die geen staatssteun vormt), onderbouw dan hoe het totale bedrag aan overheidsfinanciering dat voor dezelfde in aanmerking komende kosten wordt toegekend, niet tot overcompensatie leidt.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Transparantie</w:t>
            </w:r>
          </w:p>
        </w:tc>
      </w:tr>
    </w:tbl>
    <w:p w14:paraId="07229A8F" w14:textId="5882F9C4" w:rsidR="006773CE" w:rsidRPr="007C0A44" w:rsidRDefault="006773CE" w:rsidP="006773CE">
      <w:pPr>
        <w:spacing w:before="360" w:after="120"/>
        <w:jc w:val="both"/>
        <w:rPr>
          <w:i/>
        </w:rPr>
      </w:pPr>
      <w:r>
        <w:rPr>
          <w:i/>
        </w:rPr>
        <w:t xml:space="preserve">Voor de in dit deel te verstrekken informatie, zie afdeling 3.2.1.4 (punten 58 tot en met 61) van de richtsnoeren.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Bevestig dat de lidstaat zal voldoen aan de voorwaarden inzake transparantie van de punten 58 tot en met 61 van de richtsnoeren.</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Vermijden van ongewenste negatieve effecten op de mededinging en het handelsverkeer</w:t>
            </w:r>
          </w:p>
        </w:tc>
      </w:tr>
    </w:tbl>
    <w:p w14:paraId="6C8D04A2" w14:textId="31215476" w:rsidR="009D6AD7" w:rsidRDefault="00F83660" w:rsidP="00757930">
      <w:pPr>
        <w:spacing w:before="360" w:after="120"/>
        <w:jc w:val="both"/>
      </w:pPr>
      <w:r>
        <w:rPr>
          <w:i/>
        </w:rPr>
        <w:t xml:space="preserve">Voor de in dit deel te verstrekken informatie, zie afdeling 4.8.5 (punten 359 tot en met 370) en afdeling 3.3 (punten 71 tot en met 76) van de richtsnoeren. </w:t>
      </w:r>
    </w:p>
    <w:p w14:paraId="289C641A" w14:textId="66B1FD1E" w:rsidR="002955E1" w:rsidRDefault="002955E1" w:rsidP="00AA5AF1">
      <w:pPr>
        <w:numPr>
          <w:ilvl w:val="0"/>
          <w:numId w:val="4"/>
        </w:numPr>
        <w:spacing w:after="240"/>
        <w:ind w:left="567" w:hanging="567"/>
        <w:jc w:val="both"/>
        <w:rPr>
          <w:i/>
          <w:color w:val="000000"/>
        </w:rPr>
      </w:pPr>
      <w:r>
        <w:rPr>
          <w:color w:val="000000"/>
        </w:rPr>
        <w:t>Om aan te tonen dat aan de punten 359, 360 en 361 van de richtsnoeren is voldaan,</w:t>
      </w:r>
    </w:p>
    <w:p w14:paraId="3CDD8237" w14:textId="472E0A00" w:rsidR="005333EE" w:rsidRPr="00757930" w:rsidRDefault="00967292" w:rsidP="00B02BC1">
      <w:pPr>
        <w:numPr>
          <w:ilvl w:val="0"/>
          <w:numId w:val="66"/>
        </w:numPr>
        <w:spacing w:after="240"/>
        <w:ind w:left="1134" w:hanging="283"/>
        <w:jc w:val="both"/>
        <w:rPr>
          <w:i/>
          <w:color w:val="000000"/>
        </w:rPr>
      </w:pPr>
      <w:proofErr w:type="gramStart"/>
      <w:r>
        <w:lastRenderedPageBreak/>
        <w:t>toon</w:t>
      </w:r>
      <w:proofErr w:type="gramEnd"/>
      <w:r>
        <w:t xml:space="preserve"> aan (ingeval daarop nog niet onder bovenstaande vraag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xml:space="preserve"> is geantwoord) dat de steun bedoeld is om de efficiënte werking van de markten te handhaven en efficiënte exploitatieprikkels en prijssignalen in stand te houden;</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bevestig dat er geen prikkels worden gegeven voor de productie van energie die minder vervuilende energievormen zou verdringen;</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geef aan of de maatregel betaalt voor capaciteit (EUR per megawatt (MW)) of voor elektriciteitsoutput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7A46B8">
      <w:pPr>
        <w:numPr>
          <w:ilvl w:val="0"/>
          <w:numId w:val="73"/>
        </w:numPr>
        <w:spacing w:after="240"/>
        <w:ind w:left="567" w:hanging="567"/>
        <w:jc w:val="both"/>
        <w:rPr>
          <w:color w:val="000000"/>
        </w:rPr>
      </w:pPr>
      <w:bookmarkStart w:id="7" w:name="_Ref169096013"/>
      <w:r>
        <w:rPr>
          <w:color w:val="000000"/>
        </w:rPr>
        <w:t>Toon aan dat de maatregel voldoet aan de in artikel 22 van Verordening (EU) 2019/943 bepaalde toepasselijke voorwaarden voor de opzet van mechanismen (punt 362 van de richtsnoeren).</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7A46B8">
      <w:pPr>
        <w:numPr>
          <w:ilvl w:val="0"/>
          <w:numId w:val="73"/>
        </w:numPr>
        <w:spacing w:after="240"/>
        <w:ind w:left="567" w:hanging="567"/>
        <w:jc w:val="both"/>
        <w:rPr>
          <w:color w:val="000000"/>
        </w:rPr>
      </w:pPr>
      <w:r>
        <w:rPr>
          <w:color w:val="000000"/>
        </w:rPr>
        <w:t xml:space="preserve">Voor strategische reserves en alle andere maatregelen ten behoeve van de </w:t>
      </w:r>
      <w:proofErr w:type="spellStart"/>
      <w:r>
        <w:rPr>
          <w:color w:val="000000"/>
        </w:rPr>
        <w:t>toereikendheid</w:t>
      </w:r>
      <w:proofErr w:type="spellEnd"/>
      <w:r>
        <w:rPr>
          <w:color w:val="000000"/>
        </w:rPr>
        <w:t xml:space="preserve"> van de elektriciteitsvoorziening, met inbegrip van afschakelregelingen, waarbij capaciteit buiten de markt wordt gehouden, is, om te garanderen dat de prijsvorming op de markt niet wordt verstoord, toon aan, overeenkomstig punt 363 van de richtsnoeren, dat aan de volgende cumulatieve voorwaarden is voldaan:</w:t>
      </w:r>
    </w:p>
    <w:p w14:paraId="6E1DA574" w14:textId="064EFA54" w:rsidR="005333EE" w:rsidRDefault="005333EE" w:rsidP="00560F07">
      <w:pPr>
        <w:numPr>
          <w:ilvl w:val="1"/>
          <w:numId w:val="59"/>
        </w:numPr>
        <w:spacing w:after="240"/>
        <w:ind w:left="1134" w:hanging="283"/>
        <w:jc w:val="both"/>
        <w:rPr>
          <w:color w:val="000000"/>
        </w:rPr>
      </w:pPr>
      <w:r>
        <w:rPr>
          <w:color w:val="000000"/>
        </w:rPr>
        <w:t xml:space="preserve">dispatching van de middelen van de maatregel kan slechts plaatsvinden indien de transmissiesysteembeheerders waarschijnlijk al hun </w:t>
      </w:r>
      <w:proofErr w:type="spellStart"/>
      <w:r>
        <w:rPr>
          <w:color w:val="000000"/>
        </w:rPr>
        <w:t>balanceringsmiddelen</w:t>
      </w:r>
      <w:proofErr w:type="spellEnd"/>
      <w:r>
        <w:rPr>
          <w:color w:val="000000"/>
        </w:rPr>
        <w:t xml:space="preserve"> zullen moeten inzetten om een evenwicht tussen vraag en aanbod tot stand te brengen;</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 xml:space="preserve">tijdens onbalansvereffeningsperiodes waarin dispatching van middelen uit de maatregel plaatsvindt, moeten </w:t>
      </w:r>
      <w:proofErr w:type="spellStart"/>
      <w:r>
        <w:rPr>
          <w:color w:val="000000"/>
        </w:rPr>
        <w:t>onbalansen</w:t>
      </w:r>
      <w:proofErr w:type="spellEnd"/>
      <w:r>
        <w:rPr>
          <w:color w:val="000000"/>
        </w:rPr>
        <w:t xml:space="preserve"> op de markt worden verrekend tegen ten minste de waarde van de verloren belasting (VOLL) of tegen een waarde boven de </w:t>
      </w:r>
      <w:proofErr w:type="spellStart"/>
      <w:r>
        <w:rPr>
          <w:color w:val="000000"/>
        </w:rPr>
        <w:t>intraday</w:t>
      </w:r>
      <w:proofErr w:type="spellEnd"/>
      <w:r>
        <w:rPr>
          <w:color w:val="000000"/>
        </w:rPr>
        <w:t>-technische prijslimieten, als deze hoger is;</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 xml:space="preserve">de output van de maatregel(en) na de dispatching moet via het </w:t>
      </w:r>
      <w:proofErr w:type="spellStart"/>
      <w:r>
        <w:rPr>
          <w:color w:val="000000"/>
        </w:rPr>
        <w:t>onbalansverrekeningsmechanisme</w:t>
      </w:r>
      <w:proofErr w:type="spellEnd"/>
      <w:r>
        <w:rPr>
          <w:color w:val="000000"/>
        </w:rPr>
        <w:t xml:space="preserve"> worden toegewezen aan de </w:t>
      </w:r>
      <w:proofErr w:type="spellStart"/>
      <w:r>
        <w:rPr>
          <w:color w:val="000000"/>
        </w:rPr>
        <w:t>balanceringsverantwoordelijken</w:t>
      </w:r>
      <w:proofErr w:type="spellEnd"/>
      <w:r>
        <w:rPr>
          <w:color w:val="000000"/>
        </w:rPr>
        <w:t>;</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 xml:space="preserve">de middelen ontvangen geen vergoeding van de groothandelsmarkt voor elektriciteit of </w:t>
      </w:r>
      <w:proofErr w:type="spellStart"/>
      <w:r>
        <w:rPr>
          <w:color w:val="000000"/>
        </w:rPr>
        <w:t>balanceringsmarkten</w:t>
      </w:r>
      <w:proofErr w:type="spellEnd"/>
      <w:r>
        <w:rPr>
          <w:color w:val="000000"/>
        </w:rPr>
        <w:t>;</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lastRenderedPageBreak/>
        <w:t>de middelen in de maatregel moeten buiten de markt worden gehouden voor ten minste de duur van de contractperiode.</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7A46B8">
      <w:pPr>
        <w:numPr>
          <w:ilvl w:val="0"/>
          <w:numId w:val="73"/>
        </w:numPr>
        <w:spacing w:after="240"/>
        <w:ind w:left="567" w:hanging="567"/>
        <w:jc w:val="both"/>
        <w:rPr>
          <w:color w:val="000000"/>
        </w:rPr>
      </w:pPr>
      <w:r>
        <w:rPr>
          <w:color w:val="000000"/>
        </w:rPr>
        <w:t xml:space="preserve">Voor maatregelen om netwerkcongestie aan te pakken, wanneer middelen buiten de markt worden gehouden, bevestig dat deze middelen geen vergoeding van de groothandelsmarkt voor elektriciteit of van de </w:t>
      </w:r>
      <w:proofErr w:type="spellStart"/>
      <w:r>
        <w:rPr>
          <w:color w:val="000000"/>
        </w:rPr>
        <w:t>balanceringsmarkten</w:t>
      </w:r>
      <w:proofErr w:type="spellEnd"/>
      <w:r>
        <w:rPr>
          <w:color w:val="000000"/>
        </w:rPr>
        <w:t xml:space="preserve"> zullen ontvangen en gedurende ten minste de contractuele periode buiten de energiemarkten zullen worden gehouden (punt 364 van de richtsnoeren).</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7A46B8">
      <w:pPr>
        <w:numPr>
          <w:ilvl w:val="0"/>
          <w:numId w:val="73"/>
        </w:numPr>
        <w:spacing w:after="240"/>
        <w:ind w:left="567" w:hanging="567"/>
        <w:jc w:val="both"/>
        <w:rPr>
          <w:color w:val="000000"/>
        </w:rPr>
      </w:pPr>
      <w:r>
        <w:rPr>
          <w:color w:val="000000"/>
        </w:rPr>
        <w:t>Voor andere capaciteitsmechanismen dan strategische reserves, toon aan, overeenkomstig punt 365 van de richtsnoeren, dat de maatregel:</w:t>
      </w:r>
    </w:p>
    <w:p w14:paraId="61F8EA90" w14:textId="77777777" w:rsidR="00560F07" w:rsidRDefault="005333EE" w:rsidP="007A46B8">
      <w:pPr>
        <w:numPr>
          <w:ilvl w:val="1"/>
          <w:numId w:val="73"/>
        </w:numPr>
        <w:spacing w:after="240"/>
        <w:ind w:left="1134" w:hanging="283"/>
        <w:jc w:val="both"/>
        <w:rPr>
          <w:color w:val="000000"/>
        </w:rPr>
      </w:pPr>
      <w:r>
        <w:rPr>
          <w:color w:val="000000"/>
        </w:rPr>
        <w:t>zodanig wordt opgezet dat de prijs die voor het beschikbaar houden wordt betaald automatisch naar nul neigt wanneer het niveau van de geleverde capaciteit naar verwachting voldoende zal zijn om aan het niveau van de gevraagde capaciteit te voldoen;</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7A46B8">
      <w:pPr>
        <w:numPr>
          <w:ilvl w:val="1"/>
          <w:numId w:val="73"/>
        </w:numPr>
        <w:spacing w:after="240"/>
        <w:ind w:left="1134" w:hanging="283"/>
        <w:jc w:val="both"/>
        <w:rPr>
          <w:color w:val="000000"/>
        </w:rPr>
      </w:pPr>
      <w:r>
        <w:rPr>
          <w:color w:val="000000"/>
        </w:rPr>
        <w:t>de participerende middelen alleen vergoedt voor hun beschikbaarheid en de vergoeding geen invloed heeft op beslissingen van de capaciteitsaanbieder om al dan niet elektriciteit op te wekken;</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7A46B8">
      <w:pPr>
        <w:numPr>
          <w:ilvl w:val="1"/>
          <w:numId w:val="73"/>
        </w:numPr>
        <w:ind w:left="1134" w:hanging="283"/>
        <w:jc w:val="both"/>
        <w:rPr>
          <w:color w:val="000000"/>
        </w:rPr>
      </w:pPr>
      <w:r>
        <w:rPr>
          <w:color w:val="000000"/>
        </w:rPr>
        <w:t>het mogelijk maakt dat capaciteitsverplichtingen kunnen worden overgedragen tussen in aanmerking komende capaciteitsaanbieders.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7A46B8">
      <w:pPr>
        <w:numPr>
          <w:ilvl w:val="0"/>
          <w:numId w:val="73"/>
        </w:numPr>
        <w:spacing w:after="240"/>
        <w:ind w:left="567" w:hanging="567"/>
        <w:jc w:val="both"/>
        <w:rPr>
          <w:color w:val="000000"/>
        </w:rPr>
      </w:pPr>
      <w:r>
        <w:rPr>
          <w:color w:val="000000"/>
        </w:rPr>
        <w:t xml:space="preserve">Om na te gaan of aan punt 366 van de richtsnoeren is voldaan, toon aan dat de maatregel: </w:t>
      </w:r>
    </w:p>
    <w:p w14:paraId="28CFD8B5" w14:textId="77777777" w:rsidR="00727DA8" w:rsidRDefault="005333EE" w:rsidP="007A46B8">
      <w:pPr>
        <w:numPr>
          <w:ilvl w:val="1"/>
          <w:numId w:val="73"/>
        </w:numPr>
        <w:spacing w:after="240"/>
        <w:ind w:left="1134" w:hanging="283"/>
        <w:jc w:val="both"/>
        <w:rPr>
          <w:color w:val="000000"/>
        </w:rPr>
      </w:pPr>
      <w:r>
        <w:rPr>
          <w:color w:val="000000"/>
        </w:rPr>
        <w:t xml:space="preserve">niet tot onnodige marktverstoringen leidt of de </w:t>
      </w:r>
      <w:proofErr w:type="spellStart"/>
      <w:r>
        <w:rPr>
          <w:color w:val="000000"/>
        </w:rPr>
        <w:t>zoneoverschrijdende</w:t>
      </w:r>
      <w:proofErr w:type="spellEnd"/>
      <w:r>
        <w:rPr>
          <w:color w:val="000000"/>
        </w:rPr>
        <w:t xml:space="preserve"> handel beperkt;</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7A46B8">
      <w:pPr>
        <w:numPr>
          <w:ilvl w:val="1"/>
          <w:numId w:val="73"/>
        </w:numPr>
        <w:spacing w:after="240"/>
        <w:ind w:left="1134" w:hanging="283"/>
        <w:jc w:val="both"/>
        <w:rPr>
          <w:color w:val="000000"/>
        </w:rPr>
      </w:pPr>
      <w:r>
        <w:rPr>
          <w:color w:val="000000"/>
        </w:rPr>
        <w:t xml:space="preserve">prikkels om te investeren in </w:t>
      </w:r>
      <w:proofErr w:type="spellStart"/>
      <w:r>
        <w:rPr>
          <w:color w:val="000000"/>
        </w:rPr>
        <w:t>interconnectiecapaciteit</w:t>
      </w:r>
      <w:proofErr w:type="spellEnd"/>
      <w:r>
        <w:rPr>
          <w:color w:val="000000"/>
        </w:rPr>
        <w:t xml:space="preserve"> niet afzwakt – door bijvoorbeeld congestieopbrengsten voor bestaande of nieuw </w:t>
      </w:r>
      <w:proofErr w:type="spellStart"/>
      <w:r>
        <w:rPr>
          <w:color w:val="000000"/>
        </w:rPr>
        <w:t>interconnectoren</w:t>
      </w:r>
      <w:proofErr w:type="spellEnd"/>
      <w:r>
        <w:rPr>
          <w:color w:val="000000"/>
        </w:rPr>
        <w:t xml:space="preserve"> te verlagen;</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7A46B8">
      <w:pPr>
        <w:numPr>
          <w:ilvl w:val="1"/>
          <w:numId w:val="73"/>
        </w:numPr>
        <w:spacing w:after="240"/>
        <w:ind w:left="1134" w:hanging="283"/>
        <w:jc w:val="both"/>
        <w:rPr>
          <w:color w:val="000000"/>
        </w:rPr>
      </w:pPr>
      <w:r>
        <w:rPr>
          <w:color w:val="000000"/>
        </w:rPr>
        <w:t xml:space="preserve">koppeling van markten, met inbegrip van </w:t>
      </w:r>
      <w:proofErr w:type="spellStart"/>
      <w:r>
        <w:rPr>
          <w:color w:val="000000"/>
        </w:rPr>
        <w:t>intraday</w:t>
      </w:r>
      <w:proofErr w:type="spellEnd"/>
      <w:r>
        <w:rPr>
          <w:color w:val="000000"/>
        </w:rPr>
        <w:t xml:space="preserve">- en </w:t>
      </w:r>
      <w:proofErr w:type="spellStart"/>
      <w:r>
        <w:rPr>
          <w:color w:val="000000"/>
        </w:rPr>
        <w:t>balanceringsmarkten</w:t>
      </w:r>
      <w:proofErr w:type="spellEnd"/>
      <w:r>
        <w:rPr>
          <w:color w:val="000000"/>
        </w:rPr>
        <w:t>, niet aantast;</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7A46B8">
      <w:pPr>
        <w:numPr>
          <w:ilvl w:val="1"/>
          <w:numId w:val="73"/>
        </w:numPr>
        <w:spacing w:after="240"/>
        <w:ind w:left="1134" w:hanging="283"/>
        <w:jc w:val="both"/>
        <w:rPr>
          <w:color w:val="000000"/>
        </w:rPr>
      </w:pPr>
      <w:r>
        <w:rPr>
          <w:color w:val="000000"/>
        </w:rPr>
        <w:lastRenderedPageBreak/>
        <w:t>besluiten voor investeringen in capaciteit die van vóór de maatregel dateren, niet ondermijnt.</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7A46B8">
      <w:pPr>
        <w:numPr>
          <w:ilvl w:val="0"/>
          <w:numId w:val="73"/>
        </w:numPr>
        <w:ind w:left="567" w:hanging="578"/>
        <w:jc w:val="both"/>
        <w:rPr>
          <w:color w:val="000000"/>
        </w:rPr>
      </w:pPr>
      <w:r>
        <w:rPr>
          <w:color w:val="000000"/>
        </w:rPr>
        <w:t xml:space="preserve">Om na te gaan of aan punt 367 van de richtsnoeren is voldaan, toon aan dat de kosten van de aangemelde maatregel zullen worden gedragen door de marktdeelnemers die bijdragen aan de noodzaak van de maatregel(en). </w:t>
      </w:r>
      <w:r>
        <w:t>Indien u van mening bent dat een dergelijke kostentoerekening niet nodig is, leg dan uit waarom en verstrek bewijsmateriaal, waaronder het materiaal dat in het kader van de openbare raadpleging is verzameld.</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7A46B8">
      <w:pPr>
        <w:pStyle w:val="ListParagraph"/>
        <w:numPr>
          <w:ilvl w:val="0"/>
          <w:numId w:val="73"/>
        </w:numPr>
        <w:spacing w:before="120" w:after="120"/>
        <w:ind w:left="567" w:hanging="567"/>
        <w:contextualSpacing w:val="0"/>
        <w:jc w:val="both"/>
      </w:pPr>
      <w:r>
        <w:t>Verklaar op grond van punt 72 van de richtsnoeren waarom de aangemelde maatregel voldoet aan de criteria voor ecologisch duurzame economische activiteiten van artikel 3 van Verordening (EU) 2020/852 van het Europees Parlement en de Raad</w:t>
      </w:r>
      <w:r w:rsidR="004B2EF3" w:rsidRPr="008772CC">
        <w:rPr>
          <w:rStyle w:val="FootnoteReference"/>
          <w:lang w:eastAsia="en-GB"/>
        </w:rPr>
        <w:footnoteReference w:id="10"/>
      </w:r>
      <w:r>
        <w:t>, met inbegrip van het beginsel “geen ernstige afbreuk doen”</w:t>
      </w:r>
      <w:r w:rsidR="004B2EF3">
        <w:rPr>
          <w:rStyle w:val="FootnoteReference"/>
          <w:shd w:val="clear" w:color="auto" w:fill="FFFFFF"/>
        </w:rPr>
        <w:footnoteReference w:id="11"/>
      </w:r>
      <w:r>
        <w:t>, of aan andere vergelijkbare methoden.</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7A46B8">
      <w:pPr>
        <w:pStyle w:val="ListParagraph"/>
        <w:numPr>
          <w:ilvl w:val="0"/>
          <w:numId w:val="73"/>
        </w:numPr>
        <w:spacing w:before="120" w:after="120"/>
        <w:ind w:left="567" w:hanging="567"/>
        <w:contextualSpacing w:val="0"/>
        <w:jc w:val="both"/>
      </w:pPr>
      <w:r>
        <w:t>Verduidelijk, overeenkomstig punt 75 van de richtsnoeren, in gevallen waarin de lidstaat ervoor kiest een concurrerende aanbestedingsprocedure in te voeren, of de aangemelde maatregel kenmerken bevat om de deelname van kmo’s of hernieuwbare-energiegemeenschappen te vergemakkelijken. Indien dit het geval is, geef dan informatie over die kenmerken en onderbouw hoe de positieve effecten van het waarborgen van de deelname en aanvaarding van kmo’s in de aangemelde maatregelen opwegen tegen de mogelijke verstorende effecten.</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76EDD169" w:rsidR="00363A2F" w:rsidRDefault="00363A2F" w:rsidP="007A46B8">
      <w:pPr>
        <w:pStyle w:val="ListParagraph"/>
        <w:numPr>
          <w:ilvl w:val="0"/>
          <w:numId w:val="73"/>
        </w:numPr>
        <w:spacing w:before="120" w:after="120"/>
        <w:ind w:left="567" w:hanging="567"/>
        <w:contextualSpacing w:val="0"/>
        <w:jc w:val="both"/>
      </w:pPr>
      <w:r>
        <w:t>Om aan te tonen dat aan de punten 368 en 369 van de richtsnoeren is voldaan:</w:t>
      </w:r>
    </w:p>
    <w:p w14:paraId="0D229619" w14:textId="5FC55C14" w:rsidR="000B0545" w:rsidRDefault="00C3175A" w:rsidP="007A46B8">
      <w:pPr>
        <w:pStyle w:val="ListParagraph"/>
        <w:numPr>
          <w:ilvl w:val="1"/>
          <w:numId w:val="73"/>
        </w:numPr>
        <w:spacing w:before="120" w:after="120"/>
        <w:ind w:left="1134" w:hanging="283"/>
        <w:contextualSpacing w:val="0"/>
        <w:jc w:val="both"/>
      </w:pPr>
      <w:r>
        <w:t>Indien de aangemelde maatregel aanzet tot nieuwe investeringen in de meest vervuilende fossiele brandstoffen, leg dan uit of de maatregel, met inbegrip van maatregelen voor netwerkcongestie en afschakelbaarheidsregelingen, voldoet aan de emissiedrempel die van toepassing is op capaciteitsmechanismen als bedoeld in artikel 22 van Verordening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7A46B8">
      <w:pPr>
        <w:pStyle w:val="ListParagraph"/>
        <w:numPr>
          <w:ilvl w:val="1"/>
          <w:numId w:val="73"/>
        </w:numPr>
        <w:ind w:left="1134" w:hanging="283"/>
      </w:pPr>
      <w:r>
        <w:lastRenderedPageBreak/>
        <w:t xml:space="preserve">indien de aangemelde maatregel aanzet tot nieuwe investeringen in opwekking van energie op basis van aardgas, leg dan uit hoe de maatregel zal zorgen voor een bijdrage tot het behalen van de klimaatdoelstelling van de Unie voor 2030 en het streefdoel van klimaatneutraliteit tegen 2050. Leg met name uit hoe een </w:t>
      </w:r>
      <w:proofErr w:type="spellStart"/>
      <w:r>
        <w:t>lock</w:t>
      </w:r>
      <w:proofErr w:type="spellEnd"/>
      <w:r>
        <w:t>-in van deze gasgestookte energieproductie of gasgestookte productie-installaties zal worden vermeden.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7A46B8">
      <w:pPr>
        <w:pStyle w:val="ListParagraph"/>
        <w:numPr>
          <w:ilvl w:val="0"/>
          <w:numId w:val="73"/>
        </w:numPr>
        <w:ind w:left="567" w:hanging="567"/>
        <w:jc w:val="both"/>
        <w:rPr>
          <w:szCs w:val="24"/>
        </w:rPr>
      </w:pPr>
      <w:r>
        <w:rPr>
          <w:color w:val="333333"/>
          <w:shd w:val="clear" w:color="auto" w:fill="FFFFFF"/>
        </w:rPr>
        <w:t>Voor individuele steunmaatregelen of regelingen die alleen aan een bijzonder beperkt aantal begunstigden of een begunstigde gevestigde exploitant ten goede komen, toon verder aan dat de voorgenomen steunmaatregel niet tot een toename van marktmacht zal leiden (punt 370 van de richtsnoeren).</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Afdeling C: Evaluatie</w:t>
            </w:r>
          </w:p>
        </w:tc>
      </w:tr>
    </w:tbl>
    <w:p w14:paraId="78AC9B95" w14:textId="1FB76E7E" w:rsidR="00C33721" w:rsidRPr="0051324D" w:rsidRDefault="00C33721" w:rsidP="005C6138">
      <w:pPr>
        <w:tabs>
          <w:tab w:val="left" w:leader="dot" w:pos="9072"/>
        </w:tabs>
        <w:spacing w:before="120" w:after="120"/>
        <w:ind w:left="567"/>
        <w:jc w:val="both"/>
      </w:pPr>
      <w:r>
        <w:rPr>
          <w:i/>
        </w:rPr>
        <w:t>Voor de in dit deel te verstrekken informatie, zie punt 76, a), en hoofdstuk 5 (punten 455 tot en met 463) van de richtsnoeren.</w:t>
      </w:r>
    </w:p>
    <w:p w14:paraId="319011B2" w14:textId="6538C74F" w:rsidR="002F3E3B" w:rsidRDefault="002F3E3B" w:rsidP="007A46B8">
      <w:pPr>
        <w:pStyle w:val="ListParagraph"/>
        <w:numPr>
          <w:ilvl w:val="0"/>
          <w:numId w:val="73"/>
        </w:numPr>
        <w:spacing w:before="120" w:after="120"/>
        <w:ind w:left="567" w:hanging="567"/>
        <w:jc w:val="both"/>
      </w:pPr>
      <w:r>
        <w:t>Indien de aangemelde maatregelen de budget- of uitgavendrempels in punt 456 van de richtsnoeren overschrijden, leg dan uit waarom volgens u de uitzondering in punt 457 van de richtsnoeren van toepassing moet zijn, of voeg bij dit aanmeldingsformulier een bijlage met een ontwerp-evaluatieplan dat de in punt 458 van de richtsnoeren vermelde gegevens behandelt</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7A46B8">
      <w:pPr>
        <w:pStyle w:val="ListParagraph"/>
        <w:numPr>
          <w:ilvl w:val="0"/>
          <w:numId w:val="73"/>
        </w:numPr>
        <w:spacing w:before="120" w:after="120"/>
        <w:ind w:left="567" w:hanging="567"/>
        <w:jc w:val="both"/>
      </w:pPr>
      <w:r>
        <w:t>Indien u een ontwerp-evaluatieplan verstrekt:</w:t>
      </w:r>
    </w:p>
    <w:p w14:paraId="2E38E9A8" w14:textId="77777777" w:rsidR="00237F5F" w:rsidRDefault="00237F5F" w:rsidP="005C0B39">
      <w:pPr>
        <w:numPr>
          <w:ilvl w:val="2"/>
          <w:numId w:val="57"/>
        </w:numPr>
        <w:ind w:left="1134" w:hanging="283"/>
      </w:pPr>
      <w:r>
        <w:t>geef dan hieronder een samenvatting van dat ontwerp-evaluatieplan dat in de bijlage is opgenomen.</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bevestig dat punt 460 van de richtsnoeren zal worden nageleefd;</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vermeld de datum en de internetlink waar het evaluatieplan bekend zal worden gemaakt.</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7A46B8">
      <w:pPr>
        <w:numPr>
          <w:ilvl w:val="0"/>
          <w:numId w:val="73"/>
        </w:numPr>
        <w:ind w:left="567" w:hanging="567"/>
        <w:jc w:val="both"/>
      </w:pPr>
      <w:r>
        <w:t xml:space="preserve">Bevestig, om na te gaan of aan punt 459, b), van de richtsnoeren is voldaan, indien thans voor de steunregeling geen evaluatie achteraf moet worden uitgevoerd en de </w:t>
      </w:r>
      <w:r>
        <w:lastRenderedPageBreak/>
        <w:t xml:space="preserve">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7A46B8">
      <w:pPr>
        <w:numPr>
          <w:ilvl w:val="0"/>
          <w:numId w:val="73"/>
        </w:numPr>
        <w:ind w:left="567" w:hanging="567"/>
        <w:jc w:val="both"/>
      </w:pPr>
      <w:r>
        <w:t>Om na te gaan of aan punt 459, c), van de richtsnoeren is voldaan, ingeval voor de steunregeling thans geen evaluatie achteraf moet worden uitgevoerd, verstrek hieronder de toezegging dat de lidstaat uiterlijk dertig werkdagen na de vastlegging in de officiële boekhouding van meer dan 150 miljoen EUR aan uitgaven in het voorafgaande jaar, een ontwerp-evaluatieplan zal aanmelden.</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7A46B8">
      <w:pPr>
        <w:numPr>
          <w:ilvl w:val="0"/>
          <w:numId w:val="73"/>
        </w:numPr>
        <w:spacing w:after="240"/>
        <w:ind w:left="567" w:hanging="567"/>
        <w:jc w:val="both"/>
      </w:pPr>
      <w:r>
        <w:t>Overeenkomstig punt 461 van de richtsnoeren,</w:t>
      </w:r>
    </w:p>
    <w:p w14:paraId="516B7EF0" w14:textId="6220BF62" w:rsidR="0012481A" w:rsidRDefault="00277BC0" w:rsidP="007A46B8">
      <w:pPr>
        <w:numPr>
          <w:ilvl w:val="1"/>
          <w:numId w:val="73"/>
        </w:numPr>
        <w:ind w:left="1134" w:hanging="283"/>
        <w:jc w:val="both"/>
      </w:pPr>
      <w:r>
        <w:t>geef aan of de onafhankelijke deskundige reeds is geselecteerd of in de toekomst zal worden geselecteerd;</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7A46B8">
      <w:pPr>
        <w:numPr>
          <w:ilvl w:val="1"/>
          <w:numId w:val="73"/>
        </w:numPr>
        <w:ind w:left="1134" w:hanging="283"/>
        <w:jc w:val="both"/>
      </w:pPr>
      <w:r>
        <w:t>verstrek informatie over de procedure voor de selectie van de deskundige;</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7A46B8">
      <w:pPr>
        <w:numPr>
          <w:ilvl w:val="1"/>
          <w:numId w:val="73"/>
        </w:numPr>
        <w:ind w:left="1134" w:hanging="283"/>
        <w:jc w:val="both"/>
      </w:pPr>
      <w:r>
        <w:t>onderbouw hoe de deskundige onafhankelijk is van de toekennende autoriteit.</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7A46B8">
      <w:pPr>
        <w:numPr>
          <w:ilvl w:val="0"/>
          <w:numId w:val="73"/>
        </w:numPr>
        <w:ind w:left="567" w:hanging="567"/>
      </w:pPr>
      <w:r>
        <w:t>Overeenkomstig punt 461 van de richtsnoeren,</w:t>
      </w:r>
    </w:p>
    <w:p w14:paraId="56904831" w14:textId="2B9E8697" w:rsidR="007F77C3" w:rsidRDefault="002C0264" w:rsidP="007A46B8">
      <w:pPr>
        <w:numPr>
          <w:ilvl w:val="1"/>
          <w:numId w:val="73"/>
        </w:numPr>
        <w:spacing w:before="240"/>
        <w:ind w:left="1134" w:hanging="283"/>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7A46B8">
      <w:pPr>
        <w:numPr>
          <w:ilvl w:val="1"/>
          <w:numId w:val="73"/>
        </w:numPr>
        <w:spacing w:before="240"/>
        <w:ind w:left="1134" w:hanging="283"/>
        <w:jc w:val="both"/>
      </w:pPr>
      <w:r>
        <w:t xml:space="preserve">bevestig dat het tussentijdse en het eindevaluatieverslag openbaar zullen worden gemaakt. Vermeld de datum en de internetlink waar die verslagen openbaar zullen worden gemaakt.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0C1880">
            <w:pPr>
              <w:keepNext/>
              <w:jc w:val="center"/>
              <w:rPr>
                <w:rFonts w:eastAsia="Times New Roman"/>
                <w:b/>
                <w:iCs/>
                <w:sz w:val="28"/>
                <w:szCs w:val="28"/>
              </w:rPr>
            </w:pPr>
            <w:r>
              <w:rPr>
                <w:b/>
                <w:sz w:val="32"/>
              </w:rPr>
              <w:lastRenderedPageBreak/>
              <w:t>Afdeling D: Rapportage en monitoring</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Voor de in dit deel te verstrekken informatie, zie afdeling 6 (punten 464 en 465) van de richtsnoeren.</w:t>
      </w:r>
    </w:p>
    <w:p w14:paraId="1F0B9181" w14:textId="4AF71976" w:rsidR="00F776CB" w:rsidRPr="0051324D" w:rsidRDefault="00F776CB" w:rsidP="00757930"/>
    <w:p w14:paraId="74E67784" w14:textId="77777777" w:rsidR="00F776CB" w:rsidRDefault="00F776CB" w:rsidP="007A46B8">
      <w:pPr>
        <w:numPr>
          <w:ilvl w:val="0"/>
          <w:numId w:val="73"/>
        </w:numPr>
        <w:ind w:left="567" w:hanging="567"/>
      </w:pPr>
      <w:r>
        <w:t>Bevestig dat de lidstaat zal voldoen aan de voorwaarden inzake rapportage en monitoring van deel 6 (punten 464 en 465) van de richtsnoeren.</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PB C 80 van 18.2.2022, blz. 1.</w:t>
      </w:r>
    </w:p>
  </w:footnote>
  <w:footnote w:id="3">
    <w:p w14:paraId="25384A16" w14:textId="699CB629" w:rsidR="00FA6EB5" w:rsidRPr="009F1C3C" w:rsidRDefault="00FA6EB5">
      <w:pPr>
        <w:pStyle w:val="FootnoteText"/>
      </w:pPr>
      <w:r>
        <w:rPr>
          <w:rStyle w:val="FootnoteReference"/>
        </w:rPr>
        <w:footnoteRef/>
      </w:r>
      <w:r>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4">
    <w:p w14:paraId="3A3265CA" w14:textId="77777777" w:rsidR="00B22D69" w:rsidRPr="0067348B" w:rsidRDefault="00B22D69" w:rsidP="00B22D69">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590F3FC7" w14:textId="30CB4935" w:rsidR="00E55520" w:rsidRDefault="00E55520" w:rsidP="00821F07">
      <w:pPr>
        <w:pStyle w:val="FootnoteText"/>
      </w:pPr>
      <w:r>
        <w:rPr>
          <w:rStyle w:val="FootnoteReference"/>
        </w:rPr>
        <w:footnoteRef/>
      </w:r>
      <w:r>
        <w:tab/>
        <w:t>Volgens punt 19, 89), van de richtsnoeren wordt onder “Unienorm” verstaan:</w:t>
      </w:r>
    </w:p>
    <w:p w14:paraId="340A0B20" w14:textId="77777777" w:rsidR="00E55520" w:rsidRPr="004B74BC" w:rsidRDefault="00E55520" w:rsidP="004B74BC">
      <w:pPr>
        <w:pStyle w:val="FootnoteText"/>
        <w:numPr>
          <w:ilvl w:val="0"/>
          <w:numId w:val="46"/>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2AC4E0B" w14:textId="14D21BDD" w:rsidR="00E55520" w:rsidRDefault="00E55520" w:rsidP="004B74BC">
      <w:pPr>
        <w:pStyle w:val="FootnoteText"/>
        <w:numPr>
          <w:ilvl w:val="0"/>
          <w:numId w:val="46"/>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6">
    <w:p w14:paraId="6598727F" w14:textId="2CE0C196" w:rsidR="00E55520" w:rsidRDefault="00E55520">
      <w:pPr>
        <w:pStyle w:val="FootnoteText"/>
      </w:pPr>
      <w:r>
        <w:rPr>
          <w:rStyle w:val="FootnoteReference"/>
        </w:rPr>
        <w:footnoteRef/>
      </w:r>
      <w:r>
        <w:tab/>
        <w:t>In voetnoot 42 van de richtsnoeren is bepaald dat minimum- en maximumprijzen die de concurrerende procedure beperken en de evenredigheid ondermijnen, zelfs als ze gelijk zijn aan nul, moeten worden vermeden.</w:t>
      </w:r>
    </w:p>
  </w:footnote>
  <w:footnote w:id="7">
    <w:p w14:paraId="7BF90FA8" w14:textId="77777777" w:rsidR="0003031C" w:rsidRPr="0095488F" w:rsidRDefault="0003031C" w:rsidP="0003031C">
      <w:pPr>
        <w:pStyle w:val="FootnoteText"/>
      </w:pPr>
      <w:r>
        <w:rPr>
          <w:rStyle w:val="FootnoteReference"/>
        </w:rPr>
        <w:footnoteRef/>
      </w:r>
      <w:r>
        <w:tab/>
        <w:t>Voor meer informatie, zie de punten 51, 52 en 53 en de voetnoten 45, 46 en 55 van de richtsnoeren.</w:t>
      </w:r>
    </w:p>
  </w:footnote>
  <w:footnote w:id="8">
    <w:p w14:paraId="086AD512" w14:textId="7087BE19" w:rsidR="00E55520" w:rsidRDefault="00E55520">
      <w:pPr>
        <w:pStyle w:val="FootnoteText"/>
      </w:pPr>
      <w:r>
        <w:rPr>
          <w:rStyle w:val="FootnoteReference"/>
        </w:rPr>
        <w:footnoteRef/>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9">
    <w:p w14:paraId="46FDB4C5" w14:textId="626320F5" w:rsidR="00E308B3" w:rsidRPr="004A1D89" w:rsidRDefault="00E308B3">
      <w:pPr>
        <w:pStyle w:val="FootnoteText"/>
      </w:pPr>
      <w:r>
        <w:rPr>
          <w:rStyle w:val="FootnoteReference"/>
        </w:rPr>
        <w:footnoteRef/>
      </w:r>
      <w:r>
        <w:tab/>
        <w:t>Overeenkomstig artikel 367 van de richtsnoeren is een dergelijke kostentoerekening mogelijk niet vereist indien de lidstaat een analyse indient op basis van bewijs, met inbegrip van bewijs dat tijdens de publieke consultatie is verzameld, dat een dergelijke kostentoerekening de kosteneffectiviteit van de maatregel zou ondermijnen of tot ernstige concurrentieverstoringen zou leiden die de potentiële voordelen van een dergelijke kostentoerekening duidelijk zouden ondermijnen.</w:t>
      </w:r>
    </w:p>
  </w:footnote>
  <w:footnote w:id="10">
    <w:p w14:paraId="02AA3570" w14:textId="77777777" w:rsidR="00E55520" w:rsidRPr="008772CC" w:rsidRDefault="00E55520" w:rsidP="004B2EF3">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(PB L 198 van 22.6.2020, blz. 13).</w:t>
      </w:r>
    </w:p>
  </w:footnote>
  <w:footnote w:id="11">
    <w:p w14:paraId="56D0AFFA" w14:textId="77777777" w:rsidR="00E55520" w:rsidRDefault="00E55520" w:rsidP="004B2EF3">
      <w:pPr>
        <w:pStyle w:val="FootnoteText"/>
      </w:pPr>
      <w:r>
        <w:rPr>
          <w:rStyle w:val="FootnoteReference"/>
        </w:rPr>
        <w:footnoteRef/>
      </w:r>
      <w:r>
        <w:tab/>
        <w:t>Overeenkomstig voetnoot 50 van de richtsnoeren wordt voor maatregelen die identiek zijn aan maatregelen in door de Raad goedgekeurde herstel- en veerkrachtplannen, ervan uitgegaan dat deze voldoen aan het beginsel “geen ernstige afbreuk doen”, aangezien dit reeds is geverifieerd.</w:t>
      </w:r>
    </w:p>
  </w:footnote>
  <w:footnote w:id="12">
    <w:p w14:paraId="4C240C5F" w14:textId="77777777" w:rsidR="002F3E3B" w:rsidRDefault="002F3E3B" w:rsidP="002F3E3B">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A1B1B41"/>
    <w:multiLevelType w:val="hybridMultilevel"/>
    <w:tmpl w:val="995A950C"/>
    <w:lvl w:ilvl="0" w:tplc="A4D654C4">
      <w:start w:val="50"/>
      <w:numFmt w:val="decimal"/>
      <w:lvlText w:val="%1."/>
      <w:lvlJc w:val="left"/>
      <w:pPr>
        <w:ind w:left="360" w:hanging="360"/>
      </w:pPr>
      <w:rPr>
        <w:rFonts w:hint="default"/>
        <w:b/>
        <w:i w:val="0"/>
      </w:rPr>
    </w:lvl>
    <w:lvl w:ilvl="1" w:tplc="18090019">
      <w:start w:val="1"/>
      <w:numFmt w:val="lowerLetter"/>
      <w:lvlText w:val="%2."/>
      <w:lvlJc w:val="left"/>
      <w:pPr>
        <w:ind w:left="360" w:hanging="360"/>
      </w:pPr>
    </w:lvl>
    <w:lvl w:ilvl="2" w:tplc="1809001B" w:tentative="1">
      <w:start w:val="1"/>
      <w:numFmt w:val="lowerRoman"/>
      <w:lvlText w:val="%3."/>
      <w:lvlJc w:val="right"/>
      <w:pPr>
        <w:ind w:left="1080" w:hanging="180"/>
      </w:pPr>
    </w:lvl>
    <w:lvl w:ilvl="3" w:tplc="1809000F" w:tentative="1">
      <w:start w:val="1"/>
      <w:numFmt w:val="decimal"/>
      <w:lvlText w:val="%4."/>
      <w:lvlJc w:val="left"/>
      <w:pPr>
        <w:ind w:left="1800" w:hanging="360"/>
      </w:pPr>
    </w:lvl>
    <w:lvl w:ilvl="4" w:tplc="18090019" w:tentative="1">
      <w:start w:val="1"/>
      <w:numFmt w:val="lowerLetter"/>
      <w:lvlText w:val="%5."/>
      <w:lvlJc w:val="left"/>
      <w:pPr>
        <w:ind w:left="2520" w:hanging="360"/>
      </w:pPr>
    </w:lvl>
    <w:lvl w:ilvl="5" w:tplc="1809001B" w:tentative="1">
      <w:start w:val="1"/>
      <w:numFmt w:val="lowerRoman"/>
      <w:lvlText w:val="%6."/>
      <w:lvlJc w:val="right"/>
      <w:pPr>
        <w:ind w:left="3240" w:hanging="180"/>
      </w:pPr>
    </w:lvl>
    <w:lvl w:ilvl="6" w:tplc="1809000F" w:tentative="1">
      <w:start w:val="1"/>
      <w:numFmt w:val="decimal"/>
      <w:lvlText w:val="%7."/>
      <w:lvlJc w:val="left"/>
      <w:pPr>
        <w:ind w:left="3960" w:hanging="360"/>
      </w:pPr>
    </w:lvl>
    <w:lvl w:ilvl="7" w:tplc="18090019" w:tentative="1">
      <w:start w:val="1"/>
      <w:numFmt w:val="lowerLetter"/>
      <w:lvlText w:val="%8."/>
      <w:lvlJc w:val="left"/>
      <w:pPr>
        <w:ind w:left="4680" w:hanging="360"/>
      </w:pPr>
    </w:lvl>
    <w:lvl w:ilvl="8" w:tplc="1809001B" w:tentative="1">
      <w:start w:val="1"/>
      <w:numFmt w:val="lowerRoman"/>
      <w:lvlText w:val="%9."/>
      <w:lvlJc w:val="right"/>
      <w:pPr>
        <w:ind w:left="5400" w:hanging="180"/>
      </w:pPr>
    </w:lvl>
  </w:abstractNum>
  <w:abstractNum w:abstractNumId="28"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29"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3"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5"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6"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7"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2"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0"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5"/>
  </w:num>
  <w:num w:numId="2" w16cid:durableId="167333053">
    <w:abstractNumId w:val="20"/>
  </w:num>
  <w:num w:numId="3" w16cid:durableId="18915775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3"/>
  </w:num>
  <w:num w:numId="5" w16cid:durableId="21259982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5"/>
  </w:num>
  <w:num w:numId="7" w16cid:durableId="1226913539">
    <w:abstractNumId w:val="30"/>
  </w:num>
  <w:num w:numId="8" w16cid:durableId="599215065">
    <w:abstractNumId w:val="14"/>
  </w:num>
  <w:num w:numId="9" w16cid:durableId="2031644641">
    <w:abstractNumId w:val="12"/>
  </w:num>
  <w:num w:numId="10" w16cid:durableId="1092891155">
    <w:abstractNumId w:val="51"/>
  </w:num>
  <w:num w:numId="11" w16cid:durableId="1907104691">
    <w:abstractNumId w:val="54"/>
  </w:num>
  <w:num w:numId="12" w16cid:durableId="51199480">
    <w:abstractNumId w:val="52"/>
  </w:num>
  <w:num w:numId="13" w16cid:durableId="1976720153">
    <w:abstractNumId w:val="61"/>
  </w:num>
  <w:num w:numId="14" w16cid:durableId="1375690653">
    <w:abstractNumId w:val="25"/>
  </w:num>
  <w:num w:numId="15" w16cid:durableId="1240402151">
    <w:abstractNumId w:val="41"/>
  </w:num>
  <w:num w:numId="16" w16cid:durableId="975187432">
    <w:abstractNumId w:val="6"/>
  </w:num>
  <w:num w:numId="17" w16cid:durableId="1867600656">
    <w:abstractNumId w:val="44"/>
  </w:num>
  <w:num w:numId="18" w16cid:durableId="503472073">
    <w:abstractNumId w:val="1"/>
  </w:num>
  <w:num w:numId="19" w16cid:durableId="1784031062">
    <w:abstractNumId w:val="0"/>
  </w:num>
  <w:num w:numId="20" w16cid:durableId="1127046250">
    <w:abstractNumId w:val="48"/>
  </w:num>
  <w:num w:numId="21" w16cid:durableId="364795765">
    <w:abstractNumId w:val="5"/>
  </w:num>
  <w:num w:numId="22" w16cid:durableId="1439989596">
    <w:abstractNumId w:val="10"/>
  </w:num>
  <w:num w:numId="23" w16cid:durableId="1016275709">
    <w:abstractNumId w:val="23"/>
  </w:num>
  <w:num w:numId="24" w16cid:durableId="151063031">
    <w:abstractNumId w:val="32"/>
  </w:num>
  <w:num w:numId="25" w16cid:durableId="53816324">
    <w:abstractNumId w:val="18"/>
  </w:num>
  <w:num w:numId="26" w16cid:durableId="1693611213">
    <w:abstractNumId w:val="37"/>
  </w:num>
  <w:num w:numId="27" w16cid:durableId="97141827">
    <w:abstractNumId w:val="34"/>
  </w:num>
  <w:num w:numId="28" w16cid:durableId="1532382434">
    <w:abstractNumId w:val="26"/>
  </w:num>
  <w:num w:numId="29" w16cid:durableId="1511292187">
    <w:abstractNumId w:val="58"/>
  </w:num>
  <w:num w:numId="30" w16cid:durableId="1094087480">
    <w:abstractNumId w:val="46"/>
  </w:num>
  <w:num w:numId="31" w16cid:durableId="1749956519">
    <w:abstractNumId w:val="29"/>
  </w:num>
  <w:num w:numId="32" w16cid:durableId="1406995675">
    <w:abstractNumId w:val="49"/>
  </w:num>
  <w:num w:numId="33" w16cid:durableId="575825784">
    <w:abstractNumId w:val="55"/>
  </w:num>
  <w:num w:numId="34" w16cid:durableId="74860614">
    <w:abstractNumId w:val="2"/>
  </w:num>
  <w:num w:numId="35" w16cid:durableId="1221552042">
    <w:abstractNumId w:val="19"/>
  </w:num>
  <w:num w:numId="36" w16cid:durableId="1518229027">
    <w:abstractNumId w:val="56"/>
  </w:num>
  <w:num w:numId="37" w16cid:durableId="190800748">
    <w:abstractNumId w:val="16"/>
  </w:num>
  <w:num w:numId="38" w16cid:durableId="2027906088">
    <w:abstractNumId w:val="67"/>
  </w:num>
  <w:num w:numId="39" w16cid:durableId="651565310">
    <w:abstractNumId w:val="65"/>
  </w:num>
  <w:num w:numId="40" w16cid:durableId="451478627">
    <w:abstractNumId w:val="13"/>
  </w:num>
  <w:num w:numId="41" w16cid:durableId="1943682810">
    <w:abstractNumId w:val="9"/>
  </w:num>
  <w:num w:numId="42" w16cid:durableId="1139684406">
    <w:abstractNumId w:val="57"/>
  </w:num>
  <w:num w:numId="43" w16cid:durableId="347220594">
    <w:abstractNumId w:val="50"/>
  </w:num>
  <w:num w:numId="44" w16cid:durableId="1254241879">
    <w:abstractNumId w:val="66"/>
  </w:num>
  <w:num w:numId="45" w16cid:durableId="926157452">
    <w:abstractNumId w:val="8"/>
  </w:num>
  <w:num w:numId="46" w16cid:durableId="397703930">
    <w:abstractNumId w:val="33"/>
  </w:num>
  <w:num w:numId="47" w16cid:durableId="154996778">
    <w:abstractNumId w:val="68"/>
  </w:num>
  <w:num w:numId="48" w16cid:durableId="652297350">
    <w:abstractNumId w:val="40"/>
  </w:num>
  <w:num w:numId="49" w16cid:durableId="715154475">
    <w:abstractNumId w:val="60"/>
  </w:num>
  <w:num w:numId="50" w16cid:durableId="1946419233">
    <w:abstractNumId w:val="64"/>
  </w:num>
  <w:num w:numId="51" w16cid:durableId="566569310">
    <w:abstractNumId w:val="63"/>
  </w:num>
  <w:num w:numId="52" w16cid:durableId="677462353">
    <w:abstractNumId w:val="62"/>
  </w:num>
  <w:num w:numId="53" w16cid:durableId="1303728165">
    <w:abstractNumId w:val="45"/>
  </w:num>
  <w:num w:numId="54" w16cid:durableId="426387829">
    <w:abstractNumId w:val="4"/>
  </w:num>
  <w:num w:numId="55" w16cid:durableId="1522161043">
    <w:abstractNumId w:val="21"/>
  </w:num>
  <w:num w:numId="56" w16cid:durableId="825166992">
    <w:abstractNumId w:val="7"/>
  </w:num>
  <w:num w:numId="57" w16cid:durableId="2000887330">
    <w:abstractNumId w:val="3"/>
  </w:num>
  <w:num w:numId="58" w16cid:durableId="1227762633">
    <w:abstractNumId w:val="47"/>
  </w:num>
  <w:num w:numId="59" w16cid:durableId="404423481">
    <w:abstractNumId w:val="59"/>
  </w:num>
  <w:num w:numId="60" w16cid:durableId="325404697">
    <w:abstractNumId w:val="36"/>
  </w:num>
  <w:num w:numId="61" w16cid:durableId="962618137">
    <w:abstractNumId w:val="17"/>
  </w:num>
  <w:num w:numId="62" w16cid:durableId="1390108512">
    <w:abstractNumId w:val="22"/>
  </w:num>
  <w:num w:numId="63" w16cid:durableId="1938322388">
    <w:abstractNumId w:val="11"/>
  </w:num>
  <w:num w:numId="64" w16cid:durableId="55207693">
    <w:abstractNumId w:val="39"/>
  </w:num>
  <w:num w:numId="65" w16cid:durableId="1832794821">
    <w:abstractNumId w:val="43"/>
  </w:num>
  <w:num w:numId="66" w16cid:durableId="1959412921">
    <w:abstractNumId w:val="24"/>
  </w:num>
  <w:num w:numId="67" w16cid:durableId="513307716">
    <w:abstractNumId w:val="70"/>
  </w:num>
  <w:num w:numId="68" w16cid:durableId="196967872">
    <w:abstractNumId w:val="69"/>
  </w:num>
  <w:num w:numId="69" w16cid:durableId="1972441292">
    <w:abstractNumId w:val="31"/>
  </w:num>
  <w:num w:numId="70" w16cid:durableId="109515046">
    <w:abstractNumId w:val="31"/>
  </w:num>
  <w:num w:numId="71" w16cid:durableId="2031370701">
    <w:abstractNumId w:val="31"/>
  </w:num>
  <w:num w:numId="72" w16cid:durableId="127818530">
    <w:abstractNumId w:val="28"/>
  </w:num>
  <w:num w:numId="73" w16cid:durableId="660086656">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84E93"/>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1880"/>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6B8"/>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756AF"/>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9D8"/>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4C7"/>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5259</Words>
  <Characters>35395</Characters>
  <Application>Microsoft Office Word</Application>
  <DocSecurity>0</DocSecurity>
  <Lines>804</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8</cp:revision>
  <cp:lastPrinted>2024-05-22T14:05:00Z</cp:lastPrinted>
  <dcterms:created xsi:type="dcterms:W3CDTF">2024-07-17T14:03:00Z</dcterms:created>
  <dcterms:modified xsi:type="dcterms:W3CDTF">2024-09-11T15:59:00Z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