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Část III.6 </w:t>
            </w:r>
          </w:p>
          <w:p w14:paraId="1C239D2C" w14:textId="25225CC9" w:rsidR="000442F5" w:rsidRPr="009916D5" w:rsidRDefault="004569F7" w:rsidP="007B485D">
            <w:pPr>
              <w:pStyle w:val="Heading2"/>
              <w:spacing w:before="240" w:after="240"/>
              <w:jc w:val="center"/>
              <w:rPr>
                <w:sz w:val="32"/>
                <w:szCs w:val="32"/>
              </w:rPr>
            </w:pPr>
            <w:r>
              <w:rPr>
                <w:sz w:val="32"/>
              </w:rPr>
              <w:t>Aktualizovaný* doplňkový informační list pro státní podporu poskytovanou podle Pokynů pro státní podporu v oblasti klimatu, životního prostředí a energetiky 2022</w:t>
            </w:r>
            <w:r>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Kapitola 4.8 – Podpora na zabezpečení dodávek elektřiny</w:t>
            </w:r>
          </w:p>
          <w:p w14:paraId="243D1A50" w14:textId="77777777" w:rsidR="004569F7" w:rsidRDefault="004569F7" w:rsidP="00A31B5C">
            <w:pPr>
              <w:jc w:val="center"/>
            </w:pPr>
          </w:p>
          <w:p w14:paraId="469DC4EF" w14:textId="68811B32" w:rsidR="004569F7" w:rsidRPr="00711243" w:rsidRDefault="004569F7" w:rsidP="00C25CA0">
            <w:pPr>
              <w:numPr>
                <w:ilvl w:val="0"/>
                <w:numId w:val="32"/>
              </w:numPr>
            </w:pPr>
            <w:r>
              <w:rPr>
                <w:highlight w:val="yellow"/>
              </w:rPr>
              <w:t>dosud formálně nepřijato</w:t>
            </w:r>
          </w:p>
        </w:tc>
      </w:tr>
    </w:tbl>
    <w:p w14:paraId="5F26D476" w14:textId="0645BA6F" w:rsidR="000442F5" w:rsidRPr="00711243" w:rsidRDefault="000442F5" w:rsidP="000442F5">
      <w:pPr>
        <w:spacing w:before="120" w:after="120"/>
        <w:ind w:right="-142"/>
        <w:jc w:val="both"/>
        <w:rPr>
          <w:i/>
          <w:iCs/>
        </w:rPr>
      </w:pPr>
      <w:r>
        <w:rPr>
          <w:i/>
        </w:rPr>
        <w:t>Tento oznamovací formulář musí být použit k oznámení podpor, na něž se vztahují Pokyny pro státní podporu v oblasti klimatu, životního prostředí a energetiky 2022 (dále jen „pokyny“).</w:t>
      </w:r>
    </w:p>
    <w:p w14:paraId="1B60656B" w14:textId="00968BE9" w:rsidR="009E2EA1" w:rsidRPr="00711243" w:rsidRDefault="0072538B" w:rsidP="009E2EA1">
      <w:pPr>
        <w:spacing w:before="120" w:after="120"/>
        <w:ind w:right="-142"/>
        <w:jc w:val="both"/>
        <w:rPr>
          <w:i/>
          <w:iCs/>
        </w:rPr>
      </w:pPr>
      <w:r>
        <w:rPr>
          <w:i/>
        </w:rPr>
        <w:t xml:space="preserve">Tento oznamovací formulář se týká opatření uvedených v kapitole 4.8 pokynů. Pokud oznámení obsahuje opatření, která spadají do více než jedné kapitoly pokynů, vyplňte také příslušný oznamovací formulář, který se týká příslušné kapitoly pokynů. </w:t>
      </w:r>
    </w:p>
    <w:p w14:paraId="05E36007" w14:textId="57A7067D" w:rsidR="009E2EA1" w:rsidRPr="00711243" w:rsidRDefault="009E2EA1" w:rsidP="009E2EA1">
      <w:pPr>
        <w:spacing w:before="120" w:after="120"/>
        <w:ind w:right="-142"/>
        <w:jc w:val="both"/>
        <w:rPr>
          <w:i/>
          <w:iCs/>
        </w:rPr>
      </w:pPr>
      <w:r>
        <w:rPr>
          <w:i/>
        </w:rPr>
        <w:t>Veškeré dokumenty, které členské státy poskytnou jako přílohy oznamovacího formuláře, musí být očíslovány a čísla dokladů musí být uvedena v příslušných oddílech tohoto oznamovacího formuláře.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Oddíl A: Shrnutí hlavních charakteristik oznámených opatření</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Souvislosti a cíl(e) oznámeného opatření (oznámených opatření)</w:t>
      </w:r>
    </w:p>
    <w:p w14:paraId="1FADA2B1" w14:textId="573EB419" w:rsidR="00FA0034" w:rsidRPr="00FA0034" w:rsidRDefault="004569F7" w:rsidP="00C25CA0">
      <w:pPr>
        <w:numPr>
          <w:ilvl w:val="0"/>
          <w:numId w:val="33"/>
        </w:numPr>
        <w:spacing w:before="120" w:after="120"/>
        <w:ind w:left="993" w:hanging="142"/>
        <w:jc w:val="both"/>
      </w:pPr>
      <w:r>
        <w:t xml:space="preserve">Pokud již nebyly projednány v oddíle 5.2 formuláře pro poskytnutí obecných informací (část I), uveďte souvislosti a hlavní cíl opatření. </w:t>
      </w:r>
    </w:p>
    <w:p w14:paraId="451635D8" w14:textId="7F94896F" w:rsidR="00FA0034" w:rsidRPr="00FA0034" w:rsidRDefault="00FA0034" w:rsidP="00FA0034">
      <w:pPr>
        <w:spacing w:before="120" w:after="120"/>
        <w:ind w:left="993"/>
        <w:jc w:val="both"/>
      </w:pPr>
      <w:r>
        <w:t>………………………………………………………………………………………..</w:t>
      </w:r>
    </w:p>
    <w:p w14:paraId="4FAD80FF" w14:textId="5736553E" w:rsidR="00B350DB" w:rsidRPr="00FA0034" w:rsidRDefault="00B350DB" w:rsidP="00C25CA0">
      <w:pPr>
        <w:numPr>
          <w:ilvl w:val="0"/>
          <w:numId w:val="33"/>
        </w:numPr>
        <w:ind w:left="993" w:hanging="142"/>
        <w:rPr>
          <w:szCs w:val="24"/>
        </w:rPr>
      </w:pPr>
      <w:r>
        <w:t xml:space="preserve">Uveďte veškeré další cíle, které opatření sleduje. U všech cílů, které se netýkají zabezpečení dodávek elektřiny či ochrany životního prostředí, vysvětlete, zda mohou vést k případným narušením vnitřního trhu. </w:t>
      </w:r>
    </w:p>
    <w:p w14:paraId="0D403939" w14:textId="77777777" w:rsidR="007366E4" w:rsidRDefault="007366E4" w:rsidP="007366E4">
      <w:pPr>
        <w:tabs>
          <w:tab w:val="left" w:leader="dot" w:pos="9072"/>
        </w:tabs>
        <w:spacing w:before="120" w:after="120"/>
        <w:ind w:left="567"/>
        <w:jc w:val="both"/>
      </w:pPr>
      <w:r>
        <w:tab/>
      </w:r>
    </w:p>
    <w:p w14:paraId="59CBFA17" w14:textId="3CA0BE29" w:rsidR="005A412F" w:rsidRPr="00711243" w:rsidRDefault="008514DC" w:rsidP="00C52CFD">
      <w:pPr>
        <w:pStyle w:val="ListParagraph"/>
        <w:numPr>
          <w:ilvl w:val="0"/>
          <w:numId w:val="4"/>
        </w:numPr>
        <w:spacing w:before="120" w:after="120"/>
        <w:ind w:left="567" w:hanging="567"/>
        <w:contextualSpacing w:val="0"/>
        <w:jc w:val="both"/>
      </w:pPr>
      <w:r>
        <w:rPr>
          <w:b/>
        </w:rPr>
        <w:t>Vstup v platnost a doba platnosti</w:t>
      </w:r>
      <w:r>
        <w:t>:</w:t>
      </w:r>
    </w:p>
    <w:p w14:paraId="3951E532" w14:textId="5BB35D03" w:rsidR="00FD5F79" w:rsidRPr="00FA6EB5" w:rsidRDefault="00FA6EB5" w:rsidP="00C25CA0">
      <w:pPr>
        <w:numPr>
          <w:ilvl w:val="0"/>
          <w:numId w:val="37"/>
        </w:numPr>
        <w:rPr>
          <w:szCs w:val="24"/>
        </w:rPr>
      </w:pPr>
      <w:r>
        <w:t>Uveďte datum plánovaného vstupu opatření v platnost, není-li již uvedeno v oddíle 5.5 formuláře pro poskytnutí obecných informací (část I).</w:t>
      </w:r>
    </w:p>
    <w:p w14:paraId="7DB33CA8" w14:textId="1BA7B70D" w:rsidR="00C90797" w:rsidRPr="00564D5B" w:rsidRDefault="00564D5B" w:rsidP="00564D5B">
      <w:pPr>
        <w:tabs>
          <w:tab w:val="left" w:leader="dot" w:pos="9072"/>
        </w:tabs>
        <w:spacing w:before="120" w:after="120"/>
        <w:ind w:left="567"/>
        <w:jc w:val="both"/>
      </w:pPr>
      <w:r>
        <w:tab/>
      </w:r>
    </w:p>
    <w:p w14:paraId="4062F237" w14:textId="3A567444" w:rsidR="00175C89" w:rsidRPr="006B1712" w:rsidRDefault="00DB40A5" w:rsidP="00C25CA0">
      <w:pPr>
        <w:pStyle w:val="ListParagraph"/>
        <w:numPr>
          <w:ilvl w:val="0"/>
          <w:numId w:val="37"/>
        </w:numPr>
        <w:spacing w:after="240"/>
        <w:ind w:left="993" w:hanging="142"/>
        <w:jc w:val="both"/>
        <w:rPr>
          <w:szCs w:val="24"/>
        </w:rPr>
      </w:pPr>
      <w:r>
        <w:t>Uveďte dobu trvání opatření</w:t>
      </w:r>
      <w:r>
        <w:rPr>
          <w:rStyle w:val="FootnoteReference"/>
          <w:szCs w:val="24"/>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Příjemce/příjemci:</w:t>
      </w:r>
      <w:r>
        <w:tab/>
      </w:r>
    </w:p>
    <w:p w14:paraId="0B353EA4" w14:textId="460FB4A4" w:rsidR="00BC5DDD" w:rsidRPr="00F35B92" w:rsidRDefault="00F35B92" w:rsidP="00C25CA0">
      <w:pPr>
        <w:numPr>
          <w:ilvl w:val="0"/>
          <w:numId w:val="20"/>
        </w:numPr>
        <w:ind w:left="993" w:hanging="142"/>
        <w:rPr>
          <w:szCs w:val="24"/>
        </w:rPr>
      </w:pPr>
      <w:r>
        <w:t>Popište (potenciálního) (potenciální) příjemce opatření, nejsou-li již uvedeni v oddíle 3 formuláře pro poskytnutí obecných informací (část I).</w:t>
      </w:r>
    </w:p>
    <w:p w14:paraId="00812A82" w14:textId="53322933" w:rsidR="00C90797" w:rsidRPr="00564D5B" w:rsidRDefault="00564D5B" w:rsidP="00AD6217">
      <w:pPr>
        <w:tabs>
          <w:tab w:val="left" w:leader="dot" w:pos="9072"/>
        </w:tabs>
        <w:spacing w:before="120" w:after="120"/>
        <w:ind w:left="567"/>
        <w:jc w:val="both"/>
      </w:pPr>
      <w:r>
        <w:tab/>
      </w:r>
      <w:r>
        <w:tab/>
      </w:r>
    </w:p>
    <w:p w14:paraId="06F08713" w14:textId="71A80B39" w:rsidR="00F33CC0" w:rsidRPr="00C55D4C" w:rsidRDefault="00DB40A5" w:rsidP="00C25CA0">
      <w:pPr>
        <w:numPr>
          <w:ilvl w:val="0"/>
          <w:numId w:val="20"/>
        </w:numPr>
        <w:ind w:left="993" w:hanging="142"/>
        <w:rPr>
          <w:szCs w:val="24"/>
        </w:rPr>
      </w:pPr>
      <w:r>
        <w:t>Uveďte umístění příjemce (příjemců) (tj. zda se opatření mohou účastnit pouze hospodářské subjekty nacházející se v příslušných členských státech nebo i v jiných členských státech).</w:t>
      </w:r>
    </w:p>
    <w:p w14:paraId="089CCFA6" w14:textId="4CFFDCA9" w:rsidR="003151F7" w:rsidRDefault="000442F5" w:rsidP="00B22D69">
      <w:pPr>
        <w:tabs>
          <w:tab w:val="left" w:leader="dot" w:pos="9072"/>
        </w:tabs>
        <w:spacing w:before="120" w:after="120"/>
        <w:ind w:left="567"/>
        <w:jc w:val="both"/>
      </w:pPr>
      <w:r>
        <w:tab/>
      </w:r>
      <w:r>
        <w:tab/>
      </w:r>
    </w:p>
    <w:p w14:paraId="27DDBE9A" w14:textId="31BD385F" w:rsidR="00E4424D" w:rsidRDefault="003C33B1" w:rsidP="00C25CA0">
      <w:pPr>
        <w:numPr>
          <w:ilvl w:val="0"/>
          <w:numId w:val="20"/>
        </w:numPr>
        <w:ind w:left="993" w:hanging="142"/>
        <w:rPr>
          <w:szCs w:val="24"/>
        </w:rPr>
      </w:pPr>
      <w: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V případě kladné odpovědi uveďte informace o částce podpory, která má být ještě navrácena, aby ji Komise mohla zohlednit při posuzování oznámeného opatření.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lastRenderedPageBreak/>
        <w:t>Potvrďte, že opatření nezahrnuje (opatření nezahrnují) podporu na činnosti, které nespadají do oblasti působnosti pokynů (viz bod 13 pokynů). V opačném případě uveďte podrobnosti.</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Rozpočet</w:t>
      </w:r>
    </w:p>
    <w:p w14:paraId="52B28A95" w14:textId="51E3B41D" w:rsidR="00115C85" w:rsidRPr="00B22D69" w:rsidRDefault="00B22D69" w:rsidP="00C25CA0">
      <w:pPr>
        <w:pStyle w:val="ListParagraph"/>
        <w:numPr>
          <w:ilvl w:val="0"/>
          <w:numId w:val="21"/>
        </w:numPr>
        <w:spacing w:before="120" w:after="120"/>
        <w:ind w:left="993" w:hanging="284"/>
        <w:contextualSpacing w:val="0"/>
        <w:jc w:val="both"/>
        <w:rPr>
          <w:rFonts w:cs="Arial Unicode MS"/>
          <w:bCs/>
        </w:rPr>
      </w:pPr>
      <w:r>
        <w:t>Pokud již není uveden v tabulce v oddíle 7.1 formuláře pro poskytnutí obecných informací (část I), uveďte roční a/nebo celkový rozpočet na celou dobu trvání opatření; pokud celkový rozpočet není znám (například proto, že závisí na výsledcích nabídkových řízení), uveďte odhadovaný rozpočet, včetně předpokladů použitých k výpočtu příslušného odhadovaného rozpočtu.</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Oddíl B: Posouzení slučitelnosti podpory</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25CA0">
            <w:pPr>
              <w:pStyle w:val="Heading1"/>
              <w:numPr>
                <w:ilvl w:val="0"/>
                <w:numId w:val="22"/>
              </w:numPr>
              <w:rPr>
                <w:i/>
                <w:sz w:val="28"/>
                <w:szCs w:val="28"/>
              </w:rPr>
            </w:pPr>
            <w:r>
              <w:rPr>
                <w:i/>
                <w:sz w:val="28"/>
              </w:rPr>
              <w:t>Pozitivní podmínka: podpora musí usnadňovat rozvoj určité hospodářské činnosti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C25CA0">
            <w:pPr>
              <w:pStyle w:val="Heading1"/>
              <w:numPr>
                <w:ilvl w:val="1"/>
                <w:numId w:val="22"/>
              </w:numPr>
              <w:rPr>
                <w:sz w:val="24"/>
                <w:szCs w:val="24"/>
              </w:rPr>
            </w:pPr>
            <w:r>
              <w:rPr>
                <w:sz w:val="24"/>
              </w:rPr>
              <w:t>Příspěvek k rozvoji určité hospodářské činnosti</w:t>
            </w:r>
          </w:p>
        </w:tc>
      </w:tr>
    </w:tbl>
    <w:p w14:paraId="1E2599D2" w14:textId="044F1BE7" w:rsidR="000442F5" w:rsidRPr="00DB40A5" w:rsidRDefault="000442F5" w:rsidP="000442F5">
      <w:pPr>
        <w:spacing w:before="360" w:after="120"/>
        <w:jc w:val="both"/>
        <w:rPr>
          <w:i/>
        </w:rPr>
      </w:pPr>
      <w:r>
        <w:rPr>
          <w:i/>
        </w:rPr>
        <w:t xml:space="preserve">Pro poskytnutí informací v tomto oddíle viz oddíl 3.1.1 (body 23–25) a </w:t>
      </w:r>
      <w:r>
        <w:rPr>
          <w:i/>
          <w:color w:val="000000"/>
        </w:rPr>
        <w:t>oddíly 4.8.1 a 4.8.2 (body 325 až 328)</w:t>
      </w:r>
      <w:r>
        <w:rPr>
          <w:i/>
        </w:rPr>
        <w:t xml:space="preserve"> pokynů. </w:t>
      </w:r>
    </w:p>
    <w:p w14:paraId="05FCD0A3" w14:textId="3E161E71" w:rsidR="00864DCD" w:rsidRPr="00DB40A5" w:rsidRDefault="006B6657" w:rsidP="00C52CFD">
      <w:pPr>
        <w:pStyle w:val="ListParagraph"/>
        <w:numPr>
          <w:ilvl w:val="0"/>
          <w:numId w:val="4"/>
        </w:numPr>
        <w:spacing w:before="120" w:after="120"/>
        <w:ind w:left="567" w:hanging="567"/>
        <w:contextualSpacing w:val="0"/>
        <w:jc w:val="both"/>
      </w:pPr>
      <w:r>
        <w:t>Ustanovení čl. 107 odst. 3 písm. c) Smlouvy o fungování EU (SFEU) stanoví, že Komise může prohlásit za slučitelné „</w:t>
      </w:r>
      <w:r>
        <w:rPr>
          <w:i/>
        </w:rPr>
        <w:t>podpory, které mají usnadnit rozvoj určitých hospodářských činností nebo hospodářských oblastí, pokud nemění podmínky obchodu v takové míře, jež by byla v rozporu se společným zájmem</w:t>
      </w:r>
      <w:r>
        <w:t xml:space="preserve">.“ Slučitelné podpory podle tohoto ustanovení SFEU proto musí přispívat k rozvoji určité hospodářské činnosti. </w:t>
      </w:r>
    </w:p>
    <w:p w14:paraId="78AC4A6E" w14:textId="5DA81B01" w:rsidR="00EE2FCC" w:rsidRPr="00864DCD" w:rsidRDefault="00EE56DD" w:rsidP="00EE56DD">
      <w:pPr>
        <w:pStyle w:val="ListParagraph"/>
        <w:spacing w:before="120" w:after="120"/>
        <w:ind w:left="567"/>
        <w:contextualSpacing w:val="0"/>
        <w:jc w:val="both"/>
      </w:pPr>
      <w:r>
        <w:t>Za účelem posouzení souladu s bodem 23 pokynů identifikujte hospodářské činnosti, které budou v důsledku podpory usnadněny, a způsob, jakým je podporován rozvoj těchto činností. V bodě 328 pokynů jsou uvedeny příklady takových hospodářských činností týkajících se opatření zaměřených na zvýšení bezpečnosti dodávek elektřiny.</w:t>
      </w:r>
    </w:p>
    <w:p w14:paraId="43E4572F" w14:textId="77777777" w:rsidR="000442F5" w:rsidRPr="00864DCD" w:rsidRDefault="000442F5" w:rsidP="000442F5">
      <w:pPr>
        <w:tabs>
          <w:tab w:val="left" w:leader="dot" w:pos="9072"/>
        </w:tabs>
        <w:spacing w:before="120" w:after="120"/>
        <w:ind w:left="567"/>
        <w:jc w:val="both"/>
      </w:pPr>
      <w:r>
        <w:tab/>
      </w:r>
    </w:p>
    <w:p w14:paraId="44207947" w14:textId="4F8D6EAA" w:rsidR="00D72D27" w:rsidRPr="00864DCD" w:rsidRDefault="00EE56DD" w:rsidP="00034A1B">
      <w:pPr>
        <w:pStyle w:val="ListParagraph"/>
        <w:numPr>
          <w:ilvl w:val="0"/>
          <w:numId w:val="4"/>
        </w:numPr>
        <w:spacing w:before="120" w:after="120"/>
        <w:ind w:left="567" w:hanging="567"/>
        <w:contextualSpacing w:val="0"/>
        <w:jc w:val="both"/>
      </w:pPr>
      <w:r>
        <w:t>Za účelem posouzení souladu s bodem 25 pokynů popište, „</w:t>
      </w:r>
      <w:r>
        <w:rPr>
          <w:i/>
        </w:rPr>
        <w:t>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Popište požadavky, které se na příjemce vztahují (například uvedením všech technických, environmentálních (tj. povolení), finančních (tj. zajištění) nebo jiných požadavků, které musí příjemce (příjemci) splnit).</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Uveďte informace o odůvodnění opatření, jak je uvedeno v oddíle 4.8.1. (bod 325) pokynů.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Uveďte informace o rozsahu opatření, jak je uvedeno v oddíle 4.8.2. (body 326–327) pokynů.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37330726" w14:textId="60204944" w:rsidR="00143ABF" w:rsidRDefault="00143ABF" w:rsidP="00E1791B">
      <w:pPr>
        <w:ind w:left="-567" w:firstLine="1412"/>
      </w:pPr>
    </w:p>
    <w:p w14:paraId="51A79F5A" w14:textId="77777777" w:rsidR="00143ABF" w:rsidRDefault="00143ABF" w:rsidP="00E1791B">
      <w:pPr>
        <w:ind w:left="-567" w:firstLine="1412"/>
      </w:pPr>
    </w:p>
    <w:p w14:paraId="61F68589" w14:textId="77777777" w:rsidR="00DD6E86" w:rsidRDefault="00DD6E86" w:rsidP="00E1791B">
      <w:pPr>
        <w:ind w:left="-567" w:firstLine="1412"/>
      </w:pPr>
    </w:p>
    <w:p w14:paraId="750DB00D" w14:textId="77777777" w:rsidR="00DD6E86" w:rsidRDefault="00DD6E86" w:rsidP="00E1791B">
      <w:pPr>
        <w:ind w:left="-567" w:firstLine="1412"/>
      </w:pP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C25CA0">
            <w:pPr>
              <w:pStyle w:val="Heading1"/>
              <w:numPr>
                <w:ilvl w:val="1"/>
                <w:numId w:val="22"/>
              </w:numPr>
              <w:rPr>
                <w:sz w:val="24"/>
                <w:szCs w:val="24"/>
              </w:rPr>
            </w:pPr>
            <w:r>
              <w:rPr>
                <w:sz w:val="24"/>
              </w:rPr>
              <w:lastRenderedPageBreak/>
              <w:t>Motivační účinek</w:t>
            </w:r>
          </w:p>
        </w:tc>
      </w:tr>
    </w:tbl>
    <w:p w14:paraId="20915284" w14:textId="14126DC4" w:rsidR="00015E2B" w:rsidRPr="00A05235" w:rsidRDefault="00B15313" w:rsidP="00015E2B">
      <w:pPr>
        <w:spacing w:before="360" w:after="120"/>
        <w:jc w:val="both"/>
        <w:rPr>
          <w:i/>
        </w:rPr>
      </w:pPr>
      <w:r>
        <w:rPr>
          <w:i/>
        </w:rPr>
        <w:t xml:space="preserve">Pro poskytnutí informací v tomto oddíle viz bod 329 a oddíl 3.1.2 (body 29–32) pokynů. </w:t>
      </w:r>
    </w:p>
    <w:p w14:paraId="78A49F12" w14:textId="5BC4A051" w:rsidR="00C14706" w:rsidRPr="00471B74" w:rsidRDefault="00FC1BCC" w:rsidP="000522D3">
      <w:pPr>
        <w:pStyle w:val="ListParagraph"/>
        <w:numPr>
          <w:ilvl w:val="0"/>
          <w:numId w:val="4"/>
        </w:numPr>
        <w:spacing w:before="120" w:after="120"/>
        <w:ind w:left="567" w:hanging="567"/>
        <w:contextualSpacing w:val="0"/>
        <w:jc w:val="both"/>
      </w:pPr>
      <w:r>
        <w:t>Za účelem prokázání souladu s body 29 a 31 pokynů:</w:t>
      </w:r>
    </w:p>
    <w:p w14:paraId="48499390" w14:textId="47E7D7F7" w:rsidR="006445C3" w:rsidRPr="00471B74" w:rsidRDefault="00677805" w:rsidP="00C25CA0">
      <w:pPr>
        <w:pStyle w:val="ListParagraph"/>
        <w:numPr>
          <w:ilvl w:val="0"/>
          <w:numId w:val="23"/>
        </w:numPr>
        <w:spacing w:before="120" w:after="120"/>
        <w:ind w:left="993" w:hanging="284"/>
        <w:contextualSpacing w:val="0"/>
        <w:jc w:val="both"/>
      </w:pPr>
      <w:r>
        <w:t>potvrďte, že práce na projektu nebo činnosti nebyly zahájeny dříve, než příjemce podal písemnou žádost o podporu vnitrostátním orgánům.</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471B74" w:rsidRDefault="006445C3" w:rsidP="006445C3">
      <w:pPr>
        <w:pStyle w:val="ListParagraph"/>
        <w:spacing w:before="120" w:after="120"/>
        <w:ind w:left="993"/>
        <w:contextualSpacing w:val="0"/>
        <w:jc w:val="both"/>
      </w:pPr>
      <w:r>
        <w:t>NEBO</w:t>
      </w:r>
    </w:p>
    <w:p w14:paraId="0252AF86" w14:textId="2507B978" w:rsidR="000442F5" w:rsidRPr="00F53942" w:rsidRDefault="008514DC" w:rsidP="00C25CA0">
      <w:pPr>
        <w:pStyle w:val="ListParagraph"/>
        <w:numPr>
          <w:ilvl w:val="0"/>
          <w:numId w:val="23"/>
        </w:numPr>
        <w:spacing w:before="120" w:after="120"/>
        <w:ind w:left="993" w:hanging="284"/>
        <w:contextualSpacing w:val="0"/>
        <w:jc w:val="both"/>
      </w:pPr>
      <w:r>
        <w:t xml:space="preserve">V případě projektů, které byly zahájeny před podáním žádosti o podporu, prokažte, že projekt spadá do jednoho z výjimečných případů uvedených v bodě 31 pokynů (písm. a), b) nebo c)). </w:t>
      </w:r>
    </w:p>
    <w:p w14:paraId="76275A84" w14:textId="77777777" w:rsidR="00FC1BCC" w:rsidRPr="00864DCD" w:rsidRDefault="00FC1BCC" w:rsidP="00FC1BCC">
      <w:pPr>
        <w:tabs>
          <w:tab w:val="left" w:leader="dot" w:pos="9072"/>
        </w:tabs>
        <w:spacing w:before="120" w:after="120"/>
        <w:ind w:left="567"/>
        <w:jc w:val="both"/>
      </w:pPr>
      <w:r>
        <w:tab/>
      </w:r>
    </w:p>
    <w:p w14:paraId="02234E9B" w14:textId="77777777" w:rsidR="008514DC" w:rsidRPr="00F53942" w:rsidRDefault="008514DC" w:rsidP="008514DC">
      <w:pPr>
        <w:numPr>
          <w:ilvl w:val="0"/>
          <w:numId w:val="4"/>
        </w:numPr>
        <w:spacing w:before="120" w:after="120"/>
        <w:ind w:left="567" w:hanging="567"/>
        <w:jc w:val="both"/>
      </w:pPr>
      <w:r>
        <w:t>Za účelem prokázání souladu s bodem 30 pokynů potvrďte, že žádost o podporu obsahuje alespoň jméno žadatele, popis projektu nebo činnosti, včetně jejich umístění, a výši podpory potřebné k jejich provedení.</w:t>
      </w:r>
    </w:p>
    <w:p w14:paraId="1F8B3AF2" w14:textId="77777777" w:rsidR="008514DC" w:rsidRPr="00991FAA" w:rsidRDefault="008514DC" w:rsidP="008514DC">
      <w:pPr>
        <w:tabs>
          <w:tab w:val="left" w:leader="dot" w:pos="9072"/>
        </w:tabs>
        <w:spacing w:before="120" w:after="120"/>
        <w:ind w:left="567"/>
        <w:jc w:val="both"/>
      </w:pPr>
      <w:r>
        <w:tab/>
      </w:r>
    </w:p>
    <w:p w14:paraId="3C6B372C" w14:textId="40283976" w:rsidR="00305DC0" w:rsidRPr="00034A1B" w:rsidRDefault="00305DC0" w:rsidP="008D3BAA">
      <w:pPr>
        <w:pStyle w:val="ListParagraph"/>
        <w:numPr>
          <w:ilvl w:val="0"/>
          <w:numId w:val="4"/>
        </w:numPr>
        <w:spacing w:before="120" w:after="120"/>
        <w:ind w:left="567" w:hanging="567"/>
        <w:contextualSpacing w:val="0"/>
        <w:jc w:val="both"/>
      </w:pPr>
      <w:r>
        <w:t>Za účelem prokázání souladu s bodem 32 pokynů uveďte, zda pro oznámené opatření platí normy Unie</w:t>
      </w:r>
      <w:r>
        <w:rPr>
          <w:rStyle w:val="FootnoteReference"/>
          <w:lang w:val="en-IE" w:eastAsia="en-GB"/>
        </w:rPr>
        <w:footnoteReference w:id="5"/>
      </w:r>
      <w:r>
        <w:t xml:space="preserve">, povinné vnitrostátní normy, které jsou přísnější nebo ambicióznější než odpovídající normy Unie, nebo povinné vnitrostátní normy přijaté v případě neexistence norem Unie. V této souvislosti uveďte informace, které prokazují motivační účinek. </w:t>
      </w:r>
    </w:p>
    <w:p w14:paraId="36FD6157" w14:textId="31E041BD" w:rsidR="00EE13D5" w:rsidRPr="00034A1B" w:rsidRDefault="00EE13D5" w:rsidP="00034A1B">
      <w:pPr>
        <w:pStyle w:val="ListParagraph"/>
        <w:spacing w:before="120" w:after="120"/>
        <w:ind w:left="567"/>
        <w:contextualSpacing w:val="0"/>
        <w:jc w:val="both"/>
      </w:pPr>
      <w:r>
        <w:t>…………………………………………………………………………………………….</w:t>
      </w:r>
    </w:p>
    <w:p w14:paraId="1C2FA2EA" w14:textId="1ACF6A7F" w:rsidR="008D3BAA" w:rsidRPr="0025374D" w:rsidRDefault="008D3BAA" w:rsidP="00034A1B">
      <w:pPr>
        <w:pStyle w:val="ListParagraph"/>
        <w:numPr>
          <w:ilvl w:val="0"/>
          <w:numId w:val="4"/>
        </w:numPr>
        <w:spacing w:before="120" w:after="120"/>
        <w:ind w:left="567" w:hanging="567"/>
        <w:contextualSpacing w:val="0"/>
        <w:jc w:val="both"/>
      </w:pPr>
      <w:r>
        <w:t>V případech, kdy byla příslušná norma Unie již přijata, ale zatím nevstoupila v platnost, prokažte, že podpora má motivační účinek, neboť motivuje k provedení a dokončení investice alespoň 18 měsíců před vstupem normy v platnost.</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C25CA0">
            <w:pPr>
              <w:pStyle w:val="Heading1"/>
              <w:numPr>
                <w:ilvl w:val="1"/>
                <w:numId w:val="22"/>
              </w:numPr>
              <w:rPr>
                <w:sz w:val="24"/>
                <w:szCs w:val="24"/>
              </w:rPr>
            </w:pPr>
            <w:r>
              <w:rPr>
                <w:sz w:val="24"/>
              </w:rPr>
              <w:t>Nedošlo k porušení žádného příslušného ustanovení práva Unie</w:t>
            </w:r>
          </w:p>
        </w:tc>
      </w:tr>
    </w:tbl>
    <w:p w14:paraId="665FE026" w14:textId="7D0593B2" w:rsidR="00DE1D68" w:rsidRDefault="00DE1D68" w:rsidP="00DE1D68">
      <w:pPr>
        <w:spacing w:before="360" w:after="120"/>
        <w:jc w:val="both"/>
        <w:rPr>
          <w:i/>
        </w:rPr>
      </w:pPr>
      <w:r>
        <w:rPr>
          <w:i/>
        </w:rPr>
        <w:t xml:space="preserve">Pro poskytnutí informací v tomto oddíle viz oddíl 3.1.3 (bod 33 pokynů). </w:t>
      </w:r>
    </w:p>
    <w:p w14:paraId="1FE0FFEF" w14:textId="1B65FA08" w:rsidR="009E7959" w:rsidRDefault="0023543E" w:rsidP="009E7959">
      <w:pPr>
        <w:pStyle w:val="ListParagraph"/>
        <w:numPr>
          <w:ilvl w:val="0"/>
          <w:numId w:val="4"/>
        </w:numPr>
        <w:spacing w:before="120" w:after="120"/>
        <w:ind w:left="567" w:hanging="567"/>
        <w:contextualSpacing w:val="0"/>
        <w:jc w:val="both"/>
      </w:pPr>
      <w:r>
        <w:lastRenderedPageBreak/>
        <w:t xml:space="preserve">Poskytněte informace potvrzující soulad s příslušnými ustanoveními právních předpisů EU v souladu s bodem 33 pokynů (viz například otázku </w:t>
      </w:r>
      <w:r>
        <w:rPr>
          <w:highlight w:val="yellow"/>
        </w:rPr>
        <w:fldChar w:fldCharType="begin"/>
      </w:r>
      <w:r>
        <w:instrText xml:space="preserve"> REF _Ref169096013 \r \h </w:instrText>
      </w:r>
      <w:r>
        <w:rPr>
          <w:highlight w:val="yellow"/>
        </w:rPr>
      </w:r>
      <w:r>
        <w:rPr>
          <w:highlight w:val="yellow"/>
        </w:rPr>
        <w:fldChar w:fldCharType="separate"/>
      </w:r>
      <w:r>
        <w:t>49</w:t>
      </w:r>
      <w:r>
        <w:rPr>
          <w:highlight w:val="yellow"/>
        </w:rPr>
        <w:fldChar w:fldCharType="end"/>
      </w:r>
      <w:r>
        <w:t xml:space="preserve"> týkající se nařízení (EU)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Pokud se k financování opatření používá poplatek (viz otázka 54 níže), upřesněte, zda:</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2B7718">
      <w:pPr>
        <w:pStyle w:val="ListParagraph"/>
        <w:numPr>
          <w:ilvl w:val="1"/>
          <w:numId w:val="4"/>
        </w:numPr>
        <w:spacing w:before="120" w:after="120"/>
        <w:contextualSpacing w:val="0"/>
        <w:jc w:val="both"/>
        <w:rPr>
          <w:rFonts w:cs="Arial Unicode MS"/>
          <w:bCs/>
        </w:rPr>
      </w:pPr>
      <w:bookmarkStart w:id="2" w:name="_Hlk160796179"/>
      <w:r>
        <w:t>je poplatek uvalen rovnoměrně na domácí i dovážené výrobky;</w:t>
      </w:r>
    </w:p>
    <w:bookmarkEnd w:id="2"/>
    <w:p w14:paraId="331D32BF" w14:textId="77777777" w:rsidR="002B7718" w:rsidRDefault="002B7718" w:rsidP="002B7718">
      <w:pPr>
        <w:tabs>
          <w:tab w:val="left" w:leader="dot" w:pos="9072"/>
        </w:tabs>
        <w:spacing w:before="120" w:after="120"/>
        <w:ind w:left="927"/>
        <w:jc w:val="both"/>
      </w:pPr>
      <w:r>
        <w:tab/>
      </w:r>
    </w:p>
    <w:p w14:paraId="0230AB3F" w14:textId="2E9A6ECD" w:rsidR="002B7718" w:rsidRDefault="002B7718" w:rsidP="002B7718">
      <w:pPr>
        <w:pStyle w:val="ListParagraph"/>
        <w:numPr>
          <w:ilvl w:val="1"/>
          <w:numId w:val="4"/>
        </w:numPr>
        <w:spacing w:before="120" w:after="120"/>
        <w:contextualSpacing w:val="0"/>
        <w:jc w:val="both"/>
        <w:rPr>
          <w:rFonts w:cs="Arial Unicode MS"/>
          <w:bCs/>
        </w:rPr>
      </w:pPr>
      <w:bookmarkStart w:id="3" w:name="_Hlk160796245"/>
      <w:r>
        <w:t>z oznámeného opatření budou mít stejný prospěch domácí i dovážené výrobky.</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25CA0">
            <w:pPr>
              <w:pStyle w:val="Heading1"/>
              <w:numPr>
                <w:ilvl w:val="0"/>
                <w:numId w:val="22"/>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566812D0" w:rsidR="00164ADE" w:rsidRPr="009433B5" w:rsidRDefault="009433B5" w:rsidP="009433B5">
            <w:pPr>
              <w:pStyle w:val="Heading1"/>
              <w:ind w:left="1440"/>
              <w:jc w:val="left"/>
              <w:rPr>
                <w:iCs/>
                <w:color w:val="000000"/>
                <w:sz w:val="28"/>
                <w:szCs w:val="28"/>
              </w:rPr>
            </w:pPr>
            <w:r>
              <w:rPr>
                <w:color w:val="000000"/>
                <w:sz w:val="24"/>
              </w:rPr>
              <w:t xml:space="preserve">2.1. Minimalizace narušení hospodářské soutěže a obchodu </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C25CA0">
            <w:pPr>
              <w:pStyle w:val="Heading1"/>
              <w:numPr>
                <w:ilvl w:val="2"/>
                <w:numId w:val="22"/>
              </w:numPr>
              <w:rPr>
                <w:color w:val="000000"/>
                <w:sz w:val="24"/>
                <w:szCs w:val="24"/>
              </w:rPr>
            </w:pPr>
            <w:r>
              <w:rPr>
                <w:color w:val="000000"/>
                <w:sz w:val="24"/>
              </w:rPr>
              <w:t>Nezbytnost podpory</w:t>
            </w:r>
          </w:p>
        </w:tc>
      </w:tr>
    </w:tbl>
    <w:p w14:paraId="3C23674F" w14:textId="79C4B802" w:rsidR="00663008" w:rsidRPr="00F83660" w:rsidRDefault="00663008" w:rsidP="00663008">
      <w:pPr>
        <w:spacing w:before="360" w:after="120"/>
        <w:jc w:val="both"/>
        <w:rPr>
          <w:i/>
          <w:color w:val="000000"/>
        </w:rPr>
      </w:pPr>
      <w:r>
        <w:rPr>
          <w:i/>
        </w:rPr>
        <w:t>Pro poskytnutí informací v tomto oddíle viz oddíl 4.8.4.1 (body 331–339) pokynů.</w:t>
      </w:r>
      <w:r>
        <w:rPr>
          <w:i/>
          <w:color w:val="000000"/>
        </w:rPr>
        <w:t xml:space="preserve">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V bodě 331 pokynů je uvedeno, že je nezbytné řádně analyzovat a vyčíslit povahu a příčiny problému s bezpečností dodávek elektrické energie, a tím i potřebu státní podpory k zajištění bezpečnosti dodávek elektrické energie, včetně toho, kdy a kde problém podle očekávání nastane, případně s odkazem na normu spolehlivosti definovanou v článku 25 nařízení (EU) 2019/943.</w:t>
      </w:r>
      <w:bookmarkEnd w:id="4"/>
    </w:p>
    <w:p w14:paraId="1ABC600C" w14:textId="174FCB8E" w:rsidR="00CD4EC7" w:rsidRDefault="00DD7F4B" w:rsidP="00A32872">
      <w:pPr>
        <w:pStyle w:val="ListParagraph"/>
        <w:spacing w:before="120" w:after="120"/>
        <w:ind w:left="567"/>
        <w:contextualSpacing w:val="0"/>
        <w:jc w:val="both"/>
      </w:pPr>
      <w:r>
        <w:t xml:space="preserve">Poskytněte analýzu, která identifikuje a kvantifikuje problém bezpečnosti dodávek elektřiny. V odpovědi poskytněte informace týkající se aspektů uvedených v bodech 331–333 pokynů.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V souladu s bodem 334 pokynů a v případě opatření souvisejících s rizikem elektroenergetických krizí uveďte vnitrostátní plán rizikové připravenosti podle článku 11 nařízení (EU) 2019/941, v němž by mělo být navrhované opatření uvedeno.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V souladu s bodem 335 pokynů a v případě návrhu na zavedení několika opatření zaměřených na bezpečnost dodávek elektrické energie, jasně vysvětlete, jak tato opatření vzájemně interagují při zajišťování celkové nákladové efektivnosti kombinovaných opatření pro zajištění bezpečnosti dodávek, například pokud jde o kapacitní mechanismy, vysvětlením, jak dosahují (ale nepřekračují) normu spolehlivosti uvedenou v bodě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V souladu s bodem 336 pokynů určete selhání regulace nebo trhu, případně jakékoli další problémy bránící dosahování dostatečné úrovně bezpečnosti dodávek elektrické energie (a případně ochrany životního prostředí) v případě neexistence zásahu.</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V souladu s bodem 337 pokynů uveďte stávající opatření, která se již zaměřují na selhání trhu nebo regulace či jiné problémy uvedené v bodě 336. V případě potřeby můžete odkázat na důkazy, které jste již poskytli v odpovědi na výše uvedenou otázku </w:t>
      </w:r>
      <w:r>
        <w:fldChar w:fldCharType="begin"/>
      </w:r>
      <w:r>
        <w:instrText xml:space="preserve"> REF _Ref167812746 \r \h </w:instrText>
      </w:r>
      <w:r>
        <w:fldChar w:fldCharType="separate"/>
      </w:r>
      <w:r>
        <w:t>16</w:t>
      </w:r>
      <w:r>
        <w:fldChar w:fldCharType="end"/>
      </w:r>
      <w:r>
        <w:t>.</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V souladu s článkem 338 předložte jasné důvody, proč nelze očekávat, že trh bez státní podpory zajistí bezpečnost dodávek elektřiny sám, s přihlédnutím k reformám trhu a zlepšením plánovaným daným členským státem a k technologickému vývoji.</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Poskytněte tyto informace uvedené v bodě 339 pokynů:</w:t>
      </w:r>
    </w:p>
    <w:p w14:paraId="22B1B19C" w14:textId="02BC0A6D" w:rsidR="001F444E" w:rsidRDefault="00CC02E1" w:rsidP="0013713F">
      <w:pPr>
        <w:pStyle w:val="ListParagraph"/>
        <w:numPr>
          <w:ilvl w:val="1"/>
          <w:numId w:val="4"/>
        </w:numPr>
        <w:spacing w:after="240"/>
        <w:ind w:left="1134" w:hanging="283"/>
        <w:jc w:val="both"/>
      </w:pPr>
      <w:r>
        <w:t xml:space="preserve">Posouzení dopadu proměnlivého objemu výroby energie, včetně objemu výroby pocházejícího ze sousedních soustav.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t>Posouzení dopadu účasti subjektů na straně poptávky a ukládání, včetně popisu opatření na podporu řízení poptávky.</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Posouzení skutečné nebo potenciální existence propojovacích vedení a významné vnitřní infrastruktury přenosových sítí včetně popisu prováděných a plánovaných projektů.</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Posouzení všech ostatních prvků, které mohou vyvolat či prohloubit problém bezpečnosti dodávek elektřiny, např. stropy velkoobchodních cen nebo jiná selhání regulace nebo trhu. Případně uveďte a zohledněte plán provádění opatření k odstranění zjištěných narušení regulace nebo selhání trhu, jakož i stanovisko Komise k tomuto plánu provádění podle čl. 20 odst. 3 a 5 nařízení (EU)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Veškerý relevantní obsah akčního plánu podle článku 15 nařízení (EU)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C25CA0">
            <w:pPr>
              <w:pStyle w:val="Heading1"/>
              <w:numPr>
                <w:ilvl w:val="2"/>
                <w:numId w:val="22"/>
              </w:numPr>
              <w:rPr>
                <w:color w:val="000000"/>
                <w:sz w:val="24"/>
                <w:szCs w:val="24"/>
              </w:rPr>
            </w:pPr>
            <w:r>
              <w:rPr>
                <w:color w:val="000000"/>
                <w:sz w:val="24"/>
              </w:rPr>
              <w:t>Vhodnost</w:t>
            </w:r>
          </w:p>
        </w:tc>
      </w:tr>
    </w:tbl>
    <w:p w14:paraId="4C2D927B" w14:textId="3E3F17BF" w:rsidR="00EA354A" w:rsidRPr="00F83660" w:rsidRDefault="00EA354A" w:rsidP="00EA354A">
      <w:pPr>
        <w:spacing w:before="360" w:after="120"/>
        <w:jc w:val="both"/>
        <w:rPr>
          <w:i/>
          <w:color w:val="000000"/>
        </w:rPr>
      </w:pPr>
      <w:r>
        <w:rPr>
          <w:i/>
        </w:rPr>
        <w:t>Pro poskytnutí informací v tomto oddíle viz oddíl 4.8.4.2 (body 341–342) pokynů.</w:t>
      </w:r>
      <w:r>
        <w:rPr>
          <w:i/>
          <w:color w:val="000000"/>
        </w:rPr>
        <w:t xml:space="preserve">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Za účelem posouzení souladu s bodem 341 pokynů:</w:t>
      </w:r>
      <w:bookmarkEnd w:id="5"/>
      <w:r>
        <w:t xml:space="preserve"> </w:t>
      </w:r>
    </w:p>
    <w:p w14:paraId="79825D38" w14:textId="43C3C984" w:rsidR="0021413B" w:rsidRDefault="000F6575" w:rsidP="0013713F">
      <w:pPr>
        <w:pStyle w:val="ListParagraph"/>
        <w:numPr>
          <w:ilvl w:val="1"/>
          <w:numId w:val="4"/>
        </w:numPr>
        <w:spacing w:before="120" w:after="120"/>
        <w:ind w:left="1134" w:hanging="283"/>
        <w:contextualSpacing w:val="0"/>
        <w:jc w:val="both"/>
      </w:pPr>
      <w:r>
        <w:t>Vysvětlete, jaké alternativní způsoby dosažení bezpečnosti dodávek elektrické energie byly zváženy, zejména účinnější uspořádání trhu s elektřinou, které může zmírnit selhání trhu narušující bezpečnost dodávek elektrické energie. V této souvislosti jsou v bodě 341 pokynů uvedeny příklady lepšího uspořádání trhu s elektřinou (zlepšení funkce zúčtování odchylek v oblasti elektřiny, lepší integrace proměnlivého objemu výroby, motivace a integrace odezvy na straně poptávky a ukládání energie, umožnění účinných cenových signálů, odstranění překážek přeshraničního obchodu a zlepšení infrastruktury včetně vzájemného propojení).</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Prokažte, že i přes vhodná a přiměřená zlepšení uspořádání trhu a investice do aktiv tvořících síť, ať už jsou provedeny nebo teprve plánovány, přetrvává i nadále obava o bezpečnost dodávek (bod 341 pokynů).</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V případě opatření týkajících se přetížení sítě navíc vysvětlete, jak se zlepšuje účinnost opatření v oblasti redispečinku v souladu s článkem 13 nařízení (EU) 2019/943 (bod 342 pokynů).</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C25CA0">
            <w:pPr>
              <w:pStyle w:val="Heading1"/>
              <w:numPr>
                <w:ilvl w:val="2"/>
                <w:numId w:val="22"/>
              </w:numPr>
              <w:rPr>
                <w:sz w:val="24"/>
                <w:szCs w:val="24"/>
              </w:rPr>
            </w:pPr>
            <w:r>
              <w:rPr>
                <w:sz w:val="24"/>
              </w:rPr>
              <w:t>Způsobilost</w:t>
            </w:r>
          </w:p>
        </w:tc>
      </w:tr>
    </w:tbl>
    <w:p w14:paraId="2460A5B7" w14:textId="542C5474" w:rsidR="00AB322D" w:rsidRPr="00E74034" w:rsidRDefault="00AB322D" w:rsidP="00AB322D">
      <w:pPr>
        <w:spacing w:before="360" w:after="120"/>
        <w:jc w:val="both"/>
        <w:rPr>
          <w:i/>
        </w:rPr>
      </w:pPr>
      <w:r>
        <w:rPr>
          <w:i/>
        </w:rPr>
        <w:t xml:space="preserve">Pro poskytnutí informací v tomto oddíle viz oddíl 4.8.4.3 (body 343–346) pokynů.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Za účelem prokázání souladu s bodem 343 pokynů potvrďte, že opatření bude přístupné všem příjemcům nebo projektům technicky schopným účinně přispět k dosažení cíle bezpečnosti dodávek. (např. výroba, ukládání, odezva na straně poptávky, sdružování malých jednotek do větších bloků).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V souladu s bodem 344 pokynů vysvětlete, zda existují nějaká omezení účasti na navrhovaném opatření v oblasti bezpečnosti dodávek, jejichž cílem je zajistit, aby toto opatření neohrožovalo ochranu životního prostředí.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Default="001243C2" w:rsidP="00A32872">
      <w:pPr>
        <w:pStyle w:val="ListParagraph"/>
        <w:numPr>
          <w:ilvl w:val="0"/>
          <w:numId w:val="4"/>
        </w:numPr>
        <w:spacing w:before="120" w:after="120"/>
        <w:ind w:left="567" w:hanging="567"/>
        <w:contextualSpacing w:val="0"/>
        <w:jc w:val="both"/>
      </w:pPr>
      <w:r>
        <w:t xml:space="preserve">Pokud oznámené opatření v oblasti bezpečnosti dodávek zahrnuje dodatečná kritéria nebo prvky s cílem podpořit zapojení ekologičtějších technologií (nebo snížení účasti znečišťujících technologií), které jsou nezbytné k podpoře dosažení cílů Unie v oblasti ochrany životního prostředí, prokažte, že tato dodatečná kritéria nebo prvky jsou objektivní, transparentní a nediskriminační ve vztahu k jasně stanoveným cílům v oblasti ochrany životního prostředí a že nepovedou k poskytování nadměrných náhrad příjemcům (bod 345 pokynů).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lastRenderedPageBreak/>
        <w:t xml:space="preserve">Podle bodu 346 pokynů: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Uveďte, zda bude opatření pro bezpečnost dodávek elektrické energie otevřeno přímé přeshraniční účasti poskytovatelů kapacity se sídlem v jiném členském státě. Pokud ne, uveďte odůvodnění.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Prokažte, že zahraniční kapacita, která je schopna poskytnout odpovídající technický výkon jako domácí kapacity, bude mít možnost účastnit se stejného soutěžního řízení jako domácí kapacita.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t xml:space="preserve">Případně doložte soulad s příslušnými pravidly stanovenými v článku 26 nařízení (EU) 2019/943 o přeshraniční účasti v kapacitních mechanismech.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C25CA0">
            <w:pPr>
              <w:pStyle w:val="Heading1"/>
              <w:numPr>
                <w:ilvl w:val="2"/>
                <w:numId w:val="22"/>
              </w:numPr>
              <w:rPr>
                <w:sz w:val="24"/>
                <w:szCs w:val="24"/>
              </w:rPr>
            </w:pPr>
            <w:r>
              <w:rPr>
                <w:sz w:val="24"/>
              </w:rPr>
              <w:t>Veřejná konzultace</w:t>
            </w:r>
          </w:p>
        </w:tc>
      </w:tr>
    </w:tbl>
    <w:p w14:paraId="1B229D4F" w14:textId="57AA6556" w:rsidR="00E74034" w:rsidRPr="00E74034" w:rsidRDefault="00E74034" w:rsidP="00E74034">
      <w:pPr>
        <w:spacing w:before="360" w:after="120"/>
        <w:jc w:val="both"/>
        <w:rPr>
          <w:i/>
        </w:rPr>
      </w:pPr>
      <w:r>
        <w:rPr>
          <w:i/>
        </w:rPr>
        <w:t xml:space="preserve">Pro poskytnutí informací v tomto oddíle viz oddíl 4.8.4.4 (body 348–351) pokynů. </w:t>
      </w:r>
    </w:p>
    <w:p w14:paraId="78EF67B8" w14:textId="77777777" w:rsidR="00725C45" w:rsidRDefault="0004197A" w:rsidP="0004197A">
      <w:pPr>
        <w:pStyle w:val="ListParagraph"/>
        <w:numPr>
          <w:ilvl w:val="0"/>
          <w:numId w:val="4"/>
        </w:numPr>
        <w:spacing w:before="120" w:after="120"/>
        <w:ind w:left="567" w:hanging="567"/>
        <w:contextualSpacing w:val="0"/>
        <w:jc w:val="both"/>
      </w:pPr>
      <w:r>
        <w:t>Vysvětlete, zda opatření vyžaduje veřejnou konzultaci podle oddílu 4.8.4.4, a pokud ne, proč tomu tak je.</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Pokud opatření vyžaduje veřejnou konzultaci:</w:t>
      </w:r>
    </w:p>
    <w:p w14:paraId="10ED4DF3" w14:textId="0709E691" w:rsidR="00915173" w:rsidRDefault="00725C45" w:rsidP="00C25CA0">
      <w:pPr>
        <w:pStyle w:val="ListParagraph"/>
        <w:numPr>
          <w:ilvl w:val="1"/>
          <w:numId w:val="31"/>
        </w:numPr>
        <w:spacing w:before="120" w:after="120"/>
        <w:ind w:left="1134" w:hanging="283"/>
        <w:contextualSpacing w:val="0"/>
        <w:jc w:val="both"/>
      </w:pPr>
      <w:r>
        <w:t>uveďte dobu trvání veřejné konzultace a shrňte hlavní otázky, kterých se týká.</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25CA0">
      <w:pPr>
        <w:pStyle w:val="ListParagraph"/>
        <w:numPr>
          <w:ilvl w:val="1"/>
          <w:numId w:val="31"/>
        </w:numPr>
        <w:spacing w:before="120" w:after="120"/>
        <w:ind w:left="1134" w:hanging="283"/>
        <w:contextualSpacing w:val="0"/>
        <w:jc w:val="both"/>
      </w:pPr>
      <w:r>
        <w:t>v souladu s požadavky bodu 350 pokynů uveďte adresu veřejných internetových stránek, na kterých budou zveřejněny dotazníky ke konzultaci a shrnutí odpovědí vlády.</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C25CA0">
            <w:pPr>
              <w:pStyle w:val="Heading1"/>
              <w:numPr>
                <w:ilvl w:val="2"/>
                <w:numId w:val="22"/>
              </w:numPr>
              <w:rPr>
                <w:sz w:val="24"/>
                <w:szCs w:val="24"/>
              </w:rPr>
            </w:pPr>
            <w:r>
              <w:rPr>
                <w:sz w:val="24"/>
              </w:rPr>
              <w:t>Přiměřenost</w:t>
            </w:r>
          </w:p>
        </w:tc>
      </w:tr>
    </w:tbl>
    <w:p w14:paraId="2592F405" w14:textId="7ACA92B9" w:rsidR="00081E48" w:rsidRDefault="00081E48" w:rsidP="001D2520">
      <w:pPr>
        <w:pStyle w:val="ListParagraph"/>
        <w:spacing w:before="120" w:after="120"/>
        <w:ind w:left="0"/>
        <w:contextualSpacing w:val="0"/>
        <w:jc w:val="both"/>
      </w:pPr>
      <w:r>
        <w:rPr>
          <w:i/>
        </w:rPr>
        <w:t xml:space="preserve">Pro poskytnutí informací v tomto oddíle viz oddíl 3.2.1.3 (body 49–53 a bod 55) a oddíl 4.8.4.5 (body 353–357) pokynů. Upozorňujeme, že </w:t>
      </w:r>
      <w:r>
        <w:rPr>
          <w:i/>
          <w:u w:val="single"/>
        </w:rPr>
        <w:t>následující dva oddíly 2.1.5.1 a 2.1.5.2 jsou alternativní.</w:t>
      </w:r>
      <w:r>
        <w:rPr>
          <w:i/>
        </w:rPr>
        <w:t xml:space="preserve"> Odpovědi uveďte pouze do příslušného oddílu v závislosti na podobě navrhovaného opatření.</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C25CA0">
            <w:pPr>
              <w:pStyle w:val="Heading1"/>
              <w:keepNext/>
              <w:keepLines/>
              <w:numPr>
                <w:ilvl w:val="3"/>
                <w:numId w:val="22"/>
              </w:numPr>
              <w:ind w:left="1723" w:right="-28" w:hanging="646"/>
              <w:rPr>
                <w:sz w:val="24"/>
                <w:szCs w:val="24"/>
              </w:rPr>
            </w:pPr>
            <w:r>
              <w:rPr>
                <w:sz w:val="24"/>
              </w:rPr>
              <w:t>Přiměřenost podpory poskytnuté prostřednictvím soutěžního nabídkového řízení</w:t>
            </w:r>
          </w:p>
        </w:tc>
      </w:tr>
    </w:tbl>
    <w:p w14:paraId="3A2A7C7F" w14:textId="4061FA26" w:rsidR="00863406" w:rsidRDefault="00863406" w:rsidP="00863406">
      <w:pPr>
        <w:spacing w:before="360" w:after="120"/>
        <w:jc w:val="both"/>
        <w:rPr>
          <w:i/>
        </w:rPr>
      </w:pPr>
      <w:r>
        <w:rPr>
          <w:i/>
        </w:rPr>
        <w:t xml:space="preserve">Pro </w:t>
      </w:r>
      <w:r>
        <w:t xml:space="preserve">poskytnutí informací </w:t>
      </w:r>
      <w:r>
        <w:rPr>
          <w:i/>
        </w:rPr>
        <w:t xml:space="preserve">v tomto oddíle viz oddíl 3.2.1.3 (body 49–53 a bod 55) a body 353, 354 a 356 pokynů. </w:t>
      </w:r>
    </w:p>
    <w:p w14:paraId="50E2DDC9" w14:textId="48FD7994" w:rsidR="00882890" w:rsidRDefault="00882890" w:rsidP="00863406">
      <w:pPr>
        <w:spacing w:before="360" w:after="120"/>
        <w:jc w:val="both"/>
        <w:rPr>
          <w:i/>
        </w:rPr>
      </w:pPr>
      <w:r>
        <w:rPr>
          <w:i/>
        </w:rPr>
        <w:lastRenderedPageBreak/>
        <w:t xml:space="preserve">Na podporu poskytnutou </w:t>
      </w:r>
      <w:r>
        <w:rPr>
          <w:i/>
          <w:u w:val="single"/>
        </w:rPr>
        <w:t>bez soutěžního nabídkového řízení</w:t>
      </w:r>
      <w:r>
        <w:rPr>
          <w:i/>
        </w:rPr>
        <w:t xml:space="preserve"> se tento oddíl </w:t>
      </w:r>
      <w:r>
        <w:rPr>
          <w:i/>
          <w:u w:val="single"/>
        </w:rPr>
        <w:t>nevztahuje</w:t>
      </w:r>
      <w:r>
        <w:rPr>
          <w:i/>
        </w:rPr>
        <w:t>. V případě takových opatření přejděte přímo k oddílu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Za účelem posouzení souladu s bodem 353 pokynů a v případě, že to již nebylo uvedeno v odpovědi na výše uvedenou otázku </w:t>
      </w:r>
      <w:r>
        <w:fldChar w:fldCharType="begin"/>
      </w:r>
      <w:r>
        <w:instrText xml:space="preserve"> REF _Ref167812746 \r \h </w:instrText>
      </w:r>
      <w:r>
        <w:fldChar w:fldCharType="separate"/>
      </w:r>
      <w:r>
        <w:t>16</w:t>
      </w:r>
      <w:r>
        <w:fldChar w:fldCharType="end"/>
      </w:r>
      <w:r>
        <w:t>, uveďte analýzu použitou pro stanovení úrovně poptávky v oznámeném opatření v oblasti bezpečnosti dodávek na základě normy spolehlivosti nebo analýzy nákladů a přínosů. Potvrďte, že analýza použitá pro stanovení úrovně poptávky není v okamžiku stanovení úrovně poptávky starší dvanácti měsíců.</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V souladu s bodem 354 pokynů prokažte, že doba, která uplyne mezi udělením podpory a termínem, do něhož musí být projekty realizovány, umožní účinnou hospodářskou soutěž mezi jednotlivými způsobilými projekty.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 xml:space="preserve">V souladu s bodem 356 pokynů prokažte, že příjemcům opatření v oblasti bezpečnosti dodávek budou poskytnuty účinné pobídky k tomu, aby během období realizace přispívali k bezpečnosti dodávek. Tyto pobídky by měly zpravidla souviset s hodnotou nepokrytého zatížení (VoLL), jak je stanoveno podle článku 11 nařízení (EU)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Za účelem ověření souladu s body 49 a 50 pokynů uveďte následující:</w:t>
      </w:r>
    </w:p>
    <w:p w14:paraId="2AB5C620" w14:textId="7A6DCCC0" w:rsidR="00CD498E" w:rsidRPr="00441F0B" w:rsidRDefault="00033BA9" w:rsidP="00C25CA0">
      <w:pPr>
        <w:numPr>
          <w:ilvl w:val="0"/>
          <w:numId w:val="24"/>
        </w:numPr>
        <w:ind w:left="1134" w:hanging="283"/>
      </w:pPr>
      <w:r>
        <w:t xml:space="preserve">Vysvětlete, jak orgány zajišťují, aby soutěžní nabídkové řízení bylo otevřené, jasné, transparentní a nediskriminační, bylo založeno na objektivních kritériích, bylo definováno </w:t>
      </w:r>
      <w:r>
        <w:rPr>
          <w:i/>
          <w:iCs/>
        </w:rPr>
        <w:t>ex ante</w:t>
      </w:r>
      <w:r>
        <w:t xml:space="preserve"> v souladu s cílem daného opatření a minimalizovalo riziko strategického podávání nabídek (bod 49 písm. a) pokynů).</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C25CA0">
      <w:pPr>
        <w:numPr>
          <w:ilvl w:val="0"/>
          <w:numId w:val="24"/>
        </w:numPr>
        <w:ind w:left="1134" w:hanging="283"/>
      </w:pPr>
      <w:r>
        <w:t xml:space="preserve">Kritéria výběru se použijí pro seřazení nabídek a v konečném důsledku pro stanovení výše podpory v soutěžním nabídkovém řízení. Konkrétně: </w:t>
      </w:r>
    </w:p>
    <w:p w14:paraId="62322C89" w14:textId="24B28289" w:rsidR="004D6830" w:rsidRPr="00050EB9" w:rsidRDefault="000B1BDB" w:rsidP="00C25CA0">
      <w:pPr>
        <w:pStyle w:val="ListParagraph"/>
        <w:numPr>
          <w:ilvl w:val="1"/>
          <w:numId w:val="25"/>
        </w:numPr>
        <w:spacing w:before="120" w:after="120"/>
        <w:contextualSpacing w:val="0"/>
        <w:jc w:val="both"/>
      </w:pPr>
      <w:r>
        <w:t>Uveďte seznam kritérií výběru a upřesněte, která z nich přímo či nepřímo (ne)souvisejí s hlavními cíli opatření. Uveďte jejich váhu.</w:t>
      </w:r>
    </w:p>
    <w:p w14:paraId="39E363E7" w14:textId="77777777" w:rsidR="004D6830" w:rsidRPr="00050EB9" w:rsidRDefault="004D6830" w:rsidP="004D6830">
      <w:pPr>
        <w:tabs>
          <w:tab w:val="left" w:leader="dot" w:pos="9072"/>
        </w:tabs>
        <w:spacing w:before="120" w:after="120"/>
        <w:ind w:left="567"/>
        <w:jc w:val="both"/>
      </w:pPr>
      <w:r>
        <w:tab/>
      </w:r>
    </w:p>
    <w:p w14:paraId="2FBA2755" w14:textId="6D55C3D7" w:rsidR="00117CBD" w:rsidRPr="00050EB9" w:rsidRDefault="00554E1F" w:rsidP="00C25CA0">
      <w:pPr>
        <w:pStyle w:val="ListParagraph"/>
        <w:numPr>
          <w:ilvl w:val="1"/>
          <w:numId w:val="25"/>
        </w:numPr>
        <w:spacing w:before="120" w:after="120"/>
        <w:contextualSpacing w:val="0"/>
        <w:jc w:val="both"/>
      </w:pPr>
      <w:r>
        <w:t>Vysvětlete, jakým způsobem uvádějí kritéria výběru přínos z hlediska hlavních cílů daného opatření (daných opatření) do přímé nebo nepřímé souvislosti s výší podpory, kterou žadatel požaduje. Může to být vyjádřeno například jako podpora na jednotku ochrany životního prostředí nebo podpora na jednotku energie (bod 50 a poznámka pod čarou č. 44 pokynů).</w:t>
      </w:r>
    </w:p>
    <w:p w14:paraId="633DF06D" w14:textId="77777777" w:rsidR="008317D4" w:rsidRPr="00050EB9" w:rsidRDefault="008317D4" w:rsidP="008317D4">
      <w:pPr>
        <w:tabs>
          <w:tab w:val="left" w:leader="dot" w:pos="9072"/>
        </w:tabs>
        <w:spacing w:before="120" w:after="120"/>
        <w:ind w:left="567"/>
        <w:jc w:val="both"/>
      </w:pPr>
      <w:r>
        <w:tab/>
      </w:r>
    </w:p>
    <w:p w14:paraId="02F7BEDB" w14:textId="6154C853" w:rsidR="006773CE" w:rsidRPr="00050EB9" w:rsidRDefault="00416D76" w:rsidP="00C25CA0">
      <w:pPr>
        <w:pStyle w:val="ListParagraph"/>
        <w:numPr>
          <w:ilvl w:val="1"/>
          <w:numId w:val="25"/>
        </w:numPr>
        <w:spacing w:before="120" w:after="120"/>
        <w:contextualSpacing w:val="0"/>
        <w:jc w:val="both"/>
      </w:pPr>
      <w:r>
        <w:t>V případě, že existují další kritéria výběru, která přímo či nepřímo nesouvisejí s hlavními cíli opatření, uveďte důvody pro navrhovaný přístup a vysvětlete, proč je pro cíle sledované opatřením vhodný. Potvrďte také, že tato kritéria představují nejvýše 30 % váhy všech kritérií výběru (bod 50 pokynů).</w:t>
      </w:r>
    </w:p>
    <w:p w14:paraId="4B57F9BB" w14:textId="77777777" w:rsidR="00050EB9" w:rsidRPr="00050EB9" w:rsidRDefault="00050EB9" w:rsidP="00050EB9">
      <w:pPr>
        <w:tabs>
          <w:tab w:val="left" w:leader="dot" w:pos="9072"/>
        </w:tabs>
        <w:spacing w:before="120" w:after="120"/>
        <w:ind w:left="567"/>
        <w:jc w:val="both"/>
      </w:pPr>
      <w:r>
        <w:lastRenderedPageBreak/>
        <w:tab/>
      </w:r>
    </w:p>
    <w:p w14:paraId="16110C2B" w14:textId="08112F2E" w:rsidR="004525DA" w:rsidRPr="00B35F1C" w:rsidRDefault="000B46CA" w:rsidP="00C25CA0">
      <w:pPr>
        <w:pStyle w:val="ListParagraph"/>
        <w:numPr>
          <w:ilvl w:val="1"/>
          <w:numId w:val="25"/>
        </w:numPr>
        <w:spacing w:before="120" w:after="120"/>
        <w:contextualSpacing w:val="0"/>
        <w:jc w:val="both"/>
      </w:pPr>
      <w:r>
        <w:rPr>
          <w:color w:val="000000"/>
          <w:shd w:val="clear" w:color="auto" w:fill="FFFFFF"/>
        </w:rPr>
        <w:t>Vysvětlete, s jakým předstihem před lhůtou pro podání přihlášek v jednotlivých soutěžních nabídkových řízeních budou kritéria výběru zveřejněna</w:t>
      </w:r>
      <w:r>
        <w:rPr>
          <w:shd w:val="clear" w:color="auto" w:fill="FFFFFF"/>
        </w:rPr>
        <w:t xml:space="preserve"> </w:t>
      </w:r>
      <w:r>
        <w:t>(bod 49 písm. b) a poznámka pod čarou č. 43 pokynů)</w:t>
      </w:r>
      <w:r>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C25CA0">
      <w:pPr>
        <w:pStyle w:val="ListParagraph"/>
        <w:numPr>
          <w:ilvl w:val="0"/>
          <w:numId w:val="24"/>
        </w:numPr>
        <w:spacing w:before="120" w:after="120"/>
        <w:ind w:hanging="229"/>
        <w:contextualSpacing w:val="0"/>
        <w:jc w:val="both"/>
      </w:pPr>
      <w:r>
        <w:rPr>
          <w:shd w:val="clear" w:color="auto" w:fill="FFFFFF"/>
        </w:rPr>
        <w:t xml:space="preserve">Potvrďte, že rozpočet nebo objem související s nabídkovým řízením je závazným omezením v tom smyslu, že lze očekávat, že nikoliv všichni uchazeči obdrží podporu </w:t>
      </w:r>
      <w:r>
        <w:t>(bod 49 písm. c) pokynů)</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C25CA0">
      <w:pPr>
        <w:pStyle w:val="ListParagraph"/>
        <w:numPr>
          <w:ilvl w:val="0"/>
          <w:numId w:val="24"/>
        </w:numPr>
        <w:spacing w:before="120" w:after="120"/>
        <w:ind w:hanging="229"/>
        <w:contextualSpacing w:val="0"/>
        <w:jc w:val="both"/>
      </w:pPr>
      <w:r>
        <w:rPr>
          <w:shd w:val="clear" w:color="auto" w:fill="FFFFFF"/>
        </w:rPr>
        <w:t>Uveďte informace o počtu plánovaných kol nabídkového řízení a o očekávaném počtu uchazečů v prvním kole a v průběhu času.</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C25CA0">
      <w:pPr>
        <w:pStyle w:val="ListParagraph"/>
        <w:numPr>
          <w:ilvl w:val="0"/>
          <w:numId w:val="24"/>
        </w:numPr>
        <w:spacing w:before="120" w:after="120"/>
        <w:ind w:hanging="229"/>
        <w:contextualSpacing w:val="0"/>
        <w:jc w:val="both"/>
      </w:pPr>
      <w:r>
        <w:rPr>
          <w:shd w:val="clear" w:color="auto" w:fill="FFFFFF"/>
        </w:rPr>
        <w:t xml:space="preserve">V případě jednoho nebo více nabídkových řízení, do nichž se přihlásilo příliš málo uchazečů, vysvětlete, jakým způsobem a kdy bude během provádění režimu napravena koncepce nabídkových řízení, aby se obnovila efektivní soutěž </w:t>
      </w:r>
      <w:r>
        <w:t>(bod 49 písm. c) pokynů).</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C25CA0">
      <w:pPr>
        <w:pStyle w:val="ListParagraph"/>
        <w:numPr>
          <w:ilvl w:val="0"/>
          <w:numId w:val="24"/>
        </w:numPr>
        <w:spacing w:before="120" w:after="120"/>
        <w:ind w:hanging="229"/>
        <w:contextualSpacing w:val="0"/>
        <w:jc w:val="both"/>
      </w:pPr>
      <w:r>
        <w:rPr>
          <w:rStyle w:val="oj-italic"/>
          <w:color w:val="000000"/>
          <w:shd w:val="clear" w:color="auto" w:fill="FFFFFF"/>
        </w:rPr>
        <w:t xml:space="preserve">Potvrďte, že se zamezuje úpravám výsledků nabídkového řízení </w:t>
      </w:r>
      <w:r>
        <w:rPr>
          <w:rStyle w:val="oj-italic"/>
          <w:i/>
          <w:color w:val="000000"/>
          <w:shd w:val="clear" w:color="auto" w:fill="FFFFFF"/>
        </w:rPr>
        <w:t>ex post</w:t>
      </w:r>
      <w:r>
        <w:rPr>
          <w:color w:val="000000"/>
          <w:shd w:val="clear" w:color="auto" w:fill="FFFFFF"/>
        </w:rPr>
        <w:t xml:space="preserve"> (například následným jednáním o výsledcích nabídkového řízení nebo přidělováním) </w:t>
      </w:r>
      <w:r>
        <w:t>(bod 49 písm. d) pokynů)</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C25CA0">
      <w:pPr>
        <w:pStyle w:val="ListParagraph"/>
        <w:numPr>
          <w:ilvl w:val="0"/>
          <w:numId w:val="24"/>
        </w:numPr>
        <w:spacing w:before="120" w:after="120"/>
        <w:ind w:hanging="229"/>
        <w:contextualSpacing w:val="0"/>
        <w:jc w:val="both"/>
      </w:pPr>
      <w:r>
        <w:t xml:space="preserve">Vysvětlete, jak bude přiměřenost zajištěna v případě, že je možné předložit </w:t>
      </w:r>
      <w:r>
        <w:rPr>
          <w:i/>
        </w:rPr>
        <w:t>„nabídku s nulovou subvencí“</w:t>
      </w:r>
      <w:r>
        <w:t xml:space="preserve">.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C25CA0">
      <w:pPr>
        <w:pStyle w:val="ListParagraph"/>
        <w:numPr>
          <w:ilvl w:val="0"/>
          <w:numId w:val="24"/>
        </w:numPr>
        <w:spacing w:before="120" w:after="120"/>
        <w:ind w:hanging="229"/>
        <w:contextualSpacing w:val="0"/>
        <w:jc w:val="both"/>
      </w:pPr>
      <w:r>
        <w:t>Objasněte, zda orgány předpokládají, že v rámci soutěžního nabídkového řízení budou použity horní nebo dolní limity cen. V případě kladné odpovědi zdůvodněte jejich použití a vysvětlete, jakým způsobem neomezují soutěžní nabídkové řízení</w:t>
      </w:r>
      <w:r>
        <w:rPr>
          <w:rStyle w:val="FootnoteReference"/>
          <w:lang w:eastAsia="en-GB"/>
        </w:rPr>
        <w:footnoteReference w:id="6"/>
      </w:r>
      <w:r>
        <w:t xml:space="preserve"> (bod 49 a poznámka pod čarou č. 42 pokynů).</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25CA0">
            <w:pPr>
              <w:pStyle w:val="Heading1"/>
              <w:keepNext/>
              <w:keepLines/>
              <w:numPr>
                <w:ilvl w:val="3"/>
                <w:numId w:val="22"/>
              </w:numPr>
              <w:ind w:left="1723" w:right="-28" w:hanging="646"/>
              <w:rPr>
                <w:sz w:val="24"/>
                <w:szCs w:val="24"/>
              </w:rPr>
            </w:pPr>
            <w:r>
              <w:rPr>
                <w:sz w:val="24"/>
              </w:rPr>
              <w:t xml:space="preserve">Přiměřenost podpory, která </w:t>
            </w:r>
            <w:r>
              <w:rPr>
                <w:sz w:val="24"/>
                <w:u w:val="single"/>
              </w:rPr>
              <w:t>nebyla</w:t>
            </w:r>
            <w:r>
              <w:rPr>
                <w:sz w:val="24"/>
              </w:rPr>
              <w:t xml:space="preserve"> poskytnuta prostřednictvím soutěžního nabídkového řízení </w:t>
            </w:r>
          </w:p>
        </w:tc>
      </w:tr>
    </w:tbl>
    <w:p w14:paraId="0190ED95" w14:textId="4268A147" w:rsidR="001620DB" w:rsidRDefault="001620DB" w:rsidP="00DB2066">
      <w:pPr>
        <w:pStyle w:val="ListParagraph"/>
        <w:spacing w:before="120" w:after="120"/>
        <w:ind w:left="0"/>
        <w:contextualSpacing w:val="0"/>
        <w:jc w:val="both"/>
      </w:pPr>
      <w:r>
        <w:rPr>
          <w:i/>
        </w:rPr>
        <w:t>Pro poskytnutí informací v tomto oddíle viz body 51–55 a 353–357 pokynů.</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Tento oddíl </w:t>
      </w:r>
      <w:r>
        <w:rPr>
          <w:i/>
          <w:u w:val="single"/>
        </w:rPr>
        <w:t>se nevztahuje na</w:t>
      </w:r>
      <w:r>
        <w:rPr>
          <w:i/>
        </w:rPr>
        <w:t xml:space="preserve"> opatření, při nichž je podpora poskytována na základě </w:t>
      </w:r>
      <w:r>
        <w:rPr>
          <w:i/>
          <w:u w:val="single"/>
        </w:rPr>
        <w:t>soutěžního nabídkového řízení</w:t>
      </w:r>
      <w:r>
        <w:rPr>
          <w:i/>
        </w:rPr>
        <w:t>. V případě takových opatření odpovězte na oddíl 2.5.1.1 výše.</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Za účelem posouzení souladu s bodem 353 pokynů a v případě, že to již nebylo uvedeno v odpovědi na výše uvedenou otázku </w:t>
      </w:r>
      <w:r>
        <w:fldChar w:fldCharType="begin"/>
      </w:r>
      <w:r>
        <w:instrText xml:space="preserve"> REF _Ref167812746 \r \h </w:instrText>
      </w:r>
      <w:r>
        <w:fldChar w:fldCharType="separate"/>
      </w:r>
      <w:r>
        <w:t>16</w:t>
      </w:r>
      <w:r>
        <w:fldChar w:fldCharType="end"/>
      </w:r>
      <w:r>
        <w:t xml:space="preserve">, uveďte analýzu použitou pro </w:t>
      </w:r>
      <w:r>
        <w:lastRenderedPageBreak/>
        <w:t>stanovení úrovně poptávky v oznámeném opatření v oblasti bezpečnosti dodávek na základě normy spolehlivosti nebo analýzy nákladů a přínosů. Potvrďte, že analýza použitá pro stanovení úrovně poptávky není v okamžiku stanovení úrovně poptávky starší dvanácti měsíců.</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V souladu s bodem 354 pokynů prokažte, že doba, která uplyne mezi udělením podpory a termínem, do něhož musí být projekty realizovány, umožní účinnou hospodářskou soutěž mezi jednotlivými způsobilými projekty.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 xml:space="preserve">V souladu s bodem 356 pokynů prokažte, že příjemcům opatření v oblasti bezpečnosti dodávek budou poskytnuty účinné pobídky k tomu, aby během období realizace přispívali k bezpečnosti dodávek. Tyto pobídky by měly zpravidla souviset s hodnotou nepokrytého zatížení (VoLL), jak je stanoveno podle článku 11 nařízení (EU)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Vysvětlete, proč soutěžní nabídkové řízení není uplatněno (podle bodu 355 pokynů).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V případě režimů podpory uveďte seznam referenčních projektů a vysvětlete, proč byly tyto projekty vymezeny (například vysvětlete, že v rámci každého referenčního projektu lze očekávat, že náklady a příjmy budou v zásadě podobné). Aby se předešlo pochybnostem, „referenčním projektem“ se rozumí vzorový projekt, který je reprezentativní pro průměrný projekt v kategorii příjemců způsobilých pro daný režim podpory (bod 19(63) pokynů); </w:t>
      </w:r>
    </w:p>
    <w:p w14:paraId="5C69FCBF" w14:textId="4A976914" w:rsidR="007F119D" w:rsidRPr="00303CDD" w:rsidRDefault="007F119D" w:rsidP="007F119D">
      <w:pPr>
        <w:ind w:left="567"/>
      </w:pPr>
      <w:r>
        <w:t>........................................................................................................</w:t>
      </w:r>
    </w:p>
    <w:p w14:paraId="4D68EF6E" w14:textId="23111944" w:rsidR="007F119D" w:rsidRPr="007F119D" w:rsidRDefault="0003031C" w:rsidP="006F39D2">
      <w:pPr>
        <w:pStyle w:val="ListParagraph"/>
        <w:numPr>
          <w:ilvl w:val="0"/>
          <w:numId w:val="4"/>
        </w:numPr>
        <w:spacing w:before="120" w:after="120"/>
        <w:ind w:left="567" w:hanging="567"/>
        <w:contextualSpacing w:val="0"/>
        <w:jc w:val="both"/>
      </w:pPr>
      <w:r>
        <w:t>V souladu s bodem 51 pokynů prokažte pro každý referenční projekt (v případě režimů podpory) nebo pro každého příjemce (v případě individuální podpory), že podpora nepřekračuje nezbytné minimum, tj. rozdíl mezi čistou současnou hodnotou faktického scénáře a čistou současnou hodnotou hypotetického srovnávacího scénáře po dobu trvání referenčního projektu nebo projektu. Pro účely tohoto posouzení předložte vyčíslení všech hlavních nákladů a výnosů u faktického scénáře a u věrohodného hypotetického srovnávacího scénáře</w:t>
      </w:r>
      <w:r>
        <w:rPr>
          <w:rStyle w:val="FootnoteReference"/>
        </w:rPr>
        <w:footnoteReference w:id="7"/>
      </w:r>
      <w:r>
        <w:t xml:space="preserve">, odhadované vážené průměrné náklady kapitálu (WACC) příjemců (nebo referenčních projektů v případě režimů podpory) s cílem snížit budoucí peněžní toky, jakož i čistou současnou hodnotu faktického scénáře a hypotetického srovnávacího scénáře po celou dobu životnosti projektu / referenčního projektu. </w:t>
      </w:r>
    </w:p>
    <w:p w14:paraId="4DB6378F" w14:textId="77777777" w:rsidR="007F119D" w:rsidRDefault="007F119D" w:rsidP="00C25CA0">
      <w:pPr>
        <w:numPr>
          <w:ilvl w:val="0"/>
          <w:numId w:val="26"/>
        </w:numPr>
        <w:ind w:left="1134" w:hanging="283"/>
      </w:pPr>
      <w:r>
        <w:t xml:space="preserve">Uveďte je v příloze tohoto oznamovacího formuláře (pomocí souboru Excel, kde jsou viditelné všechny vzorce). </w:t>
      </w:r>
    </w:p>
    <w:p w14:paraId="791F4E37" w14:textId="77777777" w:rsidR="00217A1A" w:rsidRPr="006069FF"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C25CA0">
      <w:pPr>
        <w:numPr>
          <w:ilvl w:val="0"/>
          <w:numId w:val="26"/>
        </w:numPr>
        <w:ind w:left="1134" w:hanging="283"/>
      </w:pPr>
      <w:r>
        <w:t xml:space="preserve">Uveďte podrobné informace o předpokladech, metodikách, odůvodnění a jejich zdrojích použitých pro každý aspekt vyčíslení nákladů a výnosů ve faktickém scénáři a pravděpodobném hypotetickém srovnávacím scénáři (uveďte například </w:t>
      </w:r>
      <w:r>
        <w:lastRenderedPageBreak/>
        <w:t>předpoklady použité pro vypracování těchto scénářů a zdroj/odůvodnění těchto předpokladů).</w:t>
      </w:r>
    </w:p>
    <w:p w14:paraId="7C74300E" w14:textId="77777777" w:rsidR="00217A1A" w:rsidRDefault="00217A1A" w:rsidP="00217A1A">
      <w:pPr>
        <w:ind w:left="1134"/>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6F39D2" w:rsidRDefault="007F119D" w:rsidP="00C25CA0">
      <w:pPr>
        <w:numPr>
          <w:ilvl w:val="0"/>
          <w:numId w:val="26"/>
        </w:numPr>
        <w:ind w:left="1134" w:hanging="283"/>
      </w:pPr>
      <w:r>
        <w:t>K tomuto oznamovacímu formuláři můžete rovněž přiložit dokumenty uvedené v poznámce pod čarou č. 39 pokynů. Dokumenty správní rady mohou být užitečné zejména pro jednotlivá opatření podpory nebo režimy, které jsou přínosem pro mimořádně omezený počet příjemců. Pokud jsou takové dokumenty přiloženy k oznamovacímu formuláři, uveďte níže jejich seznam s uvedením autora, data jejich vypracování a kontextu, v němž byly použity.</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Pokud se použije bod 55 pokynů, uveďte informace o modelech vyrovnání, které by členský stát mohl zamýšlet zavést (kombinace podmínek </w:t>
      </w:r>
      <w:r>
        <w:rPr>
          <w:i/>
        </w:rPr>
        <w:t>ex ante</w:t>
      </w:r>
      <w:r>
        <w:t> a </w:t>
      </w:r>
      <w:r>
        <w:rPr>
          <w:i/>
        </w:rPr>
        <w:t>ex post</w:t>
      </w:r>
      <w:r>
        <w:t xml:space="preserve">), nebo </w:t>
      </w:r>
      <w:r>
        <w:rPr>
          <w:i/>
        </w:rPr>
        <w:t>ex post</w:t>
      </w:r>
      <w:r>
        <w:t xml:space="preserve"> ustanovení o zpětném vyžádání nebo mechanismus monitorování nákladů). </w:t>
      </w:r>
    </w:p>
    <w:p w14:paraId="1469FE3D" w14:textId="3662127B" w:rsidR="000575C3" w:rsidRPr="008515FB" w:rsidRDefault="009329F1" w:rsidP="000575C3">
      <w:pPr>
        <w:tabs>
          <w:tab w:val="left" w:leader="dot" w:pos="9072"/>
        </w:tabs>
        <w:spacing w:before="120" w:after="120"/>
        <w:ind w:left="567"/>
        <w:jc w:val="both"/>
      </w:pPr>
      <w:r>
        <w:t xml:space="preserve">Pokud se na opatření bod 55 pokynů nevztahuje, uveďte odůvodnění.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Pokud má oznámené opatření (oznámená opatření) formu konkurenčního osvědčení nebo režimu dodavatelských závazků (bod 357 pokynů):</w:t>
      </w:r>
    </w:p>
    <w:p w14:paraId="504AC813" w14:textId="77777777" w:rsidR="00EF6485" w:rsidRDefault="00EF6485" w:rsidP="00EF6485">
      <w:pPr>
        <w:pStyle w:val="ListParagraph"/>
        <w:ind w:hanging="436"/>
        <w:rPr>
          <w:lang w:eastAsia="en-GB"/>
        </w:rPr>
      </w:pPr>
    </w:p>
    <w:p w14:paraId="5FEA5C3D" w14:textId="5CC3AC8E" w:rsidR="00EF6485" w:rsidRDefault="0088099D" w:rsidP="00C25CA0">
      <w:pPr>
        <w:numPr>
          <w:ilvl w:val="0"/>
          <w:numId w:val="30"/>
        </w:numPr>
        <w:spacing w:after="240"/>
        <w:ind w:left="1134" w:hanging="283"/>
        <w:jc w:val="both"/>
      </w:pPr>
      <w:r>
        <w:t>potvrďte, že poptávka v daném režimu bude stanovena jako nižší než potenciální nabídka; a</w:t>
      </w:r>
    </w:p>
    <w:p w14:paraId="3714D680" w14:textId="6175BEB4" w:rsidR="006F39D2" w:rsidRDefault="006F39D2" w:rsidP="00217A1A">
      <w:pPr>
        <w:spacing w:after="240"/>
        <w:ind w:left="720" w:firstLine="414"/>
        <w:jc w:val="both"/>
      </w:pPr>
      <w:r>
        <w:t>………………………………………………………………………………………</w:t>
      </w:r>
    </w:p>
    <w:p w14:paraId="3CE17A1C" w14:textId="3C19DDB2" w:rsidR="00EF6485" w:rsidRDefault="0088099D" w:rsidP="00C25CA0">
      <w:pPr>
        <w:numPr>
          <w:ilvl w:val="0"/>
          <w:numId w:val="30"/>
        </w:numPr>
        <w:spacing w:after="240"/>
        <w:ind w:left="1134" w:hanging="283"/>
        <w:jc w:val="both"/>
      </w:pPr>
      <w:r>
        <w:t>vysvětlete, jak bude stanovena cena za odkup/penále, a jak se zajistí, aby nedošlo k nadměrné kompenzaci.</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C25CA0">
            <w:pPr>
              <w:pStyle w:val="Heading1"/>
              <w:numPr>
                <w:ilvl w:val="2"/>
                <w:numId w:val="22"/>
              </w:numPr>
              <w:rPr>
                <w:sz w:val="24"/>
                <w:szCs w:val="24"/>
              </w:rPr>
            </w:pPr>
            <w:r>
              <w:rPr>
                <w:sz w:val="24"/>
              </w:rPr>
              <w:t>Kumulace</w:t>
            </w:r>
          </w:p>
        </w:tc>
      </w:tr>
    </w:tbl>
    <w:p w14:paraId="2346A85D" w14:textId="6CB77F89" w:rsidR="00B21377" w:rsidRPr="002A3B51" w:rsidRDefault="00B21377" w:rsidP="00B21377">
      <w:pPr>
        <w:pStyle w:val="ListParagraph"/>
        <w:spacing w:before="120" w:after="120"/>
        <w:ind w:left="567"/>
        <w:contextualSpacing w:val="0"/>
        <w:jc w:val="both"/>
      </w:pPr>
      <w:r>
        <w:rPr>
          <w:i/>
        </w:rPr>
        <w:t>Pro poskytnutí informací v tomto oddíle viz body 56 a 57 pokynů</w:t>
      </w:r>
      <w:r>
        <w:t>.</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Pokud to již není uvedeno v části I obecného oznamovacího formuláře a s cílem ověřit </w:t>
      </w:r>
      <w:r>
        <w:rPr>
          <w:i/>
        </w:rPr>
        <w:t>soulad</w:t>
      </w:r>
      <w:r>
        <w:t xml:space="preserve"> s bodem 56 pokynů, objasněte, zda může být podpora poskytovaná na základě oznámeného opatření poskytnuta souběžně na základě několika režimů podpory nebo kumulována s podporou ad hoc nebo podporou de minimis ve vztahu ke stejným způsobilým nákladům. Pokud ano, uveďte podrobnosti o těchto režimech podpory, podpoře </w:t>
      </w:r>
      <w:r>
        <w:rPr>
          <w:i/>
        </w:rPr>
        <w:t>ad hoc</w:t>
      </w:r>
      <w:r>
        <w:t xml:space="preserve"> nebo podpoře </w:t>
      </w:r>
      <w:r>
        <w:rPr>
          <w:i/>
        </w:rPr>
        <w:t>de minimis</w:t>
      </w:r>
      <w:r>
        <w:t xml:space="preserve"> a způsobu kumulace podpory. Upozorňujeme, že je možné, že si budete přát použít výše uvedenou kvantifikaci.</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Pokud se použije bod 56 pokynů, zdůvodněte, jak celková výše podpory poskytnuté na základě oznámeného opatření (oznámených opatření) na projekt nebo činnost nepovede k nadměrným náhradám nebo nepřesáhne maximální výši podpory povolenou podle </w:t>
      </w:r>
      <w:r>
        <w:lastRenderedPageBreak/>
        <w:t xml:space="preserve">pokynů. Maximální povolená částka podpory podle pokynů je buď částka podpory, která je zohledněna v úspěšné nabídce, nebo, pokud nedošlo k soutěžnímu řízení, mezera ve financování při zohlednění všech hlavních příjmů včetně jiných zdrojů podpory (bod 51 pokynů). Pokud je možné kumulovat podporu poskytnutou na základě oznámeného opatření (oznámených opatření) podpory se státní podporou na základě jiného nástroje, uveďte metodu použitou k zajištění souladu s podmínkami stanovenými v bodě 56 pokynů.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V případě, že se použije bod 57 pokynů, tj. podpora poskytnutá na základě oznámeného opatření (oznámených opatření) je kombinována s centrálně řízeným financováním ze strany Unie</w:t>
      </w:r>
      <w:r>
        <w:rPr>
          <w:rStyle w:val="FootnoteReference"/>
          <w:lang w:eastAsia="en-GB"/>
        </w:rPr>
        <w:footnoteReference w:id="8"/>
      </w:r>
      <w:r>
        <w:t xml:space="preserve"> (které nepředstavuje státní podporu), zdůvodněte, jak </w:t>
      </w:r>
      <w:r>
        <w:rPr>
          <w:shd w:val="clear" w:color="auto" w:fill="FFFFFF"/>
        </w:rPr>
        <w:t>celková částka veřejného financování poskytnutá na tytéž způsobilé náklady nevede k nadměrným náhradám.</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C25CA0">
            <w:pPr>
              <w:pStyle w:val="Heading1"/>
              <w:numPr>
                <w:ilvl w:val="2"/>
                <w:numId w:val="22"/>
              </w:numPr>
              <w:rPr>
                <w:color w:val="000000"/>
                <w:sz w:val="24"/>
                <w:szCs w:val="24"/>
              </w:rPr>
            </w:pPr>
            <w:r>
              <w:rPr>
                <w:sz w:val="24"/>
              </w:rPr>
              <w:t>Transparentnost</w:t>
            </w:r>
          </w:p>
        </w:tc>
      </w:tr>
    </w:tbl>
    <w:p w14:paraId="07229A8F" w14:textId="5882F9C4" w:rsidR="006773CE" w:rsidRPr="007C0A44" w:rsidRDefault="006773CE" w:rsidP="006773CE">
      <w:pPr>
        <w:spacing w:before="360" w:after="120"/>
        <w:jc w:val="both"/>
        <w:rPr>
          <w:i/>
        </w:rPr>
      </w:pPr>
      <w:r>
        <w:rPr>
          <w:i/>
        </w:rPr>
        <w:t xml:space="preserve">Pro poskytnutí informací v tomto oddíle viz oddíl 3.2.1.4 (body 58–61) pokynů.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Potvrďte, že členské státy dodrží požadavky na transparentnost stanovené v bodech 58–61 pokynů.</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Uveďte internetový odkaz, kde bude zveřejněno úplné znění schváleného režimu podpory nebo rozhodnutí o udělení jednotlivé podpory a jeho prováděcí ustanovení a informace o každé jednotlivé podpoře udělené ad hoc nebo na základě režimu podpory schváleného podle pokynů, která je vyšší než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C25CA0">
            <w:pPr>
              <w:pStyle w:val="Heading1"/>
              <w:numPr>
                <w:ilvl w:val="1"/>
                <w:numId w:val="22"/>
              </w:numPr>
              <w:jc w:val="left"/>
              <w:rPr>
                <w:iCs/>
                <w:color w:val="000000"/>
                <w:sz w:val="24"/>
                <w:szCs w:val="24"/>
              </w:rPr>
            </w:pPr>
            <w:r>
              <w:rPr>
                <w:color w:val="000000"/>
                <w:sz w:val="24"/>
              </w:rPr>
              <w:t>Zamezení nežádoucím negativním účinkům na hospodářskou soutěž a obchod a zajištění rovnováhy</w:t>
            </w:r>
          </w:p>
        </w:tc>
      </w:tr>
    </w:tbl>
    <w:p w14:paraId="6C8D04A2" w14:textId="31215476" w:rsidR="009D6AD7" w:rsidRDefault="00F83660" w:rsidP="00757930">
      <w:pPr>
        <w:spacing w:before="360" w:after="120"/>
        <w:jc w:val="both"/>
      </w:pPr>
      <w:r>
        <w:rPr>
          <w:i/>
          <w:color w:val="000000"/>
        </w:rPr>
        <w:t>Pro</w:t>
      </w:r>
      <w:r>
        <w:rPr>
          <w:i/>
        </w:rPr>
        <w:t xml:space="preserve"> poskytnutí informací v tomto oddíle viz oddíl 4.8.5 (body 359–370) a oddíl 3.3 (body 71–76) pokynů. </w:t>
      </w:r>
    </w:p>
    <w:p w14:paraId="289C641A" w14:textId="66B1FD1E" w:rsidR="002955E1" w:rsidRDefault="002955E1" w:rsidP="00AA5AF1">
      <w:pPr>
        <w:numPr>
          <w:ilvl w:val="0"/>
          <w:numId w:val="4"/>
        </w:numPr>
        <w:spacing w:after="240"/>
        <w:ind w:left="567" w:hanging="567"/>
        <w:jc w:val="both"/>
        <w:rPr>
          <w:i/>
          <w:color w:val="000000"/>
        </w:rPr>
      </w:pPr>
      <w:r>
        <w:rPr>
          <w:color w:val="000000"/>
        </w:rPr>
        <w:t>Za účelem prokázání souladu s body 359, 360 a 361 pokynů:</w:t>
      </w:r>
    </w:p>
    <w:p w14:paraId="3CDD8237" w14:textId="472E0A00" w:rsidR="005333EE" w:rsidRPr="00757930" w:rsidRDefault="00967292" w:rsidP="00C25CA0">
      <w:pPr>
        <w:numPr>
          <w:ilvl w:val="0"/>
          <w:numId w:val="34"/>
        </w:numPr>
        <w:spacing w:after="240"/>
        <w:ind w:left="1134" w:hanging="283"/>
        <w:jc w:val="both"/>
        <w:rPr>
          <w:i/>
          <w:color w:val="000000"/>
        </w:rPr>
      </w:pPr>
      <w:r>
        <w:t xml:space="preserve">prokažte (v případě, že to již nebylo uvedeno v odpovědi na výše uvedenou otázku </w:t>
      </w:r>
      <w:r>
        <w:rPr>
          <w:highlight w:val="yellow"/>
        </w:rPr>
        <w:fldChar w:fldCharType="begin"/>
      </w:r>
      <w:r>
        <w:instrText xml:space="preserve"> REF _Ref168390744 \r \h </w:instrText>
      </w:r>
      <w:r>
        <w:rPr>
          <w:highlight w:val="yellow"/>
        </w:rPr>
      </w:r>
      <w:r>
        <w:rPr>
          <w:highlight w:val="yellow"/>
        </w:rPr>
        <w:fldChar w:fldCharType="separate"/>
      </w:r>
      <w:r>
        <w:t>23</w:t>
      </w:r>
      <w:r>
        <w:rPr>
          <w:highlight w:val="yellow"/>
        </w:rPr>
        <w:fldChar w:fldCharType="end"/>
      </w:r>
      <w:r>
        <w:t>),</w:t>
      </w:r>
      <w:r>
        <w:rPr>
          <w:color w:val="000000"/>
        </w:rPr>
        <w:t xml:space="preserve"> že podpora je určena k zachování účinného fungování trhů a zachování účinných provozních pobídek a cenových signálů.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C25CA0">
      <w:pPr>
        <w:numPr>
          <w:ilvl w:val="0"/>
          <w:numId w:val="34"/>
        </w:numPr>
        <w:spacing w:after="240"/>
        <w:ind w:left="1134" w:hanging="283"/>
        <w:jc w:val="both"/>
        <w:rPr>
          <w:i/>
          <w:color w:val="000000"/>
        </w:rPr>
      </w:pPr>
      <w:r>
        <w:rPr>
          <w:color w:val="000000"/>
        </w:rPr>
        <w:lastRenderedPageBreak/>
        <w:t>prokažte, že nejsou poskytovány pobídky pro výrobu energie, která by vytěsňovala méně znečišťující formy energie.</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C25CA0">
      <w:pPr>
        <w:numPr>
          <w:ilvl w:val="0"/>
          <w:numId w:val="34"/>
        </w:numPr>
        <w:spacing w:after="240"/>
        <w:ind w:left="1134" w:hanging="283"/>
        <w:jc w:val="both"/>
        <w:rPr>
          <w:i/>
          <w:color w:val="000000"/>
        </w:rPr>
      </w:pPr>
      <w:r>
        <w:rPr>
          <w:color w:val="000000"/>
        </w:rPr>
        <w:t>uveďte, zda jsou platby v rámci opatření poskytovány za kapacitu (EUR za megawatt (MW)) nebo za elektrický výkon (EUR/MWh).</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Uveďte důkazy o tom, že opatření splňuje všechny použitelné koncepční podmínky uvedené v článku 22 nařízení (EU) 2019/943 (bod 362 pokynů).</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Pro strategické rezervy a jakékoli jiné opatření (jakákoli jiná opatření) v oblasti zdrojové přiměřenosti včetně režimů přerušitelnosti, u nichž je kapacita držena mimo trh, aby se zajistilo, že nebude narušena tvorba tržních cen, prokažte v souladu s bodem 363 pokynů, že jsou splněny tyto kumulativní požadavky:</w:t>
      </w:r>
    </w:p>
    <w:p w14:paraId="6E1DA574" w14:textId="064EFA54" w:rsidR="005333EE" w:rsidRDefault="005333EE" w:rsidP="00C25CA0">
      <w:pPr>
        <w:numPr>
          <w:ilvl w:val="1"/>
          <w:numId w:val="29"/>
        </w:numPr>
        <w:spacing w:after="240"/>
        <w:ind w:left="1134" w:hanging="283"/>
        <w:jc w:val="both"/>
        <w:rPr>
          <w:color w:val="000000"/>
        </w:rPr>
      </w:pPr>
      <w:r>
        <w:rPr>
          <w:color w:val="000000"/>
        </w:rPr>
        <w:t>Zdroje uvedeného opatření (uvedených opatření) se nasazují pouze tehdy, pokud je pravděpodobné, že provozovatelé přepravních soustav vyčerpají své zdroje zajišťující výkonovou rovnováhu mezi spotřebou a dodávkou.</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C25CA0">
      <w:pPr>
        <w:numPr>
          <w:ilvl w:val="1"/>
          <w:numId w:val="29"/>
        </w:numPr>
        <w:spacing w:after="240"/>
        <w:ind w:left="1134" w:hanging="283"/>
        <w:jc w:val="both"/>
        <w:rPr>
          <w:color w:val="000000"/>
        </w:rPr>
      </w:pPr>
      <w:r>
        <w:rPr>
          <w:color w:val="000000"/>
        </w:rPr>
        <w:t>Během intervalu zúčtování odchylek, kdy jsou nasazeny zdroje daného opatření (daných opatření), musí být odchylky na trhu zúčtovány alespoň v hodnotě VoLL nebo v hodnotě vyšší, než kolik činí vnitrodenní technický cenový strop podle toho, která z obou hodnot je vyšší.</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C25CA0">
      <w:pPr>
        <w:numPr>
          <w:ilvl w:val="1"/>
          <w:numId w:val="29"/>
        </w:numPr>
        <w:spacing w:after="240"/>
        <w:ind w:left="1134" w:hanging="283"/>
        <w:jc w:val="both"/>
        <w:rPr>
          <w:color w:val="000000"/>
        </w:rPr>
      </w:pPr>
      <w:r>
        <w:rPr>
          <w:color w:val="000000"/>
        </w:rPr>
        <w:t>Výkon daného opatření (daných opatření) po jeho nasazení se přiděluje subjektům zúčtování prostřednictvím mechanismu pro zúčtování odchylek.</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C25CA0">
      <w:pPr>
        <w:numPr>
          <w:ilvl w:val="1"/>
          <w:numId w:val="29"/>
        </w:numPr>
        <w:spacing w:after="240"/>
        <w:ind w:left="1134" w:hanging="283"/>
        <w:jc w:val="both"/>
        <w:rPr>
          <w:color w:val="000000"/>
        </w:rPr>
      </w:pPr>
      <w:r>
        <w:rPr>
          <w:color w:val="000000"/>
        </w:rPr>
        <w:t>Za zdroje není poskytována odměna z velkoobchodního trhu s elektřinou nebo vyrovnávacích trhů;</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C25CA0">
      <w:pPr>
        <w:numPr>
          <w:ilvl w:val="1"/>
          <w:numId w:val="29"/>
        </w:numPr>
        <w:spacing w:after="240"/>
        <w:ind w:left="1134" w:hanging="283"/>
        <w:jc w:val="both"/>
        <w:rPr>
          <w:color w:val="000000"/>
        </w:rPr>
      </w:pPr>
      <w:r>
        <w:rPr>
          <w:color w:val="000000"/>
        </w:rPr>
        <w:t>Zdroje v daném opatření musí být drženy mimo trh alespoň po celé smluvní období.</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V případě opatření týkajících se přetížení sítě, kdy jsou zdroje drženy mimo trh, potvrďte, že u těchto zdrojů nebude poskytována odměna z velkoobchodního trhu s elektřinou nebo z vyrovnávacích trhů a že tyto zdroje budou drženy mimo trhy s energií alespoň po celé smluvní období (bod 364 pokynů).</w:t>
      </w:r>
    </w:p>
    <w:p w14:paraId="194E9B94" w14:textId="4EA0166D" w:rsidR="009A1DEA" w:rsidRPr="00A32872" w:rsidRDefault="009A1DEA" w:rsidP="00757930">
      <w:pPr>
        <w:spacing w:after="240"/>
        <w:ind w:left="567"/>
        <w:jc w:val="both"/>
        <w:rPr>
          <w:color w:val="000000"/>
        </w:rPr>
      </w:pPr>
      <w:r>
        <w:rPr>
          <w:color w:val="000000"/>
        </w:rPr>
        <w:lastRenderedPageBreak/>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V případě kapacitních mechanismů jiných než strategické rezervy prokažte v souladu s bodem 365 pokynů, že opatření:</w:t>
      </w:r>
    </w:p>
    <w:p w14:paraId="61F8EA90" w14:textId="77777777" w:rsidR="00560F07" w:rsidRDefault="005333EE" w:rsidP="00C25CA0">
      <w:pPr>
        <w:numPr>
          <w:ilvl w:val="1"/>
          <w:numId w:val="35"/>
        </w:numPr>
        <w:spacing w:after="240"/>
        <w:ind w:left="1134" w:hanging="283"/>
        <w:jc w:val="both"/>
        <w:rPr>
          <w:color w:val="000000"/>
        </w:rPr>
      </w:pPr>
      <w:r>
        <w:rPr>
          <w:color w:val="000000"/>
        </w:rPr>
        <w:t>je koncipováno tak, aby se zajistilo, že cena placená za dostupnost automaticky klesne na nulu, lze-li předpokládat, že úroveň dodané kapacity bude odpovídat úrovni požadované kapacity.</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77777777" w:rsidR="00560F07" w:rsidRDefault="005333EE" w:rsidP="00C25CA0">
      <w:pPr>
        <w:numPr>
          <w:ilvl w:val="1"/>
          <w:numId w:val="35"/>
        </w:numPr>
        <w:spacing w:after="240"/>
        <w:ind w:left="1134" w:hanging="283"/>
        <w:jc w:val="both"/>
        <w:rPr>
          <w:color w:val="000000"/>
        </w:rPr>
      </w:pPr>
      <w:r>
        <w:rPr>
          <w:color w:val="000000"/>
        </w:rPr>
        <w:t>odměňuje zúčastněné zdroje pouze za jejich dostupnost a zajistí, aby tato odměna neovlivnila rozhodnutí poskytovatele kapacity, zda vyrábět, či nikoli.</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77012650" w:rsidR="00560F07" w:rsidRDefault="005333EE" w:rsidP="00C25CA0">
      <w:pPr>
        <w:numPr>
          <w:ilvl w:val="1"/>
          <w:numId w:val="35"/>
        </w:numPr>
        <w:ind w:left="1134" w:hanging="283"/>
        <w:jc w:val="both"/>
        <w:rPr>
          <w:color w:val="000000"/>
        </w:rPr>
      </w:pPr>
      <w:r>
        <w:rPr>
          <w:color w:val="000000"/>
        </w:rPr>
        <w:t>umožňuje, aby byly povinnosti týkající se kapacity mezi způsobilými poskytovateli kapacity přenositelné.</w:t>
      </w:r>
    </w:p>
    <w:p w14:paraId="43516A84" w14:textId="77777777" w:rsidR="00560F07" w:rsidRDefault="00560F07" w:rsidP="00560F07">
      <w:pPr>
        <w:ind w:left="567"/>
        <w:jc w:val="both"/>
        <w:rPr>
          <w:color w:val="000000"/>
        </w:rPr>
      </w:pPr>
    </w:p>
    <w:p w14:paraId="6C9EB3AE" w14:textId="790F34BB" w:rsidR="00E308B3" w:rsidRPr="00560F07" w:rsidRDefault="00560F07" w:rsidP="00560F07">
      <w:pPr>
        <w:ind w:left="567"/>
        <w:jc w:val="both"/>
        <w:rPr>
          <w:color w:val="000000"/>
        </w:rPr>
      </w:pPr>
      <w:r>
        <w:rPr>
          <w:color w:val="000000"/>
        </w:rPr>
        <w:t xml:space="preserve"> </w:t>
      </w:r>
      <w:r>
        <w:tab/>
      </w: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Za účelem ověření souladu s bodem 366 pokynů prokažte že opatření nebude: </w:t>
      </w:r>
    </w:p>
    <w:p w14:paraId="28CFD8B5" w14:textId="77777777" w:rsidR="00727DA8" w:rsidRDefault="005333EE" w:rsidP="00C25CA0">
      <w:pPr>
        <w:numPr>
          <w:ilvl w:val="0"/>
          <w:numId w:val="38"/>
        </w:numPr>
        <w:spacing w:after="240"/>
        <w:jc w:val="both"/>
        <w:rPr>
          <w:color w:val="000000"/>
        </w:rPr>
      </w:pPr>
      <w:r>
        <w:rPr>
          <w:color w:val="000000"/>
        </w:rPr>
        <w:t>neoprávněně narušovat trh ani omezovat obchod mezi zónami.</w:t>
      </w:r>
    </w:p>
    <w:p w14:paraId="13C124A6" w14:textId="4B7D8122" w:rsidR="00E308B3" w:rsidRPr="00727DA8" w:rsidRDefault="00E308B3" w:rsidP="00727DA8">
      <w:pPr>
        <w:spacing w:after="240"/>
        <w:ind w:left="1134"/>
        <w:jc w:val="both"/>
        <w:rPr>
          <w:color w:val="000000"/>
        </w:rPr>
      </w:pPr>
      <w:r>
        <w:rPr>
          <w:color w:val="000000"/>
        </w:rPr>
        <w:t>................................................................................................</w:t>
      </w:r>
    </w:p>
    <w:p w14:paraId="69F16327" w14:textId="77777777" w:rsidR="00727DA8" w:rsidRDefault="005333EE" w:rsidP="00C25CA0">
      <w:pPr>
        <w:numPr>
          <w:ilvl w:val="0"/>
          <w:numId w:val="38"/>
        </w:numPr>
        <w:spacing w:after="240"/>
        <w:jc w:val="both"/>
        <w:rPr>
          <w:color w:val="000000"/>
        </w:rPr>
      </w:pPr>
      <w:r>
        <w:rPr>
          <w:color w:val="000000"/>
        </w:rPr>
        <w:t>snižovat pobídky k investicím do propojovací kapacity – například snižováním výnosů z přetížení stávajících nebo nových propojovacích vedení.</w:t>
      </w:r>
    </w:p>
    <w:p w14:paraId="3EA1C7F6" w14:textId="5DA3A4AD" w:rsidR="00E308B3" w:rsidRPr="00727DA8" w:rsidRDefault="00E308B3" w:rsidP="00727DA8">
      <w:pPr>
        <w:spacing w:after="240"/>
        <w:ind w:left="1134"/>
        <w:jc w:val="both"/>
        <w:rPr>
          <w:color w:val="000000"/>
        </w:rPr>
      </w:pPr>
      <w:r>
        <w:rPr>
          <w:color w:val="000000"/>
        </w:rPr>
        <w:t>................................................................................................</w:t>
      </w:r>
    </w:p>
    <w:p w14:paraId="23D7B171" w14:textId="77777777" w:rsidR="005333EE" w:rsidRDefault="005333EE" w:rsidP="00C25CA0">
      <w:pPr>
        <w:numPr>
          <w:ilvl w:val="0"/>
          <w:numId w:val="38"/>
        </w:numPr>
        <w:spacing w:after="240"/>
        <w:jc w:val="both"/>
        <w:rPr>
          <w:color w:val="000000"/>
        </w:rPr>
      </w:pPr>
      <w:r>
        <w:rPr>
          <w:color w:val="000000"/>
        </w:rPr>
        <w:t>ohrožovat propojování trhů včetně vnitrodenních a vyrovnávacích trhů.</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77777777" w:rsidR="005333EE" w:rsidRDefault="005333EE" w:rsidP="00C25CA0">
      <w:pPr>
        <w:numPr>
          <w:ilvl w:val="0"/>
          <w:numId w:val="38"/>
        </w:numPr>
        <w:spacing w:after="240"/>
        <w:jc w:val="both"/>
        <w:rPr>
          <w:color w:val="000000"/>
        </w:rPr>
      </w:pPr>
      <w:r>
        <w:rPr>
          <w:color w:val="000000"/>
        </w:rPr>
        <w:t>oslabovat investiční rozhodnutí o kapacitě, která byla učiněna před přijetím opatření.</w:t>
      </w:r>
      <w: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53E3A462" w:rsidR="00E308B3" w:rsidRPr="00E308B3" w:rsidRDefault="00AB4926" w:rsidP="00207312">
      <w:pPr>
        <w:numPr>
          <w:ilvl w:val="0"/>
          <w:numId w:val="4"/>
        </w:numPr>
        <w:spacing w:after="240"/>
        <w:ind w:left="567" w:hanging="567"/>
        <w:jc w:val="both"/>
        <w:rPr>
          <w:color w:val="000000"/>
        </w:rPr>
      </w:pPr>
      <w:r>
        <w:rPr>
          <w:color w:val="000000"/>
        </w:rPr>
        <w:t>Za účelem ověření souladu s bodem 367 pokynů prokažte, že náklady na oznámené opatření ponesou účastníci trhu, kteří přispívají k potřebě opatření. Pokud se domníváte, že takové rozdělení nákladů není nutné</w:t>
      </w:r>
      <w:r>
        <w:t>, vysvětlete, proč tomu tak je, a předložte důkazy, včetně těch, které byly shromážděny v rámci veřejné konzultace.</w:t>
      </w:r>
      <w:r>
        <w:rPr>
          <w:color w:val="000000"/>
        </w:rPr>
        <w:t xml:space="preserve"> </w:t>
      </w:r>
      <w:r>
        <w:rPr>
          <w:rStyle w:val="FootnoteReference"/>
          <w:color w:val="000000"/>
        </w:rPr>
        <w:footnoteReference w:id="9"/>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757930">
      <w:pPr>
        <w:rPr>
          <w:i/>
          <w:color w:val="000000"/>
        </w:rPr>
      </w:pPr>
    </w:p>
    <w:p w14:paraId="693D9200" w14:textId="536BDC11" w:rsidR="004B2EF3" w:rsidRPr="00564B1B" w:rsidRDefault="006D3167" w:rsidP="00207312">
      <w:pPr>
        <w:numPr>
          <w:ilvl w:val="0"/>
          <w:numId w:val="4"/>
        </w:numPr>
        <w:spacing w:after="240"/>
        <w:ind w:left="567" w:hanging="567"/>
        <w:jc w:val="both"/>
      </w:pPr>
      <w:r>
        <w:rPr>
          <w:color w:val="000000"/>
        </w:rPr>
        <w:t>V souladu</w:t>
      </w:r>
      <w:r>
        <w:t xml:space="preserve"> s bodem 72 pokynů zdůvodněte soulad oznámeného opatření s kritérii pro environmentálně udržitelné hospodářské činnosti</w:t>
      </w:r>
      <w:r>
        <w:rPr>
          <w:shd w:val="clear" w:color="auto" w:fill="FFFFFF"/>
        </w:rPr>
        <w:t xml:space="preserve"> stanovenými v </w:t>
      </w:r>
      <w:r>
        <w:t>článku 3 nařízení Evropského parlamentu a Rady (EU) 2020/852</w:t>
      </w:r>
      <w:r>
        <w:rPr>
          <w:rStyle w:val="FootnoteReference"/>
          <w:lang w:eastAsia="en-GB"/>
        </w:rPr>
        <w:footnoteReference w:id="10"/>
      </w:r>
      <w:r>
        <w:t>,</w:t>
      </w:r>
      <w:r>
        <w:rPr>
          <w:shd w:val="clear" w:color="auto" w:fill="FFFFFF"/>
        </w:rPr>
        <w:t xml:space="preserve"> včetně zásady „významně nepoškozovat“</w:t>
      </w:r>
      <w:r>
        <w:rPr>
          <w:rStyle w:val="FootnoteReference"/>
          <w:shd w:val="clear" w:color="auto" w:fill="FFFFFF"/>
        </w:rPr>
        <w:footnoteReference w:id="11"/>
      </w:r>
      <w:r>
        <w:rPr>
          <w:shd w:val="clear" w:color="auto" w:fill="FFFFFF"/>
        </w:rPr>
        <w:t>, nebo s jinými srovnatelnými metodikami.</w:t>
      </w:r>
    </w:p>
    <w:p w14:paraId="6DA71EEE" w14:textId="77777777" w:rsidR="004B2EF3" w:rsidRPr="00564B1B" w:rsidRDefault="004B2EF3" w:rsidP="004B2EF3">
      <w:pPr>
        <w:tabs>
          <w:tab w:val="left" w:leader="dot" w:pos="9072"/>
        </w:tabs>
        <w:spacing w:before="120" w:after="120"/>
        <w:ind w:left="567"/>
        <w:jc w:val="both"/>
      </w:pPr>
      <w:r>
        <w:tab/>
      </w:r>
    </w:p>
    <w:p w14:paraId="7EE65B5F" w14:textId="4B464544" w:rsidR="00B223A4" w:rsidRDefault="0070594E" w:rsidP="00207312">
      <w:pPr>
        <w:numPr>
          <w:ilvl w:val="0"/>
          <w:numId w:val="4"/>
        </w:numPr>
        <w:spacing w:after="240"/>
        <w:ind w:left="567" w:hanging="567"/>
        <w:jc w:val="both"/>
      </w:pPr>
      <w:r>
        <w:rPr>
          <w:color w:val="000000"/>
        </w:rPr>
        <w:t>Jak uvádí</w:t>
      </w:r>
      <w:r>
        <w:t xml:space="preserve"> bod 75 pokynů, v případech, kdy se členský stát rozhodne provést soutěžní nabídkové řízení, objasněte, zda oznámené opatření obsahuje prvky usnadňující účast malých a středních podniků nebo společenství pro obnovitelné zdroje. V případě kladné odpovědi uveďte informace o těchto prvcích a zdůvodněte, jak pozitivní účinky zajištění účasti a přijetí malých a středních podniků v rámci oznámeného opatření (oznámených opatřeních) převažují nad možnými rušivými účinky.</w:t>
      </w:r>
    </w:p>
    <w:p w14:paraId="02E6A627" w14:textId="4B5682B8" w:rsidR="004901DA" w:rsidRPr="00AC1973" w:rsidRDefault="004901DA" w:rsidP="00757930">
      <w:pPr>
        <w:pStyle w:val="ListParagraph"/>
        <w:spacing w:before="120" w:after="120"/>
        <w:ind w:left="567"/>
        <w:contextualSpacing w:val="0"/>
        <w:jc w:val="both"/>
      </w:pPr>
      <w:r>
        <w:t xml:space="preserve"> </w:t>
      </w:r>
      <w:r>
        <w:br/>
        <w:t>…………………………………………………………………………………………….</w:t>
      </w:r>
    </w:p>
    <w:p w14:paraId="060F166E" w14:textId="76EDD169" w:rsidR="00363A2F" w:rsidRDefault="00363A2F" w:rsidP="00207312">
      <w:pPr>
        <w:numPr>
          <w:ilvl w:val="0"/>
          <w:numId w:val="4"/>
        </w:numPr>
        <w:spacing w:after="240"/>
        <w:ind w:left="567" w:hanging="567"/>
        <w:jc w:val="both"/>
      </w:pPr>
      <w:r>
        <w:rPr>
          <w:color w:val="000000"/>
        </w:rPr>
        <w:t>Za</w:t>
      </w:r>
      <w:r>
        <w:t xml:space="preserve"> účelem prokázání souladu s body 368 a 369 pokynů:</w:t>
      </w:r>
    </w:p>
    <w:p w14:paraId="0D229619" w14:textId="5FC55C14" w:rsidR="000B0545" w:rsidRDefault="00C3175A" w:rsidP="00C25CA0">
      <w:pPr>
        <w:pStyle w:val="ListParagraph"/>
        <w:numPr>
          <w:ilvl w:val="0"/>
          <w:numId w:val="39"/>
        </w:numPr>
        <w:spacing w:before="120" w:after="120"/>
        <w:contextualSpacing w:val="0"/>
        <w:jc w:val="both"/>
      </w:pPr>
      <w:r>
        <w:t>Vysvětlete (pokud oznámené opatření motivuje k novým investicím do nejvíce znečišťujících fosilních paliv), zda opatření, včetně opatření týkajících se přetížení sítě a režimů přerušitelnosti, dodržuje prahové hodnoty emisí platné pro kapacitní mechanismy uvedené v článku 22 nařízení (EU) 2019/943.</w:t>
      </w:r>
    </w:p>
    <w:p w14:paraId="57AC9BB2" w14:textId="77E4A24F" w:rsidR="004901DA" w:rsidRPr="00363A2F" w:rsidRDefault="004901DA" w:rsidP="00217A1A">
      <w:pPr>
        <w:pStyle w:val="ListParagraph"/>
        <w:spacing w:before="120" w:after="120"/>
        <w:ind w:firstLine="414"/>
        <w:contextualSpacing w:val="0"/>
        <w:jc w:val="both"/>
      </w:pPr>
      <w:r>
        <w:t>................................................................................................</w:t>
      </w:r>
    </w:p>
    <w:p w14:paraId="220F0FE1" w14:textId="316A60D4" w:rsidR="00BE5CBB" w:rsidRDefault="006538C6" w:rsidP="00C25CA0">
      <w:pPr>
        <w:pStyle w:val="ListParagraph"/>
        <w:numPr>
          <w:ilvl w:val="0"/>
          <w:numId w:val="39"/>
        </w:numPr>
      </w:pPr>
      <w:r>
        <w:t>Vysvětlete (pokud oznámené opatření může motivovat k novým investicím do energetiky nebo průmyslové výroby založené na zemním plynu), jak toto opatření zajistí, že přispěje k dosažení cíle Unie v oblasti klimatu do roku 2030 a cíle klimatické neutrality do roku 2050. Zejména vysvětlete, jak zabrání ustrnutí na výrobě energie z plynu nebo ustrnutí na provozu výrobních zařízení na plyn.</w:t>
      </w:r>
    </w:p>
    <w:p w14:paraId="69839542" w14:textId="77777777" w:rsidR="00217A1A" w:rsidRDefault="00217A1A" w:rsidP="00217A1A">
      <w:pPr>
        <w:pStyle w:val="ListParagraph"/>
        <w:ind w:left="414" w:firstLine="720"/>
      </w:pPr>
    </w:p>
    <w:p w14:paraId="6565254D" w14:textId="64E61369" w:rsidR="004901DA" w:rsidRDefault="004901DA" w:rsidP="00217A1A">
      <w:pPr>
        <w:pStyle w:val="ListParagraph"/>
        <w:ind w:left="414" w:firstLine="720"/>
      </w:pPr>
      <w:r>
        <w:t>................................................................................................</w:t>
      </w:r>
    </w:p>
    <w:p w14:paraId="1BBB058D" w14:textId="77777777" w:rsidR="00B223A4" w:rsidRDefault="00B223A4" w:rsidP="00A32872">
      <w:pPr>
        <w:pStyle w:val="ListParagraph"/>
        <w:ind w:left="1418"/>
      </w:pPr>
    </w:p>
    <w:p w14:paraId="6D44EA64" w14:textId="7E07C59F" w:rsidR="00B223A4" w:rsidRPr="006538C6" w:rsidRDefault="00B223A4" w:rsidP="00207312">
      <w:pPr>
        <w:numPr>
          <w:ilvl w:val="0"/>
          <w:numId w:val="4"/>
        </w:numPr>
        <w:spacing w:after="240"/>
        <w:ind w:left="567" w:hanging="567"/>
        <w:jc w:val="both"/>
        <w:rPr>
          <w:szCs w:val="24"/>
        </w:rPr>
      </w:pPr>
      <w:r>
        <w:rPr>
          <w:color w:val="000000"/>
        </w:rPr>
        <w:t>U</w:t>
      </w:r>
      <w:r>
        <w:t xml:space="preserve"> </w:t>
      </w:r>
      <w:r>
        <w:rPr>
          <w:color w:val="333333"/>
          <w:shd w:val="clear" w:color="auto" w:fill="FFFFFF"/>
        </w:rPr>
        <w:t>jednotlivých opatření nebo režimů podpory, které jsou přínosem jen pro mimořádně omezený počet příjemců nebo pro stávajícího příjemce, navíc prokažte, že navrhované opatření podpory nepovede ke zvýšení tržní síly (bod 370 pokynů).</w:t>
      </w:r>
    </w:p>
    <w:p w14:paraId="642C246D" w14:textId="077B1239" w:rsidR="004B2EF3" w:rsidRDefault="004B2EF3" w:rsidP="004B2EF3">
      <w:pPr>
        <w:tabs>
          <w:tab w:val="left" w:leader="dot" w:pos="9072"/>
        </w:tabs>
        <w:spacing w:before="120" w:after="120"/>
        <w:ind w:left="567"/>
        <w:jc w:val="both"/>
      </w:pPr>
      <w:r>
        <w:tab/>
      </w:r>
    </w:p>
    <w:p w14:paraId="405B356B" w14:textId="77777777" w:rsidR="00BE5CBB" w:rsidRDefault="00BE5CBB" w:rsidP="004B2EF3">
      <w:pPr>
        <w:tabs>
          <w:tab w:val="left" w:leader="dot" w:pos="9072"/>
        </w:tabs>
        <w:spacing w:before="120" w:after="120"/>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lastRenderedPageBreak/>
              <w:t>Oddíl C: Hodnocení</w:t>
            </w:r>
          </w:p>
        </w:tc>
      </w:tr>
    </w:tbl>
    <w:p w14:paraId="78AC9B95" w14:textId="1FB76E7E" w:rsidR="00C33721" w:rsidRPr="0051324D" w:rsidRDefault="00C33721" w:rsidP="005C6138">
      <w:pPr>
        <w:tabs>
          <w:tab w:val="left" w:leader="dot" w:pos="9072"/>
        </w:tabs>
        <w:spacing w:before="120" w:after="120"/>
        <w:ind w:left="567"/>
        <w:jc w:val="both"/>
      </w:pPr>
      <w:r>
        <w:rPr>
          <w:i/>
        </w:rPr>
        <w:t>Pro poskytnutí informací v tomto oddíle viz bod 76 písm. a) a kapitola 5 (body 455–463) pokynů.</w:t>
      </w:r>
    </w:p>
    <w:p w14:paraId="319011B2" w14:textId="6538C74F" w:rsidR="002F3E3B" w:rsidRDefault="002F3E3B" w:rsidP="00207312">
      <w:pPr>
        <w:numPr>
          <w:ilvl w:val="0"/>
          <w:numId w:val="4"/>
        </w:numPr>
        <w:spacing w:after="240"/>
        <w:ind w:left="567" w:hanging="567"/>
        <w:jc w:val="both"/>
      </w:pPr>
      <w:r>
        <w:t>Pokud oznámené opatření (oznámená opatření) překračuje (překračují) prahové hodnoty rozpočtu/výdajů uvedené v bodě 456 pokynů, vysvětlete, proč by se podle vašeho názoru měla uplatnit výjimka uvedená v bodě 457 pokynů, nebo k tomuto oznamovacímu formuláři přiložte přílohu, která obsahuje návrh plánu hodnocení zahrnujícího rozsah uvedený v bodě 458 pokynů</w:t>
      </w:r>
      <w:r>
        <w:rPr>
          <w:vertAlign w:val="superscript"/>
          <w:lang w:eastAsia="en-GB"/>
        </w:rPr>
        <w:footnoteReference w:id="12"/>
      </w:r>
      <w: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Pokud je k dispozici návrh plánu hodnocení:</w:t>
      </w:r>
    </w:p>
    <w:p w14:paraId="2E38E9A8" w14:textId="77777777" w:rsidR="00237F5F" w:rsidRDefault="00237F5F" w:rsidP="00C25CA0">
      <w:pPr>
        <w:numPr>
          <w:ilvl w:val="2"/>
          <w:numId w:val="28"/>
        </w:numPr>
        <w:ind w:left="1134" w:hanging="283"/>
      </w:pPr>
      <w:r>
        <w:t>níže uveďte shrnutí tohoto návrhu plánu hodnocení, který je uveden v příloze;</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C25CA0">
      <w:pPr>
        <w:numPr>
          <w:ilvl w:val="2"/>
          <w:numId w:val="28"/>
        </w:numPr>
        <w:ind w:left="1134" w:hanging="283"/>
      </w:pPr>
      <w:r>
        <w:t>potvrďte, že bude dodržen bod 460 pokynů;</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C25CA0">
      <w:pPr>
        <w:numPr>
          <w:ilvl w:val="2"/>
          <w:numId w:val="28"/>
        </w:numPr>
        <w:ind w:left="1134" w:hanging="283"/>
      </w:pPr>
      <w:r>
        <w:t>uveďte datum a internetový odkaz, kde bude plán hodnocení veřejně dostupný.</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Default="00576C43" w:rsidP="00207312">
      <w:pPr>
        <w:numPr>
          <w:ilvl w:val="0"/>
          <w:numId w:val="4"/>
        </w:numPr>
        <w:spacing w:after="240"/>
        <w:ind w:left="567" w:hanging="567"/>
        <w:jc w:val="both"/>
      </w:pPr>
      <w:r>
        <w:t xml:space="preserve">Za účelem ověření souladu s bodem 459 písm. b) pokynů, pokud režim podpory v současné době nepodléhá hodnocení </w:t>
      </w:r>
      <w:r>
        <w:rPr>
          <w:i/>
        </w:rPr>
        <w:t>ex post</w:t>
      </w:r>
      <w: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rPr>
          <w:color w:val="000000"/>
        </w:rPr>
        <w:t>Za</w:t>
      </w:r>
      <w:r>
        <w:t xml:space="preserve"> účelem ověření souladu s bodem 459 písm. c) pokynů, pokud režim podpory v současné době nepodléhá hodnocení </w:t>
      </w:r>
      <w:r>
        <w:rPr>
          <w:i/>
        </w:rPr>
        <w:t>ex post</w:t>
      </w:r>
      <w:r>
        <w:t xml:space="preserve">, uveďte níže závazek, že členský stát oznámí návrh plánu hodnocení </w:t>
      </w:r>
      <w:r>
        <w:rPr>
          <w:shd w:val="clear" w:color="auto" w:fill="FFFFFF"/>
        </w:rPr>
        <w:t>do 30 pracovních dnů poté, co byly v oficiálních účtech zaznamenány výdaje překračující 150 milionů EUR v minulém roce</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V souladu s ustanoveními bodu 461 pokynů:</w:t>
      </w:r>
    </w:p>
    <w:p w14:paraId="516B7EF0" w14:textId="6220BF62" w:rsidR="0012481A" w:rsidRDefault="00277BC0" w:rsidP="00C25CA0">
      <w:pPr>
        <w:numPr>
          <w:ilvl w:val="0"/>
          <w:numId w:val="40"/>
        </w:numPr>
        <w:jc w:val="both"/>
      </w:pPr>
      <w:r>
        <w:t>Upřesněte, zda již byl vybrán nezávislý odborník, nebo zda bude vybrán v budoucnu.</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4743F928" w:rsidR="0012481A" w:rsidRPr="0012481A" w:rsidRDefault="00277BC0" w:rsidP="00C25CA0">
      <w:pPr>
        <w:numPr>
          <w:ilvl w:val="0"/>
          <w:numId w:val="40"/>
        </w:numPr>
        <w:jc w:val="both"/>
      </w:pPr>
      <w:r>
        <w:t>Uveďte informace o výběrovém řízení na odborníka.</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77777777" w:rsidR="0012481A" w:rsidRDefault="00277BC0" w:rsidP="00C25CA0">
      <w:pPr>
        <w:numPr>
          <w:ilvl w:val="0"/>
          <w:numId w:val="40"/>
        </w:numPr>
        <w:jc w:val="both"/>
      </w:pPr>
      <w:r>
        <w:t>Zdůvodněte, jak je odborník nezávislý na orgánu, který poskytuje podporu.</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V souladu s ustanoveními bodu 461 pokynů:</w:t>
      </w:r>
    </w:p>
    <w:p w14:paraId="56904831" w14:textId="2B9E8697" w:rsidR="007F77C3" w:rsidRDefault="002C0264" w:rsidP="00C25CA0">
      <w:pPr>
        <w:numPr>
          <w:ilvl w:val="0"/>
          <w:numId w:val="41"/>
        </w:numPr>
        <w:spacing w:before="240"/>
        <w:jc w:val="both"/>
      </w:pPr>
      <w: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4B010BD2" w14:textId="1FB7DA35" w:rsidR="0012481A" w:rsidRPr="0012481A" w:rsidRDefault="007F77C3" w:rsidP="00E760AF">
      <w:pPr>
        <w:spacing w:before="240"/>
        <w:ind w:left="414" w:firstLine="720"/>
        <w:jc w:val="both"/>
      </w:pPr>
      <w:r>
        <w:t>…………………………………………………………………………………........</w:t>
      </w:r>
    </w:p>
    <w:p w14:paraId="36D10D21" w14:textId="79E1493E" w:rsidR="00F776CB" w:rsidRDefault="0036428C" w:rsidP="00C25CA0">
      <w:pPr>
        <w:numPr>
          <w:ilvl w:val="0"/>
          <w:numId w:val="41"/>
        </w:numPr>
        <w:spacing w:before="240"/>
        <w:jc w:val="both"/>
      </w:pPr>
      <w:r>
        <w:t xml:space="preserve">Potvrďte, že průběžná a závěrečná hodnotící zpráva budou zveřejněny. Uveďte datum a internetový odkaz, kde budou tyto zprávy veřejně dostupné.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Oddíl D: Předkládání zpráv a sledování</w:t>
            </w:r>
          </w:p>
        </w:tc>
      </w:tr>
    </w:tbl>
    <w:p w14:paraId="56258899" w14:textId="77777777" w:rsidR="003C4F59" w:rsidRDefault="003C4F59" w:rsidP="004B2EF3">
      <w:pPr>
        <w:ind w:left="-567" w:firstLine="1412"/>
      </w:pPr>
    </w:p>
    <w:p w14:paraId="3FD434B7" w14:textId="3B8933C3" w:rsidR="00F776CB" w:rsidRPr="00F776CB" w:rsidRDefault="00F776CB" w:rsidP="00F776CB">
      <w:r>
        <w:rPr>
          <w:i/>
        </w:rPr>
        <w:t>Pro poskytnutí informací v tomto oddíle viz oddíl 6 (body 464–465) pokynů.</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rPr>
          <w:color w:val="000000"/>
        </w:rPr>
        <w:t>Potvrďte</w:t>
      </w:r>
      <w:r>
        <w:t>, že členský stát splní požadavky na předkládání zpráv a sledování stanovené v oddíle 6 bodech 464 a 465 pokynů.</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47BB883D" w14:textId="05B8D7B1" w:rsidR="00F776CB" w:rsidRDefault="00F776CB" w:rsidP="00757930">
      <w:pPr>
        <w:pStyle w:val="ListParagraph"/>
        <w:spacing w:before="120" w:after="120"/>
        <w:ind w:left="1854"/>
        <w:contextualSpacing w:val="0"/>
        <w:jc w:val="both"/>
      </w:pP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t>17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Úř. věst. C 80, 18.2.2022, s. 1.</w:t>
      </w:r>
    </w:p>
  </w:footnote>
  <w:footnote w:id="3">
    <w:p w14:paraId="25384A16" w14:textId="699CB629" w:rsidR="00FA6EB5" w:rsidRPr="009F1C3C" w:rsidRDefault="00FA6EB5">
      <w:pPr>
        <w:pStyle w:val="FootnoteText"/>
      </w:pPr>
      <w:r>
        <w:rPr>
          <w:rStyle w:val="FootnoteReference"/>
        </w:rPr>
        <w:footnoteRef/>
      </w:r>
      <w:r>
        <w:t xml:space="preserve"> </w:t>
      </w:r>
      <w:r>
        <w:tab/>
        <w:t>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4">
    <w:p w14:paraId="3A3265CA" w14:textId="77777777" w:rsidR="00B22D69" w:rsidRPr="0067348B" w:rsidRDefault="00B22D69" w:rsidP="00B22D69">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590F3FC7" w14:textId="30CB4935" w:rsidR="00E55520" w:rsidRDefault="00E55520" w:rsidP="00821F07">
      <w:pPr>
        <w:pStyle w:val="FootnoteText"/>
      </w:pPr>
      <w:r>
        <w:rPr>
          <w:rStyle w:val="FootnoteReference"/>
        </w:rPr>
        <w:footnoteRef/>
      </w:r>
      <w:r>
        <w:t xml:space="preserve"> </w:t>
      </w:r>
      <w:r>
        <w:tab/>
        <w:t>Podle bodu 19 podbodu 89 pokynů se „normou Unie“ rozumí:</w:t>
      </w:r>
    </w:p>
    <w:p w14:paraId="340A0B20" w14:textId="77777777" w:rsidR="00E55520" w:rsidRPr="004B74BC" w:rsidRDefault="00E55520" w:rsidP="00C25CA0">
      <w:pPr>
        <w:pStyle w:val="FootnoteText"/>
        <w:numPr>
          <w:ilvl w:val="0"/>
          <w:numId w:val="27"/>
        </w:numPr>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02AC4E0B" w14:textId="14D21BDD" w:rsidR="00E55520" w:rsidRDefault="00E55520" w:rsidP="00C25CA0">
      <w:pPr>
        <w:pStyle w:val="FootnoteText"/>
        <w:numPr>
          <w:ilvl w:val="0"/>
          <w:numId w:val="27"/>
        </w:numPr>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6">
    <w:p w14:paraId="6598727F" w14:textId="2CE0C196" w:rsidR="00E55520" w:rsidRDefault="00E55520">
      <w:pPr>
        <w:pStyle w:val="FootnoteText"/>
      </w:pPr>
      <w:r>
        <w:rPr>
          <w:rStyle w:val="FootnoteReference"/>
        </w:rPr>
        <w:footnoteRef/>
      </w:r>
      <w:r>
        <w:t xml:space="preserve"> </w:t>
      </w:r>
      <w:r>
        <w:tab/>
        <w:t xml:space="preserve">Upozorňujeme, že v poznámce pod čarou č. 42 pokynů se uvádí: </w:t>
      </w:r>
      <w:r>
        <w:rPr>
          <w:i/>
        </w:rPr>
        <w:t>„</w:t>
      </w:r>
      <w:r>
        <w:rPr>
          <w:i/>
          <w:color w:val="000000"/>
          <w:sz w:val="19"/>
          <w:shd w:val="clear" w:color="auto" w:fill="FFFFFF"/>
        </w:rPr>
        <w:t>Neměly by být stanoveny horní nebo dolní limity cen, třeba i na nulové úrovni, protože omezují soutěžní řízení a narušují přiměřenost.“</w:t>
      </w:r>
    </w:p>
  </w:footnote>
  <w:footnote w:id="7">
    <w:p w14:paraId="7BF90FA8" w14:textId="77777777" w:rsidR="0003031C" w:rsidRPr="0095488F" w:rsidRDefault="0003031C" w:rsidP="0003031C">
      <w:pPr>
        <w:pStyle w:val="FootnoteText"/>
      </w:pPr>
      <w:r>
        <w:rPr>
          <w:rStyle w:val="FootnoteReference"/>
        </w:rPr>
        <w:footnoteRef/>
      </w:r>
      <w:r>
        <w:t xml:space="preserve"> </w:t>
      </w:r>
      <w:r>
        <w:tab/>
        <w:t>Viz také další informace v bodech 51–53 a poznámky pod čarou č. 45, 46 a 55 pokynů.</w:t>
      </w:r>
    </w:p>
  </w:footnote>
  <w:footnote w:id="8">
    <w:p w14:paraId="086AD512" w14:textId="7087BE19" w:rsidR="00E55520" w:rsidRDefault="00E55520">
      <w:pPr>
        <w:pStyle w:val="FootnoteText"/>
      </w:pPr>
      <w:r>
        <w:rPr>
          <w:rStyle w:val="FootnoteReference"/>
        </w:rPr>
        <w:footnoteRef/>
      </w:r>
      <w:r>
        <w:t xml:space="preserve"> </w:t>
      </w:r>
      <w:r>
        <w:tab/>
        <w:t>Centrálně řízené financování ze strany Unie je financování ze strany Unie, které řídí orgány, agentury, společné podniky nebo jiné subjekty Evropské unie, které nejsou přímo ani nepřímo pod kontrolou členského státu.</w:t>
      </w:r>
    </w:p>
  </w:footnote>
  <w:footnote w:id="9">
    <w:p w14:paraId="46FDB4C5" w14:textId="626320F5" w:rsidR="00E308B3" w:rsidRPr="004A1D89" w:rsidRDefault="00E308B3">
      <w:pPr>
        <w:pStyle w:val="FootnoteText"/>
      </w:pPr>
      <w:r>
        <w:rPr>
          <w:rStyle w:val="FootnoteReference"/>
        </w:rPr>
        <w:footnoteRef/>
      </w:r>
      <w:r>
        <w:t xml:space="preserve"> </w:t>
      </w:r>
      <w:r>
        <w:tab/>
        <w:t>Podle bodu 367 pokynů „</w:t>
      </w:r>
      <w:r>
        <w:rPr>
          <w:i/>
        </w:rPr>
        <w:t>[t]</w:t>
      </w:r>
      <w:proofErr w:type="spellStart"/>
      <w:r>
        <w:rPr>
          <w:i/>
        </w:rPr>
        <w:t>akové</w:t>
      </w:r>
      <w:proofErr w:type="spellEnd"/>
      <w:r>
        <w:rPr>
          <w:i/>
        </w:rPr>
        <w:t xml:space="preserve"> rozdělení nákladů [...] nemusí být vyžadováno, pokud členský stát předloží analýzu založenou na důkazech včetně důkazů shromážděných v rámci veřejné konzultace, z níž vyplývá, že rozdělení nákladů tímto způsobem by narušilo nákladovou efektivnost daného opatření nebo by vedlo k závažným narušením hospodářské soutěže, která by zjevně oslabila potenciální přínosy takového rozdělení nákladů</w:t>
      </w:r>
      <w:r>
        <w:t>.“</w:t>
      </w:r>
    </w:p>
  </w:footnote>
  <w:footnote w:id="10">
    <w:p w14:paraId="02AA3570" w14:textId="77777777" w:rsidR="00E55520" w:rsidRPr="008772CC" w:rsidRDefault="00E55520" w:rsidP="004B2EF3">
      <w:pPr>
        <w:pStyle w:val="FootnoteText"/>
      </w:pPr>
      <w:r>
        <w:rPr>
          <w:rStyle w:val="FootnoteReference"/>
        </w:rPr>
        <w:footnoteRef/>
      </w:r>
      <w:r>
        <w:t xml:space="preserve"> </w:t>
      </w:r>
      <w:r>
        <w:tab/>
        <w:t>Nařízení Evropského parlamentu a Rady (EU) 2020/852 ze dne 18. června 2020 o zřízení rámce pro usnadnění udržitelných investic a o změně nařízení (EU) 2019/2088 (Úř. věst. L 198, 22.6.2020, s. 13).</w:t>
      </w:r>
    </w:p>
  </w:footnote>
  <w:footnote w:id="11">
    <w:p w14:paraId="56D0AFFA" w14:textId="77777777" w:rsidR="00E55520" w:rsidRDefault="00E55520" w:rsidP="004B2EF3">
      <w:pPr>
        <w:pStyle w:val="FootnoteText"/>
      </w:pPr>
      <w:r>
        <w:rPr>
          <w:rStyle w:val="FootnoteReference"/>
        </w:rPr>
        <w:footnoteRef/>
      </w:r>
      <w:r>
        <w:t xml:space="preserve"> </w:t>
      </w:r>
      <w:r>
        <w:tab/>
        <w:t xml:space="preserve">Vezměte na vědomí, že podle poznámky pod čarou č. 50 pokynů </w:t>
      </w:r>
      <w:r>
        <w:rPr>
          <w:i/>
          <w:color w:val="000000"/>
          <w:sz w:val="19"/>
          <w:shd w:val="clear" w:color="auto" w:fill="FFFFFF"/>
        </w:rPr>
        <w:t>„[U] opatření, která jsou totožná s opatřeními obsaženými v Radou schválených plánech pro oživení a odolnost, se má za to, že soulad se zásadou „významně nepoškozovat“ je dosažen, protože již byl ověřen“</w:t>
      </w:r>
      <w:r>
        <w:rPr>
          <w:color w:val="000000"/>
          <w:sz w:val="19"/>
          <w:shd w:val="clear" w:color="auto" w:fill="FFFFFF"/>
        </w:rPr>
        <w:t>.</w:t>
      </w:r>
    </w:p>
  </w:footnote>
  <w:footnote w:id="12">
    <w:p w14:paraId="4C240C5F" w14:textId="77777777" w:rsidR="002F3E3B" w:rsidRDefault="002F3E3B" w:rsidP="002F3E3B">
      <w:pPr>
        <w:pStyle w:val="FootnoteText"/>
      </w:pPr>
      <w:r>
        <w:rPr>
          <w:rStyle w:val="FootnoteReference"/>
        </w:rPr>
        <w:footnoteRef/>
      </w:r>
      <w:r>
        <w:t xml:space="preserve"> </w:t>
      </w:r>
      <w:r>
        <w:tab/>
        <w:t xml:space="preserve">Vzor doplňkového informačního listu pro oznámení plánu hodnocení (část III.8) je k dispozici zde: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572072"/>
    <w:multiLevelType w:val="hybridMultilevel"/>
    <w:tmpl w:val="06D697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1"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5403095"/>
    <w:multiLevelType w:val="hybridMultilevel"/>
    <w:tmpl w:val="06D69776"/>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8"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19"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067274"/>
    <w:multiLevelType w:val="hybridMultilevel"/>
    <w:tmpl w:val="06D697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095BD2"/>
    <w:multiLevelType w:val="hybridMultilevel"/>
    <w:tmpl w:val="06D697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60404938">
    <w:abstractNumId w:val="8"/>
  </w:num>
  <w:num w:numId="2" w16cid:durableId="167333053">
    <w:abstractNumId w:val="12"/>
  </w:num>
  <w:num w:numId="3" w16cid:durableId="18915775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36"/>
  </w:num>
  <w:num w:numId="5" w16cid:durableId="21259982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25"/>
  </w:num>
  <w:num w:numId="7" w16cid:durableId="1226913539">
    <w:abstractNumId w:val="20"/>
  </w:num>
  <w:num w:numId="8" w16cid:durableId="599215065">
    <w:abstractNumId w:val="7"/>
  </w:num>
  <w:num w:numId="9" w16cid:durableId="2031644641">
    <w:abstractNumId w:val="5"/>
  </w:num>
  <w:num w:numId="10" w16cid:durableId="1092891155">
    <w:abstractNumId w:val="34"/>
  </w:num>
  <w:num w:numId="11" w16cid:durableId="1907104691">
    <w:abstractNumId w:val="37"/>
  </w:num>
  <w:num w:numId="12" w16cid:durableId="51199480">
    <w:abstractNumId w:val="35"/>
  </w:num>
  <w:num w:numId="13" w16cid:durableId="1976720153">
    <w:abstractNumId w:val="39"/>
  </w:num>
  <w:num w:numId="14" w16cid:durableId="1375690653">
    <w:abstractNumId w:val="16"/>
  </w:num>
  <w:num w:numId="15" w16cid:durableId="1240402151">
    <w:abstractNumId w:val="28"/>
  </w:num>
  <w:num w:numId="16" w16cid:durableId="975187432">
    <w:abstractNumId w:val="3"/>
  </w:num>
  <w:num w:numId="17" w16cid:durableId="1867600656">
    <w:abstractNumId w:val="31"/>
  </w:num>
  <w:num w:numId="18" w16cid:durableId="503472073">
    <w:abstractNumId w:val="1"/>
  </w:num>
  <w:num w:numId="19" w16cid:durableId="1784031062">
    <w:abstractNumId w:val="0"/>
  </w:num>
  <w:num w:numId="20" w16cid:durableId="1439989596">
    <w:abstractNumId w:val="4"/>
  </w:num>
  <w:num w:numId="21" w16cid:durableId="1016275709">
    <w:abstractNumId w:val="14"/>
  </w:num>
  <w:num w:numId="22" w16cid:durableId="151063031">
    <w:abstractNumId w:val="23"/>
  </w:num>
  <w:num w:numId="23" w16cid:durableId="53816324">
    <w:abstractNumId w:val="11"/>
  </w:num>
  <w:num w:numId="24" w16cid:durableId="1094087480">
    <w:abstractNumId w:val="32"/>
  </w:num>
  <w:num w:numId="25" w16cid:durableId="1749956519">
    <w:abstractNumId w:val="19"/>
  </w:num>
  <w:num w:numId="26" w16cid:durableId="190800748">
    <w:abstractNumId w:val="9"/>
  </w:num>
  <w:num w:numId="27" w16cid:durableId="397703930">
    <w:abstractNumId w:val="24"/>
  </w:num>
  <w:num w:numId="28" w16cid:durableId="2000887330">
    <w:abstractNumId w:val="2"/>
  </w:num>
  <w:num w:numId="29" w16cid:durableId="404423481">
    <w:abstractNumId w:val="38"/>
  </w:num>
  <w:num w:numId="30" w16cid:durableId="962618137">
    <w:abstractNumId w:val="10"/>
  </w:num>
  <w:num w:numId="31" w16cid:durableId="1390108512">
    <w:abstractNumId w:val="13"/>
  </w:num>
  <w:num w:numId="32" w16cid:durableId="55207693">
    <w:abstractNumId w:val="27"/>
  </w:num>
  <w:num w:numId="33" w16cid:durableId="1832794821">
    <w:abstractNumId w:val="30"/>
  </w:num>
  <w:num w:numId="34" w16cid:durableId="1959412921">
    <w:abstractNumId w:val="15"/>
  </w:num>
  <w:num w:numId="35" w16cid:durableId="196967872">
    <w:abstractNumId w:val="40"/>
  </w:num>
  <w:num w:numId="36" w16cid:durableId="2031370701">
    <w:abstractNumId w:val="21"/>
  </w:num>
  <w:num w:numId="37" w16cid:durableId="127818530">
    <w:abstractNumId w:val="18"/>
  </w:num>
  <w:num w:numId="38" w16cid:durableId="1153106637">
    <w:abstractNumId w:val="17"/>
  </w:num>
  <w:num w:numId="39" w16cid:durableId="1098987479">
    <w:abstractNumId w:val="33"/>
  </w:num>
  <w:num w:numId="40" w16cid:durableId="239097037">
    <w:abstractNumId w:val="22"/>
  </w:num>
  <w:num w:numId="41" w16cid:durableId="1837695274">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9FF"/>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CA0"/>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1F3B"/>
    <w:rsid w:val="00EB2530"/>
    <w:rsid w:val="00EB2A67"/>
    <w:rsid w:val="00EB2CDE"/>
    <w:rsid w:val="00EB33B1"/>
    <w:rsid w:val="00EB4633"/>
    <w:rsid w:val="00EB4C63"/>
    <w:rsid w:val="00EB5D7F"/>
    <w:rsid w:val="00EB6682"/>
    <w:rsid w:val="00EB729D"/>
    <w:rsid w:val="00EC2254"/>
    <w:rsid w:val="00EC2A7D"/>
    <w:rsid w:val="00EC47CD"/>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36"/>
      </w:numPr>
      <w:spacing w:line="360" w:lineRule="auto"/>
    </w:pPr>
  </w:style>
  <w:style w:type="paragraph" w:customStyle="1" w:styleId="LegalNumPar2">
    <w:name w:val="LegalNumPar2"/>
    <w:basedOn w:val="Normal"/>
    <w:rsid w:val="00DD7FD6"/>
    <w:pPr>
      <w:numPr>
        <w:ilvl w:val="1"/>
        <w:numId w:val="36"/>
      </w:numPr>
      <w:spacing w:line="360" w:lineRule="auto"/>
    </w:pPr>
  </w:style>
  <w:style w:type="paragraph" w:customStyle="1" w:styleId="LegalNumPar3">
    <w:name w:val="LegalNumPar3"/>
    <w:basedOn w:val="Normal"/>
    <w:rsid w:val="00DD7FD6"/>
    <w:pPr>
      <w:numPr>
        <w:ilvl w:val="2"/>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4684</Words>
  <Characters>30546</Characters>
  <Application>Microsoft Office Word</Application>
  <DocSecurity>0</DocSecurity>
  <Lines>678</Lines>
  <Paragraphs>284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5</cp:revision>
  <cp:lastPrinted>2024-05-22T14:05:00Z</cp:lastPrinted>
  <dcterms:created xsi:type="dcterms:W3CDTF">2024-08-29T09:58:00Z</dcterms:created>
  <dcterms:modified xsi:type="dcterms:W3CDTF">2024-09-11T13:13:00Z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