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III.6. rész </w:t>
            </w:r>
          </w:p>
          <w:p w14:paraId="1C239D2C" w14:textId="064091AB" w:rsidR="000442F5" w:rsidRPr="009916D5" w:rsidRDefault="004569F7" w:rsidP="007B485D">
            <w:pPr>
              <w:pStyle w:val="Heading2"/>
              <w:spacing w:before="240" w:after="240"/>
              <w:jc w:val="center"/>
              <w:rPr>
                <w:sz w:val="32"/>
                <w:szCs w:val="32"/>
              </w:rPr>
            </w:pPr>
            <w:r>
              <w:rPr>
                <w:sz w:val="32"/>
              </w:rPr>
              <w:t>Kiegészítő adatlap az éghajlatvédelmi, a környezetvédelmi és energetikai állami támogatásokról szóló 2022. évi iránymutatás</w:t>
            </w:r>
            <w:r w:rsidR="007B485D" w:rsidRPr="009916D5">
              <w:rPr>
                <w:sz w:val="32"/>
                <w:szCs w:val="32"/>
                <w:vertAlign w:val="superscript"/>
              </w:rPr>
              <w:footnoteReference w:id="2"/>
            </w:r>
            <w:r>
              <w:rPr>
                <w:sz w:val="32"/>
              </w:rPr>
              <w:t xml:space="preserve"> alapján nyújtott állami támogatáshoz – *Frissített változat</w:t>
            </w:r>
            <w:bookmarkEnd w:id="0"/>
            <w:bookmarkEnd w:id="1"/>
          </w:p>
          <w:p w14:paraId="6C6A60C7" w14:textId="431AC8F9" w:rsidR="002B52B3" w:rsidRDefault="002B52B3" w:rsidP="00A31B5C">
            <w:pPr>
              <w:jc w:val="center"/>
              <w:rPr>
                <w:sz w:val="32"/>
                <w:szCs w:val="32"/>
              </w:rPr>
            </w:pPr>
            <w:r>
              <w:rPr>
                <w:sz w:val="32"/>
              </w:rPr>
              <w:t>4.8. fejezet – A villamosenergia-ellátás biztonsága érdekében nyújtott támogatás</w:t>
            </w:r>
          </w:p>
          <w:p w14:paraId="243D1A50" w14:textId="77777777" w:rsidR="004569F7" w:rsidRDefault="004569F7" w:rsidP="00A31B5C">
            <w:pPr>
              <w:jc w:val="center"/>
            </w:pPr>
          </w:p>
          <w:p w14:paraId="469DC4EF" w14:textId="68811B32" w:rsidR="004569F7" w:rsidRPr="00711243" w:rsidRDefault="004569F7" w:rsidP="00E54DE8">
            <w:pPr>
              <w:numPr>
                <w:ilvl w:val="0"/>
                <w:numId w:val="32"/>
              </w:numPr>
            </w:pPr>
            <w:r>
              <w:rPr>
                <w:highlight w:val="yellow"/>
              </w:rPr>
              <w:t>hivatalosan még nem fogadták el</w:t>
            </w:r>
          </w:p>
        </w:tc>
      </w:tr>
    </w:tbl>
    <w:p w14:paraId="5F26D476" w14:textId="0645BA6F" w:rsidR="000442F5" w:rsidRPr="00711243" w:rsidRDefault="000442F5" w:rsidP="000442F5">
      <w:pPr>
        <w:spacing w:before="120" w:after="120"/>
        <w:ind w:right="-142"/>
        <w:jc w:val="both"/>
        <w:rPr>
          <w:i/>
          <w:iCs/>
        </w:rPr>
      </w:pPr>
      <w:r>
        <w:rPr>
          <w:i/>
        </w:rPr>
        <w:t>Ezt a bejelentési formanyomtatványt kell használni az éghajlatvédelmi, a környezetvédelmi és energetikai állami támogatásokról szóló 2022. évi iránymutatás (a továbbiakban: az iránymutatás) hatálya alá tartozó valamennyi támogatás bejelentéséhez.</w:t>
      </w:r>
    </w:p>
    <w:p w14:paraId="1B60656B" w14:textId="76210670" w:rsidR="009E2EA1" w:rsidRPr="00711243" w:rsidRDefault="0072538B" w:rsidP="009E2EA1">
      <w:pPr>
        <w:spacing w:before="120" w:after="120"/>
        <w:ind w:right="-142"/>
        <w:jc w:val="both"/>
        <w:rPr>
          <w:i/>
          <w:iCs/>
        </w:rPr>
      </w:pPr>
      <w:r>
        <w:rPr>
          <w:i/>
        </w:rPr>
        <w:t>Ez a bejelentési formanyomtatvány az iránymutatás 4.8. szakaszának hatálya alá tartozó intézkedésekre vonatkozik. Ha a bejelentésben olyan intézkedések szerepelnek, amelyekre az iránymutatás több szakasza is vonatkozik, kérjük, töltse ki az iránymutatás megfelelő szakaszához kapcsolódó bejelentési formanyomtatványt.</w:t>
      </w:r>
    </w:p>
    <w:p w14:paraId="05E36007" w14:textId="57A7067D" w:rsidR="009E2EA1" w:rsidRPr="00711243" w:rsidRDefault="009E2EA1" w:rsidP="009E2EA1">
      <w:pPr>
        <w:spacing w:before="120" w:after="120"/>
        <w:ind w:right="-142"/>
        <w:jc w:val="both"/>
        <w:rPr>
          <w:i/>
          <w:iCs/>
        </w:rPr>
      </w:pPr>
      <w:r>
        <w:rPr>
          <w:i/>
        </w:rPr>
        <w:t>A bejelentési formanyomtatvány mellékleteként a tagállamok által benyújtott valamennyi dokumentumot meg kell számozni, és a dokumentumok számát fel kell tüntetni e bejelentési formanyomtatvány vonatkozó szakaszában.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 szakasz: A bejelentett intézkedés(ek) fő jellemzőinek összefoglalása</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A bejelentett intézkedés(ek) háttere és célkitűzése(i)</w:t>
      </w:r>
    </w:p>
    <w:p w14:paraId="1FADA2B1" w14:textId="573EB419" w:rsidR="00FA0034" w:rsidRPr="00FA0034" w:rsidRDefault="004569F7" w:rsidP="00E54DE8">
      <w:pPr>
        <w:numPr>
          <w:ilvl w:val="0"/>
          <w:numId w:val="33"/>
        </w:numPr>
        <w:spacing w:before="120" w:after="120"/>
        <w:ind w:left="993" w:hanging="142"/>
        <w:jc w:val="both"/>
      </w:pPr>
      <w:r>
        <w:t xml:space="preserve">Amennyiben az általános adatlap (I. rész) 5.2. szakaszában még nem ismertette, kérjük, ismertesse az intézkedés hátterét és fő célkitűzését. </w:t>
      </w:r>
    </w:p>
    <w:p w14:paraId="451635D8" w14:textId="7F94896F" w:rsidR="00FA0034" w:rsidRPr="00FA0034" w:rsidRDefault="00FA0034" w:rsidP="00FA0034">
      <w:pPr>
        <w:spacing w:before="120" w:after="120"/>
        <w:ind w:left="993"/>
        <w:jc w:val="both"/>
      </w:pPr>
      <w:r>
        <w:t>………………………………………………………………………………………..</w:t>
      </w:r>
    </w:p>
    <w:p w14:paraId="4FAD80FF" w14:textId="6C00F52A" w:rsidR="00B350DB" w:rsidRPr="00FA0034" w:rsidRDefault="00B350DB" w:rsidP="00E54DE8">
      <w:pPr>
        <w:numPr>
          <w:ilvl w:val="0"/>
          <w:numId w:val="33"/>
        </w:numPr>
        <w:ind w:left="993" w:hanging="142"/>
        <w:rPr>
          <w:szCs w:val="24"/>
        </w:rPr>
      </w:pPr>
      <w:r>
        <w:t>Kérjük, tüntesse fel az intézkedés bármilyen egyéb célkitűzését. A nem kizárólag a villamosenergia-ellátás biztonságára vagy környezetvédelemre vonatkozó célkitűzések esetében kérjük, fejtse ki, hogy torzulást eredményezhetnek-e a belső piacon.</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Hatálybalépés és időtartam:</w:t>
      </w:r>
    </w:p>
    <w:p w14:paraId="3951E532" w14:textId="5BB35D03" w:rsidR="00FD5F79" w:rsidRPr="00FA6EB5" w:rsidRDefault="00FA6EB5" w:rsidP="00E54DE8">
      <w:pPr>
        <w:numPr>
          <w:ilvl w:val="0"/>
          <w:numId w:val="37"/>
        </w:numPr>
        <w:rPr>
          <w:szCs w:val="24"/>
        </w:rPr>
      </w:pPr>
      <w:r>
        <w:t>Amennyiben az általános adatlap (I. rész) 5.5. szakaszában még nem tüntette fel, kérjük, tüntesse fel az intézkedés(ek) tervezett hatálybalépésének időpontját.</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E54DE8">
      <w:pPr>
        <w:pStyle w:val="ListParagraph"/>
        <w:numPr>
          <w:ilvl w:val="0"/>
          <w:numId w:val="37"/>
        </w:numPr>
        <w:spacing w:after="240"/>
        <w:ind w:left="993" w:hanging="142"/>
        <w:jc w:val="both"/>
        <w:rPr>
          <w:szCs w:val="24"/>
        </w:rPr>
      </w:pPr>
      <w:r>
        <w:t>Kérjük, tüntesse fel az intézkedés(ek) időtartamát</w:t>
      </w:r>
      <w:r w:rsidR="00FA6EB5">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Kedvezményezett(ek)</w:t>
      </w:r>
      <w:r>
        <w:rPr>
          <w:b/>
        </w:rPr>
        <w:tab/>
      </w:r>
    </w:p>
    <w:p w14:paraId="0B353EA4" w14:textId="460FB4A4" w:rsidR="00BC5DDD" w:rsidRPr="00F35B92" w:rsidRDefault="00F35B92" w:rsidP="00E54DE8">
      <w:pPr>
        <w:numPr>
          <w:ilvl w:val="0"/>
          <w:numId w:val="20"/>
        </w:numPr>
        <w:ind w:left="993" w:hanging="142"/>
        <w:rPr>
          <w:szCs w:val="24"/>
        </w:rPr>
      </w:pPr>
      <w:r>
        <w:t>Amennyiben az általános adatlap (I. rész) 3. szakaszában még nem ismertette, kérjük, ismertesse az intézkedés(ek) (potenciális) kedvezményezettjét/kedvezményezettjeit.</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E54DE8">
      <w:pPr>
        <w:numPr>
          <w:ilvl w:val="0"/>
          <w:numId w:val="20"/>
        </w:numPr>
        <w:ind w:left="993" w:hanging="142"/>
        <w:rPr>
          <w:szCs w:val="24"/>
        </w:rPr>
      </w:pPr>
      <w:r>
        <w:t>Kérjük, tüntesse fel a kedvezményezett(ek) elhelyezkedését (vagyis csak az adott tagállamokban található vagy másik tagállambeli gazdálkodó szervezetek is jogosultak-e részt venni az intézkedésben).</w:t>
      </w:r>
    </w:p>
    <w:p w14:paraId="089CCFA6" w14:textId="4CFFDCA9" w:rsidR="003151F7" w:rsidRDefault="000442F5" w:rsidP="00B22D69">
      <w:pPr>
        <w:tabs>
          <w:tab w:val="left" w:leader="dot" w:pos="9072"/>
        </w:tabs>
        <w:spacing w:before="120" w:after="120"/>
        <w:ind w:left="567"/>
        <w:jc w:val="both"/>
      </w:pPr>
      <w:r>
        <w:tab/>
      </w:r>
      <w:r>
        <w:tab/>
      </w:r>
    </w:p>
    <w:p w14:paraId="27DDBE9A" w14:textId="7BCA3D79" w:rsidR="00E4424D" w:rsidRDefault="003C33B1" w:rsidP="00E54DE8">
      <w:pPr>
        <w:numPr>
          <w:ilvl w:val="0"/>
          <w:numId w:val="20"/>
        </w:numPr>
        <w:ind w:left="993" w:hanging="142"/>
        <w:rPr>
          <w:szCs w:val="24"/>
        </w:rPr>
      </w:pPr>
      <w:r>
        <w:t>Az iránymutatás 15. pontjának való megfelelés értékelése céljából kérjük, ismertesse, hogy az intézkedés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w:t>
      </w:r>
    </w:p>
    <w:p w14:paraId="7EAFEF40" w14:textId="77777777" w:rsidR="00E4424D" w:rsidRDefault="00E4424D" w:rsidP="00E4424D">
      <w:pPr>
        <w:pStyle w:val="ListParagraph"/>
        <w:rPr>
          <w:szCs w:val="24"/>
        </w:rPr>
      </w:pPr>
    </w:p>
    <w:p w14:paraId="6DA13136" w14:textId="18A5367B" w:rsidR="003C33B1" w:rsidRPr="00E4424D" w:rsidRDefault="00181BB0" w:rsidP="00E4424D">
      <w:pPr>
        <w:pStyle w:val="ListParagraph"/>
        <w:spacing w:after="240"/>
        <w:ind w:left="1080"/>
        <w:jc w:val="both"/>
        <w:rPr>
          <w:szCs w:val="24"/>
        </w:rPr>
      </w:pPr>
      <w:r>
        <w:lastRenderedPageBreak/>
        <w:t>Ha igen, kérjük, adjon tájékoztatást a még visszafizetendő támogatási összegről, hogy a Bizottság figyelembe vehesse a bejelentett intézkedés értékelésében.</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Kérjük, erősítse meg, hogy az intézkedés(ek) nem tartalmaz(nak) az iránymutatás hatályán kívüli tevékenységekhez nyújtott támogatást (az iránymutatás 13. pontja). Ellenkező esetben kérjük, adjon részletes indoklást.</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Költségvetés</w:t>
      </w:r>
    </w:p>
    <w:p w14:paraId="52B28A95" w14:textId="51E3B41D" w:rsidR="00115C85" w:rsidRPr="00B22D69" w:rsidRDefault="00B22D69" w:rsidP="00E54DE8">
      <w:pPr>
        <w:pStyle w:val="ListParagraph"/>
        <w:numPr>
          <w:ilvl w:val="0"/>
          <w:numId w:val="21"/>
        </w:numPr>
        <w:spacing w:before="120" w:after="120"/>
        <w:ind w:left="993" w:hanging="284"/>
        <w:contextualSpacing w:val="0"/>
        <w:jc w:val="both"/>
        <w:rPr>
          <w:rFonts w:cs="Arial Unicode MS"/>
          <w:bCs/>
        </w:rPr>
      </w:pPr>
      <w:r>
        <w:t>Amennyiben az általános adatlap (I. rész) 7.1. szakaszában még nem adta meg, kérjük, adja meg az intézkedés(ek) teljes időtartamára vonatkozó éves és/vagy teljes költségvetést. Ha a teljes költségvetés nem ismert (például azért, mert pályázatok eredményétől függ), kérjük, becsült költségvetést tüntessen fel, megjelölve a kiszámításához felhasznált feltételezéseket</w:t>
      </w:r>
      <w:r w:rsidRPr="00B22D69">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B. szakasz: A támogatás összeegyeztethetőségének értékelése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E54DE8">
            <w:pPr>
              <w:pStyle w:val="Heading1"/>
              <w:numPr>
                <w:ilvl w:val="0"/>
                <w:numId w:val="22"/>
              </w:numPr>
              <w:rPr>
                <w:i/>
                <w:sz w:val="28"/>
                <w:szCs w:val="28"/>
              </w:rPr>
            </w:pPr>
            <w:r>
              <w:rPr>
                <w:i/>
                <w:sz w:val="28"/>
              </w:rPr>
              <w:t>Pozitív feltétel: a támogatásnak elő kell segítenie egy gazdasági tevékenység fejlődését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E54DE8">
            <w:pPr>
              <w:pStyle w:val="Heading1"/>
              <w:numPr>
                <w:ilvl w:val="1"/>
                <w:numId w:val="22"/>
              </w:numPr>
              <w:rPr>
                <w:sz w:val="24"/>
                <w:szCs w:val="24"/>
              </w:rPr>
            </w:pPr>
            <w:r>
              <w:rPr>
                <w:sz w:val="24"/>
              </w:rPr>
              <w:t>Valamely gazdasági tevékenység fejlődésének előmozdítása</w:t>
            </w:r>
          </w:p>
        </w:tc>
      </w:tr>
    </w:tbl>
    <w:p w14:paraId="1E2599D2" w14:textId="1527D957" w:rsidR="000442F5" w:rsidRPr="00DB40A5" w:rsidRDefault="000442F5" w:rsidP="000442F5">
      <w:pPr>
        <w:spacing w:before="360" w:after="120"/>
        <w:jc w:val="both"/>
        <w:rPr>
          <w:i/>
        </w:rPr>
      </w:pPr>
      <w:r>
        <w:rPr>
          <w:i/>
        </w:rPr>
        <w:t>Az e szakaszban kért információk közlésével kapcsolatban lásd az iránymutatás 3.1.1. szakaszát (23–25. pontját), 4.8.1. és 4.8.2. szakaszát (325–328. pontját).</w:t>
      </w:r>
    </w:p>
    <w:p w14:paraId="05FCD0A3" w14:textId="34C98B1D" w:rsidR="00864DCD" w:rsidRPr="00DB40A5" w:rsidRDefault="006B6657" w:rsidP="00C52CFD">
      <w:pPr>
        <w:pStyle w:val="ListParagraph"/>
        <w:numPr>
          <w:ilvl w:val="0"/>
          <w:numId w:val="4"/>
        </w:numPr>
        <w:spacing w:before="120" w:after="120"/>
        <w:ind w:left="567" w:hanging="567"/>
        <w:contextualSpacing w:val="0"/>
        <w:jc w:val="both"/>
      </w:pPr>
      <w:r>
        <w:t>Az Európai Unió működéséről szóló szerződés (EUMSZ) 107. cikke (3) bekezdésének c) pontja kimondja, hogy a Bizottság a belső piaccal összeegyeztethetőnek tekintheti azt a támogatást, amely „</w:t>
      </w:r>
      <w:r>
        <w:rPr>
          <w:i/>
        </w:rPr>
        <w:t>egyes gazdasági tevékenységek vagy gazdasági területek fejlődését előmozdító támogatás, amennyiben az ilyen támogatás nem befolyásolja hátrányosan a kereskedelmi feltételeket a közös érdekkel ellentétes mértékben</w:t>
      </w:r>
      <w:r>
        <w:t>”. Ezért azoknak a támogatásoknak, amelyek az EUMSZ e rendelkezése szerint összeegyeztethetőnek minősülnek, hozzá kell járulniuk egyes gazdasági tevékenységek fejlődéséhez.</w:t>
      </w:r>
    </w:p>
    <w:p w14:paraId="78AC4A6E" w14:textId="5DA81B01" w:rsidR="00EE2FCC" w:rsidRPr="00864DCD" w:rsidRDefault="00EE56DD" w:rsidP="00EE56DD">
      <w:pPr>
        <w:pStyle w:val="ListParagraph"/>
        <w:spacing w:before="120" w:after="120"/>
        <w:ind w:left="567"/>
        <w:contextualSpacing w:val="0"/>
        <w:jc w:val="both"/>
      </w:pPr>
      <w:r>
        <w:t>Az iránymutatás 23. pontjának való megfelelés értékelése céljából kérjük, jelölje meg azokat a gazdasági tevékenységeket, amelyeket a támogatás eredményeként elősegítenek, és azt, hogy ezzel miként támogatják e tevékenységek fejlődését. Az iránymutatás 328. pontja példákat sorol fel a villamosenergia-ellátás biztonságának növelését célzó intézkedésekkel összefüggő gazdasági tevékenységekre.</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Az iránymutatás 25. pontjának való megfelelés értékelése céljából kérjük, ismertesse, „</w:t>
      </w:r>
      <w:r>
        <w:rPr>
          <w:i/>
        </w:rPr>
        <w:t>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Kérjük, ismertesse a kedvezményezett(ek)re vonatkozó követelményeket (például megadva bármilyen műszaki, környezetvédelmi [vagyis engedélyek], pénzügyi [vagyis biztosítékok] vagy egyéb követelményt, amelyet a kedvezményezett(ek) köteles(ek) teljesíteni).</w:t>
      </w:r>
    </w:p>
    <w:p w14:paraId="41A55685" w14:textId="02031239" w:rsidR="00DD6E86" w:rsidRDefault="00DD6E86" w:rsidP="00034A1B">
      <w:pPr>
        <w:pStyle w:val="ListParagraph"/>
        <w:spacing w:before="120" w:after="120"/>
        <w:ind w:left="567"/>
        <w:contextualSpacing w:val="0"/>
        <w:jc w:val="both"/>
      </w:pPr>
      <w:r>
        <w:t>…………………………………………………………………………………………….</w:t>
      </w:r>
    </w:p>
    <w:p w14:paraId="68612BA2" w14:textId="32EAAD54" w:rsidR="00B91BE0" w:rsidRPr="00034A1B" w:rsidRDefault="00364FC0" w:rsidP="00364FC0">
      <w:pPr>
        <w:pStyle w:val="ListParagraph"/>
        <w:numPr>
          <w:ilvl w:val="0"/>
          <w:numId w:val="4"/>
        </w:numPr>
        <w:spacing w:before="120" w:after="120"/>
        <w:ind w:left="567" w:hanging="567"/>
        <w:contextualSpacing w:val="0"/>
        <w:jc w:val="both"/>
      </w:pPr>
      <w:r>
        <w:t>Kérjük, hogy az iránymutatás 4.8.1. szakasza (325. pontja) szerint közöljön információkat az intézkedés indokoltságáról.</w:t>
      </w:r>
    </w:p>
    <w:p w14:paraId="34E4C47D" w14:textId="6EE1FEFD" w:rsidR="00B91BE0" w:rsidRPr="00034A1B" w:rsidRDefault="00B91BE0" w:rsidP="00B91BE0">
      <w:pPr>
        <w:tabs>
          <w:tab w:val="left" w:leader="dot" w:pos="9072"/>
        </w:tabs>
        <w:spacing w:before="120" w:after="120"/>
        <w:ind w:left="567"/>
        <w:jc w:val="both"/>
      </w:pPr>
      <w:r>
        <w:tab/>
      </w:r>
    </w:p>
    <w:p w14:paraId="526FF31D" w14:textId="70084887" w:rsidR="009E5AE0" w:rsidRPr="00864DCD" w:rsidRDefault="009E5AE0" w:rsidP="009E5AE0">
      <w:pPr>
        <w:pStyle w:val="ListParagraph"/>
        <w:numPr>
          <w:ilvl w:val="0"/>
          <w:numId w:val="4"/>
        </w:numPr>
        <w:spacing w:before="120" w:after="120"/>
        <w:ind w:left="567" w:hanging="567"/>
        <w:contextualSpacing w:val="0"/>
        <w:jc w:val="both"/>
      </w:pPr>
      <w:r>
        <w:t>Kérjük, hogy az iránymutatás 4.8.2. szakasza (326–327. pontja) szerint közöljön információkat az intézkedés hatályáról.</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E54DE8">
            <w:pPr>
              <w:pStyle w:val="Heading1"/>
              <w:numPr>
                <w:ilvl w:val="1"/>
                <w:numId w:val="22"/>
              </w:numPr>
              <w:rPr>
                <w:sz w:val="24"/>
                <w:szCs w:val="24"/>
              </w:rPr>
            </w:pPr>
            <w:r>
              <w:rPr>
                <w:sz w:val="24"/>
              </w:rPr>
              <w:t>Ösztönző hatás</w:t>
            </w:r>
          </w:p>
        </w:tc>
      </w:tr>
    </w:tbl>
    <w:p w14:paraId="20915284" w14:textId="08D35B28" w:rsidR="00015E2B" w:rsidRPr="00A05235" w:rsidRDefault="00B15313" w:rsidP="00015E2B">
      <w:pPr>
        <w:spacing w:before="360" w:after="120"/>
        <w:jc w:val="both"/>
        <w:rPr>
          <w:i/>
        </w:rPr>
      </w:pPr>
      <w:r>
        <w:rPr>
          <w:i/>
        </w:rPr>
        <w:t>Az e szakaszban kért információk közlésével kapcsolatban lásd az iránymutatás 329. pontját és 3.1.2. szakaszát (29.,30., 31. és 32. pontját).</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Az iránymutatás 29. és 31. pontjának való megfelelés igazolása céljából:</w:t>
      </w:r>
    </w:p>
    <w:p w14:paraId="48499390" w14:textId="687B1B9F" w:rsidR="006445C3" w:rsidRPr="00471B74" w:rsidRDefault="00677805" w:rsidP="00E54DE8">
      <w:pPr>
        <w:pStyle w:val="ListParagraph"/>
        <w:numPr>
          <w:ilvl w:val="0"/>
          <w:numId w:val="23"/>
        </w:numPr>
        <w:spacing w:before="120" w:after="120"/>
        <w:ind w:left="993" w:hanging="284"/>
        <w:contextualSpacing w:val="0"/>
        <w:jc w:val="both"/>
      </w:pPr>
      <w:r>
        <w:t>Kérjük, erősítse meg, hogy a projekttel vagy a tevékenységgel kapcsolatos munkálatok nem kezdődtek meg már azt megelőzően, hogy a kedvezményezett a nemzeti hatóságokhoz a támogatás iránti írásbeli kérelmet nyújtott be</w:t>
      </w:r>
      <w:r w:rsidR="00257067">
        <w:t>.</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VAGY</w:t>
      </w:r>
    </w:p>
    <w:p w14:paraId="0252AF86" w14:textId="55DF8F08" w:rsidR="000442F5" w:rsidRPr="00F53942" w:rsidRDefault="008514DC" w:rsidP="00E54DE8">
      <w:pPr>
        <w:pStyle w:val="ListParagraph"/>
        <w:numPr>
          <w:ilvl w:val="0"/>
          <w:numId w:val="23"/>
        </w:numPr>
        <w:spacing w:before="120" w:after="120"/>
        <w:ind w:left="993" w:hanging="284"/>
        <w:contextualSpacing w:val="0"/>
        <w:jc w:val="both"/>
      </w:pPr>
      <w:r>
        <w:t>A támogatás iránti kérelem benyújtása előtt elindult projektek esetében kérjük, ismertesse, hogy a projektre az iránymutatás 31. pontjában meghatározott kivételes esetek egyike ((a), b) vagy c) alpont) vonatkozik.</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Az iránymutatás 30. pontjának való megfelelés igazolása céljából kérjük, erősítse meg, hogy a támogatási kérelem tartalmazza legalább a pályázó nevét, a projekt vagy tevékenység leírását, beleértve annak helyét és a megvalósításához szükséges támogatás összegét.</w:t>
      </w:r>
    </w:p>
    <w:p w14:paraId="1F8B3AF2" w14:textId="77777777" w:rsidR="008514DC" w:rsidRPr="00991FAA" w:rsidRDefault="008514DC" w:rsidP="008514DC">
      <w:pPr>
        <w:tabs>
          <w:tab w:val="left" w:leader="dot" w:pos="9072"/>
        </w:tabs>
        <w:spacing w:before="120" w:after="120"/>
        <w:ind w:left="567"/>
        <w:jc w:val="both"/>
      </w:pPr>
      <w:r>
        <w:tab/>
      </w:r>
    </w:p>
    <w:p w14:paraId="3C6B372C" w14:textId="7C7F11CD" w:rsidR="00305DC0" w:rsidRPr="00034A1B" w:rsidRDefault="00305DC0" w:rsidP="008D3BAA">
      <w:pPr>
        <w:pStyle w:val="ListParagraph"/>
        <w:numPr>
          <w:ilvl w:val="0"/>
          <w:numId w:val="4"/>
        </w:numPr>
        <w:spacing w:before="120" w:after="120"/>
        <w:ind w:left="567" w:hanging="567"/>
        <w:contextualSpacing w:val="0"/>
        <w:jc w:val="both"/>
      </w:pPr>
      <w:r>
        <w:t>Az iránymutatás 32. pontjának való megfelelés igazolása céljából kérjük, tüntesse fel, ha vannak a bejelentett intézkedés(ek)re vonatkozó uniós szabványok</w:t>
      </w:r>
      <w:r w:rsidR="005B7DF0">
        <w:rPr>
          <w:rStyle w:val="FootnoteReference"/>
          <w:lang w:val="en-IE" w:eastAsia="en-GB"/>
        </w:rPr>
        <w:footnoteReference w:id="5"/>
      </w:r>
      <w:r>
        <w:t>, a megfelelő uniós szabványoknál szigorúbb vagy ambiciózusabb, kötelező nemzeti szabványok, illetve uniós szabványok hiányában elfogadott kötelező nemzeti szabványok. Ezzel összefüggésben kérjük, közöljön információkat az ösztönző hatás fennállásának bizonyításához.</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 xml:space="preserve">Azokban az esetekben, amikor a vonatkozó uniós szabványt már elfogadták, de még nem lépett hatályba, kérjük, bizonyítsa, hogy a támogatásnak ösztönző hatása van, mert </w:t>
      </w:r>
      <w:r>
        <w:lastRenderedPageBreak/>
        <w:t>ösztönzi a beruházásnak a szabvány hatálybalépése előtt legalább 18 hónappal történő megvalósítását.</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E54DE8">
            <w:pPr>
              <w:pStyle w:val="Heading1"/>
              <w:numPr>
                <w:ilvl w:val="1"/>
                <w:numId w:val="22"/>
              </w:numPr>
              <w:rPr>
                <w:sz w:val="24"/>
                <w:szCs w:val="24"/>
              </w:rPr>
            </w:pPr>
            <w:r>
              <w:rPr>
                <w:sz w:val="24"/>
              </w:rPr>
              <w:t>Nem sértheti az uniós jog vonatkozó rendelkezéseit</w:t>
            </w:r>
          </w:p>
        </w:tc>
      </w:tr>
    </w:tbl>
    <w:p w14:paraId="665FE026" w14:textId="31DAD4E4" w:rsidR="00DE1D68" w:rsidRDefault="00DE1D68" w:rsidP="00DE1D68">
      <w:pPr>
        <w:spacing w:before="360" w:after="120"/>
        <w:jc w:val="both"/>
        <w:rPr>
          <w:i/>
        </w:rPr>
      </w:pPr>
      <w:r>
        <w:rPr>
          <w:i/>
        </w:rPr>
        <w:t>Az e szakaszban kért információk közlésével kapcsolatban lásd az iránymutatás 3.1.3. szakaszát (33. pontját).</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Kérjük, hogy az iránymutatás 33. pontjával összhangban adjon tájékoztatást annak megerősítéséhez, hogy az uniós jog vonatkozó rendelkezései teljesülnek (lásd például az (EU) 2019/943 rendeletnek való megfelelésre vonatkozó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kérdést).</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Ha az intézkedés(ek) finanszírozása adójellegű díjból történik (lásd az 54. kérdést), kérjük, fejtse ki, hogy:</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Az adójellegű díjat egyformán szabják-e ki hazai és importált termékekre:</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A bejelentett intézkedés hazai és importált termékek számára egyformán előnyös-e:</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E54DE8">
            <w:pPr>
              <w:pStyle w:val="Heading1"/>
              <w:numPr>
                <w:ilvl w:val="0"/>
                <w:numId w:val="22"/>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A verseny és a kereskedelem torzulásának minimálisra csökkentése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E54DE8">
            <w:pPr>
              <w:pStyle w:val="Heading1"/>
              <w:numPr>
                <w:ilvl w:val="2"/>
                <w:numId w:val="22"/>
              </w:numPr>
              <w:rPr>
                <w:color w:val="000000"/>
                <w:sz w:val="24"/>
                <w:szCs w:val="24"/>
              </w:rPr>
            </w:pPr>
            <w:r>
              <w:rPr>
                <w:color w:val="000000"/>
                <w:sz w:val="24"/>
              </w:rPr>
              <w:t>A támogatás szükségessége</w:t>
            </w:r>
          </w:p>
        </w:tc>
      </w:tr>
    </w:tbl>
    <w:p w14:paraId="3C23674F" w14:textId="33260C91" w:rsidR="00663008" w:rsidRPr="00F83660" w:rsidRDefault="00663008" w:rsidP="00663008">
      <w:pPr>
        <w:spacing w:before="360" w:after="120"/>
        <w:jc w:val="both"/>
        <w:rPr>
          <w:i/>
          <w:color w:val="000000"/>
        </w:rPr>
      </w:pPr>
      <w:r>
        <w:rPr>
          <w:i/>
        </w:rPr>
        <w:t>Az e szakaszban kért információk közlésével kapcsolatban lásd az iránymutatás 4.8.4.1. szakaszát (331–339. pontját).</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Az iránymutatás 331. pontja kimondja, hogy a villamosenergia-ellátás biztonságának problémája jellegét és okait, így az állami támogatás szükségességét a villamosenergia-ellátás biztonságának biztosításához megfelelően elemezni és számszerűsíteni kell, arra is kiterjedően, hogy a probléma várhatóan mikor és hol merül fel, adott esetben az (EU) 2019/943 rendelet 25. cikkében meghatározott megbízhatósági követelményre hivatkozással.</w:t>
      </w:r>
      <w:bookmarkEnd w:id="4"/>
    </w:p>
    <w:p w14:paraId="1ABC600C" w14:textId="55BCD311" w:rsidR="00CD4EC7" w:rsidRDefault="00DD7F4B" w:rsidP="00A32872">
      <w:pPr>
        <w:pStyle w:val="ListParagraph"/>
        <w:spacing w:before="120" w:after="120"/>
        <w:ind w:left="567"/>
        <w:contextualSpacing w:val="0"/>
        <w:jc w:val="both"/>
      </w:pPr>
      <w:r>
        <w:t>Kérjük, nyújtson be elemzést, amely azonosítja és számszerűsíti a villamosenergia-ellátás biztonságával kapcsolatos problémát. Kérjük, részletes választ adjon, tekintettel az iránymutatás 331–333. pontjában ismertetett megfontolásokra.</w:t>
      </w:r>
    </w:p>
    <w:p w14:paraId="70CE46FB" w14:textId="6C69C638" w:rsidR="007E61BB" w:rsidRDefault="007E61BB" w:rsidP="00A32872">
      <w:pPr>
        <w:pStyle w:val="ListParagraph"/>
        <w:spacing w:before="120" w:after="120"/>
        <w:ind w:left="567"/>
        <w:contextualSpacing w:val="0"/>
        <w:jc w:val="both"/>
      </w:pPr>
      <w:r>
        <w:lastRenderedPageBreak/>
        <w:t>…………………………………………………………………………………………….</w:t>
      </w:r>
    </w:p>
    <w:p w14:paraId="3166ADB2" w14:textId="77777777" w:rsidR="000B3DE1" w:rsidRDefault="000B3DE1" w:rsidP="00A32872">
      <w:pPr>
        <w:pStyle w:val="ListParagraph"/>
        <w:spacing w:before="120" w:after="120"/>
        <w:ind w:left="2160"/>
        <w:jc w:val="both"/>
        <w:rPr>
          <w:lang w:eastAsia="en-GB"/>
        </w:rPr>
      </w:pPr>
    </w:p>
    <w:p w14:paraId="33475E6C" w14:textId="47FA1C73" w:rsidR="001C1CEF" w:rsidRDefault="00B444A2" w:rsidP="00646D6A">
      <w:pPr>
        <w:pStyle w:val="ListParagraph"/>
        <w:numPr>
          <w:ilvl w:val="0"/>
          <w:numId w:val="4"/>
        </w:numPr>
        <w:spacing w:before="120" w:after="120"/>
        <w:ind w:left="567" w:hanging="567"/>
        <w:jc w:val="both"/>
      </w:pPr>
      <w:r>
        <w:t>Az iránymutatás 334. pontjával összhangban és a villamosenergia-válságok kockázatával kapcsolatos intézkedések esetében kérjük, nyújtsa be az (EU) 2019/941 rendelet 11. cikkében előírt nemzeti kockázati készültségi tervet, amelyben azonosítani kell a javasolt intézkedést.</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Az iránymutatás 335. pontjával összhangban és abban az esetben, ha több, a villamosenergia-ellátás biztonságát célzó intézkedés bevezetését javasolják, kérjük, hogy egyértelműen ismertesse, hogyan hatnak azok egymásra annak biztosítása során, hogy az ellátás biztonságát garantáló kombinált intézkedések általánosságban költséghatékonyak legyenek, például a kapacitásmechanizmusok tekintetében, annak kifejtésével, hogy miként érik el (de nem lépik túl) a 331. pontban említett megbízhatósági követelményt.</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Az iránymutatás 336. pontjával összhangban kérjük, nevezze meg azokat a szabályozási vagy piaci hiányosságokat, és minden más olyan problémát, amelyek beavatkozás hiányában megakadályozzák a villamosenergia-ellátás (és adott esetben a környezetvédelem) kellő szintű biztonságának elérését.</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Az iránymutatás 337. pontjával összhangban kérjük, nevezze meg azokat a meglévő intézkedéseket, amelyek már jelenleg is a piaci vagy szabályozási hiányosság(ok)ra vagy a 336. pontban meghatározott egyéb problémákra irányulnak. Adott esetben hivatkozhat a fenti </w:t>
      </w:r>
      <w:r w:rsidR="00B41851">
        <w:fldChar w:fldCharType="begin"/>
      </w:r>
      <w:r w:rsidR="00B41851">
        <w:instrText xml:space="preserve"> REF _Ref167812746 \r \h </w:instrText>
      </w:r>
      <w:r w:rsidR="00B41851">
        <w:fldChar w:fldCharType="separate"/>
      </w:r>
      <w:r w:rsidR="00B41851">
        <w:t>16</w:t>
      </w:r>
      <w:r w:rsidR="00B41851">
        <w:fldChar w:fldCharType="end"/>
      </w:r>
      <w:r>
        <w:t>. kérdésre adott válaszban már ismertetett bizonyítékokra.</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Az iránymutatás 338. pontjával összhangban kérjük, hogy a tagállam által tervezett piaci reformok és fejlesztések, valamint a technológiai fejlemények figyelembe vételével ismertesse, hogy miért nem várható, hogy állami támogatás hiányában a piac megfelelő villamosenergia-ellátást képes biztosítani.</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Kérjük, adja meg az iránymutatás 339. pontja szerinti következő információkat:</w:t>
      </w:r>
    </w:p>
    <w:p w14:paraId="22B1B19C" w14:textId="6122497B" w:rsidR="001F444E" w:rsidRDefault="00CC02E1" w:rsidP="0013713F">
      <w:pPr>
        <w:pStyle w:val="ListParagraph"/>
        <w:numPr>
          <w:ilvl w:val="1"/>
          <w:numId w:val="4"/>
        </w:numPr>
        <w:spacing w:after="240"/>
        <w:ind w:left="1134" w:hanging="283"/>
        <w:jc w:val="both"/>
      </w:pPr>
      <w:r>
        <w:t>A különböző forrásokból – többek között a szomszédos rendszerekből származó – energiafajtákat ötvöző energiatermelés hatásának értékelése.</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A keresleti oldal és a tárolás részvétele hatásának értékelése, ideértve a keresletoldali szabályozás ösztönzésére irányuló intézkedések ismertetését.</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A rendszerösszekötők és a főbb belső átvitelirendszer-hálózati infrastruktúra potenciális és tényleges meglétének értékelése, ideértve a folyamatban lévő és a tervezett projektek leírását.</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A villamosenergia-ellátás biztonságának problémáját előidéző vagy súlyosbító bármely más tényező, például a nagykereskedelmi árak maximalizálása vagy más szabályozási vagy piaci hiányosságok értékelése. Adott esetben kérjük, nyújtsa be és vegye figyelembe az azonosított szabályozási torzulások vagy piaci hiányosságok kiküszöbölését célzó intézkedéseket tartalmazó, az (EU) 2019/943 rendelet 20. cikkének (3) bekezdése szerinti végrehajtási tervet, valamint a végrehajtási tervre vonatkozó, az említett cikk (5) bekezdése szerinti bizottsági véleményt.</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Az (EU) 2019/943 rendelet 15. cikke szerinti cselekvési terv minden releváns tartalma.</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E54DE8">
            <w:pPr>
              <w:pStyle w:val="Heading1"/>
              <w:numPr>
                <w:ilvl w:val="2"/>
                <w:numId w:val="22"/>
              </w:numPr>
              <w:rPr>
                <w:color w:val="000000"/>
                <w:sz w:val="24"/>
                <w:szCs w:val="24"/>
              </w:rPr>
            </w:pPr>
            <w:r>
              <w:rPr>
                <w:color w:val="000000"/>
                <w:sz w:val="24"/>
              </w:rPr>
              <w:t>Megfelelőség</w:t>
            </w:r>
          </w:p>
        </w:tc>
      </w:tr>
    </w:tbl>
    <w:p w14:paraId="4C2D927B" w14:textId="7B69EE7D" w:rsidR="00EA354A" w:rsidRPr="00F83660" w:rsidRDefault="00EA354A" w:rsidP="00EA354A">
      <w:pPr>
        <w:spacing w:before="360" w:after="120"/>
        <w:jc w:val="both"/>
        <w:rPr>
          <w:i/>
          <w:color w:val="000000"/>
        </w:rPr>
      </w:pPr>
      <w:r>
        <w:rPr>
          <w:i/>
        </w:rPr>
        <w:t>Az e szakaszban kért információk közlésével kapcsolatban lásd az iránymutatás 4.8.4.2. szakaszát (341–342. pontját).</w:t>
      </w:r>
    </w:p>
    <w:p w14:paraId="07C78113" w14:textId="29EF2673" w:rsidR="00631A11" w:rsidRDefault="00631A11" w:rsidP="00A32872">
      <w:pPr>
        <w:pStyle w:val="ListParagraph"/>
        <w:numPr>
          <w:ilvl w:val="0"/>
          <w:numId w:val="4"/>
        </w:numPr>
        <w:spacing w:before="120" w:after="120"/>
        <w:ind w:left="567" w:hanging="567"/>
        <w:contextualSpacing w:val="0"/>
        <w:jc w:val="both"/>
      </w:pPr>
      <w:bookmarkStart w:id="5" w:name="_Ref168390744"/>
      <w:r>
        <w:t>Az iránymutatás 341. pontjának való megfelelés értékelése céljából:</w:t>
      </w:r>
      <w:bookmarkEnd w:id="5"/>
    </w:p>
    <w:p w14:paraId="79825D38" w14:textId="43C3C984" w:rsidR="0021413B" w:rsidRDefault="000F6575" w:rsidP="0013713F">
      <w:pPr>
        <w:pStyle w:val="ListParagraph"/>
        <w:numPr>
          <w:ilvl w:val="1"/>
          <w:numId w:val="4"/>
        </w:numPr>
        <w:spacing w:before="120" w:after="120"/>
        <w:ind w:left="1134" w:hanging="283"/>
        <w:contextualSpacing w:val="0"/>
        <w:jc w:val="both"/>
      </w:pPr>
      <w:r>
        <w:t>Kérjük, fejtse ki, hogy a villamosenergia-ellátás biztonsága elérésének mely alternatív módjait mérlegelték, például különösen a villamosenergia-piac egy olyan hatékonyabb szerkezetének kialakítását, amely enyhítheti a villamosenergia-ellátás biztonságát veszélyeztető piaci hiányosságokat. E tekintetben az iránymutatás 341. pontja példákkal szolgál a villamosenergia-piac szerkezetének fejlesztésére (a villamos kiegyenlítőenergia-elszámolás működésének javítása, a változó termelés jobb integrálása, a keresletoldali válasz és a tárolás ösztönzése és integrálása, hatékony árjelzések lehetővé tétele, a határokon átnyúló kereskedelem akadályainak felszámolása vagy az infrastruktúra, közte az összeköttetések javítása).</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Kérjük, bizonyítsa, hogy a piaci szerkezet megfelelő és arányos fejlesztése, valamint a hálózati eszközökbe történő, végrehajtott vagy tervezett beruházások ellenére továbbra is fennáll az ellátás biztonságával kapcsolatos aggály (az iránymutatás 341. pontja).</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lastRenderedPageBreak/>
        <w:t>A hálózati szűk keresztmetszetre vonatkozó intézkedések esetében kérjük, ismertesse emellett azt is, hogy az (EU) 2019/943 rendelet 13. cikkével összhangban miként javítják az újraelosztási intézkedések hatékonyságát (az iránymutatás 342. pontja).</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E54DE8">
            <w:pPr>
              <w:pStyle w:val="Heading1"/>
              <w:numPr>
                <w:ilvl w:val="2"/>
                <w:numId w:val="22"/>
              </w:numPr>
              <w:rPr>
                <w:sz w:val="24"/>
                <w:szCs w:val="24"/>
              </w:rPr>
            </w:pPr>
            <w:r>
              <w:rPr>
                <w:sz w:val="24"/>
              </w:rPr>
              <w:t>Támogathatósági feltételek</w:t>
            </w:r>
          </w:p>
        </w:tc>
      </w:tr>
    </w:tbl>
    <w:p w14:paraId="2460A5B7" w14:textId="56A2D920" w:rsidR="00AB322D" w:rsidRPr="00E74034" w:rsidRDefault="00AB322D" w:rsidP="00AB322D">
      <w:pPr>
        <w:spacing w:before="360" w:after="120"/>
        <w:jc w:val="both"/>
        <w:rPr>
          <w:i/>
        </w:rPr>
      </w:pPr>
      <w:r>
        <w:rPr>
          <w:i/>
        </w:rPr>
        <w:t>Az e szakaszban kért információk közlésével kapcsolatban lásd az iránymutatás 4.8.4.3. szakaszát (343–346. pontját).</w:t>
      </w:r>
    </w:p>
    <w:p w14:paraId="5B261EDF" w14:textId="4070882D" w:rsidR="00AC1835" w:rsidRPr="0041079D" w:rsidRDefault="00757E45" w:rsidP="0041079D">
      <w:pPr>
        <w:pStyle w:val="ListParagraph"/>
        <w:numPr>
          <w:ilvl w:val="0"/>
          <w:numId w:val="4"/>
        </w:numPr>
        <w:spacing w:before="120" w:after="120"/>
        <w:ind w:left="567" w:hanging="567"/>
        <w:contextualSpacing w:val="0"/>
        <w:jc w:val="both"/>
      </w:pPr>
      <w:r>
        <w:t>Az iránymutatás 343. pontjának való megfelelés igazolása céljából kérjük, erősítse meg, hogy az intézkedés nyitva fog állni minden olyan kedvezményezett vagy projekt előtt, amely technikailag képes hatékonyan hozzájárulni az ellátásbiztonság célkitűzésének eléréséhez (pl. termelés, tárolás, keresletoldali válasz, kis méretű egységek nagyobb blokkokká történő egyesítése).</w:t>
      </w:r>
    </w:p>
    <w:p w14:paraId="0E72243E" w14:textId="7C3263F1" w:rsidR="00C2550E" w:rsidRDefault="00C2550E" w:rsidP="00A32872">
      <w:pPr>
        <w:pStyle w:val="ListParagraph"/>
        <w:spacing w:before="120" w:after="120"/>
        <w:ind w:left="567"/>
        <w:contextualSpacing w:val="0"/>
        <w:jc w:val="both"/>
      </w:pPr>
      <w:r>
        <w:t>…………………………………………………………………………………………….</w:t>
      </w:r>
    </w:p>
    <w:p w14:paraId="6A36C585" w14:textId="3825013D" w:rsidR="00C2550E" w:rsidRDefault="00757E45" w:rsidP="00A32872">
      <w:pPr>
        <w:pStyle w:val="ListParagraph"/>
        <w:numPr>
          <w:ilvl w:val="0"/>
          <w:numId w:val="4"/>
        </w:numPr>
        <w:spacing w:before="120" w:after="120"/>
        <w:ind w:left="567" w:hanging="567"/>
        <w:contextualSpacing w:val="0"/>
        <w:jc w:val="both"/>
      </w:pPr>
      <w:r>
        <w:t>Az iránymutatás 344. pontjával összhangban kérjük, fejtse ki, hogy vannak-e olyan korlátozások a javasolt ellátásbiztonsági intézkedésben való részvételre vonatkozóan, amelyek célja annak biztosítása, hogy az intézkedés ne veszélyeztesse a környezetvédelmet.</w:t>
      </w:r>
    </w:p>
    <w:p w14:paraId="5F432598" w14:textId="5B72B220" w:rsidR="0006674F" w:rsidRDefault="0006674F" w:rsidP="00A32872">
      <w:pPr>
        <w:pStyle w:val="ListParagraph"/>
        <w:spacing w:before="120" w:after="120"/>
        <w:ind w:left="567"/>
        <w:contextualSpacing w:val="0"/>
        <w:jc w:val="both"/>
      </w:pPr>
      <w:r>
        <w:t>…………………………………………………………………………………………….</w:t>
      </w:r>
    </w:p>
    <w:p w14:paraId="6E89B6D6" w14:textId="7EAD414C" w:rsidR="00C2550E" w:rsidRDefault="001243C2" w:rsidP="00A32872">
      <w:pPr>
        <w:pStyle w:val="ListParagraph"/>
        <w:numPr>
          <w:ilvl w:val="0"/>
          <w:numId w:val="4"/>
        </w:numPr>
        <w:spacing w:before="120" w:after="120"/>
        <w:ind w:left="567" w:hanging="567"/>
        <w:contextualSpacing w:val="0"/>
        <w:jc w:val="both"/>
      </w:pPr>
      <w:r>
        <w:t>Ha a bejelentett ellátásbiztonsági intézkedés további kritériumokat vagy jellemzőket tartalmaz a környezetbarátabb technológiák részesedésének elősegítése (vagy a szennyező technológiák részesedésének csökkentése) érdekében, amelyek szükségesek az Unió környezetvédelmi célkitűzéseinek megvalósításához, kérjük, bizonyítsa, hogy ezek a további kritériumok vagy jellemzők objektívek, átláthatóak és megkülönböztetésmentesek az egyértelműen meghatározott környezetvédelmi célkitűzések tekintetében, és nem eredményeznek a kedvezményezetteknél túlkompenzációt (az iránymutatás 345. pontja).</w:t>
      </w:r>
    </w:p>
    <w:p w14:paraId="3D7256B6" w14:textId="797DEA12" w:rsidR="00C2550E" w:rsidRPr="002C6BE5" w:rsidRDefault="00C2550E" w:rsidP="00C2550E">
      <w:pPr>
        <w:tabs>
          <w:tab w:val="left" w:leader="dot" w:pos="9072"/>
        </w:tabs>
        <w:spacing w:before="120" w:after="120"/>
        <w:ind w:left="567"/>
        <w:jc w:val="both"/>
      </w:pPr>
      <w:r>
        <w:tab/>
      </w:r>
    </w:p>
    <w:p w14:paraId="39861E3B" w14:textId="57AEED08" w:rsidR="00757E45" w:rsidRDefault="00757E45" w:rsidP="00757E45">
      <w:pPr>
        <w:pStyle w:val="ListParagraph"/>
        <w:numPr>
          <w:ilvl w:val="0"/>
          <w:numId w:val="4"/>
        </w:numPr>
        <w:spacing w:before="120" w:after="120"/>
        <w:ind w:left="567" w:hanging="567"/>
        <w:contextualSpacing w:val="0"/>
        <w:jc w:val="both"/>
      </w:pPr>
      <w:r>
        <w:t>Az iránymutatás 346. pontja alapján:</w:t>
      </w:r>
    </w:p>
    <w:p w14:paraId="6D01F322" w14:textId="6CC81F73" w:rsidR="0098393D" w:rsidRPr="0098393D" w:rsidRDefault="00CC2B48" w:rsidP="001D2520">
      <w:pPr>
        <w:pStyle w:val="ListParagraph"/>
        <w:numPr>
          <w:ilvl w:val="1"/>
          <w:numId w:val="4"/>
        </w:numPr>
        <w:spacing w:before="120" w:after="120"/>
        <w:ind w:left="1134" w:hanging="283"/>
        <w:contextualSpacing w:val="0"/>
        <w:jc w:val="both"/>
      </w:pPr>
      <w:r>
        <w:t>Kérjük, ismertesse, hogy a villamosenergia-ellátás biztonságát szolgáló intézkedések nyitva fognak állni a másik tagállamban található kapacitásszolgáltatók határokon átnyúló közvetlen részvétele előtt. Ha nem, kérjük, indokolja meg.</w:t>
      </w:r>
    </w:p>
    <w:p w14:paraId="571EA613" w14:textId="479A2476" w:rsidR="0098393D" w:rsidRDefault="0098393D" w:rsidP="00A32872">
      <w:pPr>
        <w:pStyle w:val="ListParagraph"/>
        <w:ind w:hanging="153"/>
      </w:pPr>
      <w:r>
        <w:t>……………………………………………………………………………………….........</w:t>
      </w:r>
    </w:p>
    <w:p w14:paraId="65B21FB4" w14:textId="546B6CEC" w:rsidR="00AC1835" w:rsidRDefault="00BD2E36" w:rsidP="001D2520">
      <w:pPr>
        <w:pStyle w:val="ListParagraph"/>
        <w:numPr>
          <w:ilvl w:val="1"/>
          <w:numId w:val="4"/>
        </w:numPr>
        <w:spacing w:before="120" w:after="120"/>
        <w:ind w:left="1134" w:hanging="283"/>
        <w:contextualSpacing w:val="0"/>
        <w:jc w:val="both"/>
      </w:pPr>
      <w:r>
        <w:t>Kérjük, bizonyítsa, hogy a belföldi kapacitásokkal egyenértékű műszaki jellemzőket biztosítani képes külföldi kapacitásnak lehetősége lesz részt venni minden olyan versenyeljárásban, amelyben a belföldi kapacitás részt vehet.</w:t>
      </w:r>
    </w:p>
    <w:p w14:paraId="292E7CCC" w14:textId="275D78A0" w:rsidR="00C2550E" w:rsidRDefault="00C2550E" w:rsidP="00A32872">
      <w:pPr>
        <w:pStyle w:val="ListParagraph"/>
        <w:spacing w:before="120" w:after="120"/>
        <w:ind w:left="567"/>
        <w:contextualSpacing w:val="0"/>
        <w:jc w:val="both"/>
      </w:pPr>
      <w:r>
        <w:t>…………………………………………………………………………………………...</w:t>
      </w:r>
    </w:p>
    <w:p w14:paraId="5A81EFFB" w14:textId="383E742C" w:rsidR="00BD2E36" w:rsidRPr="00E74034" w:rsidRDefault="00A567B2" w:rsidP="001D2520">
      <w:pPr>
        <w:pStyle w:val="ListParagraph"/>
        <w:numPr>
          <w:ilvl w:val="1"/>
          <w:numId w:val="4"/>
        </w:numPr>
        <w:spacing w:before="120" w:after="120"/>
        <w:ind w:left="1134" w:hanging="283"/>
        <w:contextualSpacing w:val="0"/>
        <w:jc w:val="both"/>
      </w:pPr>
      <w:r>
        <w:t>Adott esetben kérjük, bizonyítsa az (EU) 2019/943 rendelet 26. cikkében meghatározott, a kapacitásmechanizmusokban való határokon átívelő részvételre vonatkozó szabályoknak való megfelelést.</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E54DE8">
            <w:pPr>
              <w:pStyle w:val="Heading1"/>
              <w:numPr>
                <w:ilvl w:val="2"/>
                <w:numId w:val="22"/>
              </w:numPr>
              <w:rPr>
                <w:sz w:val="24"/>
                <w:szCs w:val="24"/>
              </w:rPr>
            </w:pPr>
            <w:r>
              <w:rPr>
                <w:sz w:val="24"/>
              </w:rPr>
              <w:t>Nyilvános konzultáció</w:t>
            </w:r>
          </w:p>
        </w:tc>
      </w:tr>
    </w:tbl>
    <w:p w14:paraId="1B229D4F" w14:textId="4EFB9F0A" w:rsidR="00E74034" w:rsidRPr="00E74034" w:rsidRDefault="00E74034" w:rsidP="00E74034">
      <w:pPr>
        <w:spacing w:before="360" w:after="120"/>
        <w:jc w:val="both"/>
        <w:rPr>
          <w:i/>
        </w:rPr>
      </w:pPr>
      <w:r>
        <w:rPr>
          <w:i/>
        </w:rPr>
        <w:t>Az e szakaszban kért információk közlésével kapcsolatban lásd az iránymutatás 4.8.4.4. szakaszát (348–351. pontját).</w:t>
      </w:r>
    </w:p>
    <w:p w14:paraId="78EF67B8" w14:textId="77777777" w:rsidR="00725C45" w:rsidRDefault="0004197A" w:rsidP="0004197A">
      <w:pPr>
        <w:pStyle w:val="ListParagraph"/>
        <w:numPr>
          <w:ilvl w:val="0"/>
          <w:numId w:val="4"/>
        </w:numPr>
        <w:spacing w:before="120" w:after="120"/>
        <w:ind w:left="567" w:hanging="567"/>
        <w:contextualSpacing w:val="0"/>
        <w:jc w:val="both"/>
      </w:pPr>
      <w:r>
        <w:t>Kérjük, fejtse ki, hogy az intézkedés esetében szükség van-e a 4.8.4.4. szakasz szerinti nyilvános konzultációra, és ha nem, mi ennek az oka.</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Ha az intézkedés nyilvános konzultációt igényel, kérjük:</w:t>
      </w:r>
    </w:p>
    <w:p w14:paraId="10ED4DF3" w14:textId="0709E691" w:rsidR="00915173" w:rsidRDefault="00725C45" w:rsidP="00E54DE8">
      <w:pPr>
        <w:pStyle w:val="ListParagraph"/>
        <w:numPr>
          <w:ilvl w:val="1"/>
          <w:numId w:val="31"/>
        </w:numPr>
        <w:spacing w:before="120" w:after="120"/>
        <w:ind w:left="1134" w:hanging="283"/>
        <w:contextualSpacing w:val="0"/>
        <w:jc w:val="both"/>
      </w:pPr>
      <w:r>
        <w:t>Adja meg a nyilvános konzultáció időtartamát, és összegezze a konzultáció tárgyát képező főbb kérdéseket.</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E54DE8">
      <w:pPr>
        <w:pStyle w:val="ListParagraph"/>
        <w:numPr>
          <w:ilvl w:val="1"/>
          <w:numId w:val="31"/>
        </w:numPr>
        <w:spacing w:before="120" w:after="120"/>
        <w:ind w:left="1134" w:hanging="283"/>
        <w:contextualSpacing w:val="0"/>
        <w:jc w:val="both"/>
      </w:pPr>
      <w:r>
        <w:t>Az iránymutatás 350. pontjában foglalt követelményekkel összhangban adja meg annak a nyilvános honlapnak a címét, ahol a konzultációs kérdőíveket és a válaszok kormányzati összefoglalóját közzé fogják tenni/közzéteszik.</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E54DE8">
            <w:pPr>
              <w:pStyle w:val="Heading1"/>
              <w:numPr>
                <w:ilvl w:val="2"/>
                <w:numId w:val="22"/>
              </w:numPr>
              <w:rPr>
                <w:sz w:val="24"/>
                <w:szCs w:val="24"/>
              </w:rPr>
            </w:pPr>
            <w:r>
              <w:rPr>
                <w:sz w:val="24"/>
              </w:rPr>
              <w:t>Arányosság</w:t>
            </w:r>
          </w:p>
        </w:tc>
      </w:tr>
    </w:tbl>
    <w:p w14:paraId="2592F405" w14:textId="7ACA92B9" w:rsidR="00081E48" w:rsidRDefault="00081E48" w:rsidP="001D2520">
      <w:pPr>
        <w:pStyle w:val="ListParagraph"/>
        <w:spacing w:before="120" w:after="120"/>
        <w:ind w:left="0"/>
        <w:contextualSpacing w:val="0"/>
        <w:jc w:val="both"/>
      </w:pPr>
      <w:r>
        <w:rPr>
          <w:i/>
        </w:rPr>
        <w:t xml:space="preserve">Az e szakaszban kért információk közlésével kapcsolatban lásd az iránymutatás 3.2.1.3. szakaszát (49–53. pontját és 55. pontját) és 4.8.4.5. szakaszát (353–357. pontját). Felhívjuk a figyelmet arra, hogy </w:t>
      </w:r>
      <w:r>
        <w:rPr>
          <w:i/>
          <w:u w:val="single"/>
        </w:rPr>
        <w:t>az alábbi 2.1.5.1. és 2.1.5.2. szakasz egymás alternatívái.</w:t>
      </w:r>
      <w:r>
        <w:rPr>
          <w:i/>
        </w:rPr>
        <w:t xml:space="preserve"> Kérjük, hogy a javasolt intézkedés kialakításától függően csak a vonatkozó szakaszban válaszoljon.</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E54DE8">
            <w:pPr>
              <w:pStyle w:val="Heading1"/>
              <w:keepNext/>
              <w:keepLines/>
              <w:numPr>
                <w:ilvl w:val="3"/>
                <w:numId w:val="22"/>
              </w:numPr>
              <w:ind w:left="1723" w:right="-28" w:hanging="646"/>
              <w:rPr>
                <w:sz w:val="24"/>
                <w:szCs w:val="24"/>
              </w:rPr>
            </w:pPr>
            <w:r>
              <w:rPr>
                <w:sz w:val="24"/>
              </w:rPr>
              <w:t>A versenyeztetéses ajánlattételi eljárás keretében nyújtott támogatás arányossága</w:t>
            </w:r>
          </w:p>
        </w:tc>
      </w:tr>
    </w:tbl>
    <w:p w14:paraId="3A2A7C7F" w14:textId="2611216B" w:rsidR="00863406" w:rsidRDefault="00863406" w:rsidP="00863406">
      <w:pPr>
        <w:spacing w:before="360" w:after="120"/>
        <w:jc w:val="both"/>
        <w:rPr>
          <w:i/>
        </w:rPr>
      </w:pPr>
      <w:r>
        <w:t>Az e szakaszban kért információk közlésével kapcsolatban lásd az iránymutatás 3.2.1.3. szakaszát (49., 50., 51., 52., 53. és 55. pontját), valamint 353., 354. és 356. pontját.</w:t>
      </w:r>
    </w:p>
    <w:p w14:paraId="50E2DDC9" w14:textId="48FD7994" w:rsidR="00882890" w:rsidRDefault="00882890" w:rsidP="00863406">
      <w:pPr>
        <w:spacing w:before="360" w:after="120"/>
        <w:jc w:val="both"/>
        <w:rPr>
          <w:i/>
        </w:rPr>
      </w:pPr>
      <w:r>
        <w:rPr>
          <w:i/>
        </w:rPr>
        <w:t xml:space="preserve">A </w:t>
      </w:r>
      <w:r>
        <w:rPr>
          <w:i/>
          <w:u w:val="single"/>
        </w:rPr>
        <w:t>versenyeztetéses ajánlattételi eljárás nélkül</w:t>
      </w:r>
      <w:r>
        <w:rPr>
          <w:i/>
        </w:rPr>
        <w:t xml:space="preserve"> nyújtott támogatások esetében ez a szakasz </w:t>
      </w:r>
      <w:r>
        <w:rPr>
          <w:i/>
          <w:u w:val="single"/>
        </w:rPr>
        <w:t>nem alkalmazandó</w:t>
      </w:r>
      <w:r>
        <w:rPr>
          <w:i/>
        </w:rPr>
        <w:t>. Ilyen intézkedések esetében kérjük, a válaszadást a 2.1.5.2. szakaszban folytassa.</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Az iránymutatás 353. pontjának való megfelelés értékeléséhez, és amennyiben a fenti </w:t>
      </w:r>
      <w:r>
        <w:fldChar w:fldCharType="begin"/>
      </w:r>
      <w:r>
        <w:instrText xml:space="preserve"> REF _Ref167812746 \r \h </w:instrText>
      </w:r>
      <w:r>
        <w:fldChar w:fldCharType="separate"/>
      </w:r>
      <w:r>
        <w:t>16</w:t>
      </w:r>
      <w:r>
        <w:fldChar w:fldCharType="end"/>
      </w:r>
      <w:r>
        <w:t>. kérdésre adott válaszhoz még nem mellékelte, kérjük, mellékelje azt az elemzést, amelyet a bejelentett ellátásbiztonsági intézkedésben szereplő keresleti szintnek megbízhatósági követelmény vagy költség-haszon elemzés alapján történő meghatározásához használtak. Kérjük, erősítse meg, hogy a keresleti szint meghatározásához használt elemzés legfeljebb 12 hónapos abban az időpontban, amikor a keresleti szint megállapításra kerül.</w:t>
      </w:r>
    </w:p>
    <w:p w14:paraId="74BA1C7A" w14:textId="09BE4CD3" w:rsidR="00EF6485" w:rsidRDefault="00EF6485" w:rsidP="001D2520">
      <w:pPr>
        <w:pStyle w:val="ListParagraph"/>
        <w:spacing w:before="120" w:after="120"/>
        <w:ind w:left="567"/>
        <w:contextualSpacing w:val="0"/>
        <w:jc w:val="both"/>
      </w:pPr>
      <w:r>
        <w:t>…………………………………………………………………………………………….</w:t>
      </w:r>
    </w:p>
    <w:p w14:paraId="632CA93A" w14:textId="7A3BD717" w:rsidR="002E0CE8" w:rsidRDefault="00EF6485" w:rsidP="00A32872">
      <w:pPr>
        <w:numPr>
          <w:ilvl w:val="0"/>
          <w:numId w:val="4"/>
        </w:numPr>
        <w:ind w:left="567" w:hanging="567"/>
        <w:jc w:val="both"/>
      </w:pPr>
      <w:r>
        <w:lastRenderedPageBreak/>
        <w:t>Az iránymutatás 354. pontjával összhangban kérjük, ismertesse, hogy a támogatás nyújtásának időpontja és a projektek átadási határideje közötti átfutási idő lehetővé fogja tenni a tényleges versenyt a gyakorlatban a különböző támogatható projektek között.</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64B789A9" w:rsidR="00C52CE6" w:rsidRDefault="00EF6485" w:rsidP="00C52CE6">
      <w:pPr>
        <w:numPr>
          <w:ilvl w:val="0"/>
          <w:numId w:val="4"/>
        </w:numPr>
        <w:ind w:left="567" w:hanging="567"/>
        <w:jc w:val="both"/>
      </w:pPr>
      <w:r>
        <w:t>Az iránymutatás 356. pontjával összhangban kérjük, ismertesse, hogy az ellátásbiztonsági intézkedések kedvezményezettjei számára hatékony ösztönzőket fognak kínálni ahhoz, hogy a teljesítési időszakban hozzájáruljanak az ellátás biztonságához. Ezeknek az ösztönzőknek általában az (EU) 2019/943 rendelet 11. cikke szerint meghatározott, a terheléskiesés értékéhez kell kapcsolódniuk.</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Az iránymutatás 49. és 50. pontjának való megfelelés ellenőrzése céljából kérjük, közölje az alábbi információkat:</w:t>
      </w:r>
    </w:p>
    <w:p w14:paraId="2AB5C620" w14:textId="7A6DCCC0" w:rsidR="00CD498E" w:rsidRPr="00441F0B" w:rsidRDefault="00033BA9" w:rsidP="00E54DE8">
      <w:pPr>
        <w:numPr>
          <w:ilvl w:val="0"/>
          <w:numId w:val="24"/>
        </w:numPr>
        <w:ind w:left="1134" w:hanging="283"/>
      </w:pPr>
      <w:r>
        <w:t>Kérjük, ismertesse, hogyan gondoskodnak a hatóságok arról, hogy az ajánlattételi eljárás előzetesen, az intézkedés céljával összhangban nyitott, világos, átlátható és megkülönböztetésmentes, objektív kritériumok alapján meghatározott legyen, és minimalizálja a stratégiai ajánlattétel kockázatát (az iránymutatás 49. pontjának a) alpontja).</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7028FF6B" w:rsidR="00EE0083" w:rsidRPr="00050EB9" w:rsidRDefault="00BC250F" w:rsidP="00E54DE8">
      <w:pPr>
        <w:numPr>
          <w:ilvl w:val="0"/>
          <w:numId w:val="24"/>
        </w:numPr>
        <w:ind w:left="1134" w:hanging="283"/>
      </w:pPr>
      <w:r>
        <w:t>Az ajánlatok rangsorolásához és végső soron a versenyeztetéses ajánlattételi eljárás keretében odaítélt támogatás mértékének megállapításához használt kiválasztási kritériumok. Konkrétabban:</w:t>
      </w:r>
    </w:p>
    <w:p w14:paraId="62322C89" w14:textId="24B28289" w:rsidR="004D6830" w:rsidRPr="00050EB9" w:rsidRDefault="000B1BDB" w:rsidP="00E54DE8">
      <w:pPr>
        <w:pStyle w:val="ListParagraph"/>
        <w:numPr>
          <w:ilvl w:val="1"/>
          <w:numId w:val="25"/>
        </w:numPr>
        <w:spacing w:before="120" w:after="120"/>
        <w:contextualSpacing w:val="0"/>
        <w:jc w:val="both"/>
      </w:pPr>
      <w:r>
        <w:t>Kérjük, sorolja fel a kiválasztási kritériumokat, és jelölje meg, hogy közülük melyek kapcsolódnak közvetlenül vagy közvetve az intézkedés fő célkitűzéseihez, illetve melyek nem. Kérjük, hogy a súlyozott értéküket is tüntesse fel.</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E54DE8">
      <w:pPr>
        <w:pStyle w:val="ListParagraph"/>
        <w:numPr>
          <w:ilvl w:val="1"/>
          <w:numId w:val="25"/>
        </w:numPr>
        <w:spacing w:before="120" w:after="120"/>
        <w:contextualSpacing w:val="0"/>
        <w:jc w:val="both"/>
      </w:pPr>
      <w:r>
        <w:t>Kérjük, ismertesse, hogyan helyezik a kiválasztási kritériumok az intézkedés(ek) fő célkitűzéseihez való hozzájárulást közvetlen vagy közvetett viszonyba a pályázó által igényelt támogatási összeggel. Ez kifejezhető például az egy környezetvédelmi vagy energiaegységre jutó támogatásban (az iránymutatás 50. pontja és (44) lábjegyzete).</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E54DE8">
      <w:pPr>
        <w:pStyle w:val="ListParagraph"/>
        <w:numPr>
          <w:ilvl w:val="1"/>
          <w:numId w:val="25"/>
        </w:numPr>
        <w:spacing w:before="120" w:after="120"/>
        <w:contextualSpacing w:val="0"/>
        <w:jc w:val="both"/>
      </w:pPr>
      <w:r>
        <w:t>Amennyiben vannak más kiválasztási kritériumok, amelyek közvetlenül vagy közvetve nem kapcsolódnak az intézkedés fő célkitűzéseihez, kérjük, indokolja a javasolt megközelítést, és ismertesse, hogyan felel meg az intézkedés kitűzött céljainak. Kérjük, erősítse meg azt is, hogy e kritériumok nem haladják meg az összes kiválasztási szempont súlyozott értékének 30 %-át (az iránymutatás 50. pontja).</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E54DE8">
      <w:pPr>
        <w:pStyle w:val="ListParagraph"/>
        <w:numPr>
          <w:ilvl w:val="1"/>
          <w:numId w:val="25"/>
        </w:numPr>
        <w:spacing w:before="120" w:after="120"/>
        <w:contextualSpacing w:val="0"/>
        <w:jc w:val="both"/>
      </w:pPr>
      <w:r>
        <w:rPr>
          <w:color w:val="000000"/>
        </w:rPr>
        <w:t xml:space="preserve">Kérjük, adja meg, </w:t>
      </w:r>
      <w:r>
        <w:rPr>
          <w:color w:val="000000"/>
          <w:shd w:val="clear" w:color="auto" w:fill="FFFFFF"/>
        </w:rPr>
        <w:t>hogy az egyes versenyeztetéses ajánlattételi eljárásokban a pályázatok benyújtásának határideje előtt mennyi idővel</w:t>
      </w:r>
      <w:r>
        <w:rPr>
          <w:color w:val="000000"/>
        </w:rPr>
        <w:t xml:space="preserve"> fogják </w:t>
      </w:r>
      <w:r>
        <w:rPr>
          <w:color w:val="000000"/>
        </w:rPr>
        <w:lastRenderedPageBreak/>
        <w:t xml:space="preserve">közzétenni a kiválasztási kritériumokat </w:t>
      </w:r>
      <w:r>
        <w:t>(az iránymutatás 49. pontjának b) alpontja és (43) lábjegyzete)</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6FDBA2B4" w:rsidR="00A77677" w:rsidRPr="00B35F1C" w:rsidRDefault="00945368" w:rsidP="00E54DE8">
      <w:pPr>
        <w:pStyle w:val="ListParagraph"/>
        <w:numPr>
          <w:ilvl w:val="0"/>
          <w:numId w:val="24"/>
        </w:numPr>
        <w:spacing w:before="120" w:after="120"/>
        <w:ind w:hanging="229"/>
        <w:contextualSpacing w:val="0"/>
        <w:jc w:val="both"/>
      </w:pPr>
      <w:r>
        <w:rPr>
          <w:shd w:val="clear" w:color="auto" w:fill="FFFFFF"/>
        </w:rPr>
        <w:t>Kérjük, erősítse meg, hogy az ajánlattételi eljáráshoz kapcsolódó költségvetés vagy volumen kötelező erejű korlát, mivel várhatóan nem minden ajánlattevő részesül támogatásban</w:t>
      </w:r>
      <w:r>
        <w:t xml:space="preserve"> (az iránymutatás 49. pontjának c) alpontja)</w:t>
      </w:r>
      <w:r>
        <w:rPr>
          <w:shd w:val="clear" w:color="auto" w:fill="FFFFFF"/>
        </w:rPr>
        <w:t>.</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E54DE8">
      <w:pPr>
        <w:pStyle w:val="ListParagraph"/>
        <w:numPr>
          <w:ilvl w:val="0"/>
          <w:numId w:val="24"/>
        </w:numPr>
        <w:spacing w:before="120" w:after="120"/>
        <w:ind w:hanging="229"/>
        <w:contextualSpacing w:val="0"/>
        <w:jc w:val="both"/>
      </w:pPr>
      <w:r>
        <w:rPr>
          <w:shd w:val="clear" w:color="auto" w:fill="FFFFFF"/>
        </w:rPr>
        <w:t>Kérjük, közölje az ajánlattételi fordulók tervezett számát, valamint az ajánlattevők első fordulóban és idővel várható számát.</w:t>
      </w:r>
    </w:p>
    <w:p w14:paraId="2F7D1482" w14:textId="77777777" w:rsidR="00074701" w:rsidRPr="00B35F1C" w:rsidRDefault="00074701" w:rsidP="00074701">
      <w:pPr>
        <w:tabs>
          <w:tab w:val="left" w:leader="dot" w:pos="9072"/>
        </w:tabs>
        <w:spacing w:before="120" w:after="120"/>
        <w:ind w:left="567"/>
        <w:jc w:val="both"/>
      </w:pPr>
      <w:r>
        <w:tab/>
      </w:r>
    </w:p>
    <w:p w14:paraId="5AC7C92A" w14:textId="57FDD6E3" w:rsidR="00866C66" w:rsidRPr="00B35F1C" w:rsidRDefault="00ED3116" w:rsidP="00E54DE8">
      <w:pPr>
        <w:pStyle w:val="ListParagraph"/>
        <w:numPr>
          <w:ilvl w:val="0"/>
          <w:numId w:val="24"/>
        </w:numPr>
        <w:spacing w:before="120" w:after="120"/>
        <w:ind w:hanging="229"/>
        <w:contextualSpacing w:val="0"/>
        <w:jc w:val="both"/>
      </w:pPr>
      <w:r>
        <w:rPr>
          <w:shd w:val="clear" w:color="auto" w:fill="FFFFFF"/>
        </w:rPr>
        <w:t>Ha egy vagy több ajánlattételi eljárást túl kevés ajánlattevőre terveztek, kérjük, ismertesse, hogyan és mikor igazítják ki az ajánlattételi eljárások kialakítását a program végrehajtása során, hogy helyreálljon a tényleges verseny</w:t>
      </w:r>
      <w:r>
        <w:t xml:space="preserve"> (az iránymutatás 49. pontjának c) alpontja)</w:t>
      </w:r>
      <w:r>
        <w:rPr>
          <w:shd w:val="clear" w:color="auto" w:fill="FFFFFF"/>
        </w:rPr>
        <w:t>.</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E54DE8">
      <w:pPr>
        <w:pStyle w:val="ListParagraph"/>
        <w:numPr>
          <w:ilvl w:val="0"/>
          <w:numId w:val="24"/>
        </w:numPr>
        <w:spacing w:before="120" w:after="120"/>
        <w:ind w:hanging="229"/>
        <w:contextualSpacing w:val="0"/>
        <w:jc w:val="both"/>
      </w:pPr>
      <w:r>
        <w:rPr>
          <w:rStyle w:val="oj-italic"/>
          <w:color w:val="000000"/>
          <w:shd w:val="clear" w:color="auto" w:fill="FFFFFF"/>
        </w:rPr>
        <w:t>Kérjük, erősítse meg, hogy</w:t>
      </w:r>
      <w:r>
        <w:rPr>
          <w:color w:val="000000"/>
          <w:shd w:val="clear" w:color="auto" w:fill="FFFFFF"/>
        </w:rPr>
        <w:t xml:space="preserve"> kerülik az ajánlattételi eljárás kimenetelének utólagos kiigazítását (például az </w:t>
      </w:r>
      <w:r>
        <w:rPr>
          <w:shd w:val="clear" w:color="auto" w:fill="FFFFFF"/>
        </w:rPr>
        <w:t xml:space="preserve">ajánlattétel eredményéről folytatott utólagos tárgyalásokat vagy az arányosítást) </w:t>
      </w:r>
      <w:r>
        <w:t>(az iránymutatás 49. pontjának d) alpontja)</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029BA47" w:rsidR="00AA6F85" w:rsidRPr="009D65D3" w:rsidRDefault="00AA6F85" w:rsidP="00E54DE8">
      <w:pPr>
        <w:pStyle w:val="ListParagraph"/>
        <w:numPr>
          <w:ilvl w:val="0"/>
          <w:numId w:val="24"/>
        </w:numPr>
        <w:spacing w:before="120" w:after="120"/>
        <w:ind w:hanging="229"/>
        <w:contextualSpacing w:val="0"/>
        <w:jc w:val="both"/>
      </w:pPr>
      <w:r>
        <w:t>Abban az esetben, ha fennáll a „támogatás igénybevétele nélküli ajánlatok” lehetősége, kérjük, ismertesse, hogyan biztosítják az arányosságot.</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E54DE8">
      <w:pPr>
        <w:pStyle w:val="ListParagraph"/>
        <w:numPr>
          <w:ilvl w:val="0"/>
          <w:numId w:val="24"/>
        </w:numPr>
        <w:spacing w:before="120" w:after="120"/>
        <w:ind w:hanging="229"/>
        <w:contextualSpacing w:val="0"/>
        <w:jc w:val="both"/>
      </w:pPr>
      <w:r>
        <w:t>Kérjük, tisztázza, hogy a hatóságok előirányozzák-e minimálárak vagy árplafonok használatát a versenyeztetéses ajánlattételi eljárásban. Ha igen, kérjük, indokolja azok használatát, és fejtse ki, miért nem korlátozzák a versenyeztetéses ajánlattételi eljárást</w:t>
      </w:r>
      <w:r w:rsidR="00295065" w:rsidRPr="009D65D3">
        <w:rPr>
          <w:rStyle w:val="FootnoteReference"/>
          <w:lang w:eastAsia="en-GB"/>
        </w:rPr>
        <w:footnoteReference w:id="6"/>
      </w:r>
      <w:r>
        <w:t xml:space="preserve"> (az iránymutatás 49. pontja és (42) lábjegyzete).</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E54DE8">
            <w:pPr>
              <w:pStyle w:val="Heading1"/>
              <w:keepNext/>
              <w:keepLines/>
              <w:numPr>
                <w:ilvl w:val="3"/>
                <w:numId w:val="22"/>
              </w:numPr>
              <w:ind w:left="1723" w:right="-28" w:hanging="646"/>
              <w:rPr>
                <w:sz w:val="24"/>
                <w:szCs w:val="24"/>
              </w:rPr>
            </w:pPr>
            <w:r>
              <w:rPr>
                <w:sz w:val="24"/>
              </w:rPr>
              <w:t xml:space="preserve">A </w:t>
            </w:r>
            <w:r>
              <w:rPr>
                <w:sz w:val="24"/>
                <w:u w:val="single"/>
              </w:rPr>
              <w:t>nem</w:t>
            </w:r>
            <w:r>
              <w:rPr>
                <w:sz w:val="24"/>
              </w:rPr>
              <w:t xml:space="preserve"> versenyeztetéses ajánlattételi eljárás keretében odaítélt támogatás arányossága </w:t>
            </w:r>
          </w:p>
        </w:tc>
      </w:tr>
    </w:tbl>
    <w:p w14:paraId="0190ED95" w14:textId="4268A147" w:rsidR="001620DB" w:rsidRDefault="001620DB" w:rsidP="00DB2066">
      <w:pPr>
        <w:pStyle w:val="ListParagraph"/>
        <w:spacing w:before="120" w:after="120"/>
        <w:ind w:left="0"/>
        <w:contextualSpacing w:val="0"/>
        <w:jc w:val="both"/>
      </w:pPr>
      <w:r>
        <w:t>Az e szakaszban kért információk közlésével kapcsolatban lásd az iránymutatás 51–55. és 353–357. pontját.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Ez a szakasz </w:t>
      </w:r>
      <w:r>
        <w:rPr>
          <w:i/>
          <w:u w:val="single"/>
        </w:rPr>
        <w:t>nem vonatkozik</w:t>
      </w:r>
      <w:r>
        <w:rPr>
          <w:i/>
        </w:rPr>
        <w:t xml:space="preserve"> azokra az intézkedésekre, amelyek esetében a támogatást </w:t>
      </w:r>
      <w:r>
        <w:rPr>
          <w:i/>
          <w:u w:val="single"/>
        </w:rPr>
        <w:t>versenyeztetéses ajánlattételi eljárás</w:t>
      </w:r>
      <w:r>
        <w:rPr>
          <w:i/>
        </w:rPr>
        <w:t xml:space="preserve"> keretében nyújtják. Az ilyen intézkedések esetében kérjük, hogy a fenti 2.5.1.1. szakaszt válaszolja meg.</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lastRenderedPageBreak/>
        <w:t xml:space="preserve">Az iránymutatás 353. pontjának való megfelelés értékeléséhez, és amennyiben a fenti </w:t>
      </w:r>
      <w:r w:rsidR="00F65779">
        <w:fldChar w:fldCharType="begin"/>
      </w:r>
      <w:r w:rsidR="00F65779">
        <w:instrText xml:space="preserve"> REF _Ref167812746 \r \h </w:instrText>
      </w:r>
      <w:r w:rsidR="00F65779">
        <w:fldChar w:fldCharType="separate"/>
      </w:r>
      <w:r w:rsidR="00F65779">
        <w:t>16</w:t>
      </w:r>
      <w:r w:rsidR="00F65779">
        <w:fldChar w:fldCharType="end"/>
      </w:r>
      <w:r>
        <w:t>. kérdésre adott válaszhoz még nem mellékelte, kérjük, mellékelje azt az elemzést, amelyet a bejelentett ellátásbiztonsági intézkedésben szereplő keresleti szintnek megbízhatósági követelmény vagy költség-haszon elemzés alapján történő meghatározásához használtak. Kérjük, erősítse meg, hogy a keresleti szint meghatározásához használt elemzés legfeljebb 12 hónapos abban az időpontban, amikor a keresleti szint megállapításra kerül.</w:t>
      </w:r>
    </w:p>
    <w:p w14:paraId="3F80A4CE" w14:textId="77777777" w:rsidR="00D45D04" w:rsidRDefault="00D45D04" w:rsidP="00D45D04">
      <w:pPr>
        <w:pStyle w:val="ListParagraph"/>
        <w:spacing w:before="120" w:after="120"/>
        <w:ind w:left="567"/>
        <w:contextualSpacing w:val="0"/>
        <w:jc w:val="both"/>
      </w:pPr>
      <w:r>
        <w:t>…………………………………………………………………………………………….</w:t>
      </w:r>
    </w:p>
    <w:p w14:paraId="453F4508" w14:textId="1BDBFA48" w:rsidR="00D45D04" w:rsidRDefault="00D45D04" w:rsidP="00D45D04">
      <w:pPr>
        <w:numPr>
          <w:ilvl w:val="0"/>
          <w:numId w:val="4"/>
        </w:numPr>
        <w:ind w:left="567" w:hanging="567"/>
        <w:jc w:val="both"/>
      </w:pPr>
      <w:r>
        <w:t>Az iránymutatás 354. pontjával összhangban kérjük, ismertesse, hogy a támogatás nyújtásának időpontja és a projektek átadási határideje közötti átfutási idő lehetővé fogja tenni a tényleges versenyt a gyakorlatban a különböző támogatható projektek között.</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611D5061" w:rsidR="00D45D04" w:rsidRDefault="00D45D04" w:rsidP="00D45D04">
      <w:pPr>
        <w:numPr>
          <w:ilvl w:val="0"/>
          <w:numId w:val="4"/>
        </w:numPr>
        <w:ind w:left="567" w:hanging="567"/>
        <w:jc w:val="both"/>
      </w:pPr>
      <w:r>
        <w:t>Az iránymutatás 356. pontjával összhangban kérjük, ismertesse, hogy az ellátásbiztonsági intézkedések kedvezményezettjei számára hatékony ösztönzőket fognak kínálni ahhoz, hogy a teljesítési időszakban hozzájáruljanak az ellátás biztonságához. Ezeknek az ösztönzőknek általában az (EU) 2019/943 rendelet 11. cikke szerint meghatározott, a terheléskiesés értékéhez kell kapcsolódniuk.</w:t>
      </w:r>
    </w:p>
    <w:p w14:paraId="2B0809CF" w14:textId="77777777" w:rsidR="00D45D04" w:rsidRDefault="00D45D04" w:rsidP="00D45D04">
      <w:pPr>
        <w:ind w:left="567"/>
        <w:jc w:val="both"/>
      </w:pPr>
      <w:r>
        <w:t>…………………………………………………………………………………………….</w:t>
      </w:r>
    </w:p>
    <w:p w14:paraId="49FC4837" w14:textId="3CA18A3B" w:rsidR="005F14EB" w:rsidRDefault="005F14EB" w:rsidP="00A32872">
      <w:pPr>
        <w:pStyle w:val="ListParagraph"/>
        <w:numPr>
          <w:ilvl w:val="0"/>
          <w:numId w:val="4"/>
        </w:numPr>
        <w:spacing w:before="120" w:after="120"/>
        <w:ind w:left="567" w:hanging="567"/>
        <w:contextualSpacing w:val="0"/>
        <w:jc w:val="both"/>
      </w:pPr>
      <w:r>
        <w:t>Kérjük, ismertesse, miért nem versenyeztetéses ajánlattételi eljárást alkalmaznak (az iránymutatás 355. pontja szerint).</w:t>
      </w:r>
    </w:p>
    <w:p w14:paraId="5A7A4907" w14:textId="099BEAED" w:rsidR="005F14EB" w:rsidRDefault="005F14EB" w:rsidP="00DB2066">
      <w:pPr>
        <w:pStyle w:val="ListParagraph"/>
        <w:spacing w:before="120" w:after="120"/>
        <w:ind w:left="567"/>
        <w:contextualSpacing w:val="0"/>
        <w:jc w:val="both"/>
      </w:pPr>
      <w:r>
        <w:t>…………………………………………………………………………………………….</w:t>
      </w:r>
    </w:p>
    <w:p w14:paraId="54A1C8FD" w14:textId="1C40CFFA" w:rsidR="00DB2066" w:rsidRPr="00303CDD" w:rsidRDefault="00C122DD" w:rsidP="00C122DD">
      <w:pPr>
        <w:numPr>
          <w:ilvl w:val="0"/>
          <w:numId w:val="4"/>
        </w:numPr>
        <w:ind w:left="567" w:hanging="567"/>
        <w:jc w:val="both"/>
      </w:pPr>
      <w:r>
        <w:t>Támogatási programok esetében kérjük, adja meg a referenciaprojektek listáját, és fejtse ki, hogy miért ezeket adták meg (például fejtse ki, hogy az egyes referenciaprojekteken belül a költségek és a bevételek várhatóan nagyjából hasonlóak lesznek). Az egyértelműség érdekében a referenciaprojekt valamely támogatási program kedvezményezettjeinek kategóriájában az átlagos projektet reprezentáló mintaprojekt (az iránymutatás 19. pontjának (63) bekezdése).</w:t>
      </w:r>
    </w:p>
    <w:p w14:paraId="5C69FCBF" w14:textId="4A976914" w:rsidR="007F119D" w:rsidRPr="00303CDD" w:rsidRDefault="007F119D" w:rsidP="007F119D">
      <w:pPr>
        <w:ind w:left="567"/>
      </w:pPr>
      <w:r>
        <w:t>……………………………………………………………………………………………</w:t>
      </w:r>
    </w:p>
    <w:p w14:paraId="4D68EF6E" w14:textId="3D981299" w:rsidR="007F119D" w:rsidRPr="007F119D" w:rsidRDefault="0003031C" w:rsidP="006F39D2">
      <w:pPr>
        <w:pStyle w:val="ListParagraph"/>
        <w:numPr>
          <w:ilvl w:val="0"/>
          <w:numId w:val="4"/>
        </w:numPr>
        <w:spacing w:before="120" w:after="120"/>
        <w:ind w:left="567" w:hanging="567"/>
        <w:contextualSpacing w:val="0"/>
        <w:jc w:val="both"/>
      </w:pPr>
      <w:r>
        <w:t xml:space="preserve">Az iránymutatás 51. pontja értelmében minden egyes referenciaprojektre vonatkozóan (támogatási programok esetében) vagy minden egyes kedvezményezettre vonatkozóan (egyedi támogatás esetében) kérjük, bizonyítsa, hogy a támogatás nem haladja meg a szükséges minimumot, azaz a tényleges forgatókönyv szerinti nettó jelenérték (NPV) és a kontrafaktuális forgatókönyv szerinti nettó jelenérték közötti különbséget a referenciaprojekt vagy a projekt élettartama alatt. Kérjük, hogy ehhez az értékeléshez nyújtson be a tényleges forgatókönyv és </w:t>
      </w:r>
      <w:r w:rsidR="00E36A28">
        <w:t xml:space="preserve">a </w:t>
      </w:r>
      <w:r>
        <w:t>reális kontrafaktuális forgatókönyv</w:t>
      </w:r>
      <w:r w:rsidRPr="00FF6161">
        <w:rPr>
          <w:rStyle w:val="FootnoteReference"/>
        </w:rPr>
        <w:footnoteReference w:id="7"/>
      </w:r>
      <w:r>
        <w:t xml:space="preserve"> tekintetében </w:t>
      </w:r>
      <w:r w:rsidR="009E2CEB" w:rsidRPr="009E2CEB">
        <w:t xml:space="preserve"> számszerűsítést az összes fő költségről és bevételről, a kedvezményezettek (vagy támogatási programok esetében a referenciaprojektek) becsült súlyozott átlagos tőkeköltségéről (WACC) a jövőbeni pénzforgalom diszkontálásához, valamint a tényleges és a kontrafaktuális forgatókönyv szerinti nettó jelenértékről</w:t>
      </w:r>
      <w:r w:rsidR="009E2CEB">
        <w:t>,</w:t>
      </w:r>
      <w:r w:rsidR="009E2CEB" w:rsidRPr="009E2CEB">
        <w:t xml:space="preserve"> a projekt/referenciaprojekt élettartamára vonatkozóan</w:t>
      </w:r>
      <w:r>
        <w:t>.</w:t>
      </w:r>
    </w:p>
    <w:p w14:paraId="4DB6378F" w14:textId="6BD4E9A5" w:rsidR="007F119D" w:rsidRDefault="007F119D" w:rsidP="00E54DE8">
      <w:pPr>
        <w:numPr>
          <w:ilvl w:val="0"/>
          <w:numId w:val="26"/>
        </w:numPr>
        <w:ind w:left="1134" w:hanging="283"/>
      </w:pPr>
      <w:r>
        <w:lastRenderedPageBreak/>
        <w:t>Kérjük, hogy ezeket az információkat az e bejelentési formanyomtatványhoz csatolt mellékletben adja meg (olyan Excel-fájl használatával, amelyben az összes képlet látható).</w:t>
      </w:r>
    </w:p>
    <w:p w14:paraId="791F4E37" w14:textId="77777777" w:rsidR="00217A1A" w:rsidRPr="00257067"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E54DE8">
      <w:pPr>
        <w:numPr>
          <w:ilvl w:val="0"/>
          <w:numId w:val="26"/>
        </w:numPr>
        <w:ind w:left="1134" w:hanging="283"/>
      </w:pPr>
      <w:r>
        <w:t>Kérjük, részletesen ismertesse a tényleges forgatókönyvben és a valószínűsíthető kontrafaktuális forgatókönyvben szereplő költségek és a bevételek számszerűsítésének valamennyi szempontjaihoz használt feltételezéseket, módszereket, indokolást és alapul vett forrásokat (kérjük, hogy térjen ki például az említett forgatókönyvek kidolgozásához használt feltételezésekre és az e feltételezésekhez kapcsolódó forrásokra/indokolásra).</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E54DE8">
      <w:pPr>
        <w:numPr>
          <w:ilvl w:val="0"/>
          <w:numId w:val="26"/>
        </w:numPr>
        <w:ind w:left="1134" w:hanging="283"/>
      </w:pPr>
      <w:r>
        <w:t>E bejelentési formanyomtatványhoz az iránymutatás (39) lábjegyzetében említett dokumentumokat is csatolhatja. Az igazgatótanácsi dokumentumok különösen hasznosak lehetnek a különösen korlátozott számú kedvezményezettnek szóló egyedi támogatási intézkedések vagy programok esetében. Ha ilyen dokumentumokat csatol a bejelentési formanyomtatványhoz, kérjük, alább sorolja fel e dokumentumokat, feltüntetve a szerzőjüket, a készítésük időpontját és a felhasználásuk kontextusát.</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6214431E" w:rsidR="000575C3" w:rsidRPr="00142B91" w:rsidRDefault="006630EE" w:rsidP="006630EE">
      <w:pPr>
        <w:pStyle w:val="ListParagraph"/>
        <w:numPr>
          <w:ilvl w:val="0"/>
          <w:numId w:val="4"/>
        </w:numPr>
        <w:spacing w:before="120" w:after="120"/>
        <w:ind w:left="567" w:hanging="567"/>
        <w:contextualSpacing w:val="0"/>
        <w:jc w:val="both"/>
      </w:pPr>
      <w:r>
        <w:t>Ha az iránymutatás 55. pontja alkalmazandó, kérjük, adjon tájékoztatást a tagállam által esetlegesen bevezetni kívánt (előzetes és utólagos ellentételezést vegyítő) modellekről, illetve utólagos visszakövetelési vagy költségellenőrzési mechanizmusokról.</w:t>
      </w:r>
    </w:p>
    <w:p w14:paraId="1469FE3D" w14:textId="3662127B" w:rsidR="000575C3" w:rsidRPr="008515FB" w:rsidRDefault="009329F1" w:rsidP="000575C3">
      <w:pPr>
        <w:tabs>
          <w:tab w:val="left" w:leader="dot" w:pos="9072"/>
        </w:tabs>
        <w:spacing w:before="120" w:after="120"/>
        <w:ind w:left="567"/>
        <w:jc w:val="both"/>
      </w:pPr>
      <w:r>
        <w:t xml:space="preserve">Kérjük, indokolja, ha az iránymutatás 55. pontja nem alkalmazandó az intézkedés(ek)re.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Ha a bejelentett intézkedés(ek) versenyalapú tanúsítvány vagy szállítói kötelezettségvállalási rendszer formájában valósul(nak) meg (az iránymutatás 357. pontja), kérjük:</w:t>
      </w:r>
    </w:p>
    <w:p w14:paraId="504AC813" w14:textId="77777777" w:rsidR="00EF6485" w:rsidRDefault="00EF6485" w:rsidP="00EF6485">
      <w:pPr>
        <w:pStyle w:val="ListParagraph"/>
        <w:ind w:hanging="436"/>
        <w:rPr>
          <w:lang w:eastAsia="en-GB"/>
        </w:rPr>
      </w:pPr>
    </w:p>
    <w:p w14:paraId="5FEA5C3D" w14:textId="6F303D60" w:rsidR="00EF6485" w:rsidRDefault="0088099D" w:rsidP="00E54DE8">
      <w:pPr>
        <w:numPr>
          <w:ilvl w:val="0"/>
          <w:numId w:val="30"/>
        </w:numPr>
        <w:spacing w:after="240"/>
        <w:ind w:left="1134" w:hanging="283"/>
        <w:jc w:val="both"/>
      </w:pPr>
      <w:r>
        <w:t>Erősítse meg, hogy a rendszerben a keresletet a potenciális kínálat alatt határozzák majd meg:</w:t>
      </w:r>
    </w:p>
    <w:p w14:paraId="3714D680" w14:textId="6175BEB4" w:rsidR="006F39D2" w:rsidRDefault="006F39D2" w:rsidP="00217A1A">
      <w:pPr>
        <w:spacing w:after="240"/>
        <w:ind w:left="720" w:firstLine="414"/>
        <w:jc w:val="both"/>
      </w:pPr>
      <w:r>
        <w:t>………………………………………………………………………………………</w:t>
      </w:r>
    </w:p>
    <w:p w14:paraId="3CE17A1C" w14:textId="1949AE8B" w:rsidR="00EF6485" w:rsidRDefault="00257067" w:rsidP="00E54DE8">
      <w:pPr>
        <w:numPr>
          <w:ilvl w:val="0"/>
          <w:numId w:val="30"/>
        </w:numPr>
        <w:spacing w:after="240"/>
        <w:ind w:left="1134" w:hanging="283"/>
        <w:jc w:val="both"/>
      </w:pPr>
      <w:r>
        <w:t>És f</w:t>
      </w:r>
      <w:r w:rsidR="0088099D">
        <w:t>ejtse ki, hogyan fogják megállapítani a kivásárlási/kötbérárat, és az hogyan biztosítja, hogy ne kerüljön sor túlkompenzációra:</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E54DE8">
            <w:pPr>
              <w:pStyle w:val="Heading1"/>
              <w:numPr>
                <w:ilvl w:val="2"/>
                <w:numId w:val="22"/>
              </w:numPr>
              <w:rPr>
                <w:sz w:val="24"/>
                <w:szCs w:val="24"/>
              </w:rPr>
            </w:pPr>
            <w:r>
              <w:rPr>
                <w:sz w:val="24"/>
              </w:rPr>
              <w:t>Támogatáshalmozódás</w:t>
            </w:r>
          </w:p>
        </w:tc>
      </w:tr>
    </w:tbl>
    <w:p w14:paraId="2346A85D" w14:textId="6CB77F89" w:rsidR="00B21377" w:rsidRPr="002A3B51" w:rsidRDefault="00B21377" w:rsidP="00B21377">
      <w:pPr>
        <w:pStyle w:val="ListParagraph"/>
        <w:spacing w:before="120" w:after="120"/>
        <w:ind w:left="567"/>
        <w:contextualSpacing w:val="0"/>
        <w:jc w:val="both"/>
      </w:pPr>
      <w:r>
        <w:t>Az e szakaszban kért információk közlésével kapcsolatban lásd az iránymutatás 56. és 57. pontját.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lastRenderedPageBreak/>
        <w:t>Amennyiben az általános bejelentési formanyomtatvány I. részében még nem részletezte, és az iránymutatás 56. pontjának való megfelelés ellenőrzése céljából kérjük, részletezze, hogy a bejelentett intézkedés keretében nyújtott támogatás egyidejűleg több támogatási program keretében is odaítélhető-e, vagy ad hoc, illetve csekély összegű támogatással halmozható-e ugyanazon elszámolható költségek tekintetében. Ebben az esetben kérjük, részletesen ismertesse e támogatási programokat, az ad hoc, illetve csekély összegű támogatást, és a támogatás halmozódásának módját. Felhívjuk a figyelmet arra, hogy hivatkozhat a fent ismertetett számszerűsítésre.</w:t>
      </w:r>
    </w:p>
    <w:p w14:paraId="4EA350F2" w14:textId="6700FB40" w:rsidR="00D13239" w:rsidRPr="002A3B51" w:rsidRDefault="002A3B51" w:rsidP="002A3B51">
      <w:pPr>
        <w:tabs>
          <w:tab w:val="left" w:leader="dot" w:pos="9072"/>
        </w:tabs>
        <w:spacing w:before="120" w:after="120"/>
        <w:ind w:left="567"/>
        <w:jc w:val="both"/>
      </w:pPr>
      <w:r>
        <w:tab/>
      </w:r>
    </w:p>
    <w:p w14:paraId="113EC6AF" w14:textId="3DFA9B38" w:rsidR="007257F0" w:rsidRPr="00EE2D70" w:rsidRDefault="00720951" w:rsidP="00DD1BB0">
      <w:pPr>
        <w:pStyle w:val="ListParagraph"/>
        <w:numPr>
          <w:ilvl w:val="0"/>
          <w:numId w:val="4"/>
        </w:numPr>
        <w:spacing w:before="120" w:after="120"/>
        <w:ind w:left="567" w:hanging="567"/>
        <w:contextualSpacing w:val="0"/>
        <w:jc w:val="both"/>
      </w:pPr>
      <w:r>
        <w:t>Ha az iránymutatás 56. pontja alkalmazandó, kérjük, indokolja, hogy a bejelentett intézkedés(ek) keretében a projekthez vagy tevékenységhez nyújtott támogatás teljes összege miért nem eredményez túlkompenzációt, illetve nem lépi túl az iránymutatásban megengedett maximális támogatási összeget. Az iránymutatás alapján engedélyezett maximális támogatási összeg vagy a sikeres ajánlatban figyelembe vett támogatási összeg, vagy versenyeztetéses eljárás hiányában a finanszírozási hiány, figyelembe véve az összes fő bevételt, ideértve az egyéb támogatási forrásokat is (az iránymutatás 51. pontja). Kérjük, ismertesse az iránymutatás 56. pontjában meghatározott feltételeknek való megfelelés biztosítására alkalmazott módszert azokban az esetekben, amikor a bejelentett támogatási intézkedés(ek) keretében nyújtott támogatás más eszközből származó állami támogatással halmozható.</w:t>
      </w:r>
    </w:p>
    <w:p w14:paraId="5A4E851C" w14:textId="1587758B" w:rsidR="007257F0" w:rsidRPr="00EE2D70" w:rsidRDefault="007257F0" w:rsidP="007257F0">
      <w:pPr>
        <w:tabs>
          <w:tab w:val="left" w:leader="dot" w:pos="9072"/>
        </w:tabs>
        <w:spacing w:before="120" w:after="120"/>
        <w:ind w:left="567"/>
        <w:jc w:val="both"/>
      </w:pPr>
      <w:r>
        <w:tab/>
      </w:r>
    </w:p>
    <w:p w14:paraId="4B762428" w14:textId="5221987F" w:rsidR="009861F5" w:rsidRPr="00EE2D70" w:rsidRDefault="00562354" w:rsidP="00DD1BB0">
      <w:pPr>
        <w:pStyle w:val="ListParagraph"/>
        <w:numPr>
          <w:ilvl w:val="0"/>
          <w:numId w:val="4"/>
        </w:numPr>
        <w:spacing w:before="120" w:after="120"/>
        <w:ind w:left="567" w:hanging="567"/>
        <w:contextualSpacing w:val="0"/>
        <w:jc w:val="both"/>
      </w:pPr>
      <w:r>
        <w:t>Ha az iránymutatás 57. pontja alkalmazandó, tehát a bejelentett intézkedés(ek) keretében nyújtott támogatást központilag kezelt (állami támogatásnak nem minősülő) uniós finanszírozással</w:t>
      </w:r>
      <w:r w:rsidR="009B2F61">
        <w:rPr>
          <w:rStyle w:val="FootnoteReference"/>
          <w:lang w:eastAsia="en-GB"/>
        </w:rPr>
        <w:footnoteReference w:id="8"/>
      </w:r>
      <w:r>
        <w:t xml:space="preserve"> kombinálják, kérjük, indokolja, </w:t>
      </w:r>
      <w:r>
        <w:rPr>
          <w:shd w:val="clear" w:color="auto" w:fill="FFFFFF"/>
        </w:rPr>
        <w:t>miért nem eredményez az ugyanazon elszámolható költségek vonatkozásában nyújtott állami finanszírozás teljes összege túlkompenzációt</w:t>
      </w:r>
      <w:r>
        <w:t>.</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54DE8">
            <w:pPr>
              <w:pStyle w:val="Heading1"/>
              <w:numPr>
                <w:ilvl w:val="2"/>
                <w:numId w:val="22"/>
              </w:numPr>
              <w:rPr>
                <w:color w:val="000000"/>
                <w:sz w:val="24"/>
                <w:szCs w:val="24"/>
              </w:rPr>
            </w:pPr>
            <w:r>
              <w:rPr>
                <w:sz w:val="24"/>
              </w:rPr>
              <w:t>Átláthatóság</w:t>
            </w:r>
          </w:p>
        </w:tc>
      </w:tr>
    </w:tbl>
    <w:p w14:paraId="07229A8F" w14:textId="6DE42237" w:rsidR="006773CE" w:rsidRPr="007C0A44" w:rsidRDefault="006773CE" w:rsidP="006773CE">
      <w:pPr>
        <w:spacing w:before="360" w:after="120"/>
        <w:jc w:val="both"/>
        <w:rPr>
          <w:i/>
        </w:rPr>
      </w:pPr>
      <w:r>
        <w:rPr>
          <w:i/>
        </w:rPr>
        <w:t>Az e szakaszban kért információk közlésével kapcsolatban lásd az iránymutatás 3.2.1.4. szakaszát (58–61. pontját).</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Kérjük, erősítse meg, hogy a tagállam teljesíteni fogja az iránymutatás 58–61. pontjában meghatározott átláthatósági követelményeket.</w:t>
      </w:r>
    </w:p>
    <w:p w14:paraId="23A38736" w14:textId="77777777" w:rsidR="003A66DE" w:rsidRPr="00AB745F" w:rsidRDefault="003A66DE" w:rsidP="003A66DE">
      <w:pPr>
        <w:tabs>
          <w:tab w:val="left" w:leader="dot" w:pos="9072"/>
        </w:tabs>
        <w:spacing w:before="120" w:after="120"/>
        <w:ind w:left="567"/>
        <w:jc w:val="both"/>
      </w:pPr>
      <w:r>
        <w:tab/>
      </w:r>
    </w:p>
    <w:p w14:paraId="03940E7D" w14:textId="64018F44"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Kérjük, adja meg az internetes hivatkozást, ahol közzéteszik a jóváhagyott támogatási program vagy az egyedi támogatás odaítéléséről szóló határozat és a végrehajtására vonatkozó rendelkezések teljes szövegét és az eseti jelleggel nyújtott vagy az iránymutatás alapján jóváhagyott és 100 000 EUR-t meghaladó támogatási program keretében nyújtott egyedi támogatásokra vonatkozó információkat.</w:t>
      </w:r>
    </w:p>
    <w:p w14:paraId="314335F7" w14:textId="230B1D03" w:rsidR="007C0A44" w:rsidRDefault="007C0A44" w:rsidP="007C0A44">
      <w:pPr>
        <w:tabs>
          <w:tab w:val="left" w:leader="dot" w:pos="9072"/>
        </w:tabs>
        <w:spacing w:before="120" w:after="120"/>
        <w:ind w:left="567"/>
        <w:jc w:val="both"/>
      </w:pPr>
      <w:r>
        <w:lastRenderedPageBreak/>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E54DE8">
            <w:pPr>
              <w:pStyle w:val="Heading1"/>
              <w:numPr>
                <w:ilvl w:val="1"/>
                <w:numId w:val="22"/>
              </w:numPr>
              <w:jc w:val="left"/>
              <w:rPr>
                <w:iCs/>
                <w:color w:val="000000"/>
                <w:sz w:val="24"/>
                <w:szCs w:val="24"/>
              </w:rPr>
            </w:pPr>
            <w:r>
              <w:rPr>
                <w:color w:val="000000"/>
                <w:sz w:val="24"/>
              </w:rPr>
              <w:t>A versenyre és a kereskedelemre gyakorolt indokolatlan negatív hatások elkerülése, valamint kiegyenlítés</w:t>
            </w:r>
          </w:p>
        </w:tc>
      </w:tr>
    </w:tbl>
    <w:p w14:paraId="6C8D04A2" w14:textId="2AE20423" w:rsidR="009D6AD7" w:rsidRDefault="00F83660" w:rsidP="00757930">
      <w:pPr>
        <w:spacing w:before="360" w:after="120"/>
        <w:jc w:val="both"/>
      </w:pPr>
      <w:r>
        <w:rPr>
          <w:i/>
        </w:rPr>
        <w:t>Az e szakaszban kért információk közlésével kapcsolatban lásd az iránymutatás 4.8.5. szakaszát (359–370. pontját) és 3.3. szakaszát (71–76. pontját).</w:t>
      </w:r>
    </w:p>
    <w:p w14:paraId="289C641A" w14:textId="66B1FD1E" w:rsidR="002955E1" w:rsidRDefault="002955E1" w:rsidP="00AA5AF1">
      <w:pPr>
        <w:numPr>
          <w:ilvl w:val="0"/>
          <w:numId w:val="4"/>
        </w:numPr>
        <w:spacing w:after="240"/>
        <w:ind w:left="567" w:hanging="567"/>
        <w:jc w:val="both"/>
        <w:rPr>
          <w:i/>
          <w:color w:val="000000"/>
        </w:rPr>
      </w:pPr>
      <w:r>
        <w:rPr>
          <w:color w:val="000000"/>
        </w:rPr>
        <w:t>Az iránymutatás 359., 360. és 361. pontjának való megfelelés ellenőrzése céljából kérjük:</w:t>
      </w:r>
    </w:p>
    <w:p w14:paraId="3CDD8237" w14:textId="3BC583CA" w:rsidR="005333EE" w:rsidRPr="00757930" w:rsidRDefault="00967292" w:rsidP="00E54DE8">
      <w:pPr>
        <w:numPr>
          <w:ilvl w:val="0"/>
          <w:numId w:val="34"/>
        </w:numPr>
        <w:spacing w:after="240"/>
        <w:ind w:left="1134" w:hanging="283"/>
        <w:jc w:val="both"/>
        <w:rPr>
          <w:i/>
          <w:color w:val="000000"/>
        </w:rPr>
      </w:pPr>
      <w:r>
        <w:t xml:space="preserve">Ismertesse (amennyiben a fenti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kérdésre adott válaszban még nem ismertette), hogy a támogatás célja a piacok hatékony működésének fenntartása, valamint a hatékony működési ösztönzők és árjelzések megőrzése.</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E54DE8">
      <w:pPr>
        <w:numPr>
          <w:ilvl w:val="0"/>
          <w:numId w:val="34"/>
        </w:numPr>
        <w:spacing w:after="240"/>
        <w:ind w:left="1134" w:hanging="283"/>
        <w:jc w:val="both"/>
        <w:rPr>
          <w:i/>
          <w:color w:val="000000"/>
        </w:rPr>
      </w:pPr>
      <w:r>
        <w:rPr>
          <w:color w:val="000000"/>
        </w:rPr>
        <w:t>Erősítse meg, hogy nincsenek ösztönzők a kevésbé szennyező energiafajtákat kiszorító energiatermeléshez.</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E54DE8">
      <w:pPr>
        <w:numPr>
          <w:ilvl w:val="0"/>
          <w:numId w:val="34"/>
        </w:numPr>
        <w:spacing w:after="240"/>
        <w:ind w:left="1134" w:hanging="283"/>
        <w:jc w:val="both"/>
        <w:rPr>
          <w:i/>
          <w:color w:val="000000"/>
        </w:rPr>
      </w:pPr>
      <w:r>
        <w:rPr>
          <w:color w:val="000000"/>
        </w:rPr>
        <w:t>Tüntesse fel, hogy az intézkedés a kapacitásért (EUR/megawatt [MW]) vagy a villamosenergia-kibocsátásért (EUR/MWh) fizet-e.</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Kérjük, bizonyítsa, hogy az intézkedés megfelel az (EU) 2019/943 rendelet 22. cikkében foglalt minden vonatkozó tervezési feltételnek (az iránymutatás 362. pontja).</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A stratégiai tartalékok és az erőforrások megfelelőségét célzó egyéb intézkedés(ek) esetében, ideértve a megszakíthatósági rendszereket is, amelyeknél a kapacitást a piacon kívül tartják, annak biztosítása érdekében, hogy a piaci árképzés ne torzuljon, kérjük, bizonyítsa, hogy az iránymutatás 363. pontjával összhangban az alábbi feltételek együttesen teljesülnek:</w:t>
      </w:r>
    </w:p>
    <w:p w14:paraId="6E1DA574" w14:textId="064EFA54" w:rsidR="005333EE" w:rsidRDefault="005333EE" w:rsidP="00E54DE8">
      <w:pPr>
        <w:numPr>
          <w:ilvl w:val="1"/>
          <w:numId w:val="29"/>
        </w:numPr>
        <w:spacing w:after="240"/>
        <w:ind w:left="1134" w:hanging="283"/>
        <w:jc w:val="both"/>
        <w:rPr>
          <w:color w:val="000000"/>
        </w:rPr>
      </w:pPr>
      <w:r>
        <w:rPr>
          <w:color w:val="000000"/>
        </w:rPr>
        <w:t>Az intézkedés(ek) erőforrásait csak abban az esetben szabad felhasználni, ha az átvitelirendszer-üzemeltetők valószínűleg kimerítik kiegyenlítő erőforrásaikat, hogy egyensúlyt teremtsenek a kereslet és a kínálat között.</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E54DE8">
      <w:pPr>
        <w:numPr>
          <w:ilvl w:val="1"/>
          <w:numId w:val="29"/>
        </w:numPr>
        <w:spacing w:after="240"/>
        <w:ind w:left="1134" w:hanging="283"/>
        <w:jc w:val="both"/>
        <w:rPr>
          <w:color w:val="000000"/>
        </w:rPr>
      </w:pPr>
      <w:r>
        <w:rPr>
          <w:color w:val="000000"/>
        </w:rPr>
        <w:t>A kiegyenlítőenergia-elszámolási időszakokban, amennyiben felhasználásra kerültek az intézkedés(ek) forrásai, a piacon fennálló kiegyenlítetlenség elszámolásának legalább a VOLL értékén vagy – ha ez magasabb – a technikai árkorlátnak megfelelő áron kell történnie.</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E54DE8">
      <w:pPr>
        <w:numPr>
          <w:ilvl w:val="1"/>
          <w:numId w:val="29"/>
        </w:numPr>
        <w:spacing w:after="240"/>
        <w:ind w:left="1134" w:hanging="283"/>
        <w:jc w:val="both"/>
        <w:rPr>
          <w:color w:val="000000"/>
        </w:rPr>
      </w:pPr>
      <w:r>
        <w:rPr>
          <w:color w:val="000000"/>
        </w:rPr>
        <w:lastRenderedPageBreak/>
        <w:t>Az intézkedés(ek) teljesítményét a teherelosztást követően a kiegyenlítőenergia-elszámolási mechanizmus révén kell a mérlegkörfelelősökhöz rendelni.</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E54DE8">
      <w:pPr>
        <w:numPr>
          <w:ilvl w:val="1"/>
          <w:numId w:val="29"/>
        </w:numPr>
        <w:spacing w:after="240"/>
        <w:ind w:left="1134" w:hanging="283"/>
        <w:jc w:val="both"/>
        <w:rPr>
          <w:color w:val="000000"/>
        </w:rPr>
      </w:pPr>
      <w:r>
        <w:rPr>
          <w:color w:val="000000"/>
        </w:rPr>
        <w:t>Az erőforrások nem kapnak ellentételezést a nagykereskedelmi villamosenergia-piacról vagy a kiegyenlítő piacokról.</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E54DE8">
      <w:pPr>
        <w:numPr>
          <w:ilvl w:val="1"/>
          <w:numId w:val="29"/>
        </w:numPr>
        <w:spacing w:after="240"/>
        <w:ind w:left="1134" w:hanging="283"/>
        <w:jc w:val="both"/>
        <w:rPr>
          <w:color w:val="000000"/>
        </w:rPr>
      </w:pPr>
      <w:r>
        <w:rPr>
          <w:color w:val="000000"/>
        </w:rPr>
        <w:t>Az intézkedés(ek) erőforrásait legalább a szerződéses időszak időtartama alatt az energiapiacokon kívül kell tartani.</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A hálózati szűk keresztmetszetre vonatkozó intézkedések esetében, ha az erőforrásokat a piacon kívül tartják, kérjük, erősítse meg, hogy ezek az erőforrások nem fognak ellentételezést kapni a nagykereskedelmi villamosenergia-piacról vagy a kiegyenlítő piacokról, és azokat legalább a szerződéses időszak időtartama alatt az energiapiacokon kívül fogják tartani (az iránymutatás 364. pontja).</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A stratégiai tartalékoktól eltérő kapacitásmechanizmusok esetében kérjük, bizonyítsa, hogy az iránymutatás 365. pontjával összhangban az intézkedés:</w:t>
      </w:r>
    </w:p>
    <w:p w14:paraId="61F8EA90" w14:textId="77777777" w:rsidR="00560F07" w:rsidRDefault="005333EE" w:rsidP="00E54DE8">
      <w:pPr>
        <w:numPr>
          <w:ilvl w:val="1"/>
          <w:numId w:val="35"/>
        </w:numPr>
        <w:spacing w:after="240"/>
        <w:ind w:left="1134" w:hanging="283"/>
        <w:jc w:val="both"/>
        <w:rPr>
          <w:color w:val="000000"/>
        </w:rPr>
      </w:pPr>
      <w:r>
        <w:rPr>
          <w:color w:val="000000"/>
        </w:rPr>
        <w:t>Úgy került kialakításra, hogy a rendelkezésre állásért fizetett ár automatikusan a nullához tartson, amikor a kínálati kapacitás szintje várhatóan megfelelő lesz a keresleti kapacitás szintjéhez viszonyítva.</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E54DE8">
      <w:pPr>
        <w:numPr>
          <w:ilvl w:val="1"/>
          <w:numId w:val="35"/>
        </w:numPr>
        <w:spacing w:after="240"/>
        <w:ind w:left="1134" w:hanging="283"/>
        <w:jc w:val="both"/>
        <w:rPr>
          <w:color w:val="000000"/>
        </w:rPr>
      </w:pPr>
      <w:r>
        <w:rPr>
          <w:color w:val="000000"/>
        </w:rPr>
        <w:t>A részt vevő erőforrásokat csak rendelkezésre állásukért díjazza és biztosítja, hogy a díjazás ne befolyásolja a kapacitásszolgáltató arra vonatkozó döntését, hogy termeljen-e vagy sem.</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E54DE8">
      <w:pPr>
        <w:numPr>
          <w:ilvl w:val="1"/>
          <w:numId w:val="35"/>
        </w:numPr>
        <w:ind w:left="1134" w:hanging="283"/>
        <w:jc w:val="both"/>
        <w:rPr>
          <w:color w:val="000000"/>
        </w:rPr>
      </w:pPr>
      <w:r>
        <w:rPr>
          <w:color w:val="000000"/>
        </w:rPr>
        <w:t>Lehetővé teszi a kapacitáskötelezettségek átruházását a jogosult kapacitásszolgáltatók között.</w:t>
      </w:r>
    </w:p>
    <w:p w14:paraId="43516A84" w14:textId="77777777" w:rsidR="00560F07" w:rsidRDefault="00560F07" w:rsidP="00560F07">
      <w:pPr>
        <w:ind w:left="567"/>
        <w:jc w:val="both"/>
        <w:rPr>
          <w:color w:val="000000"/>
        </w:rPr>
      </w:pPr>
    </w:p>
    <w:p w14:paraId="6C9EB3AE" w14:textId="6746127F" w:rsidR="00E308B3" w:rsidRPr="00560F07" w:rsidRDefault="00257067" w:rsidP="00560F07">
      <w:pPr>
        <w:ind w:left="567"/>
        <w:jc w:val="both"/>
        <w:rPr>
          <w:color w:val="000000"/>
        </w:rPr>
      </w:pPr>
      <w:r>
        <w:rPr>
          <w:color w:val="000000"/>
        </w:rPr>
        <w:t xml:space="preserve"> </w:t>
      </w:r>
      <w:r w:rsidR="00560F07">
        <w:rPr>
          <w:color w:val="000000"/>
        </w:rPr>
        <w:tab/>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Az iránymutatás 366. pontjának való megfelelés ellenőrzése céljából kérjük, bizonyítsa, hogy az intézkedés: </w:t>
      </w:r>
    </w:p>
    <w:p w14:paraId="28CFD8B5" w14:textId="77777777" w:rsidR="00727DA8" w:rsidRDefault="005333EE" w:rsidP="00E54DE8">
      <w:pPr>
        <w:numPr>
          <w:ilvl w:val="0"/>
          <w:numId w:val="38"/>
        </w:numPr>
        <w:spacing w:after="240"/>
        <w:jc w:val="both"/>
        <w:rPr>
          <w:color w:val="000000"/>
        </w:rPr>
      </w:pPr>
      <w:r>
        <w:rPr>
          <w:color w:val="000000"/>
        </w:rPr>
        <w:t>Nem idéz elő indokolatlan piactorzulásokat, és nem korlátozza az övezetközi kereskedelmet.</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E54DE8">
      <w:pPr>
        <w:numPr>
          <w:ilvl w:val="0"/>
          <w:numId w:val="38"/>
        </w:numPr>
        <w:spacing w:after="240"/>
        <w:jc w:val="both"/>
        <w:rPr>
          <w:color w:val="000000"/>
        </w:rPr>
      </w:pPr>
      <w:r>
        <w:rPr>
          <w:color w:val="000000"/>
        </w:rPr>
        <w:lastRenderedPageBreak/>
        <w:t>Nem csökkenti az összekapcsolási kapacitásba való befektetés ösztönzőit – például a meglévő vagy új rendszerösszekötők szűk keresztmetszetének csökkentésével.</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E54DE8">
      <w:pPr>
        <w:numPr>
          <w:ilvl w:val="0"/>
          <w:numId w:val="38"/>
        </w:numPr>
        <w:spacing w:after="240"/>
        <w:jc w:val="both"/>
        <w:rPr>
          <w:color w:val="000000"/>
        </w:rPr>
      </w:pPr>
      <w:r>
        <w:rPr>
          <w:color w:val="000000"/>
        </w:rPr>
        <w:t>Nem veszélyezteti a piac-összekapcsolást, többek között a napon belüli és kiegyenlítési piacokat sem.</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E54DE8">
      <w:pPr>
        <w:numPr>
          <w:ilvl w:val="0"/>
          <w:numId w:val="38"/>
        </w:numPr>
        <w:spacing w:after="240"/>
        <w:jc w:val="both"/>
        <w:rPr>
          <w:color w:val="000000"/>
        </w:rPr>
      </w:pPr>
      <w:r>
        <w:rPr>
          <w:color w:val="000000"/>
        </w:rPr>
        <w:t>Nem veszélyezti az intézkedést megelőző kapacitásbefektetési döntéseket.</w:t>
      </w:r>
      <w:r>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Az iránymutatás 367. pontjának való megfelelés ellenőrzése érdekében kérjük, bizonyítsa, hogy a bejelentett intézkedés költségeit azok a piaci szereplők fogják viselni, akik hozzájárulnak az intézkedés(ek) szükségességéhez. </w:t>
      </w:r>
      <w:r>
        <w:t>Amennyiben úgy véli, hogy nincs szükség ilyen költségfelosztásra, kérjük, ismertesse, miért ez a helyzet, és ezt támassza alá – többek között a nyilvános konzultáció során gyűjtött – bizonyítékokkal.</w:t>
      </w:r>
      <w:r>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t xml:space="preserve"> Az iránymutatás 72. pontja szerint kérjük, indokolja, hogy a bejelentett intézkedés megfelel az (EU) 2020/852 európai parlamenti és tanácsi rendelet</w:t>
      </w:r>
      <w:r w:rsidR="004B2EF3" w:rsidRPr="008772CC">
        <w:rPr>
          <w:rStyle w:val="FootnoteReference"/>
          <w:lang w:eastAsia="en-GB"/>
        </w:rPr>
        <w:footnoteReference w:id="10"/>
      </w:r>
      <w:r>
        <w:t xml:space="preserve"> 3. cikkében a környezeti szempontból fenntartható gazdasági tevékenységekre vonatkozóan </w:t>
      </w:r>
      <w:r>
        <w:rPr>
          <w:shd w:val="clear" w:color="auto" w:fill="FFFFFF"/>
        </w:rPr>
        <w:t>előírt</w:t>
      </w:r>
      <w:r>
        <w:t xml:space="preserve"> kritériumoknak, </w:t>
      </w:r>
      <w:r>
        <w:rPr>
          <w:shd w:val="clear" w:color="auto" w:fill="FFFFFF"/>
        </w:rPr>
        <w:t>beleértve a jelentős károkozás elkerülését célzó elvet</w:t>
      </w:r>
      <w:r w:rsidR="004B2EF3">
        <w:rPr>
          <w:rStyle w:val="FootnoteReference"/>
          <w:shd w:val="clear" w:color="auto" w:fill="FFFFFF"/>
        </w:rPr>
        <w:footnoteReference w:id="11"/>
      </w:r>
      <w:r>
        <w:rPr>
          <w:shd w:val="clear" w:color="auto" w:fill="FFFFFF"/>
        </w:rPr>
        <w:t xml:space="preserve"> vagy más hasonló módszertant</w:t>
      </w:r>
      <w:r>
        <w:t>.</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t>Az iránymutatás 75. pontja értelmében azokban az esetekben, amikor a tagállam versenyeztetéses ajánlattételi eljárás alkalmazása mellett dönt, kérjük, részletezze, hogy a bejelentett intézkedésnek vannak-e olyan jellemzői, amelyek megkönnyítik a kkv-k vagy a megújulóenergia-közösségek részvételét. Ha igen, kérjük, ismertesse ezeket a jellemzőket, és indokolja, hogy a bejelentett intézkedés(ek)ben miért haladják meg a kkv-k részvételének és elfogadásának biztosításából fakadó pozitív hatások a lehetséges torzító hatásokat.</w:t>
      </w:r>
    </w:p>
    <w:p w14:paraId="02E6A627" w14:textId="4B5682B8" w:rsidR="004901DA" w:rsidRPr="00AC1973" w:rsidRDefault="004901DA" w:rsidP="00757930">
      <w:pPr>
        <w:pStyle w:val="ListParagraph"/>
        <w:spacing w:before="120" w:after="120"/>
        <w:ind w:left="567"/>
        <w:contextualSpacing w:val="0"/>
        <w:jc w:val="both"/>
      </w:pPr>
      <w:r>
        <w:lastRenderedPageBreak/>
        <w:br/>
        <w:t>…………………………………………………………………………………………….</w:t>
      </w:r>
    </w:p>
    <w:p w14:paraId="060F166E" w14:textId="76EDD169" w:rsidR="00363A2F" w:rsidRDefault="00363A2F" w:rsidP="00207312">
      <w:pPr>
        <w:numPr>
          <w:ilvl w:val="0"/>
          <w:numId w:val="4"/>
        </w:numPr>
        <w:spacing w:after="240"/>
        <w:ind w:left="567" w:hanging="567"/>
        <w:jc w:val="both"/>
      </w:pPr>
      <w:r>
        <w:t>Az iránymutatás 368. és 369. pontjának való megfelelés ellenőrzése céljából kérjük:</w:t>
      </w:r>
    </w:p>
    <w:p w14:paraId="0D229619" w14:textId="5FC55C14" w:rsidR="000B0545" w:rsidRDefault="00C3175A" w:rsidP="00E54DE8">
      <w:pPr>
        <w:pStyle w:val="ListParagraph"/>
        <w:numPr>
          <w:ilvl w:val="0"/>
          <w:numId w:val="39"/>
        </w:numPr>
        <w:spacing w:before="120" w:after="120"/>
        <w:contextualSpacing w:val="0"/>
        <w:jc w:val="both"/>
      </w:pPr>
      <w:r>
        <w:t>Ha a bejelentett intézkedés új beruházásokat ösztönöz a legszennyezőbb fosszilis tüzelőanyagokba, ismertesse, hogy az intézkedés – ideértve a hálózati szűk keresztmetszetre vonatkozó intézkedéseket és a megszakíthatósági rendszereket – nem lépi-e túl az (EU) 2019/943 rendelet 22. cikkében a kapacitásmechanizmusokra vonatkozóan meghatározott kibocsátási határértéket.</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E54DE8">
      <w:pPr>
        <w:pStyle w:val="ListParagraph"/>
        <w:numPr>
          <w:ilvl w:val="0"/>
          <w:numId w:val="39"/>
        </w:numPr>
      </w:pPr>
      <w:r>
        <w:t>Ha a bejelentett intézkedés ösztönzi a földgázon alapuló energiatermelésbe történő új beruházásokat, ismertesse, hogyan biztosítják, hogy az intézkedés hozzájárul a 2030-as uniós éghajlat-politikai cél és a 2050-es klímasemlegességi cél eléréséhez. Különösen azt fejtse ki, miként kerülik el ennek a gáztüzelésű energiatermeléstől vagy gáztüzelésű termelő berendezésektől való függésnek a kialakulását.</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t xml:space="preserve">Különösen </w:t>
      </w:r>
      <w:r>
        <w:rPr>
          <w:color w:val="333333"/>
          <w:shd w:val="clear" w:color="auto" w:fill="FFFFFF"/>
        </w:rPr>
        <w:t>a csak korlátozott számú kedvezményezetteket vagy már piacon lévő kedvezményezettet célzó egyedi támogatási intézkedések vagy programok esetében kérjük, mutassa be azt is, hogy a javasolt támogatási intézkedés nem fog a piaci erő növekedéséhez vezetni (az iránymutatás 370. pontja).</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C. szakasz: Értékelés</w:t>
            </w:r>
          </w:p>
        </w:tc>
      </w:tr>
    </w:tbl>
    <w:p w14:paraId="78AC9B95" w14:textId="1FB76E7E" w:rsidR="00C33721" w:rsidRPr="0051324D" w:rsidRDefault="00C33721" w:rsidP="005C6138">
      <w:pPr>
        <w:tabs>
          <w:tab w:val="left" w:leader="dot" w:pos="9072"/>
        </w:tabs>
        <w:spacing w:before="120" w:after="120"/>
        <w:ind w:left="567"/>
        <w:jc w:val="both"/>
      </w:pPr>
      <w:r>
        <w:rPr>
          <w:i/>
        </w:rPr>
        <w:t>Az e szakaszban kért információk közlésével kapcsolatban lásd az iránymutatás 76. pontjának a) alpontját és 5. fejezetét (455–463. pontját).</w:t>
      </w:r>
    </w:p>
    <w:p w14:paraId="319011B2" w14:textId="6538C74F" w:rsidR="002F3E3B" w:rsidRDefault="002F3E3B" w:rsidP="00207312">
      <w:pPr>
        <w:numPr>
          <w:ilvl w:val="0"/>
          <w:numId w:val="4"/>
        </w:numPr>
        <w:spacing w:after="240"/>
        <w:ind w:left="567" w:hanging="567"/>
        <w:jc w:val="both"/>
      </w:pPr>
      <w:r>
        <w:t>Ha a bejelentett intézkedés(ek) meghaladják az iránymutatás 456. pontjában szereplő költségvetésre/kiadásokra vonatkozó küszöbértéket, kérjük, fejtse ki, hogy álláspontjuk szerint miért alkalmazandó az iránymutatás 457. pontjában meghatározott kivétel, vagy mellékletben csatolja ehhez a kiegészítő adatlaphoz az iránymutatás 458. pontjában előírt tartalmú értékelési terv tervezetét</w:t>
      </w:r>
      <w:r w:rsidRPr="002F3E3B">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lastRenderedPageBreak/>
        <w:t>Értékelési terv tervezetének benyújtása esetén kérjük:</w:t>
      </w:r>
    </w:p>
    <w:p w14:paraId="2E38E9A8" w14:textId="77777777" w:rsidR="00237F5F" w:rsidRDefault="00237F5F" w:rsidP="00E54DE8">
      <w:pPr>
        <w:numPr>
          <w:ilvl w:val="2"/>
          <w:numId w:val="28"/>
        </w:numPr>
        <w:ind w:left="1134" w:hanging="283"/>
      </w:pPr>
      <w:r>
        <w:t>Az alábbiakban foglalja össze az értékelési terv mellékletben csatolt tervezetét.</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E54DE8">
      <w:pPr>
        <w:numPr>
          <w:ilvl w:val="2"/>
          <w:numId w:val="28"/>
        </w:numPr>
        <w:ind w:left="1134" w:hanging="283"/>
      </w:pPr>
      <w:r>
        <w:t>Erősítse meg, hogy az iránymutatás 460. pontját betartják.</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E54DE8">
      <w:pPr>
        <w:numPr>
          <w:ilvl w:val="2"/>
          <w:numId w:val="28"/>
        </w:numPr>
        <w:ind w:left="1134" w:hanging="283"/>
      </w:pPr>
      <w:r>
        <w:t>Adja meg az értékelési terv közzétételének időpontját és az internetes hivatkozást, ahol nyilvánosan hozzáférhető lesz.</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235DA464" w:rsidR="009F5BAE" w:rsidRDefault="00576C43" w:rsidP="00207312">
      <w:pPr>
        <w:numPr>
          <w:ilvl w:val="0"/>
          <w:numId w:val="4"/>
        </w:numPr>
        <w:spacing w:after="240"/>
        <w:ind w:left="567" w:hanging="567"/>
        <w:jc w:val="both"/>
      </w:pPr>
      <w:r>
        <w:t>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t xml:space="preserve">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 </w:t>
      </w:r>
      <w:r>
        <w:rPr>
          <w:shd w:val="clear" w:color="auto" w:fill="FFFFFF"/>
        </w:rPr>
        <w:t>30 munkanapon belül azt követően, hogy az előző évre vonatkozóan 150 millió EUR-t meghaladó kiadások kerülnek be a hivatalos elszámolásba</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Az iránymutatás 461. pontjának rendelkezései alapján:</w:t>
      </w:r>
    </w:p>
    <w:p w14:paraId="516B7EF0" w14:textId="6220BF62" w:rsidR="0012481A" w:rsidRDefault="00277BC0" w:rsidP="00E54DE8">
      <w:pPr>
        <w:numPr>
          <w:ilvl w:val="0"/>
          <w:numId w:val="40"/>
        </w:numPr>
        <w:jc w:val="both"/>
      </w:pPr>
      <w:r>
        <w:t>Kérjük, tisztázza, hogy már kiválasztották-e vagy a későbbiekben fogják kiválasztani a független szakértőt.</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E54DE8">
      <w:pPr>
        <w:numPr>
          <w:ilvl w:val="0"/>
          <w:numId w:val="40"/>
        </w:numPr>
        <w:jc w:val="both"/>
      </w:pPr>
      <w:r>
        <w:t>Kérjük, közöljön információkat a szakértő kiválasztását szolgáló eljárásról.</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E54DE8">
      <w:pPr>
        <w:numPr>
          <w:ilvl w:val="0"/>
          <w:numId w:val="40"/>
        </w:numPr>
        <w:jc w:val="both"/>
      </w:pPr>
      <w:r>
        <w:t>Kérjük, indokolja a szakértő engedélyező hatóságtól való függetlenségét.</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Az iránymutatás 461. pontjának rendelkezései alapján:</w:t>
      </w:r>
    </w:p>
    <w:p w14:paraId="56904831" w14:textId="2B9E8697" w:rsidR="007F77C3" w:rsidRDefault="002C0264" w:rsidP="00E54DE8">
      <w:pPr>
        <w:numPr>
          <w:ilvl w:val="0"/>
          <w:numId w:val="41"/>
        </w:numPr>
        <w:spacing w:before="240"/>
        <w:jc w:val="both"/>
      </w:pPr>
      <w:r>
        <w:t xml:space="preserve">Kérjük, adja meg az időközi és a végső értékelési jelentés benyújtására vonatkozóan javasolt határidőket. Felhívjuk a figyelmet arra, hogy az </w:t>
      </w:r>
      <w:r>
        <w:lastRenderedPageBreak/>
        <w:t>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4B010BD2" w14:textId="1FB7DA35" w:rsidR="0012481A" w:rsidRPr="0012481A" w:rsidRDefault="007F77C3" w:rsidP="00E760AF">
      <w:pPr>
        <w:spacing w:before="240"/>
        <w:ind w:left="414" w:firstLine="720"/>
        <w:jc w:val="both"/>
      </w:pPr>
      <w:r>
        <w:t>…………………………………………………………………………………........</w:t>
      </w:r>
    </w:p>
    <w:p w14:paraId="36D10D21" w14:textId="5A785928" w:rsidR="00F776CB" w:rsidRDefault="0036428C" w:rsidP="00E54DE8">
      <w:pPr>
        <w:numPr>
          <w:ilvl w:val="0"/>
          <w:numId w:val="41"/>
        </w:numPr>
        <w:spacing w:before="240"/>
        <w:jc w:val="both"/>
      </w:pPr>
      <w:r>
        <w:t>Kérjük, erősítse meg, hogy az időközi és a végső értékelési jelentést közzéteszik. Kérjük, adja meg e jelentések közzétételének időpontját és az internetes hivatkozást, ahol nyilvánosan hozzáférhetők lesznek.</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D. szakasz: Jelentéstétel és nyomon követés</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Az e szakaszban kért információk közlésével kapcsolatban lásd az iránymutatás 6. szakaszát (464–465. pontját).</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Kérjük, erősítse meg, hogy a tagállam teljesíti az iránymutatás 6. szakaszának 464. és 465. pontjában foglalt jelentéstételi és nyomonkövetési követelményeket.</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HL C 80., 2022.2.18., 1. o.</w:t>
      </w:r>
    </w:p>
  </w:footnote>
  <w:footnote w:id="3">
    <w:p w14:paraId="25384A16" w14:textId="699CB629" w:rsidR="00FA6EB5" w:rsidRPr="009F1C3C" w:rsidRDefault="00FA6EB5">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ideértve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4">
    <w:p w14:paraId="3A3265CA" w14:textId="77777777" w:rsidR="00B22D69" w:rsidRPr="0067348B" w:rsidRDefault="00B22D69" w:rsidP="00B22D69">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5">
    <w:p w14:paraId="590F3FC7" w14:textId="30CB4935" w:rsidR="00E55520" w:rsidRDefault="00E55520" w:rsidP="00821F07">
      <w:pPr>
        <w:pStyle w:val="FootnoteText"/>
      </w:pPr>
      <w:r>
        <w:rPr>
          <w:rStyle w:val="FootnoteReference"/>
        </w:rPr>
        <w:footnoteRef/>
      </w:r>
      <w:r>
        <w:tab/>
        <w:t>Az iránymutatás 19. pontjának 89. alpontja szerint az „uniós szabvány”:</w:t>
      </w:r>
    </w:p>
    <w:p w14:paraId="340A0B20" w14:textId="77777777" w:rsidR="00E55520" w:rsidRPr="004B74BC" w:rsidRDefault="00E55520" w:rsidP="00E54DE8">
      <w:pPr>
        <w:pStyle w:val="FootnoteText"/>
        <w:numPr>
          <w:ilvl w:val="0"/>
          <w:numId w:val="27"/>
        </w:numPr>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02AC4E0B" w14:textId="14D21BDD" w:rsidR="00E55520" w:rsidRDefault="00E55520" w:rsidP="00E54DE8">
      <w:pPr>
        <w:pStyle w:val="FootnoteText"/>
        <w:numPr>
          <w:ilvl w:val="0"/>
          <w:numId w:val="27"/>
        </w:numPr>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6">
    <w:p w14:paraId="6598727F" w14:textId="2CE0C196" w:rsidR="00E55520" w:rsidRDefault="00E55520">
      <w:pPr>
        <w:pStyle w:val="FootnoteText"/>
      </w:pPr>
      <w:r>
        <w:rPr>
          <w:rStyle w:val="FootnoteReference"/>
        </w:rPr>
        <w:footnoteRef/>
      </w:r>
      <w:r>
        <w:tab/>
        <w:t>Kérjük, vegye figyelembe, hogy az iránymutatás (42) lábjegyzete kimondja, hogy „</w:t>
      </w:r>
      <w:r>
        <w:rPr>
          <w:i/>
          <w:color w:val="000000"/>
          <w:sz w:val="19"/>
          <w:shd w:val="clear" w:color="auto" w:fill="FFFFFF"/>
        </w:rPr>
        <w:t>az arányosság aláásását eredményező, a kompetitív folyamatokat gátló minimálárak és árplafonok (még ha azok szintje nulla is) alkalmazását kerülni kell.”</w:t>
      </w:r>
    </w:p>
  </w:footnote>
  <w:footnote w:id="7">
    <w:p w14:paraId="7BF90FA8" w14:textId="77777777" w:rsidR="0003031C" w:rsidRPr="0095488F" w:rsidRDefault="0003031C" w:rsidP="0003031C">
      <w:pPr>
        <w:pStyle w:val="FootnoteText"/>
      </w:pPr>
      <w:r>
        <w:rPr>
          <w:rStyle w:val="FootnoteReference"/>
        </w:rPr>
        <w:footnoteRef/>
      </w:r>
      <w:r>
        <w:tab/>
        <w:t>Lásd még az iránymutatás 51–53. pontjában, valamint (45), (46) és (55) lábjegyzetében foglalt további információkat.</w:t>
      </w:r>
    </w:p>
  </w:footnote>
  <w:footnote w:id="8">
    <w:p w14:paraId="086AD512" w14:textId="7087BE19" w:rsidR="00E55520" w:rsidRDefault="00E55520">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9">
    <w:p w14:paraId="46FDB4C5" w14:textId="626320F5" w:rsidR="00E308B3" w:rsidRPr="004A1D89" w:rsidRDefault="00E308B3">
      <w:pPr>
        <w:pStyle w:val="FootnoteText"/>
      </w:pPr>
      <w:r>
        <w:rPr>
          <w:rStyle w:val="FootnoteReference"/>
        </w:rPr>
        <w:footnoteRef/>
      </w:r>
      <w:r>
        <w:tab/>
        <w:t>Az iránymutatás 367. pontja kimondja, hogy „</w:t>
      </w:r>
      <w:r>
        <w:rPr>
          <w:i/>
        </w:rPr>
        <w:t>nem szükséges ilyen költségfelosztás, ha a tagállam olyan bizonyítékokon – köztük a nyilvános konzultáció során összegyűjtötteken – alapuló elemzést készít, amely szerint a költségek ilyen módon történő felosztása aláásná az intézkedés költséghatékonyságát, vagy olyan súlyos versenytorzulásokhoz vezetne, amelyek egyértelműen aláásnák az ilyen költségelosztás lehetséges előnyeit.</w:t>
      </w:r>
      <w:r>
        <w:t>”</w:t>
      </w:r>
    </w:p>
  </w:footnote>
  <w:footnote w:id="10">
    <w:p w14:paraId="02AA3570" w14:textId="77777777" w:rsidR="00E55520" w:rsidRPr="008772CC" w:rsidRDefault="00E55520" w:rsidP="004B2EF3">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11">
    <w:p w14:paraId="56D0AFFA" w14:textId="77777777" w:rsidR="00E55520" w:rsidRDefault="00E55520" w:rsidP="004B2EF3">
      <w:pPr>
        <w:pStyle w:val="FootnoteText"/>
      </w:pPr>
      <w:r>
        <w:rPr>
          <w:rStyle w:val="FootnoteReference"/>
        </w:rPr>
        <w:footnoteRef/>
      </w:r>
      <w:r>
        <w:tab/>
        <w:t xml:space="preserve">Kérjük, vegye figyelembe, hogy az iránymutatás (50) lábjegyzete értelmében </w:t>
      </w:r>
      <w:r>
        <w:rPr>
          <w:i/>
          <w:color w:val="000000"/>
          <w:sz w:val="19"/>
          <w:shd w:val="clear" w:color="auto" w:fill="FFFFFF"/>
        </w:rPr>
        <w:t>„a Tanács által jóváhagyott helyreállítási és rezilienciaépítési tervekben szereplő intézkedésekkel azonos intézkedések esetében úgy tekinthető, hogy azok megfelelnek a jelentős károkozás elkerülését célzó elvnek, mivel ezt már ellenőrizték.”</w:t>
      </w:r>
    </w:p>
  </w:footnote>
  <w:footnote w:id="12">
    <w:p w14:paraId="4C240C5F" w14:textId="77777777" w:rsidR="002F3E3B" w:rsidRDefault="002F3E3B" w:rsidP="002F3E3B">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DE44FC"/>
    <w:multiLevelType w:val="hybridMultilevel"/>
    <w:tmpl w:val="BFF0F6A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1"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42061285"/>
    <w:multiLevelType w:val="hybridMultilevel"/>
    <w:tmpl w:val="BFF0F6A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243299"/>
    <w:multiLevelType w:val="hybridMultilevel"/>
    <w:tmpl w:val="BFF0F6AE"/>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F347C2"/>
    <w:multiLevelType w:val="hybridMultilevel"/>
    <w:tmpl w:val="BFF0F6A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8"/>
  </w:num>
  <w:num w:numId="2" w16cid:durableId="167333053">
    <w:abstractNumId w:val="12"/>
  </w:num>
  <w:num w:numId="3" w16cid:durableId="18915775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6"/>
  </w:num>
  <w:num w:numId="5" w16cid:durableId="21259982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3"/>
  </w:num>
  <w:num w:numId="7" w16cid:durableId="1226913539">
    <w:abstractNumId w:val="19"/>
  </w:num>
  <w:num w:numId="8" w16cid:durableId="599215065">
    <w:abstractNumId w:val="7"/>
  </w:num>
  <w:num w:numId="9" w16cid:durableId="2031644641">
    <w:abstractNumId w:val="6"/>
  </w:num>
  <w:num w:numId="10" w16cid:durableId="1092891155">
    <w:abstractNumId w:val="34"/>
  </w:num>
  <w:num w:numId="11" w16cid:durableId="1907104691">
    <w:abstractNumId w:val="37"/>
  </w:num>
  <w:num w:numId="12" w16cid:durableId="51199480">
    <w:abstractNumId w:val="35"/>
  </w:num>
  <w:num w:numId="13" w16cid:durableId="1976720153">
    <w:abstractNumId w:val="39"/>
  </w:num>
  <w:num w:numId="14" w16cid:durableId="1375690653">
    <w:abstractNumId w:val="16"/>
  </w:num>
  <w:num w:numId="15" w16cid:durableId="1240402151">
    <w:abstractNumId w:val="28"/>
  </w:num>
  <w:num w:numId="16" w16cid:durableId="975187432">
    <w:abstractNumId w:val="4"/>
  </w:num>
  <w:num w:numId="17" w16cid:durableId="1867600656">
    <w:abstractNumId w:val="31"/>
  </w:num>
  <w:num w:numId="18" w16cid:durableId="503472073">
    <w:abstractNumId w:val="1"/>
  </w:num>
  <w:num w:numId="19" w16cid:durableId="1784031062">
    <w:abstractNumId w:val="0"/>
  </w:num>
  <w:num w:numId="20" w16cid:durableId="1439989596">
    <w:abstractNumId w:val="5"/>
  </w:num>
  <w:num w:numId="21" w16cid:durableId="1016275709">
    <w:abstractNumId w:val="14"/>
  </w:num>
  <w:num w:numId="22" w16cid:durableId="151063031">
    <w:abstractNumId w:val="21"/>
  </w:num>
  <w:num w:numId="23" w16cid:durableId="53816324">
    <w:abstractNumId w:val="11"/>
  </w:num>
  <w:num w:numId="24" w16cid:durableId="1094087480">
    <w:abstractNumId w:val="32"/>
  </w:num>
  <w:num w:numId="25" w16cid:durableId="1749956519">
    <w:abstractNumId w:val="18"/>
  </w:num>
  <w:num w:numId="26" w16cid:durableId="190800748">
    <w:abstractNumId w:val="9"/>
  </w:num>
  <w:num w:numId="27" w16cid:durableId="397703930">
    <w:abstractNumId w:val="22"/>
  </w:num>
  <w:num w:numId="28" w16cid:durableId="2000887330">
    <w:abstractNumId w:val="3"/>
  </w:num>
  <w:num w:numId="29" w16cid:durableId="404423481">
    <w:abstractNumId w:val="38"/>
  </w:num>
  <w:num w:numId="30" w16cid:durableId="962618137">
    <w:abstractNumId w:val="10"/>
  </w:num>
  <w:num w:numId="31" w16cid:durableId="1390108512">
    <w:abstractNumId w:val="13"/>
  </w:num>
  <w:num w:numId="32" w16cid:durableId="55207693">
    <w:abstractNumId w:val="27"/>
  </w:num>
  <w:num w:numId="33" w16cid:durableId="1832794821">
    <w:abstractNumId w:val="30"/>
  </w:num>
  <w:num w:numId="34" w16cid:durableId="1959412921">
    <w:abstractNumId w:val="15"/>
  </w:num>
  <w:num w:numId="35" w16cid:durableId="196967872">
    <w:abstractNumId w:val="40"/>
  </w:num>
  <w:num w:numId="36" w16cid:durableId="2031370701">
    <w:abstractNumId w:val="20"/>
  </w:num>
  <w:num w:numId="37" w16cid:durableId="127818530">
    <w:abstractNumId w:val="17"/>
  </w:num>
  <w:num w:numId="38" w16cid:durableId="678626218">
    <w:abstractNumId w:val="25"/>
  </w:num>
  <w:num w:numId="39" w16cid:durableId="575482971">
    <w:abstractNumId w:val="24"/>
  </w:num>
  <w:num w:numId="40" w16cid:durableId="727071672">
    <w:abstractNumId w:val="33"/>
  </w:num>
  <w:num w:numId="41" w16cid:durableId="1295211193">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1C8"/>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067"/>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E719A"/>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CEB"/>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0AFE"/>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77FAF"/>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6A28"/>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4DE8"/>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5949</Words>
  <Characters>35041</Characters>
  <Application>Microsoft Office Word</Application>
  <DocSecurity>0</DocSecurity>
  <Lines>745</Lines>
  <Paragraphs>290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10</cp:revision>
  <cp:lastPrinted>2024-05-22T14:05:00Z</cp:lastPrinted>
  <dcterms:created xsi:type="dcterms:W3CDTF">2024-08-29T09:58:00Z</dcterms:created>
  <dcterms:modified xsi:type="dcterms:W3CDTF">2024-09-11T15:49:00Z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