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III.6 dalis </w:t>
            </w:r>
          </w:p>
          <w:p w14:paraId="1C239D2C" w14:textId="25225CC9" w:rsidR="000442F5" w:rsidRPr="009916D5" w:rsidRDefault="004569F7" w:rsidP="007B485D">
            <w:pPr>
              <w:pStyle w:val="Heading2"/>
              <w:spacing w:before="240" w:after="240"/>
              <w:jc w:val="center"/>
              <w:rPr>
                <w:sz w:val="32"/>
                <w:szCs w:val="32"/>
              </w:rPr>
            </w:pPr>
            <w:r>
              <w:rPr>
                <w:sz w:val="32"/>
              </w:rPr>
              <w:t>Atnaujinta* papildomos informacijos apie valstybės pagalbą, suteiktą pagal 2022 m. valstybės pagalbos klimato ir aplinkos apsaugai ir energetikai gaires</w:t>
            </w:r>
            <w:r>
              <w:rPr>
                <w:sz w:val="32"/>
                <w:szCs w:val="32"/>
                <w:vertAlign w:val="superscript"/>
              </w:rPr>
              <w:footnoteReference w:id="2"/>
            </w:r>
            <w:r>
              <w:rPr>
                <w:sz w:val="32"/>
              </w:rPr>
              <w:t xml:space="preserve">, pateikimo forma </w:t>
            </w:r>
            <w:bookmarkEnd w:id="0"/>
            <w:bookmarkEnd w:id="1"/>
          </w:p>
          <w:p w14:paraId="6C6A60C7" w14:textId="431AC8F9" w:rsidR="002B52B3" w:rsidRDefault="002B52B3" w:rsidP="00A31B5C">
            <w:pPr>
              <w:jc w:val="center"/>
              <w:rPr>
                <w:sz w:val="32"/>
                <w:szCs w:val="32"/>
              </w:rPr>
            </w:pPr>
            <w:r>
              <w:rPr>
                <w:sz w:val="32"/>
              </w:rPr>
              <w:t>4.8 skyrius. Pagalba elektros energijos tiekimo saugumui didinti</w:t>
            </w:r>
          </w:p>
          <w:p w14:paraId="243D1A50" w14:textId="77777777" w:rsidR="004569F7" w:rsidRDefault="004569F7" w:rsidP="00A31B5C">
            <w:pPr>
              <w:jc w:val="center"/>
            </w:pPr>
          </w:p>
          <w:p w14:paraId="469DC4EF" w14:textId="68811B32" w:rsidR="004569F7" w:rsidRPr="00711243" w:rsidRDefault="004569F7" w:rsidP="00653DDC">
            <w:pPr>
              <w:numPr>
                <w:ilvl w:val="0"/>
                <w:numId w:val="64"/>
              </w:numPr>
            </w:pPr>
            <w:r>
              <w:rPr>
                <w:highlight w:val="yellow"/>
              </w:rPr>
              <w:t>oficialiai dar nepriimta.</w:t>
            </w:r>
          </w:p>
        </w:tc>
      </w:tr>
    </w:tbl>
    <w:p w14:paraId="5F26D476" w14:textId="0645BA6F" w:rsidR="000442F5" w:rsidRPr="00711243" w:rsidRDefault="000442F5" w:rsidP="000442F5">
      <w:pPr>
        <w:spacing w:before="120" w:after="120"/>
        <w:ind w:right="-142"/>
        <w:jc w:val="both"/>
        <w:rPr>
          <w:i/>
          <w:iCs/>
        </w:rPr>
      </w:pPr>
      <w:r>
        <w:rPr>
          <w:i/>
        </w:rPr>
        <w:t>Ši pranešimo forma turi būti pildoma, kai pranešama apie bet kokią pagalbą, kuriai taikomos 2022 m. valstybės pagalbos klimato ir aplinkos apsaugai ir energetikai gairės (toliau – PKAAE gairės).</w:t>
      </w:r>
    </w:p>
    <w:p w14:paraId="1B60656B" w14:textId="00968BE9" w:rsidR="009E2EA1" w:rsidRPr="00711243" w:rsidRDefault="0072538B" w:rsidP="009E2EA1">
      <w:pPr>
        <w:spacing w:before="120" w:after="120"/>
        <w:ind w:right="-142"/>
        <w:jc w:val="both"/>
        <w:rPr>
          <w:i/>
          <w:iCs/>
        </w:rPr>
      </w:pPr>
      <w:r>
        <w:rPr>
          <w:i/>
        </w:rPr>
        <w:t xml:space="preserve">Šioje formoje pateikiama papildoma informacija apie priemones, kurioms taikomas PKAAE gairių 4.8 skyrius. Jei pranešama apie priemones, kurioms taikomas daugiau nei vienas PKAAE gairių skyrius, užpildykite ir atitinkamą su atitinkamu PKAAE gairių skyriumi susijusią pranešimo formą. </w:t>
      </w:r>
    </w:p>
    <w:p w14:paraId="05E36007" w14:textId="57A7067D" w:rsidR="009E2EA1" w:rsidRPr="00711243" w:rsidRDefault="009E2EA1" w:rsidP="009E2EA1">
      <w:pPr>
        <w:spacing w:before="120" w:after="120"/>
        <w:ind w:right="-142"/>
        <w:jc w:val="both"/>
        <w:rPr>
          <w:i/>
          <w:iCs/>
        </w:rPr>
      </w:pPr>
      <w:r>
        <w:rPr>
          <w:i/>
        </w:rPr>
        <w:t>Valstybės narės turi sunumeruoti visus prie pranešimo formos pridedamus dokumentus ir nurodyti dokumentų numerius atitinkamose šios formos skirsniuose.</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 skirsnis. Priemonės (-</w:t>
            </w:r>
            <w:proofErr w:type="spellStart"/>
            <w:r>
              <w:rPr>
                <w:b/>
                <w:sz w:val="32"/>
              </w:rPr>
              <w:t>ių</w:t>
            </w:r>
            <w:proofErr w:type="spellEnd"/>
            <w:r>
              <w:rPr>
                <w:b/>
                <w:sz w:val="32"/>
              </w:rPr>
              <w:t>), apie kurią (-</w:t>
            </w:r>
            <w:proofErr w:type="spellStart"/>
            <w:r>
              <w:rPr>
                <w:b/>
                <w:sz w:val="32"/>
              </w:rPr>
              <w:t>ias</w:t>
            </w:r>
            <w:proofErr w:type="spellEnd"/>
            <w:r>
              <w:rPr>
                <w:b/>
                <w:sz w:val="32"/>
              </w:rPr>
              <w:t>) pranešama, pagrindinių charakteristikų santrauka</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Priemonės (-</w:t>
      </w:r>
      <w:proofErr w:type="spellStart"/>
      <w:r>
        <w:rPr>
          <w:b/>
        </w:rPr>
        <w:t>ių</w:t>
      </w:r>
      <w:proofErr w:type="spellEnd"/>
      <w:r>
        <w:rPr>
          <w:b/>
        </w:rPr>
        <w:t>), apie kurią (-</w:t>
      </w:r>
      <w:proofErr w:type="spellStart"/>
      <w:r>
        <w:rPr>
          <w:b/>
        </w:rPr>
        <w:t>ias</w:t>
      </w:r>
      <w:proofErr w:type="spellEnd"/>
      <w:r>
        <w:rPr>
          <w:b/>
        </w:rPr>
        <w:t>) pranešama, aplinkybės ir tikslas (-ai)</w:t>
      </w:r>
    </w:p>
    <w:p w14:paraId="1FADA2B1" w14:textId="573EB419" w:rsidR="00FA0034" w:rsidRPr="00FA0034" w:rsidRDefault="004569F7" w:rsidP="005437CF">
      <w:pPr>
        <w:numPr>
          <w:ilvl w:val="0"/>
          <w:numId w:val="65"/>
        </w:numPr>
        <w:spacing w:before="120" w:after="120"/>
        <w:ind w:left="993" w:hanging="142"/>
        <w:jc w:val="both"/>
      </w:pPr>
      <w:r>
        <w:t xml:space="preserve">Jei dar nenurodėte formos „Bendroji informacija“ 5.2 skirsnyje (I dalis), nurodykite priemonės aplinkybes ir pagrindinį tikslą.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FA0034">
      <w:pPr>
        <w:numPr>
          <w:ilvl w:val="0"/>
          <w:numId w:val="65"/>
        </w:numPr>
        <w:ind w:left="993" w:hanging="142"/>
        <w:rPr>
          <w:szCs w:val="24"/>
        </w:rPr>
      </w:pPr>
      <w:r>
        <w:t xml:space="preserve">Nurodykite visus kitus ja siekiamus tikslus. Jei tikslai nėra susiję su elektros energijos tiekimo saugumu ar aplinkos apsauga, paaiškinkite, ar juos pasiekus gali būti iškraipoma vidaus rinka.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Įsigaliojimas ir galiojimo trukmė</w:t>
      </w:r>
    </w:p>
    <w:p w14:paraId="3951E532" w14:textId="5BB35D03" w:rsidR="00FD5F79" w:rsidRPr="00FA6EB5" w:rsidRDefault="00FA6EB5" w:rsidP="00FA0034">
      <w:pPr>
        <w:numPr>
          <w:ilvl w:val="0"/>
          <w:numId w:val="72"/>
        </w:numPr>
        <w:rPr>
          <w:szCs w:val="24"/>
        </w:rPr>
      </w:pPr>
      <w:r>
        <w:t>Jei dar nenurodėte formos „Bendroji informacija“ 5.5 skirsnyje (I dalis), nurodykite numatomą priemonės (-</w:t>
      </w:r>
      <w:proofErr w:type="spellStart"/>
      <w:r>
        <w:t>ių</w:t>
      </w:r>
      <w:proofErr w:type="spellEnd"/>
      <w:r>
        <w:t>) įsigaliojimo datą.</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FA0034">
      <w:pPr>
        <w:pStyle w:val="ListParagraph"/>
        <w:numPr>
          <w:ilvl w:val="0"/>
          <w:numId w:val="72"/>
        </w:numPr>
        <w:spacing w:after="240"/>
        <w:ind w:left="993" w:hanging="142"/>
        <w:jc w:val="both"/>
        <w:rPr>
          <w:szCs w:val="24"/>
        </w:rPr>
      </w:pPr>
      <w:r>
        <w:t>Nurodykite priemonės (-</w:t>
      </w:r>
      <w:proofErr w:type="spellStart"/>
      <w:r>
        <w:t>ių</w:t>
      </w:r>
      <w:proofErr w:type="spellEnd"/>
      <w:r>
        <w:t>) taikymo trukmę</w:t>
      </w:r>
      <w:r>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Pagalbos gavėjas (-ai)</w:t>
      </w:r>
      <w:r>
        <w:tab/>
      </w:r>
    </w:p>
    <w:p w14:paraId="0B353EA4" w14:textId="460FB4A4" w:rsidR="00BC5DDD" w:rsidRPr="00F35B92" w:rsidRDefault="00F35B92" w:rsidP="007366E4">
      <w:pPr>
        <w:numPr>
          <w:ilvl w:val="0"/>
          <w:numId w:val="22"/>
        </w:numPr>
        <w:ind w:left="993" w:hanging="142"/>
        <w:rPr>
          <w:szCs w:val="24"/>
        </w:rPr>
      </w:pPr>
      <w:r>
        <w:t>Jei dar nenurodėte „Bendrosios informacijos formos“ 3 skirsnyje (I dalis), apibūdinkite (galimą) priemonės (-</w:t>
      </w:r>
      <w:proofErr w:type="spellStart"/>
      <w:r>
        <w:t>ių</w:t>
      </w:r>
      <w:proofErr w:type="spellEnd"/>
      <w:r>
        <w:t>) pagalbos gavėją (-</w:t>
      </w:r>
      <w:proofErr w:type="spellStart"/>
      <w:r>
        <w:t>us</w:t>
      </w:r>
      <w:proofErr w:type="spellEnd"/>
      <w:r>
        <w:t>).</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0B3833">
      <w:pPr>
        <w:numPr>
          <w:ilvl w:val="0"/>
          <w:numId w:val="22"/>
        </w:numPr>
        <w:ind w:left="993" w:hanging="142"/>
        <w:rPr>
          <w:szCs w:val="24"/>
        </w:rPr>
      </w:pPr>
      <w:r>
        <w:t>Nurodykite pagalbos gavėjo (-ų) vietą (t. y. ar teisę dalyvauti priemonėje turi tik atitinkamose valstybėse narėse esantys ūkio subjektai, ar ir kitose valstybėse narėse esantys ūkio subjektai).</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0B3833">
      <w:pPr>
        <w:numPr>
          <w:ilvl w:val="0"/>
          <w:numId w:val="22"/>
        </w:numPr>
        <w:ind w:left="993" w:hanging="142"/>
        <w:rPr>
          <w:szCs w:val="24"/>
        </w:rPr>
      </w:pPr>
      <w:r>
        <w:t xml:space="preserve">Kad būtų galima įvertinti, ar laikomasi PKAAE gairių 15 punkto, nurodykite, ar pagal priemonę teikiama pagalba (individuali arba pagal schemą) įmonei, kuriai išduotas vykdomasis raštas sumoms išieškoti pagal ankstesnį Komisijos sprendimą, kuriuo skelbiama, kad pagalba yra neteisėta ir nesuderinama su vidaus rinka.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t xml:space="preserve">Jei taip, pateikite informaciją apie pagalbos sumą, kuri dar nesusigrąžinta, kad Komisija į ją atsižvelgtų vertindama pagalbos priemonę, apie kurią pranešama.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lastRenderedPageBreak/>
        <w:t>Patvirtinkite, kad priemone (-</w:t>
      </w:r>
      <w:proofErr w:type="spellStart"/>
      <w:r>
        <w:t>ėmis</w:t>
      </w:r>
      <w:proofErr w:type="spellEnd"/>
      <w:r>
        <w:t>) nėra teikiama pagalba veiklai, kuri nepatenka į PKAAE gairių taikymo sritį (žr. PKAAE gairių 13 punktą). Kitu atveju pateikite išsamią informaciją.</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Biudžetas</w:t>
      </w:r>
    </w:p>
    <w:p w14:paraId="52B28A95" w14:textId="51E3B41D" w:rsidR="00115C85" w:rsidRPr="00B22D69" w:rsidRDefault="00B22D69" w:rsidP="00B22D69">
      <w:pPr>
        <w:pStyle w:val="ListParagraph"/>
        <w:numPr>
          <w:ilvl w:val="0"/>
          <w:numId w:val="23"/>
        </w:numPr>
        <w:spacing w:before="120" w:after="120"/>
        <w:ind w:left="993" w:hanging="284"/>
        <w:contextualSpacing w:val="0"/>
        <w:jc w:val="both"/>
        <w:rPr>
          <w:rFonts w:cs="Arial Unicode MS"/>
          <w:bCs/>
        </w:rPr>
      </w:pPr>
      <w:r>
        <w:t>Jei dar nenurodėte formos „Bendroji informacija“ 7.1 skirsnyje (I dalis) pateikiamoje lentelėje, nurodykite metinį ir (arba) bendrą biudžetą visai priemonės (-</w:t>
      </w:r>
      <w:proofErr w:type="spellStart"/>
      <w:r>
        <w:t>ių</w:t>
      </w:r>
      <w:proofErr w:type="spellEnd"/>
      <w:r>
        <w:t>) taikymo trukmei. Jei bendras biudžetas nežinomas (pvz., jis priklauso nuo konkursų rezultatų), nurodykite biudžeto sąmatą ir prielaidas, naudotas atitinkamai biudžeto sąmatai apskaičiuoti</w:t>
      </w:r>
      <w:r>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B skirsnis. Pagalbos suderinamumo vertinimas</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C52CFD">
            <w:pPr>
              <w:pStyle w:val="Heading1"/>
              <w:numPr>
                <w:ilvl w:val="0"/>
                <w:numId w:val="24"/>
              </w:numPr>
              <w:rPr>
                <w:i/>
                <w:sz w:val="28"/>
                <w:szCs w:val="28"/>
              </w:rPr>
            </w:pPr>
            <w:r>
              <w:rPr>
                <w:i/>
                <w:sz w:val="28"/>
              </w:rPr>
              <w:t>Pozityvioji sąlyga: pagalba turi skatinti ekonominės veiklos plėtrą</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6F256F">
            <w:pPr>
              <w:pStyle w:val="Heading1"/>
              <w:numPr>
                <w:ilvl w:val="1"/>
                <w:numId w:val="24"/>
              </w:numPr>
              <w:rPr>
                <w:sz w:val="24"/>
                <w:szCs w:val="24"/>
              </w:rPr>
            </w:pPr>
            <w:r>
              <w:rPr>
                <w:sz w:val="24"/>
              </w:rPr>
              <w:t>Indėlis į ekonominės veiklos plėtrą</w:t>
            </w:r>
          </w:p>
        </w:tc>
      </w:tr>
    </w:tbl>
    <w:p w14:paraId="1E2599D2" w14:textId="044F1BE7" w:rsidR="000442F5" w:rsidRPr="00DB40A5" w:rsidRDefault="000442F5" w:rsidP="000442F5">
      <w:pPr>
        <w:spacing w:before="360" w:after="120"/>
        <w:jc w:val="both"/>
        <w:rPr>
          <w:i/>
        </w:rPr>
      </w:pPr>
      <w:r>
        <w:rPr>
          <w:i/>
        </w:rPr>
        <w:t>Kad pateiktumėte šiame skirsnyje prašomą informaciją, žr. PKAAE gairių 3.1.1 skirsnį (23–25 punktus), 4.8.1 ir 4.8.2 skirsnius (325–328 punktus)</w:t>
      </w:r>
      <w:r>
        <w:rPr>
          <w:i/>
          <w:color w:val="000000"/>
        </w:rPr>
        <w:t>.</w:t>
      </w:r>
      <w:r>
        <w:rPr>
          <w:i/>
        </w:rPr>
        <w:t xml:space="preserve">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Sutarties dėl Europos Sąjungos veikimo (SESV) 107 straipsnio 3 dalies c punkte nustatyta, kad Komisija gali pripažinti, kad suderinama yra „</w:t>
      </w:r>
      <w:r>
        <w:rPr>
          <w:i/>
        </w:rPr>
        <w:t>pagalba, skirta tam tikros ekonominės veiklos rūšių arba tam tikrų ekonomikos sričių plėtrai skatinti, jei ji netrikdo prekybos sąlygų taip, kad prieštarautų bendram interesui</w:t>
      </w:r>
      <w:r>
        <w:t xml:space="preserve">“. Todėl pagal šią SESV nuostatą suderinama pagalba turi prisidėti prie tam tikros ekonominės veiklos plėtros. </w:t>
      </w:r>
    </w:p>
    <w:p w14:paraId="78AC4A6E" w14:textId="5DA81B01" w:rsidR="00EE2FCC" w:rsidRPr="00864DCD" w:rsidRDefault="00EE56DD" w:rsidP="00EE56DD">
      <w:pPr>
        <w:pStyle w:val="ListParagraph"/>
        <w:spacing w:before="120" w:after="120"/>
        <w:ind w:left="567"/>
        <w:contextualSpacing w:val="0"/>
        <w:jc w:val="both"/>
      </w:pPr>
      <w:r>
        <w:t>Kad būtų galima įvertinti, ar laikomasi PKAAE gairių 23 punkto, nurodykite, kokią ekonominę veiklą skatins pagalba ir kaip remiama šios veiklos plėtra. PKAAE gairių 328 punkte pateikiama tokios ekonominės veiklos pavyzdžių, susijusių su priemonėmis, kuriomis siekiama padidinti elektros energijos tiekimo saugumą.</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Kad būtų galima įvertinti, ar laikomasi PKAAE gairių 25 punkto, „</w:t>
      </w:r>
      <w:proofErr w:type="spellStart"/>
      <w:r>
        <w:rPr>
          <w:i/>
        </w:rPr>
        <w:t>nurody</w:t>
      </w:r>
      <w:proofErr w:type="spellEnd"/>
      <w:r>
        <w:rPr>
          <w:i/>
        </w:rPr>
        <w:t>[</w:t>
      </w:r>
      <w:proofErr w:type="spellStart"/>
      <w:r>
        <w:rPr>
          <w:i/>
        </w:rPr>
        <w:t>kite</w:t>
      </w:r>
      <w:proofErr w:type="spellEnd"/>
      <w:r>
        <w:rPr>
          <w:i/>
        </w:rPr>
        <w:t>],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Apibūdinkite pagalbos gavėjui (-</w:t>
      </w:r>
      <w:proofErr w:type="spellStart"/>
      <w:r>
        <w:t>ams</w:t>
      </w:r>
      <w:proofErr w:type="spellEnd"/>
      <w:r>
        <w:t>) taikomus reikalavimus (pvz., nurodykite, kokių techninių, aplinkos apsaugos (t. y. susijusių su leidimais), finansinių (t. y. užstato) ar kitų reikalavimų turi laikytis pagalbos gavėjas (-ai).</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Pateikite informaciją apie priemonės pagrindimą, kaip nurodyta PKAAE gairių 4.8.1 skirsnyje (325 punkte).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Pateikite informaciją apie priemonės taikymo sritį, kaip nurodyta PKAAE gairių 4.8.2 skirsnyje (326–327 punktuose).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805640">
            <w:pPr>
              <w:pStyle w:val="Heading1"/>
              <w:numPr>
                <w:ilvl w:val="1"/>
                <w:numId w:val="24"/>
              </w:numPr>
              <w:rPr>
                <w:sz w:val="24"/>
                <w:szCs w:val="24"/>
              </w:rPr>
            </w:pPr>
            <w:r>
              <w:rPr>
                <w:sz w:val="24"/>
              </w:rPr>
              <w:lastRenderedPageBreak/>
              <w:t>Skatinamasis poveikis</w:t>
            </w:r>
          </w:p>
        </w:tc>
      </w:tr>
    </w:tbl>
    <w:p w14:paraId="20915284" w14:textId="14126DC4" w:rsidR="00015E2B" w:rsidRPr="00A05235" w:rsidRDefault="00B15313" w:rsidP="00015E2B">
      <w:pPr>
        <w:spacing w:before="360" w:after="120"/>
        <w:jc w:val="both"/>
        <w:rPr>
          <w:i/>
        </w:rPr>
      </w:pPr>
      <w:r>
        <w:rPr>
          <w:i/>
        </w:rPr>
        <w:t xml:space="preserve">Kad pateiktumėte šiame skirsnyje prašomą informaciją, žr. PKAAE gairių 329 punktą ir 3.1.2 skirsnį (29, 30, 31 ir 32 punktus).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Kad įrodytumėte, kad laikotės PKAAE gairių 29 ir 31 punktų:</w:t>
      </w:r>
    </w:p>
    <w:p w14:paraId="48499390" w14:textId="47E7D7F7" w:rsidR="006445C3" w:rsidRPr="00471B74" w:rsidRDefault="00677805" w:rsidP="00526607">
      <w:pPr>
        <w:pStyle w:val="ListParagraph"/>
        <w:numPr>
          <w:ilvl w:val="0"/>
          <w:numId w:val="25"/>
        </w:numPr>
        <w:spacing w:before="120" w:after="120"/>
        <w:ind w:left="993" w:hanging="284"/>
        <w:contextualSpacing w:val="0"/>
        <w:jc w:val="both"/>
      </w:pPr>
      <w:r>
        <w:t>patvirtinkite, kad su projektu susijusių darbų ar veiklos pagalbos gavėjas nepradėjo anksčiau, nei nacionalinėms valdžios institucijoms pateikė rašytinę paraišką gauti pagalbą,</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ARBA</w:t>
      </w:r>
    </w:p>
    <w:p w14:paraId="0252AF86" w14:textId="2507B978" w:rsidR="000442F5" w:rsidRPr="00F53942" w:rsidRDefault="008514DC" w:rsidP="00526607">
      <w:pPr>
        <w:pStyle w:val="ListParagraph"/>
        <w:numPr>
          <w:ilvl w:val="0"/>
          <w:numId w:val="25"/>
        </w:numPr>
        <w:spacing w:before="120" w:after="120"/>
        <w:ind w:left="993" w:hanging="284"/>
        <w:contextualSpacing w:val="0"/>
        <w:jc w:val="both"/>
      </w:pPr>
      <w:r>
        <w:t xml:space="preserve">projekto, pradėto įgyvendinti prieš pateikiant paraišką gauti pagalbą, atveju įrodykite, kad taikoma viena iš PKAAE gairių 31 punkto a, b arba c papunkčiuose nurodytų išimčių.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Kad įrodytumėte, kad laikotės PKAAE gairių 30 punkto, patvirtinkite, kad paraiškoje gauti pagalbą yra nurodytas bent jau pareiškėjo pavadinimas, projekto ar veiklos aprašymas, įskaitant jų vietą, ir pagalbos suma, reikalinga jiems įgyvendinti.</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Kad įrodytumėte, kad laikotės PKAAE gairių 32 punkto, nurodykite, ar priemonei, apie kurią pranešama, taikomi Sąjungos standartai</w:t>
      </w:r>
      <w:r>
        <w:rPr>
          <w:rStyle w:val="FootnoteReference"/>
          <w:lang w:val="en-IE" w:eastAsia="en-GB"/>
        </w:rPr>
        <w:footnoteReference w:id="5"/>
      </w:r>
      <w:r>
        <w:t xml:space="preserve">, privalomi nacionaliniai standartai, kurie yra griežtesni ar platesnio užmojo nei atitinkami Sąjungos standartai, arba, jei Sąjungos standartų nėra, ar priimti privalomi nacionaliniai standartai. Atsižvelgdami į tai, pateikite skatinamąjį poveikį įrodančią informaciją.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Tais atvejais, kai atitinkamas Sąjungos standartas jau priimtas, bet dar neįsigaliojo, įrodykite, kad pagalba turi skatinamąjį poveikį, nes ja skatinama investicijas iki galo įgyvendinti likus ne mažiau kaip 18 mėnesių iki standarto įsigaliojimo.</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805640">
            <w:pPr>
              <w:pStyle w:val="Heading1"/>
              <w:numPr>
                <w:ilvl w:val="1"/>
                <w:numId w:val="24"/>
              </w:numPr>
              <w:rPr>
                <w:sz w:val="24"/>
                <w:szCs w:val="24"/>
              </w:rPr>
            </w:pPr>
            <w:r>
              <w:rPr>
                <w:sz w:val="24"/>
              </w:rPr>
              <w:t>Nepažeidžiama jokia atitinkama Sąjungos teisės nuostata</w:t>
            </w:r>
          </w:p>
        </w:tc>
      </w:tr>
    </w:tbl>
    <w:p w14:paraId="665FE026" w14:textId="7D0593B2" w:rsidR="00DE1D68" w:rsidRDefault="00DE1D68" w:rsidP="00DE1D68">
      <w:pPr>
        <w:spacing w:before="360" w:after="120"/>
        <w:jc w:val="both"/>
        <w:rPr>
          <w:i/>
        </w:rPr>
      </w:pPr>
      <w:r>
        <w:rPr>
          <w:i/>
        </w:rPr>
        <w:lastRenderedPageBreak/>
        <w:t xml:space="preserve">Kad pateiktumėte šiame skirsnyje prašomą informaciją, žr. PKAAE gairių 3.1.3 skirsnį (33 punktą). </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Pateikite informaciją ir patvirtinkite, kad laikomasi atitinkamų ES teisės nuostatų, kaip nurodyta PKAAE gairių 33 punkte (žr., pvz., </w:t>
      </w:r>
      <w:r>
        <w:rPr>
          <w:highlight w:val="yellow"/>
        </w:rPr>
        <w:fldChar w:fldCharType="begin"/>
      </w:r>
      <w:r>
        <w:instrText xml:space="preserve"> REF _Ref169096013 \r \h </w:instrText>
      </w:r>
      <w:r>
        <w:rPr>
          <w:highlight w:val="yellow"/>
        </w:rPr>
      </w:r>
      <w:r>
        <w:rPr>
          <w:highlight w:val="yellow"/>
        </w:rPr>
        <w:fldChar w:fldCharType="separate"/>
      </w:r>
      <w:r>
        <w:t>49</w:t>
      </w:r>
      <w:r>
        <w:rPr>
          <w:highlight w:val="yellow"/>
        </w:rPr>
        <w:fldChar w:fldCharType="end"/>
      </w:r>
      <w:r>
        <w:t xml:space="preserve"> punktą dėl atitikties Reglamentui (ES)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Jei mokestis naudojamas priemonei (-</w:t>
      </w:r>
      <w:proofErr w:type="spellStart"/>
      <w:r>
        <w:t>ėms</w:t>
      </w:r>
      <w:proofErr w:type="spellEnd"/>
      <w:r>
        <w:t>) finansuoti (žr. 54 punktą), paaiškinkite, ar:</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mokestis vienodai taikomas ir vidaus, ir importuojamiems produktams;</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priemonė, apie kurią pranešama, bus vienodai naudinga ir vidaus, ir importuojamų produktų gamintojams.</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C52CFD">
            <w:pPr>
              <w:pStyle w:val="Heading1"/>
              <w:numPr>
                <w:ilvl w:val="0"/>
                <w:numId w:val="24"/>
              </w:numPr>
              <w:rPr>
                <w:i/>
                <w:color w:val="000000"/>
                <w:sz w:val="28"/>
                <w:szCs w:val="28"/>
              </w:rPr>
            </w:pPr>
            <w:r>
              <w:rPr>
                <w:i/>
                <w:color w:val="000000"/>
                <w:sz w:val="28"/>
              </w:rPr>
              <w:t>Negatyvioji sąlyga: pagalba negalima trikdyti prekybos sąlygų taip, kad prieštarautų bendram interesui</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Konkurencijos ir prekybos iškraipymo mažinimas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9433B5">
            <w:pPr>
              <w:pStyle w:val="Heading1"/>
              <w:numPr>
                <w:ilvl w:val="2"/>
                <w:numId w:val="24"/>
              </w:numPr>
              <w:rPr>
                <w:color w:val="000000"/>
                <w:sz w:val="24"/>
                <w:szCs w:val="24"/>
              </w:rPr>
            </w:pPr>
            <w:r>
              <w:rPr>
                <w:color w:val="000000"/>
                <w:sz w:val="24"/>
              </w:rPr>
              <w:t>Pagalbos būtinumas</w:t>
            </w:r>
          </w:p>
        </w:tc>
      </w:tr>
    </w:tbl>
    <w:p w14:paraId="3C23674F" w14:textId="79C4B802" w:rsidR="00663008" w:rsidRPr="00F83660" w:rsidRDefault="00663008" w:rsidP="00663008">
      <w:pPr>
        <w:spacing w:before="360" w:after="120"/>
        <w:jc w:val="both"/>
        <w:rPr>
          <w:i/>
          <w:color w:val="000000"/>
        </w:rPr>
      </w:pPr>
      <w:r>
        <w:rPr>
          <w:i/>
          <w:color w:val="000000"/>
        </w:rPr>
        <w:t xml:space="preserve">Kad pateiktumėte šiame skirsnyje prašomą informaciją, žr. PKAAE gairių 4.8.4.1 skirsnį (331–339 punktus).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PKAAE gairių 331 punkte nustatyta, kad elektros energijos tiekimo saugumo problemos pobūdis ir priežastys, taigi ir valstybės pagalbos poreikis elektros energijos tiekimo saugumui užtikrinti, turi būti tinkamai išanalizuoti ir kiekybiškai įvertinti, taip pat turi būti nurodyta, kada ir kur gali kilti problema, atsižvelgiant į, jei tinkama, patikimumo standartą, apibrėžtą Reglamento (ES) 2019/943 25 straipsnyje.</w:t>
      </w:r>
      <w:bookmarkEnd w:id="4"/>
    </w:p>
    <w:p w14:paraId="1ABC600C" w14:textId="174FCB8E" w:rsidR="00CD4EC7" w:rsidRDefault="00DD7F4B" w:rsidP="00A32872">
      <w:pPr>
        <w:pStyle w:val="ListParagraph"/>
        <w:spacing w:before="120" w:after="120"/>
        <w:ind w:left="567"/>
        <w:contextualSpacing w:val="0"/>
        <w:jc w:val="both"/>
      </w:pPr>
      <w:r>
        <w:t xml:space="preserve">Pateikite analizę, kurioje būtų nustatyta ir kiekybiškai įvertinta elektros energijos tiekimo saugumo problema. Atsakyme pateikite išsamią informaciją atsižvelgdami į PKAAE gairių 331–333 punktuose nurodytas aplinkybes: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t xml:space="preserve">Atsižvelgdami į PKAAE gairių 334 punktą, priemonių, susijusių su elektros energijos krizių rizika, atveju pateikite Reglamento (ES) 2019/941 11 straipsnyje numatytą nacionalinį pasirengimo valdyti riziką planą, kuriame turėtų būti nurodyta siūloma priemonė.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lastRenderedPageBreak/>
        <w:t>Jei siūloma nustatyti kelias priemones, skirtas elektros energijos tiekimo saugumui užtikrinti, atsižvelgdami į PKAAE gairių 335 punktą išsamiai paaiškinkite, kokia jų sąveika užtikrinant bendrą visų priemonių, skirtų tiekimo saugumui užtikrinti, ekonominį efektyvumą, pavyzdžiui, kiek tai susiję su pajėgumų užtikrinimo mechanizmais, paaiškindami, kaip jais pasiekiamas (bet neviršijamas) 331 punkte nurodytas patikimumo standartas.</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Atsižvelgdami į PKAAE gairių 336 punktą nurodykite reguliavimo arba rinkos nepakankamumą, taip pat visas kitas problemas, dėl kurių, nesant intervencijos, negalima užtikrinti pakankamo elektros energijos tiekimo saugumo (ir aplinkos apsaugos, jei aktualu) lygio.</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Atsižvelgdami į PKAAE gairių 337 punktą nurodykite esamas priemones, kuriomis jau sprendžiama rinkos arba reguliavimo nepakankamumo problema ar kitos 336 punkte iškeltos problemos. Kai tinkama, galite remtis įrodymais, kurie jau buvo pateikti atsakyme </w:t>
      </w:r>
      <w:r>
        <w:fldChar w:fldCharType="begin"/>
      </w:r>
      <w:r>
        <w:instrText xml:space="preserve"> REF _Ref167812746 \r \h </w:instrText>
      </w:r>
      <w:r>
        <w:fldChar w:fldCharType="separate"/>
      </w:r>
      <w:r>
        <w:t>16</w:t>
      </w:r>
      <w:r>
        <w:fldChar w:fldCharType="end"/>
      </w:r>
      <w:r>
        <w:t xml:space="preserve"> punkte.</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Remdamiesi PKAAE gairių 338 punktu nurodykite priežastis, kodėl, atsižvelgiant į rinkos reformas ir valstybės narės planuojamus patobulinimus bei technologinę plėtrą, nesitikima, kad be valstybės pagalbos rinkoje bus užtikrintas elektros energijos tiekimo saugumas.</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Pateikite šią PKAAE gairių 339 punkte nurodytą informaciją:</w:t>
      </w:r>
    </w:p>
    <w:p w14:paraId="22B1B19C" w14:textId="02BC0A6D" w:rsidR="001F444E" w:rsidRDefault="00CC02E1" w:rsidP="0013713F">
      <w:pPr>
        <w:pStyle w:val="ListParagraph"/>
        <w:numPr>
          <w:ilvl w:val="1"/>
          <w:numId w:val="4"/>
        </w:numPr>
        <w:spacing w:after="240"/>
        <w:ind w:left="1134" w:hanging="283"/>
        <w:jc w:val="both"/>
      </w:pPr>
      <w:r>
        <w:t xml:space="preserve">nepastovios elektros energijos gamybos poveikio vertinimą, įskaitant elektros energiją, tiekiamą iš gretimų sistemų;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dalyvavimo kontroliuojant paklausą ir kaupimą poveikio vertinimą, įskaitant paklausos valdymo skatinimo priemonių aprašymą;</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faktinių ar galimų jungčių bei pagrindinės vidaus perdavimo tinklų infrastruktūros vertinimą, įskaitant vykdomų ir planuojamų projektų aprašą;</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kitų aspektų, kurie gali sukelti ar paaštrinti elektros energijos tiekimo saugumo problemą, pavyzdžiui, didmeninių kainų viršutinių ribų arba kito reguliavimo ar rinkos nepakankamumo, vertinimą. Kai taikytina, pateikite ir atsižvelkite į priemonių, kuriomis pašalinamas bet koks nustatytas reguliavimo iškraipymas </w:t>
      </w:r>
      <w:r>
        <w:lastRenderedPageBreak/>
        <w:t>arba rinkos nepakankamumas, įgyvendinimo planą, taip pat Komisijos nuomonę dėl tokio įgyvendinimo plano pagal Reglamento (ES) 2019/943 20 straipsnio 3 ir 5 dalis;</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bet kokį svarbų veiksmų plano pagal Reglamento (ES) 2019/943 15 straipsnį turinį.</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13713F">
            <w:pPr>
              <w:pStyle w:val="Heading1"/>
              <w:numPr>
                <w:ilvl w:val="2"/>
                <w:numId w:val="24"/>
              </w:numPr>
              <w:rPr>
                <w:color w:val="000000"/>
                <w:sz w:val="24"/>
                <w:szCs w:val="24"/>
              </w:rPr>
            </w:pPr>
            <w:r>
              <w:rPr>
                <w:color w:val="000000"/>
                <w:sz w:val="24"/>
              </w:rPr>
              <w:t>Tinkamumas</w:t>
            </w:r>
          </w:p>
        </w:tc>
      </w:tr>
    </w:tbl>
    <w:p w14:paraId="4C2D927B" w14:textId="3E3F17BF" w:rsidR="00EA354A" w:rsidRPr="00F83660" w:rsidRDefault="00EA354A" w:rsidP="00EA354A">
      <w:pPr>
        <w:spacing w:before="360" w:after="120"/>
        <w:jc w:val="both"/>
        <w:rPr>
          <w:i/>
          <w:color w:val="000000"/>
        </w:rPr>
      </w:pPr>
      <w:r>
        <w:rPr>
          <w:i/>
          <w:color w:val="000000"/>
        </w:rPr>
        <w:t xml:space="preserve">Kad pateiktumėte šiame skirsnyje prašomą informaciją, žr. PKAAE gairių 4.8.4.2 skirsnį (341 ir 342 punktus).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Kad būtų galima įvertinti, ar laikomasi PKAAE gairių 341 punkto:</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paaiškinkite, kokie apsvarstyti alternatyvūs būdai, kaip užtikrinti elektros energijos tiekimo saugumą, visų pirma veiksmingesnę elektros energijos rinkos struktūrą, kuri galėtų sumažinti rinkos nepakankamumą, kenkiantį elektros energijos tiekimo saugumui. Šiuo atžvilgiu PKAAE gairių 341 punkte pateikiami elektros energijos rinkos struktūros tobulinimo pavyzdžiai (atsiskaitymo už elektros energijos disbalansą veikimą gerinimas, geresnis kintamos elektros energijos gamybos integravimas, reguliavimo apkrova ir kaupimo skatinimas ir integravimas, sąlygų veiksmingiems kainų signalams sudarymas, tarpvalstybinės prekybos kliūčių šalinimas ir infrastruktūros, įskaitant tinklų jungtis, gerinimas;</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įrodykite, kad, nepaisant tinkamų ir proporcingų rinkos struktūros patobulinimų ir investicijų į tinklo infrastruktūrą (nesvarbu, ar jos jau įgyvendintos, ar planuojamos), tiekimo saugumo problema išlieka (PKAAE gairių 341 punktas).</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Be to, tinklo perkrovos kompensavimo priemonių atveju paaiškinkite, kaip pagal Reglamento (ES) 2019/943 13 straipsnį didinamas perskirstymo priemonių veiksmingumas (PKAAE gairių 342 punktas).</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13713F">
            <w:pPr>
              <w:pStyle w:val="Heading1"/>
              <w:numPr>
                <w:ilvl w:val="2"/>
                <w:numId w:val="24"/>
              </w:numPr>
              <w:rPr>
                <w:sz w:val="24"/>
                <w:szCs w:val="24"/>
              </w:rPr>
            </w:pPr>
            <w:r>
              <w:rPr>
                <w:sz w:val="24"/>
              </w:rPr>
              <w:t>Tinkamumas finansuoti</w:t>
            </w:r>
          </w:p>
        </w:tc>
      </w:tr>
    </w:tbl>
    <w:p w14:paraId="2460A5B7" w14:textId="542C5474" w:rsidR="00AB322D" w:rsidRPr="00E74034" w:rsidRDefault="00AB322D" w:rsidP="00AB322D">
      <w:pPr>
        <w:spacing w:before="360" w:after="120"/>
        <w:jc w:val="both"/>
        <w:rPr>
          <w:i/>
        </w:rPr>
      </w:pPr>
      <w:r>
        <w:rPr>
          <w:i/>
        </w:rPr>
        <w:t xml:space="preserve">Kad pateiktumėte šiame skirsnyje prašomą informaciją, žr. PKAAE gairių 4.8.4.3 skirsnį (343–346 punktus).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Kad įrodytumėte, kad laikotės PKAAE gairių 343 punkto, patvirtinkite, kad priemonė atvira visiems pagalbos gavėjams arba projektams, kurie turi techninių galimybių veiksmingai prisidėti prie tiekimo saugumo tikslo įgyvendinimo (pvz., gamybos, kaupimo, reguliavimo apkrova, mažų vienetų sujungimo į didesnius blokus).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lastRenderedPageBreak/>
        <w:t xml:space="preserve">Atsižvelgdami į PKAAE gairių 344 punktą paaiškinkite, ar yra kokių nors dalyvavimo siūlomoje tiekimo saugumo priemonėje apribojimų, kuriais siekiama užtikrinti, kad ta priemonė nekenktų aplinkos apsaugai.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Jei į tiekimo saugumo priemonę, apie kurią pranešama, įtraukiama papildomų kriterijų ar elementų, kad būtų skatinamas labiau aplinką tausojančių technologijų naudojimas (arba mažinamas taršių technologijų naudojimas), būtinas Sąjungos aplinkos apsaugos tikslams įgyvendinti, įrodykite, kad tokie papildomi kriterijai ar elementai yra objektyvūs, skaidrūs ir nediskriminaciniai, susiję su aiškiai nustatytais aplinkos apsaugos tikslais, ir nelems kompensacijos permokos pagalbos gavėjams (PKAAE gairių 345 punktas).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Atsižvelgdami į PKAAE gairių 346 punktą: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nurodykite, ar elektros energijos tiekimo saugumo priemonė bus atvira tiesioginiam tarpvalstybiniam pajėgumų teikėjų, esančių kitoje valstybėje narėje, dalyvavimui. Jei ne, pagrįskite;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įrodykite, kad užsienio pajėgumų, kurie gali užtikrinti lygiavertes vidaus pajėgumams technines veikimo charakteristikas, teikėjai galės dalyvauti tame pačiame konkurso procese, kuriame dalyvauja vidaus pajėgumų teikėjai;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jei taikytina, įrodykite, kad laikotės atitinkamų Reglamento (ES) 2019/943 26 straipsnyje nustatytų tarpvalstybinio dalyvavimo pajėgumų užtikrinimo mechanizmuose taisyklių.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1D2520">
            <w:pPr>
              <w:pStyle w:val="Heading1"/>
              <w:numPr>
                <w:ilvl w:val="2"/>
                <w:numId w:val="24"/>
              </w:numPr>
              <w:rPr>
                <w:sz w:val="24"/>
                <w:szCs w:val="24"/>
              </w:rPr>
            </w:pPr>
            <w:r>
              <w:rPr>
                <w:sz w:val="24"/>
              </w:rPr>
              <w:t>Viešos konsultacijos</w:t>
            </w:r>
          </w:p>
        </w:tc>
      </w:tr>
    </w:tbl>
    <w:p w14:paraId="1B229D4F" w14:textId="57AA6556" w:rsidR="00E74034" w:rsidRPr="00E74034" w:rsidRDefault="00E74034" w:rsidP="00E74034">
      <w:pPr>
        <w:spacing w:before="360" w:after="120"/>
        <w:jc w:val="both"/>
        <w:rPr>
          <w:i/>
        </w:rPr>
      </w:pPr>
      <w:r>
        <w:rPr>
          <w:i/>
        </w:rPr>
        <w:t xml:space="preserve">Kad pateiktumėte šiame skirsnyje prašomą informaciją, žr. PKAAE gairių 4.8.4.4 skirsnį (348–351 punktus). </w:t>
      </w:r>
    </w:p>
    <w:p w14:paraId="78EF67B8" w14:textId="77777777" w:rsidR="00725C45" w:rsidRDefault="0004197A" w:rsidP="0004197A">
      <w:pPr>
        <w:pStyle w:val="ListParagraph"/>
        <w:numPr>
          <w:ilvl w:val="0"/>
          <w:numId w:val="4"/>
        </w:numPr>
        <w:spacing w:before="120" w:after="120"/>
        <w:ind w:left="567" w:hanging="567"/>
        <w:contextualSpacing w:val="0"/>
        <w:jc w:val="both"/>
      </w:pPr>
      <w:r>
        <w:t>Paaiškinkite, ar priemonei reikalingos viešos konsultacijos pagal 4.8.4.4 skirsnį, o jei ne, nurodykite kodėl.</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Jei priemonei reikalingos viešos konsultacijos:</w:t>
      </w:r>
    </w:p>
    <w:p w14:paraId="10ED4DF3" w14:textId="0709E691" w:rsidR="00915173" w:rsidRDefault="00725C45" w:rsidP="00CB1E0C">
      <w:pPr>
        <w:pStyle w:val="ListParagraph"/>
        <w:numPr>
          <w:ilvl w:val="1"/>
          <w:numId w:val="62"/>
        </w:numPr>
        <w:spacing w:before="120" w:after="120"/>
        <w:ind w:left="1134" w:hanging="283"/>
        <w:contextualSpacing w:val="0"/>
        <w:jc w:val="both"/>
      </w:pPr>
      <w:r>
        <w:t>nurodykite viešų konsultacijų trukmę ir pateikite pagrindinių aptariamų klausimų santrauką;</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CB1E0C">
      <w:pPr>
        <w:pStyle w:val="ListParagraph"/>
        <w:numPr>
          <w:ilvl w:val="1"/>
          <w:numId w:val="62"/>
        </w:numPr>
        <w:spacing w:before="120" w:after="120"/>
        <w:ind w:left="1134" w:hanging="283"/>
        <w:contextualSpacing w:val="0"/>
        <w:jc w:val="both"/>
      </w:pPr>
      <w:r>
        <w:t>atsižvelgdami į PKAAE gairių 350 punkte pateiktus reikalavimus, pateikite viešos interneto svetainės, kurioje yra ar bus skelbiami konsultacijų klausimynai ir valdžios sektoriaus subjektų atsakymų santrauka, adresą.</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886E25">
            <w:pPr>
              <w:pStyle w:val="Heading1"/>
              <w:numPr>
                <w:ilvl w:val="2"/>
                <w:numId w:val="24"/>
              </w:numPr>
              <w:rPr>
                <w:sz w:val="24"/>
                <w:szCs w:val="24"/>
              </w:rPr>
            </w:pPr>
            <w:r>
              <w:rPr>
                <w:sz w:val="24"/>
              </w:rPr>
              <w:t>Proporcingumas</w:t>
            </w:r>
          </w:p>
        </w:tc>
      </w:tr>
    </w:tbl>
    <w:p w14:paraId="2592F405" w14:textId="7ACA92B9" w:rsidR="00081E48" w:rsidRDefault="00081E48" w:rsidP="001D2520">
      <w:pPr>
        <w:pStyle w:val="ListParagraph"/>
        <w:spacing w:before="120" w:after="120"/>
        <w:ind w:left="0"/>
        <w:contextualSpacing w:val="0"/>
        <w:jc w:val="both"/>
      </w:pPr>
      <w:r>
        <w:rPr>
          <w:i/>
        </w:rPr>
        <w:t xml:space="preserve">Kad pateiktumėte šiame skirsnyje prašomą informaciją, žr. PKAAE gairių 3.2.1.3 skirsnį (49–53 ir 55 punktus) ir 4.8.4.5 skirsnį (353–357 punktus). Atkreipkite dėmesį, kad reikia užpildyti </w:t>
      </w:r>
      <w:r>
        <w:rPr>
          <w:i/>
          <w:u w:val="single"/>
        </w:rPr>
        <w:t>tik 2.1.5.1 arba 2.1.5.2 skirsnį</w:t>
      </w:r>
      <w:r>
        <w:rPr>
          <w:i/>
        </w:rPr>
        <w:t>. Atsižvelkite į siūlomos priemonės pobūdį ir atsakymus pateikite tik atitinkame skirsnyje.</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F62B8F">
            <w:pPr>
              <w:pStyle w:val="Heading1"/>
              <w:keepNext/>
              <w:keepLines/>
              <w:numPr>
                <w:ilvl w:val="3"/>
                <w:numId w:val="24"/>
              </w:numPr>
              <w:ind w:left="1723" w:right="-28" w:hanging="646"/>
              <w:rPr>
                <w:sz w:val="24"/>
                <w:szCs w:val="24"/>
              </w:rPr>
            </w:pPr>
            <w:r>
              <w:rPr>
                <w:sz w:val="24"/>
              </w:rPr>
              <w:t>Konkurencinio konkurso būdu teikiamos pagalbos proporcingumas</w:t>
            </w:r>
          </w:p>
        </w:tc>
      </w:tr>
    </w:tbl>
    <w:p w14:paraId="3A2A7C7F" w14:textId="4061FA26" w:rsidR="00863406" w:rsidRDefault="00863406" w:rsidP="00863406">
      <w:pPr>
        <w:spacing w:before="360" w:after="120"/>
        <w:jc w:val="both"/>
        <w:rPr>
          <w:i/>
        </w:rPr>
      </w:pPr>
      <w:r>
        <w:rPr>
          <w:i/>
        </w:rPr>
        <w:t>Kad pateiktumėte šiame skirsnyje prašomą informaciją, žr. PKAAE gairių 3.2.1.3 skirsnį (49, 50, 51, 52, 53 ir 55 punktus), ir 353, 354 bei 356 punktus</w:t>
      </w:r>
      <w:r>
        <w:t>.</w:t>
      </w:r>
      <w:r>
        <w:rPr>
          <w:i/>
        </w:rPr>
        <w:t xml:space="preserve"> </w:t>
      </w:r>
    </w:p>
    <w:p w14:paraId="50E2DDC9" w14:textId="48FD7994" w:rsidR="00882890" w:rsidRDefault="00882890" w:rsidP="00863406">
      <w:pPr>
        <w:spacing w:before="360" w:after="120"/>
        <w:jc w:val="both"/>
        <w:rPr>
          <w:i/>
        </w:rPr>
      </w:pPr>
      <w:r>
        <w:rPr>
          <w:i/>
        </w:rPr>
        <w:t xml:space="preserve">Kai pagalba teikiama </w:t>
      </w:r>
      <w:r>
        <w:rPr>
          <w:i/>
          <w:u w:val="single"/>
        </w:rPr>
        <w:t>ne konkurencinio konkurso būdu</w:t>
      </w:r>
      <w:r>
        <w:rPr>
          <w:i/>
        </w:rPr>
        <w:t xml:space="preserve">, šis skirsnis </w:t>
      </w:r>
      <w:r>
        <w:rPr>
          <w:i/>
          <w:u w:val="single"/>
        </w:rPr>
        <w:t>netaikomas</w:t>
      </w:r>
      <w:r>
        <w:rPr>
          <w:i/>
        </w:rPr>
        <w:t>. Dėl tokių priemonių žr. 2.1.5.2 skirsnį.</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Kad būtų galima įvertinti, ar laikomasi PKAAE gairių 353 punkto, ir, jei atsakymo </w:t>
      </w:r>
      <w:r>
        <w:fldChar w:fldCharType="begin"/>
      </w:r>
      <w:r>
        <w:instrText xml:space="preserve"> REF _Ref167812746 \r \h </w:instrText>
      </w:r>
      <w:r>
        <w:fldChar w:fldCharType="separate"/>
      </w:r>
      <w:r>
        <w:t>16</w:t>
      </w:r>
      <w:r>
        <w:fldChar w:fldCharType="end"/>
      </w:r>
      <w:r>
        <w:t xml:space="preserve"> punkte dar nepateikėte, pateikite analizę, naudotą nustatant tiekimo saugumo priemonės, apie kurią pranešta, paklausos lygį, remiantis patikimumo standartu arba sąnaudų ir naudos analize. Patvirtinkite, kad tuo metu, kai nustatomas paklausos lygis, paklausos lygiui nustatyti naudojama analizė yra ne senesnė kaip dvylikos mėnesių.</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Atsižvelgdami į PKAAE gairių 354 punktą įrodykite, kad laikotarpis nuo pagalbos suteikimo iki galutinio termino, iki kurio projektai turi būti įgyvendinti, sudarys sąlygas veiksmingai įvairių reikalavimus atitinkančių projektų konkurencijai.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 xml:space="preserve">Atsižvelgdami į PKAAE gairių 356 punktą įrodykite, kad tiekimo saugumo priemonių gavėjai turės būti veiksmingai motyvuojami prisidėti prie tiekimo saugumo užtikrinimo paramos įgyvendinimo laikotarpiu. Apskritai šios paskatos turėtų būti susijusios su prarastos apkrovos verte, nustatyta pagal Reglamento (ES) 2019/943 11 straipsnį.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Kad būtų galima patikrinti, ar laikomasi PKAAE gairių 49 ir 50 punktų, pateikite toliau nurodytą informaciją.</w:t>
      </w:r>
    </w:p>
    <w:p w14:paraId="2AB5C620" w14:textId="7A6DCCC0" w:rsidR="00CD498E" w:rsidRPr="00441F0B" w:rsidRDefault="00033BA9" w:rsidP="001D2520">
      <w:pPr>
        <w:numPr>
          <w:ilvl w:val="0"/>
          <w:numId w:val="30"/>
        </w:numPr>
        <w:ind w:left="1134" w:hanging="283"/>
      </w:pPr>
      <w:r>
        <w:t xml:space="preserve">Paaiškinkite, kaip valdžios institucijos užtikrina, kad konkursas yra atviras, aiškus, skaidrus ir nediskriminacinis, pagrįstas objektyviais kriterijais, nustatytais </w:t>
      </w:r>
      <w:proofErr w:type="spellStart"/>
      <w:r>
        <w:rPr>
          <w:i/>
          <w:iCs/>
        </w:rPr>
        <w:t>ex</w:t>
      </w:r>
      <w:proofErr w:type="spellEnd"/>
      <w:r>
        <w:rPr>
          <w:i/>
          <w:iCs/>
        </w:rPr>
        <w:t xml:space="preserve"> ante</w:t>
      </w:r>
      <w:r>
        <w:t>, atsižvelgiant į priemonės tikslą ir sumažinant strateginio kainų siūlymo riziką (PKAAE gairių 49 punkto a papunktis).</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241A6B">
      <w:pPr>
        <w:numPr>
          <w:ilvl w:val="0"/>
          <w:numId w:val="30"/>
        </w:numPr>
        <w:ind w:left="1134" w:hanging="283"/>
      </w:pPr>
      <w:r>
        <w:t xml:space="preserve">Atrankos kriterijai, taikomi konkursiniams pasiūlymams reitinguoti ir galiausiai pagalbos dydžiui konkurencinio konkurso metu nustatyti. Konkrečiau: </w:t>
      </w:r>
    </w:p>
    <w:p w14:paraId="62322C89" w14:textId="24B28289" w:rsidR="004D6830" w:rsidRPr="00050EB9" w:rsidRDefault="000B1BDB" w:rsidP="00EA272E">
      <w:pPr>
        <w:pStyle w:val="ListParagraph"/>
        <w:numPr>
          <w:ilvl w:val="1"/>
          <w:numId w:val="31"/>
        </w:numPr>
        <w:spacing w:before="120" w:after="120"/>
        <w:contextualSpacing w:val="0"/>
        <w:jc w:val="both"/>
      </w:pPr>
      <w:r>
        <w:lastRenderedPageBreak/>
        <w:t>pateikite atrankos kriterijų sąrašą ir nurodykite, kurie iš jų yra tiesiogiai ar netiesiogiai susiję su pagrindiniais priemonės tikslais. Nurodykite jų svorį;</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EA272E">
      <w:pPr>
        <w:pStyle w:val="ListParagraph"/>
        <w:numPr>
          <w:ilvl w:val="1"/>
          <w:numId w:val="31"/>
        </w:numPr>
        <w:spacing w:before="120" w:after="120"/>
        <w:contextualSpacing w:val="0"/>
        <w:jc w:val="both"/>
      </w:pPr>
      <w:r>
        <w:t>paaiškinkite, kaip indėlis į pagrindinius priemonės (-</w:t>
      </w:r>
      <w:proofErr w:type="spellStart"/>
      <w:r>
        <w:t>ių</w:t>
      </w:r>
      <w:proofErr w:type="spellEnd"/>
      <w:r>
        <w:t>) tikslus atrankos kriterijais tiesiogiai ar netiesiogiai susiejamas su pareiškėjo prašoma pagalbos suma. Tai gali būti išreikšta, pvz., pagalba vienam aplinkos apsaugos vienetui arba pagalba vienam energijos vienetui (PKAAE gairių 50 punktas ir 44 išnaša);</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EA272E">
      <w:pPr>
        <w:pStyle w:val="ListParagraph"/>
        <w:numPr>
          <w:ilvl w:val="1"/>
          <w:numId w:val="31"/>
        </w:numPr>
        <w:spacing w:before="120" w:after="120"/>
        <w:contextualSpacing w:val="0"/>
        <w:jc w:val="both"/>
      </w:pPr>
      <w:r>
        <w:t>jei yra kitų atrankos kriterijų, kurie nėra tiesiogiai ar netiesiogiai susiję su pagrindiniais priemonės tikslais, pagrįskite siūlomą metodą ir paaiškinkite, kaip jis atitinka priemonės tikslus. Taip pat patvirtinkite, kad tie kriterijai sudaro ne daugiau kaip 30 proc. visų atrankos kriterijų svorio (PKAAE gairių 50 punktas);</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EA272E">
      <w:pPr>
        <w:pStyle w:val="ListParagraph"/>
        <w:numPr>
          <w:ilvl w:val="1"/>
          <w:numId w:val="31"/>
        </w:numPr>
        <w:spacing w:before="120" w:after="120"/>
        <w:contextualSpacing w:val="0"/>
        <w:jc w:val="both"/>
      </w:pPr>
      <w:r>
        <w:rPr>
          <w:color w:val="000000"/>
        </w:rPr>
        <w:t>nurodykite, prieš kiek laiko iki paraiškų dalyvauti kiekviename</w:t>
      </w:r>
      <w:r>
        <w:rPr>
          <w:color w:val="000000"/>
          <w:shd w:val="clear" w:color="auto" w:fill="FFFFFF"/>
        </w:rPr>
        <w:t xml:space="preserve"> konkurenciniame konkurse pateikimo termino pabaigos bus paskelbti atrankos kriterijai</w:t>
      </w:r>
      <w:r>
        <w:rPr>
          <w:shd w:val="clear" w:color="auto" w:fill="FFFFFF"/>
        </w:rPr>
        <w:t xml:space="preserve"> (PKAAE gairių 49 punkto b papunktis ir 43 išnaša);</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F12C88">
      <w:pPr>
        <w:pStyle w:val="ListParagraph"/>
        <w:numPr>
          <w:ilvl w:val="0"/>
          <w:numId w:val="30"/>
        </w:numPr>
        <w:spacing w:before="120" w:after="120"/>
        <w:ind w:hanging="229"/>
        <w:contextualSpacing w:val="0"/>
        <w:jc w:val="both"/>
      </w:pPr>
      <w:r>
        <w:rPr>
          <w:shd w:val="clear" w:color="auto" w:fill="FFFFFF"/>
        </w:rPr>
        <w:t xml:space="preserve">patvirtinkite, kad su konkursu susijęs biudžetas arba apimtis yra privalomas apribojimas, kadangi galima tikėtis, kad ne visi konkurso dalyviai gaus pagalbą (PKAAE gairių 49 punkto c papunktis);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F12C88">
      <w:pPr>
        <w:pStyle w:val="ListParagraph"/>
        <w:numPr>
          <w:ilvl w:val="0"/>
          <w:numId w:val="30"/>
        </w:numPr>
        <w:spacing w:before="120" w:after="120"/>
        <w:ind w:hanging="229"/>
        <w:contextualSpacing w:val="0"/>
        <w:jc w:val="both"/>
      </w:pPr>
      <w:r>
        <w:rPr>
          <w:shd w:val="clear" w:color="auto" w:fill="FFFFFF"/>
        </w:rPr>
        <w:t>pateikite informaciją, kiek konkurso etapų numatoma rengti ir koks numatomas pirmojo bei vėlesniojo etapų dalyvių skaičius;</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F12C88">
      <w:pPr>
        <w:pStyle w:val="ListParagraph"/>
        <w:numPr>
          <w:ilvl w:val="0"/>
          <w:numId w:val="30"/>
        </w:numPr>
        <w:spacing w:before="120" w:after="120"/>
        <w:ind w:hanging="229"/>
        <w:contextualSpacing w:val="0"/>
        <w:jc w:val="both"/>
      </w:pPr>
      <w:r>
        <w:t>jei viename ar keliuose konkursuose gaunama nepakankamai pasiūlymų, paaiškinkite, kaip konkursai bus koreguojami schemos įgyvendinimo metu, kad būtų atkurta veiksminga konkurencija, ir kada tai bus padaryta</w:t>
      </w:r>
      <w:r>
        <w:rPr>
          <w:shd w:val="clear" w:color="auto" w:fill="FFFFFF"/>
        </w:rPr>
        <w:t xml:space="preserve"> (PKAAE gairių 49 punkto c papunktis);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F12C88">
      <w:pPr>
        <w:pStyle w:val="ListParagraph"/>
        <w:numPr>
          <w:ilvl w:val="0"/>
          <w:numId w:val="30"/>
        </w:numPr>
        <w:spacing w:before="120" w:after="120"/>
        <w:ind w:hanging="229"/>
        <w:contextualSpacing w:val="0"/>
        <w:jc w:val="both"/>
      </w:pPr>
      <w:r>
        <w:rPr>
          <w:rStyle w:val="oj-italic"/>
          <w:color w:val="000000"/>
          <w:shd w:val="clear" w:color="auto" w:fill="FFFFFF"/>
        </w:rPr>
        <w:t xml:space="preserve">patvirtinkite, kad </w:t>
      </w:r>
      <w:proofErr w:type="spellStart"/>
      <w:r>
        <w:rPr>
          <w:rStyle w:val="oj-italic"/>
          <w:i/>
          <w:color w:val="000000"/>
          <w:shd w:val="clear" w:color="auto" w:fill="FFFFFF"/>
        </w:rPr>
        <w:t>ex</w:t>
      </w:r>
      <w:proofErr w:type="spellEnd"/>
      <w:r>
        <w:rPr>
          <w:rStyle w:val="oj-italic"/>
          <w:i/>
          <w:color w:val="000000"/>
          <w:shd w:val="clear" w:color="auto" w:fill="FFFFFF"/>
        </w:rPr>
        <w:t xml:space="preserve"> </w:t>
      </w:r>
      <w:proofErr w:type="spellStart"/>
      <w:r>
        <w:rPr>
          <w:rStyle w:val="oj-italic"/>
          <w:i/>
          <w:color w:val="000000"/>
          <w:shd w:val="clear" w:color="auto" w:fill="FFFFFF"/>
        </w:rPr>
        <w:t>post</w:t>
      </w:r>
      <w:proofErr w:type="spellEnd"/>
      <w:r>
        <w:rPr>
          <w:color w:val="000000"/>
          <w:shd w:val="clear" w:color="auto" w:fill="FFFFFF"/>
        </w:rPr>
        <w:t xml:space="preserve"> koreguoti konkurso rezultatus (pvz., vėliau deramasi dėl pasiūlymų rezultatų arba normavimo) yra vengiama</w:t>
      </w:r>
      <w:r>
        <w:rPr>
          <w:shd w:val="clear" w:color="auto" w:fill="FFFFFF"/>
        </w:rPr>
        <w:t xml:space="preserve"> (PKAAE gairių 49 punkto d papunktis);</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712B3C">
      <w:pPr>
        <w:pStyle w:val="ListParagraph"/>
        <w:numPr>
          <w:ilvl w:val="0"/>
          <w:numId w:val="30"/>
        </w:numPr>
        <w:spacing w:before="120" w:after="120"/>
        <w:ind w:hanging="229"/>
        <w:contextualSpacing w:val="0"/>
        <w:jc w:val="both"/>
      </w:pPr>
      <w:r>
        <w:t xml:space="preserve">jei galima teikti </w:t>
      </w:r>
      <w:r>
        <w:rPr>
          <w:i/>
        </w:rPr>
        <w:t>nulinių subsidijų konkursinius pasiūlymus</w:t>
      </w:r>
      <w:r>
        <w:t xml:space="preserve">, paaiškinkite, kaip bus užtikrintas proporcingumas.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712B3C">
      <w:pPr>
        <w:pStyle w:val="ListParagraph"/>
        <w:numPr>
          <w:ilvl w:val="0"/>
          <w:numId w:val="30"/>
        </w:numPr>
        <w:spacing w:before="120" w:after="120"/>
        <w:ind w:hanging="229"/>
        <w:contextualSpacing w:val="0"/>
        <w:jc w:val="both"/>
      </w:pPr>
      <w:r>
        <w:t xml:space="preserve">paaiškinkite, ar valdžios institucijos numato konkurencinio konkurso metu nustatyti apatines arba viršutines kainų ribas. Jei taip, pagrįskite, kodėl jos </w:t>
      </w:r>
      <w:r>
        <w:lastRenderedPageBreak/>
        <w:t>nustatytos, ir paaiškinkite, kodėl jos nevaržo konkurencinio konkurso</w:t>
      </w:r>
      <w:r>
        <w:rPr>
          <w:rStyle w:val="FootnoteReference"/>
          <w:lang w:eastAsia="en-GB"/>
        </w:rPr>
        <w:footnoteReference w:id="6"/>
      </w:r>
      <w:r>
        <w:t xml:space="preserve"> (PKAAE gairių 49 punktas ir 42 išnaša).</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C122DD">
            <w:pPr>
              <w:pStyle w:val="Heading1"/>
              <w:keepNext/>
              <w:keepLines/>
              <w:numPr>
                <w:ilvl w:val="3"/>
                <w:numId w:val="24"/>
              </w:numPr>
              <w:ind w:left="1723" w:right="-28" w:hanging="646"/>
              <w:rPr>
                <w:sz w:val="24"/>
                <w:szCs w:val="24"/>
              </w:rPr>
            </w:pPr>
            <w:r>
              <w:rPr>
                <w:sz w:val="24"/>
                <w:u w:val="single"/>
              </w:rPr>
              <w:t>Ne</w:t>
            </w:r>
            <w:r>
              <w:rPr>
                <w:sz w:val="24"/>
              </w:rPr>
              <w:t xml:space="preserve"> konkurencinio konkurso būdu teikiamos pagalbos proporcingumas </w:t>
            </w:r>
          </w:p>
        </w:tc>
      </w:tr>
    </w:tbl>
    <w:p w14:paraId="0190ED95" w14:textId="4268A147" w:rsidR="001620DB" w:rsidRDefault="001620DB" w:rsidP="00DB2066">
      <w:pPr>
        <w:pStyle w:val="ListParagraph"/>
        <w:spacing w:before="120" w:after="120"/>
        <w:ind w:left="0"/>
        <w:contextualSpacing w:val="0"/>
        <w:jc w:val="both"/>
      </w:pPr>
      <w:r>
        <w:rPr>
          <w:i/>
        </w:rPr>
        <w:t>Kad pateiktumėte šiame skirsnyje prašomą informaciją, žr. PKAAE gairių 51–55 ir 353–357 punktus</w:t>
      </w:r>
      <w:r>
        <w:t>.</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Šis skirsnis </w:t>
      </w:r>
      <w:r>
        <w:rPr>
          <w:i/>
          <w:u w:val="single"/>
        </w:rPr>
        <w:t>netaikomas</w:t>
      </w:r>
      <w:r>
        <w:rPr>
          <w:i/>
        </w:rPr>
        <w:t xml:space="preserve"> priemonėms, pagal kurias pagalba teikiama </w:t>
      </w:r>
      <w:r>
        <w:rPr>
          <w:i/>
          <w:u w:val="single"/>
        </w:rPr>
        <w:t>konkurencinio konkurso</w:t>
      </w:r>
      <w:r>
        <w:rPr>
          <w:i/>
        </w:rPr>
        <w:t xml:space="preserve"> būdu. Informaciją apie tokias priemones pateikite 2.5.1.1 skirsnio punktuose.</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Kad būtų galima įvertinti, ar laikomasi PKAAE gairių 353 punkto, ir, jei atsakymo </w:t>
      </w:r>
      <w:r>
        <w:fldChar w:fldCharType="begin"/>
      </w:r>
      <w:r>
        <w:instrText xml:space="preserve"> REF _Ref167812746 \r \h </w:instrText>
      </w:r>
      <w:r>
        <w:fldChar w:fldCharType="separate"/>
      </w:r>
      <w:r>
        <w:t>16</w:t>
      </w:r>
      <w:r>
        <w:fldChar w:fldCharType="end"/>
      </w:r>
      <w:r>
        <w:t xml:space="preserve"> punkte dar nepateikėte, pateikite analizę, naudotą nustatant tiekimo saugumo priemonės, apie kurią pranešta, paklausos lygį, remiantis patikimumo standartu arba sąnaudų ir naudos analize. Patvirtinkite, kad tuo metu, kai nustatomas paklausos lygis, paklausos lygiui nustatyti naudojama analizė yra ne senesnė kaip dvylikos mėnesių.</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Atsižvelgdami į PKAAE gairių 354 punktą įrodykite, kad laikotarpis nuo pagalbos suteikimo iki galutinio termino, iki kurio projektai turi būti įgyvendinti, sudarys sąlygas veiksmingai įvairių reikalavimus atitinkančių projektų konkurencijai.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 xml:space="preserve">Atsižvelgdami į PKAAE gairių 356 punktą įrodykite, kad tiekimo saugumo priemonių gavėjai turės būti veiksmingai motyvuojami prisidėti prie tiekimo saugumo užtikrinimo paramos įgyvendinimo laikotarpiu. Apskritai šios paskatos turėtų būti susijusios su prarastos apkrovos verte, nustatyta pagal Reglamento (ES) 2019/943 11 straipsnį.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Paaiškinkite, kodėl nerengiamas konkurencinis konkursas (pagal PKAAE gairių 355 punktą).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Pagalbos schemų atveju pateikite etaloninių projektų sąrašą ir paaiškinkite, kodėl jie buvo pasirinkti (pavyzdžiui, paaiškinkite, kad kiekvieno etaloninio projekto išlaidos ir pajamos gali būti iš esmės panašios). Siekiant išvengti abejonių, etaloninis projektas – pavyzdinis projektas, atspindintis vidutinį projektą pagalbos schemos reikalavimus atitinkančių pagalbos gavėjų kategorijoje (PKAAE gairių 19 punkto 63 papunktis).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 xml:space="preserve">Atsižvelgdami į PKAAE gairių 51 punktą, kiekvieno etaloninio projekto (kai taikoma pagalbos schema) arba kiekvieno pagalbos gavėjo (kai teikiama individuali pagalba) atveju įrodykite, kad pagalbos suma neviršija minimalios sumos, t. y. grynosios dabartinės vertės (GDV) skirtumo pagal faktinį scenarijų ir priešingos padėties scenarijų </w:t>
      </w:r>
      <w:r>
        <w:lastRenderedPageBreak/>
        <w:t>per etaloninio projekto ar projekto įgyvendinimo laikotarpį. Šiam vertinimui pateikite visų pagrindinių išlaidų ir pajamų kiekybinį įvertinimą pagal faktinį scenarijų ir patikimą priešingos padėties scenarijų</w:t>
      </w:r>
      <w:r>
        <w:rPr>
          <w:rStyle w:val="FootnoteReference"/>
        </w:rPr>
        <w:footnoteReference w:id="7"/>
      </w:r>
      <w:r>
        <w:t xml:space="preserve">, apskaičiuotą vidutinę svertinę kapitalo kainą (VSKK), pagal kurią pagalbos gavėjai diskontuos būsimus pinigų srautus (arba pagalbos schemų atveju jie bus diskontuojami etaloninių projektų įgyvendinimo metu), taip pat GDV pagal faktinį ir priešingos padėties scenarijų per visą (etaloninio) projekto įgyvendinimo laikotarpį.  </w:t>
      </w:r>
    </w:p>
    <w:p w14:paraId="4DB6378F" w14:textId="77777777" w:rsidR="007F119D" w:rsidRDefault="007F119D" w:rsidP="006F39D2">
      <w:pPr>
        <w:numPr>
          <w:ilvl w:val="0"/>
          <w:numId w:val="37"/>
        </w:numPr>
        <w:ind w:left="1134" w:hanging="283"/>
      </w:pPr>
      <w:r>
        <w:t>Prašomus duomenis pateikite (</w:t>
      </w:r>
      <w:proofErr w:type="spellStart"/>
      <w:r>
        <w:rPr>
          <w:i/>
        </w:rPr>
        <w:t>excel</w:t>
      </w:r>
      <w:proofErr w:type="spellEnd"/>
      <w:r>
        <w:t xml:space="preserve"> rinkmenoje, kurioje matomos visos formulės) šios pranešimo formos priede. </w:t>
      </w:r>
    </w:p>
    <w:p w14:paraId="791F4E37" w14:textId="77777777" w:rsidR="00217A1A" w:rsidRPr="00241A6B"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6F39D2">
      <w:pPr>
        <w:numPr>
          <w:ilvl w:val="0"/>
          <w:numId w:val="37"/>
        </w:numPr>
        <w:ind w:left="1134" w:hanging="283"/>
      </w:pPr>
      <w:r>
        <w:t>Pateikite išsamią informaciją apie prielaidas, metodikas, pagrindimą ir pagrindinius jų šaltinius, kurie naudoti faktiniame scenarijuje ir tikėtiname priešingos padėties scenarijuje nurodytų išlaidų ir pajamų kiekvienam kiekybinio vertinimo aspektui (pvz., nurodykite, kokiomis prielaidomis rėmėtės rengdami tuos scenarijus, kokie šių prielaidų šaltiniai ir kaip jos pagrindžiamos).</w:t>
      </w:r>
    </w:p>
    <w:p w14:paraId="7C74300E" w14:textId="77777777" w:rsidR="00217A1A" w:rsidRDefault="00217A1A" w:rsidP="00217A1A">
      <w:pPr>
        <w:ind w:left="1134"/>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6F39D2">
      <w:pPr>
        <w:numPr>
          <w:ilvl w:val="0"/>
          <w:numId w:val="37"/>
        </w:numPr>
        <w:ind w:left="1134" w:hanging="283"/>
      </w:pPr>
      <w:r>
        <w:t>Prie šios pranešimo formos galite pridėti ir PKAAE gairių 39 išnašoje nurodytus dokumentus. Individualios pagalbos priemonių ar schemų, skirtų ypač ribotam pagalbos gavėjų skaičiui, atveju itin naudingi gali būti valdybos dokumentai. Jei tokius dokumentus pridedate prie pranešimo formos, toliau pateikite tų dokumentų sąrašą ir nurodykite jų autorių, parengimo datą ir naudojimo aplinkybes.</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Jei taikytinas PKAAE gairių 55 punktas, pateikite informacijos apie kompensavimo modelius, kuriuos valstybė narė galbūt ketins taikyti (</w:t>
      </w:r>
      <w:proofErr w:type="spellStart"/>
      <w:r>
        <w:rPr>
          <w:i/>
        </w:rPr>
        <w:t>ex</w:t>
      </w:r>
      <w:proofErr w:type="spellEnd"/>
      <w:r>
        <w:rPr>
          <w:i/>
        </w:rPr>
        <w:t xml:space="preserve"> ante</w:t>
      </w:r>
      <w:r>
        <w:t xml:space="preserve"> ir </w:t>
      </w:r>
      <w:proofErr w:type="spellStart"/>
      <w:r>
        <w:rPr>
          <w:i/>
        </w:rPr>
        <w:t>ex</w:t>
      </w:r>
      <w:proofErr w:type="spellEnd"/>
      <w:r>
        <w:rPr>
          <w:i/>
        </w:rPr>
        <w:t xml:space="preserve"> </w:t>
      </w:r>
      <w:proofErr w:type="spellStart"/>
      <w:r>
        <w:rPr>
          <w:i/>
        </w:rPr>
        <w:t>post</w:t>
      </w:r>
      <w:proofErr w:type="spellEnd"/>
      <w:r>
        <w:t xml:space="preserve"> derinį, arba </w:t>
      </w:r>
      <w:proofErr w:type="spellStart"/>
      <w:r>
        <w:rPr>
          <w:i/>
        </w:rPr>
        <w:t>ex</w:t>
      </w:r>
      <w:proofErr w:type="spellEnd"/>
      <w:r>
        <w:rPr>
          <w:i/>
        </w:rPr>
        <w:t xml:space="preserve"> </w:t>
      </w:r>
      <w:proofErr w:type="spellStart"/>
      <w:r>
        <w:rPr>
          <w:i/>
        </w:rPr>
        <w:t>post</w:t>
      </w:r>
      <w:proofErr w:type="spellEnd"/>
      <w:r>
        <w:t xml:space="preserve"> lėšų susigrąžinimo ar išlaidų stebėsenos mechanizmus). </w:t>
      </w:r>
    </w:p>
    <w:p w14:paraId="1469FE3D" w14:textId="3662127B" w:rsidR="000575C3" w:rsidRPr="008515FB" w:rsidRDefault="009329F1" w:rsidP="000575C3">
      <w:pPr>
        <w:tabs>
          <w:tab w:val="left" w:leader="dot" w:pos="9072"/>
        </w:tabs>
        <w:spacing w:before="120" w:after="120"/>
        <w:ind w:left="567"/>
        <w:jc w:val="both"/>
      </w:pPr>
      <w:r>
        <w:t>Jei PKAAE gairių 55 punktas priemonei (-</w:t>
      </w:r>
      <w:proofErr w:type="spellStart"/>
      <w:r>
        <w:t>ėms</w:t>
      </w:r>
      <w:proofErr w:type="spellEnd"/>
      <w:r>
        <w:t xml:space="preserve">) netaikomas, pagrįskite.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Jei priemonė (-ės), apie kurią (-</w:t>
      </w:r>
      <w:proofErr w:type="spellStart"/>
      <w:r>
        <w:t>ias</w:t>
      </w:r>
      <w:proofErr w:type="spellEnd"/>
      <w:r>
        <w:t>) pranešama, yra konkurencinių sertifikatų arba tiekėjų įpareigojimo schema (žr. PKAAE gairių 357 punktą):</w:t>
      </w:r>
    </w:p>
    <w:p w14:paraId="504AC813" w14:textId="77777777" w:rsidR="00EF6485" w:rsidRDefault="00EF6485" w:rsidP="00EF6485">
      <w:pPr>
        <w:pStyle w:val="ListParagraph"/>
        <w:ind w:hanging="436"/>
        <w:rPr>
          <w:lang w:eastAsia="en-GB"/>
        </w:rPr>
      </w:pPr>
    </w:p>
    <w:p w14:paraId="5FEA5C3D" w14:textId="5CC3AC8E" w:rsidR="00EF6485" w:rsidRDefault="0088099D" w:rsidP="00EA5DDD">
      <w:pPr>
        <w:numPr>
          <w:ilvl w:val="0"/>
          <w:numId w:val="61"/>
        </w:numPr>
        <w:spacing w:after="240"/>
        <w:ind w:left="1134" w:hanging="283"/>
        <w:jc w:val="both"/>
      </w:pPr>
      <w:r>
        <w:t>patvirtinkite, kad pagal schemą bus nustatyta už potencialią pasiūlą mažesnė paklausa; ir</w:t>
      </w:r>
    </w:p>
    <w:p w14:paraId="3714D680" w14:textId="6175BEB4" w:rsidR="006F39D2" w:rsidRDefault="006F39D2" w:rsidP="00217A1A">
      <w:pPr>
        <w:spacing w:after="240"/>
        <w:ind w:left="720" w:firstLine="414"/>
        <w:jc w:val="both"/>
      </w:pPr>
      <w:r>
        <w:t>………………………………………………………………………………………</w:t>
      </w:r>
    </w:p>
    <w:p w14:paraId="3CE17A1C" w14:textId="3C19DDB2" w:rsidR="00EF6485" w:rsidRDefault="0088099D" w:rsidP="00712B3C">
      <w:pPr>
        <w:numPr>
          <w:ilvl w:val="0"/>
          <w:numId w:val="61"/>
        </w:numPr>
        <w:spacing w:after="240"/>
        <w:ind w:left="1134" w:hanging="283"/>
        <w:jc w:val="both"/>
      </w:pPr>
      <w:r>
        <w:t>paaiškinkite, kaip bus nustatyta išpirkimo ir (arba) baudos kaina, ir užtikrinama, kad nebūtų kompensacijos permokos.</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21377">
            <w:pPr>
              <w:pStyle w:val="Heading1"/>
              <w:numPr>
                <w:ilvl w:val="2"/>
                <w:numId w:val="24"/>
              </w:numPr>
              <w:rPr>
                <w:sz w:val="24"/>
                <w:szCs w:val="24"/>
              </w:rPr>
            </w:pPr>
            <w:r>
              <w:rPr>
                <w:sz w:val="24"/>
              </w:rPr>
              <w:t>Sumavimas</w:t>
            </w:r>
          </w:p>
        </w:tc>
      </w:tr>
    </w:tbl>
    <w:p w14:paraId="2346A85D" w14:textId="6CB77F89" w:rsidR="00B21377" w:rsidRPr="002A3B51" w:rsidRDefault="00B21377" w:rsidP="00B21377">
      <w:pPr>
        <w:pStyle w:val="ListParagraph"/>
        <w:spacing w:before="120" w:after="120"/>
        <w:ind w:left="567"/>
        <w:contextualSpacing w:val="0"/>
        <w:jc w:val="both"/>
      </w:pPr>
      <w:r>
        <w:rPr>
          <w:i/>
        </w:rPr>
        <w:t>Kad pateiktumėte šiame skirsnyje prašomą informaciją, žr. PKAAE gairių 56 ir 57 punktus</w:t>
      </w:r>
      <w:r>
        <w:t>.</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 xml:space="preserve">Kad būtų galima patikrinti, ar laikomasi PKAAE gairių 56 punkto, paaiškinkite, ar pagalba pagal priemonę, apie kurią pranešama, gali būti suteikta vienu metu pagal kelias pagalbos schemas arba sumuojama su </w:t>
      </w:r>
      <w:proofErr w:type="spellStart"/>
      <w:r>
        <w:rPr>
          <w:i/>
        </w:rPr>
        <w:t>ad</w:t>
      </w:r>
      <w:proofErr w:type="spellEnd"/>
      <w:r>
        <w:rPr>
          <w:i/>
        </w:rPr>
        <w:t xml:space="preserve"> </w:t>
      </w:r>
      <w:proofErr w:type="spellStart"/>
      <w:r>
        <w:rPr>
          <w:i/>
        </w:rPr>
        <w:t>hoc</w:t>
      </w:r>
      <w:proofErr w:type="spellEnd"/>
      <w:r>
        <w:t xml:space="preserve"> arba </w:t>
      </w:r>
      <w:r>
        <w:rPr>
          <w:i/>
        </w:rPr>
        <w:t xml:space="preserve">de </w:t>
      </w:r>
      <w:proofErr w:type="spellStart"/>
      <w:r>
        <w:rPr>
          <w:i/>
        </w:rPr>
        <w:t>minimis</w:t>
      </w:r>
      <w:proofErr w:type="spellEnd"/>
      <w:r>
        <w:t xml:space="preserve"> pagalba tų pačių tinkamų finansuoti išlaidų atžvilgiu, jei šios informacijos dar nenurodėte formos „Bendroji informacija“ I dalyje. Jei taip, pateikite išsamią informaciją apie tas pagalbos schemas, </w:t>
      </w:r>
      <w:proofErr w:type="spellStart"/>
      <w:r>
        <w:rPr>
          <w:i/>
        </w:rPr>
        <w:t>ad</w:t>
      </w:r>
      <w:proofErr w:type="spellEnd"/>
      <w:r>
        <w:rPr>
          <w:i/>
        </w:rPr>
        <w:t xml:space="preserve"> </w:t>
      </w:r>
      <w:proofErr w:type="spellStart"/>
      <w:r>
        <w:rPr>
          <w:i/>
        </w:rPr>
        <w:t>hoc</w:t>
      </w:r>
      <w:proofErr w:type="spellEnd"/>
      <w:r>
        <w:t xml:space="preserve"> pagalbą arba </w:t>
      </w:r>
      <w:r>
        <w:rPr>
          <w:i/>
        </w:rPr>
        <w:t xml:space="preserve">de </w:t>
      </w:r>
      <w:proofErr w:type="spellStart"/>
      <w:r>
        <w:rPr>
          <w:i/>
        </w:rPr>
        <w:t>minimis</w:t>
      </w:r>
      <w:proofErr w:type="spellEnd"/>
      <w:r>
        <w:t xml:space="preserve"> pagalbą ir apie tai, kaip bus sumuojama pagalba. Atkreipkite dėmesį, kad galite pateikti nuorodą į jau nurodytą kiekybinį vertinimą.</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Jei taikomas PKAAE gairių 56 punktas, pagrįskite, kodėl dėl bendros pagal priemonę (-</w:t>
      </w:r>
      <w:proofErr w:type="spellStart"/>
      <w:r>
        <w:t>es</w:t>
      </w:r>
      <w:proofErr w:type="spellEnd"/>
      <w:r>
        <w:t>), apie kurią (-</w:t>
      </w:r>
      <w:proofErr w:type="spellStart"/>
      <w:r>
        <w:t>ias</w:t>
      </w:r>
      <w:proofErr w:type="spellEnd"/>
      <w:r>
        <w:t>) pranešama, projektui ar veiklai skirtos pagalbos sumos nesusidaro kompensacijos permoka arba neviršijama didžiausia pagal PKAAE gaires leidžiama pagalbos suma. Didžiausia pagal PKAAE gaires leidžiama pagalbos suma yra arba pagalbos suma, įtraukta į konkursą laimėjusį pasiūlymą, arba, jei konkurencinis konkursas nevykdomas, trūkstamas finansavimas, atsižvelgiant į visas pagrindines pajamas, įskaitant kitus pagalbos šaltinius (PKAAE gairių 51 punktas). Tuo atveju, kai pagal pagalbos priemonę (-</w:t>
      </w:r>
      <w:proofErr w:type="spellStart"/>
      <w:r>
        <w:t>es</w:t>
      </w:r>
      <w:proofErr w:type="spellEnd"/>
      <w:r>
        <w:t>), apie kurią (-</w:t>
      </w:r>
      <w:proofErr w:type="spellStart"/>
      <w:r>
        <w:t>ias</w:t>
      </w:r>
      <w:proofErr w:type="spellEnd"/>
      <w:r>
        <w:t xml:space="preserve">) pranešama, teikiamą pagalbą galima sumuoti su pagal kitą priemonę teikiama valstybės pagalba, nurodykite metodą, kuriuo užtikrinama, kad būtų laikomasi PKAAE gairių 56 punkte nustatytų sąlygų.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Jei taikomas PKAAE gairių 57 punktas (t. y. pagal priemonę (-</w:t>
      </w:r>
      <w:proofErr w:type="spellStart"/>
      <w:r>
        <w:t>es</w:t>
      </w:r>
      <w:proofErr w:type="spellEnd"/>
      <w:r>
        <w:t>), apie kurią (-</w:t>
      </w:r>
      <w:proofErr w:type="spellStart"/>
      <w:r>
        <w:t>ias</w:t>
      </w:r>
      <w:proofErr w:type="spellEnd"/>
      <w:r>
        <w:t>) pranešama, teikiama pagalba yra derinama su centralizuotai valdomu Sąjungos finansavimu</w:t>
      </w:r>
      <w:r>
        <w:rPr>
          <w:rStyle w:val="FootnoteReference"/>
          <w:lang w:eastAsia="en-GB"/>
        </w:rPr>
        <w:footnoteReference w:id="8"/>
      </w:r>
      <w:r>
        <w:t xml:space="preserve">, kuris nėra valstybės pagalba), pagrįskite, </w:t>
      </w:r>
      <w:r>
        <w:rPr>
          <w:shd w:val="clear" w:color="auto" w:fill="FFFFFF"/>
        </w:rPr>
        <w:t>kodėl dėl bendros viešojo finansavimo sumos, skiriamos toms pačioms tinkamoms finansuoti išlaidoms padengti, nesusidaro kompensacijos permoka.</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EA5DDD">
            <w:pPr>
              <w:pStyle w:val="Heading1"/>
              <w:numPr>
                <w:ilvl w:val="2"/>
                <w:numId w:val="24"/>
              </w:numPr>
              <w:rPr>
                <w:color w:val="000000"/>
                <w:sz w:val="24"/>
                <w:szCs w:val="24"/>
              </w:rPr>
            </w:pPr>
            <w:r>
              <w:rPr>
                <w:sz w:val="24"/>
              </w:rPr>
              <w:t>Skaidrumas</w:t>
            </w:r>
          </w:p>
        </w:tc>
      </w:tr>
    </w:tbl>
    <w:p w14:paraId="07229A8F" w14:textId="5882F9C4" w:rsidR="006773CE" w:rsidRPr="007C0A44" w:rsidRDefault="006773CE" w:rsidP="006773CE">
      <w:pPr>
        <w:spacing w:before="360" w:after="120"/>
        <w:jc w:val="both"/>
        <w:rPr>
          <w:i/>
        </w:rPr>
      </w:pPr>
      <w:r>
        <w:rPr>
          <w:i/>
          <w:color w:val="000000"/>
        </w:rPr>
        <w:t>Kad pateiktumėte šiame skirsnyje prašomą informaciją, žr. PKAAE gairių 3.2.1.4 skirsnį (58–61 punktus).</w:t>
      </w:r>
      <w:r>
        <w:rPr>
          <w:i/>
        </w:rPr>
        <w:t xml:space="preserve">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Patvirtinkite, kad valstybė narė laikysis PKAAE gairių 58–61 punktuose nustatytų skaidrumo reikalavimų.</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lastRenderedPageBreak/>
        <w:t xml:space="preserve">Pateikite interneto nuorodą į puslapį, kuriame bus paskelbtas visas patvirtintos pagalbos schemos arba sprendimo dėl individualios pagalbos skyrimo ir jos įgyvendinimo nuostatų tekstas ir informacija apie kiekvieną individualią pagalbą, skirtą </w:t>
      </w:r>
      <w:proofErr w:type="spellStart"/>
      <w:r>
        <w:rPr>
          <w:rFonts w:ascii="inherit" w:hAnsi="inherit"/>
          <w:i/>
        </w:rPr>
        <w:t>ad</w:t>
      </w:r>
      <w:proofErr w:type="spellEnd"/>
      <w:r>
        <w:rPr>
          <w:rFonts w:ascii="inherit" w:hAnsi="inherit"/>
          <w:i/>
        </w:rPr>
        <w:t xml:space="preserve"> </w:t>
      </w:r>
      <w:proofErr w:type="spellStart"/>
      <w:r>
        <w:rPr>
          <w:rFonts w:ascii="inherit" w:hAnsi="inherit"/>
          <w:i/>
        </w:rPr>
        <w:t>hoc</w:t>
      </w:r>
      <w:proofErr w:type="spellEnd"/>
      <w:r>
        <w:rPr>
          <w:rFonts w:ascii="inherit" w:hAnsi="inherit"/>
        </w:rPr>
        <w:t xml:space="preserve"> arba pagal pagalbos schemą, patvirtintą remiantis PKAAE gairėmis ir viršijančią 100 000 EUR.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757930">
            <w:pPr>
              <w:pStyle w:val="Heading1"/>
              <w:numPr>
                <w:ilvl w:val="1"/>
                <w:numId w:val="24"/>
              </w:numPr>
              <w:jc w:val="left"/>
              <w:rPr>
                <w:iCs/>
                <w:color w:val="000000"/>
                <w:sz w:val="24"/>
                <w:szCs w:val="24"/>
              </w:rPr>
            </w:pPr>
            <w:r>
              <w:rPr>
                <w:color w:val="000000"/>
                <w:sz w:val="24"/>
              </w:rPr>
              <w:t>Nederamo neigiamo poveikio konkurencijai ir prekybai vengimas ir pusiausvyros užtikrinimas</w:t>
            </w:r>
          </w:p>
        </w:tc>
      </w:tr>
    </w:tbl>
    <w:p w14:paraId="6C8D04A2" w14:textId="31215476" w:rsidR="009D6AD7" w:rsidRDefault="00F83660" w:rsidP="00757930">
      <w:pPr>
        <w:spacing w:before="360" w:after="120"/>
        <w:jc w:val="both"/>
      </w:pPr>
      <w:r>
        <w:rPr>
          <w:i/>
        </w:rPr>
        <w:t xml:space="preserve">Kad pateiktumėte šiame skirsnyje prašomą informaciją, žr. PKAAE gairių 4.8.5 skirsnį (359–370 punktus) ir 3.3 skirsnį (71–76 punktus). </w:t>
      </w:r>
    </w:p>
    <w:p w14:paraId="289C641A" w14:textId="66B1FD1E" w:rsidR="002955E1" w:rsidRDefault="002955E1" w:rsidP="00AA5AF1">
      <w:pPr>
        <w:numPr>
          <w:ilvl w:val="0"/>
          <w:numId w:val="4"/>
        </w:numPr>
        <w:spacing w:after="240"/>
        <w:ind w:left="567" w:hanging="567"/>
        <w:jc w:val="both"/>
        <w:rPr>
          <w:i/>
          <w:color w:val="000000"/>
        </w:rPr>
      </w:pPr>
      <w:r>
        <w:rPr>
          <w:color w:val="000000"/>
        </w:rPr>
        <w:t>Kad būtų galima patikrinti, ar laikomasi PKAAE gairių 359, 360 ir 361 punktų:</w:t>
      </w:r>
    </w:p>
    <w:p w14:paraId="3CDD8237" w14:textId="472E0A00" w:rsidR="005333EE" w:rsidRPr="00757930" w:rsidRDefault="00967292" w:rsidP="00B02BC1">
      <w:pPr>
        <w:numPr>
          <w:ilvl w:val="0"/>
          <w:numId w:val="66"/>
        </w:numPr>
        <w:spacing w:after="240"/>
        <w:ind w:left="1134" w:hanging="283"/>
        <w:jc w:val="both"/>
        <w:rPr>
          <w:i/>
          <w:color w:val="000000"/>
        </w:rPr>
      </w:pPr>
      <w:r>
        <w:t xml:space="preserve">įrodykite (jei įrodymų atsakyme </w:t>
      </w:r>
      <w:r>
        <w:rPr>
          <w:highlight w:val="yellow"/>
        </w:rPr>
        <w:fldChar w:fldCharType="begin"/>
      </w:r>
      <w:r>
        <w:instrText xml:space="preserve"> REF _Ref168390744 \r \h </w:instrText>
      </w:r>
      <w:r>
        <w:rPr>
          <w:highlight w:val="yellow"/>
        </w:rPr>
      </w:r>
      <w:r>
        <w:rPr>
          <w:highlight w:val="yellow"/>
        </w:rPr>
        <w:fldChar w:fldCharType="separate"/>
      </w:r>
      <w:r>
        <w:t>23</w:t>
      </w:r>
      <w:r>
        <w:rPr>
          <w:highlight w:val="yellow"/>
        </w:rPr>
        <w:fldChar w:fldCharType="end"/>
      </w:r>
      <w:r>
        <w:t xml:space="preserve"> punkte dar nepateikėte), </w:t>
      </w:r>
      <w:r>
        <w:rPr>
          <w:color w:val="000000"/>
        </w:rPr>
        <w:t xml:space="preserve">kad pagalba yra tokia, kad būtų išlaikytas veiksmingas rinkų veikimas ir išsaugotos veiksmingos veiklos paskatos ir kainų signalai;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B02BC1">
      <w:pPr>
        <w:numPr>
          <w:ilvl w:val="0"/>
          <w:numId w:val="66"/>
        </w:numPr>
        <w:spacing w:after="240"/>
        <w:ind w:left="1134" w:hanging="283"/>
        <w:jc w:val="both"/>
        <w:rPr>
          <w:i/>
          <w:color w:val="000000"/>
        </w:rPr>
      </w:pPr>
      <w:r>
        <w:rPr>
          <w:color w:val="000000"/>
        </w:rPr>
        <w:t>patvirtinkite, kad nėra paskatų gaminti energijos, kuri išstumtų mažiau taršias energijos rūšis;</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757930">
      <w:pPr>
        <w:numPr>
          <w:ilvl w:val="0"/>
          <w:numId w:val="66"/>
        </w:numPr>
        <w:spacing w:after="240"/>
        <w:ind w:left="1134" w:hanging="283"/>
        <w:jc w:val="both"/>
        <w:rPr>
          <w:i/>
          <w:color w:val="000000"/>
        </w:rPr>
      </w:pPr>
      <w:r>
        <w:rPr>
          <w:color w:val="000000"/>
        </w:rPr>
        <w:t>nurodykite, ar pagal priemonę mokama už pajėgumus (EUR už megavatą (MW), ar už elektros energijos gamybą (EUR/MWh).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Pateikite įrodymų, kad priemonė atitinka visas taikytinas Reglamento (ES) 2019/943 22 straipsnyje nurodytas rengimo sąlygas (PKAAE gairių 362 punktas).</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Strateginių rezervų ir bet kurios kitos išteklių adekvatumo priemonės (-</w:t>
      </w:r>
      <w:proofErr w:type="spellStart"/>
      <w:r>
        <w:rPr>
          <w:color w:val="000000"/>
        </w:rPr>
        <w:t>ių</w:t>
      </w:r>
      <w:proofErr w:type="spellEnd"/>
      <w:r>
        <w:rPr>
          <w:color w:val="000000"/>
        </w:rPr>
        <w:t xml:space="preserve">) atveju, įskaitant </w:t>
      </w:r>
      <w:proofErr w:type="spellStart"/>
      <w:r>
        <w:rPr>
          <w:color w:val="000000"/>
        </w:rPr>
        <w:t>pertraukiamumo</w:t>
      </w:r>
      <w:proofErr w:type="spellEnd"/>
      <w:r>
        <w:rPr>
          <w:color w:val="000000"/>
        </w:rPr>
        <w:t xml:space="preserve"> schemas, kai pajėgumai laikomi ne rinkoje, siekiant užtikrinti, kad nebūtų iškraipomas rinkos kainų sudarymas, atsižvelgdami į PKAAE gairių 363 punktą įrodykite, kad tenkinamos visos šios sąlygos:</w:t>
      </w:r>
    </w:p>
    <w:p w14:paraId="6E1DA574" w14:textId="064EFA54" w:rsidR="005333EE" w:rsidRDefault="005333EE" w:rsidP="00560F07">
      <w:pPr>
        <w:numPr>
          <w:ilvl w:val="1"/>
          <w:numId w:val="59"/>
        </w:numPr>
        <w:spacing w:after="240"/>
        <w:ind w:left="1134" w:hanging="283"/>
        <w:jc w:val="both"/>
        <w:rPr>
          <w:color w:val="000000"/>
        </w:rPr>
      </w:pPr>
      <w:r>
        <w:rPr>
          <w:color w:val="000000"/>
        </w:rPr>
        <w:t>priemonės (-</w:t>
      </w:r>
      <w:proofErr w:type="spellStart"/>
      <w:r>
        <w:rPr>
          <w:color w:val="000000"/>
        </w:rPr>
        <w:t>ių</w:t>
      </w:r>
      <w:proofErr w:type="spellEnd"/>
      <w:r>
        <w:rPr>
          <w:color w:val="000000"/>
        </w:rPr>
        <w:t>) ištekliai turi būti skirstomi tik tuo atveju, jei tikėtina, kad perdavimo sistemos operatoriai išnaudos savo balansavimo išteklius, kad užtikrintų paklausos ir pasiūlos pusiausvyrą;</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560F07">
      <w:pPr>
        <w:numPr>
          <w:ilvl w:val="1"/>
          <w:numId w:val="59"/>
        </w:numPr>
        <w:spacing w:after="240"/>
        <w:ind w:left="1134" w:hanging="283"/>
        <w:jc w:val="both"/>
        <w:rPr>
          <w:color w:val="000000"/>
        </w:rPr>
      </w:pPr>
      <w:r>
        <w:rPr>
          <w:color w:val="000000"/>
        </w:rPr>
        <w:t>atsiskaitymo už disbalansą laikotarpiais, kai skirstomi priemonės (-</w:t>
      </w:r>
      <w:proofErr w:type="spellStart"/>
      <w:r>
        <w:rPr>
          <w:color w:val="000000"/>
        </w:rPr>
        <w:t>ių</w:t>
      </w:r>
      <w:proofErr w:type="spellEnd"/>
      <w:r>
        <w:rPr>
          <w:color w:val="000000"/>
        </w:rPr>
        <w:t xml:space="preserve">) ištekliai, už disbalansą rinkoje turi būti atsiskaitoma tokia kaina, kuri lygi bent prarastos </w:t>
      </w:r>
      <w:r>
        <w:rPr>
          <w:color w:val="000000"/>
        </w:rPr>
        <w:lastRenderedPageBreak/>
        <w:t>apkrovos vertei arba vertei, didesnei už techninę dienos kainos ribą, pasirenkant didesniąją vertę;</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560F07">
      <w:pPr>
        <w:numPr>
          <w:ilvl w:val="1"/>
          <w:numId w:val="59"/>
        </w:numPr>
        <w:spacing w:after="240"/>
        <w:ind w:left="1134" w:hanging="283"/>
        <w:jc w:val="both"/>
        <w:rPr>
          <w:color w:val="000000"/>
        </w:rPr>
      </w:pPr>
      <w:r>
        <w:rPr>
          <w:color w:val="000000"/>
        </w:rPr>
        <w:t>priemonės (-</w:t>
      </w:r>
      <w:proofErr w:type="spellStart"/>
      <w:r>
        <w:rPr>
          <w:color w:val="000000"/>
        </w:rPr>
        <w:t>ių</w:t>
      </w:r>
      <w:proofErr w:type="spellEnd"/>
      <w:r>
        <w:rPr>
          <w:color w:val="000000"/>
        </w:rPr>
        <w:t>) našumas po skirstymo priskiriamas už balansą atsakingoms šalims taikant atsiskaitymo už disbalansą mechanizmą;</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560F07">
      <w:pPr>
        <w:numPr>
          <w:ilvl w:val="1"/>
          <w:numId w:val="59"/>
        </w:numPr>
        <w:spacing w:after="240"/>
        <w:ind w:left="1134" w:hanging="283"/>
        <w:jc w:val="both"/>
        <w:rPr>
          <w:color w:val="000000"/>
        </w:rPr>
      </w:pPr>
      <w:r>
        <w:rPr>
          <w:color w:val="000000"/>
        </w:rPr>
        <w:t>už išteklius negaunamas atlygis iš didmeninės elektros energijos rinkos arba balansavimo rinkų;</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560F07">
      <w:pPr>
        <w:numPr>
          <w:ilvl w:val="1"/>
          <w:numId w:val="59"/>
        </w:numPr>
        <w:spacing w:after="240"/>
        <w:ind w:left="1134" w:hanging="283"/>
        <w:jc w:val="both"/>
        <w:rPr>
          <w:color w:val="000000"/>
        </w:rPr>
      </w:pPr>
      <w:r>
        <w:rPr>
          <w:color w:val="000000"/>
        </w:rPr>
        <w:t>į priemonę (-</w:t>
      </w:r>
      <w:proofErr w:type="spellStart"/>
      <w:r>
        <w:rPr>
          <w:color w:val="000000"/>
        </w:rPr>
        <w:t>es</w:t>
      </w:r>
      <w:proofErr w:type="spellEnd"/>
      <w:r>
        <w:rPr>
          <w:color w:val="000000"/>
        </w:rPr>
        <w:t>) įtraukti ištekliai turi būti laikomi ne energijos rinkose bent sutarties galiojimo laikotarpiu.</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Tinklo perkrovos kompensavimo priemonių atveju, kai ištekliai laikomi ne rinkoje, patvirtinkite, kad bent sutarties galiojimo laikotarpiu už tuos išteklius nebus gaunamas atlygis iš didmeninės elektros energijos rinkos arba balansavimo rinkų ir jie bus laikomi ne energijos rinkose (PKAAE gairių 364 punktas).</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Kitų nei strateginiai rezervai pajėgumų užtikrinimo mechanizmų atveju atsižvelgdami į PKAAE gairių 365 punktą įrodykite, kad:</w:t>
      </w:r>
    </w:p>
    <w:p w14:paraId="61F8EA90" w14:textId="77777777" w:rsidR="00560F07" w:rsidRDefault="005333EE" w:rsidP="00A864A9">
      <w:pPr>
        <w:numPr>
          <w:ilvl w:val="1"/>
          <w:numId w:val="68"/>
        </w:numPr>
        <w:spacing w:after="240"/>
        <w:ind w:left="1134" w:hanging="283"/>
        <w:jc w:val="both"/>
        <w:rPr>
          <w:color w:val="000000"/>
        </w:rPr>
      </w:pPr>
      <w:r>
        <w:rPr>
          <w:color w:val="000000"/>
        </w:rPr>
        <w:t>priemonė parengta siekiant užtikrinti, kad kaina už pajėgumą automatiškai sumažėtų iki nulio, kai pajėgumo pasiūlos lygis tampa pakankamas, kad patenkintų jo paklausą;</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A864A9">
      <w:pPr>
        <w:numPr>
          <w:ilvl w:val="1"/>
          <w:numId w:val="68"/>
        </w:numPr>
        <w:spacing w:after="240"/>
        <w:ind w:left="1134" w:hanging="283"/>
        <w:jc w:val="both"/>
        <w:rPr>
          <w:color w:val="000000"/>
        </w:rPr>
      </w:pPr>
      <w:r>
        <w:rPr>
          <w:color w:val="000000"/>
        </w:rPr>
        <w:t>už naudojamus išteklius atlyginama tik už jų prieinamumą ir užtikrinama, kad atlygis neturėtų poveikio pajėgumų teikėjo sprendimams gaminti ar negaminti;</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A864A9">
      <w:pPr>
        <w:numPr>
          <w:ilvl w:val="1"/>
          <w:numId w:val="68"/>
        </w:numPr>
        <w:ind w:left="1134" w:hanging="283"/>
        <w:jc w:val="both"/>
        <w:rPr>
          <w:color w:val="000000"/>
        </w:rPr>
      </w:pPr>
      <w:r>
        <w:rPr>
          <w:color w:val="000000"/>
        </w:rPr>
        <w:t>suteikiama galimybė reikalavimus atitinkantiems pajėgumų teikėjams pajėgumo pareigas perleisti vieni kitiems.</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tab/>
      </w:r>
      <w:r>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Kad būtų galima patikrinti, ar laikomasi PKAAE gairių 366 punkto, įrodykite, kad priemone nebus: </w:t>
      </w:r>
    </w:p>
    <w:p w14:paraId="28CFD8B5" w14:textId="77777777" w:rsidR="00727DA8" w:rsidRDefault="005333EE" w:rsidP="00241A6B">
      <w:pPr>
        <w:numPr>
          <w:ilvl w:val="0"/>
          <w:numId w:val="73"/>
        </w:numPr>
        <w:spacing w:after="240"/>
        <w:jc w:val="both"/>
        <w:rPr>
          <w:color w:val="000000"/>
        </w:rPr>
      </w:pPr>
      <w:r>
        <w:rPr>
          <w:color w:val="000000"/>
        </w:rPr>
        <w:t>sukuriamas nepagrįstas rinkos iškraipymas ar ribojama tarpzoninė prekyba;</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241A6B">
      <w:pPr>
        <w:numPr>
          <w:ilvl w:val="0"/>
          <w:numId w:val="73"/>
        </w:numPr>
        <w:spacing w:after="240"/>
        <w:jc w:val="both"/>
        <w:rPr>
          <w:color w:val="000000"/>
        </w:rPr>
      </w:pPr>
      <w:r>
        <w:rPr>
          <w:color w:val="000000"/>
        </w:rPr>
        <w:lastRenderedPageBreak/>
        <w:t>mažinamos paskatos investuoti į jungčių pajėgumus – pavyzdžiui, mažinant esamų arba naujų jungiamųjų linijų perkrovos pajamas;</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241A6B">
      <w:pPr>
        <w:numPr>
          <w:ilvl w:val="0"/>
          <w:numId w:val="73"/>
        </w:numPr>
        <w:spacing w:after="240"/>
        <w:jc w:val="both"/>
        <w:rPr>
          <w:color w:val="000000"/>
        </w:rPr>
      </w:pPr>
      <w:r>
        <w:rPr>
          <w:color w:val="000000"/>
        </w:rPr>
        <w:t>trikdomas rinkų susiejimas, įskaitant dienos ir balansavimo rinkas;</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241A6B">
      <w:pPr>
        <w:numPr>
          <w:ilvl w:val="0"/>
          <w:numId w:val="73"/>
        </w:numPr>
        <w:spacing w:after="240"/>
        <w:jc w:val="both"/>
        <w:rPr>
          <w:color w:val="000000"/>
        </w:rPr>
      </w:pPr>
      <w:r>
        <w:rPr>
          <w:color w:val="000000"/>
        </w:rPr>
        <w:t>pažeidžiami prieš priemonę priimti sprendimai dėl investicijų į pajėgumus.</w:t>
      </w:r>
      <w: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Kad būtų galima patikrinti, ar laikomasi PKAAE gairių 367 punkto, įrodykite, kad priemonės, apie kurią pranešama, išlaidas padengs rinkos dalyviai, dėl kurių ši priemonė arba priemonės yra reikalingos. Jei manote, kad tokio išlaidų paskirstymo nereikalaujama,</w:t>
      </w:r>
      <w:r>
        <w:t xml:space="preserve"> paaiškinkite, kodėl taip yra, ir pateikite įrodymų, įskaitant per viešas konsultacijas surinktus įrodymus.</w:t>
      </w:r>
      <w:r>
        <w:rPr>
          <w:color w:val="000000"/>
        </w:rPr>
        <w:t xml:space="preserve"> </w:t>
      </w:r>
      <w:r>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rPr>
          <w:shd w:val="clear" w:color="auto" w:fill="FFFFFF"/>
        </w:rPr>
        <w:t>Atsižvelgdami į PKAAE gairių 72 punktą pagrįskite, ar priemonė, apie kurią pranešama, atitinka Europos Parlamento ir Tarybos reglamento (ES) 2020/852</w:t>
      </w:r>
      <w:r>
        <w:rPr>
          <w:rStyle w:val="FootnoteReference"/>
          <w:lang w:eastAsia="en-GB"/>
        </w:rPr>
        <w:footnoteReference w:id="10"/>
      </w:r>
      <w:r>
        <w:rPr>
          <w:shd w:val="clear" w:color="auto" w:fill="FFFFFF"/>
        </w:rPr>
        <w:t xml:space="preserve"> 3 straipsnyje nustatytus aplinkos atžvilgiu tvarios ekonominės veiklos kriterijus, įskaitant principą „nedaryti reikšmingos žalos“</w:t>
      </w:r>
      <w:r>
        <w:rPr>
          <w:rStyle w:val="FootnoteReference"/>
          <w:shd w:val="clear" w:color="auto" w:fill="FFFFFF"/>
        </w:rPr>
        <w:footnoteReference w:id="11"/>
      </w:r>
      <w:r>
        <w:rPr>
          <w:shd w:val="clear" w:color="auto" w:fill="FFFFFF"/>
        </w:rPr>
        <w:t>, arba kitas panašias metodikas.</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rPr>
          <w:color w:val="000000"/>
        </w:rPr>
        <w:t>Atsižvelgdami</w:t>
      </w:r>
      <w:r>
        <w:t xml:space="preserve"> į PKAAE gairių 75 punktą, tais atvejais, kai valstybė narė nusprendžia rengti konkurencinį konkursą, paaiškinkite, ar priemonei, apie kurią pranešama, būdingi aspektai, kuriais siekiama sudaryti palankesnes sąlygas dalyvauti MVĮ ir atsinaujinančiųjų išteklių energijos bendrijoms. Jei taip, pateikite informacijos apie tuos aspektus ir pagrįskite, kaip teigiamas MVĮ dalyvavimo ir pritarimo jų dalyvavimui priemonėje (-</w:t>
      </w:r>
      <w:proofErr w:type="spellStart"/>
      <w:r>
        <w:t>se</w:t>
      </w:r>
      <w:proofErr w:type="spellEnd"/>
      <w:r>
        <w:t>), apie kurią (-</w:t>
      </w:r>
      <w:proofErr w:type="spellStart"/>
      <w:r>
        <w:t>ias</w:t>
      </w:r>
      <w:proofErr w:type="spellEnd"/>
      <w:r>
        <w:t>) pranešama, užtikrinimo poveikis nusveria galimą iškreipiamąjį poveikį.</w:t>
      </w:r>
    </w:p>
    <w:p w14:paraId="02E6A627" w14:textId="4B5682B8" w:rsidR="004901DA" w:rsidRPr="00AC1973" w:rsidRDefault="004901DA" w:rsidP="00757930">
      <w:pPr>
        <w:pStyle w:val="ListParagraph"/>
        <w:spacing w:before="120" w:after="120"/>
        <w:ind w:left="567"/>
        <w:contextualSpacing w:val="0"/>
        <w:jc w:val="both"/>
      </w:pPr>
      <w:r>
        <w:t xml:space="preserve"> </w:t>
      </w:r>
      <w:r>
        <w:br/>
        <w:t>…………………………………………………………………………………………….</w:t>
      </w:r>
    </w:p>
    <w:p w14:paraId="060F166E" w14:textId="76EDD169" w:rsidR="00363A2F" w:rsidRDefault="00363A2F" w:rsidP="00207312">
      <w:pPr>
        <w:numPr>
          <w:ilvl w:val="0"/>
          <w:numId w:val="4"/>
        </w:numPr>
        <w:spacing w:after="240"/>
        <w:ind w:left="567" w:hanging="567"/>
        <w:jc w:val="both"/>
      </w:pPr>
      <w:r>
        <w:t>Kad būtų galima patikrinti, ar laikomasi PKAAE gairių 368 ir 369 punktų:</w:t>
      </w:r>
    </w:p>
    <w:p w14:paraId="0D229619" w14:textId="5FC55C14" w:rsidR="000B0545" w:rsidRDefault="00C3175A" w:rsidP="00241A6B">
      <w:pPr>
        <w:pStyle w:val="ListParagraph"/>
        <w:numPr>
          <w:ilvl w:val="0"/>
          <w:numId w:val="74"/>
        </w:numPr>
        <w:spacing w:before="120" w:after="120"/>
        <w:contextualSpacing w:val="0"/>
        <w:jc w:val="both"/>
      </w:pPr>
      <w:r>
        <w:lastRenderedPageBreak/>
        <w:t xml:space="preserve">jei priemone, apie kurią pranešama, skatinamos naujos investicijos į taršiausią iškastinį kurą, paaiškinkite, ar taikant priemonę, įskaitant tinklo perkrovos kompensavimo priemones ir </w:t>
      </w:r>
      <w:proofErr w:type="spellStart"/>
      <w:r>
        <w:t>pertraukiamumo</w:t>
      </w:r>
      <w:proofErr w:type="spellEnd"/>
      <w:r>
        <w:t xml:space="preserve"> schemas, paisoma Reglamento (ES) 2019/943 22 straipsnyje nustatytų pajėgumų užtikrinimo mechanizmams taikomų išmetamųjų teršalų ribų;</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241A6B">
      <w:pPr>
        <w:pStyle w:val="ListParagraph"/>
        <w:numPr>
          <w:ilvl w:val="0"/>
          <w:numId w:val="74"/>
        </w:numPr>
      </w:pPr>
      <w:r>
        <w:t>jeigu priemone, apie kurią pranešama, skatinamos naujos investicijos į energijos gamybą naudojant gamtines dujas, paaiškinkite, kaip bus užtikrinama, kad ji padeda siekti 2030 m. Sąjungos klimato politikos tikslo ir 2050 m. poveikio klimatui neutralumo tikslo. Visų pirma, paaiškinkite, kaip bus išvengta susisaistymo su šia energijos gamyba deginant dujas arba gamybos įranga, naudojama dujoms deginti.</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333333"/>
          <w:shd w:val="clear" w:color="auto" w:fill="FFFFFF"/>
        </w:rPr>
        <w:t>Individualios pagalbos priemonių arba schemų, skirtų tik ypač ribotam pagalbos gavėjų skaičiui arba įsitvirtinusiam pagalbos gavėjui, atveju įrodykite, kad dėl siūlomos pagalbos priemonės nepadidės įtaka rinkoje (PKAAE gairių 370 punktas).</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C skirsnis. Vertinimas</w:t>
            </w:r>
          </w:p>
        </w:tc>
      </w:tr>
    </w:tbl>
    <w:p w14:paraId="78AC9B95" w14:textId="1FB76E7E" w:rsidR="00C33721" w:rsidRPr="0051324D" w:rsidRDefault="00C33721" w:rsidP="005C6138">
      <w:pPr>
        <w:tabs>
          <w:tab w:val="left" w:leader="dot" w:pos="9072"/>
        </w:tabs>
        <w:spacing w:before="120" w:after="120"/>
        <w:ind w:left="567"/>
        <w:jc w:val="both"/>
      </w:pPr>
      <w:r>
        <w:rPr>
          <w:i/>
        </w:rPr>
        <w:t>Kad pateiktumėte šiame skirsnyje prašomą informaciją, žr. PKAAE gairių 76 punkto a papunktį ir 5 skyrių (455–463 punktus).</w:t>
      </w:r>
    </w:p>
    <w:p w14:paraId="319011B2" w14:textId="6538C74F" w:rsidR="002F3E3B" w:rsidRDefault="002F3E3B" w:rsidP="00207312">
      <w:pPr>
        <w:numPr>
          <w:ilvl w:val="0"/>
          <w:numId w:val="4"/>
        </w:numPr>
        <w:spacing w:after="240"/>
        <w:ind w:left="567" w:hanging="567"/>
        <w:jc w:val="both"/>
      </w:pPr>
      <w:r>
        <w:t>Jei priemonė (-ės), apie kurią (-</w:t>
      </w:r>
      <w:proofErr w:type="spellStart"/>
      <w:r>
        <w:t>ias</w:t>
      </w:r>
      <w:proofErr w:type="spellEnd"/>
      <w:r>
        <w:t>) pranešama, viršija PKAAE gairių 456 punkte nustatytas biudžeto ir (arba) išlaidų ribas, paaiškinkite, kodėl, jūsų nuomone, turėtų būti taikoma PKAAE gairių 457 punkte nustatyta išimtis, arba šios pranešimo formos priede pateikite, be kita ko, vertinimo plano projektą, apimantį PKAAE gairių 458 punkte nurodytą taikymo sritį</w:t>
      </w:r>
      <w:r>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Jei pateikiamas vertinimo plano projektas:</w:t>
      </w:r>
    </w:p>
    <w:p w14:paraId="2E38E9A8" w14:textId="77777777" w:rsidR="00237F5F" w:rsidRDefault="00237F5F" w:rsidP="005C0B39">
      <w:pPr>
        <w:numPr>
          <w:ilvl w:val="2"/>
          <w:numId w:val="57"/>
        </w:numPr>
        <w:ind w:left="1134" w:hanging="283"/>
      </w:pPr>
      <w:r>
        <w:t>pateikite šios pranešimo formos priede pateikto vertinimo plano projekto santrauką;</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5C0B39">
      <w:pPr>
        <w:numPr>
          <w:ilvl w:val="2"/>
          <w:numId w:val="57"/>
        </w:numPr>
        <w:ind w:left="1134" w:hanging="283"/>
      </w:pPr>
      <w:r>
        <w:t>patvirtinkite, kad bus laikomasi PKAAE gairių 460 punkto;</w:t>
      </w:r>
    </w:p>
    <w:p w14:paraId="2174214A" w14:textId="1D2FA691" w:rsidR="00237F5F" w:rsidRDefault="009F5BAE" w:rsidP="00217A1A">
      <w:pPr>
        <w:ind w:left="414" w:firstLine="720"/>
      </w:pPr>
      <w:r>
        <w:lastRenderedPageBreak/>
        <w:t>…………………………………………………………………………………...</w:t>
      </w:r>
    </w:p>
    <w:p w14:paraId="5BFA03E4" w14:textId="77777777" w:rsidR="00237F5F" w:rsidRPr="00237F5F" w:rsidRDefault="00237F5F" w:rsidP="00757930">
      <w:pPr>
        <w:ind w:left="2367"/>
        <w:rPr>
          <w:lang w:eastAsia="en-GB"/>
        </w:rPr>
      </w:pPr>
    </w:p>
    <w:p w14:paraId="663B3F20" w14:textId="77777777" w:rsidR="00237F5F" w:rsidRDefault="00237F5F" w:rsidP="005C0B39">
      <w:pPr>
        <w:numPr>
          <w:ilvl w:val="2"/>
          <w:numId w:val="57"/>
        </w:numPr>
        <w:ind w:left="1134" w:hanging="283"/>
      </w:pPr>
      <w:r>
        <w:t>pateikite interneto nuorodą į vertinimo planą ir nurodykite, nuo kada jis bus skelbiamas viešai.</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Jeigu pagalbos schemos </w:t>
      </w:r>
      <w:proofErr w:type="spellStart"/>
      <w:r>
        <w:rPr>
          <w:i/>
        </w:rPr>
        <w:t>ex</w:t>
      </w:r>
      <w:proofErr w:type="spellEnd"/>
      <w:r>
        <w:rPr>
          <w:i/>
        </w:rPr>
        <w:t xml:space="preserve"> </w:t>
      </w:r>
      <w:proofErr w:type="spellStart"/>
      <w:r>
        <w:rPr>
          <w:i/>
        </w:rPr>
        <w:t>post</w:t>
      </w:r>
      <w:proofErr w:type="spellEnd"/>
      <w: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t xml:space="preserve">Jeigu pagalbos schemos </w:t>
      </w:r>
      <w:proofErr w:type="spellStart"/>
      <w:r>
        <w:rPr>
          <w:i/>
        </w:rPr>
        <w:t>ex</w:t>
      </w:r>
      <w:proofErr w:type="spellEnd"/>
      <w:r>
        <w:rPr>
          <w:i/>
        </w:rPr>
        <w:t xml:space="preserve"> </w:t>
      </w:r>
      <w:proofErr w:type="spellStart"/>
      <w:r>
        <w:rPr>
          <w:i/>
        </w:rPr>
        <w:t>post</w:t>
      </w:r>
      <w:proofErr w:type="spellEnd"/>
      <w:r>
        <w:t xml:space="preserve"> vertinimas šiuo metu neatliekamas, kad būtų galima patikrinti, ar laikomasi PKAAE gairių 459 punkto c papunkčio, pateikite įsipareigojimą, kad valstybė narė vertinimo plano projektą pateiks </w:t>
      </w:r>
      <w:r>
        <w:rPr>
          <w:shd w:val="clear" w:color="auto" w:fill="FFFFFF"/>
        </w:rPr>
        <w:t>per 30 darbo dienų po 150 mln. EUR viršijančių praėjusių metų išlaidų užregistravimo oficialiojoje apskaitoje</w:t>
      </w:r>
      <w:r>
        <w:t>.</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Atsižvelgdami į PKAAE gairių 461 punkto nuostatas:</w:t>
      </w:r>
    </w:p>
    <w:p w14:paraId="516B7EF0" w14:textId="6220BF62" w:rsidR="0012481A" w:rsidRDefault="00277BC0" w:rsidP="00241A6B">
      <w:pPr>
        <w:numPr>
          <w:ilvl w:val="0"/>
          <w:numId w:val="75"/>
        </w:numPr>
        <w:jc w:val="both"/>
      </w:pPr>
      <w:r>
        <w:t>patikslinkite, ar nepriklausomas ekspertas jau atrinktas, ar bus atrinktas;</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241A6B">
      <w:pPr>
        <w:numPr>
          <w:ilvl w:val="0"/>
          <w:numId w:val="75"/>
        </w:numPr>
        <w:jc w:val="both"/>
      </w:pPr>
      <w:r>
        <w:t>pateikite informaciją apie eksperto atrankos procedūrą;</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241A6B">
      <w:pPr>
        <w:numPr>
          <w:ilvl w:val="0"/>
          <w:numId w:val="75"/>
        </w:numPr>
        <w:jc w:val="both"/>
      </w:pPr>
      <w:r>
        <w:t>pagrįskite, kodėl ekspertas nepriklauso nuo pagalbą teikiančios institucijos;</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Atsižvelgdami į PKAAE gairių 461 punkto nuostatas:</w:t>
      </w:r>
    </w:p>
    <w:p w14:paraId="56904831" w14:textId="2B9E8697" w:rsidR="007F77C3" w:rsidRDefault="002C0264" w:rsidP="00241A6B">
      <w:pPr>
        <w:numPr>
          <w:ilvl w:val="0"/>
          <w:numId w:val="76"/>
        </w:numPr>
        <w:spacing w:before="240"/>
        <w:jc w:val="both"/>
      </w:pPr>
      <w:r>
        <w:t>nurodykite siūlomus tarpinės ir galutinės vertinimo ataskaitų pateikimo terminus. Atkreipkite dėmesį, kad galutinė vertinimo ataskaita Komisijai turi būti pateikta laiku, kad ji galėtų įvertinti galimybę pratęsti pagalbos schemos galiojimą, ir ne vėliau nei likus devyniems mėnesiams iki jos galiojimo pabaigos, kaip nurodyta PKAAE gairių 463 punkte. Atkreipkite dėmesį, kad šis terminas galėtų būti sutrumpintas schemoms, kurios turi būti įvertintos per paskutinius dvejus įgyvendinimo metus;</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241A6B">
      <w:pPr>
        <w:numPr>
          <w:ilvl w:val="0"/>
          <w:numId w:val="76"/>
        </w:numPr>
        <w:spacing w:before="240"/>
        <w:jc w:val="both"/>
      </w:pPr>
      <w:r>
        <w:lastRenderedPageBreak/>
        <w:t xml:space="preserve">patvirtinkite, kad tarpinė ir galutinė vertinimo ataskaitos bus skelbiamos viešai. Pateikite interneto nuorodą į tas ataskaitas ir nurodykite, nuo kada jos bus skelbiamos viešai.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D skirsnis. Ataskaitų teikimas ir stebėsena</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Kad pateiktumėte šiame skirsnyje prašomą informaciją, žr. PKAAE gairių 6 skirsnį (464–465 punktus).</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t>Patvirtinkite, kad valstybė narė laikysis PKAAE gairių 6 skirsnio 464 ir 465 punktuose nustatytų ataskaitų teikimo ir stebėsenos reikalavimų.</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OL C 80, 2022 2 18, p. 1.</w:t>
      </w:r>
    </w:p>
  </w:footnote>
  <w:footnote w:id="3">
    <w:p w14:paraId="25384A16" w14:textId="699CB629" w:rsidR="00FA6EB5" w:rsidRPr="009F1C3C" w:rsidRDefault="00FA6EB5">
      <w:pPr>
        <w:pStyle w:val="FootnoteText"/>
      </w:pPr>
      <w:r>
        <w:rPr>
          <w:rStyle w:val="FootnoteReference"/>
        </w:rPr>
        <w:footnoteRef/>
      </w:r>
      <w:r>
        <w:t xml:space="preserve"> </w:t>
      </w:r>
      <w:r>
        <w:tab/>
        <w:t>Atkreipkite dėmesį, kad pagalbos schemos taikymo trukmė – tai laikotarpis, per kurį galima prašyti pagalbos ir priimti sprendimą ją suteikti (taigi, įskaičiuojamas laikas, kurio nacionalinėms valdžios institucijoms reikia pagalbos paraiškoms patvirtinti). Šiame punkte minima taikymo trukmė nėra susijusi su pagal pagalbos schemą sudarytų sutarčių trukme, kuri gali būti ilgesnė nei priemonės taikymo trukmė.</w:t>
      </w:r>
    </w:p>
  </w:footnote>
  <w:footnote w:id="4">
    <w:p w14:paraId="3A3265CA" w14:textId="77777777" w:rsidR="00B22D69" w:rsidRPr="0067348B" w:rsidRDefault="00B22D69" w:rsidP="00B22D69">
      <w:pPr>
        <w:pStyle w:val="FootnoteText"/>
      </w:pPr>
      <w:r>
        <w:rPr>
          <w:rStyle w:val="FootnoteReference"/>
        </w:rPr>
        <w:footnoteRef/>
      </w:r>
      <w:r>
        <w:tab/>
        <w:t>Atkreipkite dėmesį, kad faktinio biudžeto arba biudžeto sąmatos pakeitimas gali būti laikomas pagalbos pakeitimu, dėl kurio reikia pateikti naują pranešimą.</w:t>
      </w:r>
    </w:p>
  </w:footnote>
  <w:footnote w:id="5">
    <w:p w14:paraId="590F3FC7" w14:textId="30CB4935" w:rsidR="00E55520" w:rsidRDefault="00E55520" w:rsidP="00821F07">
      <w:pPr>
        <w:pStyle w:val="FootnoteText"/>
      </w:pPr>
      <w:r>
        <w:rPr>
          <w:rStyle w:val="FootnoteReference"/>
        </w:rPr>
        <w:footnoteRef/>
      </w:r>
      <w:r>
        <w:tab/>
        <w:t>Pagal PKAAE gairių 19 punkto 89 papunktį, Sąjungos standartas yra</w:t>
      </w:r>
    </w:p>
    <w:p w14:paraId="340A0B20" w14:textId="77777777" w:rsidR="00E55520" w:rsidRPr="004B74BC" w:rsidRDefault="00E55520" w:rsidP="004B74BC">
      <w:pPr>
        <w:pStyle w:val="FootnoteText"/>
        <w:numPr>
          <w:ilvl w:val="0"/>
          <w:numId w:val="46"/>
        </w:numPr>
        <w:rPr>
          <w:i/>
        </w:rPr>
      </w:pPr>
      <w:r>
        <w:rPr>
          <w:i/>
        </w:rPr>
        <w:t>privalomas Sąjungos standartas, nustatantis rodiklius, kuriuos atskiros įmonės turi pasiekti aplinkosaugos srityje, išskyrus Sąjungos lygmeniu nustatytus standartus arba tikslus, kurie privalomi valstybėms narėms, bet ne atskiroms įmonėms;</w:t>
      </w:r>
    </w:p>
    <w:p w14:paraId="02AC4E0B" w14:textId="14D21BDD" w:rsidR="00E55520" w:rsidRDefault="00E55520" w:rsidP="004B74BC">
      <w:pPr>
        <w:pStyle w:val="FootnoteText"/>
        <w:numPr>
          <w:ilvl w:val="0"/>
          <w:numId w:val="46"/>
        </w:numPr>
      </w:pPr>
      <w:r>
        <w:rPr>
          <w:i/>
        </w:rPr>
        <w:t>įpareigojimas taikyti geriausius prieinamus gamybos būdus (GPGB), apibrėžtus Direktyvoje 2010/75/ES, ir užtikrinti, kad išmetamųjų teršalų kiekis neviršytų kiekio, kuris būtų pasiektas taikant GPGB; jeigu su GPGB susiję išmetamųjų teršalų kiekiai nustatyti įgyvendinimo aktuose, priimtuose pagal Direktyvą 2010/75/ES ar pagal kitas taikytinas direktyvas, atsižvelgiant į šias gaires bus taikomi tie kiekiai; jeigu tie kiekiai išreikšti intervalu, bus taikoma ta riba, nuo kurios laikoma, kad atitinkama įmonė taiko GPGB.</w:t>
      </w:r>
    </w:p>
  </w:footnote>
  <w:footnote w:id="6">
    <w:p w14:paraId="6598727F" w14:textId="2CE0C196" w:rsidR="00E55520" w:rsidRDefault="00E55520">
      <w:pPr>
        <w:pStyle w:val="FootnoteText"/>
      </w:pPr>
      <w:r>
        <w:rPr>
          <w:rStyle w:val="FootnoteReference"/>
        </w:rPr>
        <w:footnoteRef/>
      </w:r>
      <w:r>
        <w:t xml:space="preserve"> </w:t>
      </w:r>
      <w:r>
        <w:tab/>
        <w:t xml:space="preserve">Atkreipkite dėmesį į tai, kad PKAAE gairių 42 išnašoje nustatyta, kad </w:t>
      </w:r>
      <w:r>
        <w:rPr>
          <w:i/>
        </w:rPr>
        <w:t>„</w:t>
      </w:r>
      <w:r>
        <w:rPr>
          <w:i/>
          <w:color w:val="000000"/>
          <w:sz w:val="19"/>
          <w:shd w:val="clear" w:color="auto" w:fill="FFFFFF"/>
        </w:rPr>
        <w:t>[r]</w:t>
      </w:r>
      <w:proofErr w:type="spellStart"/>
      <w:r>
        <w:rPr>
          <w:i/>
          <w:color w:val="000000"/>
          <w:sz w:val="19"/>
          <w:shd w:val="clear" w:color="auto" w:fill="FFFFFF"/>
        </w:rPr>
        <w:t>eikėtų</w:t>
      </w:r>
      <w:proofErr w:type="spellEnd"/>
      <w:r>
        <w:rPr>
          <w:i/>
          <w:color w:val="000000"/>
          <w:sz w:val="19"/>
          <w:shd w:val="clear" w:color="auto" w:fill="FFFFFF"/>
        </w:rPr>
        <w:t xml:space="preserve"> vengti apatinių arba viršutinių kainų ribų, kurios varžo konkurso procesą ir kenkia proporcingumui, net jei jos nulinės</w:t>
      </w:r>
      <w:r>
        <w:rPr>
          <w:i/>
        </w:rPr>
        <w:t>.“</w:t>
      </w:r>
    </w:p>
  </w:footnote>
  <w:footnote w:id="7">
    <w:p w14:paraId="7BF90FA8" w14:textId="77777777" w:rsidR="0003031C" w:rsidRPr="0095488F" w:rsidRDefault="0003031C" w:rsidP="0003031C">
      <w:pPr>
        <w:pStyle w:val="FootnoteText"/>
      </w:pPr>
      <w:r>
        <w:rPr>
          <w:rStyle w:val="FootnoteReference"/>
        </w:rPr>
        <w:footnoteRef/>
      </w:r>
      <w:r>
        <w:tab/>
        <w:t>Daugiau informacijos žr. PKAAE gairių 51–53 punktuose ir 45, 46 bei 55 išnašose.</w:t>
      </w:r>
    </w:p>
  </w:footnote>
  <w:footnote w:id="8">
    <w:p w14:paraId="086AD512" w14:textId="7087BE19" w:rsidR="00E55520" w:rsidRDefault="00E55520">
      <w:pPr>
        <w:pStyle w:val="FootnoteText"/>
      </w:pPr>
      <w:r>
        <w:rPr>
          <w:rStyle w:val="FootnoteReference"/>
        </w:rPr>
        <w:footnoteRef/>
      </w:r>
      <w:r>
        <w:tab/>
        <w:t>Centralizuotai valdomas Sąjungos finansavimas – Sąjungos finansavimas, kurį centralizuotai valdo Europos Sąjungos institucijos, agentūros, bendrosios įmonės ar kitos įstaigos ir kurio tiesiogiai ar netiesiogiai nekontroliuoja valstybė narė.</w:t>
      </w:r>
    </w:p>
  </w:footnote>
  <w:footnote w:id="9">
    <w:p w14:paraId="46FDB4C5" w14:textId="626320F5" w:rsidR="00E308B3" w:rsidRPr="004A1D89" w:rsidRDefault="00E308B3">
      <w:pPr>
        <w:pStyle w:val="FootnoteText"/>
      </w:pPr>
      <w:r>
        <w:rPr>
          <w:rStyle w:val="FootnoteReference"/>
        </w:rPr>
        <w:footnoteRef/>
      </w:r>
      <w:r>
        <w:t xml:space="preserve"> </w:t>
      </w:r>
      <w:r>
        <w:tab/>
        <w:t>Pagal PKAAE gairių 367 punktą, „</w:t>
      </w:r>
      <w:r>
        <w:rPr>
          <w:i/>
        </w:rPr>
        <w:t>tokio išlaidų paskirstymo gali būti nereikalaujama, jei valstybė narė pateikia analizę, grindžiamą įrodymais, įskaitant per viešas konsultacijas surinktus įrodymus, kad tokiu būdu paskirstant išlaidas sumažėtų priemonės ekonominis veiksmingumas arba atsirastų didelių konkurencijos iškraipymų, kurie akivaizdžiai pakenktų galimai tokio išlaidų paskirstymo naudai</w:t>
      </w:r>
      <w:r>
        <w:t>“.</w:t>
      </w:r>
    </w:p>
  </w:footnote>
  <w:footnote w:id="10">
    <w:p w14:paraId="02AA3570" w14:textId="77777777" w:rsidR="00E55520" w:rsidRPr="008772CC" w:rsidRDefault="00E55520" w:rsidP="004B2EF3">
      <w:pPr>
        <w:pStyle w:val="FootnoteText"/>
      </w:pPr>
      <w:r>
        <w:rPr>
          <w:rStyle w:val="FootnoteReference"/>
        </w:rPr>
        <w:footnoteRef/>
      </w:r>
      <w:r>
        <w:t xml:space="preserve"> </w:t>
      </w:r>
      <w:r>
        <w:tab/>
        <w:t>2020 m. birželio 18 d. Europos Parlamento ir Tarybos reglamentas (ES) 2020/852 dėl sistemos tvariam investavimui palengvinti sukūrimo, kuriuo iš dalies keičiamas Reglamentas (ES) 2019/2088 (OL L 198, 2020 6 22, p. 13).</w:t>
      </w:r>
    </w:p>
  </w:footnote>
  <w:footnote w:id="11">
    <w:p w14:paraId="56D0AFFA" w14:textId="77777777" w:rsidR="00E55520" w:rsidRDefault="00E55520" w:rsidP="004B2EF3">
      <w:pPr>
        <w:pStyle w:val="FootnoteText"/>
      </w:pPr>
      <w:r>
        <w:rPr>
          <w:rStyle w:val="FootnoteReference"/>
        </w:rPr>
        <w:footnoteRef/>
      </w:r>
      <w:r>
        <w:t xml:space="preserve"> </w:t>
      </w:r>
      <w:r>
        <w:tab/>
        <w:t xml:space="preserve">Atkreipkite dėmesį, kad pagal PKAAE gairių 50 išnašą </w:t>
      </w:r>
      <w:r>
        <w:rPr>
          <w:i/>
        </w:rPr>
        <w:t>„</w:t>
      </w:r>
      <w:r>
        <w:rPr>
          <w:i/>
          <w:color w:val="000000"/>
          <w:sz w:val="19"/>
          <w:shd w:val="clear" w:color="auto" w:fill="FFFFFF"/>
        </w:rPr>
        <w:t>[l]</w:t>
      </w:r>
      <w:proofErr w:type="spellStart"/>
      <w:r>
        <w:rPr>
          <w:i/>
          <w:color w:val="000000"/>
          <w:sz w:val="19"/>
          <w:shd w:val="clear" w:color="auto" w:fill="FFFFFF"/>
        </w:rPr>
        <w:t>aikoma</w:t>
      </w:r>
      <w:proofErr w:type="spellEnd"/>
      <w:r>
        <w:rPr>
          <w:i/>
          <w:color w:val="000000"/>
          <w:sz w:val="19"/>
          <w:shd w:val="clear" w:color="auto" w:fill="FFFFFF"/>
        </w:rPr>
        <w:t>, kad priemonės, kurios yra tapačios Tarybos patvirtintuose ekonomikos gaivinimo ir atsparumo didinimo planuose numatytoms priemonėms, atitinka reikšmingos žalos nedarymo principą, nes tai jau buvo patikrinta</w:t>
      </w:r>
      <w:r>
        <w:rPr>
          <w:i/>
        </w:rPr>
        <w:t>“.</w:t>
      </w:r>
    </w:p>
  </w:footnote>
  <w:footnote w:id="12">
    <w:p w14:paraId="4C240C5F" w14:textId="77777777" w:rsidR="002F3E3B" w:rsidRDefault="002F3E3B" w:rsidP="002F3E3B">
      <w:pPr>
        <w:pStyle w:val="FootnoteText"/>
      </w:pPr>
      <w:r>
        <w:rPr>
          <w:rStyle w:val="FootnoteReference"/>
        </w:rPr>
        <w:footnoteRef/>
      </w:r>
      <w:r>
        <w:tab/>
        <w:t xml:space="preserve">Pranešimo apie vertinimo planą papildomos informacijos lapo (III.8 dalis) šablonas pateikiamas adresu </w:t>
      </w:r>
      <w:hyperlink w:anchor="evaluation-plan" w:history="1">
        <w:r>
          <w:rPr>
            <w:rStyle w:val="Hyperlink"/>
          </w:rPr>
          <w:t>https://competition-policy.ec.europa.eu/state-aid/legislation/forms-notifications-and-reporting_en?prefLang=lt</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412527B"/>
    <w:multiLevelType w:val="hybridMultilevel"/>
    <w:tmpl w:val="E0EC498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997590"/>
    <w:multiLevelType w:val="hybridMultilevel"/>
    <w:tmpl w:val="BB309C98"/>
    <w:lvl w:ilvl="0" w:tplc="1E02AB04">
      <w:start w:val="1"/>
      <w:numFmt w:val="lowerLetter"/>
      <w:lvlText w:val="(%1)"/>
      <w:lvlJc w:val="left"/>
      <w:pPr>
        <w:ind w:left="22" w:hanging="360"/>
      </w:pPr>
      <w:rPr>
        <w:rFonts w:ascii="Times New Roman" w:eastAsia="Calibri" w:hAnsi="Times New Roman" w:cs="Times New Roman"/>
        <w:i w:val="0"/>
      </w:rPr>
    </w:lvl>
    <w:lvl w:ilvl="1" w:tplc="04090019">
      <w:start w:val="1"/>
      <w:numFmt w:val="lowerLetter"/>
      <w:lvlText w:val="%2."/>
      <w:lvlJc w:val="left"/>
      <w:pPr>
        <w:ind w:left="742" w:hanging="360"/>
      </w:pPr>
    </w:lvl>
    <w:lvl w:ilvl="2" w:tplc="0409001B" w:tentative="1">
      <w:start w:val="1"/>
      <w:numFmt w:val="lowerRoman"/>
      <w:lvlText w:val="%3."/>
      <w:lvlJc w:val="right"/>
      <w:pPr>
        <w:ind w:left="1462" w:hanging="180"/>
      </w:pPr>
    </w:lvl>
    <w:lvl w:ilvl="3" w:tplc="0409000F" w:tentative="1">
      <w:start w:val="1"/>
      <w:numFmt w:val="decimal"/>
      <w:lvlText w:val="%4."/>
      <w:lvlJc w:val="left"/>
      <w:pPr>
        <w:ind w:left="2182" w:hanging="360"/>
      </w:pPr>
    </w:lvl>
    <w:lvl w:ilvl="4" w:tplc="04090019" w:tentative="1">
      <w:start w:val="1"/>
      <w:numFmt w:val="lowerLetter"/>
      <w:lvlText w:val="%5."/>
      <w:lvlJc w:val="left"/>
      <w:pPr>
        <w:ind w:left="2902" w:hanging="360"/>
      </w:pPr>
    </w:lvl>
    <w:lvl w:ilvl="5" w:tplc="0409001B" w:tentative="1">
      <w:start w:val="1"/>
      <w:numFmt w:val="lowerRoman"/>
      <w:lvlText w:val="%6."/>
      <w:lvlJc w:val="right"/>
      <w:pPr>
        <w:ind w:left="3622" w:hanging="180"/>
      </w:pPr>
    </w:lvl>
    <w:lvl w:ilvl="6" w:tplc="0409000F" w:tentative="1">
      <w:start w:val="1"/>
      <w:numFmt w:val="decimal"/>
      <w:lvlText w:val="%7."/>
      <w:lvlJc w:val="left"/>
      <w:pPr>
        <w:ind w:left="4342" w:hanging="360"/>
      </w:pPr>
    </w:lvl>
    <w:lvl w:ilvl="7" w:tplc="04090019" w:tentative="1">
      <w:start w:val="1"/>
      <w:numFmt w:val="lowerLetter"/>
      <w:lvlText w:val="%8."/>
      <w:lvlJc w:val="left"/>
      <w:pPr>
        <w:ind w:left="5062" w:hanging="360"/>
      </w:pPr>
    </w:lvl>
    <w:lvl w:ilvl="8" w:tplc="0409001B" w:tentative="1">
      <w:start w:val="1"/>
      <w:numFmt w:val="lowerRoman"/>
      <w:lvlText w:val="%9."/>
      <w:lvlJc w:val="right"/>
      <w:pPr>
        <w:ind w:left="5782" w:hanging="18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C7F248F"/>
    <w:multiLevelType w:val="hybridMultilevel"/>
    <w:tmpl w:val="13889B0C"/>
    <w:lvl w:ilvl="0" w:tplc="9B4884B4">
      <w:start w:val="43"/>
      <w:numFmt w:val="decimal"/>
      <w:lvlText w:val="%1."/>
      <w:lvlJc w:val="left"/>
      <w:pPr>
        <w:ind w:left="1854" w:hanging="360"/>
      </w:pPr>
      <w:rPr>
        <w:rFonts w:hint="default"/>
        <w:b/>
        <w:i w:val="0"/>
      </w:rPr>
    </w:lvl>
    <w:lvl w:ilvl="1" w:tplc="8A70823A">
      <w:start w:val="1"/>
      <w:numFmt w:val="lowerRoman"/>
      <w:lvlText w:val="%2."/>
      <w:lvlJc w:val="right"/>
      <w:pPr>
        <w:ind w:left="2574" w:hanging="360"/>
      </w:pPr>
      <w:rPr>
        <w:rFonts w:ascii="Times New Roman" w:eastAsia="Calibri" w:hAnsi="Times New Roman" w:cs="Times New Roman"/>
        <w:b w:val="0"/>
        <w:i w:val="0"/>
        <w:sz w:val="24"/>
      </w:rPr>
    </w:lvl>
    <w:lvl w:ilvl="2" w:tplc="54525058">
      <w:start w:val="1"/>
      <w:numFmt w:val="lowerLetter"/>
      <w:lvlText w:val="%3."/>
      <w:lvlJc w:val="righ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7C06807"/>
    <w:multiLevelType w:val="hybridMultilevel"/>
    <w:tmpl w:val="690EAD6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9"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0F1676C"/>
    <w:multiLevelType w:val="hybridMultilevel"/>
    <w:tmpl w:val="D982E67C"/>
    <w:lvl w:ilvl="0" w:tplc="C9CE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7"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2978144D"/>
    <w:multiLevelType w:val="hybridMultilevel"/>
    <w:tmpl w:val="690EAD6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30"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7" w15:restartNumberingAfterBreak="0">
    <w:nsid w:val="3B6F4300"/>
    <w:multiLevelType w:val="hybridMultilevel"/>
    <w:tmpl w:val="0F442A82"/>
    <w:lvl w:ilvl="0" w:tplc="C1EC314C">
      <w:start w:val="1"/>
      <w:numFmt w:val="lowerRoman"/>
      <w:lvlText w:val="%1."/>
      <w:lvlJc w:val="right"/>
      <w:pPr>
        <w:ind w:left="1080" w:hanging="360"/>
      </w:pPr>
      <w:rPr>
        <w:rFonts w:ascii="Times New Roman" w:hAnsi="Times New Roman" w:hint="default"/>
        <w:b w:val="0"/>
        <w:i w:val="0"/>
        <w:sz w:val="24"/>
      </w:rPr>
    </w:lvl>
    <w:lvl w:ilvl="1" w:tplc="835E4194">
      <w:start w:val="1"/>
      <w:numFmt w:val="lowerLetter"/>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15:restartNumberingAfterBreak="0">
    <w:nsid w:val="43B239D1"/>
    <w:multiLevelType w:val="hybridMultilevel"/>
    <w:tmpl w:val="28BE6F60"/>
    <w:lvl w:ilvl="0" w:tplc="9B4884B4">
      <w:start w:val="43"/>
      <w:numFmt w:val="decimal"/>
      <w:lvlText w:val="%1."/>
      <w:lvlJc w:val="left"/>
      <w:pPr>
        <w:ind w:left="720" w:hanging="360"/>
      </w:pPr>
      <w:rPr>
        <w:rFonts w:hint="default"/>
        <w:b/>
        <w:i w:val="0"/>
      </w:rPr>
    </w:lvl>
    <w:lvl w:ilvl="1" w:tplc="3146D7CE">
      <w:start w:val="1"/>
      <w:numFmt w:val="lowerLetter"/>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45"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B68125E"/>
    <w:multiLevelType w:val="hybridMultilevel"/>
    <w:tmpl w:val="AFB2F63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CA63CEA"/>
    <w:multiLevelType w:val="hybridMultilevel"/>
    <w:tmpl w:val="3DC29826"/>
    <w:lvl w:ilvl="0" w:tplc="AC4090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0560FAB"/>
    <w:multiLevelType w:val="hybridMultilevel"/>
    <w:tmpl w:val="690EAD6C"/>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5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5"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7"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8"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9"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134D97"/>
    <w:multiLevelType w:val="hybridMultilevel"/>
    <w:tmpl w:val="D08AC18A"/>
    <w:lvl w:ilvl="0" w:tplc="08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4" w15:restartNumberingAfterBreak="0">
    <w:nsid w:val="6FFA1277"/>
    <w:multiLevelType w:val="hybridMultilevel"/>
    <w:tmpl w:val="4BE0630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04E2A85"/>
    <w:multiLevelType w:val="hybridMultilevel"/>
    <w:tmpl w:val="5F70D428"/>
    <w:lvl w:ilvl="0" w:tplc="A4C819EE">
      <w:start w:val="1"/>
      <w:numFmt w:val="lowerLetter"/>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2A10F7"/>
    <w:multiLevelType w:val="hybridMultilevel"/>
    <w:tmpl w:val="4CC8F250"/>
    <w:lvl w:ilvl="0" w:tplc="9C32A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BE5EF3"/>
    <w:multiLevelType w:val="hybridMultilevel"/>
    <w:tmpl w:val="690EAD6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0"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3" w15:restartNumberingAfterBreak="0">
    <w:nsid w:val="7A9454B6"/>
    <w:multiLevelType w:val="hybridMultilevel"/>
    <w:tmpl w:val="FDD6BEF8"/>
    <w:lvl w:ilvl="0" w:tplc="BEC2BCFE">
      <w:start w:val="1"/>
      <w:numFmt w:val="bullet"/>
      <w:lvlText w:val="•"/>
      <w:lvlJc w:val="left"/>
      <w:pPr>
        <w:tabs>
          <w:tab w:val="num" w:pos="720"/>
        </w:tabs>
        <w:ind w:left="720" w:hanging="360"/>
      </w:pPr>
      <w:rPr>
        <w:rFonts w:ascii="Arial" w:hAnsi="Arial" w:hint="default"/>
      </w:rPr>
    </w:lvl>
    <w:lvl w:ilvl="1" w:tplc="F1F61AE2" w:tentative="1">
      <w:start w:val="1"/>
      <w:numFmt w:val="bullet"/>
      <w:lvlText w:val="•"/>
      <w:lvlJc w:val="left"/>
      <w:pPr>
        <w:tabs>
          <w:tab w:val="num" w:pos="1440"/>
        </w:tabs>
        <w:ind w:left="1440" w:hanging="360"/>
      </w:pPr>
      <w:rPr>
        <w:rFonts w:ascii="Arial" w:hAnsi="Arial" w:hint="default"/>
      </w:rPr>
    </w:lvl>
    <w:lvl w:ilvl="2" w:tplc="D73CC55E" w:tentative="1">
      <w:start w:val="1"/>
      <w:numFmt w:val="bullet"/>
      <w:lvlText w:val="•"/>
      <w:lvlJc w:val="left"/>
      <w:pPr>
        <w:tabs>
          <w:tab w:val="num" w:pos="2160"/>
        </w:tabs>
        <w:ind w:left="2160" w:hanging="360"/>
      </w:pPr>
      <w:rPr>
        <w:rFonts w:ascii="Arial" w:hAnsi="Arial" w:hint="default"/>
      </w:rPr>
    </w:lvl>
    <w:lvl w:ilvl="3" w:tplc="4A8442D2" w:tentative="1">
      <w:start w:val="1"/>
      <w:numFmt w:val="bullet"/>
      <w:lvlText w:val="•"/>
      <w:lvlJc w:val="left"/>
      <w:pPr>
        <w:tabs>
          <w:tab w:val="num" w:pos="2880"/>
        </w:tabs>
        <w:ind w:left="2880" w:hanging="360"/>
      </w:pPr>
      <w:rPr>
        <w:rFonts w:ascii="Arial" w:hAnsi="Arial" w:hint="default"/>
      </w:rPr>
    </w:lvl>
    <w:lvl w:ilvl="4" w:tplc="D7FEB862" w:tentative="1">
      <w:start w:val="1"/>
      <w:numFmt w:val="bullet"/>
      <w:lvlText w:val="•"/>
      <w:lvlJc w:val="left"/>
      <w:pPr>
        <w:tabs>
          <w:tab w:val="num" w:pos="3600"/>
        </w:tabs>
        <w:ind w:left="3600" w:hanging="360"/>
      </w:pPr>
      <w:rPr>
        <w:rFonts w:ascii="Arial" w:hAnsi="Arial" w:hint="default"/>
      </w:rPr>
    </w:lvl>
    <w:lvl w:ilvl="5" w:tplc="03FA106A" w:tentative="1">
      <w:start w:val="1"/>
      <w:numFmt w:val="bullet"/>
      <w:lvlText w:val="•"/>
      <w:lvlJc w:val="left"/>
      <w:pPr>
        <w:tabs>
          <w:tab w:val="num" w:pos="4320"/>
        </w:tabs>
        <w:ind w:left="4320" w:hanging="360"/>
      </w:pPr>
      <w:rPr>
        <w:rFonts w:ascii="Arial" w:hAnsi="Arial" w:hint="default"/>
      </w:rPr>
    </w:lvl>
    <w:lvl w:ilvl="6" w:tplc="3A40139C" w:tentative="1">
      <w:start w:val="1"/>
      <w:numFmt w:val="bullet"/>
      <w:lvlText w:val="•"/>
      <w:lvlJc w:val="left"/>
      <w:pPr>
        <w:tabs>
          <w:tab w:val="num" w:pos="5040"/>
        </w:tabs>
        <w:ind w:left="5040" w:hanging="360"/>
      </w:pPr>
      <w:rPr>
        <w:rFonts w:ascii="Arial" w:hAnsi="Arial" w:hint="default"/>
      </w:rPr>
    </w:lvl>
    <w:lvl w:ilvl="7" w:tplc="8770719C" w:tentative="1">
      <w:start w:val="1"/>
      <w:numFmt w:val="bullet"/>
      <w:lvlText w:val="•"/>
      <w:lvlJc w:val="left"/>
      <w:pPr>
        <w:tabs>
          <w:tab w:val="num" w:pos="5760"/>
        </w:tabs>
        <w:ind w:left="5760" w:hanging="360"/>
      </w:pPr>
      <w:rPr>
        <w:rFonts w:ascii="Arial" w:hAnsi="Arial" w:hint="default"/>
      </w:rPr>
    </w:lvl>
    <w:lvl w:ilvl="8" w:tplc="064001BC" w:tentative="1">
      <w:start w:val="1"/>
      <w:numFmt w:val="bullet"/>
      <w:lvlText w:val="•"/>
      <w:lvlJc w:val="left"/>
      <w:pPr>
        <w:tabs>
          <w:tab w:val="num" w:pos="6480"/>
        </w:tabs>
        <w:ind w:left="6480" w:hanging="360"/>
      </w:pPr>
      <w:rPr>
        <w:rFonts w:ascii="Arial" w:hAnsi="Arial" w:hint="default"/>
      </w:rPr>
    </w:lvl>
  </w:abstractNum>
  <w:num w:numId="1" w16cid:durableId="1260404938">
    <w:abstractNumId w:val="15"/>
  </w:num>
  <w:num w:numId="2" w16cid:durableId="167333053">
    <w:abstractNumId w:val="21"/>
  </w:num>
  <w:num w:numId="3" w16cid:durableId="189157758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55"/>
  </w:num>
  <w:num w:numId="5" w16cid:durableId="21259982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36"/>
  </w:num>
  <w:num w:numId="7" w16cid:durableId="1226913539">
    <w:abstractNumId w:val="31"/>
  </w:num>
  <w:num w:numId="8" w16cid:durableId="599215065">
    <w:abstractNumId w:val="14"/>
  </w:num>
  <w:num w:numId="9" w16cid:durableId="2031644641">
    <w:abstractNumId w:val="12"/>
  </w:num>
  <w:num w:numId="10" w16cid:durableId="1092891155">
    <w:abstractNumId w:val="53"/>
  </w:num>
  <w:num w:numId="11" w16cid:durableId="1907104691">
    <w:abstractNumId w:val="56"/>
  </w:num>
  <w:num w:numId="12" w16cid:durableId="51199480">
    <w:abstractNumId w:val="54"/>
  </w:num>
  <w:num w:numId="13" w16cid:durableId="1976720153">
    <w:abstractNumId w:val="63"/>
  </w:num>
  <w:num w:numId="14" w16cid:durableId="1375690653">
    <w:abstractNumId w:val="26"/>
  </w:num>
  <w:num w:numId="15" w16cid:durableId="1240402151">
    <w:abstractNumId w:val="42"/>
  </w:num>
  <w:num w:numId="16" w16cid:durableId="975187432">
    <w:abstractNumId w:val="6"/>
  </w:num>
  <w:num w:numId="17" w16cid:durableId="1867600656">
    <w:abstractNumId w:val="45"/>
  </w:num>
  <w:num w:numId="18" w16cid:durableId="503472073">
    <w:abstractNumId w:val="1"/>
  </w:num>
  <w:num w:numId="19" w16cid:durableId="1784031062">
    <w:abstractNumId w:val="0"/>
  </w:num>
  <w:num w:numId="20" w16cid:durableId="1127046250">
    <w:abstractNumId w:val="49"/>
  </w:num>
  <w:num w:numId="21" w16cid:durableId="364795765">
    <w:abstractNumId w:val="5"/>
  </w:num>
  <w:num w:numId="22" w16cid:durableId="1439989596">
    <w:abstractNumId w:val="10"/>
  </w:num>
  <w:num w:numId="23" w16cid:durableId="1016275709">
    <w:abstractNumId w:val="24"/>
  </w:num>
  <w:num w:numId="24" w16cid:durableId="151063031">
    <w:abstractNumId w:val="33"/>
  </w:num>
  <w:num w:numId="25" w16cid:durableId="53816324">
    <w:abstractNumId w:val="19"/>
  </w:num>
  <w:num w:numId="26" w16cid:durableId="1693611213">
    <w:abstractNumId w:val="38"/>
  </w:num>
  <w:num w:numId="27" w16cid:durableId="97141827">
    <w:abstractNumId w:val="35"/>
  </w:num>
  <w:num w:numId="28" w16cid:durableId="1532382434">
    <w:abstractNumId w:val="27"/>
  </w:num>
  <w:num w:numId="29" w16cid:durableId="1511292187">
    <w:abstractNumId w:val="60"/>
  </w:num>
  <w:num w:numId="30" w16cid:durableId="1094087480">
    <w:abstractNumId w:val="47"/>
  </w:num>
  <w:num w:numId="31" w16cid:durableId="1749956519">
    <w:abstractNumId w:val="30"/>
  </w:num>
  <w:num w:numId="32" w16cid:durableId="1406995675">
    <w:abstractNumId w:val="50"/>
  </w:num>
  <w:num w:numId="33" w16cid:durableId="575825784">
    <w:abstractNumId w:val="57"/>
  </w:num>
  <w:num w:numId="34" w16cid:durableId="74860614">
    <w:abstractNumId w:val="2"/>
  </w:num>
  <w:num w:numId="35" w16cid:durableId="1221552042">
    <w:abstractNumId w:val="20"/>
  </w:num>
  <w:num w:numId="36" w16cid:durableId="1518229027">
    <w:abstractNumId w:val="58"/>
  </w:num>
  <w:num w:numId="37" w16cid:durableId="190800748">
    <w:abstractNumId w:val="17"/>
  </w:num>
  <w:num w:numId="38" w16cid:durableId="2027906088">
    <w:abstractNumId w:val="70"/>
  </w:num>
  <w:num w:numId="39" w16cid:durableId="651565310">
    <w:abstractNumId w:val="67"/>
  </w:num>
  <w:num w:numId="40" w16cid:durableId="451478627">
    <w:abstractNumId w:val="13"/>
  </w:num>
  <w:num w:numId="41" w16cid:durableId="1943682810">
    <w:abstractNumId w:val="9"/>
  </w:num>
  <w:num w:numId="42" w16cid:durableId="1139684406">
    <w:abstractNumId w:val="59"/>
  </w:num>
  <w:num w:numId="43" w16cid:durableId="347220594">
    <w:abstractNumId w:val="51"/>
  </w:num>
  <w:num w:numId="44" w16cid:durableId="1254241879">
    <w:abstractNumId w:val="68"/>
  </w:num>
  <w:num w:numId="45" w16cid:durableId="926157452">
    <w:abstractNumId w:val="8"/>
  </w:num>
  <w:num w:numId="46" w16cid:durableId="397703930">
    <w:abstractNumId w:val="34"/>
  </w:num>
  <w:num w:numId="47" w16cid:durableId="154996778">
    <w:abstractNumId w:val="71"/>
  </w:num>
  <w:num w:numId="48" w16cid:durableId="652297350">
    <w:abstractNumId w:val="41"/>
  </w:num>
  <w:num w:numId="49" w16cid:durableId="715154475">
    <w:abstractNumId w:val="62"/>
  </w:num>
  <w:num w:numId="50" w16cid:durableId="1946419233">
    <w:abstractNumId w:val="66"/>
  </w:num>
  <w:num w:numId="51" w16cid:durableId="566569310">
    <w:abstractNumId w:val="65"/>
  </w:num>
  <w:num w:numId="52" w16cid:durableId="677462353">
    <w:abstractNumId w:val="64"/>
  </w:num>
  <w:num w:numId="53" w16cid:durableId="1303728165">
    <w:abstractNumId w:val="46"/>
  </w:num>
  <w:num w:numId="54" w16cid:durableId="426387829">
    <w:abstractNumId w:val="4"/>
  </w:num>
  <w:num w:numId="55" w16cid:durableId="1522161043">
    <w:abstractNumId w:val="22"/>
  </w:num>
  <w:num w:numId="56" w16cid:durableId="825166992">
    <w:abstractNumId w:val="7"/>
  </w:num>
  <w:num w:numId="57" w16cid:durableId="2000887330">
    <w:abstractNumId w:val="3"/>
  </w:num>
  <w:num w:numId="58" w16cid:durableId="1227762633">
    <w:abstractNumId w:val="48"/>
  </w:num>
  <w:num w:numId="59" w16cid:durableId="404423481">
    <w:abstractNumId w:val="61"/>
  </w:num>
  <w:num w:numId="60" w16cid:durableId="325404697">
    <w:abstractNumId w:val="37"/>
  </w:num>
  <w:num w:numId="61" w16cid:durableId="962618137">
    <w:abstractNumId w:val="18"/>
  </w:num>
  <w:num w:numId="62" w16cid:durableId="1390108512">
    <w:abstractNumId w:val="23"/>
  </w:num>
  <w:num w:numId="63" w16cid:durableId="1938322388">
    <w:abstractNumId w:val="11"/>
  </w:num>
  <w:num w:numId="64" w16cid:durableId="55207693">
    <w:abstractNumId w:val="40"/>
  </w:num>
  <w:num w:numId="65" w16cid:durableId="1832794821">
    <w:abstractNumId w:val="44"/>
  </w:num>
  <w:num w:numId="66" w16cid:durableId="1959412921">
    <w:abstractNumId w:val="25"/>
  </w:num>
  <w:num w:numId="67" w16cid:durableId="513307716">
    <w:abstractNumId w:val="73"/>
  </w:num>
  <w:num w:numId="68" w16cid:durableId="196967872">
    <w:abstractNumId w:val="72"/>
  </w:num>
  <w:num w:numId="69" w16cid:durableId="1972441292">
    <w:abstractNumId w:val="32"/>
  </w:num>
  <w:num w:numId="70" w16cid:durableId="109515046">
    <w:abstractNumId w:val="32"/>
  </w:num>
  <w:num w:numId="71" w16cid:durableId="2031370701">
    <w:abstractNumId w:val="32"/>
  </w:num>
  <w:num w:numId="72" w16cid:durableId="127818530">
    <w:abstractNumId w:val="29"/>
  </w:num>
  <w:num w:numId="73" w16cid:durableId="149105091">
    <w:abstractNumId w:val="52"/>
  </w:num>
  <w:num w:numId="74" w16cid:durableId="781999904">
    <w:abstractNumId w:val="16"/>
  </w:num>
  <w:num w:numId="75" w16cid:durableId="1553233016">
    <w:abstractNumId w:val="69"/>
  </w:num>
  <w:num w:numId="76" w16cid:durableId="2023242420">
    <w:abstractNumId w:val="2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1A6B"/>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t-L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71"/>
      </w:numPr>
      <w:spacing w:line="360" w:lineRule="auto"/>
    </w:pPr>
  </w:style>
  <w:style w:type="paragraph" w:customStyle="1" w:styleId="LegalNumPar2">
    <w:name w:val="LegalNumPar2"/>
    <w:basedOn w:val="Normal"/>
    <w:rsid w:val="00DD7FD6"/>
    <w:pPr>
      <w:numPr>
        <w:ilvl w:val="1"/>
        <w:numId w:val="71"/>
      </w:numPr>
      <w:spacing w:line="360" w:lineRule="auto"/>
    </w:pPr>
  </w:style>
  <w:style w:type="paragraph" w:customStyle="1" w:styleId="LegalNumPar3">
    <w:name w:val="LegalNumPar3"/>
    <w:basedOn w:val="Normal"/>
    <w:rsid w:val="00DD7FD6"/>
    <w:pPr>
      <w:numPr>
        <w:ilvl w:val="2"/>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4469</Words>
  <Characters>31822</Characters>
  <Application>Microsoft Office Word</Application>
  <DocSecurity>0</DocSecurity>
  <Lines>707</Lines>
  <Paragraphs>281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3</cp:revision>
  <cp:lastPrinted>2024-05-22T14:05:00Z</cp:lastPrinted>
  <dcterms:created xsi:type="dcterms:W3CDTF">2024-08-29T09:58:00Z</dcterms:created>
  <dcterms:modified xsi:type="dcterms:W3CDTF">2024-09-11T15:50:00Z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