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Kiegészítő adatlap</w:t>
      </w:r>
      <w:r>
        <w:rPr>
          <w:b/>
          <w:smallCaps/>
          <w:sz w:val="24"/>
          <w:rFonts w:ascii="Times New Roman" w:hAnsi="Times New Roman"/>
        </w:rPr>
        <w:br/>
      </w:r>
      <w:r>
        <w:rPr>
          <w:b/>
          <w:smallCaps/>
          <w:sz w:val="24"/>
          <w:rFonts w:ascii="Times New Roman" w:hAnsi="Times New Roman"/>
        </w:rPr>
        <w:t xml:space="preserve">fő- vagy segédhajtómű cseréjéhez vagy korszerűsítéséhez nyújtott támogatásról</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A tagállamoknak ezt a formanyomtatványt kell használniuk a halászati és akvakultúra-ágazat számára nyújtott állami támogatásokról szóló iránymutatás</w:t>
      </w:r>
      <w:r w:rsidR="00F877C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(a továbbiakban: iránymutatás) II. része 3. fejezetének 3.2. szakaszában leírt, fő- vagy segédhajtómű cseréjéhez vagy korszerűsítéséhez nyújtott támogatások bejelentéséhez.</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intézkedés előírja, hogy a támogatásban részesülő uniós halászhajókat a támogatás egyenlegkifizetésétől számított legalább öt évig nem szabad harmadik ország részére átadni vagy harmadik ország lobogójával átlobogózni.</w:t>
      </w:r>
      <w:r>
        <w:rPr>
          <w:sz w:val="24"/>
          <w:rFonts w:ascii="Times New Roman" w:hAnsi="Times New Roman"/>
        </w:rPr>
        <w:t xml:space="preserv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1E9D84D9" w14:textId="469B67E8"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támogatás csak a legfeljebb 24 méter teljes hosszúságú halászhajók fő- vagy segédhajtóművének cseréjéhez vagy korszerűsítéséhez nyújtható.</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4F8DE03B" w14:textId="10879FF2"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Az iránymutatás (253) pontjának a) alpontja értelmében a halászhajónak olyan flottaszegmens részét kell képeznie, amely az 1380/2013/EU rendelet</w:t>
      </w:r>
      <w:r w:rsidR="0053598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22. cikkének (2) bekezdésében említett, a halászati kapacitásra vonatkozó legfrissebb jelentés szerint </w:t>
      </w:r>
      <w:bookmarkStart w:id="1" w:name="_Hlk127291610"/>
      <w:r>
        <w:rPr>
          <w:sz w:val="24"/>
          <w:rFonts w:ascii="Times New Roman" w:hAnsi="Times New Roman"/>
        </w:rPr>
        <w:t xml:space="preserve">(a továbbiakban: nemzeti jelentés) egyensúlyban van az e szegmens számára rendelkezésre álló halászati lehetőségekkel</w:t>
      </w:r>
      <w:bookmarkEnd w:id="1"/>
      <w:r>
        <w:rPr>
          <w:sz w:val="24"/>
          <w:rFonts w:ascii="Times New Roman" w:hAnsi="Times New Roman"/>
        </w:rPr>
        <w:t xml:space="preserve">.</w:t>
      </w:r>
      <w:bookmarkEnd w:id="0"/>
      <w:r>
        <w:rPr>
          <w:sz w:val="24"/>
          <w:rFonts w:ascii="Times New Roman" w:hAnsi="Times New Roman"/>
        </w:rPr>
        <w:t xml:space="preserve"> </w:t>
      </w:r>
      <w:r>
        <w:rPr>
          <w:sz w:val="24"/>
          <w:rFonts w:ascii="Times New Roman" w:hAnsi="Times New Roman"/>
        </w:rPr>
        <w:t xml:space="preserve">Az iránymutatás (254) pontja értelmében a (253) pont a) alpontjának alkalmazásában az iránymutatás II. része 2. fejezete 2.2. szakaszának (225)–(227) pontjában meghatározott eljárás és feltételek érvényesek.</w:t>
      </w:r>
      <w:r>
        <w:rPr>
          <w:color w:val="000000"/>
          <w:sz w:val="23"/>
          <w:rFonts w:ascii="Times New Roman" w:hAnsi="Times New Roman"/>
        </w:rPr>
        <w:t xml:space="preserve"> </w:t>
      </w:r>
      <w:r>
        <w:rPr>
          <w:sz w:val="24"/>
          <w:rFonts w:ascii="Times New Roman" w:hAnsi="Times New Roman"/>
        </w:rPr>
        <w:t xml:space="preserve">Mindezek alapján kérjük, ismertesse a következőket:</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Mikor készült a legutóbbi nemzeti jelentés a támogatás odaítélésének időpontját megelőzően?</w:t>
      </w:r>
    </w:p>
    <w:p w14:paraId="3A01B69F"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EC7B62B"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adja meg a linket, amelyen a legutóbbi nemzeti jelentés elérhető, vagy csatolja azt a bejelentéshez.</w:t>
      </w:r>
    </w:p>
    <w:p w14:paraId="7EA4899A" w14:textId="77777777" w:rsidR="0053598F" w:rsidRDefault="0053598F" w:rsidP="0053598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valamennyi támogatás nyújtásához teljesülnek a következő feltételek:</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 év május 31-ig benyújtották a nemzeti jelentést</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N. évben benyújtott nemzeti jelentés és különösen az egyensúly abban szereplő értékelése az 1380/2013/EU rendelet 22. cikkének (2) bekezdésében említett közös iránymutatásban</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meghatározott biológiai, gazdasági és hajóhasználati mutatók alapján készült.</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sz w:val="23"/>
        </w:rPr>
        <w:t xml:space="preserve">Kérjük, vegye figyelembe, hogy nem nyújtható támogatás, ha a nemzeti jelentés és különösen az egyensúly abban szereplő értékelése nem az 1380/2013/EU rendelet 22. cikkének (2) bekezdésében említett közös iránymutatásban meghatározott biológiai, gazdasági és hajóhasználati mutatók alapján készült.</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Bizonyítja-e az N. évben benyújtott nemzeti jelentés, hogy a halászati kapacitás és a halászati lehetőségek egyensúlyban vannak azon flottaszegmensben, amelyhez a hajó tartozik?</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fejtse ki, hogyan vették figyelembe a nemzeti jelentést az intézkedés kialakításakor, és hogyan érik el az egyensúlyt.</w:t>
      </w:r>
    </w:p>
    <w:p w14:paraId="2A834BE2"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00ED6C86" w14:textId="1437F106" w:rsidR="00F741C7"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 Bizottság az N+1. év március 31-ig nem vonta kétségbe:</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az N. évben benyújtott nemzeti jelentés következtetéseit</w:t>
      </w:r>
      <w:r>
        <w:rPr>
          <w:sz w:val="24"/>
          <w:rFonts w:ascii="Times New Roman" w:hAnsi="Times New Roman"/>
        </w:rPr>
        <w:t xml:space="preserve">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az egyensúlynak az N. évben benyújtott nemzeti jelentésben szereplő értékelését</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intézkedés előírja, hogy az N. évben benyújtott nemzeti jelentés alapján csak az N+1. év – azaz a jelentés benyújtásának évét követő év – december 31-ig nyújtható támogatás.</w:t>
      </w:r>
      <w:r>
        <w:rPr>
          <w:sz w:val="24"/>
          <w:rFonts w:ascii="Times New Roman" w:hAnsi="Times New Roman"/>
        </w:rPr>
        <w:t xml:space="preserv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08A0C9BD"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1F4C9EA" w14:textId="5C998E36" w:rsidR="0053598F" w:rsidRPr="0053598F" w:rsidRDefault="0053598F" w:rsidP="0053598F">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Ha az intézkedés belvízi halászatra vonatkozik, a 3.1–3.2.6.1. kérdéseket nem kell megválaszolni.</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Kérjük, erősítse meg, hogy az intézkedés előírja, hogy a halászhajóknak a támogatási kérelem benyújtásának évét megelőzően legalább öt naptári év óta szerepelniük kell az uniós halászflotta-nyilvántartásban.</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Ha az intézkedés belvízi halászatra vonatkozik, kérjük, erősítse meg, hogy az intézkedés előírja, hogy támogatás csak olyan halászhajóra nyújtható, amely a támogatási kérelem benyújtásának évét megelőzően legalább öt naptári év óta forgalomba volt helyezve, összhangban a nemzeti joggal.</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4. vagy a 4.1. kérdésre a válasz „igen”, kérjük, nevezze meg a jogalap vonatkozó rendelkezését/rendelkezéseit.</w:t>
      </w:r>
    </w:p>
    <w:p w14:paraId="35CB1A30" w14:textId="7F4E7E68" w:rsidR="00A93E41" w:rsidRDefault="00C64658" w:rsidP="00F741C7">
      <w:pPr>
        <w:rPr>
          <w:sz w:val="24"/>
          <w:szCs w:val="24"/>
          <w:rFonts w:ascii="Times New Roman" w:eastAsia="Times New Roman" w:hAnsi="Times New Roman"/>
        </w:rPr>
      </w:pPr>
      <w:r>
        <w:rPr>
          <w:sz w:val="24"/>
          <w:rFonts w:ascii="Times New Roman" w:hAnsi="Times New Roman"/>
        </w:rPr>
        <w:t xml:space="preserve">………………………………………………………………………………………………….</w:t>
      </w:r>
    </w:p>
    <w:p w14:paraId="4BB86F31" w14:textId="2D3747F9"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3" w:name="_Ref124951474"/>
      <w:r>
        <w:rPr>
          <w:sz w:val="24"/>
          <w:rFonts w:ascii="Times New Roman" w:hAnsi="Times New Roman"/>
        </w:rPr>
        <w:t xml:space="preserve">A kisüzemi part menti halászhajók és a belvízi halászatra használt hajók esetében kérjük, erősítse meg, hogy az intézkedés előírja, hogy az új vagy korszerűsített motor kW-ban mért teljesítménye nem haladhatja meg a meglévő hajtóműét.</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042097A5" w14:textId="1C70A343" w:rsidR="00C64658" w:rsidRDefault="00C64658" w:rsidP="00F741C7">
      <w:pPr>
        <w:rPr>
          <w:sz w:val="24"/>
          <w:szCs w:val="24"/>
          <w:rFonts w:ascii="Times New Roman" w:eastAsia="Times New Roman" w:hAnsi="Times New Roman"/>
        </w:rPr>
      </w:pPr>
      <w:r>
        <w:rPr>
          <w:sz w:val="24"/>
          <w:rFonts w:ascii="Times New Roman" w:hAnsi="Times New Roman"/>
        </w:rPr>
        <w:t xml:space="preserve">………………………………………………………………………………………………….</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4957319"/>
      <w:r>
        <w:rPr>
          <w:sz w:val="24"/>
          <w:rFonts w:ascii="Times New Roman" w:hAnsi="Times New Roman"/>
        </w:rPr>
        <w:t xml:space="preserve">Az egyéb, legfeljebb 24 méter teljes hosszúságú hajók esetében kérjük, erősítse meg, hogy az intézkedés előírja, hogy az új vagy korszerűsített hajtómű kW-ban mért teljesítménye nem haladhatja meg a meglévő hajtóműét, és az új vagy korszerűsített hajtómű a meglévő hajtóműnél legalább 20%-kal kevesebb szén-dioxidot bocsát ki.</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6F9349D1" w14:textId="568001A8"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intézkedés rendelkezik arról, hogy a fő- vagy segédhajtómű cseréje vagy korszerűsítése miatt kivont halászati kapacitás nem pótolható.</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7C8C2ABC" w14:textId="34A0C34F"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ismertesse részletesen az iránymutatás II. része 3. fejezetének 3.2. szakaszában meghatározott feltételek teljesítésének garantálására szolgáló ellenőrzési és végrehajtási mechanizmusokat.</w:t>
      </w:r>
    </w:p>
    <w:p w14:paraId="4A0243A2" w14:textId="16716C44" w:rsidR="009E1F93" w:rsidRDefault="00651AE7" w:rsidP="0048102E">
      <w:pPr>
        <w:rPr>
          <w:sz w:val="24"/>
          <w:szCs w:val="24"/>
          <w:rFonts w:ascii="Times New Roman" w:eastAsia="Times New Roman" w:hAnsi="Times New Roman"/>
        </w:rPr>
      </w:pPr>
      <w:r>
        <w:rPr>
          <w:sz w:val="24"/>
          <w:rFonts w:ascii="Times New Roman" w:hAnsi="Times New Roman"/>
        </w:rPr>
        <w:t xml:space="preserve">………………………………………………………………………………………………….</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intézkedés előírja, hogy minden lecserélt vagy korszerűsített hajtómű esetében fizikai ellenőrzésre kerüljön sor.</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1E0A7F3C" w14:textId="79620B89" w:rsidR="00F6163F" w:rsidRDefault="0048102E" w:rsidP="005615D7">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miként fog teljesülni az intézkedés keretében a szén-dioxid-kibocsátás csökkentésére vonatkozó, a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rPr>
          <w:sz w:val="24"/>
          <w:rFonts w:ascii="Times New Roman" w:hAnsi="Times New Roman"/>
        </w:rPr>
        <w:t xml:space="preserve">. kérdésben említett követelmény:</w:t>
      </w:r>
      <w:r>
        <w:rPr>
          <w:sz w:val="24"/>
          <w:rFonts w:ascii="Times New Roman" w:hAnsi="Times New Roman"/>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azáltal, hogy az érintett hajtóművek gyártója által a típusjóváhagyás keretében vagy a terméktanúsítvány részeként hitelesített releváns információkból kiderül, hogy az új hajtómű 20%-kal kevesebb szén-dioxidot bocsát ki, mint a lecserélt hajtómű</w:t>
      </w:r>
    </w:p>
    <w:p w14:paraId="0FF77229" w14:textId="7DF59EC2" w:rsidR="009725CF" w:rsidRDefault="00385658" w:rsidP="0048102E">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azáltal, hogy az érintett hajtóművek gyártója által a típusjóváhagyás keretében vagy a terméktanúsítvány részeként hitelesített releváns információkból kiderül, hogy az új hajtómű 20%-kal kevesebb tüzelőanyagot fogyaszt, mint a lecserélt hajtómű</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Kérjük, fejtse ki részletesebben a megjelölt választ.</w:t>
      </w:r>
      <w:r>
        <w:rPr>
          <w:sz w:val="24"/>
          <w:rFonts w:ascii="Times New Roman" w:hAnsi="Times New Roman"/>
        </w:rPr>
        <w:t xml:space="preserve"> </w:t>
      </w:r>
    </w:p>
    <w:p w14:paraId="5AAF16DC" w14:textId="43A993BD" w:rsidR="0048102E" w:rsidRDefault="0048102E" w:rsidP="0048102E">
      <w:pPr>
        <w:ind w:left="360"/>
        <w:rPr>
          <w:sz w:val="24"/>
          <w:szCs w:val="24"/>
          <w:rFonts w:ascii="Times New Roman" w:eastAsia="Times New Roman" w:hAnsi="Times New Roman"/>
        </w:rPr>
      </w:pPr>
      <w:r>
        <w:rPr>
          <w:sz w:val="24"/>
          <w:rFonts w:ascii="Times New Roman" w:hAnsi="Times New Roman"/>
        </w:rPr>
        <w:t xml:space="preserve">……………………………………………………………………………………………</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Kérjük, nevezze meg a jogalap azon rendelkezését/rendelkezéseit, amely(ek) tükrözi(k) az előző</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sidR="004E4D44">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kérdésnél megjelölt választ.</w:t>
      </w:r>
    </w:p>
    <w:p w14:paraId="3E509AAA" w14:textId="77777777" w:rsidR="007E64FE" w:rsidRDefault="007E64FE" w:rsidP="007E64FE">
      <w:pPr>
        <w:rPr>
          <w:sz w:val="24"/>
          <w:szCs w:val="24"/>
          <w:rFonts w:ascii="Times New Roman" w:eastAsia="Times New Roman" w:hAnsi="Times New Roman"/>
        </w:rPr>
      </w:pPr>
      <w:r>
        <w:rPr>
          <w:sz w:val="24"/>
          <w:rFonts w:ascii="Times New Roman" w:hAnsi="Times New Roman"/>
        </w:rPr>
        <w:t xml:space="preserve">………………………………………………………………………………………………….</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Amennyiben az érintett hajtóművek gyártója által a típusjóváhagyás keretében vagy a terméktanúsítvány részeként hitelesített releváns információk az egyik vagy mindkét hajtómű esetében nem teszik lehetővé a szén-dioxid-kibocsátás vagy a tüzelőanyag-fogyasztás összehasonlítását, kérjük, erősítse meg, miként tekintendő teljesítettnek az intézkedés keretében a szén-dioxid-kibocsátás csökkentésére vonatkozó, a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rPr>
          <w:sz w:val="24"/>
          <w:rFonts w:ascii="Times New Roman" w:hAnsi="Times New Roman"/>
        </w:rPr>
        <w:t xml:space="preserve">. kérdésben említett követelmény:</w:t>
      </w:r>
      <w:r>
        <w:rPr>
          <w:sz w:val="24"/>
          <w:rFonts w:ascii="Times New Roman" w:hAnsi="Times New Roman"/>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az új hajtómű energiahatékony technológiát alkalmaz, valamint az új hajtómű és a lecserélt hajtómű közötti korkülönbség legalább hét év</w:t>
      </w:r>
    </w:p>
    <w:p w14:paraId="2B1EE759" w14:textId="5F99EEE5"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az új hajtómű olyan tüzelőanyag-típust vagy hajtásrendszert használ, amelyről úgy tekintik, hogy kevesebb szén-dioxidot bocsát ki, mint a lecserélt hajtómű</w:t>
      </w:r>
    </w:p>
    <w:p w14:paraId="5BAA96F9" w14:textId="3314BEF7" w:rsidR="00385658" w:rsidRPr="005615D7" w:rsidRDefault="00385658" w:rsidP="00385658">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az érintett tagállam mérések útján azt állapítja meg, hogy az új hajtómű szokásos halászati erőkifejtés mellett 20%-kal kevesebb szén-dioxidot bocsát ki vagy 20%-kal kevesebb tüzelőanyagot fogyaszt, mint a lecserélt hajtómű.</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Kérjük, nevezze meg a jogalap azon rendelkezését/rendelkezéseit, amely(ek) tükrözi(k) a válaszát.</w:t>
      </w:r>
    </w:p>
    <w:p w14:paraId="1AE44591"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Az iránymutatás (260) pontjának megfelelően kérjük, erősítse meg, hogy az iránymutatás (259) pontjának a) alpontjában említett energiahatékony technológiák azonosítása, valamint az iránymutatás (259) pontja c) alpontjának végrehajtásához szükséges módszertani elemek részletesebb meghatározása céljából az (EU) 2022/46 végrehajtási rendeletet</w:t>
      </w:r>
      <w:r w:rsidR="0048102E" w:rsidRPr="00CA7417">
        <w:rPr>
          <w:rStyle w:val="FootnoteReference"/>
          <w:rFonts w:ascii="Times New Roman" w:eastAsia="Times New Roman" w:hAnsi="Times New Roman"/>
          <w:sz w:val="24"/>
          <w:szCs w:val="24"/>
          <w:lang w:eastAsia="en-GB"/>
        </w:rPr>
        <w:footnoteReference w:id="5"/>
      </w:r>
      <w:r>
        <w:rPr>
          <w:sz w:val="24"/>
          <w:rFonts w:ascii="Times New Roman" w:hAnsi="Times New Roman"/>
        </w:rPr>
        <w:t xml:space="preserve"> alkalmazzák.</w:t>
      </w:r>
      <w:r>
        <w:rPr>
          <w:sz w:val="24"/>
          <w:rFonts w:ascii="Times New Roman" w:hAnsi="Times New Roman"/>
        </w:rPr>
        <w:t xml:space="preserv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Kérjük, ismertesse, miként alkalmazza az intézkedés ezeket a követelményeket.</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7B02216A" w14:textId="0F383CEC" w:rsidR="00385658"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elszámolható költségek közé csak a fő- vagy segédhajtómű cseréjével vagy korszerűsítésével kapcsolatos közvetlen és közvetett költségek tartozhatnak.</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Ha a válasz „igen”, kérjük, nevezze meg a jogalap vonatkozó rendelkezését/rendelkezéseit.</w:t>
      </w:r>
    </w:p>
    <w:p w14:paraId="2639F4D3" w14:textId="77777777" w:rsidR="00C64658" w:rsidRDefault="00C64658" w:rsidP="00C64658">
      <w:pPr>
        <w:rPr>
          <w:sz w:val="24"/>
          <w:szCs w:val="24"/>
          <w:rFonts w:ascii="Times New Roman" w:eastAsia="Times New Roman" w:hAnsi="Times New Roman"/>
        </w:rPr>
      </w:pPr>
      <w:r>
        <w:rPr>
          <w:sz w:val="24"/>
          <w:rFonts w:ascii="Times New Roman" w:hAnsi="Times New Roman"/>
        </w:rPr>
        <w:t xml:space="preserve">………………………………………………………………………………………………….</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Kérjük, adjon részletes leírást az intézkedés keretében elszámolható költségekről.</w:t>
      </w:r>
    </w:p>
    <w:p w14:paraId="0F07D075" w14:textId="29331F1F" w:rsidR="005B1262" w:rsidRPr="005615D7" w:rsidRDefault="005E58E1" w:rsidP="004B20D4">
      <w:pPr>
        <w:rPr>
          <w:sz w:val="24"/>
          <w:szCs w:val="24"/>
          <w:rFonts w:ascii="Times New Roman" w:eastAsia="Times New Roman" w:hAnsi="Times New Roman"/>
        </w:rPr>
      </w:pPr>
      <w:r>
        <w:rPr>
          <w:sz w:val="24"/>
          <w:rFonts w:ascii="Times New Roman" w:hAnsi="Times New Roman"/>
        </w:rPr>
        <w:t xml:space="preserve">………………………………………………………………………………………………….</w:t>
      </w:r>
    </w:p>
    <w:p w14:paraId="1A94DC5A" w14:textId="58AD1D2E" w:rsidR="00680544" w:rsidRDefault="00680544"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Kérjük, erősítse meg, hogy az intézkedés előírja, hogy a maximális támogatási intenzitás nem haladhatja meg az elszámolható költségek 40 %-át.</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igen</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nem</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Kérjük, adja meg az intézkedés keretében alkalmazandó maximális támogatási intenzitás(oka)t.</w:t>
      </w:r>
    </w:p>
    <w:p w14:paraId="1AFF5A04" w14:textId="77777777" w:rsidR="00A54529" w:rsidRDefault="00A54529" w:rsidP="00A54529">
      <w:pPr>
        <w:rPr>
          <w:sz w:val="24"/>
          <w:szCs w:val="24"/>
          <w:rFonts w:ascii="Times New Roman" w:eastAsia="Times New Roman" w:hAnsi="Times New Roman"/>
        </w:rPr>
      </w:pPr>
      <w:r>
        <w:rPr>
          <w:sz w:val="24"/>
          <w:rFonts w:ascii="Times New Roman" w:hAnsi="Times New Roman"/>
        </w:rPr>
        <w:t xml:space="preserve">………………………………………………………………………………………………….</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68675"/>
      <w:r>
        <w:rPr>
          <w:sz w:val="24"/>
          <w:rFonts w:ascii="Times New Roman" w:hAnsi="Times New Roman"/>
        </w:rPr>
        <w:t xml:space="preserve">Kérjük, nevezze meg az intézkedés tekintetében a jogalap maximális támogatási intenzitást meghatározó rendelkezését/rendelkezéseit.</w:t>
      </w:r>
    </w:p>
    <w:p w14:paraId="3248B8D5" w14:textId="293DB344" w:rsidR="005B1262" w:rsidRDefault="00680544" w:rsidP="004B20D4">
      <w:pPr>
        <w:rPr>
          <w:sz w:val="24"/>
          <w:szCs w:val="24"/>
          <w:rFonts w:ascii="Times New Roman" w:eastAsia="Times New Roman" w:hAnsi="Times New Roman"/>
        </w:rPr>
      </w:pPr>
      <w:r>
        <w:rPr>
          <w:sz w:val="24"/>
          <w:rFonts w:ascii="Times New Roman" w:hAnsi="Times New Roman"/>
        </w:rPr>
        <w:t xml:space="preserve">………………………………………………………………………………………………….</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EGYÉB INFORMÁCIÓK</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Ha van olyan egyéb információ, amelyet lényegesnek tart az intézkedésnek az iránymutatás e szakasza szerinti értékeléséhez, kérjük, adja meg.</w:t>
      </w:r>
    </w:p>
    <w:p w14:paraId="4E3CC61D" w14:textId="73F8C1E3" w:rsidR="001A718E" w:rsidRPr="00453ADA" w:rsidRDefault="005615D7" w:rsidP="004B20D4">
      <w:pPr>
        <w:rPr>
          <w:sz w:val="24"/>
          <w:szCs w:val="24"/>
          <w:rFonts w:ascii="Times New Roman" w:eastAsia="Times New Roman" w:hAnsi="Times New Roman"/>
        </w:rPr>
      </w:pPr>
      <w:r>
        <w:rPr>
          <w:sz w:val="24"/>
          <w:rFonts w:ascii="Times New Roman" w:hAnsi="Times New Roman"/>
        </w:rPr>
        <w:t xml:space="preserve">………………………………………………………………………………………………….</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 xml:space="preserve">HL C 107., 2023.3.23, 1. o.</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Az Európai Parlament és a Tanács 1380/2013/EU rendelete (2013. december 11.) a közös halászati politikáról, az 1954/2003/EK és az 1224/2009/EK tanácsi rendelet módosításáról, valamint a 2371/2002/EK és a 639/2004/EK tanácsi rendelet és a 2004/585/EK tanácsi határozat hatályon kívül helyezéséről (HL L 354., 2013.12.28., 22. o.).</w:t>
      </w:r>
      <w:r>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Lásd az iránymutatás (225) és (226) pontját, amelyek ismertetik az N. évben benyújtott nemzeti jelentésnek és a Bizottság N+1. év március 31-ig történő eljárásának folyamatát.</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A Bizottság közleménye az Európai Parlamentnek és a Tanácsnak –</w:t>
      </w:r>
      <w:r>
        <w:rPr>
          <w:rFonts w:ascii="Times New Roman" w:hAnsi="Times New Roman"/>
        </w:rPr>
        <w:t xml:space="preserve"> </w:t>
      </w:r>
      <w:r>
        <w:rPr>
          <w:rFonts w:ascii="Times New Roman" w:hAnsi="Times New Roman"/>
        </w:rPr>
        <w:t xml:space="preserve">A halászati kapacitás és a halászati lehetőségek közötti egyensúlynak a közös halászati politikáról szóló 1380/2013/EU európai parlamenti és tanácsi rendelet 22. cikke szerinti elemzésére vonatkozó iránymutatás COM(2014) 545 final.</w:t>
      </w:r>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A Bizottság (EU) 2022/46 végrehajtási rendelete (2022. január 13.) az Európai Tengerügyi, Halászati és Akvakultúra-alap létrehozásáról és az (EU) 2017/1004 rendelet módosításáról szóló (EU) 2021/1139 európai parlamenti és tanácsi végrehajtási rendeletnek az energiahatékony technológiák azonosítása és a halászhajók szokásos halászati erőkifejtésének meghatározására szolgáló módszertani elemek meghatározása tekintetében történő módosításáról (HL L 9., 2022.1.14., 27.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lang w:val="hu-HU"/>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hu-HU"/>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hu-HU"/>
    </w:rPr>
  </w:style>
  <w:style w:type="paragraph" w:styleId="Revision">
    <w:name w:val="Revision"/>
    <w:hidden/>
    <w:uiPriority w:val="99"/>
    <w:semiHidden/>
    <w:rsid w:val="00136501"/>
    <w:rPr>
      <w:sz w:val="22"/>
      <w:szCs w:val="22"/>
      <w:lang w:val="hu-HU"/>
    </w:rPr>
  </w:style>
  <w:style w:type="paragraph" w:customStyle="1" w:styleId="Default">
    <w:name w:val="Default"/>
    <w:rsid w:val="0053598F"/>
    <w:pPr>
      <w:autoSpaceDE w:val="0"/>
      <w:autoSpaceDN w:val="0"/>
      <w:adjustRightInd w:val="0"/>
    </w:pPr>
    <w:rPr>
      <w:rFonts w:ascii="Times New Roman" w:hAnsi="Times New Roman"/>
      <w:color w:val="000000"/>
      <w:sz w:val="24"/>
      <w:szCs w:val="2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8346</Characters>
  <Application>Microsoft Office Word</Application>
  <DocSecurity>0</DocSecurity>
  <Lines>225</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5</cp:revision>
  <dcterms:created xsi:type="dcterms:W3CDTF">2024-09-05T15:20:00Z</dcterms:created>
  <dcterms:modified xsi:type="dcterms:W3CDTF">2024-09-10T10:09:00Z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