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Papildu informācijas lapa par </w:t>
      </w:r>
      <w:r>
        <w:rPr>
          <w:rFonts w:ascii="Times New Roman" w:hAnsi="Times New Roman"/>
          <w:b/>
          <w:smallCaps/>
          <w:sz w:val="24"/>
        </w:rPr>
        <w:br/>
        <w:t>atbalstu akvakultūras dzīvnieku slimību un invazīvu svešzemju sugu invāzijas profilakses, kontroles un izskaušanas izmaksu kompensēšanai un atbalstu minēto dzīvnieku slimību un invāziju nodarītā kaitējuma atlīdzināšanai</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Šī veidlapa dalībvalstīm jāizmanto, lai paziņotu par akvakultūras dzīvnieku slimību un invazīvu svešzemju sugu invāzijas profilakses, kontroles un izskaušanas izmaksu kompensēšanai paredzētu atbalstu un minēto dzīvnieku slimību un invāziju nodarītā kaitējuma atlīdzināšanai paredzētu atbalstu, kas aprakstīts Pamatnostādņu par valsts atbalstu zvejniecības un akvakultūras nozarē</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1. nodaļas 1.3. iedaļā.</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Vai pasākums ir </w:t>
      </w:r>
      <w:r>
        <w:rPr>
          <w:rFonts w:ascii="Times New Roman" w:hAnsi="Times New Roman"/>
          <w:i/>
          <w:sz w:val="24"/>
        </w:rPr>
        <w:t>ex ante</w:t>
      </w:r>
      <w:r>
        <w:rPr>
          <w:rFonts w:ascii="Times New Roman" w:hAnsi="Times New Roman"/>
          <w:sz w:val="24"/>
        </w:rPr>
        <w:t xml:space="preserve"> pamatshēma, kuras nolūks ir palīdzēt segt akvakultūras dzīvnieku slimību un invazīvu svešzemju sugu invāzijas profilakses, kontroles un izskaušanas izmaksas?</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36EE8603"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Ja atbilde ir “jā”, uz </w:t>
      </w:r>
      <w:r w:rsidR="00006334">
        <w:rPr>
          <w:rFonts w:ascii="Times New Roman" w:eastAsia="Times New Roman" w:hAnsi="Times New Roman"/>
          <w:i/>
          <w:sz w:val="24"/>
        </w:rPr>
        <w:fldChar w:fldCharType="begin"/>
      </w:r>
      <w:r w:rsidR="00006334">
        <w:rPr>
          <w:rFonts w:ascii="Times New Roman" w:eastAsia="Times New Roman" w:hAnsi="Times New Roman"/>
          <w:i/>
          <w:sz w:val="24"/>
        </w:rPr>
        <w:instrText xml:space="preserve"> REF _Ref126833665 \r \h </w:instrText>
      </w:r>
      <w:r w:rsidR="00006334">
        <w:rPr>
          <w:rFonts w:ascii="Times New Roman" w:eastAsia="Times New Roman" w:hAnsi="Times New Roman"/>
          <w:i/>
          <w:sz w:val="24"/>
        </w:rPr>
      </w:r>
      <w:r w:rsidR="00006334">
        <w:rPr>
          <w:rFonts w:ascii="Times New Roman" w:eastAsia="Times New Roman" w:hAnsi="Times New Roman"/>
          <w:i/>
          <w:sz w:val="24"/>
        </w:rPr>
        <w:fldChar w:fldCharType="separate"/>
      </w:r>
      <w:r w:rsidR="007506E4">
        <w:rPr>
          <w:rFonts w:ascii="Times New Roman" w:eastAsia="Times New Roman" w:hAnsi="Times New Roman"/>
          <w:i/>
          <w:sz w:val="24"/>
        </w:rPr>
        <w:t>11</w:t>
      </w:r>
      <w:r w:rsidR="00006334">
        <w:rPr>
          <w:rFonts w:ascii="Times New Roman" w:eastAsia="Times New Roman" w:hAnsi="Times New Roman"/>
          <w:i/>
          <w:sz w:val="24"/>
        </w:rPr>
        <w:fldChar w:fldCharType="end"/>
      </w:r>
      <w:r>
        <w:rPr>
          <w:rFonts w:ascii="Times New Roman" w:hAnsi="Times New Roman"/>
          <w:i/>
          <w:sz w:val="24"/>
        </w:rPr>
        <w:t xml:space="preserve">. un </w:t>
      </w:r>
      <w:r w:rsidR="00A9765F" w:rsidRPr="00A9765F">
        <w:rPr>
          <w:rFonts w:ascii="Times New Roman" w:eastAsia="Times New Roman" w:hAnsi="Times New Roman"/>
          <w:i/>
          <w:sz w:val="24"/>
        </w:rPr>
        <w:fldChar w:fldCharType="begin"/>
      </w:r>
      <w:r w:rsidR="00A9765F" w:rsidRPr="00A9765F">
        <w:rPr>
          <w:rFonts w:ascii="Times New Roman" w:eastAsia="Times New Roman" w:hAnsi="Times New Roman"/>
          <w:i/>
          <w:sz w:val="24"/>
        </w:rPr>
        <w:instrText xml:space="preserve"> REF _Ref126941550 \r \h </w:instrText>
      </w:r>
      <w:r w:rsidR="00A9765F">
        <w:rPr>
          <w:rFonts w:ascii="Times New Roman" w:eastAsia="Times New Roman" w:hAnsi="Times New Roman"/>
          <w:i/>
          <w:sz w:val="24"/>
        </w:rPr>
        <w:instrText xml:space="preserve"> \* MERGEFORMAT </w:instrText>
      </w:r>
      <w:r w:rsidR="00A9765F" w:rsidRPr="00A9765F">
        <w:rPr>
          <w:rFonts w:ascii="Times New Roman" w:eastAsia="Times New Roman" w:hAnsi="Times New Roman"/>
          <w:i/>
          <w:sz w:val="24"/>
        </w:rPr>
      </w:r>
      <w:r w:rsidR="00A9765F" w:rsidRPr="00A9765F">
        <w:rPr>
          <w:rFonts w:ascii="Times New Roman" w:eastAsia="Times New Roman" w:hAnsi="Times New Roman"/>
          <w:i/>
          <w:sz w:val="24"/>
        </w:rPr>
        <w:fldChar w:fldCharType="separate"/>
      </w:r>
      <w:r w:rsidR="007506E4">
        <w:rPr>
          <w:rFonts w:ascii="Times New Roman" w:eastAsia="Times New Roman" w:hAnsi="Times New Roman"/>
          <w:i/>
          <w:sz w:val="24"/>
        </w:rPr>
        <w:t>12</w:t>
      </w:r>
      <w:r w:rsidR="00A9765F" w:rsidRPr="00A9765F">
        <w:rPr>
          <w:rFonts w:ascii="Times New Roman" w:eastAsia="Times New Roman" w:hAnsi="Times New Roman"/>
          <w:i/>
          <w:sz w:val="24"/>
        </w:rPr>
        <w:fldChar w:fldCharType="end"/>
      </w:r>
      <w:r>
        <w:rPr>
          <w:rFonts w:ascii="Times New Roman" w:hAnsi="Times New Roman"/>
          <w:i/>
          <w:sz w:val="24"/>
        </w:rPr>
        <w:t>. jautājumu nav jāatbild.</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Attiecībā uz </w:t>
      </w:r>
      <w:r>
        <w:rPr>
          <w:rFonts w:ascii="Times New Roman" w:hAnsi="Times New Roman"/>
          <w:i/>
          <w:iCs/>
          <w:sz w:val="24"/>
        </w:rPr>
        <w:t>ex ante</w:t>
      </w:r>
      <w:r>
        <w:rPr>
          <w:rFonts w:ascii="Times New Roman" w:hAnsi="Times New Roman"/>
          <w:sz w:val="24"/>
        </w:rPr>
        <w:t xml:space="preserve"> atbalsta pamatshēmām aplieciniet, ka dalībvalsts pildīs Pamatnostādņu 345. punktā noteikto ziņošanas pienākumu.</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nē</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Apstipriniet, ka atbalstu piešķir attiecībā uz tādām dzīvnieku slimībām un/vai tādu invazīvu svešzemju sugu invāziju, attiecībā uz kurām pastāv Savienības vai valsts noteikumi neatkarīgi no tā, vai tie noteikti normatīvajos vai administratīvajos aktos.</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nē</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relevantos Savienības vai valsts noteikumus.</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slimību (slimības) un/vai invāziju (invāzijas), uz ko pasākums ir vērsts, un sniedziet detalizētu aprakstu par slimības vai invāzijas cēloņiem un izplatību.</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atbalstu piešķir kā daļu no:</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Savienības, nacionāla vai reģionāla līmeņa publiskas programmas, kas domāta dzīvnieku slimību profilaksei, kontrolei vai izskaušanai;</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ārkārtas pasākumiem, ko noteikusi valsts kompetentā iestāde;</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invazīvas svešzemju sugas izskaušanai vai ierobežošanai domātiem pasākumiem, kurus īsteno saskaņā ar Regulu (ES) Nr.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Norādiet relevanto programmu vai pasākumu saskaņā ar atbildē uz jautājumu atzīmēto lodziņu.</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attiecīgajā programmā vai pasākumā ir sniegts attiecīgo profilakses, kontroles un izskaušanas pasākumu apraksts.</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nē</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Norādiet attiecīgos programmas un pasākuma noteikumus.</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atbalsts neattiecas uz pasākumiem, attiecībā uz kuriem Savienības tiesību aktos paredzēts, ka šādu pasākumu izmaksas jāsedz labuma guvējam uzņēmumam, ja vien šādu atbalsta pasākumu izmaksas pilnībā nekompensē labuma guvēju uzņēmumu veikti obligātie maksājumi.</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nē</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atbalsts ir jāizmaksā tieši:</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 xml:space="preserve">a) attiecīgajam uzņēmumam;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 ražotāju grupai vai organizācijai, kuras biedrs ir minētais uzņēmums.</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atbalstu izmaksā ražotāju grupai vai organizācijai, apstipriniet, ka atbalsta summa nedrīkst pārsniegt summu, kādu ir tiesības saņemt attiecīgajam uzņēmumam.</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pasākums noteic, ka individuālu atbalstu nepiešķir, ja tiek konstatēts, ka dzīvnieku slimība vai invazīvas svešzemju sugas invāzija ir izraisīta tīši vai radusies labuma guvēja uzņēmuma nolaidības dēļ.</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Norādiet attiecīgo kategoriju, attiecībā uz kuru var piešķirt atbalstu:</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 Eiropas Parlamenta un Padomes Regulas (ES) 2016/429</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5. panta 1. punktā minētās ūdensdzīvnieku slimības vai Pasaules dzīvnieku veselības organizācijas Ūdensdzīvnieku veselības kodeksā minētās dzīvnieku slimības</w:t>
      </w:r>
      <w:r w:rsidR="00C90688">
        <w:rPr>
          <w:rStyle w:val="FootnoteReference"/>
          <w:rFonts w:ascii="Times New Roman" w:eastAsia="Times New Roman" w:hAnsi="Times New Roman"/>
          <w:bCs/>
          <w:sz w:val="24"/>
          <w:szCs w:val="24"/>
          <w:lang w:eastAsia="en-GB"/>
        </w:rPr>
        <w:footnoteReference w:id="3"/>
      </w:r>
      <w:r>
        <w:rPr>
          <w:rFonts w:ascii="Times New Roman" w:hAnsi="Times New Roman"/>
          <w:sz w:val="24"/>
        </w:rPr>
        <w:t>;</w:t>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 ūdensdzīvnieku zoonozes, kas uzskaitītas Eiropas Parlamenta un Padomes Regulas (ES) 2021/690</w:t>
      </w:r>
      <w:r w:rsidR="00C90688">
        <w:rPr>
          <w:rStyle w:val="FootnoteReference"/>
          <w:rFonts w:ascii="Times New Roman" w:eastAsia="Times New Roman" w:hAnsi="Times New Roman"/>
          <w:bCs/>
          <w:sz w:val="24"/>
          <w:szCs w:val="24"/>
          <w:lang w:eastAsia="en-GB"/>
        </w:rPr>
        <w:footnoteReference w:id="4"/>
      </w:r>
      <w:r>
        <w:rPr>
          <w:rFonts w:ascii="Times New Roman" w:hAnsi="Times New Roman"/>
          <w:sz w:val="24"/>
        </w:rPr>
        <w:t xml:space="preserve"> III pielikuma 2. punktā;</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c) jaunradušās slimības, kas atbilst Regulas (ES) 2016/429 6. panta 2. punktā noteiktajiem nosacījumiem;</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 citas sarakstos neiekļautas slimības, uz kurām attiecas Regulas (ES) 2016/429 9. panta 1. punkta d) apakšpunkts un kuras atbilst minētās regulas 226. pantā noteiktajiem kritērijiem.</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Norādiet relevanto slimības/zoonozes kategoriju.</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Paskaidrojiet, kad dzīvnieku slimība vai invāzija notikusi, un attiecīgā gadījumā norādiet tās sākuma un beigu datumu.</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Ja pasākumam ir profilaktiski mērķi, uz šo jautājumu nav jāatbild.</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Apstipriniet, ka atbalsta shēma ir ieviesta trīs gadu laikā pēc dzīvnieku slimības vai invazīvās svešzemju sugas invāzijas radīto izmaksu vai kaitējuma rašanās dienas.</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nē</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Ņemiet vērā, ka šo nosacījumu nepiemēro izmaksām, kas radušās profilaktiskos nolūkos, kā norādīts Pamatnostādņu 188. punktā.</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Ja atbilde ir “jā”, norādiet relevanto juridiskā pamata noteikumu (noteikumus).</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Apstipriniet, ka pasākums noteic, ka atbalsts jāizmaksā četru gadu laikā pēc dzīvnieku slimības vai invazīvās svešzemju sugas invāzijas radīto izmaksu vai kaitējuma rašanās dienas.</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nē</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Ņemiet vērā, ka šo nosacījumu nepiemēro izmaksām, kas radušās profilaktiskos nolūkos, kā norādīts Pamatnostādņu 188. punktā.</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Iesniedziet pēc iespējas precīzāku novērtējumu par to, kāda veida un apmēra kaitējums uzņēmumiem nodarīts vai – </w:t>
      </w:r>
      <w:r>
        <w:rPr>
          <w:rFonts w:ascii="Times New Roman" w:hAnsi="Times New Roman"/>
          <w:i/>
          <w:sz w:val="24"/>
        </w:rPr>
        <w:t>ex ante</w:t>
      </w:r>
      <w:r>
        <w:rPr>
          <w:rFonts w:ascii="Times New Roman" w:hAnsi="Times New Roman"/>
          <w:sz w:val="24"/>
        </w:rPr>
        <w:t xml:space="preserve"> pamatshēmu gadījumā – varētu tikt nodarīts.</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Norādiet attiecināmās izmaksas, ko sedz pasākums:</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veselības pārbaudes, analīzes, testi un citi skrīninga pasākumi;</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biodrošības pasākumu uzlabošana;</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c) dzīvnieku vakcīnu, zāļu un ārstniecības vielu iegāde, uzglabāšana, ievadīšana un izplatīšana;</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d) invazīvas svešzemju sugas invāziju apturēšanai paredzētu aizsarglīdzekļu vai aizsargaprīkojuma iegāde, uzglabāšana, izmantošana un izplatīšana;</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e) dzīvnieku nokaušana, izbrāķēšana un iznīcināšana;</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f) dzīvnieku izcelsmes produktu un ar dzīvniekiem saistītu produktu iznīcināšana;</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g) saimniecības un aprīkojuma tīrīšana un dezinfekcija;</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h) dzīvnieku nokaušanas, izbrāķēšanas vai iznīcināšanas, dzīvnieku izcelsmes produktu un ar dzīvniekiem saistītu produktu iznīcināšanas nodarītais kaitējums;</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i) citas izmaksas, kuras radušās akvakultūras dzīvnieku slimību vai invazīvas svešzemju sugas invāziju dēļ. Precizējiet: ………………………………………………………</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Norādiet juridiskā pamata noteikumu (noteikumus), kas atspoguļo attiecināmās izmaksas.</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126490">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Apstipriniet, ka atbalsts veselības pārbaudēm, analīzēm, testiem un citiem skrīninga pasākumiem tiek piešķirts natūrā un izmaksāts pakalpojumu sniedzējiem.</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nē</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Ja atbilde ir “nē”, apstipriniet, ka pasākums noteic, ka pašiem labuma guvējiem uzņēmumiem jau ir šiem mērķiem piemērotas iespējas.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nē</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uz 16.1. jautājumu ir “jā”, norādiet relevanto juridiskā pamata noteikumu (noteikumus).</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Ja attiecināmās izmaksas ietver Pamatnostādņu 188. punkta h) apakšpunktā minēto atbalstu, kas domāts dzīvnieku slimību vai invazīvu svešzemju sugu invāzijas nodarīta kaitējuma atlīdzināšanai, kompensācija jāaprēķina tikai attiecībā uz:</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tirgus vērtību dzīvniekiem, kas nokauti vai izbrāķēti, vai miruši, vai ar tiem saistītiem produktiem, kas iznīcināti:</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 xml:space="preserve">dzīvnieku slimības vai invazīvas svešzemju sugas invāzijas dēļ,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Pamatnostādņu 180. punkta b) apakšpunktā minētās publiskās programmas vai pasākuma satvarā;</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karantīnas noteikumu ievērošanas un krājumu atjaunošanas grūtību rezultātā zaudētajiem ienākumiem.</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relevanto juridiskā pamata noteikumu (noteikumus). .………………………………………………………………………………….</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atbildē uz </w:t>
      </w:r>
      <w:r w:rsidR="00664AB9">
        <w:rPr>
          <w:rFonts w:ascii="Times New Roman" w:eastAsia="Times New Roman" w:hAnsi="Times New Roman"/>
          <w:sz w:val="24"/>
        </w:rPr>
        <w:fldChar w:fldCharType="begin"/>
      </w:r>
      <w:r w:rsidR="00664AB9">
        <w:rPr>
          <w:rFonts w:ascii="Times New Roman" w:eastAsia="Times New Roman" w:hAnsi="Times New Roman"/>
          <w:sz w:val="24"/>
        </w:rPr>
        <w:instrText xml:space="preserve"> REF _Ref127267544 \r \h </w:instrText>
      </w:r>
      <w:r w:rsidR="00664AB9">
        <w:rPr>
          <w:rFonts w:ascii="Times New Roman" w:eastAsia="Times New Roman" w:hAnsi="Times New Roman"/>
          <w:sz w:val="24"/>
        </w:rPr>
      </w:r>
      <w:r w:rsidR="00664AB9">
        <w:rPr>
          <w:rFonts w:ascii="Times New Roman" w:eastAsia="Times New Roman" w:hAnsi="Times New Roman"/>
          <w:sz w:val="24"/>
        </w:rPr>
        <w:fldChar w:fldCharType="separate"/>
      </w:r>
      <w:r w:rsidR="00664AB9">
        <w:rPr>
          <w:rFonts w:ascii="Times New Roman" w:eastAsia="Times New Roman" w:hAnsi="Times New Roman"/>
          <w:sz w:val="24"/>
        </w:rPr>
        <w:t>17</w:t>
      </w:r>
      <w:r w:rsidR="00664AB9">
        <w:rPr>
          <w:rFonts w:ascii="Times New Roman" w:eastAsia="Times New Roman" w:hAnsi="Times New Roman"/>
          <w:sz w:val="24"/>
        </w:rPr>
        <w:fldChar w:fldCharType="end"/>
      </w:r>
      <w:r>
        <w:rPr>
          <w:rFonts w:ascii="Times New Roman" w:hAnsi="Times New Roman"/>
          <w:sz w:val="24"/>
        </w:rPr>
        <w:t>. jautājumu atzīmējāt a) variantu, apstipriniet, ka pasākums noteic, ka tirgus vērtība jānosaka, pamatojoties uz dzīvnieku vērtību tieši pirms tam, kad radās vai tika apstiprinātas aizdomas par dzīvnieku slimību vai invazīvas svešzemju sugas invāziju, un tā, it kā slimība vai invāzija tos nebūtu skārusi.</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nē</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Apstipriniet, ka kompensācijas summa jāsamazina, no tās atskaitot visas izmaksas, kuras nav radušās tiešā sakarā ar dzīvnieku slimību vai invazīvas svešzemju sugas invāziju un kuras labuma guvējam uzņēmumam būtu radušās arī citā gadījumā.</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126490">
        <w:rPr>
          <w:rFonts w:ascii="Times New Roman" w:eastAsia="Times New Roman" w:hAnsi="Times New Roman"/>
          <w:b/>
          <w:sz w:val="24"/>
        </w:rPr>
      </w:r>
      <w:r w:rsidR="00126490">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nē</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relevantās izmaksas.</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Ja atbilde ir “jā”, norādiet relevanto juridiskā pamata noteikumu (noteikumus).</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Apstipriniet, ka kompensācijas summa jāsamazina, no tās atskaitot visus ieņēmumus, kuri gūti no tādu produktu pārdošanas, kas saistīti ar profilakses vai izskaušanas nolūkos nokautiem, izbrāķētiem vai iznīcinātiem dzīvniekiem.</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nē</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Ja paziņotāja dalībvalsts atbildē uz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sidR="00664AB9">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jautājumu ir atzīmējusi i) variantu, sniedziet detalizētu pamatojumu, kāpēc šīs citas izmaksas būtu uzskatāmas par attiecināmām.</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atbalsts un visi citi maksājumi, tajā skaitā maksājumi saskaņā ar citiem valsts vai Savienības pasākumiem vai apdrošināšanas polisēm vai no kopfondiem, kurus labuma guvējs uzņēmums saņēmis par tām pašām attiecināmajām izmaksām, nedrīkst pārsniegt 100 % no attiecināmajām izmaksām.</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126490">
        <w:rPr>
          <w:rFonts w:ascii="Times New Roman" w:eastAsia="Times New Roman" w:hAnsi="Times New Roman"/>
          <w:sz w:val="24"/>
        </w:rPr>
      </w:r>
      <w:r w:rsidR="00126490">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nē</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Norādiet juridiskā pamata noteikumu (noteikumus), kas nosaka</w:t>
      </w:r>
      <w:bookmarkEnd w:id="13"/>
      <w:r>
        <w:rPr>
          <w:rFonts w:ascii="Times New Roman" w:hAnsi="Times New Roman"/>
          <w:sz w:val="24"/>
        </w:rPr>
        <w:t xml:space="preserve"> 100 % limitu un maksimālo atbalsta intensitāti, kas piemērojama saskaņā ar šo pasākumu.</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OV C 107, 23.3.2023., 1. lpp.</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ab/>
        <w:t>Eiropas Parlamenta un Padomes Regula (ES) 2016/429 (2016. gada 9. marts) par pārnēsājamām dzīvnieku slimībām un ar ko groza un atceļ konkrētus aktus dzīvnieku veselības jomā (Dzīvnieku veselības tiesību akts) (OV L 84, 31.3.2016., 1. lpp.).</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ab/>
        <w:t>Sk.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ab/>
        <w:t>Eiropas Parlamenta un Padomes Regula (ES) 2021/690 (2021. gada 28. aprīlis), ar ko izveido iekšējā tirgus, uzņēmumu, tostarp mazo un vidējo uzņēmumu, konkurētspējas, augu, dzīvnieku, pārtikas aprites un dzīvnieku barības jomas un Eiropas statistikas programmu (vienotā tirgus programma) un atceļ Regulas (ES) Nr. 99/2013, (ES) Nr. 1287/2013, (ES) Nr. 254/2014 un (ES) Nr. 652/2014 (OV L 153, 3.5.2021.,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26490"/>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762</TotalTime>
  <Pages>6</Pages>
  <Words>1415</Words>
  <Characters>9806</Characters>
  <Application>Microsoft Office Word</Application>
  <DocSecurity>0</DocSecurity>
  <Lines>265</Lines>
  <Paragraphs>133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BLUSANOVICA Ilze (DGT)</cp:lastModifiedBy>
  <cp:revision>101</cp:revision>
  <dcterms:created xsi:type="dcterms:W3CDTF">2023-01-18T09:25:00Z</dcterms:created>
  <dcterms:modified xsi:type="dcterms:W3CDTF">2024-07-26T07:38:00Z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