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pentru încetarea definitivă a activităților de pescuit</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de stat acordate pentru încetarea definitivă a activităților de pescuit, astfel cum sunt descrise în partea II capitolul 3 secțiunea 3.4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navele de pescuit ale Uniunii pentru care se acordă ajutor nu vor fi transferate în afara Uniunii și nu li se va schimba pavilionul cu pavilionul unui stat din afara Uniunii timp de cel puțin cinci ani de la plata finală a ajutorului.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În cazul în care măsura implică numai dezmembrarea navelor de pescuit, această întrebare nu se aplică.</w:t>
      </w:r>
    </w:p>
    <w:p w14:paraId="36312EFD" w14:textId="77777777" w:rsidR="00114BDD" w:rsidRPr="005E6DB0"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încetarea activităților este prevăzută ca un instrument al planului de acțiune menționat la articolul 22 alineatul (4) din Regulamentul (UE) nr.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În cazul în care măsura urmărește considerente de natură economică sau alte considerente legate de conservarea resurselor biologice marine în conformitate cu punctul (277) din orientări, această întrebare nu se aplică. De asemenea, în cazul în care măsura se referă la pescuitul în apele interioare, această întrebare nu se aplică.</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încetarea definitivă a activităților de pescuit se va realiza prin:</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dezmembrarea navei de pescuit;</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dezafectarea și modernizarea navelor de pescuit pentru alte activități decât pescuitul comercial;</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ambele, adică încetarea definitivă a activităților de pescuit se va realiza atât prin dezmembrarea, cât și prin dezafectarea și modernizarea navei de pescuit.</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identificați dispoziția (dispozițiile) din temeiul juridic care reflectă selecția dumneavoastră.</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navele de pescuit trebuie să fie înregistrate ca nave active și să fi desfășurat activități de pescuit timp de cel puțin 90 de zile pe an în cursul ultimilor doi ani calendaristici anteriori datei la care este depusă cererea de ajutor.</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În cazul în care, din cauza naturii sale, activitatea de pescuit nu poate fi desfășurată pe parcursul întregului an calendaristic, cerința minimă a activității de pescuit prevăzută la punctul (275) litera (c) din orientări poate fi redusă, cu condiția ca raportul dintre numărul de zile de activitate și numărul de zile de pescuit să fie același cu raportul dintre numărul de zile de activitate și numărul de zile calendaristice pe an pentru întreprinderile beneficiare care pescuiesc pe tot parcursul anului.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Într-un astfel de caz, vă rugăm să descrieți în detaliu natura activității de pescuit vizate de măsură, să explicați modul în care a fost calculată cerința minimă privind activitatea de pescuit și să identificați dispoziția (dispozițiile) relevantă (relevante) din temeiul juridic.</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În cazul în care măsura se referă la pescuitul în apele interioare, iar navele de pescuit fac capturi din mai multe specii pentru care este permis un număr diferit de zile de pescuit în apele interioare, numărul de zile de pescuit utilizat pentru a calcula raportul stabilit la punctul (276) din orientări este media numărului de zile de pescuit permise pentru capturile navei respective. Vă atragem atenția asupra faptului că, totuși, numărul minim de zile de activități de pescuit care rezultă dintr-o astfel de ajustare nu trebuie în niciun caz să fie mai mic de 30 de zile sau mai mare de 90 de zile.</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Într-un astfel de caz, vă rugăm să descrieți în detaliu cadrul juridic și/sau administrativ aplicabil pescuitului în apele interioare în cauză, să explicați modul în care a fost calculată cerința minimă privind activitatea de pescuit și să identificați dispoziția (dispozițiile) relevantă (relevante) din temeiul juridic.</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o capacitate de pescuit echivalentă va fi eliminată definitiv din registrul flotei de pescuit al Uniunii și că această capacitate nu va fi înlocuită.</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măsura se referă la pescuitul în apele interioare, vă rugăm să confirmați că această condiție se aplică prin trimitere la registrul național al flotei relevant, dacă este disponibil în temeiul legislației naționale, nu la registrul flotei de pescuit al Uniunii.</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5 sau 5.1 este „da”, vă rugăm să identificați dispoziția (dispozițiile) relevantă (relevante) din temeiul juridic.</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respectivele licențe de pescuit și autorizațiile de pescuit vor fi retrase definitiv.</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întreprinderile beneficiare nu înregistrează nicio navă de pescuit în următorii cinci ani de la data primirii ajutorului.</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măsura se referă la pescuitul în apele interioare, vă rugăm să confirmați că această condiție se aplică prin trimitere la registrul național al flotei relevant, dacă este disponibil în temeiul legislației naționale, nu la registrul flotei de pescuit al Uniunii.</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7 sau 7.1 este „da”, vă rugăm să identificați dispoziția (dispozițiile) relevantă (relevante) din temeiul juridic.</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măsura urmărește considerente de natură economică sau alte considerente legate de conservarea resurselor biologice marine, în conformitate cu punctul (277) din orientări, sau în cazul în care măsura se referă la pescuitul în apele interioare, în conformitate cu punctul (280) din orientări, vă rugăm să abordați următoarele chestiuni:</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Vă rugăm să explicați în detaliu circumstanțele care justifică încetarea definitivă</w:t>
      </w:r>
      <w:bookmarkEnd w:id="2"/>
      <w:r>
        <w:rPr>
          <w:rFonts w:ascii="Times New Roman" w:hAnsi="Times New Roman"/>
          <w:sz w:val="24"/>
        </w:rPr>
        <w:t>, prezentând, de exemplu, considerentele economice sau de mediu urmărite.</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Vă rugăm să identificați obiectivul măsurii:</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măsuri de conservare susținute de dovezi științifice;</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considerente de natură economică.</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În cazul măsurilor de conservare, vă rugăm să furnizați un rezumat al dovezilor științifice care susțin măsura.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considerentelor de natură economică, vă rugăm să explicați în detaliu justificarea economică a încetării definitive (cu excepția cazului în care aceasta este deja descrisă ca răspuns la întrebarea </w:t>
      </w:r>
      <w:r>
        <w:rPr>
          <w:rFonts w:ascii="Times New Roman" w:eastAsia="Times New Roman" w:hAnsi="Times New Roman"/>
          <w:sz w:val="24"/>
        </w:rPr>
        <w:fldChar w:fldCharType="begin"/>
      </w:r>
      <w:r>
        <w:rPr>
          <w:rFonts w:ascii="Times New Roman" w:eastAsia="Times New Roman" w:hAnsi="Times New Roman"/>
          <w:sz w:val="24"/>
        </w:rPr>
        <w:instrText xml:space="preserve"> REF _Ref125107693 \r \h  \* MERGEFORMAT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8.1</w:t>
      </w:r>
      <w:r>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În ceea ce privește pescuitul în apele interioare, vă rugăm să confirmați că ajutoarele acordate în cadrul măsurii se pot acorda numai întreprinderilor beneficiare care își desfășoară activitatea exclusiv în apele interioare.</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Vă rugăm să confirmați că măsura prevede că întreprinderile beneficiare se angajează să nu își mărească capacitatea de pescuit activă din momentul depunerii cererii de ajutor până la încheierea unei perioade de cinci ani de la plata ajutorului.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confirmați că măsura prevede că întreprinderile beneficiare se angajează, de asemenea, să nu utilizeze ajutorul pentru a-și înlocui sau moderniza motoarele, cu excepția cazului în care sunt îndeplinite condițiile prevăzute la articolul 18 din Regulamentul (UE) 2021/1139</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În cazul în care, cu un an înainte de notificare, statul membru care a transmis notificarea a acordat un ajutor sau a pus în aplicare operațiuni în cadrul Fondului european pentru pescuit și afaceri maritime (FEPAM) sau al Fondului european pentru afaceri maritime, pescuit și acvacultură (FEAMPA) care au dus la o mărire a capacității de pescuit într-un bazin maritim sau în cazul în care a inclus astfel de operațiuni în programul național FEAMPA, vă rugăm să explicați în detaliu în ce măsură ajutorul pentru încetarea definitivă a activităților de pescuit în același bazin maritim este compatibil cu o astfel de mărire a capacității de pescuit și să demonstrați că ajutorul este justificat și indispensabil.</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În cazul în care măsura se referă la pescuitul în apele interioare, această întrebare nu se aplică.</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beneficiarii ajutoarelor:</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armatorii navelor de pescuit ale Uniunii vizate de încetarea definitivă a activităților de pescuit;</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pescarii care au lucrat la bordul unei nave de pescuit a Uniunii vizate de încetarea definitivă a activităților de pescuit timp de cel puțin 90 de zile pe an în cursul ultimilor doi ani calendaristici anteriori anului în care este depusă cererea de ajutor;</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ambele, și anume categoriile de beneficiari includ atât cele prevăzute la litera (a), cât și cele prevăzute la litera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identificați dispoziția (dispozițiile) din temeiul juridic care reflectă selecția dumneavoastră.</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explicați modul în care a fost calculat numărul minim de 90 de zile stabilit mai sus pentru pescari, în cazul în care s-au aplicat eventuale ajustări navelor de pescuit respective, ținând seama de punctele (283), (276) și (281) din orientări.</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pescarii își încetează toate activitățile de pescuit timp de cinci ani de la primirea ajutorului și că – dacă un pescar își reia activitățile de pescuit înainte de expirarea respectivei perioade – cuantumurile plătite </w:t>
      </w:r>
      <w:r>
        <w:rPr>
          <w:rFonts w:ascii="Times New Roman" w:hAnsi="Times New Roman"/>
          <w:sz w:val="24"/>
        </w:rPr>
        <w:lastRenderedPageBreak/>
        <w:t>în mod necuvenit în legătură cu ajutorul respectiv vor fi recuperate proporțional cu perioada pentru care nu a fost îndeplinită cerința respectivă.</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descrieți în detaliu mecanismele de control și de asigurare a respectării legii instituite pentru a asigura respectarea condițiilor care țin de încetarea definitivă a activității de pescuit, inclusiv pentru a asigura retragerea permanentă a capacității și încetarea de către navă sau de către pescari a oricărei activități de pescuit în urma măsurii. Vă atragem atenția asupra faptului că, dacă nu există un registru național al flotei aplicabil apelor interioare, statele membre trebuie, de asemenea, să demonstreze că astfel de mecanisme de control și de asigurare a respectării legii asigură o gestionare a capacității comparabilă cu cea aplicabilă pescuitului maritim.</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obligativitatea calculării costurilor eligibile la nivelul fiecărui beneficiar.</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costurile eligibile:</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în cazul dezmembrării navelor de pescuit:</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costurile de dezmembrare a navelor de pescuit;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compensarea pierderilor de valoare ale navelor de pescuit dezmembrate, pierderi măsurate ca valoare de vânzare curentă;</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în cazul dezafectării și al modernizării pentru alte activități decât pescuitul comercial: costurile cu investițiile legate de transformarea navei de pescuit în scopul desfășurării altor activități economice;</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costurile legate de pescari, care pot include, de asemenea, costurile sociale obligatorii care rezultă din punerea în aplicare a încetării definitive, în măsura în care acestea nu sunt acoperite de alte dispoziții naționale în cazul încetării unei activități comerciale.</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Vă rugăm să identificați dispoziția (dispozițiile) din temeiul juridic care reflectă selecția dumneavoastră.</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lastRenderedPageBreak/>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descrieți în detaliu costurile eligibile.</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Vă rugăm să confirmați că din costurile eligibile trebuie să se scadă costurile care nu sunt suportate ca urmare a încetării definitive a activităților de pescuit și care, altfel, ar fi fost suportate de către întreprinderea beneficiară.</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E6DB0">
        <w:rPr>
          <w:rFonts w:ascii="Times New Roman" w:eastAsia="Times New Roman" w:hAnsi="Times New Roman"/>
          <w:sz w:val="24"/>
        </w:rPr>
      </w:r>
      <w:r w:rsidR="005E6DB0">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5E6DB0">
        <w:rPr>
          <w:rFonts w:ascii="Times New Roman" w:eastAsia="Times New Roman" w:hAnsi="Times New Roman"/>
          <w:sz w:val="24"/>
        </w:rPr>
      </w:r>
      <w:r w:rsidR="005E6DB0">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Vă rugăm să confirmați faptul că măsura prevede că intensitatea maximă a ajutorului nu depășește 100 % din costurile eligibile.</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5E6DB0">
        <w:rPr>
          <w:rFonts w:ascii="Times New Roman" w:eastAsia="Times New Roman" w:hAnsi="Times New Roman"/>
          <w:b/>
          <w:sz w:val="24"/>
        </w:rPr>
      </w:r>
      <w:r w:rsidR="005E6DB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atragem atenția asupra faptului că Comisia poate accepta alte metode de calcul, cu condiția să se </w:t>
      </w:r>
      <w:r>
        <w:rPr>
          <w:rFonts w:ascii="Times New Roman" w:hAnsi="Times New Roman"/>
          <w:color w:val="040004"/>
          <w:sz w:val="24"/>
        </w:rPr>
        <w:t xml:space="preserve">asigure </w:t>
      </w:r>
      <w:r>
        <w:rPr>
          <w:rFonts w:ascii="Times New Roman" w:hAnsi="Times New Roman"/>
          <w:sz w:val="24"/>
        </w:rPr>
        <w:t xml:space="preserve">că acestea se bazează pe criterii obiective și nu duc la acordarea unei supracompensații unei întreprinderi beneficiare.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În cazul în care statul membru care a transmis notificarea intenționează să propună o altă metodă de calcul, vă rugăm să precizați motivele pentru care metoda prevăzută în orientări nu este potrivită în cazul respectiv și să explicați modul în care metoda de calcul alternativă răspunde mai bine nevoilor identificate.</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lastRenderedPageBreak/>
        <w:t xml:space="preserve">Vă rugăm să prezentați, ca anexă la notificare, metodologia alternativă propusă, împreună cu o demonstrație că aceasta se bazează pe criterii obiective și nu duce la acordarea de supracompensații unui beneficiar.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JO C 107, 23.3.2023, p. 1.</w:t>
      </w:r>
    </w:p>
  </w:footnote>
  <w:footnote w:id="2">
    <w:p w14:paraId="502011EF" w14:textId="71FB8B5A"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w:t>
      </w:r>
      <w:r>
        <w:rPr>
          <w:rFonts w:ascii="Times New Roman" w:hAnsi="Times New Roman"/>
          <w:color w:val="000000" w:themeColor="text1"/>
        </w:rPr>
        <w:t>Regulamentul (UE) 2021/1139 al Parlamentului European și al Consiliului din 7 iulie 2021 de instituire a Fondului european pentru afaceri maritime, pescuit și acvacultură și de modificare a Regulamentului (UE) 2017/1004 (JO L 247, 13.7.2021, p. 1).</w:t>
      </w:r>
      <w:r w:rsidR="005E6DB0">
        <w:rPr>
          <w:rFonts w:ascii="Times New Roman" w:hAnsi="Times New Roman"/>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5E6DB0"/>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8</Pages>
  <Words>2242</Words>
  <Characters>13430</Characters>
  <Application>Microsoft Office Word</Application>
  <DocSecurity>0</DocSecurity>
  <Lines>335</Lines>
  <Paragraphs>141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66</cp:revision>
  <dcterms:created xsi:type="dcterms:W3CDTF">2023-01-05T14:31:00Z</dcterms:created>
  <dcterms:modified xsi:type="dcterms:W3CDTF">2024-06-18T14:54:00Z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