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2.2.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Kiegészítő adatlap</w:t>
      </w:r>
      <w:r>
        <w:rPr>
          <w:rFonts w:ascii="Times New Roman" w:hAnsi="Times New Roman"/>
          <w:b/>
          <w:smallCaps/>
          <w:sz w:val="24"/>
        </w:rPr>
        <w:br/>
        <w:t xml:space="preserve">a legkülső </w:t>
      </w:r>
      <w:proofErr w:type="spellStart"/>
      <w:r>
        <w:rPr>
          <w:rFonts w:ascii="Times New Roman" w:hAnsi="Times New Roman"/>
          <w:b/>
          <w:smallCaps/>
          <w:sz w:val="24"/>
        </w:rPr>
        <w:t>régiókbeli</w:t>
      </w:r>
      <w:proofErr w:type="spellEnd"/>
      <w:r>
        <w:rPr>
          <w:rFonts w:ascii="Times New Roman" w:hAnsi="Times New Roman"/>
          <w:b/>
          <w:smallCaps/>
          <w:sz w:val="24"/>
        </w:rPr>
        <w:t xml:space="preserve"> halászflották megújítására nyújtott támogatásról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A tagállamoknak ezt a formanyomtatványt kell használniuk a halászati és </w:t>
      </w:r>
      <w:proofErr w:type="spellStart"/>
      <w:r>
        <w:rPr>
          <w:rFonts w:ascii="Times New Roman" w:hAnsi="Times New Roman"/>
          <w:i/>
          <w:sz w:val="24"/>
        </w:rPr>
        <w:t>akvakultúra</w:t>
      </w:r>
      <w:proofErr w:type="spellEnd"/>
      <w:r>
        <w:rPr>
          <w:rFonts w:ascii="Times New Roman" w:hAnsi="Times New Roman"/>
          <w:i/>
          <w:sz w:val="24"/>
        </w:rPr>
        <w:t>-ágazat számára nyújtott állami támogatásokról szóló iránymutatás</w:t>
      </w:r>
      <w:r w:rsidR="00504ACF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(a továbbiakban: iránymutatás) II. része 2. fejezetének 2.2. szakaszában leírt, a legkülső </w:t>
      </w:r>
      <w:proofErr w:type="spellStart"/>
      <w:r>
        <w:rPr>
          <w:rFonts w:ascii="Times New Roman" w:hAnsi="Times New Roman"/>
          <w:i/>
          <w:sz w:val="24"/>
        </w:rPr>
        <w:t>régiókbeli</w:t>
      </w:r>
      <w:proofErr w:type="spellEnd"/>
      <w:r>
        <w:rPr>
          <w:rFonts w:ascii="Times New Roman" w:hAnsi="Times New Roman"/>
          <w:i/>
          <w:sz w:val="24"/>
        </w:rPr>
        <w:t xml:space="preserve"> halászflották megújítására nyújtott támogatások bejelentéséhez.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 xml:space="preserve">Kérjük, nevezze meg az intézkedés által érintett, </w:t>
      </w:r>
      <w:r>
        <w:rPr>
          <w:sz w:val="23"/>
        </w:rPr>
        <w:t>az EUMSZ 349. cikkében említett</w:t>
      </w:r>
      <w:r>
        <w:t xml:space="preserve"> legkülső régió(</w:t>
      </w:r>
      <w:proofErr w:type="spellStart"/>
      <w:r>
        <w:t>ka</w:t>
      </w:r>
      <w:proofErr w:type="spellEnd"/>
      <w:r>
        <w:t>)t.</w:t>
      </w:r>
    </w:p>
    <w:p w14:paraId="28E14E59" w14:textId="2BBB07BE" w:rsidR="00A52AE4" w:rsidRPr="001E103F" w:rsidRDefault="00A52AE4" w:rsidP="000D36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intézkedés előírja, hogy az új halászhajónak meg kell felelnie a halászhajók fedélzetén végzett munkához szükséges higiéniai, egészségügyi, biztonsági és munkakörülményekre, valamint a halászhajók jellemzőire vonatkozó uniós és nemzeti szabályoknak.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4A362DF2" w14:textId="758D29D9" w:rsidR="00E934EF" w:rsidRDefault="00E934EF" w:rsidP="006177B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intézkedés előírja, hogy a támogatás igénylésének időpontjában a kedvezményezett vállalkozás elsődleges lajstromozási helyének abban a legkülső régióban kell lennie, ahol az új hajót felveszik a hajólajstromba.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Ha a válasz „igen”, kérjük, </w:t>
      </w:r>
      <w:r>
        <w:rPr>
          <w:rFonts w:ascii="Times New Roman" w:hAnsi="Times New Roman"/>
          <w:color w:val="000000"/>
          <w:sz w:val="24"/>
        </w:rPr>
        <w:t>adja meg az elsődleges lajstromozási helyet:</w:t>
      </w:r>
    </w:p>
    <w:p w14:paraId="1B2867AB" w14:textId="2CC93EA0" w:rsidR="00E934EF" w:rsidRDefault="00E934EF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Az iránymutatás (223) pontja értelmében a támogatásnyújtás időpontjában az 1380/2013/EU rendelet</w:t>
      </w:r>
      <w:r w:rsidR="00376F0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22. cikkének (2) és (3) bekezdése szerint, az említett időpont előtt elkészített jelentésnek (a továbbiakban: nemzeti jelentés) bizonyítania kell, hogy a halászati kapacitás és a halászati lehetőségek egyensúlyban vannak a legkülső régió azon flottaszegmensében, amelyhez az új hajó tartozni fog. Mindezek alapján kérjük, válaszoljon a következő kérdésekre: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Mikor készült a legutóbbi nemzeti jelentés a támogatás odaítélésének időpontját megelőzően?</w:t>
      </w:r>
    </w:p>
    <w:p w14:paraId="64815BBF" w14:textId="6B6D4444" w:rsidR="00E51CD7" w:rsidRDefault="00A52AE4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9253679"/>
      <w:r>
        <w:rPr>
          <w:rFonts w:ascii="Times New Roman" w:hAnsi="Times New Roman"/>
          <w:sz w:val="24"/>
        </w:rPr>
        <w:t>Kérjük, adja meg a linket, amelyen a legutóbbi nemzeti jelentés elérhető, vagy csatolja azt a bejelentéshez.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175D3C02" w:rsidR="009A3E77" w:rsidRDefault="00865058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</w:rPr>
        <w:t xml:space="preserve"> </w:t>
      </w:r>
      <w:r w:rsidR="009A3E77">
        <w:rPr>
          <w:rFonts w:ascii="Times New Roman" w:hAnsi="Times New Roman"/>
          <w:sz w:val="24"/>
        </w:rPr>
        <w:t>Az iránymutatás (225) pontja értelmében kérjük, erősítse meg, hogy valamennyi támogatás nyújtásához teljesülnek a következő feltételek:</w:t>
      </w:r>
      <w:r w:rsidR="009A3E77">
        <w:rPr>
          <w:rFonts w:ascii="Times New Roman" w:hAnsi="Times New Roman"/>
          <w:color w:val="000000"/>
          <w:sz w:val="23"/>
        </w:rPr>
        <w:t xml:space="preserve"> </w:t>
      </w:r>
    </w:p>
    <w:p w14:paraId="7C1350B0" w14:textId="77777777" w:rsidR="009A3E77" w:rsidRPr="00865058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N. év május 31-ig benyújtották a nemzeti jelentést</w:t>
      </w:r>
      <w:r w:rsidR="000345FA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N. évben benyújtott nemzeti jelentés és különösen az egyensúly abban szereplő értékelése az 1380/2013/EU rendelet 22. cikkének (2) bekezdésében említett közös iránymutatásban</w:t>
      </w:r>
      <w:r w:rsidR="001A2686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 xml:space="preserve"> meghatározott biológiai, gazdasági és hajóhasználati mutatók alapján készült.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Kérjük, vegye figyelembe, hogy az iránymutatás (224) pontja értelmében nem nyújtható támogatás, ha a nemzeti jelentés és különösen az egyensúly abban szereplő értékelése nem az 1380/2013/EU rendelet 22. cikkének (2) bekezdésében említett közös iránymutatásban meghatározott biológiai, gazdasági és hajóhasználati mutatók alapján készült.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Bizonyítja-e az N. évben benyújtott nemzeti jelentés, hogy a halászati kapacitás és a halászati lehetőségek egyensúlyban vannak azon flottaszegmensben, amelyhez az új hajó tartozni fog?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fejtse ki, hogyan vették figyelembe a nemzeti jelentést az intézkedés kialakításakor, és hogyan érik el az egyensúlyt.</w:t>
      </w:r>
    </w:p>
    <w:p w14:paraId="7BEBB8FB" w14:textId="222F2DAD" w:rsidR="009C1330" w:rsidRDefault="009C1330" w:rsidP="00C8226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Az iránymutatás (226) pontja értelmében kérjük, erősítse meg, hogy a Bizottság az N+1. év március 31-ig nem vonta kétségbe: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sz w:val="24"/>
        </w:rPr>
      </w:r>
      <w:r w:rsidR="00000000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az N. évben benyújtott nemzeti jelentés következtetéseit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sz w:val="24"/>
        </w:rPr>
      </w:r>
      <w:r w:rsidR="00000000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b) az egyensúlynak az N. évben benyújtott nemzeti jelentésben szereplő értékelését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Kérjük, erősítse meg, hogy az intézkedés előírja, hogy az N. évben benyújtott nemzeti jelentés alapján csak az N+1. év – azaz a jelentés benyújtásának évét követő év – december 31-ig nyújtható támogatás.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590473FA" w14:textId="0C49617E" w:rsidR="003F1D62" w:rsidRDefault="00E51CD7" w:rsidP="007056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Kérjük, erősítse meg, hogy az egyes tagállamok és a legkülső </w:t>
      </w:r>
      <w:proofErr w:type="spellStart"/>
      <w:r>
        <w:rPr>
          <w:rFonts w:ascii="Times New Roman" w:hAnsi="Times New Roman"/>
          <w:sz w:val="24"/>
        </w:rPr>
        <w:t>régiókbeli</w:t>
      </w:r>
      <w:proofErr w:type="spellEnd"/>
      <w:r>
        <w:rPr>
          <w:rFonts w:ascii="Times New Roman" w:hAnsi="Times New Roman"/>
          <w:sz w:val="24"/>
        </w:rPr>
        <w:t xml:space="preserve"> egyes flottaszegmensek vonatkozásában semmikor nem fogják túllépni a halászati kapacitásnak az 1380/2013/EU rendelet II. mellékletében meghatározott felső határértékeit, figyelembe véve az említett rendelet 22. cikkének (6) bekezdése szerinti felső határértékek esetleges csökkentését.</w:t>
      </w:r>
      <w:r>
        <w:rPr>
          <w:rFonts w:ascii="Times New Roman" w:hAnsi="Times New Roman"/>
          <w:sz w:val="24"/>
        </w:rP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Kérjük, fejtse ki, hogyan fogják biztosítani ezt a feltételt. </w:t>
      </w:r>
    </w:p>
    <w:p w14:paraId="09B04D1A" w14:textId="77777777" w:rsidR="003F1D62" w:rsidRDefault="003F1D62" w:rsidP="003F1D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Kérjük, vegye figyelembe, hogy az állami támogatással szerzett új kapacitás flottába való beépítését a kapacitás tekintetében megállapított felső határértékek maradéktalan tiszteletben tartásával kell végrehajtani, és az nem vezethet az említett felső határértékek túllépéséhez.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intézkedés előírja, hogy a támogatásnak nem lehet feltétele az, hogy az új hajó beszerzése egy meghatározott hajógyárból történjen.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5.1. Ha a válasz „igen”, kérjük, nevezze meg a jogalap vonatkozó rendelkezését/rendelkezéseit.</w:t>
      </w:r>
    </w:p>
    <w:p w14:paraId="7AF3615F" w14:textId="406B2F67" w:rsidR="005C06D1" w:rsidRDefault="003F1D62" w:rsidP="00181B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adjon részletes leírást az intézkedés keretében elszámolható költségekről.</w:t>
      </w:r>
    </w:p>
    <w:p w14:paraId="386BAB56" w14:textId="75133C02" w:rsidR="003F1D62" w:rsidRDefault="003F1D62" w:rsidP="00E9142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intézkedés előírja, hogy a hajókra vonatkozó maximális támogatási intenzitás: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 12 méternél kisebb teljes hosszúságú hajók esetében nem haladhatja meg az összes elszámolható költség 60 %-át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a legalább 12 méter, de 24 méternél kisebb teljes hosszúságú hajók esetében nem haladhatja meg az összes elszámolható költség 50 %-át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 legalább 24 méter teljes hosszúságú hajók esetében pedig nem haladhatja meg az összes elszámolható költség 25 %-át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adja meg az intézkedés keretében alkalmazandó maximális támogatási intenzitás(oka)t.</w:t>
      </w:r>
    </w:p>
    <w:p w14:paraId="3D0A1467" w14:textId="6F29226F" w:rsidR="00006827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675"/>
      <w:r>
        <w:rPr>
          <w:rFonts w:ascii="Times New Roman" w:hAnsi="Times New Roman"/>
          <w:sz w:val="24"/>
        </w:rPr>
        <w:t xml:space="preserve">Kérjük, nevezze meg az intézkedés tekintetében a jogalap maximális támogatási intenzitást meghatározó rendelkezését/rendelkezéseit.  </w:t>
      </w:r>
    </w:p>
    <w:p w14:paraId="361A0D8D" w14:textId="181AE66D" w:rsidR="003F1D62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Kérjük, erősítse meg, hogy a támogatással beszerzett hajónak a támogatásnyújtás időpontjától számítva legalább 15 évig szerepelnie kell a legkülső régió hajólajstromában, </w:t>
      </w:r>
      <w:proofErr w:type="gramStart"/>
      <w:r>
        <w:rPr>
          <w:rFonts w:ascii="Times New Roman" w:hAnsi="Times New Roman"/>
          <w:sz w:val="24"/>
        </w:rPr>
        <w:t>valamint</w:t>
      </w:r>
      <w:proofErr w:type="gramEnd"/>
      <w:r>
        <w:rPr>
          <w:rFonts w:ascii="Times New Roman" w:hAnsi="Times New Roman"/>
          <w:sz w:val="24"/>
        </w:rPr>
        <w:t xml:space="preserve"> hogy az említett időszakban a hajó összes fogását köteles a legkülső régiók valamelyikében kirakodni: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ha ez a feltétel nem teljesül, a támogatást a meg nem felelés időtartamával vagy mértékével arányos összegben vissza kell téríteni.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0E1683EF" w14:textId="210BB523" w:rsidR="003F1D62" w:rsidRPr="001E103F" w:rsidRDefault="003F1D62" w:rsidP="00D2507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EGYÉB INFORMÁCIÓK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van olyan egyéb információ, amelyet lényegesnek tart az intézkedésnek az iránymutatás e szakasza szerinti értékeléséhez, kérjük, adja meg.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8D6D3" w14:textId="77777777" w:rsidR="001C2117" w:rsidRDefault="001C2117" w:rsidP="005615D7">
      <w:pPr>
        <w:spacing w:after="0" w:line="240" w:lineRule="auto"/>
      </w:pPr>
      <w:r>
        <w:separator/>
      </w:r>
    </w:p>
  </w:endnote>
  <w:endnote w:type="continuationSeparator" w:id="0">
    <w:p w14:paraId="3D417EF8" w14:textId="77777777" w:rsidR="001C2117" w:rsidRDefault="001C2117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7085E" w14:textId="77777777" w:rsidR="001C2117" w:rsidRDefault="001C2117" w:rsidP="005615D7">
      <w:pPr>
        <w:spacing w:after="0" w:line="240" w:lineRule="auto"/>
      </w:pPr>
      <w:r>
        <w:separator/>
      </w:r>
    </w:p>
  </w:footnote>
  <w:footnote w:type="continuationSeparator" w:id="0">
    <w:p w14:paraId="685E00F1" w14:textId="77777777" w:rsidR="001C2117" w:rsidRDefault="001C2117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HL C 107., 2023.3.23., 1. o.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Az Európai Parlament és a Tanács 1380/2013/EU rendelete (2013. december 11.) a közös halászati politikáról, az 1954/2003/EK és az 1224/2009/EK tanácsi rendelet módosításáról, valamint a 2371/2002/EK és a 639/2004/EK tanácsi rendelet és a 2004/585/EK tanácsi határozat hatályon kívül helyezéséről (HL L 354., 2013.12.28., 22. o.).  </w:t>
      </w:r>
    </w:p>
  </w:footnote>
  <w:footnote w:id="3">
    <w:p w14:paraId="7847149D" w14:textId="1096B59C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Lásd az iránymutatás (</w:t>
      </w:r>
      <w:proofErr w:type="gramStart"/>
      <w:r>
        <w:rPr>
          <w:rFonts w:ascii="Times New Roman" w:hAnsi="Times New Roman"/>
        </w:rPr>
        <w:t>225)–</w:t>
      </w:r>
      <w:proofErr w:type="gramEnd"/>
      <w:r>
        <w:rPr>
          <w:rFonts w:ascii="Times New Roman" w:hAnsi="Times New Roman"/>
        </w:rPr>
        <w:t>(227) pontját, amelyek ismertetik az N. évre vonatkozó nemzeti jelentésnek és a Bizottság N+1. év március 31-ig történő eljárásának folyamatát, valamint a támogatásnyújtás időszakát.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 Bizottság közleménye az Európai Parlamentnek és a Tanácsnak – A halászati kapacitás és a halászati lehetőségek közötti egyensúlynak a közös halászati politikáról szóló 1380/2013/EU európai parlamenti és tanácsi rendelet 22. cikke szerinti elemzésére vonatkozó iránymutatás, </w:t>
      </w:r>
      <w:proofErr w:type="gramStart"/>
      <w:r>
        <w:rPr>
          <w:rFonts w:ascii="Times New Roman" w:hAnsi="Times New Roman"/>
        </w:rPr>
        <w:t>COM(</w:t>
      </w:r>
      <w:proofErr w:type="gramEnd"/>
      <w:r>
        <w:rPr>
          <w:rFonts w:ascii="Times New Roman" w:hAnsi="Times New Roman"/>
        </w:rPr>
        <w:t xml:space="preserve">2014) 545 </w:t>
      </w:r>
      <w:proofErr w:type="spellStart"/>
      <w:r>
        <w:rPr>
          <w:rFonts w:ascii="Times New Roman" w:hAnsi="Times New Roman"/>
        </w:rPr>
        <w:t>final</w:t>
      </w:r>
      <w:proofErr w:type="spellEnd"/>
      <w:r>
        <w:rPr>
          <w:rFonts w:ascii="Times New Roman" w:hAnsi="Times New Roman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77BE3F06"/>
    <w:lvl w:ilvl="0" w:tplc="18090017">
      <w:start w:val="1"/>
      <w:numFmt w:val="lowerLetter"/>
      <w:lvlText w:val="%1)"/>
      <w:lvlJc w:val="left"/>
      <w:pPr>
        <w:ind w:left="1080" w:hanging="360"/>
      </w:p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C30FB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C2117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058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4</Pages>
  <Words>1175</Words>
  <Characters>6075</Characters>
  <Application>Microsoft Office Word</Application>
  <DocSecurity>0</DocSecurity>
  <Lines>168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BOROS Attila Peter (DGT)</cp:lastModifiedBy>
  <cp:revision>161</cp:revision>
  <dcterms:created xsi:type="dcterms:W3CDTF">2023-01-05T14:31:00Z</dcterms:created>
  <dcterms:modified xsi:type="dcterms:W3CDTF">2024-08-22T13:15:00Z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