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1E103F" w:rsidRDefault="005615D7" w:rsidP="005615D7">
      <w:pPr>
        <w:jc w:val="right"/>
        <w:rPr>
          <w:rFonts w:ascii="Times New Roman" w:eastAsia="Times New Roman" w:hAnsi="Times New Roman"/>
          <w:i/>
          <w:sz w:val="24"/>
          <w:szCs w:val="24"/>
          <w:lang w:eastAsia="en-GB"/>
        </w:rPr>
      </w:pPr>
    </w:p>
    <w:p w14:paraId="4B7235D9" w14:textId="310C6EC9" w:rsidR="005615D7" w:rsidRPr="001E103F" w:rsidRDefault="00E934EF"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2.3</w:t>
      </w:r>
    </w:p>
    <w:p w14:paraId="7788A656" w14:textId="75208F6C"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pentru investiții în echipamente care contribuie la îmbunătățirea siguranței, inclusiv echipamente cu ajutorul cărora navele își pot extinde zonele de pescuit pentru pescuitul costier la scară mică în regiunile ultraperiferice</w:t>
      </w:r>
    </w:p>
    <w:p w14:paraId="38E57BE1" w14:textId="3DDF483F" w:rsidR="005615D7" w:rsidRPr="00B41BB2" w:rsidRDefault="00B41BB2" w:rsidP="00B41BB2">
      <w:pPr>
        <w:spacing w:before="360" w:after="0" w:line="240" w:lineRule="auto"/>
        <w:jc w:val="both"/>
        <w:rPr>
          <w:rFonts w:ascii="Times New Roman" w:eastAsia="Times New Roman" w:hAnsi="Times New Roman"/>
          <w:i/>
          <w:sz w:val="24"/>
          <w:szCs w:val="24"/>
        </w:rPr>
      </w:pPr>
      <w:r>
        <w:rPr>
          <w:rFonts w:ascii="Times New Roman" w:hAnsi="Times New Roman"/>
          <w:i/>
          <w:sz w:val="24"/>
        </w:rPr>
        <w:t>Acest formular trebuie utilizat de statele membre pentru notificarea oricăror ajutoare acordate pentru investiții în echipamente care contribuie la îmbunătățirea siguranței, inclusiv echipamente cu ajutorul cărora navele își pot extinde zonele de pescuit pentru pescuitul costier la scară mică în regiunile ultraperiferice, astfel cum sunt descrise în partea II capitolul 2 secțiunea 2.3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p w14:paraId="49D4C0CB" w14:textId="01F5025E" w:rsidR="003F4946" w:rsidRDefault="003F4946" w:rsidP="005615D7">
      <w:pPr>
        <w:spacing w:after="0" w:line="240" w:lineRule="auto"/>
        <w:rPr>
          <w:rFonts w:ascii="Times New Roman" w:eastAsia="Times New Roman" w:hAnsi="Times New Roman"/>
          <w:sz w:val="24"/>
          <w:szCs w:val="24"/>
          <w:lang w:eastAsia="en-GB"/>
        </w:rPr>
      </w:pPr>
    </w:p>
    <w:p w14:paraId="3B67729D" w14:textId="37B6E8AE" w:rsidR="003F4946" w:rsidRPr="00B41BB2" w:rsidRDefault="003F4946" w:rsidP="00712876">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identificați regiunea sau regiunile ultraperiferice menționate la articolul 349 din TFUE și vizate de măsura în cauză.</w:t>
      </w:r>
    </w:p>
    <w:p w14:paraId="265C4F2D" w14:textId="338DE00F" w:rsidR="00E934EF" w:rsidRDefault="003F4946" w:rsidP="00B41BB2">
      <w:pPr>
        <w:rPr>
          <w:rFonts w:ascii="Times New Roman" w:eastAsia="Times New Roman" w:hAnsi="Times New Roman"/>
          <w:sz w:val="24"/>
          <w:szCs w:val="24"/>
        </w:rPr>
      </w:pPr>
      <w:r>
        <w:rPr>
          <w:rFonts w:ascii="Times New Roman" w:hAnsi="Times New Roman"/>
          <w:sz w:val="24"/>
        </w:rPr>
        <w:t>………………………………………………………………………………………………….</w:t>
      </w:r>
    </w:p>
    <w:p w14:paraId="2FA7B21E" w14:textId="13DD10AC" w:rsidR="00DD59E4" w:rsidRDefault="00DD59E4" w:rsidP="00DD59E4">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explicați modul în care măsura contribuie la consolidarea activităților de pescuit durabil din punct de vedere economic, social și al mediului, la îmbunătățirea siguranței și a condițiilor de muncă la bord și, acolo unde este aplicabil, la crearea condițiilor necesare pentru ca navele de pescuit să își extindă zonele de pescuit până la 20 de mile de coastă pentru pescuitul costier la scară mică.</w:t>
      </w:r>
    </w:p>
    <w:p w14:paraId="13824094" w14:textId="6F70CE6A" w:rsidR="0098313D" w:rsidRDefault="00DD59E4" w:rsidP="00D147BD">
      <w:pPr>
        <w:rPr>
          <w:rFonts w:ascii="Times New Roman" w:eastAsia="Times New Roman" w:hAnsi="Times New Roman"/>
          <w:sz w:val="24"/>
          <w:szCs w:val="24"/>
        </w:rPr>
      </w:pPr>
      <w:r>
        <w:rPr>
          <w:rFonts w:ascii="Times New Roman" w:hAnsi="Times New Roman"/>
          <w:sz w:val="24"/>
        </w:rPr>
        <w:t>………………………………………………………………………………………………….</w:t>
      </w:r>
    </w:p>
    <w:p w14:paraId="5BE06FEF" w14:textId="2F516B5C" w:rsidR="00DD59E4"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dacă, prin derogare de la punctul (47) din orientări, ajutoarele pot fi acordate pentru îndeplinirea cerințelor obligatorii de la nivelul Uniunii sau de la nivel național:</w:t>
      </w:r>
    </w:p>
    <w:p w14:paraId="05D09E31" w14:textId="77777777" w:rsidR="007B7FA6" w:rsidRDefault="007B7FA6" w:rsidP="007B7FA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2A08961E" w14:textId="77777777" w:rsidR="00D147BD" w:rsidRDefault="00D147BD" w:rsidP="00D147BD">
      <w:pPr>
        <w:autoSpaceDE w:val="0"/>
        <w:autoSpaceDN w:val="0"/>
        <w:adjustRightInd w:val="0"/>
        <w:spacing w:after="0" w:line="240" w:lineRule="auto"/>
        <w:ind w:left="567"/>
        <w:jc w:val="both"/>
        <w:rPr>
          <w:rFonts w:ascii="Times New Roman" w:eastAsia="Times New Roman" w:hAnsi="Times New Roman"/>
          <w:noProof/>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36A18">
        <w:rPr>
          <w:rFonts w:ascii="Times New Roman" w:eastAsia="Times New Roman" w:hAnsi="Times New Roman"/>
          <w:b/>
          <w:sz w:val="24"/>
        </w:rPr>
      </w:r>
      <w:r w:rsidR="00136A18">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36A18">
        <w:rPr>
          <w:rFonts w:ascii="Times New Roman" w:eastAsia="Times New Roman" w:hAnsi="Times New Roman"/>
          <w:b/>
          <w:sz w:val="24"/>
        </w:rPr>
      </w:r>
      <w:r w:rsidR="00136A18">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451A840" w14:textId="3FB23F81" w:rsidR="0098313D" w:rsidRDefault="0098313D" w:rsidP="005615D7">
      <w:pPr>
        <w:spacing w:after="0" w:line="240" w:lineRule="auto"/>
        <w:rPr>
          <w:rFonts w:ascii="Times New Roman" w:eastAsia="Times New Roman" w:hAnsi="Times New Roman"/>
          <w:sz w:val="24"/>
          <w:szCs w:val="24"/>
          <w:lang w:eastAsia="en-GB"/>
        </w:rPr>
      </w:pPr>
    </w:p>
    <w:p w14:paraId="4BCACA83" w14:textId="61906CAE" w:rsidR="007B7FA6" w:rsidRDefault="00D147BD" w:rsidP="007B7FA6">
      <w:pPr>
        <w:numPr>
          <w:ilvl w:val="1"/>
          <w:numId w:val="15"/>
        </w:numPr>
        <w:spacing w:after="0" w:line="240" w:lineRule="auto"/>
        <w:rPr>
          <w:rFonts w:ascii="Times New Roman" w:eastAsia="Times New Roman" w:hAnsi="Times New Roman"/>
          <w:sz w:val="24"/>
          <w:szCs w:val="24"/>
        </w:rPr>
      </w:pPr>
      <w:r>
        <w:rPr>
          <w:rFonts w:ascii="Times New Roman" w:hAnsi="Times New Roman"/>
          <w:sz w:val="24"/>
        </w:rPr>
        <w:t>Vă rugăm să descrieți cerințele obligatorii de la nivelul Uniunii sau de la nivel național în cauză și să oferiți o justificare a motivului pentru care este necesară o astfel de derogare.</w:t>
      </w:r>
    </w:p>
    <w:p w14:paraId="4C3A6625" w14:textId="77777777" w:rsidR="00D147BD" w:rsidRDefault="00D147BD" w:rsidP="00D147BD">
      <w:pPr>
        <w:rPr>
          <w:rFonts w:ascii="Times New Roman" w:eastAsia="Times New Roman" w:hAnsi="Times New Roman"/>
          <w:sz w:val="24"/>
          <w:szCs w:val="24"/>
        </w:rPr>
      </w:pPr>
      <w:r>
        <w:rPr>
          <w:rFonts w:ascii="Times New Roman" w:hAnsi="Times New Roman"/>
          <w:sz w:val="24"/>
        </w:rPr>
        <w:t>………………………………………………………………………………………………….</w:t>
      </w:r>
    </w:p>
    <w:p w14:paraId="683E136D" w14:textId="19F910F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w:t>
      </w:r>
      <w:r>
        <w:rPr>
          <w:rFonts w:ascii="Times New Roman" w:hAnsi="Times New Roman"/>
          <w:i/>
          <w:sz w:val="24"/>
        </w:rPr>
        <w:t xml:space="preserve"> nu</w:t>
      </w:r>
      <w:r>
        <w:rPr>
          <w:rFonts w:ascii="Times New Roman" w:hAnsi="Times New Roman"/>
          <w:sz w:val="24"/>
        </w:rPr>
        <w:t xml:space="preserve"> implică:</w:t>
      </w:r>
    </w:p>
    <w:p w14:paraId="2604FAE0" w14:textId="77777777" w:rsidR="0098313D" w:rsidRDefault="0098313D" w:rsidP="0098313D">
      <w:pPr>
        <w:spacing w:after="0" w:line="240" w:lineRule="auto"/>
        <w:rPr>
          <w:rFonts w:ascii="Times New Roman" w:eastAsia="Times New Roman" w:hAnsi="Times New Roman"/>
          <w:sz w:val="24"/>
          <w:szCs w:val="24"/>
          <w:lang w:eastAsia="en-GB"/>
        </w:rPr>
      </w:pPr>
    </w:p>
    <w:p w14:paraId="08F7E055" w14:textId="18A3F4EF" w:rsidR="0098313D" w:rsidRDefault="007B7FA6" w:rsidP="007B7FA6">
      <w:pPr>
        <w:spacing w:after="120" w:line="240" w:lineRule="auto"/>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36A18">
        <w:rPr>
          <w:rFonts w:ascii="Times New Roman" w:eastAsia="Times New Roman" w:hAnsi="Times New Roman"/>
          <w:b/>
          <w:sz w:val="24"/>
        </w:rPr>
      </w:r>
      <w:r w:rsidR="00136A18">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înlocuirea sau modernizarea unui motor principal sau auxiliar al unei nave de pescuit;</w:t>
      </w:r>
    </w:p>
    <w:p w14:paraId="58153E5A" w14:textId="77777777" w:rsidR="007B7FA6" w:rsidRDefault="007B7FA6" w:rsidP="007B7FA6">
      <w:pPr>
        <w:autoSpaceDE w:val="0"/>
        <w:autoSpaceDN w:val="0"/>
        <w:adjustRightInd w:val="0"/>
        <w:spacing w:after="0" w:line="240" w:lineRule="auto"/>
        <w:ind w:left="720"/>
        <w:jc w:val="both"/>
        <w:rPr>
          <w:rFonts w:ascii="Times New Roman" w:eastAsia="Times New Roman" w:hAnsi="Times New Roman"/>
          <w:noProof/>
          <w:sz w:val="24"/>
          <w:szCs w:val="24"/>
          <w:lang w:eastAsia="en-GB"/>
        </w:rPr>
      </w:pPr>
    </w:p>
    <w:p w14:paraId="18F1B08F" w14:textId="61E06821" w:rsidR="0098313D" w:rsidRDefault="007B7FA6" w:rsidP="007B7FA6">
      <w:pPr>
        <w:spacing w:after="120" w:line="240" w:lineRule="auto"/>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36A18">
        <w:rPr>
          <w:rFonts w:ascii="Times New Roman" w:eastAsia="Times New Roman" w:hAnsi="Times New Roman"/>
          <w:b/>
          <w:sz w:val="24"/>
        </w:rPr>
      </w:r>
      <w:r w:rsidR="00136A18">
        <w:rPr>
          <w:rFonts w:ascii="Times New Roman" w:eastAsia="Times New Roman" w:hAnsi="Times New Roman"/>
          <w:b/>
          <w:sz w:val="24"/>
        </w:rPr>
        <w:fldChar w:fldCharType="separate"/>
      </w:r>
      <w:r>
        <w:rPr>
          <w:rFonts w:ascii="Times New Roman" w:eastAsia="Times New Roman" w:hAnsi="Times New Roman"/>
          <w:b/>
          <w:sz w:val="24"/>
        </w:rPr>
        <w:fldChar w:fldCharType="end"/>
      </w:r>
      <w:r>
        <w:rPr>
          <w:rFonts w:ascii="Times New Roman" w:hAnsi="Times New Roman"/>
          <w:b/>
          <w:sz w:val="24"/>
        </w:rPr>
        <w:t xml:space="preserve"> </w:t>
      </w:r>
      <w:r>
        <w:rPr>
          <w:rFonts w:ascii="Times New Roman" w:hAnsi="Times New Roman"/>
          <w:sz w:val="24"/>
        </w:rPr>
        <w:t>mărirea tonajului brut al unei nave de pescuit.</w:t>
      </w:r>
    </w:p>
    <w:p w14:paraId="7D6C48C3" w14:textId="528D968F" w:rsidR="007B7FA6" w:rsidRPr="007B7FA6" w:rsidRDefault="007B7FA6" w:rsidP="007B7FA6">
      <w:pPr>
        <w:spacing w:after="0" w:line="240" w:lineRule="auto"/>
        <w:jc w:val="both"/>
        <w:rPr>
          <w:rFonts w:ascii="Times New Roman" w:eastAsia="Times New Roman" w:hAnsi="Times New Roman"/>
          <w:sz w:val="24"/>
          <w:szCs w:val="24"/>
        </w:rPr>
      </w:pPr>
      <w:r>
        <w:rPr>
          <w:rFonts w:ascii="Times New Roman" w:hAnsi="Times New Roman"/>
          <w:i/>
          <w:sz w:val="24"/>
        </w:rPr>
        <w:t xml:space="preserve">Vă atragem atenția asupra faptului că, în conformitate cu punctele (235) și (236) din orientări, ajutoarele pentru investiții care implică înlocuirea sau modernizarea unui motor principal sau auxiliar al unei nave de pescuit pot fi eligibile numai în temeiul articolului 18 </w:t>
      </w:r>
      <w:r>
        <w:rPr>
          <w:rFonts w:ascii="Times New Roman" w:hAnsi="Times New Roman"/>
          <w:i/>
          <w:sz w:val="24"/>
        </w:rPr>
        <w:lastRenderedPageBreak/>
        <w:t>din Regulamentul (UE) 2021/1139 sau în temeiul părții II capitolul 3 secțiunea 3.2 din orientări, iar ajutoarele pentru investiții care duc la o mărire a tonajului brut al unei nave de pescuit pot fi eligibile numai în temeiul articolului 19 din Regulamentul (UE) 2021/1139 sau în temeiul părții II capitolul 3 secțiunea 3.3 din prezentele orientări.</w:t>
      </w:r>
      <w:r>
        <w:rPr>
          <w:rFonts w:ascii="Times New Roman" w:hAnsi="Times New Roman"/>
          <w:i/>
          <w:color w:val="000000"/>
          <w:sz w:val="23"/>
        </w:rPr>
        <w:t xml:space="preserve">. </w:t>
      </w:r>
    </w:p>
    <w:p w14:paraId="7DE57E2C" w14:textId="77777777" w:rsidR="0098313D" w:rsidRDefault="0098313D" w:rsidP="005615D7">
      <w:pPr>
        <w:spacing w:after="0" w:line="240" w:lineRule="auto"/>
        <w:rPr>
          <w:rFonts w:ascii="Times New Roman" w:eastAsia="Times New Roman" w:hAnsi="Times New Roman"/>
          <w:sz w:val="24"/>
          <w:szCs w:val="24"/>
          <w:lang w:eastAsia="en-GB"/>
        </w:rPr>
      </w:pPr>
    </w:p>
    <w:p w14:paraId="039B34C0" w14:textId="77777777"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furnizați o descriere detaliată a costurilor eligibile în cadrul măsurii.</w:t>
      </w:r>
    </w:p>
    <w:p w14:paraId="74434B5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54AD4AA6" w14:textId="77777777" w:rsidR="0098313D" w:rsidRDefault="0098313D" w:rsidP="0098313D">
      <w:pPr>
        <w:autoSpaceDE w:val="0"/>
        <w:autoSpaceDN w:val="0"/>
        <w:adjustRightInd w:val="0"/>
        <w:spacing w:after="0" w:line="240" w:lineRule="auto"/>
        <w:jc w:val="both"/>
        <w:rPr>
          <w:rFonts w:ascii="Times New Roman" w:eastAsia="Times New Roman" w:hAnsi="Times New Roman"/>
          <w:sz w:val="24"/>
          <w:szCs w:val="24"/>
          <w:lang w:eastAsia="en-GB"/>
        </w:rPr>
      </w:pPr>
    </w:p>
    <w:p w14:paraId="36E55D25" w14:textId="4C6D4AB5" w:rsidR="0098313D" w:rsidRDefault="0098313D" w:rsidP="0098313D">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faptul că măsura prevede că intensitatea maximă a ajutoarelor nu depășește 100 % din costurile eligibile.</w:t>
      </w:r>
    </w:p>
    <w:p w14:paraId="183319C1" w14:textId="77777777" w:rsidR="0098313D" w:rsidRDefault="0098313D" w:rsidP="0098313D">
      <w:pPr>
        <w:rPr>
          <w:rFonts w:ascii="Times New Roman" w:eastAsia="Times New Roman" w:hAnsi="Times New Roman"/>
          <w:sz w:val="24"/>
          <w:szCs w:val="24"/>
        </w:rPr>
      </w:pPr>
      <w:r>
        <w:rPr>
          <w:rFonts w:ascii="Times New Roman" w:hAnsi="Times New Roman"/>
          <w:sz w:val="24"/>
        </w:rPr>
        <w:t>………………………………………………………………………………………………….</w:t>
      </w:r>
    </w:p>
    <w:p w14:paraId="4C8773FD" w14:textId="77777777" w:rsidR="00AF6D28" w:rsidRDefault="00AF6D28" w:rsidP="0098313D">
      <w:pPr>
        <w:rPr>
          <w:rFonts w:ascii="Times New Roman" w:eastAsia="Times New Roman" w:hAnsi="Times New Roman"/>
          <w:sz w:val="24"/>
          <w:szCs w:val="24"/>
          <w:lang w:eastAsia="en-GB"/>
        </w:rPr>
      </w:pPr>
    </w:p>
    <w:p w14:paraId="25422023" w14:textId="77777777" w:rsidR="00AF6D28" w:rsidRDefault="00AF6D28" w:rsidP="00AF6D28">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74D79D94" w14:textId="77777777" w:rsidR="00AF6D28" w:rsidRDefault="00AF6D28" w:rsidP="00AF6D28">
      <w:pPr>
        <w:rPr>
          <w:rFonts w:ascii="Times New Roman" w:eastAsia="Times New Roman" w:hAnsi="Times New Roman"/>
          <w:sz w:val="24"/>
          <w:szCs w:val="24"/>
        </w:rPr>
      </w:pPr>
      <w:r>
        <w:rPr>
          <w:rFonts w:ascii="Times New Roman" w:hAnsi="Times New Roman"/>
          <w:sz w:val="24"/>
        </w:rPr>
        <w:t>………………………………………………………………………………………………….</w:t>
      </w:r>
    </w:p>
    <w:p w14:paraId="7DA28BD2" w14:textId="77777777" w:rsidR="00AF6D28" w:rsidRDefault="00AF6D28" w:rsidP="0098313D">
      <w:pPr>
        <w:rPr>
          <w:rFonts w:ascii="Times New Roman" w:eastAsia="Times New Roman" w:hAnsi="Times New Roman"/>
          <w:sz w:val="24"/>
          <w:szCs w:val="24"/>
          <w:lang w:eastAsia="en-GB"/>
        </w:rPr>
      </w:pPr>
    </w:p>
    <w:p w14:paraId="7B6FB543" w14:textId="21DC3D44" w:rsidR="0098313D" w:rsidRDefault="0098313D" w:rsidP="0098313D">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0" w:name="_Hlk125368675"/>
      <w:r>
        <w:rPr>
          <w:rFonts w:ascii="Times New Roman" w:hAnsi="Times New Roman"/>
          <w:sz w:val="24"/>
        </w:rPr>
        <w:t>Vă rugăm să identificați dispoziția (dispozițiile) din temeiul juridic care stabilește (stabilesc) intensitatea maximă (intensitățile maxime) a(le) ajutorului aplicabilă (aplicabile) în temeiul măsurii.</w:t>
      </w:r>
    </w:p>
    <w:p w14:paraId="0E1683EF" w14:textId="1CD5C68A" w:rsidR="003F1D62" w:rsidRPr="001E103F" w:rsidRDefault="0098313D" w:rsidP="007B7FA6">
      <w:pPr>
        <w:rPr>
          <w:rFonts w:ascii="Times New Roman" w:eastAsia="Times New Roman" w:hAnsi="Times New Roman"/>
          <w:sz w:val="24"/>
          <w:szCs w:val="24"/>
        </w:rPr>
      </w:pPr>
      <w:r>
        <w:rPr>
          <w:rFonts w:ascii="Times New Roman" w:hAnsi="Times New Roman"/>
          <w:sz w:val="24"/>
        </w:rPr>
        <w:t>………………………………………………………………………………………………….</w:t>
      </w:r>
      <w:bookmarkEnd w:id="0"/>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502E66C3"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3F4946">
      <w:pPr>
        <w:autoSpaceDE w:val="0"/>
        <w:autoSpaceDN w:val="0"/>
        <w:adjustRightInd w:val="0"/>
        <w:spacing w:after="0" w:line="240" w:lineRule="auto"/>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0FC0" w14:textId="77777777" w:rsidR="007D193E" w:rsidRDefault="007D193E" w:rsidP="005615D7">
      <w:pPr>
        <w:spacing w:after="0" w:line="240" w:lineRule="auto"/>
      </w:pPr>
      <w:r>
        <w:separator/>
      </w:r>
    </w:p>
  </w:endnote>
  <w:endnote w:type="continuationSeparator" w:id="0">
    <w:p w14:paraId="5F87103D" w14:textId="77777777" w:rsidR="007D193E" w:rsidRDefault="007D193E"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E0E4" w14:textId="77777777" w:rsidR="007D193E" w:rsidRDefault="007D193E" w:rsidP="005615D7">
      <w:pPr>
        <w:spacing w:after="0" w:line="240" w:lineRule="auto"/>
      </w:pPr>
      <w:r>
        <w:separator/>
      </w:r>
    </w:p>
  </w:footnote>
  <w:footnote w:type="continuationSeparator" w:id="0">
    <w:p w14:paraId="54BA8157" w14:textId="77777777" w:rsidR="007D193E" w:rsidRDefault="007D193E" w:rsidP="005615D7">
      <w:pPr>
        <w:spacing w:after="0" w:line="240" w:lineRule="auto"/>
      </w:pPr>
      <w:r>
        <w:continuationSeparator/>
      </w:r>
    </w:p>
  </w:footnote>
  <w:footnote w:id="1">
    <w:p w14:paraId="39E37E1E" w14:textId="65DD680D" w:rsidR="006E55F9" w:rsidRPr="006E55F9" w:rsidRDefault="006E55F9">
      <w:pPr>
        <w:pStyle w:val="FootnoteText"/>
      </w:pPr>
      <w:r>
        <w:rPr>
          <w:rStyle w:val="FootnoteReference"/>
        </w:rPr>
        <w:footnoteRef/>
      </w:r>
      <w:r>
        <w:t xml:space="preserve"> </w:t>
      </w:r>
      <w:r>
        <w:rPr>
          <w:rFonts w:ascii="Times New Roman" w:hAnsi="Times New Roman"/>
        </w:rPr>
        <w:t>JO C 107, 23.03.2023,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2BFD4FD8"/>
    <w:multiLevelType w:val="hybridMultilevel"/>
    <w:tmpl w:val="CB421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7" w15:restartNumberingAfterBreak="0">
    <w:nsid w:val="342F3776"/>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0"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2"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5"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077DF9"/>
    <w:multiLevelType w:val="hybridMultilevel"/>
    <w:tmpl w:val="E6CCB11A"/>
    <w:lvl w:ilvl="0" w:tplc="A39AF858">
      <w:start w:val="1"/>
      <w:numFmt w:val="lowerLetter"/>
      <w:lvlText w:val="(%1)"/>
      <w:lvlJc w:val="left"/>
      <w:pPr>
        <w:ind w:left="720" w:hanging="360"/>
      </w:pPr>
      <w:rPr>
        <w:rFonts w:ascii="Times New Roman" w:eastAsia="Times New Roman" w:hAnsi="Times New Roman" w:cs="Times New Roman"/>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20847367">
    <w:abstractNumId w:val="3"/>
  </w:num>
  <w:num w:numId="2" w16cid:durableId="504127747">
    <w:abstractNumId w:val="16"/>
  </w:num>
  <w:num w:numId="3" w16cid:durableId="1146971053">
    <w:abstractNumId w:val="4"/>
  </w:num>
  <w:num w:numId="4" w16cid:durableId="2129348874">
    <w:abstractNumId w:val="10"/>
  </w:num>
  <w:num w:numId="5" w16cid:durableId="209802491">
    <w:abstractNumId w:val="5"/>
  </w:num>
  <w:num w:numId="6" w16cid:durableId="1414428307">
    <w:abstractNumId w:val="12"/>
  </w:num>
  <w:num w:numId="7" w16cid:durableId="847254142">
    <w:abstractNumId w:val="11"/>
  </w:num>
  <w:num w:numId="8" w16cid:durableId="652174394">
    <w:abstractNumId w:val="15"/>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8"/>
  </w:num>
  <w:num w:numId="12" w16cid:durableId="363792905">
    <w:abstractNumId w:val="0"/>
  </w:num>
  <w:num w:numId="13" w16cid:durableId="312611056">
    <w:abstractNumId w:val="2"/>
  </w:num>
  <w:num w:numId="14" w16cid:durableId="1140073642">
    <w:abstractNumId w:val="14"/>
  </w:num>
  <w:num w:numId="15" w16cid:durableId="1060445496">
    <w:abstractNumId w:val="7"/>
  </w:num>
  <w:num w:numId="16" w16cid:durableId="814759880">
    <w:abstractNumId w:val="13"/>
  </w:num>
  <w:num w:numId="17" w16cid:durableId="1100642106">
    <w:abstractNumId w:val="9"/>
  </w:num>
  <w:num w:numId="18" w16cid:durableId="455803617">
    <w:abstractNumId w:val="6"/>
  </w:num>
  <w:num w:numId="19" w16cid:durableId="127948195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34AF3"/>
    <w:rsid w:val="00047C56"/>
    <w:rsid w:val="000A5405"/>
    <w:rsid w:val="000E2F1C"/>
    <w:rsid w:val="000E6ABB"/>
    <w:rsid w:val="00114BDD"/>
    <w:rsid w:val="00136501"/>
    <w:rsid w:val="00136A18"/>
    <w:rsid w:val="001832DE"/>
    <w:rsid w:val="001A503C"/>
    <w:rsid w:val="001A718E"/>
    <w:rsid w:val="001B2BEF"/>
    <w:rsid w:val="001D7707"/>
    <w:rsid w:val="001E09E4"/>
    <w:rsid w:val="001E103F"/>
    <w:rsid w:val="001E46DC"/>
    <w:rsid w:val="001F0558"/>
    <w:rsid w:val="0020247E"/>
    <w:rsid w:val="00236AD9"/>
    <w:rsid w:val="00247C79"/>
    <w:rsid w:val="00252DEE"/>
    <w:rsid w:val="00256D84"/>
    <w:rsid w:val="0026001A"/>
    <w:rsid w:val="002627EB"/>
    <w:rsid w:val="002C2F3E"/>
    <w:rsid w:val="003027AD"/>
    <w:rsid w:val="003649C9"/>
    <w:rsid w:val="00385658"/>
    <w:rsid w:val="00395D32"/>
    <w:rsid w:val="003E0993"/>
    <w:rsid w:val="003E1E24"/>
    <w:rsid w:val="003F1D62"/>
    <w:rsid w:val="003F4946"/>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610BCF"/>
    <w:rsid w:val="00615953"/>
    <w:rsid w:val="00623D66"/>
    <w:rsid w:val="00651AE7"/>
    <w:rsid w:val="0066443A"/>
    <w:rsid w:val="006663B8"/>
    <w:rsid w:val="006741CF"/>
    <w:rsid w:val="00681BFA"/>
    <w:rsid w:val="00683B68"/>
    <w:rsid w:val="006914B0"/>
    <w:rsid w:val="00693BB6"/>
    <w:rsid w:val="006A575F"/>
    <w:rsid w:val="006A5AF5"/>
    <w:rsid w:val="006C0203"/>
    <w:rsid w:val="006C7549"/>
    <w:rsid w:val="006D57B3"/>
    <w:rsid w:val="006D64CF"/>
    <w:rsid w:val="006E55F9"/>
    <w:rsid w:val="006F53A8"/>
    <w:rsid w:val="00701F4B"/>
    <w:rsid w:val="00716026"/>
    <w:rsid w:val="007577B2"/>
    <w:rsid w:val="00764F86"/>
    <w:rsid w:val="00772CC2"/>
    <w:rsid w:val="00774407"/>
    <w:rsid w:val="00792BE3"/>
    <w:rsid w:val="007B3E6C"/>
    <w:rsid w:val="007B7FA6"/>
    <w:rsid w:val="007D193E"/>
    <w:rsid w:val="007E27BD"/>
    <w:rsid w:val="007F69E1"/>
    <w:rsid w:val="008004EF"/>
    <w:rsid w:val="00806E74"/>
    <w:rsid w:val="008131D2"/>
    <w:rsid w:val="00865AD5"/>
    <w:rsid w:val="008A02E0"/>
    <w:rsid w:val="008C7C53"/>
    <w:rsid w:val="008E7385"/>
    <w:rsid w:val="0092025C"/>
    <w:rsid w:val="009725CF"/>
    <w:rsid w:val="0098313D"/>
    <w:rsid w:val="009D7158"/>
    <w:rsid w:val="009E1F93"/>
    <w:rsid w:val="00A003E4"/>
    <w:rsid w:val="00A02D5E"/>
    <w:rsid w:val="00A13FFA"/>
    <w:rsid w:val="00A56179"/>
    <w:rsid w:val="00A5779C"/>
    <w:rsid w:val="00A634A8"/>
    <w:rsid w:val="00A737D2"/>
    <w:rsid w:val="00A91C65"/>
    <w:rsid w:val="00A9378D"/>
    <w:rsid w:val="00A93E41"/>
    <w:rsid w:val="00AA2F26"/>
    <w:rsid w:val="00AC1CE4"/>
    <w:rsid w:val="00AC55F1"/>
    <w:rsid w:val="00AF6D28"/>
    <w:rsid w:val="00B05450"/>
    <w:rsid w:val="00B12B1E"/>
    <w:rsid w:val="00B235B8"/>
    <w:rsid w:val="00B30B7F"/>
    <w:rsid w:val="00B37296"/>
    <w:rsid w:val="00B41BB2"/>
    <w:rsid w:val="00B41F35"/>
    <w:rsid w:val="00B4562D"/>
    <w:rsid w:val="00BA70E4"/>
    <w:rsid w:val="00BC48E2"/>
    <w:rsid w:val="00BD7CCD"/>
    <w:rsid w:val="00BF55C4"/>
    <w:rsid w:val="00C25FCA"/>
    <w:rsid w:val="00C300A7"/>
    <w:rsid w:val="00C800F0"/>
    <w:rsid w:val="00C948E8"/>
    <w:rsid w:val="00CB185C"/>
    <w:rsid w:val="00CB2D84"/>
    <w:rsid w:val="00CC04F4"/>
    <w:rsid w:val="00CE214E"/>
    <w:rsid w:val="00D147BD"/>
    <w:rsid w:val="00D25398"/>
    <w:rsid w:val="00D54834"/>
    <w:rsid w:val="00D6704F"/>
    <w:rsid w:val="00D7395D"/>
    <w:rsid w:val="00DA52D8"/>
    <w:rsid w:val="00DD59E4"/>
    <w:rsid w:val="00DF06B6"/>
    <w:rsid w:val="00DF0D4F"/>
    <w:rsid w:val="00E20F79"/>
    <w:rsid w:val="00E51CD7"/>
    <w:rsid w:val="00E610A6"/>
    <w:rsid w:val="00E65A1F"/>
    <w:rsid w:val="00E934E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3F1D62"/>
    <w:pPr>
      <w:ind w:left="720"/>
      <w:contextualSpacing/>
    </w:pPr>
  </w:style>
  <w:style w:type="paragraph" w:customStyle="1" w:styleId="Default">
    <w:name w:val="Default"/>
    <w:rsid w:val="00B41BB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2.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07F5F3CA-8429-44AC-A319-29C96F678F4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40d7ad0-5649-4733-b9d0-b459e047d264"/>
    <ds:schemaRef ds:uri="http://www.w3.org/XML/1998/namespace"/>
  </ds:schemaRefs>
</ds:datastoreItem>
</file>

<file path=customXml/itemProps5.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2</Pages>
  <Words>499</Words>
  <Characters>3108</Characters>
  <Application>Microsoft Office Word</Application>
  <DocSecurity>0</DocSecurity>
  <Lines>69</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72</cp:revision>
  <dcterms:created xsi:type="dcterms:W3CDTF">2023-01-05T14:31:00Z</dcterms:created>
  <dcterms:modified xsi:type="dcterms:W3CDTF">2024-06-18T13:33:00Z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