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Pr>
          <w:rFonts w:ascii="Times New Roman" w:eastAsia="Times New Roman" w:hAnsi="Times New Roman"/>
          <w:b/>
          <w:smallCaps/>
          <w:sz w:val="24"/>
          <w:szCs w:val="24"/>
          <w:lang w:eastAsia="en-GB"/>
        </w:rPr>
        <w:t>2</w:t>
      </w:r>
      <w:r w:rsidR="007D193E" w:rsidRPr="001E103F">
        <w:rPr>
          <w:rFonts w:ascii="Times New Roman" w:eastAsia="Times New Roman" w:hAnsi="Times New Roman"/>
          <w:b/>
          <w:smallCaps/>
          <w:sz w:val="24"/>
          <w:szCs w:val="24"/>
          <w:lang w:eastAsia="en-GB"/>
        </w:rPr>
        <w:t>.</w:t>
      </w:r>
      <w:r w:rsidR="00395D32">
        <w:rPr>
          <w:rFonts w:ascii="Times New Roman" w:eastAsia="Times New Roman" w:hAnsi="Times New Roman"/>
          <w:b/>
          <w:smallCaps/>
          <w:sz w:val="24"/>
          <w:szCs w:val="24"/>
          <w:lang w:eastAsia="en-GB"/>
        </w:rPr>
        <w:t>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Supplementary information sheet on</w:t>
      </w:r>
      <w:r w:rsidR="007D193E" w:rsidRPr="001E103F">
        <w:rPr>
          <w:rFonts w:ascii="Times New Roman" w:eastAsia="Times New Roman" w:hAnsi="Times New Roman"/>
          <w:b/>
          <w:smallCaps/>
          <w:sz w:val="24"/>
          <w:szCs w:val="24"/>
          <w:lang w:eastAsia="en-GB"/>
        </w:rPr>
        <w:br/>
      </w:r>
      <w:r w:rsidR="00395D32" w:rsidRPr="00395D32">
        <w:rPr>
          <w:rFonts w:ascii="Times New Roman" w:eastAsia="Times New Roman" w:hAnsi="Times New Roman"/>
          <w:b/>
          <w:smallCaps/>
          <w:sz w:val="24"/>
          <w:szCs w:val="24"/>
          <w:lang w:eastAsia="en-GB"/>
        </w:rPr>
        <w:t>Aid for investments in equipment that contributes to increasing safety, including equipment enabling vessels to extend their fishing zones, for small-scale coastal fishing in outermost regions</w:t>
      </w:r>
    </w:p>
    <w:p w14:paraId="38E57BE1" w14:textId="3DDF483F" w:rsidR="005615D7" w:rsidRPr="00B41BB2" w:rsidRDefault="00B41BB2" w:rsidP="00B41BB2">
      <w:pPr>
        <w:spacing w:before="360" w:after="0" w:line="240" w:lineRule="auto"/>
        <w:jc w:val="both"/>
        <w:rPr>
          <w:rFonts w:ascii="Times New Roman" w:eastAsia="Times New Roman" w:hAnsi="Times New Roman"/>
          <w:i/>
          <w:sz w:val="24"/>
          <w:szCs w:val="24"/>
          <w:lang w:eastAsia="en-GB"/>
        </w:rPr>
      </w:pPr>
      <w:r w:rsidRPr="005615D7">
        <w:rPr>
          <w:rFonts w:ascii="Times New Roman" w:eastAsia="Times New Roman" w:hAnsi="Times New Roman"/>
          <w:i/>
          <w:sz w:val="24"/>
          <w:szCs w:val="24"/>
          <w:lang w:eastAsia="en-GB"/>
        </w:rPr>
        <w:t xml:space="preserve">This </w:t>
      </w:r>
      <w:r>
        <w:rPr>
          <w:rFonts w:ascii="Times New Roman" w:eastAsia="Times New Roman" w:hAnsi="Times New Roman"/>
          <w:i/>
          <w:sz w:val="24"/>
          <w:szCs w:val="24"/>
          <w:lang w:eastAsia="en-GB"/>
        </w:rPr>
        <w:t>form must be used by Member States for the notification of any</w:t>
      </w:r>
      <w:r w:rsidRPr="005615D7">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aid for</w:t>
      </w:r>
      <w:r w:rsidR="00395D32" w:rsidRPr="00395D32">
        <w:rPr>
          <w:rFonts w:ascii="Times New Roman" w:eastAsia="Times New Roman" w:hAnsi="Times New Roman"/>
          <w:i/>
          <w:sz w:val="24"/>
          <w:szCs w:val="24"/>
          <w:lang w:eastAsia="en-GB"/>
        </w:rPr>
        <w:t xml:space="preserve"> investments in equipment that contributes to increasing safety, including equipment enabling vessels to extend their fishing zones, for small-scale coastal fishing in outermost regions</w:t>
      </w:r>
      <w:r w:rsidR="00256D84"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 xml:space="preserve">as described in Section </w:t>
      </w:r>
      <w:r w:rsidR="00E934EF">
        <w:rPr>
          <w:rFonts w:ascii="Times New Roman" w:eastAsia="Times New Roman" w:hAnsi="Times New Roman"/>
          <w:i/>
          <w:sz w:val="24"/>
          <w:szCs w:val="24"/>
          <w:lang w:eastAsia="en-GB"/>
        </w:rPr>
        <w:t>2.</w:t>
      </w:r>
      <w:r w:rsidR="00395D32">
        <w:rPr>
          <w:rFonts w:ascii="Times New Roman" w:eastAsia="Times New Roman" w:hAnsi="Times New Roman"/>
          <w:i/>
          <w:sz w:val="24"/>
          <w:szCs w:val="24"/>
          <w:lang w:eastAsia="en-GB"/>
        </w:rPr>
        <w:t>3</w:t>
      </w:r>
      <w:r w:rsidR="007D193E" w:rsidRPr="001E103F">
        <w:rPr>
          <w:rFonts w:ascii="Times New Roman" w:eastAsia="Times New Roman" w:hAnsi="Times New Roman"/>
          <w:i/>
          <w:sz w:val="24"/>
          <w:szCs w:val="24"/>
          <w:lang w:eastAsia="en-GB"/>
        </w:rPr>
        <w:t xml:space="preserve"> of</w:t>
      </w:r>
      <w:r w:rsidR="005615D7" w:rsidRPr="001E103F">
        <w:rPr>
          <w:rFonts w:ascii="Times New Roman" w:eastAsia="Times New Roman" w:hAnsi="Times New Roman"/>
          <w:i/>
          <w:sz w:val="24"/>
          <w:szCs w:val="24"/>
          <w:lang w:eastAsia="en-GB"/>
        </w:rPr>
        <w:t xml:space="preserve"> Chapter </w:t>
      </w:r>
      <w:r w:rsidR="00E934EF">
        <w:rPr>
          <w:rFonts w:ascii="Times New Roman" w:eastAsia="Times New Roman" w:hAnsi="Times New Roman"/>
          <w:i/>
          <w:sz w:val="24"/>
          <w:szCs w:val="24"/>
          <w:lang w:eastAsia="en-GB"/>
        </w:rPr>
        <w:t>2</w:t>
      </w:r>
      <w:r w:rsidR="005615D7" w:rsidRPr="001E103F">
        <w:rPr>
          <w:rFonts w:ascii="Times New Roman" w:eastAsia="Times New Roman" w:hAnsi="Times New Roman"/>
          <w:i/>
          <w:sz w:val="24"/>
          <w:szCs w:val="24"/>
          <w:lang w:eastAsia="en-GB"/>
        </w:rPr>
        <w:t xml:space="preserve"> of Part II of the </w:t>
      </w:r>
      <w:r w:rsidR="007D193E" w:rsidRPr="001E103F">
        <w:rPr>
          <w:rFonts w:ascii="Times New Roman" w:eastAsia="Times New Roman" w:hAnsi="Times New Roman"/>
          <w:i/>
          <w:sz w:val="24"/>
          <w:szCs w:val="24"/>
          <w:lang w:eastAsia="en-GB"/>
        </w:rPr>
        <w:t>Guidelines for State aid in the fishery and aquaculture sector</w:t>
      </w:r>
      <w:r w:rsidR="006E55F9">
        <w:rPr>
          <w:rStyle w:val="FootnoteReference"/>
          <w:rFonts w:ascii="Times New Roman" w:eastAsia="Times New Roman" w:hAnsi="Times New Roman"/>
          <w:i/>
          <w:sz w:val="24"/>
          <w:szCs w:val="24"/>
          <w:lang w:eastAsia="en-GB"/>
        </w:rPr>
        <w:footnoteReference w:id="1"/>
      </w:r>
      <w:r w:rsidR="007D193E"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('the Guidelines').</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B41BB2">
        <w:rPr>
          <w:rFonts w:ascii="Times New Roman" w:eastAsia="Times New Roman" w:hAnsi="Times New Roman"/>
          <w:sz w:val="24"/>
          <w:szCs w:val="24"/>
          <w:lang w:eastAsia="en-GB"/>
        </w:rPr>
        <w:t>Please identify the outermost region</w:t>
      </w:r>
      <w:r w:rsidR="00B41BB2" w:rsidRPr="00B41BB2">
        <w:rPr>
          <w:rFonts w:ascii="Times New Roman" w:eastAsia="Times New Roman" w:hAnsi="Times New Roman"/>
          <w:sz w:val="24"/>
          <w:szCs w:val="24"/>
          <w:lang w:eastAsia="en-GB"/>
        </w:rPr>
        <w:t xml:space="preserve">(s) </w:t>
      </w:r>
      <w:r w:rsidR="00B41BB2" w:rsidRPr="00B41BB2">
        <w:rPr>
          <w:rFonts w:ascii="Times New Roman" w:hAnsi="Times New Roman"/>
          <w:sz w:val="24"/>
          <w:szCs w:val="24"/>
        </w:rPr>
        <w:t xml:space="preserve">referred to in Article 349 TFEU </w:t>
      </w:r>
      <w:r w:rsidRPr="00B41BB2">
        <w:rPr>
          <w:rFonts w:ascii="Times New Roman" w:eastAsia="Times New Roman" w:hAnsi="Times New Roman"/>
          <w:sz w:val="24"/>
          <w:szCs w:val="24"/>
          <w:lang w:eastAsia="en-GB"/>
        </w:rPr>
        <w:t>concerned by the measure.</w:t>
      </w:r>
    </w:p>
    <w:p w14:paraId="265C4F2D" w14:textId="338DE00F" w:rsidR="00E934EF" w:rsidRDefault="003F4946" w:rsidP="00B41BB2">
      <w:pPr>
        <w:rPr>
          <w:rFonts w:ascii="Times New Roman" w:eastAsia="Times New Roman" w:hAnsi="Times New Roman"/>
          <w:sz w:val="24"/>
          <w:szCs w:val="24"/>
          <w:lang w:eastAsia="en-GB"/>
        </w:rPr>
      </w:pPr>
      <w:r w:rsidRPr="00512201">
        <w:rPr>
          <w:rFonts w:ascii="Times New Roman" w:eastAsia="Times New Roman" w:hAnsi="Times New Roman"/>
          <w:sz w:val="24"/>
          <w:szCs w:val="24"/>
          <w:lang w:eastAsia="en-GB"/>
        </w:rPr>
        <w:t>………………………………………………………………………………………………….</w:t>
      </w:r>
    </w:p>
    <w:p w14:paraId="2FA7B21E" w14:textId="13DD10AC" w:rsidR="00DD59E4"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explain how the measure </w:t>
      </w:r>
      <w:r w:rsidRPr="00DD59E4">
        <w:rPr>
          <w:rFonts w:ascii="Times New Roman" w:eastAsia="Times New Roman" w:hAnsi="Times New Roman"/>
          <w:sz w:val="24"/>
          <w:szCs w:val="24"/>
          <w:lang w:eastAsia="en-GB"/>
        </w:rPr>
        <w:t>contribute</w:t>
      </w:r>
      <w:r>
        <w:rPr>
          <w:rFonts w:ascii="Times New Roman" w:eastAsia="Times New Roman" w:hAnsi="Times New Roman"/>
          <w:sz w:val="24"/>
          <w:szCs w:val="24"/>
          <w:lang w:eastAsia="en-GB"/>
        </w:rPr>
        <w:t>s</w:t>
      </w:r>
      <w:r w:rsidRPr="00DD59E4">
        <w:rPr>
          <w:rFonts w:ascii="Times New Roman" w:eastAsia="Times New Roman" w:hAnsi="Times New Roman"/>
          <w:sz w:val="24"/>
          <w:szCs w:val="24"/>
          <w:lang w:eastAsia="en-GB"/>
        </w:rPr>
        <w:t xml:space="preserve"> to strengthening economically, socially and environmentally sustainable fishing activities, improving safety and working conditions on board and, where applicable, enabling fishing vessels to extend their fishing zones up to 20 miles from the coast, for small-scale coastal fishing</w:t>
      </w:r>
      <w:r>
        <w:rPr>
          <w:rFonts w:ascii="Times New Roman" w:eastAsia="Times New Roman" w:hAnsi="Times New Roman"/>
          <w:sz w:val="24"/>
          <w:szCs w:val="24"/>
          <w:lang w:eastAsia="en-GB"/>
        </w:rPr>
        <w:t>.</w:t>
      </w:r>
    </w:p>
    <w:p w14:paraId="13824094" w14:textId="6F70CE6A" w:rsidR="0098313D" w:rsidRDefault="00DD59E4" w:rsidP="00D147BD">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BE06FEF" w14:textId="2F516B5C" w:rsidR="00DD59E4"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D147BD">
        <w:rPr>
          <w:rFonts w:ascii="Times New Roman" w:eastAsia="Times New Roman" w:hAnsi="Times New Roman"/>
          <w:sz w:val="24"/>
          <w:szCs w:val="24"/>
          <w:lang w:eastAsia="en-GB"/>
        </w:rPr>
        <w:t>confirm</w:t>
      </w:r>
      <w:r>
        <w:rPr>
          <w:rFonts w:ascii="Times New Roman" w:eastAsia="Times New Roman" w:hAnsi="Times New Roman"/>
          <w:sz w:val="24"/>
          <w:szCs w:val="24"/>
          <w:lang w:eastAsia="en-GB"/>
        </w:rPr>
        <w:t xml:space="preserve"> whether, b</w:t>
      </w:r>
      <w:r w:rsidRPr="0098313D">
        <w:rPr>
          <w:rFonts w:ascii="Times New Roman" w:eastAsia="Times New Roman" w:hAnsi="Times New Roman"/>
          <w:sz w:val="24"/>
          <w:szCs w:val="24"/>
          <w:lang w:eastAsia="en-GB"/>
        </w:rPr>
        <w:t>y way of derogation from point (47)</w:t>
      </w:r>
      <w:r>
        <w:rPr>
          <w:rFonts w:ascii="Times New Roman" w:eastAsia="Times New Roman" w:hAnsi="Times New Roman"/>
          <w:sz w:val="24"/>
          <w:szCs w:val="24"/>
          <w:lang w:eastAsia="en-GB"/>
        </w:rPr>
        <w:t xml:space="preserve"> of the Guidelines</w:t>
      </w:r>
      <w:r w:rsidRPr="0098313D">
        <w:rPr>
          <w:rFonts w:ascii="Times New Roman" w:eastAsia="Times New Roman" w:hAnsi="Times New Roman"/>
          <w:sz w:val="24"/>
          <w:szCs w:val="24"/>
          <w:lang w:eastAsia="en-GB"/>
        </w:rPr>
        <w:t>, aid can be granted to meet mandatory Union or national requirements</w:t>
      </w:r>
      <w:r w:rsidR="007B7FA6">
        <w:rPr>
          <w:rFonts w:ascii="Times New Roman" w:eastAsia="Times New Roman" w:hAnsi="Times New Roman"/>
          <w:sz w:val="24"/>
          <w:szCs w:val="24"/>
          <w:lang w:eastAsia="en-GB"/>
        </w:rPr>
        <w:t>:</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D6704F">
        <w:rPr>
          <w:rFonts w:ascii="Times New Roman" w:eastAsia="Times New Roman" w:hAnsi="Times New Roman"/>
          <w:b/>
          <w:sz w:val="24"/>
          <w:szCs w:val="24"/>
          <w:lang w:eastAsia="en-GB"/>
        </w:rPr>
      </w:r>
      <w:r w:rsidR="00D6704F">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D6704F">
        <w:rPr>
          <w:rFonts w:ascii="Times New Roman" w:eastAsia="Times New Roman" w:hAnsi="Times New Roman"/>
          <w:b/>
          <w:sz w:val="24"/>
          <w:szCs w:val="24"/>
          <w:lang w:eastAsia="en-GB"/>
        </w:rPr>
      </w:r>
      <w:r w:rsidR="00D6704F">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7B7FA6">
        <w:rPr>
          <w:rFonts w:ascii="Times New Roman" w:eastAsia="Times New Roman" w:hAnsi="Times New Roman"/>
          <w:sz w:val="24"/>
          <w:szCs w:val="24"/>
          <w:lang w:eastAsia="en-GB"/>
        </w:rPr>
        <w:t>describe the mandatory Union or national requirements concerned and provide a justification as to why such a derogation is necessary.</w:t>
      </w:r>
    </w:p>
    <w:p w14:paraId="4C3A6625" w14:textId="77777777" w:rsidR="00D147BD" w:rsidRDefault="00D147BD" w:rsidP="00D147BD">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683E136D" w14:textId="19F910F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w:t>
      </w:r>
      <w:r w:rsidR="007B7FA6">
        <w:rPr>
          <w:rFonts w:ascii="Times New Roman" w:eastAsia="Times New Roman" w:hAnsi="Times New Roman"/>
          <w:sz w:val="24"/>
          <w:szCs w:val="24"/>
          <w:lang w:eastAsia="en-GB"/>
        </w:rPr>
        <w:t xml:space="preserve">that </w:t>
      </w:r>
      <w:r>
        <w:rPr>
          <w:rFonts w:ascii="Times New Roman" w:eastAsia="Times New Roman" w:hAnsi="Times New Roman"/>
          <w:sz w:val="24"/>
          <w:szCs w:val="24"/>
          <w:lang w:eastAsia="en-GB"/>
        </w:rPr>
        <w:t>the measure</w:t>
      </w:r>
      <w:r w:rsidR="007B7FA6">
        <w:rPr>
          <w:rFonts w:ascii="Times New Roman" w:eastAsia="Times New Roman" w:hAnsi="Times New Roman"/>
          <w:sz w:val="24"/>
          <w:szCs w:val="24"/>
          <w:lang w:eastAsia="en-GB"/>
        </w:rPr>
        <w:t xml:space="preserve"> does</w:t>
      </w:r>
      <w:r w:rsidR="007B7FA6" w:rsidRPr="007B7FA6">
        <w:rPr>
          <w:rFonts w:ascii="Times New Roman" w:eastAsia="Times New Roman" w:hAnsi="Times New Roman"/>
          <w:i/>
          <w:iCs/>
          <w:sz w:val="24"/>
          <w:szCs w:val="24"/>
          <w:lang w:eastAsia="en-GB"/>
        </w:rPr>
        <w:t xml:space="preserve"> not</w:t>
      </w:r>
      <w:r>
        <w:rPr>
          <w:rFonts w:ascii="Times New Roman" w:eastAsia="Times New Roman" w:hAnsi="Times New Roman"/>
          <w:sz w:val="24"/>
          <w:szCs w:val="24"/>
          <w:lang w:eastAsia="en-GB"/>
        </w:rPr>
        <w:t xml:space="preserve"> </w:t>
      </w:r>
      <w:r w:rsidR="007B7FA6">
        <w:rPr>
          <w:rFonts w:ascii="Times New Roman" w:eastAsia="Times New Roman" w:hAnsi="Times New Roman"/>
          <w:sz w:val="24"/>
          <w:szCs w:val="24"/>
          <w:lang w:eastAsia="en-GB"/>
        </w:rPr>
        <w:t>entails</w:t>
      </w:r>
      <w:r>
        <w:rPr>
          <w:rFonts w:ascii="Times New Roman" w:eastAsia="Times New Roman" w:hAnsi="Times New Roman"/>
          <w:sz w:val="24"/>
          <w:szCs w:val="24"/>
          <w:lang w:eastAsia="en-GB"/>
        </w:rPr>
        <w:t>:</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D6704F">
        <w:rPr>
          <w:rFonts w:ascii="Times New Roman" w:eastAsia="Times New Roman" w:hAnsi="Times New Roman"/>
          <w:b/>
          <w:sz w:val="24"/>
          <w:szCs w:val="24"/>
          <w:lang w:eastAsia="en-GB"/>
        </w:rPr>
      </w:r>
      <w:r w:rsidR="00D6704F">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003F4946">
        <w:rPr>
          <w:rFonts w:ascii="Times New Roman" w:eastAsia="Times New Roman" w:hAnsi="Times New Roman"/>
          <w:sz w:val="24"/>
          <w:szCs w:val="24"/>
          <w:lang w:eastAsia="en-GB"/>
        </w:rPr>
        <w:t>the</w:t>
      </w:r>
      <w:r w:rsidR="0098313D" w:rsidRPr="0098313D">
        <w:rPr>
          <w:rFonts w:ascii="Times New Roman" w:eastAsia="Times New Roman" w:hAnsi="Times New Roman"/>
          <w:sz w:val="24"/>
          <w:szCs w:val="24"/>
          <w:lang w:eastAsia="en-GB"/>
        </w:rPr>
        <w:t xml:space="preserve"> replacement or modernisation of a main or ancillary engine of a fishing vessel</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D6704F">
        <w:rPr>
          <w:rFonts w:ascii="Times New Roman" w:eastAsia="Times New Roman" w:hAnsi="Times New Roman"/>
          <w:b/>
          <w:sz w:val="24"/>
          <w:szCs w:val="24"/>
          <w:lang w:eastAsia="en-GB"/>
        </w:rPr>
      </w:r>
      <w:r w:rsidR="00D6704F">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 xml:space="preserve"> </w:t>
      </w:r>
      <w:r w:rsidR="0098313D" w:rsidRPr="007B7FA6">
        <w:rPr>
          <w:rFonts w:ascii="Times New Roman" w:eastAsia="Times New Roman" w:hAnsi="Times New Roman"/>
          <w:sz w:val="24"/>
          <w:szCs w:val="24"/>
          <w:lang w:eastAsia="en-GB"/>
        </w:rPr>
        <w:t>an increase in the gross tonnage of a fishing vessel</w:t>
      </w:r>
      <w:r>
        <w:rPr>
          <w:rFonts w:ascii="Times New Roman" w:eastAsia="Times New Roman" w:hAnsi="Times New Roman"/>
          <w:sz w:val="24"/>
          <w:szCs w:val="24"/>
          <w:lang w:eastAsia="en-GB"/>
        </w:rPr>
        <w:t>.</w:t>
      </w:r>
    </w:p>
    <w:p w14:paraId="7D6C48C3" w14:textId="528D968F" w:rsidR="007B7FA6" w:rsidRPr="007B7FA6" w:rsidRDefault="007B7FA6" w:rsidP="007B7FA6">
      <w:pPr>
        <w:spacing w:after="0" w:line="240" w:lineRule="auto"/>
        <w:jc w:val="both"/>
        <w:rPr>
          <w:rFonts w:ascii="Times New Roman" w:eastAsia="Times New Roman" w:hAnsi="Times New Roman"/>
          <w:sz w:val="24"/>
          <w:szCs w:val="24"/>
          <w:lang w:val="en-IE" w:eastAsia="en-GB"/>
        </w:rPr>
      </w:pPr>
      <w:r w:rsidRPr="007B7FA6">
        <w:rPr>
          <w:rFonts w:ascii="Times New Roman" w:eastAsia="Times New Roman" w:hAnsi="Times New Roman"/>
          <w:i/>
          <w:iCs/>
          <w:sz w:val="24"/>
          <w:szCs w:val="24"/>
          <w:lang w:eastAsia="en-GB"/>
        </w:rPr>
        <w:t>Please note that pursuant to points 235 and 236 of the Guidelines, a</w:t>
      </w:r>
      <w:r w:rsidRPr="007B7FA6">
        <w:rPr>
          <w:rFonts w:ascii="Times New Roman" w:hAnsi="Times New Roman"/>
          <w:i/>
          <w:iCs/>
          <w:color w:val="000000"/>
          <w:sz w:val="23"/>
          <w:szCs w:val="23"/>
          <w:lang w:val="en-IE"/>
        </w:rPr>
        <w:t xml:space="preserve">id for investments entailing the replacement or modernisation of a main or ancillary engine of a fishing vessel may only be eligible pursuant to Article 18 of Regulation (EU) 2021/1139 or under Part II, Chapter 3, Section 3.2, of the Guidelines; and aid for investments leading to an increase in the gross tonnage of a fishing vessel may only be eligible pursuant to Article 19 of Regulation (EU) 2021/1139 or under Part II, Chapter 3, Section 3.3, of the Guidelines.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a detailed description of the costs that are eligible under the measure.</w:t>
      </w:r>
    </w:p>
    <w:p w14:paraId="74434B51" w14:textId="77777777" w:rsidR="0098313D" w:rsidRDefault="0098313D" w:rsidP="0098313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lastRenderedPageBreak/>
        <w:t>………………………………………………………………………………………………….</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 xml:space="preserve">Please </w:t>
      </w:r>
      <w:r>
        <w:rPr>
          <w:rFonts w:ascii="Times New Roman" w:eastAsia="Times New Roman" w:hAnsi="Times New Roman"/>
          <w:sz w:val="24"/>
          <w:szCs w:val="24"/>
          <w:lang w:eastAsia="en-GB"/>
        </w:rPr>
        <w:t xml:space="preserve">confirm that </w:t>
      </w:r>
      <w:r w:rsidR="00D6704F">
        <w:rPr>
          <w:rFonts w:ascii="Times New Roman" w:eastAsia="Times New Roman" w:hAnsi="Times New Roman"/>
          <w:sz w:val="24"/>
          <w:szCs w:val="24"/>
          <w:lang w:eastAsia="en-GB"/>
        </w:rPr>
        <w:t xml:space="preserve">the measure prescribes that </w:t>
      </w:r>
      <w:r>
        <w:rPr>
          <w:rFonts w:ascii="Times New Roman" w:eastAsia="Times New Roman" w:hAnsi="Times New Roman"/>
          <w:sz w:val="24"/>
          <w:szCs w:val="24"/>
          <w:lang w:eastAsia="en-GB"/>
        </w:rPr>
        <w:t xml:space="preserve">the </w:t>
      </w:r>
      <w:r w:rsidRPr="00252DEE">
        <w:rPr>
          <w:rFonts w:ascii="Times New Roman" w:eastAsia="Times New Roman" w:hAnsi="Times New Roman"/>
          <w:sz w:val="24"/>
          <w:szCs w:val="24"/>
          <w:lang w:eastAsia="en-GB"/>
        </w:rPr>
        <w:t>maximum aid intensity</w:t>
      </w:r>
      <w:r>
        <w:rPr>
          <w:rFonts w:ascii="Times New Roman" w:eastAsia="Times New Roman" w:hAnsi="Times New Roman"/>
          <w:sz w:val="24"/>
          <w:szCs w:val="24"/>
          <w:lang w:eastAsia="en-GB"/>
        </w:rPr>
        <w:t xml:space="preserve"> </w:t>
      </w:r>
      <w:r w:rsidR="00AF6D28">
        <w:rPr>
          <w:rFonts w:ascii="Times New Roman" w:eastAsia="Times New Roman" w:hAnsi="Times New Roman"/>
          <w:sz w:val="24"/>
          <w:szCs w:val="24"/>
          <w:lang w:eastAsia="en-GB"/>
        </w:rPr>
        <w:t xml:space="preserve">does not exceed </w:t>
      </w:r>
      <w:r w:rsidRPr="00C948E8">
        <w:rPr>
          <w:rFonts w:ascii="Times New Roman" w:eastAsia="Times New Roman" w:hAnsi="Times New Roman"/>
          <w:sz w:val="24"/>
          <w:szCs w:val="24"/>
          <w:lang w:eastAsia="en-GB"/>
        </w:rPr>
        <w:t>100 %</w:t>
      </w:r>
      <w:r w:rsidRPr="00DD442C">
        <w:rPr>
          <w:rFonts w:ascii="Times New Roman" w:eastAsia="Times New Roman" w:hAnsi="Times New Roman"/>
          <w:sz w:val="24"/>
          <w:szCs w:val="24"/>
          <w:lang w:eastAsia="en-GB"/>
        </w:rPr>
        <w:t xml:space="preserve"> of the eligible costs</w:t>
      </w:r>
      <w:r>
        <w:rPr>
          <w:rFonts w:ascii="Times New Roman" w:eastAsia="Times New Roman" w:hAnsi="Times New Roman"/>
          <w:sz w:val="24"/>
          <w:szCs w:val="24"/>
          <w:lang w:eastAsia="en-GB"/>
        </w:rPr>
        <w:t>.</w:t>
      </w:r>
    </w:p>
    <w:p w14:paraId="183319C1" w14:textId="77777777" w:rsidR="0098313D" w:rsidRDefault="0098313D" w:rsidP="0098313D">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intensity(ies) applicable under the measure.</w:t>
      </w:r>
    </w:p>
    <w:p w14:paraId="74D79D94" w14:textId="77777777" w:rsidR="00AF6D28" w:rsidRDefault="00AF6D28" w:rsidP="00AF6D28">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0" w:name="_Hlk125368675"/>
      <w:r>
        <w:rPr>
          <w:rFonts w:ascii="Times New Roman" w:eastAsia="Times New Roman" w:hAnsi="Times New Roman"/>
          <w:sz w:val="24"/>
          <w:szCs w:val="24"/>
          <w:lang w:eastAsia="en-GB"/>
        </w:rPr>
        <w:t xml:space="preserve">Please identify the provision(s) of the legal basis setting </w:t>
      </w:r>
      <w:r w:rsidR="00774407">
        <w:rPr>
          <w:rFonts w:ascii="Times New Roman" w:eastAsia="Times New Roman" w:hAnsi="Times New Roman"/>
          <w:sz w:val="24"/>
          <w:szCs w:val="24"/>
          <w:lang w:eastAsia="en-GB"/>
        </w:rPr>
        <w:t xml:space="preserve">out </w:t>
      </w:r>
      <w:r>
        <w:rPr>
          <w:rFonts w:ascii="Times New Roman" w:eastAsia="Times New Roman" w:hAnsi="Times New Roman"/>
          <w:sz w:val="24"/>
          <w:szCs w:val="24"/>
          <w:lang w:eastAsia="en-GB"/>
        </w:rPr>
        <w:t>the maximum aid intensity</w:t>
      </w:r>
      <w:r w:rsidR="00AF6D28">
        <w:rPr>
          <w:rFonts w:ascii="Times New Roman" w:eastAsia="Times New Roman" w:hAnsi="Times New Roman"/>
          <w:sz w:val="24"/>
          <w:szCs w:val="24"/>
          <w:lang w:eastAsia="en-GB"/>
        </w:rPr>
        <w:t>(ies)</w:t>
      </w:r>
      <w:r>
        <w:rPr>
          <w:rFonts w:ascii="Times New Roman" w:eastAsia="Times New Roman" w:hAnsi="Times New Roman"/>
          <w:sz w:val="24"/>
          <w:szCs w:val="24"/>
          <w:lang w:eastAsia="en-GB"/>
        </w:rPr>
        <w:t xml:space="preserve"> </w:t>
      </w:r>
      <w:r w:rsidR="00D6704F">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0E1683EF" w14:textId="1CD5C68A" w:rsidR="003F1D62" w:rsidRPr="001E103F" w:rsidRDefault="0098313D" w:rsidP="007B7FA6">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227C2D0E" w14:textId="77777777" w:rsidR="005615D7" w:rsidRPr="001E103F" w:rsidRDefault="005615D7" w:rsidP="005615D7">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rPr>
        <w:noProof/>
      </w:rPr>
      <w:t>1</w:t>
    </w:r>
    <w:r>
      <w:rPr>
        <w:noProof/>
      </w:rP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rPr>
          <w:lang w:val="fr-BE"/>
        </w:rPr>
      </w:pPr>
      <w:r>
        <w:rPr>
          <w:rStyle w:val="FootnoteReference"/>
        </w:rPr>
        <w:footnoteRef/>
      </w:r>
      <w:r>
        <w:t xml:space="preserve"> </w:t>
      </w:r>
      <w:r w:rsidRPr="007F681A">
        <w:rPr>
          <w:rFonts w:ascii="Times New Roman" w:hAnsi="Times New Roman"/>
        </w:rPr>
        <w:t>OJ C 107, 23.03.2023,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Pages>
  <Words>436</Words>
  <Characters>2594</Characters>
  <Application>Microsoft Office Word</Application>
  <DocSecurity>0</DocSecurity>
  <Lines>61</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71</cp:revision>
  <dcterms:created xsi:type="dcterms:W3CDTF">2023-01-05T14:31:00Z</dcterms:created>
  <dcterms:modified xsi:type="dcterms:W3CDTF">2024-05-31T08:03:00Z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