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A52AE4"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2.2</w:t>
      </w:r>
    </w:p>
    <w:p w14:paraId="7788A656" w14:textId="61D07F8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Supplerende informationsskema om</w:t>
      </w:r>
      <w:r>
        <w:rPr>
          <w:rFonts w:ascii="Times New Roman" w:hAnsi="Times New Roman"/>
          <w:b/>
          <w:smallCaps/>
          <w:sz w:val="24"/>
        </w:rPr>
        <w:br/>
        <w:t>støtte til fornyelse af fiskerflåden i regioner i den yderste periferi</w:t>
      </w:r>
    </w:p>
    <w:p w14:paraId="50622FA5" w14:textId="241292A4" w:rsidR="005615D7"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1E103F" w:rsidRDefault="00A52AE4" w:rsidP="00A52AE4">
      <w:pPr>
        <w:spacing w:after="0" w:line="240" w:lineRule="auto"/>
        <w:rPr>
          <w:rFonts w:ascii="Times New Roman" w:eastAsia="Times New Roman" w:hAnsi="Times New Roman"/>
          <w:sz w:val="24"/>
          <w:szCs w:val="24"/>
          <w:lang w:eastAsia="en-GB"/>
        </w:rPr>
      </w:pPr>
    </w:p>
    <w:p w14:paraId="61CAB743" w14:textId="24F6F197" w:rsidR="005615D7" w:rsidRPr="001E103F" w:rsidRDefault="000D36C1" w:rsidP="00A52AE4">
      <w:pPr>
        <w:spacing w:after="0" w:line="240" w:lineRule="auto"/>
        <w:jc w:val="both"/>
        <w:rPr>
          <w:rFonts w:ascii="Times New Roman" w:eastAsia="Times New Roman" w:hAnsi="Times New Roman"/>
          <w:i/>
          <w:sz w:val="24"/>
          <w:szCs w:val="24"/>
        </w:rPr>
      </w:pPr>
      <w:r>
        <w:rPr>
          <w:rFonts w:ascii="Times New Roman" w:hAnsi="Times New Roman"/>
          <w:i/>
          <w:sz w:val="24"/>
        </w:rPr>
        <w:t>Medlemsstaterne anvender dette informationsskema ved anmeldelse af statsstøtte til fornyelse af fiskerflåden i regioner i den yderste periferi som beskrevet i del II, kapitel 2, afsnit 2.2, i retningslinjerne for statsstøtte til fiskeri- og akvakultursektoren</w:t>
      </w:r>
      <w:r w:rsidR="00504ACF">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("retningslinjerne").</w:t>
      </w:r>
    </w:p>
    <w:p w14:paraId="265C4F2D" w14:textId="16CF0877" w:rsidR="00E934EF"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Default="00A52AE4" w:rsidP="002256A7">
      <w:pPr>
        <w:pStyle w:val="Default"/>
        <w:rPr>
          <w:rFonts w:eastAsia="Times New Roman"/>
        </w:rPr>
      </w:pPr>
      <w:r>
        <w:t>Angiv, hvilke regioner i den yderste periferi, jf. artikel 349 i TEUF, der er berørt af foranstaltningen:</w:t>
      </w:r>
    </w:p>
    <w:p w14:paraId="28E14E59" w14:textId="2BBB07BE" w:rsidR="00A52AE4" w:rsidRPr="001E103F" w:rsidRDefault="00A52AE4" w:rsidP="000D36C1">
      <w:pPr>
        <w:rPr>
          <w:rFonts w:ascii="Times New Roman" w:eastAsia="Times New Roman" w:hAnsi="Times New Roman"/>
          <w:sz w:val="24"/>
          <w:szCs w:val="24"/>
        </w:rPr>
      </w:pPr>
      <w:r>
        <w:rPr>
          <w:rFonts w:ascii="Times New Roman" w:hAnsi="Times New Roman"/>
          <w:sz w:val="24"/>
        </w:rPr>
        <w:t>………………………………………………………………………………………………….</w:t>
      </w:r>
    </w:p>
    <w:p w14:paraId="51F40601" w14:textId="3331453D" w:rsidR="00E934EF" w:rsidRDefault="00E934EF" w:rsidP="00B873A1">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de nye fiskerfartøjer, der erhverves med støtten, skal opfylde Unionens og nationale regler om hygiejne, sundhed, sikkerhed og arbejdsvilkår for arbejde om bord på fiskerfartøjer samt for fiskerfartøjers karakteristika:</w:t>
      </w:r>
    </w:p>
    <w:p w14:paraId="5267DC1F" w14:textId="75747510"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0D9BE7C9"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Default="00E934EF" w:rsidP="00E934EF">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4A362DF2" w14:textId="758D29D9" w:rsidR="00E934EF" w:rsidRDefault="00E934EF" w:rsidP="006177B3">
      <w:pPr>
        <w:rPr>
          <w:rFonts w:ascii="Times New Roman" w:eastAsia="Times New Roman" w:hAnsi="Times New Roman"/>
          <w:sz w:val="24"/>
          <w:szCs w:val="24"/>
        </w:rPr>
      </w:pPr>
      <w:r>
        <w:rPr>
          <w:rFonts w:ascii="Times New Roman" w:hAnsi="Times New Roman"/>
          <w:sz w:val="24"/>
        </w:rPr>
        <w:t>………………………………………………………………………………………………….</w:t>
      </w:r>
    </w:p>
    <w:p w14:paraId="1EE346D6" w14:textId="6D3E1C2F" w:rsidR="00E934EF" w:rsidRPr="00E934EF" w:rsidRDefault="00E934EF" w:rsidP="00E934EF">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den støttemodtagende virksomhed på datoen for støtteansøgningen skal have sit primære registreringssted i den region i den yderste periferi, hvor det nye fiskerfartøj skal registreres:</w:t>
      </w:r>
    </w:p>
    <w:p w14:paraId="4D18E03E" w14:textId="02CC1F2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569AA16B"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766F2B" w:rsidRDefault="00E934EF" w:rsidP="003A1EAC">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angives registreringsstedet:</w:t>
      </w:r>
    </w:p>
    <w:p w14:paraId="1B2867AB" w14:textId="2CC93EA0" w:rsidR="00E934EF" w:rsidRDefault="00E934EF" w:rsidP="00845C0D">
      <w:pPr>
        <w:rPr>
          <w:rFonts w:ascii="Times New Roman" w:eastAsia="Times New Roman" w:hAnsi="Times New Roman"/>
          <w:sz w:val="24"/>
          <w:szCs w:val="24"/>
        </w:rPr>
      </w:pPr>
      <w:r>
        <w:rPr>
          <w:rFonts w:ascii="Times New Roman" w:hAnsi="Times New Roman"/>
          <w:sz w:val="24"/>
        </w:rPr>
        <w:t>………………………………………………………………………………………………….</w:t>
      </w:r>
    </w:p>
    <w:p w14:paraId="18B2607B" w14:textId="7AF4E6AC" w:rsidR="009C1330" w:rsidRDefault="009C1330" w:rsidP="009C133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 henhold til punkt (223) i retningslinjerne skal den rapport, der er udarbejdet efter artikel 22, stk. 2 og 3, i forordning (EU) nr. 1380/2013</w:t>
      </w:r>
      <w:r w:rsidR="00376F0F">
        <w:rPr>
          <w:rStyle w:val="FootnoteReference"/>
          <w:rFonts w:ascii="Times New Roman" w:eastAsia="Times New Roman" w:hAnsi="Times New Roman"/>
          <w:sz w:val="24"/>
          <w:szCs w:val="24"/>
          <w:lang w:eastAsia="en-GB"/>
        </w:rPr>
        <w:footnoteReference w:id="2"/>
      </w:r>
      <w:r>
        <w:rPr>
          <w:rFonts w:ascii="Times New Roman" w:hAnsi="Times New Roman"/>
          <w:sz w:val="24"/>
        </w:rPr>
        <w:t>, før denne dato påvise, at der er balance mellem den fiskerikapacitet og de fiskerimuligheder, som flådesegmentet i regionen i den yderste periferi, det nye fartøj vil tilhøre, råder over ("den nationale rapport"). På denne baggrund besvares følgende spørgsmål:</w:t>
      </w:r>
    </w:p>
    <w:p w14:paraId="05A2545C" w14:textId="3F8B0000" w:rsidR="00A52AE4"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9C1330" w:rsidRDefault="00A52AE4" w:rsidP="005C06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Hvornår blev den seneste rapport udarbejdet inden støttetildelingstidspunktet?</w:t>
      </w:r>
    </w:p>
    <w:p w14:paraId="64815BBF" w14:textId="6B6D4444" w:rsidR="00E51CD7" w:rsidRDefault="00A52AE4" w:rsidP="00845C0D">
      <w:pPr>
        <w:rPr>
          <w:rFonts w:ascii="Times New Roman" w:eastAsia="Times New Roman" w:hAnsi="Times New Roman"/>
          <w:sz w:val="24"/>
          <w:szCs w:val="24"/>
        </w:rPr>
      </w:pPr>
      <w:r>
        <w:rPr>
          <w:rFonts w:ascii="Times New Roman" w:hAnsi="Times New Roman"/>
          <w:sz w:val="24"/>
        </w:rPr>
        <w:t>………………………………………………………………………………………………….</w:t>
      </w:r>
      <w:bookmarkStart w:id="0" w:name="_Ref124951182"/>
    </w:p>
    <w:p w14:paraId="3D92824C" w14:textId="65382C4B" w:rsidR="00C17C0E" w:rsidRDefault="00C17C0E" w:rsidP="00AA562C">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1" w:name="_Hlk129253679"/>
      <w:r>
        <w:rPr>
          <w:rFonts w:ascii="Times New Roman" w:hAnsi="Times New Roman"/>
          <w:sz w:val="24"/>
        </w:rPr>
        <w:t>Angiv et link til den seneste nationale rapport eller vedlæg den anmeldelsen:</w:t>
      </w:r>
    </w:p>
    <w:p w14:paraId="6D417808" w14:textId="4A0E0713" w:rsidR="00C17C0E" w:rsidRDefault="00C17C0E" w:rsidP="00C17C0E">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w:t>
      </w:r>
    </w:p>
    <w:bookmarkEnd w:id="1"/>
    <w:p w14:paraId="1732489C" w14:textId="77777777" w:rsidR="00903A9E"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323FDD87" w:rsidR="009A3E77" w:rsidRDefault="009A3E77" w:rsidP="009A3E77">
      <w:pPr>
        <w:numPr>
          <w:ilvl w:val="1"/>
          <w:numId w:val="15"/>
        </w:numPr>
        <w:autoSpaceDE w:val="0"/>
        <w:autoSpaceDN w:val="0"/>
        <w:adjustRightInd w:val="0"/>
        <w:spacing w:after="0" w:line="240" w:lineRule="auto"/>
        <w:jc w:val="both"/>
        <w:rPr>
          <w:rFonts w:ascii="Times New Roman" w:hAnsi="Times New Roman"/>
          <w:color w:val="000000"/>
          <w:sz w:val="23"/>
          <w:szCs w:val="23"/>
        </w:rPr>
      </w:pPr>
      <w:r>
        <w:rPr>
          <w:rFonts w:ascii="Times New Roman" w:hAnsi="Times New Roman"/>
        </w:rPr>
        <w:t>I henhold til punkt (225) i retningslinjerne bekræftes det, at følgende betingelser er opfyldt for al støtte, der skal ydes:</w:t>
      </w:r>
      <w:r>
        <w:rPr>
          <w:rFonts w:ascii="Times New Roman" w:hAnsi="Times New Roman"/>
          <w:color w:val="000000"/>
          <w:sz w:val="23"/>
        </w:rPr>
        <w:t xml:space="preserve"> </w:t>
      </w:r>
    </w:p>
    <w:p w14:paraId="7C1350B0" w14:textId="77777777" w:rsidR="009A3E77" w:rsidRPr="009A3E77" w:rsidRDefault="009A3E77" w:rsidP="009A3E77">
      <w:pPr>
        <w:autoSpaceDE w:val="0"/>
        <w:autoSpaceDN w:val="0"/>
        <w:adjustRightInd w:val="0"/>
        <w:spacing w:after="0" w:line="240" w:lineRule="auto"/>
        <w:ind w:left="792"/>
        <w:jc w:val="both"/>
        <w:rPr>
          <w:rFonts w:ascii="Times New Roman" w:hAnsi="Times New Roman"/>
          <w:color w:val="000000"/>
          <w:sz w:val="23"/>
          <w:szCs w:val="23"/>
          <w:lang w:val="en-IE"/>
        </w:rPr>
      </w:pPr>
    </w:p>
    <w:p w14:paraId="46A0EA18" w14:textId="77114013" w:rsid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Blev den nationale rapport indgivet senest den 31. maj i år N</w:t>
      </w:r>
      <w:r w:rsidR="000345FA">
        <w:rPr>
          <w:rStyle w:val="FootnoteReference"/>
          <w:rFonts w:ascii="Times New Roman" w:eastAsia="Times New Roman" w:hAnsi="Times New Roman"/>
          <w:sz w:val="24"/>
          <w:szCs w:val="24"/>
          <w:lang w:eastAsia="en-GB"/>
        </w:rPr>
        <w:footnoteReference w:id="3"/>
      </w:r>
      <w:r>
        <w:rPr>
          <w:rFonts w:ascii="Times New Roman" w:hAnsi="Times New Roman"/>
          <w:sz w:val="24"/>
        </w:rPr>
        <w:t>?</w:t>
      </w:r>
    </w:p>
    <w:p w14:paraId="2641717D"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5615D7" w:rsidRDefault="005C06D1" w:rsidP="005C06D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3A00AAB0" w14:textId="77777777" w:rsidR="005C06D1"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den nationale rapport, der er indgivet i år N, og især balancevurderingen, er udarbejdet på grundlag af de biologiske og økonomiske indikatorer og de indikatorer for fartøjsanvendelse, der er fastsat i de fælles retningslinjer</w:t>
      </w:r>
      <w:r w:rsidR="001A2686">
        <w:rPr>
          <w:rStyle w:val="FootnoteReference"/>
          <w:rFonts w:ascii="Times New Roman" w:eastAsia="Times New Roman" w:hAnsi="Times New Roman"/>
          <w:sz w:val="24"/>
          <w:szCs w:val="24"/>
          <w:lang w:eastAsia="en-GB"/>
        </w:rPr>
        <w:footnoteReference w:id="4"/>
      </w:r>
      <w:r>
        <w:rPr>
          <w:rFonts w:ascii="Times New Roman" w:hAnsi="Times New Roman"/>
          <w:sz w:val="24"/>
        </w:rPr>
        <w:t>, som er omhandlet i artikel 22, stk. 2, i forordning (EU) nr. 1380/2013.</w:t>
      </w:r>
    </w:p>
    <w:p w14:paraId="7E015FB6" w14:textId="2B66DE40" w:rsidR="009C1330"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Default="005C06D1" w:rsidP="005C06D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329D6E9B" w14:textId="77777777" w:rsidR="00C14894"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5C3488" w:rsidRDefault="00C14894" w:rsidP="00C14894">
      <w:pPr>
        <w:pStyle w:val="Default"/>
        <w:ind w:left="567"/>
        <w:jc w:val="both"/>
        <w:rPr>
          <w:i/>
          <w:iCs/>
          <w:sz w:val="23"/>
          <w:szCs w:val="23"/>
        </w:rPr>
      </w:pPr>
      <w:r>
        <w:rPr>
          <w:i/>
        </w:rPr>
        <w:t>Bemærk, at i henhold til punkt (224) i retningslinjerne må der ikke ydes støtte, hvis den nationale rapport, og navnlig balancevurderingen deri, ikke er udarbejdet på grundlag af de biologiske og økonomiske indikatorer og de indikatorer for fartøjsanvendelse, der er fastsat i de fælles retningslinjer, som er omhandlet i artikel 22, stk. 2, i forordning (EU) nr. 1380/2013.</w:t>
      </w:r>
      <w:r>
        <w:rPr>
          <w:i/>
          <w:sz w:val="23"/>
        </w:rPr>
        <w:t xml:space="preserve"> </w:t>
      </w:r>
    </w:p>
    <w:p w14:paraId="2246B643"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Default="00E934EF"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Påvises det i den nationale rapport fra år N, at der er balance mellem den fiskerikapacitet og de fiskerimuligheder, som flådesegmentet, som det nye fartøj vil tilhøre, råder over:</w:t>
      </w:r>
    </w:p>
    <w:p w14:paraId="687B7BAC"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5615D7"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nej</w:t>
      </w:r>
    </w:p>
    <w:p w14:paraId="2474ED7C" w14:textId="64F83FBD"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Default="00914F8E" w:rsidP="00B85E1C">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Beskriv, hvordan der er taget hensyn til den nationale rapport ved tilrettelæggelsen af foranstaltningen, og hvordan der er opnået balance:</w:t>
      </w:r>
    </w:p>
    <w:p w14:paraId="7BEBB8FB" w14:textId="222F2DAD" w:rsidR="009C1330" w:rsidRDefault="009C1330" w:rsidP="00C8226F">
      <w:pPr>
        <w:rPr>
          <w:rFonts w:ascii="Times New Roman" w:eastAsia="Times New Roman" w:hAnsi="Times New Roman"/>
          <w:sz w:val="24"/>
          <w:szCs w:val="24"/>
        </w:rPr>
      </w:pPr>
      <w:r>
        <w:rPr>
          <w:rFonts w:ascii="Times New Roman" w:hAnsi="Times New Roman"/>
          <w:sz w:val="24"/>
        </w:rPr>
        <w:t>………………………………………………………………………………………………….</w:t>
      </w:r>
    </w:p>
    <w:p w14:paraId="34C76C63" w14:textId="54C769D4" w:rsidR="00E934EF" w:rsidRDefault="00AE0161"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 henhold til punkt (226) i retningslinjerne bekræftes det, at Kommissionen senest den 31. marts i år N+1 ikke har draget tvivl om:</w:t>
      </w:r>
    </w:p>
    <w:p w14:paraId="3AA53C11" w14:textId="77777777" w:rsidR="00920E82"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Default="00920E82" w:rsidP="00920E82">
      <w:pPr>
        <w:autoSpaceDE w:val="0"/>
        <w:autoSpaceDN w:val="0"/>
        <w:adjustRightInd w:val="0"/>
        <w:spacing w:after="0" w:line="240" w:lineRule="auto"/>
        <w:ind w:left="927"/>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4F3E99">
        <w:rPr>
          <w:rFonts w:ascii="Times New Roman" w:eastAsia="Times New Roman" w:hAnsi="Times New Roman"/>
          <w:sz w:val="24"/>
        </w:rPr>
      </w:r>
      <w:r w:rsidR="004F3E99">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 konklusionen i den nationale rapport fra år N </w:t>
      </w:r>
    </w:p>
    <w:p w14:paraId="05DD149D" w14:textId="77777777" w:rsidR="00920E82"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5E495C"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5615D7" w:rsidRDefault="00920E82" w:rsidP="00920E82">
      <w:pPr>
        <w:autoSpaceDE w:val="0"/>
        <w:autoSpaceDN w:val="0"/>
        <w:adjustRightInd w:val="0"/>
        <w:spacing w:after="0" w:line="240" w:lineRule="auto"/>
        <w:ind w:left="774" w:firstLine="153"/>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4F3E99">
        <w:rPr>
          <w:rFonts w:ascii="Times New Roman" w:eastAsia="Times New Roman" w:hAnsi="Times New Roman"/>
          <w:sz w:val="24"/>
        </w:rPr>
      </w:r>
      <w:r w:rsidR="004F3E99">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b/>
          <w:sz w:val="24"/>
        </w:rPr>
        <w:t xml:space="preserve"> </w:t>
      </w:r>
      <w:r>
        <w:rPr>
          <w:rFonts w:ascii="Times New Roman" w:hAnsi="Times New Roman"/>
          <w:sz w:val="24"/>
        </w:rPr>
        <w:t>b) balancevurderingen i den nationale rapport fra år N</w:t>
      </w:r>
    </w:p>
    <w:p w14:paraId="3BB81E4E" w14:textId="77777777" w:rsidR="003D4919" w:rsidRPr="00920E82"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16B99D03" w:rsidR="00E934EF" w:rsidRDefault="00E51CD7"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Bekræft, at foranstaltningen indeholder bestemmelser om, at der kun kan ydes støtte på grundlag af den nationale rapport fra år N indtil den 31. december i år N+1, dvs. året efter året for indgivelse af rapporten: </w:t>
      </w:r>
    </w:p>
    <w:p w14:paraId="65054479" w14:textId="1620B0B3"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1E103F" w:rsidRDefault="00E51CD7" w:rsidP="00E51CD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18A5C77E" w14:textId="77777777" w:rsidR="00E51CD7"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Default="00E51CD7" w:rsidP="00977F8E">
      <w:pPr>
        <w:numPr>
          <w:ilvl w:val="3"/>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90473FA" w14:textId="0C49617E" w:rsidR="003F1D62" w:rsidRDefault="00E51CD7" w:rsidP="00705639">
      <w:pPr>
        <w:rPr>
          <w:rFonts w:ascii="Times New Roman" w:eastAsia="Times New Roman" w:hAnsi="Times New Roman"/>
          <w:sz w:val="24"/>
          <w:szCs w:val="24"/>
        </w:rPr>
      </w:pPr>
      <w:r>
        <w:rPr>
          <w:rFonts w:ascii="Times New Roman" w:hAnsi="Times New Roman"/>
          <w:sz w:val="24"/>
        </w:rPr>
        <w:t>…………………………………………………………………………………………………</w:t>
      </w:r>
    </w:p>
    <w:p w14:paraId="157943DC" w14:textId="6AE08E8E" w:rsidR="003F1D62" w:rsidRP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de fiskerikapacitetslofter for hver enkelt medlemsstat og hvert enkelt flådesegment i regioner i den yderste periferi, der er fastsat i bilag II til forordning (EU) nr. 1380/2013, på intet tidspunkt overskrides, idet der tages hensyn til eventuelle nedjusteringer af disse lofter efter artikel 22, stk. 6, i nævnte forordning:</w:t>
      </w:r>
      <w:r>
        <w:rPr>
          <w:rFonts w:ascii="Times New Roman" w:hAnsi="Times New Roman"/>
          <w:sz w:val="24"/>
        </w:rPr>
        <w:tab/>
      </w:r>
    </w:p>
    <w:p w14:paraId="624C1B24"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Default="003F1D62" w:rsidP="003F1D62">
      <w:pPr>
        <w:autoSpaceDE w:val="0"/>
        <w:autoSpaceDN w:val="0"/>
        <w:adjustRightInd w:val="0"/>
        <w:spacing w:after="0" w:line="240" w:lineRule="auto"/>
        <w:ind w:left="567"/>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2B94A0F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7C397022" w:rsidR="003F1D62" w:rsidRDefault="00CD7D8E"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Redegør for, hvordan denne betingelse sikres overholdt: </w:t>
      </w:r>
    </w:p>
    <w:p w14:paraId="09B04D1A" w14:textId="77777777" w:rsidR="003F1D62" w:rsidRDefault="003F1D62" w:rsidP="003F1D62">
      <w:pPr>
        <w:rPr>
          <w:rFonts w:ascii="Times New Roman" w:eastAsia="Times New Roman" w:hAnsi="Times New Roman"/>
          <w:sz w:val="24"/>
          <w:szCs w:val="24"/>
        </w:rPr>
      </w:pPr>
      <w:r>
        <w:rPr>
          <w:rFonts w:ascii="Times New Roman" w:hAnsi="Times New Roman"/>
          <w:sz w:val="24"/>
        </w:rPr>
        <w:t>………………………………………………………………………………………………….</w:t>
      </w:r>
    </w:p>
    <w:p w14:paraId="721C1842" w14:textId="77777777" w:rsidR="00AB4AD5" w:rsidRPr="00AB4AD5" w:rsidRDefault="00AB4AD5" w:rsidP="00AB4AD5">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Bemærk, at tilgangen af ny kapacitet til flåden, som er erhvervet med støtten, skal foretages i fuld overensstemmelse med kapacitetslofterne og ikke må føre til en situation, hvor disse lofter overskrides.</w:t>
      </w:r>
    </w:p>
    <w:p w14:paraId="63FCF060" w14:textId="77777777" w:rsidR="003F1D62"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6B2B4698" w:rsidR="00E51CD7" w:rsidRPr="00E934EF" w:rsidRDefault="00E51C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støtten må ikke være betinget af, at det nye fartøj erhverves fra et bestemt skibsværft:</w:t>
      </w:r>
    </w:p>
    <w:p w14:paraId="6ADFCD17" w14:textId="792C75A2"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5E0C603B"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68108EB9" w:rsidR="003F1D62" w:rsidRDefault="00C97073" w:rsidP="00C9707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5,1. Hvis svaret er ja anføres de relevante bestemmelser i retsgrundlaget:</w:t>
      </w:r>
    </w:p>
    <w:p w14:paraId="7AF3615F" w14:textId="406B2F67" w:rsidR="005C06D1" w:rsidRDefault="003F1D62" w:rsidP="00181BD8">
      <w:pPr>
        <w:rPr>
          <w:rFonts w:ascii="Times New Roman" w:eastAsia="Times New Roman" w:hAnsi="Times New Roman"/>
          <w:sz w:val="24"/>
          <w:szCs w:val="24"/>
        </w:rPr>
      </w:pPr>
      <w:r>
        <w:rPr>
          <w:rFonts w:ascii="Times New Roman" w:hAnsi="Times New Roman"/>
          <w:sz w:val="24"/>
        </w:rPr>
        <w:t>………………………………………………………………………………………………….</w:t>
      </w:r>
    </w:p>
    <w:p w14:paraId="35648B70" w14:textId="77777777"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Giv en detaljeret beskrivelse af de omkostninger, der er støtteberettigede under foranstaltningen:</w:t>
      </w:r>
    </w:p>
    <w:p w14:paraId="386BAB56" w14:textId="75133C02" w:rsidR="003F1D62" w:rsidRDefault="003F1D62" w:rsidP="00E9142F">
      <w:pPr>
        <w:rPr>
          <w:rFonts w:ascii="Times New Roman" w:eastAsia="Times New Roman" w:hAnsi="Times New Roman"/>
          <w:sz w:val="24"/>
          <w:szCs w:val="24"/>
        </w:rPr>
      </w:pPr>
      <w:r>
        <w:rPr>
          <w:rFonts w:ascii="Times New Roman" w:hAnsi="Times New Roman"/>
          <w:sz w:val="24"/>
        </w:rPr>
        <w:t>………………………………………………………………………………………………….</w:t>
      </w:r>
    </w:p>
    <w:p w14:paraId="2ADE3A15" w14:textId="7262318A" w:rsidR="003F1D62" w:rsidRDefault="00A91C65"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den maksimale støtteintensitet for fartøjet højst må udgøre:</w:t>
      </w:r>
    </w:p>
    <w:p w14:paraId="4A19B3B0" w14:textId="77777777" w:rsidR="003F1D62" w:rsidRDefault="003F1D62" w:rsidP="003F1D6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A806B6" w14:textId="4C2499E1" w:rsidR="00CD7D8E" w:rsidRPr="00CD7D8E" w:rsidRDefault="003F1D62" w:rsidP="00CD7D8E">
      <w:pPr>
        <w:numPr>
          <w:ilvl w:val="0"/>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60 % af de støtteberettigede omkostninger for så vidt angår fartøjer med en længde overalt på under 12 meter</w:t>
      </w:r>
    </w:p>
    <w:p w14:paraId="0C9D19A3" w14:textId="03516310"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64521E60" w14:textId="77777777" w:rsidR="00CD7D8E" w:rsidRPr="001E103F" w:rsidRDefault="00CD7D8E" w:rsidP="00CD7D8E">
      <w:pPr>
        <w:autoSpaceDE w:val="0"/>
        <w:autoSpaceDN w:val="0"/>
        <w:adjustRightInd w:val="0"/>
        <w:spacing w:after="0" w:line="240" w:lineRule="auto"/>
        <w:ind w:left="1080"/>
        <w:jc w:val="both"/>
        <w:rPr>
          <w:rFonts w:ascii="Times New Roman" w:eastAsia="Times New Roman" w:hAnsi="Times New Roman"/>
          <w:sz w:val="24"/>
          <w:szCs w:val="24"/>
          <w:lang w:eastAsia="en-GB"/>
        </w:rPr>
      </w:pPr>
    </w:p>
    <w:p w14:paraId="4527C0FE" w14:textId="5972CB5E" w:rsidR="003F1D62" w:rsidRDefault="003F1D62" w:rsidP="005C06D1">
      <w:pPr>
        <w:numPr>
          <w:ilvl w:val="0"/>
          <w:numId w:val="18"/>
        </w:numPr>
        <w:autoSpaceDE w:val="0"/>
        <w:autoSpaceDN w:val="0"/>
        <w:adjustRightInd w:val="0"/>
        <w:spacing w:after="120" w:line="240" w:lineRule="auto"/>
        <w:ind w:left="1077" w:hanging="357"/>
        <w:jc w:val="both"/>
        <w:rPr>
          <w:rFonts w:ascii="Times New Roman" w:eastAsia="Times New Roman" w:hAnsi="Times New Roman"/>
          <w:sz w:val="24"/>
          <w:szCs w:val="24"/>
        </w:rPr>
      </w:pPr>
      <w:r>
        <w:rPr>
          <w:rFonts w:ascii="Times New Roman" w:hAnsi="Times New Roman"/>
          <w:sz w:val="24"/>
        </w:rPr>
        <w:t>50 % af de støtteberettigede omkostninger for så vidt angår fartøjer med en længde overalt på 12 meter eller derover, men under 24 meter</w:t>
      </w:r>
    </w:p>
    <w:p w14:paraId="76F91C51" w14:textId="5F93B0FC"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3FF9957A" w14:textId="77777777" w:rsidR="00CD7D8E"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1963CAF8" w14:textId="65029FBC" w:rsidR="00A91C65" w:rsidRDefault="003F1D62" w:rsidP="003F1D6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25 % af de støtteberettigede omkostninger for så vidt angår fartøjer med en længde overalt på 24 meter og derover</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de maksimale støtteintensiteter, der gælder for foranstaltningen:</w:t>
      </w:r>
    </w:p>
    <w:p w14:paraId="3D0A1467" w14:textId="6F29226F" w:rsidR="00006827" w:rsidRDefault="00006827" w:rsidP="00006827">
      <w:pPr>
        <w:rPr>
          <w:rFonts w:ascii="Times New Roman" w:eastAsia="Times New Roman" w:hAnsi="Times New Roman"/>
          <w:sz w:val="24"/>
          <w:szCs w:val="24"/>
        </w:rPr>
      </w:pPr>
      <w:r>
        <w:rPr>
          <w:rFonts w:ascii="Times New Roman" w:hAnsi="Times New Roman"/>
          <w:sz w:val="24"/>
        </w:rPr>
        <w:lastRenderedPageBreak/>
        <w:t>………………………………………………………………………………………………….</w:t>
      </w:r>
    </w:p>
    <w:p w14:paraId="03D6986C" w14:textId="5FF8B2DB"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675"/>
      <w:r>
        <w:rPr>
          <w:rFonts w:ascii="Times New Roman" w:hAnsi="Times New Roman"/>
          <w:sz w:val="24"/>
        </w:rPr>
        <w:t xml:space="preserve">Angiv henvisning til de bestemmelser i retsgrundlaget, der fastsætter de maksimale støtteintensiteter under foranstaltningen:  </w:t>
      </w:r>
    </w:p>
    <w:p w14:paraId="361A0D8D" w14:textId="181AE66D" w:rsidR="003F1D62" w:rsidRDefault="00006827" w:rsidP="00006827">
      <w:pPr>
        <w:rPr>
          <w:rFonts w:ascii="Times New Roman" w:eastAsia="Times New Roman" w:hAnsi="Times New Roman"/>
          <w:sz w:val="24"/>
          <w:szCs w:val="24"/>
        </w:rPr>
      </w:pPr>
      <w:r>
        <w:rPr>
          <w:rFonts w:ascii="Times New Roman" w:hAnsi="Times New Roman"/>
          <w:sz w:val="24"/>
        </w:rPr>
        <w:t>………………………………………………………………………………………………….</w:t>
      </w:r>
      <w:bookmarkEnd w:id="2"/>
    </w:p>
    <w:p w14:paraId="6B717313" w14:textId="20BB174D"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Bekræft, at det fartøj, der erhverves med støtten, skal forblive registreret i den pågældende region i den yderste periferi i mindst 15 år fra datoen for ydelsen af støtten, og i denne periode skal lande hele sin fangst i en region i den yderste periferi. </w:t>
      </w:r>
    </w:p>
    <w:p w14:paraId="180A297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4D3990E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Default="00834527"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Bekræft, at støtten skal tilbagebetales med et beløb svarende til perioden for eller omfanget af den manglende overholdelse, hvis denne betingelse ikke er overholdt:</w:t>
      </w:r>
    </w:p>
    <w:p w14:paraId="5BBA4B95" w14:textId="77777777" w:rsidR="00834527"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1E103F" w:rsidRDefault="00834527" w:rsidP="00834527">
      <w:pPr>
        <w:autoSpaceDE w:val="0"/>
        <w:autoSpaceDN w:val="0"/>
        <w:adjustRightInd w:val="0"/>
        <w:spacing w:after="0" w:line="240" w:lineRule="auto"/>
        <w:ind w:left="360" w:firstLine="20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F3E99">
        <w:rPr>
          <w:rFonts w:ascii="Times New Roman" w:eastAsia="Times New Roman" w:hAnsi="Times New Roman"/>
          <w:b/>
          <w:sz w:val="24"/>
        </w:rPr>
      </w:r>
      <w:r w:rsidR="004F3E9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2D34C019" w14:textId="77777777" w:rsidR="00834527" w:rsidRPr="00834527"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Default="003F1D62"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0E1683EF" w14:textId="210BB523" w:rsidR="003F1D62" w:rsidRPr="001E103F" w:rsidRDefault="003F1D62" w:rsidP="00D2507A">
      <w:pPr>
        <w:rPr>
          <w:rFonts w:ascii="Times New Roman" w:eastAsia="Times New Roman" w:hAnsi="Times New Roman"/>
          <w:sz w:val="24"/>
          <w:szCs w:val="24"/>
        </w:rPr>
      </w:pPr>
      <w:r>
        <w:rPr>
          <w:rFonts w:ascii="Times New Roman" w:hAnsi="Times New Roman"/>
          <w:sz w:val="24"/>
        </w:rPr>
        <w:t>………………………………………………………………………………………………….</w:t>
      </w: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ANDRE OPLYSNINGER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930CDF0" w:rsidR="005615D7" w:rsidRPr="001E103F" w:rsidRDefault="005615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eventuelle andre oplysninger, der kan være relevante for vurderingen af den foranstaltning, der er omfattet af dette afsnit i retningslinjerne.</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67F51916" w:rsidR="00504ACF" w:rsidRPr="00504ACF" w:rsidRDefault="00504ACF">
      <w:pPr>
        <w:pStyle w:val="FootnoteText"/>
      </w:pPr>
      <w:r>
        <w:rPr>
          <w:rStyle w:val="FootnoteReference"/>
        </w:rPr>
        <w:footnoteRef/>
      </w:r>
      <w:r>
        <w:rPr>
          <w:rFonts w:ascii="Times New Roman" w:hAnsi="Times New Roman"/>
        </w:rPr>
        <w:t xml:space="preserve"> EUT C 107 af 23.3.2023, s. 1.</w:t>
      </w:r>
    </w:p>
  </w:footnote>
  <w:footnote w:id="2">
    <w:p w14:paraId="20426074" w14:textId="5C7F92DF" w:rsidR="00376F0F" w:rsidRPr="00376F0F" w:rsidRDefault="00376F0F" w:rsidP="00376F0F">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Europa-Parlamentets og Rådets forordning (EU) nr. 1380/2013 af 11. december 2013 om den fælles fiskeripolitik, ændring af Rådets forordning (EF) nr. 1954/2003 og (EF) nr. 1224/2009 og ophævelse af Rådets forordning (EF) nr. 2371/2002 og (EF) nr. 639/2004 samt Rådets afgørelse 2004/585/EF (EUT L 354 af 28.12.2013, s. 22).  </w:t>
      </w:r>
    </w:p>
  </w:footnote>
  <w:footnote w:id="3">
    <w:p w14:paraId="7847149D" w14:textId="1096B59C" w:rsidR="000345FA" w:rsidRPr="000345FA" w:rsidRDefault="000345FA" w:rsidP="000345FA">
      <w:pPr>
        <w:pStyle w:val="FootnoteText"/>
        <w:spacing w:after="0" w:line="240" w:lineRule="auto"/>
        <w:jc w:val="both"/>
      </w:pPr>
      <w:r>
        <w:rPr>
          <w:rStyle w:val="FootnoteReference"/>
        </w:rPr>
        <w:footnoteRef/>
      </w:r>
      <w:r>
        <w:rPr>
          <w:rFonts w:ascii="Times New Roman" w:hAnsi="Times New Roman"/>
        </w:rPr>
        <w:t xml:space="preserve"> Der henvises til punkt (225)-(227) i retningslinjerne, der beskriver forløbet med indgivelse af rapporten i år N og Kommissionen tiltag inden den 31. marts i år N+1 samt den periode, hvor der må ydes støtte.</w:t>
      </w:r>
    </w:p>
  </w:footnote>
  <w:footnote w:id="4">
    <w:p w14:paraId="47CB3F50" w14:textId="5EC012B7" w:rsidR="001A2686" w:rsidRPr="001A2686" w:rsidRDefault="001A2686" w:rsidP="000345FA">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Meddelelse fra Kommissionen til Europa-Parlamentet og Rådet: Retningslinjer for analyse af ligevægten mellem fiskekapacitet og fiskerimuligheder i henhold til artikel 22 i Europa-Parlamentets og Rådets forordning (EU) nr. 1380/2013 om den fælles fiskeripolitik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59CAF8A2"/>
    <w:lvl w:ilvl="0" w:tplc="0FF0A686">
      <w:start w:val="1"/>
      <w:numFmt w:val="lowerLetter"/>
      <w:lvlText w:val="(%1)"/>
      <w:lvlJc w:val="left"/>
      <w:pPr>
        <w:ind w:left="1080" w:hanging="360"/>
      </w:pPr>
      <w:rPr>
        <w:rFonts w:ascii="Times New Roman" w:eastAsia="Times New Roman" w:hAnsi="Times New Roman" w:cs="Times New Roman"/>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5405"/>
    <w:rsid w:val="000D36C1"/>
    <w:rsid w:val="000E2F1C"/>
    <w:rsid w:val="000E6ABB"/>
    <w:rsid w:val="00105AD7"/>
    <w:rsid w:val="00114BDD"/>
    <w:rsid w:val="00136501"/>
    <w:rsid w:val="00181BD8"/>
    <w:rsid w:val="001832DE"/>
    <w:rsid w:val="001A2686"/>
    <w:rsid w:val="001A503C"/>
    <w:rsid w:val="001A718E"/>
    <w:rsid w:val="001B2BEF"/>
    <w:rsid w:val="001D7707"/>
    <w:rsid w:val="001E09E4"/>
    <w:rsid w:val="001E103F"/>
    <w:rsid w:val="001E46DC"/>
    <w:rsid w:val="001F0558"/>
    <w:rsid w:val="0020247E"/>
    <w:rsid w:val="002256A7"/>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68F6"/>
    <w:rsid w:val="004A1EA0"/>
    <w:rsid w:val="004D22F3"/>
    <w:rsid w:val="004D7425"/>
    <w:rsid w:val="004F33BC"/>
    <w:rsid w:val="004F3E99"/>
    <w:rsid w:val="0050429C"/>
    <w:rsid w:val="00504ACF"/>
    <w:rsid w:val="005559FD"/>
    <w:rsid w:val="005615D7"/>
    <w:rsid w:val="00564755"/>
    <w:rsid w:val="005B1262"/>
    <w:rsid w:val="005C06D1"/>
    <w:rsid w:val="005C1C12"/>
    <w:rsid w:val="005C3488"/>
    <w:rsid w:val="005E495C"/>
    <w:rsid w:val="005E58E1"/>
    <w:rsid w:val="00610BCF"/>
    <w:rsid w:val="00615953"/>
    <w:rsid w:val="006177B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A02E0"/>
    <w:rsid w:val="008A3BF8"/>
    <w:rsid w:val="008C7C53"/>
    <w:rsid w:val="008E7385"/>
    <w:rsid w:val="00903A9E"/>
    <w:rsid w:val="00914F8E"/>
    <w:rsid w:val="0092025C"/>
    <w:rsid w:val="00920E82"/>
    <w:rsid w:val="009725CF"/>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C1CE4"/>
    <w:rsid w:val="00AC55F1"/>
    <w:rsid w:val="00AE0161"/>
    <w:rsid w:val="00AE720A"/>
    <w:rsid w:val="00B05450"/>
    <w:rsid w:val="00B12B1E"/>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20F79"/>
    <w:rsid w:val="00E51CD7"/>
    <w:rsid w:val="00E610A6"/>
    <w:rsid w:val="00E65A1F"/>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4</Pages>
  <Words>1007</Words>
  <Characters>5935</Characters>
  <Application>Microsoft Office Word</Application>
  <DocSecurity>0</DocSecurity>
  <Lines>160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HARMENS Maria (DGT)</cp:lastModifiedBy>
  <cp:revision>160</cp:revision>
  <dcterms:created xsi:type="dcterms:W3CDTF">2023-01-05T14:31:00Z</dcterms:created>
  <dcterms:modified xsi:type="dcterms:W3CDTF">2024-08-16T11:58:00Z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