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Supplerende informationsskema om </w:t>
      </w:r>
      <w:r>
        <w:t xml:space="preserve"> </w:t>
      </w:r>
      <w:r>
        <w:br/>
      </w:r>
      <w:r>
        <w:rPr>
          <w:b/>
          <w:smallCaps/>
          <w:sz w:val="24"/>
          <w:rFonts w:ascii="Times New Roman" w:hAnsi="Times New Roman"/>
        </w:rPr>
        <w:t xml:space="preserve">støtte til forøgelse af et fiskerfartøjs bruttotonnage med henblik på at forbedre sikkerheden, arbejdsvilkårene eller energieffektiviteten</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i/>
          <w:sz w:val="24"/>
          <w:szCs w:val="24"/>
          <w:rFonts w:ascii="Times New Roman" w:eastAsia="Times New Roman" w:hAnsi="Times New Roman"/>
        </w:rPr>
      </w:pPr>
      <w:r>
        <w:rPr>
          <w:i/>
          <w:sz w:val="24"/>
          <w:rFonts w:ascii="Times New Roman" w:hAnsi="Times New Roman"/>
        </w:rPr>
        <w:t xml:space="preserve">Medlemsstaterne anvender dette informationsskema ved anmeldelse af statsstøtte til forøgelse af et fiskerfartøjs bruttotonnage med henblik på at forbedre sikkerheden, arbejdsvilkårene eller energieffektiviteten som beskrevet i del II, kapitel 3, afsnit 3.3, i retningslinjerne for statsstøtte til fiskeri- og akvakultursektoren</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("retningslinjerne").</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det EU-fiskerfartøj, der ydes støtte til, ikke vil blive overført eller omflaget uden for Unionen i mindst fem år efter den endelige betaling af støtte:</w:t>
      </w:r>
      <w:r>
        <w:rPr>
          <w:sz w:val="24"/>
          <w:rFonts w:ascii="Times New Roman" w:hAnsi="Times New Roman"/>
        </w:rPr>
        <w:t xml:space="preserve">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10A2963C" w14:textId="77777777" w:rsidR="004C4105" w:rsidRDefault="004C4105" w:rsidP="004C4105">
      <w:pPr>
        <w:rPr>
          <w:sz w:val="24"/>
          <w:szCs w:val="24"/>
          <w:rFonts w:ascii="Times New Roman" w:eastAsia="Times New Roman" w:hAnsi="Times New Roman"/>
        </w:rPr>
      </w:pPr>
      <w:r>
        <w:rPr>
          <w:sz w:val="24"/>
          <w:rFonts w:ascii="Times New Roman" w:hAnsi="Times New Roman"/>
        </w:rPr>
        <w:t xml:space="preserve">………………………………………………………………………………………………….</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0" w:name="_Ref124951182"/>
      <w:r>
        <w:rPr>
          <w:sz w:val="24"/>
          <w:rFonts w:ascii="Times New Roman" w:hAnsi="Times New Roman"/>
        </w:rPr>
        <w:t xml:space="preserve">I henhold til punkt (265), litra a), i retningslinjerne skal fiskerfartøjet høre til et flådesegment, hvor der ifølge den seneste fiskerikapacitetsrapport som omhandlet i artikel 22, stk. 2, i forordning (EU) nr. 1380/2013 er balance i de fiskerimuligheder, der er til rådighed for det pågældende segment ("den nationale rapport").</w:t>
      </w:r>
      <w:bookmarkStart w:id="1" w:name="_Hlk127291610"/>
      <w:bookmarkEnd w:id="1"/>
      <w:bookmarkEnd w:id="0"/>
      <w:r>
        <w:rPr>
          <w:sz w:val="24"/>
          <w:rFonts w:ascii="Times New Roman" w:hAnsi="Times New Roman"/>
        </w:rPr>
        <w:t xml:space="preserve"> </w:t>
      </w:r>
      <w:r>
        <w:rPr>
          <w:sz w:val="24"/>
          <w:rFonts w:ascii="Times New Roman" w:hAnsi="Times New Roman"/>
        </w:rPr>
        <w:t xml:space="preserve">I henhold til punkt (266) i retningslinjerne gælder den procedure og de betingelser, der er fastsat i punkt (225) til (227) i del II, kapitel 2, afsnit 2.2, i retningslinjerne, også i forbindelse med punkt (265), litra a).</w:t>
      </w:r>
      <w:r>
        <w:rPr>
          <w:sz w:val="24"/>
          <w:rFonts w:ascii="Times New Roman" w:hAnsi="Times New Roman"/>
        </w:rPr>
        <w:t xml:space="preserve"> </w:t>
      </w:r>
      <w:r>
        <w:rPr>
          <w:sz w:val="24"/>
          <w:rFonts w:ascii="Times New Roman" w:hAnsi="Times New Roman"/>
        </w:rPr>
        <w:t xml:space="preserve">På denne baggrund besvares følgende spørgsmål:</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Hvornår blev den seneste rapport udarbejdet inden støttetildelingstidspunktet?</w:t>
      </w:r>
    </w:p>
    <w:p w14:paraId="370CE4BD"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04AFEFB8"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et link til den seneste nationale rapport eller vedlæg den anmeldelsen:</w:t>
      </w:r>
    </w:p>
    <w:p w14:paraId="6C8C1D23" w14:textId="77777777" w:rsidR="009B38E1" w:rsidRDefault="009B38E1" w:rsidP="009B38E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følgende betingelser er opfyldt for al støtte, der skal ydes:</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Blev den nationale rapport indgivet senest den 31. maj i år N</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den nationale rapport, der er indgivet i år N, og navnlig balancevurderingen deri, er blevet udarbejdet på grundlag af de biologiske og økonomiske indikatorer og de indikatorer for fartøjsanvendelse, der er fastsat i de fælles retningslinjer</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 som er omhandlet i artikel 22, stk. 2, i forordning (EU) nr.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Pr>
          <w:i/>
        </w:rPr>
        <w:t xml:space="preserve">Bemærk, at der ikke må ydes støtte, hvis den nationale rapport, og navnlig balancevurderingen deri, ikke er udarbejdet på grundlag af de biologiske og økonomiske indikatorer og de indikatorer for fartøjsanvendelse, der er fastsat i de fælles retningslinjer, som er omhandlet i artikel 22, stk. 2, i forordning (EU) nr. 1380/2013.</w:t>
      </w:r>
      <w:r>
        <w:rPr>
          <w:i/>
          <w:sz w:val="23"/>
        </w:rPr>
        <w:t xml:space="preserve">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7576A63F"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Påvises det i den nationale rapport fra år N, at der er balance mellem fiskerikapaciteten og fiskerimulighederne for det flådesegmentet, som det nye fartøj tilhører:</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Beskriv, hvordan der er taget hensyn til den nationale rapport ved tilrettelæggelsen af foranstaltningen, og hvordan der er opnået balance:</w:t>
      </w:r>
    </w:p>
    <w:p w14:paraId="1A3175A9"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767B8E2A"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Kommissionen senest den 31. marts i år N+1 ikke har draget tvivl om:</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a) konklusionen i den nationale rapport fra år N</w:t>
      </w:r>
      <w:r>
        <w:rPr>
          <w:sz w:val="24"/>
          <w:rFonts w:ascii="Times New Roman" w:hAnsi="Times New Roman"/>
        </w:rPr>
        <w:t xml:space="preserve">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b/>
          <w:rFonts w:ascii="Times New Roman" w:hAnsi="Times New Roman"/>
        </w:rPr>
        <w:t xml:space="preserve"> </w:t>
      </w:r>
      <w:r>
        <w:rPr>
          <w:sz w:val="24"/>
          <w:rFonts w:ascii="Times New Roman" w:hAnsi="Times New Roman"/>
        </w:rPr>
        <w:t xml:space="preserve">b) balancevurderingen i den nationale rapport fra år N</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der kun kan ydes støtte på grundlag af den nationale rapport fra år N indtil den 31. december i år N+1, dvs. året efter året for indgivelse af rapporten:</w:t>
      </w:r>
      <w:r>
        <w:rPr>
          <w:sz w:val="24"/>
          <w:rFonts w:ascii="Times New Roman" w:hAnsi="Times New Roman"/>
        </w:rPr>
        <w:t xml:space="preserve">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2309B67B" w14:textId="77777777" w:rsidR="009B38E1" w:rsidRDefault="009B38E1" w:rsidP="009B38E1">
      <w:pPr>
        <w:rPr>
          <w:sz w:val="24"/>
          <w:szCs w:val="24"/>
          <w:rFonts w:ascii="Times New Roman" w:eastAsia="Times New Roman" w:hAnsi="Times New Roman"/>
        </w:rPr>
      </w:pPr>
      <w:r>
        <w:rPr>
          <w:sz w:val="24"/>
          <w:rFonts w:ascii="Times New Roman" w:hAnsi="Times New Roman"/>
        </w:rPr>
        <w:t xml:space="preserve">…………………………………………………………………………………………………</w:t>
      </w:r>
    </w:p>
    <w:p w14:paraId="46AA49C0" w14:textId="490C4410" w:rsidR="009B38E1" w:rsidRPr="0053598F" w:rsidRDefault="009B38E1" w:rsidP="009B38E1">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Hvis foranstaltningen vedrører indlandsfiskeri, skal spørgsmål 2.1 til 2.2.6.1 ikke besvares.</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4951266"/>
      <w:r>
        <w:rPr>
          <w:sz w:val="24"/>
          <w:rFonts w:ascii="Times New Roman" w:hAnsi="Times New Roman"/>
        </w:rPr>
        <w:t xml:space="preserve">Bekræft, at foranstaltningen indeholder bestemmelser om, at fiskerfartøjer må have en længde overalt på højst 24 meter:</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4B51EE41" w14:textId="55E2563B" w:rsidR="004C4105" w:rsidRPr="005615D7" w:rsidRDefault="004C4105" w:rsidP="006E20F3">
      <w:pPr>
        <w:rPr>
          <w:sz w:val="24"/>
          <w:szCs w:val="24"/>
          <w:rFonts w:ascii="Times New Roman" w:eastAsia="Times New Roman" w:hAnsi="Times New Roman"/>
        </w:rPr>
      </w:pPr>
      <w:r>
        <w:rPr>
          <w:sz w:val="24"/>
          <w:rFonts w:ascii="Times New Roman" w:hAnsi="Times New Roman"/>
        </w:rPr>
        <w:t xml:space="preserve">………………………………………………………………………………………………….</w:t>
      </w:r>
    </w:p>
    <w:p w14:paraId="52BF3818" w14:textId="5BC8254A" w:rsidR="00256D84" w:rsidRDefault="00256D84"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bestemmelser om, at fiskerfartøjet skal have været registreret i EU-fiskerflåderegistret i mindst 10 kalenderår forud for det år, hvor støtteansøgningen blev indgivet:</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Hvis foranstaltningen vedrører indlandsfiskeri, bekræftes det, at foranstaltningen indeholder bestemmelser om, at der kun må ydes støtte til et fiskerfartøj, der i henhold til national ret blev taget i brug mindst 10 kalenderår forud for det år, hvor støtteansøgningen blev indgivet:</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på spørgsmål 4 eller 4.1 er ja, anføres de relevante bestemmelser i retsgrundlaget:</w:t>
      </w:r>
    </w:p>
    <w:p w14:paraId="686389B7" w14:textId="2EEAAC6E" w:rsidR="00256D84" w:rsidRDefault="006E20F3" w:rsidP="000209D0">
      <w:pPr>
        <w:rPr>
          <w:sz w:val="24"/>
          <w:szCs w:val="24"/>
          <w:rFonts w:ascii="Times New Roman" w:eastAsia="Times New Roman" w:hAnsi="Times New Roman"/>
        </w:rPr>
      </w:pPr>
      <w:r>
        <w:rPr>
          <w:sz w:val="24"/>
          <w:rFonts w:ascii="Times New Roman" w:hAnsi="Times New Roman"/>
        </w:rPr>
        <w:t xml:space="preserve">………………………………………………………………………………………………….</w:t>
      </w:r>
    </w:p>
    <w:p w14:paraId="171C0A97" w14:textId="328D9E1D" w:rsidR="00256D84" w:rsidRDefault="00256D84"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tilgangen af ny fiskerikapacitet i fiskerflåden som følge af operationen godtgøres ved forudgående udtagning af mindst samme fiskerikapacitetsmængde uden offentlig støtte fra samme flådesegment eller fra et flådesegment, for hvilket fiskerikapaciteten ifølge den seneste nationale rapport, jf. artikel 22, stk. 2, i forordning (EU) nr. 1380/2013, ikke er i balance med de fiskerimuligheder, der er til rådighed for det pågældende segment.</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på det foregående spørgsmål er ja, anføres de relevante bestemmelser i retsgrundlaget:</w:t>
      </w:r>
    </w:p>
    <w:p w14:paraId="05E14B9B" w14:textId="1E1092E3" w:rsidR="004C4105" w:rsidRDefault="004C4105" w:rsidP="004C4105">
      <w:pPr>
        <w:rPr>
          <w:sz w:val="24"/>
          <w:szCs w:val="24"/>
          <w:rFonts w:ascii="Times New Roman" w:eastAsia="Times New Roman" w:hAnsi="Times New Roman"/>
        </w:rPr>
      </w:pPr>
      <w:r>
        <w:rPr>
          <w:sz w:val="24"/>
          <w:rFonts w:ascii="Times New Roman" w:hAnsi="Times New Roman"/>
        </w:rPr>
        <w:t xml:space="preserve">………………………………………………………………………………………………….</w:t>
      </w:r>
    </w:p>
    <w:p w14:paraId="3095BB69" w14:textId="4656F992" w:rsidR="000209D0" w:rsidRPr="004629F3" w:rsidRDefault="000209D0" w:rsidP="000209D0">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Hvis foranstaltningen vedrører indlandsfiskeri, er dette spørgsmål ikke relevant.</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om de støtteberettigede omkostninger omfatter:</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den forøgelse af bruttotonnage, der er nødvendig for efterfølgende installation eller renovering af indkvarteringsfaciliteter, der udelukkende er beregnet til brug for besætningen, herunder sanitære faciliteter, fællesrum, køkkenfaciliteter og beskyttelseskonstruktioner på dækket</w:t>
      </w:r>
    </w:p>
    <w:p w14:paraId="09A89D83" w14:textId="4476B369" w:rsidR="00F3649F" w:rsidRPr="005615D7" w:rsidRDefault="00F3649F" w:rsidP="00F14E84">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den forøgelse af bruttotonnage, der er nødvendig for efterfølgende forbedring eller installation om bord af brandforebyggelsessystemer, sikkerheds- og alarmsystemer eller støjreduktionssystemer</w:t>
      </w:r>
    </w:p>
    <w:p w14:paraId="24AF6DCD" w14:textId="18CDAC6C" w:rsidR="00F3649F" w:rsidRPr="005615D7" w:rsidRDefault="00F3649F" w:rsidP="00F14E84">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den forøgelse af bruttotonnage, der er nødvendig for efterfølgende installation af integrerede brosystemer for at forbedre navigations- eller motorstyring</w:t>
      </w:r>
    </w:p>
    <w:p w14:paraId="791428B0" w14:textId="44B87944" w:rsidR="00F3649F" w:rsidRPr="005615D7" w:rsidRDefault="00F3649F" w:rsidP="00F14E84">
      <w:pPr>
        <w:spacing w:after="12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 den forøgelse af bruttotonnage, der er nødvendig for efterfølgende installation eller renovering af en motor eller et fremdriftssystem, der udviser en bedre energieffektivitet eller lavere CO₂-emissioner i forhold til den tidligere situation, som ikke har en effekt, der overstiger fiskerfartøjets tidligere certificerede maskineffekt i henhold til artikel 40, stk. 1, i Rådets forordning (EF) nr. 1224/2009</w:t>
      </w:r>
      <w:r>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og hvis maksimale udgangseffekt er certificeret af fabrikanten for den pågældende motor- eller fremdriftssystemmodel</w:t>
      </w:r>
    </w:p>
    <w:p w14:paraId="3E27BC3F" w14:textId="03A813A5" w:rsidR="00F3649F" w:rsidRDefault="001D7707" w:rsidP="001D7707">
      <w:pPr>
        <w:spacing w:after="0" w:line="240" w:lineRule="auto"/>
        <w:ind w:left="1440" w:hanging="72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e) udskiftning eller renovering af bulbstævnen, forudsat at den forbedrer fiskerfartøjets samlede energieffektivitet.</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henvisning til de bestemmelser i retsgrundlaget, der afspejler den valgte støttemodtager:</w:t>
      </w:r>
    </w:p>
    <w:p w14:paraId="15BC5AA7" w14:textId="1089BD9D" w:rsidR="004C4105" w:rsidRDefault="004C4105" w:rsidP="000209D0">
      <w:pPr>
        <w:rPr>
          <w:sz w:val="24"/>
          <w:szCs w:val="24"/>
          <w:rFonts w:ascii="Times New Roman" w:eastAsia="Times New Roman" w:hAnsi="Times New Roman"/>
        </w:rPr>
      </w:pPr>
      <w:r>
        <w:rPr>
          <w:sz w:val="24"/>
          <w:rFonts w:ascii="Times New Roman" w:hAnsi="Times New Roman"/>
        </w:rPr>
        <w:t xml:space="preserve">………………………………………………………………………………………………….</w:t>
      </w:r>
    </w:p>
    <w:p w14:paraId="5A8F375A" w14:textId="77777777" w:rsidR="00E26EC9" w:rsidRDefault="00E26EC9" w:rsidP="00E26EC9">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de støtteberettigede omkostninger kun omfatter de direkte og indirekte omkostninger relateret til investeringsstøtten til den forbedring af sikkerheden, arbejdsvilkårene eller energieffektiviteten, som førte til forøgelsen af et fiskerifartøjs bruttotonnage.</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7A111807" w14:textId="3EB9D5D4" w:rsidR="00E26EC9" w:rsidRDefault="00E26EC9" w:rsidP="00E26EC9">
      <w:pPr>
        <w:rPr>
          <w:sz w:val="24"/>
          <w:szCs w:val="24"/>
          <w:rFonts w:ascii="Times New Roman" w:eastAsia="Times New Roman" w:hAnsi="Times New Roman"/>
        </w:rPr>
      </w:pPr>
      <w:r>
        <w:rPr>
          <w:sz w:val="24"/>
          <w:rFonts w:ascii="Times New Roman" w:hAnsi="Times New Roman"/>
        </w:rPr>
        <w:t xml:space="preserve">………………………………………………………………………………………………….</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sz w:val="24"/>
          <w:szCs w:val="24"/>
          <w:rFonts w:ascii="Times New Roman" w:eastAsia="Times New Roman" w:hAnsi="Times New Roman"/>
        </w:rPr>
      </w:pPr>
      <w:bookmarkStart w:id="3" w:name="_Hlk134023979"/>
      <w:r>
        <w:rPr>
          <w:sz w:val="24"/>
          <w:rFonts w:ascii="Times New Roman" w:hAnsi="Times New Roman"/>
        </w:rPr>
        <w:t xml:space="preserve">Giv en detaljeret beskrivelse af de omkostninger, der er støtteberettigede under foranstaltningen:</w:t>
      </w:r>
      <w:r>
        <w:rPr>
          <w:sz w:val="24"/>
          <w:rFonts w:ascii="Times New Roman" w:hAnsi="Times New Roman"/>
        </w:rPr>
        <w:t xml:space="preserve"> </w:t>
      </w:r>
      <w:r>
        <w:rPr>
          <w:sz w:val="24"/>
          <w:rFonts w:ascii="Times New Roman" w:hAnsi="Times New Roman"/>
        </w:rPr>
        <w:t xml:space="preserve">Angiv, hvilke omkostninger der vedrører henholdsvis forbedring af sikkerhed, arbejdsvilkår og energieffektivitet.</w:t>
      </w:r>
    </w:p>
    <w:bookmarkEnd w:id="3"/>
    <w:p w14:paraId="500DDBE6" w14:textId="77777777" w:rsidR="00E26EC9" w:rsidRDefault="00E26EC9" w:rsidP="00E26EC9">
      <w:pPr>
        <w:rPr>
          <w:sz w:val="24"/>
          <w:szCs w:val="24"/>
          <w:rFonts w:ascii="Times New Roman" w:eastAsia="Times New Roman" w:hAnsi="Times New Roman"/>
        </w:rPr>
      </w:pPr>
      <w:r>
        <w:rPr>
          <w:sz w:val="24"/>
          <w:rFonts w:ascii="Times New Roman" w:hAnsi="Times New Roman"/>
        </w:rPr>
        <w:t xml:space="preserve">………………………………………………………………………………………………….</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Giv en detaljeret beskrivelse af de kontrol- og håndhævelsesmekanismer, der skal sikre, at betingelserne i del II, kapitel 3, afsnit 3.3, i retningslinjerne overholdes:</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sz w:val="24"/>
          <w:szCs w:val="24"/>
          <w:rFonts w:ascii="Times New Roman" w:eastAsia="Times New Roman" w:hAnsi="Times New Roman"/>
        </w:rPr>
      </w:pPr>
      <w:r>
        <w:rPr>
          <w:sz w:val="24"/>
          <w:rFonts w:ascii="Times New Roman" w:hAnsi="Times New Roman"/>
        </w:rPr>
        <w:t xml:space="preserve">………………………………………………………………………………………………….</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Giv den detaljeret beskrivelse af karakteristikaene ved foranstaltningen, herunder størrelsen af den forøgede fiskerikapacitet og formålet med denne forøgelse.</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sz w:val="24"/>
          <w:szCs w:val="24"/>
          <w:rFonts w:ascii="Times New Roman" w:eastAsia="Times New Roman" w:hAnsi="Times New Roman"/>
        </w:rPr>
      </w:pPr>
      <w:r>
        <w:rPr>
          <w:sz w:val="24"/>
          <w:rFonts w:ascii="Times New Roman" w:hAnsi="Times New Roman"/>
        </w:rPr>
        <w:t xml:space="preserve">………………………………………………………………………………………………….</w:t>
      </w:r>
    </w:p>
    <w:p w14:paraId="73469BF8" w14:textId="6C951CD2" w:rsidR="005B1262" w:rsidRDefault="000209D0" w:rsidP="004C4105">
      <w:pPr>
        <w:autoSpaceDE w:val="0"/>
        <w:autoSpaceDN w:val="0"/>
        <w:adjustRightInd w:val="0"/>
        <w:spacing w:after="0" w:line="240" w:lineRule="auto"/>
        <w:jc w:val="both"/>
        <w:rPr>
          <w:sz w:val="24"/>
          <w:szCs w:val="24"/>
          <w:rFonts w:ascii="Times New Roman" w:eastAsia="Times New Roman" w:hAnsi="Times New Roman"/>
        </w:rPr>
      </w:pPr>
      <w:r>
        <w:rPr>
          <w:i/>
          <w:sz w:val="24"/>
          <w:rFonts w:ascii="Times New Roman" w:hAnsi="Times New Roman"/>
        </w:rPr>
        <w:t xml:space="preserve">Hvis dette allerede er besvaret i et andet spørgsmål eller afsnit angives henvisning hertil.</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en bestemmelse om, at den maksimale støtteintensitet ikke må overstige 40 % af de tilskudsberettigede omkostninger.</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ja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nej</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Angiv de maksimale støtteintensiteter, der gælder for foranstaltningen:</w:t>
      </w:r>
    </w:p>
    <w:p w14:paraId="0733FC72" w14:textId="77777777" w:rsidR="00F13816" w:rsidRDefault="00F13816" w:rsidP="00F13816">
      <w:pPr>
        <w:rPr>
          <w:sz w:val="24"/>
          <w:szCs w:val="24"/>
          <w:rFonts w:ascii="Times New Roman" w:eastAsia="Times New Roman" w:hAnsi="Times New Roman"/>
        </w:rPr>
      </w:pPr>
      <w:r>
        <w:rPr>
          <w:sz w:val="24"/>
          <w:rFonts w:ascii="Times New Roman" w:hAnsi="Times New Roman"/>
        </w:rPr>
        <w:t xml:space="preserve">………………………………………………………………………………………………….</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4" w:name="_Hlk125368675"/>
      <w:r>
        <w:rPr>
          <w:sz w:val="24"/>
          <w:rFonts w:ascii="Times New Roman" w:hAnsi="Times New Roman"/>
        </w:rPr>
        <w:t xml:space="preserve">Angiv henvisning til de bestemmelser i retsgrundlaget, der fastsætter de maksimale støtteintensiteter under foranstaltningen:</w:t>
      </w:r>
    </w:p>
    <w:p w14:paraId="2F5ED9DD" w14:textId="77777777" w:rsidR="007D4B84" w:rsidRDefault="007D4B84" w:rsidP="007D4B84">
      <w:pPr>
        <w:rPr>
          <w:sz w:val="24"/>
          <w:szCs w:val="24"/>
          <w:rFonts w:ascii="Times New Roman" w:eastAsia="Times New Roman" w:hAnsi="Times New Roman"/>
        </w:rPr>
      </w:pPr>
      <w:r>
        <w:rPr>
          <w:sz w:val="24"/>
          <w:rFonts w:ascii="Times New Roman" w:hAnsi="Times New Roman"/>
        </w:rPr>
        <w:t xml:space="preserve">………………………………………………………………………………………………….</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ANDRE OPLYSNINGER</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eventuelle andre oplysninger, der kan være relevante for vurderingen af den foranstaltning, der er omfattet af dette afsnit i retningslinjerne.</w:t>
      </w:r>
    </w:p>
    <w:p w14:paraId="227C2D0E" w14:textId="77777777" w:rsidR="005615D7"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Pr>
          <w:rFonts w:ascii="Times New Roman" w:hAnsi="Times New Roman"/>
        </w:rPr>
        <w:t xml:space="preserve">EUT C 107 af 23.3.2023, s.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Pr>
          <w:rFonts w:ascii="Times New Roman" w:hAnsi="Times New Roman"/>
        </w:rPr>
        <w:t xml:space="preserve">Der henvises til punkt (225) til (226) i retningslinjerne, hvori der redegøres for sekvensen for den nationale rapport i år N og Kommissionens tiltag indtil 31. marts i år N+1.</w:t>
      </w:r>
    </w:p>
  </w:footnote>
  <w:footnote w:id="3">
    <w:p w14:paraId="2D939E5B" w14:textId="77777777" w:rsidR="009B38E1" w:rsidRPr="001A2686" w:rsidRDefault="009B38E1" w:rsidP="009B38E1">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Meddelelse fra Kommissionen til Europa-Parlamentet og Rådet:</w:t>
      </w:r>
      <w:r>
        <w:rPr>
          <w:rFonts w:ascii="Times New Roman" w:hAnsi="Times New Roman"/>
        </w:rPr>
        <w:t xml:space="preserve"> </w:t>
      </w:r>
      <w:r>
        <w:rPr>
          <w:rFonts w:ascii="Times New Roman" w:hAnsi="Times New Roman"/>
        </w:rPr>
        <w:t xml:space="preserve">Retningslinjer for analyse af ligevægten mellem fiskekapacitet og fiskerimuligheder i henhold til artikel 22 i Europa-Parlamentets og Rådets forordning (EU) nr. 1380/2013 om den fælles fiskeripolitik (COM(2014) 545 final).</w:t>
      </w:r>
      <w:r>
        <w:rPr>
          <w:rFonts w:ascii="Times New Roman" w:hAnsi="Times New Roman"/>
        </w:rPr>
        <w:t xml:space="preserve">  </w:t>
      </w:r>
    </w:p>
  </w:footnote>
  <w:footnote w:id="4">
    <w:p w14:paraId="7410FC78" w14:textId="0323165B" w:rsidR="001D7707" w:rsidRPr="001D7707" w:rsidRDefault="001D7707" w:rsidP="001D7707">
      <w:pPr>
        <w:pStyle w:val="FootnoteText"/>
        <w:ind w:left="567" w:hanging="425"/>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 xml:space="preserve">Rådets forordning (EF) nr. 1224/2009 af 20. november 2009 om oprettelse af en kontrolordning for Unionen med henblik på at sikre overholdelse af reglerne i den fælles fiskeripolitik, om ændring af forordning (EF) nr. 847/96, (EF) nr. 2371/2002, (EF) nr. 811/2004, (EF) nr. 768/2005, (EF) nr. 2115/2005, (EF) nr. 2166/2005, (EF) nr. 388/2006, (EF) nr. 509/2007, (EF) nr. 676/2007, (EF) nr. 1098/2007, (EF) nr. 1300/2008, (EF) nr. 1342/2008 og om ophævelse af forordning (EØF) nr. 2847/93, (EF) nr. 1627/94 og (EF) nr. 1966/2006 (EUT L 343 af 22.12.2009,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91B8E"/>
    <w:rsid w:val="003E0993"/>
    <w:rsid w:val="004022E9"/>
    <w:rsid w:val="00423C21"/>
    <w:rsid w:val="00453ADA"/>
    <w:rsid w:val="0046170F"/>
    <w:rsid w:val="004629F3"/>
    <w:rsid w:val="004668F6"/>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362C"/>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da-DK"/>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da-DK"/>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da-DK"/>
    </w:rPr>
  </w:style>
  <w:style w:type="paragraph" w:styleId="Revision">
    <w:name w:val="Revision"/>
    <w:hidden/>
    <w:uiPriority w:val="99"/>
    <w:semiHidden/>
    <w:rsid w:val="00136501"/>
    <w:rPr>
      <w:sz w:val="22"/>
      <w:szCs w:val="22"/>
      <w:lang w:val="da-DK"/>
    </w:rPr>
  </w:style>
  <w:style w:type="paragraph" w:customStyle="1" w:styleId="Default">
    <w:name w:val="Default"/>
    <w:rsid w:val="009B38E1"/>
    <w:pPr>
      <w:autoSpaceDE w:val="0"/>
      <w:autoSpaceDN w:val="0"/>
      <w:adjustRightInd w:val="0"/>
    </w:pPr>
    <w:rPr>
      <w:rFonts w:ascii="Times New Roman" w:hAnsi="Times New Roman"/>
      <w:color w:val="000000"/>
      <w:sz w:val="24"/>
      <w:szCs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1378</Words>
  <Characters>7487</Characters>
  <Application>Microsoft Office Word</Application>
  <DocSecurity>0</DocSecurity>
  <Lines>202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LAJAUSKAITE Gintare (COMP)</cp:lastModifiedBy>
  <cp:revision>7</cp:revision>
  <dcterms:created xsi:type="dcterms:W3CDTF">2024-09-05T15:06:00Z</dcterms:created>
  <dcterms:modified xsi:type="dcterms:W3CDTF">2024-09-10T09:48:00Z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