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Lisätietolomake – </w:t>
      </w:r>
      <w:r>
        <w:rPr>
          <w:rFonts w:ascii="Times New Roman" w:hAnsi="Times New Roman"/>
          <w:b/>
          <w:smallCaps/>
          <w:sz w:val="24"/>
        </w:rPr>
        <w:br/>
        <w:t>Tuki luonnonmullistukseen rinnastettavissa olevien epäsuotuisien sääolojen aiheuttamien vahinkojen korvaamiseen</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Jäsenvaltioiden on käytettävä tätä lomaketta ilmoittaessaan kalastus- ja vesiviljelyalan valtiontukea koskevien suuntaviivojen</w:t>
      </w:r>
      <w:r w:rsidR="00BA65A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II osan 1 luvun 1.2 jaksossa kuvatusta valtiontuesta, joka myönnetään luonnonmullistukseen rinnastettavissa olevien epäsuotuisien sääolojen aiheuttamien vahinkojen korvaamiseen.</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Onko toimenpide ennalta varautumista varten perustettu puitetukijärjestelmä, jonka tavoitteena on korvata luonnonmullistukseen rinnastettavissa olevien epäsuotuisien sääolojen aiheuttamia vahinkoja?</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Jos vastaus on myöntävä, jättäkää kysymykset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ja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xml:space="preserve"> huomiotta.</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Kyllä</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Huomioikaa, että suuntaviivojen 167 kohdan mukaan komissiolle on erikseen ilmoitettava kaikista tuista, jotka myönnetään muuntyyppisten luonnonmullistukseen rinnastettavissa olevien epäsuotuisien sääolojen, joita ei mainita suuntaviivojen 161 kohdassa, aiheuttamien vahinkojen korvaamiseen.</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Kun kyseessä on ennalta varautumista varten perustettu puitetukijärjestelmä, noudattaako jäsenvaltio suuntaviivojen 345 kohdassa säädettyä raportointivelvoitetta?</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B169354"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Minkä tyyppinen luonnonmullistukseen rinnastettavissa oleva epäsuotuinen sääolo on aiheuttanut – tai ennalta varautumista varten perustetun puitetukijärjestelmän tapauksessa voisi aiheuttaa –</w:t>
      </w:r>
      <w:r w:rsidR="00086351">
        <w:rPr>
          <w:rFonts w:ascii="Times New Roman" w:hAnsi="Times New Roman"/>
          <w:sz w:val="24"/>
        </w:rPr>
        <w:t xml:space="preserve"> </w:t>
      </w:r>
      <w:r>
        <w:rPr>
          <w:rFonts w:ascii="Times New Roman" w:hAnsi="Times New Roman"/>
          <w:sz w:val="24"/>
        </w:rPr>
        <w:t>vahingon, johon korvaus on tarkoitettu?</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(a) myrskyt</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(b) poikkeuksellisen korkeita aaltoja aiheuttavat tuulenpuuskat</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(c) rankkasateet, jatkuvat sateet</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(d) tulvat</w:t>
      </w:r>
    </w:p>
    <w:p w14:paraId="204D769E" w14:textId="7AC9A53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(e) pidempään poikkeuksellisen korkeina pysyttelevät veden lämpötilat</w:t>
      </w:r>
    </w:p>
    <w:p w14:paraId="56CC4159" w14:textId="16D930A6"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(f) halla</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(g) rakeet</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lastRenderedPageBreak/>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(h) jää</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(i) ankara kuivuus</w:t>
      </w:r>
    </w:p>
    <w:p w14:paraId="5121467E" w14:textId="49E203FB" w:rsidR="00FA2803" w:rsidRDefault="00DE49C9" w:rsidP="006226CE">
      <w:pPr>
        <w:spacing w:line="240" w:lineRule="auto"/>
        <w:ind w:firstLine="502"/>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(j) muut luonnonmullistukseen rinnastettavissa olevat epäsuotuisat sääolot.</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Kuvailkaa kyseessä olevaa epäsuotuisaa sääoloa yksityiskohtaisesti.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luonnonmullistukseen rinnastettavissa olevien epäsuotuisien sääolojen aiheuttamien vahinkojen korvaamiseksi vahingon määrä on yli 30 prosenttia keskimääräisestä vuosituotannosta, joka on laskettu kolmen kalenterivuoden ajanjaksolta ennen epäsuotuisia sääoloja, tai luonnonmullistukseen rinnastettavissa olevia epäsuotuisia sääoloja edeltäneeseen viisivuotiskauteen perustuvan kolmen vuoden keskimäärästä, joka on laskettu ilman korkeinta ja alinta määrää?</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Kyllä</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Edellytetäänkö toimenpiteessä, että luonnonmullistukseen rinnastettavissa olevien epäsuotuisien sääolojen ja yrityksen kärsimien vahinkojen välillä on suora syy-seuraussuhde?</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Kyllä</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Osoittakaa, että luonnonmullistukseen rinnastettavissa olevien epäsuotuisien sääolojen ja yrityksen kärsimien vahinkojen välillä on suora syy-seuraussuhde.</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kyseessä ovat luonnonmullistukseen rinnastettavissa olevien epäsuotuisien sääolojen aiheuttamat menetykset, jotka olisi voitu kattaa asetuksen (EU) 2021/1139 kautta rahoitetuista keskinäisistä rahastoista, perustelkaa, miksi se aikoo myöntää tukea sen sijaan, että maksettaisiin rahallinen korvaus tällaisista keskinäisistä rahastoista.</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Vahvistakaa, että tuki on maksettava suoraan</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asianomaiselle yritykselle</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tuottajaryhmälle tai -organisaatiolle, jonka jäsen yritys on.</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tuki maksetaan tuottajaryhmälle tai -organisaatiolle, voitteko vahvistaa, että tuen määrä ei saa ylittää määrää, joka kyseiselle yritykselle olisi voitu myöntää?</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Täsmentäkää tapahtuman ajankohta, alkamis- ja päättymispäivät mukaan lukien (tapauksen mukaan).</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Onko toimenpide otettu käyttöön kolmen vuoden kuluessa tapahtumapäivästä?</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Ei</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tuki maksetaan neljän vuoden kuluessa tapahtumapäivästä?</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Kyllä</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F2417D">
        <w:rPr>
          <w:rFonts w:ascii="Times New Roman" w:eastAsia="Times New Roman" w:hAnsi="Times New Roman"/>
          <w:b/>
          <w:sz w:val="24"/>
        </w:rPr>
      </w:r>
      <w:r w:rsidR="00F2417D">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Ovatko tukikelpoiset kustannukset luonnonmullistukseen rinnastettavissa olevan epäsuotuisan sääolon suorana seurauksena aiheutuneiden vahinkojen kustannuksia?</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Merkitkää, arvioiko vahingon</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viranomainen</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(b) tuen myöntävän viranomaisen hyväksymä riippumaton asiantuntija</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(c) vakuutusyhtiö.</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Täsmentäkää vahingon arvioiva(t) taho(t):</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Onko vahinko:</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F2417D"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sidRPr="00F2417D">
        <w:rPr>
          <w:rFonts w:ascii="Times New Roman" w:hAnsi="Times New Roman"/>
          <w:sz w:val="24"/>
          <w:szCs w:val="24"/>
        </w:rPr>
        <w:t>(a) rakennusten, alusten, laitteiden, koneiden, varastojen ja tuotantovälineiden kaltaisen omaisuuserän kärsimä aineellinen vahinko</w:t>
      </w:r>
    </w:p>
    <w:p w14:paraId="7F1E2B5E" w14:textId="2B9DA31B" w:rsidR="00D81B3D" w:rsidRPr="00F2417D"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F2417D">
        <w:rPr>
          <w:rFonts w:ascii="Times New Roman" w:eastAsia="Times New Roman" w:hAnsi="Times New Roman"/>
          <w:sz w:val="24"/>
          <w:szCs w:val="24"/>
        </w:rPr>
        <w:fldChar w:fldCharType="begin">
          <w:ffData>
            <w:name w:val="Check1"/>
            <w:enabled/>
            <w:calcOnExit w:val="0"/>
            <w:checkBox>
              <w:sizeAuto/>
              <w:default w:val="0"/>
            </w:checkBox>
          </w:ffData>
        </w:fldChar>
      </w:r>
      <w:r w:rsidRPr="00F2417D">
        <w:rPr>
          <w:rFonts w:ascii="Times New Roman" w:eastAsia="Times New Roman" w:hAnsi="Times New Roman"/>
          <w:sz w:val="24"/>
          <w:szCs w:val="24"/>
        </w:rPr>
        <w:instrText xml:space="preserve"> FORMCHECKBOX </w:instrText>
      </w:r>
      <w:r w:rsidR="00F2417D"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ab/>
        <w:t>(b) tulonmenetys, joka on aiheutunut kalastus- tai vesiviljelytuotannon tai tuotantovälineiden tuhoutumisesta kokonaan tai osittain</w:t>
      </w:r>
    </w:p>
    <w:p w14:paraId="4372AE15" w14:textId="5ACB95DD" w:rsidR="00D81B3D" w:rsidRPr="00F2417D"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F2417D">
        <w:rPr>
          <w:rFonts w:ascii="Times New Roman" w:eastAsia="Times New Roman" w:hAnsi="Times New Roman"/>
          <w:sz w:val="24"/>
          <w:szCs w:val="24"/>
        </w:rPr>
        <w:fldChar w:fldCharType="begin">
          <w:ffData>
            <w:name w:val="Check1"/>
            <w:enabled/>
            <w:calcOnExit w:val="0"/>
            <w:checkBox>
              <w:sizeAuto/>
              <w:default w:val="0"/>
            </w:checkBox>
          </w:ffData>
        </w:fldChar>
      </w:r>
      <w:r w:rsidRPr="00F2417D">
        <w:rPr>
          <w:rFonts w:ascii="Times New Roman" w:eastAsia="Times New Roman" w:hAnsi="Times New Roman"/>
          <w:sz w:val="24"/>
          <w:szCs w:val="24"/>
        </w:rPr>
        <w:instrText xml:space="preserve"> FORMCHECKBOX </w:instrText>
      </w:r>
      <w:r w:rsidR="00F2417D"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ab/>
      </w:r>
      <w:r w:rsidR="00D917E1" w:rsidRPr="00F2417D">
        <w:rPr>
          <w:rFonts w:ascii="Times New Roman" w:hAnsi="Times New Roman"/>
          <w:sz w:val="24"/>
          <w:szCs w:val="24"/>
        </w:rPr>
        <w:t>(</w:t>
      </w:r>
      <w:r w:rsidRPr="00F2417D">
        <w:rPr>
          <w:rFonts w:ascii="Times New Roman" w:hAnsi="Times New Roman"/>
          <w:sz w:val="24"/>
          <w:szCs w:val="24"/>
        </w:rPr>
        <w:t>c) molemmat eli sekä a että b alakohdan vahinko.</w:t>
      </w:r>
    </w:p>
    <w:p w14:paraId="32877B3F" w14:textId="128FF6BB" w:rsidR="00D81B3D" w:rsidRPr="00F2417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48379BAC" w:rsidR="00D81B3D" w:rsidRPr="00F2417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sidRPr="00F2417D">
        <w:rPr>
          <w:rFonts w:ascii="Times New Roman" w:hAnsi="Times New Roman"/>
          <w:sz w:val="24"/>
          <w:szCs w:val="24"/>
        </w:rPr>
        <w:t xml:space="preserve">Mainitkaa oikeusperustan säännökset, jotka koskevat kysymyksessä </w:t>
      </w:r>
      <w:r w:rsidRPr="00F2417D">
        <w:rPr>
          <w:rFonts w:ascii="Times New Roman" w:eastAsia="Times New Roman" w:hAnsi="Times New Roman"/>
          <w:sz w:val="24"/>
          <w:szCs w:val="24"/>
        </w:rPr>
        <w:fldChar w:fldCharType="begin"/>
      </w:r>
      <w:r w:rsidRPr="00F2417D">
        <w:rPr>
          <w:rFonts w:ascii="Times New Roman" w:eastAsia="Times New Roman" w:hAnsi="Times New Roman"/>
          <w:sz w:val="24"/>
          <w:szCs w:val="24"/>
        </w:rPr>
        <w:instrText xml:space="preserve"> REF _Ref125367725 \r \h </w:instrText>
      </w:r>
      <w:r w:rsidR="0013790F" w:rsidRPr="00F2417D">
        <w:rPr>
          <w:rFonts w:ascii="Times New Roman" w:eastAsia="Times New Roman" w:hAnsi="Times New Roman"/>
          <w:sz w:val="24"/>
          <w:szCs w:val="24"/>
        </w:rPr>
        <w:instrText xml:space="preserve"> \* MERGEFORMAT </w:instrText>
      </w:r>
      <w:r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 xml:space="preserve"> valittua vastausvaihtoehtoa.</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Esittäkää mahdollisimman täsmällinen arvio sen vahingon tyypistä ja laajuudesta, joka aiheutui yrityksille – tai ennalta varautumista varten perustetun puitetukijärjestelmän tapauksessa voi aiheutua yrityksille.</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vahinko lasketaan erikseen kullekin yksittäiselle tuensaajalle?</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tukikelpoiset kustannukset voivat kattaa omaisuuserälle aiheutuneita aineellisia vahinkoja, edellytetäänkö toimenpiteessä, että vahingon aiheuttama tulonmenetys on yli 30 prosenttia keskimääräisestä vuosituotannosta, joka on laskettu kyseisiä epäsuotuisia sääoloja edeltäneiden kolmen vuoden ajanjaksolta, tai kyseisiä luonnonmullistukseen rinnastettavissa olevia epäsuotuisia sääoloja edeltäneeseen viisivuotiskauteen perustuvan kolmen vuoden keskimäärästä, joka on laskettu ilman korkeinta ja alinta määrää?</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tukikelpoiset kustannukset voivat kattaa omaisuuserän kärsimiä aineellisia vahinkoja, perustuuko aineellisten vahinkojen laskenta korjauskustannuksiin tai kyseisen omaisuuserän taloudelliseen arvoon ennen luonnonmullistusta tai poikkeuksellista tapahtumaa?</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F2417D">
        <w:rPr>
          <w:rFonts w:ascii="Times New Roman" w:eastAsia="Times New Roman" w:hAnsi="Times New Roman"/>
          <w:sz w:val="24"/>
        </w:rPr>
      </w:r>
      <w:r w:rsidR="00F2417D">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Pr="00F2417D"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F2417D">
        <w:rPr>
          <w:rFonts w:ascii="Times New Roman" w:hAnsi="Times New Roman"/>
          <w:sz w:val="24"/>
          <w:szCs w:val="24"/>
        </w:rPr>
        <w:lastRenderedPageBreak/>
        <w:t>Jos tukikelpoiset kustannukset voivat kattaa omaisuuserän kärsimiä aineellisia vahinkoja, edellytetäänkö, että aineellisen vahingon arvo ei ylitä korjauskustannuksia tai luonnonmullistukseen rinnastettavissa olevan epäsuotuisan sääolon aiheuttamaa markkina-arvon laskua, toisin sanoen omaisuuserällä välittömästi ennen luonnonmullistukseen rinnastettavissa olevaa epäsuotuisaa sääoloa olleen arvon ja välittömästi sen jälkeen olevan arvon välistä eroa.</w:t>
      </w:r>
    </w:p>
    <w:p w14:paraId="6BD12236" w14:textId="77777777"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Pr="00F2417D" w:rsidRDefault="00F95839" w:rsidP="00F95839">
      <w:pPr>
        <w:spacing w:after="0" w:line="240" w:lineRule="auto"/>
        <w:ind w:left="641" w:firstLine="153"/>
        <w:rPr>
          <w:rFonts w:ascii="Times New Roman" w:eastAsia="Times New Roman" w:hAnsi="Times New Roman"/>
          <w:bCs/>
          <w:sz w:val="24"/>
          <w:szCs w:val="24"/>
        </w:rPr>
      </w:pPr>
      <w:r w:rsidRPr="00F2417D">
        <w:rPr>
          <w:rFonts w:ascii="Times New Roman" w:eastAsia="Times New Roman" w:hAnsi="Times New Roman"/>
          <w:sz w:val="24"/>
          <w:szCs w:val="24"/>
        </w:rPr>
        <w:fldChar w:fldCharType="begin">
          <w:ffData>
            <w:name w:val="Check1"/>
            <w:enabled/>
            <w:calcOnExit w:val="0"/>
            <w:checkBox>
              <w:sizeAuto/>
              <w:default w:val="0"/>
            </w:checkBox>
          </w:ffData>
        </w:fldChar>
      </w:r>
      <w:r w:rsidRPr="00F2417D">
        <w:rPr>
          <w:rFonts w:ascii="Times New Roman" w:eastAsia="Times New Roman" w:hAnsi="Times New Roman"/>
          <w:sz w:val="24"/>
          <w:szCs w:val="24"/>
        </w:rPr>
        <w:instrText xml:space="preserve"> FORMCHECKBOX </w:instrText>
      </w:r>
      <w:r w:rsidR="00F2417D"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ab/>
        <w:t>Kyllä</w:t>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eastAsia="Times New Roman" w:hAnsi="Times New Roman"/>
          <w:sz w:val="24"/>
          <w:szCs w:val="24"/>
        </w:rPr>
        <w:fldChar w:fldCharType="begin">
          <w:ffData>
            <w:name w:val="Check1"/>
            <w:enabled/>
            <w:calcOnExit w:val="0"/>
            <w:checkBox>
              <w:sizeAuto/>
              <w:default w:val="0"/>
            </w:checkBox>
          </w:ffData>
        </w:fldChar>
      </w:r>
      <w:r w:rsidRPr="00F2417D">
        <w:rPr>
          <w:rFonts w:ascii="Times New Roman" w:eastAsia="Times New Roman" w:hAnsi="Times New Roman"/>
          <w:sz w:val="24"/>
          <w:szCs w:val="24"/>
        </w:rPr>
        <w:instrText xml:space="preserve"> FORMCHECKBOX </w:instrText>
      </w:r>
      <w:r w:rsidR="00F2417D"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ab/>
        <w:t>Ei</w:t>
      </w:r>
    </w:p>
    <w:p w14:paraId="7A4BE7F9" w14:textId="77777777" w:rsidR="00F95839" w:rsidRPr="00F2417D"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Pr="00F2417D"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F2417D">
        <w:rPr>
          <w:rFonts w:ascii="Times New Roman" w:hAnsi="Times New Roman"/>
          <w:sz w:val="24"/>
          <w:szCs w:val="24"/>
        </w:rPr>
        <w:t>Jos vastaus on myöntävä, mainitkaa oikeusperustan asianomaiset säännökset:</w:t>
      </w:r>
    </w:p>
    <w:p w14:paraId="6FC10608" w14:textId="0571A2DC" w:rsidR="00F95839" w:rsidRPr="00F2417D" w:rsidRDefault="00F95839" w:rsidP="003D5B75">
      <w:pPr>
        <w:rPr>
          <w:rFonts w:ascii="Times New Roman" w:eastAsia="Times New Roman" w:hAnsi="Times New Roman"/>
          <w:sz w:val="24"/>
          <w:szCs w:val="24"/>
        </w:rPr>
      </w:pPr>
      <w:r w:rsidRPr="00F2417D">
        <w:rPr>
          <w:rFonts w:ascii="Times New Roman" w:hAnsi="Times New Roman"/>
          <w:sz w:val="24"/>
          <w:szCs w:val="24"/>
        </w:rPr>
        <w:t>………………………………………………………………………………………………….</w:t>
      </w:r>
    </w:p>
    <w:p w14:paraId="44E11FAE" w14:textId="3602E88C" w:rsidR="00F95839" w:rsidRPr="00F2417D"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F2417D">
        <w:rPr>
          <w:rFonts w:ascii="Times New Roman" w:hAnsi="Times New Roman"/>
          <w:sz w:val="24"/>
          <w:szCs w:val="24"/>
        </w:rPr>
        <w:t>Jos tukikelpoiset kustannukset voivat kattaa tulonmenetyksiä, lasketaanko tulonmenetys suuntaviivojen 173 kohdan mukaisesti eli vähentämällä a) sinä vuonna, jona luonnonmullistukseen rinnastettavissa oleva epäsuotuinen sääolo tapahtui, tai jokaisena seuraavana vuonna, johon tuotantovälineiden täydellinen tai osittainen tuhoutuminen vaikutti, tuotettujen kalastus- ja vesiviljelytuotteiden määrä kerrottuna kyseisen vuoden aikana saadulla keskimääräisellä myyntihinnalla b) kalastus- ja vesiviljelytuotteiden keskimääräisestä vuosituotannosta, joka on tuotettu kolmen vuoden ajanjaksolla ennen luonnonmullistukseen rinnastettavissa olevaa epäsuotuisaa sääoloa, tai luonnonmullistukseen rinnastettavissa olevaa epäsuotuisaa sääoloa edeltävään viisivuotiskauteen perustuvan kolmen vuoden keskimääräisestä tuotannosta, laskettuna ilman korkeinta ja alinta määrää, kumpikin kerrottuna saadulla keskimääräisellä myyntihinnalla?</w:t>
      </w:r>
    </w:p>
    <w:p w14:paraId="1863C616" w14:textId="2A4EDA01"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Pr="00F2417D" w:rsidRDefault="00F95839" w:rsidP="00F95839">
      <w:pPr>
        <w:spacing w:after="0" w:line="240" w:lineRule="auto"/>
        <w:ind w:left="641" w:firstLine="153"/>
        <w:rPr>
          <w:rFonts w:ascii="Times New Roman" w:eastAsia="Times New Roman" w:hAnsi="Times New Roman"/>
          <w:bCs/>
          <w:sz w:val="24"/>
          <w:szCs w:val="24"/>
        </w:rPr>
      </w:pPr>
      <w:r w:rsidRPr="00F2417D">
        <w:rPr>
          <w:rFonts w:ascii="Times New Roman" w:eastAsia="Times New Roman" w:hAnsi="Times New Roman"/>
          <w:sz w:val="24"/>
          <w:szCs w:val="24"/>
        </w:rPr>
        <w:fldChar w:fldCharType="begin">
          <w:ffData>
            <w:name w:val="Check1"/>
            <w:enabled/>
            <w:calcOnExit w:val="0"/>
            <w:checkBox>
              <w:sizeAuto/>
              <w:default w:val="0"/>
            </w:checkBox>
          </w:ffData>
        </w:fldChar>
      </w:r>
      <w:r w:rsidRPr="00F2417D">
        <w:rPr>
          <w:rFonts w:ascii="Times New Roman" w:eastAsia="Times New Roman" w:hAnsi="Times New Roman"/>
          <w:sz w:val="24"/>
          <w:szCs w:val="24"/>
        </w:rPr>
        <w:instrText xml:space="preserve"> FORMCHECKBOX </w:instrText>
      </w:r>
      <w:r w:rsidR="00F2417D"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ab/>
        <w:t>Kyllä</w:t>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eastAsia="Times New Roman" w:hAnsi="Times New Roman"/>
          <w:sz w:val="24"/>
          <w:szCs w:val="24"/>
        </w:rPr>
        <w:fldChar w:fldCharType="begin">
          <w:ffData>
            <w:name w:val="Check1"/>
            <w:enabled/>
            <w:calcOnExit w:val="0"/>
            <w:checkBox>
              <w:sizeAuto/>
              <w:default w:val="0"/>
            </w:checkBox>
          </w:ffData>
        </w:fldChar>
      </w:r>
      <w:r w:rsidRPr="00F2417D">
        <w:rPr>
          <w:rFonts w:ascii="Times New Roman" w:eastAsia="Times New Roman" w:hAnsi="Times New Roman"/>
          <w:sz w:val="24"/>
          <w:szCs w:val="24"/>
        </w:rPr>
        <w:instrText xml:space="preserve"> FORMCHECKBOX </w:instrText>
      </w:r>
      <w:r w:rsidR="00F2417D"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ab/>
        <w:t>Ei</w:t>
      </w:r>
    </w:p>
    <w:p w14:paraId="6322C6C3" w14:textId="77777777" w:rsidR="00F95839" w:rsidRPr="00F2417D"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Pr="00F2417D"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sidRPr="00F2417D">
        <w:rPr>
          <w:rFonts w:ascii="Times New Roman" w:hAnsi="Times New Roman"/>
          <w:sz w:val="24"/>
          <w:szCs w:val="24"/>
        </w:rPr>
        <w:t>Jos vastaus on myöntävä, mainitkaa oikeusperustan asianomaiset säännökset:</w:t>
      </w:r>
    </w:p>
    <w:p w14:paraId="25443052" w14:textId="3EF5E597" w:rsidR="00F95839" w:rsidRPr="00F2417D" w:rsidRDefault="00F95839" w:rsidP="00E868A0">
      <w:pPr>
        <w:rPr>
          <w:rFonts w:ascii="Times New Roman" w:eastAsia="Times New Roman" w:hAnsi="Times New Roman"/>
          <w:sz w:val="24"/>
          <w:szCs w:val="24"/>
        </w:rPr>
      </w:pPr>
      <w:r w:rsidRPr="00F2417D">
        <w:rPr>
          <w:rFonts w:ascii="Times New Roman" w:hAnsi="Times New Roman"/>
          <w:sz w:val="24"/>
          <w:szCs w:val="24"/>
        </w:rPr>
        <w:t>………………………………………………………………………………………………….</w:t>
      </w:r>
      <w:bookmarkEnd w:id="5"/>
    </w:p>
    <w:p w14:paraId="460B7B47" w14:textId="7322091B" w:rsidR="00F95839" w:rsidRPr="00F2417D"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sidRPr="00F2417D">
        <w:rPr>
          <w:rFonts w:ascii="Times New Roman" w:hAnsi="Times New Roman"/>
          <w:sz w:val="24"/>
          <w:szCs w:val="24"/>
        </w:rPr>
        <w:t>Voiko korvauksen määrään lisätä muita luonnonmullistukseen rinnastettavissa olevasta epäsuotuisasta sääolosta tuensaajayritykselle aiheutuneita kustannuksia?</w:t>
      </w:r>
      <w:bookmarkEnd w:id="6"/>
    </w:p>
    <w:p w14:paraId="41852511" w14:textId="77777777"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Pr="00F2417D" w:rsidRDefault="00F95839" w:rsidP="00F95839">
      <w:pPr>
        <w:spacing w:after="0" w:line="240" w:lineRule="auto"/>
        <w:ind w:left="641" w:firstLine="153"/>
        <w:rPr>
          <w:rFonts w:ascii="Times New Roman" w:eastAsia="Times New Roman" w:hAnsi="Times New Roman"/>
          <w:bCs/>
          <w:sz w:val="24"/>
          <w:szCs w:val="24"/>
        </w:rPr>
      </w:pPr>
      <w:r w:rsidRPr="00F2417D">
        <w:rPr>
          <w:rFonts w:ascii="Times New Roman" w:eastAsia="Times New Roman" w:hAnsi="Times New Roman"/>
          <w:sz w:val="24"/>
          <w:szCs w:val="24"/>
        </w:rPr>
        <w:fldChar w:fldCharType="begin">
          <w:ffData>
            <w:name w:val="Check1"/>
            <w:enabled/>
            <w:calcOnExit w:val="0"/>
            <w:checkBox>
              <w:sizeAuto/>
              <w:default w:val="0"/>
            </w:checkBox>
          </w:ffData>
        </w:fldChar>
      </w:r>
      <w:r w:rsidRPr="00F2417D">
        <w:rPr>
          <w:rFonts w:ascii="Times New Roman" w:eastAsia="Times New Roman" w:hAnsi="Times New Roman"/>
          <w:sz w:val="24"/>
          <w:szCs w:val="24"/>
        </w:rPr>
        <w:instrText xml:space="preserve"> FORMCHECKBOX </w:instrText>
      </w:r>
      <w:r w:rsidR="00F2417D"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ab/>
        <w:t>Kyllä</w:t>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eastAsia="Times New Roman" w:hAnsi="Times New Roman"/>
          <w:sz w:val="24"/>
          <w:szCs w:val="24"/>
        </w:rPr>
        <w:fldChar w:fldCharType="begin">
          <w:ffData>
            <w:name w:val="Check1"/>
            <w:enabled/>
            <w:calcOnExit w:val="0"/>
            <w:checkBox>
              <w:sizeAuto/>
              <w:default w:val="0"/>
            </w:checkBox>
          </w:ffData>
        </w:fldChar>
      </w:r>
      <w:r w:rsidRPr="00F2417D">
        <w:rPr>
          <w:rFonts w:ascii="Times New Roman" w:eastAsia="Times New Roman" w:hAnsi="Times New Roman"/>
          <w:sz w:val="24"/>
          <w:szCs w:val="24"/>
        </w:rPr>
        <w:instrText xml:space="preserve"> FORMCHECKBOX </w:instrText>
      </w:r>
      <w:r w:rsidR="00F2417D"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ab/>
        <w:t>Ei</w:t>
      </w:r>
    </w:p>
    <w:p w14:paraId="0E6E6B1E" w14:textId="77777777" w:rsidR="00F95839" w:rsidRPr="00F2417D"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Pr="00F2417D"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F2417D">
        <w:rPr>
          <w:rFonts w:ascii="Times New Roman" w:hAnsi="Times New Roman"/>
          <w:sz w:val="24"/>
          <w:szCs w:val="24"/>
        </w:rPr>
        <w:t xml:space="preserve">Jos vastaus on myöntävä, </w:t>
      </w:r>
      <w:bookmarkStart w:id="8" w:name="_Hlk126945164"/>
      <w:r w:rsidRPr="00F2417D">
        <w:rPr>
          <w:rFonts w:ascii="Times New Roman" w:hAnsi="Times New Roman"/>
          <w:sz w:val="24"/>
          <w:szCs w:val="24"/>
        </w:rPr>
        <w:t>ilmoittakaa asianomaiset kustannukset</w:t>
      </w:r>
      <w:bookmarkEnd w:id="8"/>
      <w:r w:rsidRPr="00F2417D">
        <w:rPr>
          <w:rFonts w:ascii="Times New Roman" w:hAnsi="Times New Roman"/>
          <w:sz w:val="24"/>
          <w:szCs w:val="24"/>
        </w:rPr>
        <w:t xml:space="preserve">: </w:t>
      </w:r>
    </w:p>
    <w:p w14:paraId="2ACDF4B0" w14:textId="77777777" w:rsidR="00F95839" w:rsidRPr="00F2417D" w:rsidRDefault="00F95839" w:rsidP="00F95839">
      <w:pPr>
        <w:rPr>
          <w:rFonts w:ascii="Times New Roman" w:eastAsia="Times New Roman" w:hAnsi="Times New Roman"/>
          <w:sz w:val="24"/>
          <w:szCs w:val="24"/>
        </w:rPr>
      </w:pPr>
      <w:r w:rsidRPr="00F2417D">
        <w:rPr>
          <w:rFonts w:ascii="Times New Roman" w:hAnsi="Times New Roman"/>
          <w:sz w:val="24"/>
          <w:szCs w:val="24"/>
        </w:rPr>
        <w:t>………………………………………………………………………………………………….</w:t>
      </w:r>
    </w:p>
    <w:p w14:paraId="3A30D96E" w14:textId="77777777"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Pr="00F2417D"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sidRPr="00F2417D">
        <w:rPr>
          <w:rFonts w:ascii="Times New Roman" w:hAnsi="Times New Roman"/>
          <w:sz w:val="24"/>
          <w:szCs w:val="24"/>
        </w:rPr>
        <w:t xml:space="preserve"> Jos vastaus on myöntävä, mainitkaa oikeusperustan asianomaiset säännökset:</w:t>
      </w:r>
    </w:p>
    <w:p w14:paraId="061FDCCE" w14:textId="3844EDC3" w:rsidR="00F95839" w:rsidRPr="00F2417D" w:rsidRDefault="00F95839" w:rsidP="00122D59">
      <w:pPr>
        <w:rPr>
          <w:rFonts w:ascii="Times New Roman" w:eastAsia="Times New Roman" w:hAnsi="Times New Roman"/>
          <w:sz w:val="24"/>
          <w:szCs w:val="24"/>
        </w:rPr>
      </w:pPr>
      <w:r w:rsidRPr="00F2417D">
        <w:rPr>
          <w:rFonts w:ascii="Times New Roman" w:hAnsi="Times New Roman"/>
          <w:sz w:val="24"/>
          <w:szCs w:val="24"/>
        </w:rPr>
        <w:t>………………………………………………………………………………………………….</w:t>
      </w:r>
      <w:bookmarkEnd w:id="9"/>
      <w:bookmarkEnd w:id="7"/>
    </w:p>
    <w:p w14:paraId="0F6683B6" w14:textId="77777777"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Pr="00F2417D"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sidRPr="00F2417D">
        <w:rPr>
          <w:rFonts w:ascii="Times New Roman" w:hAnsi="Times New Roman"/>
          <w:sz w:val="24"/>
          <w:szCs w:val="24"/>
        </w:rPr>
        <w:t>Onko korvauksen määrästä vähennettävä mahdolliset kustannukset, jotka eivät johdu luonnonmullistukseen rinnastettavissa olevasta epäsuotuisesta sääolosta ja jotka olisivat muutoinkin aiheutuneet tuensaajayritykselle?</w:t>
      </w:r>
      <w:bookmarkEnd w:id="10"/>
    </w:p>
    <w:p w14:paraId="6A0C91D0" w14:textId="77777777"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Pr="00F2417D" w:rsidRDefault="00F95839" w:rsidP="00F95839">
      <w:pPr>
        <w:spacing w:after="0" w:line="240" w:lineRule="auto"/>
        <w:ind w:left="641" w:firstLine="153"/>
        <w:rPr>
          <w:rFonts w:ascii="Times New Roman" w:eastAsia="Times New Roman" w:hAnsi="Times New Roman"/>
          <w:bCs/>
          <w:sz w:val="24"/>
          <w:szCs w:val="24"/>
        </w:rPr>
      </w:pPr>
      <w:r w:rsidRPr="00F2417D">
        <w:rPr>
          <w:rFonts w:ascii="Times New Roman" w:eastAsia="Times New Roman" w:hAnsi="Times New Roman"/>
          <w:sz w:val="24"/>
          <w:szCs w:val="24"/>
        </w:rPr>
        <w:fldChar w:fldCharType="begin">
          <w:ffData>
            <w:name w:val="Check1"/>
            <w:enabled/>
            <w:calcOnExit w:val="0"/>
            <w:checkBox>
              <w:sizeAuto/>
              <w:default w:val="0"/>
            </w:checkBox>
          </w:ffData>
        </w:fldChar>
      </w:r>
      <w:r w:rsidRPr="00F2417D">
        <w:rPr>
          <w:rFonts w:ascii="Times New Roman" w:eastAsia="Times New Roman" w:hAnsi="Times New Roman"/>
          <w:sz w:val="24"/>
          <w:szCs w:val="24"/>
        </w:rPr>
        <w:instrText xml:space="preserve"> FORMCHECKBOX </w:instrText>
      </w:r>
      <w:r w:rsidR="00F2417D"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ab/>
        <w:t>Kyllä</w:t>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eastAsia="Times New Roman" w:hAnsi="Times New Roman"/>
          <w:sz w:val="24"/>
          <w:szCs w:val="24"/>
        </w:rPr>
        <w:fldChar w:fldCharType="begin">
          <w:ffData>
            <w:name w:val="Check1"/>
            <w:enabled/>
            <w:calcOnExit w:val="0"/>
            <w:checkBox>
              <w:sizeAuto/>
              <w:default w:val="0"/>
            </w:checkBox>
          </w:ffData>
        </w:fldChar>
      </w:r>
      <w:r w:rsidRPr="00F2417D">
        <w:rPr>
          <w:rFonts w:ascii="Times New Roman" w:eastAsia="Times New Roman" w:hAnsi="Times New Roman"/>
          <w:sz w:val="24"/>
          <w:szCs w:val="24"/>
        </w:rPr>
        <w:instrText xml:space="preserve"> FORMCHECKBOX </w:instrText>
      </w:r>
      <w:r w:rsidR="00F2417D" w:rsidRPr="00F2417D">
        <w:rPr>
          <w:rFonts w:ascii="Times New Roman" w:eastAsia="Times New Roman" w:hAnsi="Times New Roman"/>
          <w:sz w:val="24"/>
          <w:szCs w:val="24"/>
        </w:rPr>
      </w:r>
      <w:r w:rsidR="00F2417D" w:rsidRPr="00F2417D">
        <w:rPr>
          <w:rFonts w:ascii="Times New Roman" w:eastAsia="Times New Roman" w:hAnsi="Times New Roman"/>
          <w:sz w:val="24"/>
          <w:szCs w:val="24"/>
        </w:rPr>
        <w:fldChar w:fldCharType="separate"/>
      </w:r>
      <w:r w:rsidRPr="00F2417D">
        <w:rPr>
          <w:rFonts w:ascii="Times New Roman" w:eastAsia="Times New Roman" w:hAnsi="Times New Roman"/>
          <w:sz w:val="24"/>
          <w:szCs w:val="24"/>
        </w:rPr>
        <w:fldChar w:fldCharType="end"/>
      </w:r>
      <w:r w:rsidRPr="00F2417D">
        <w:rPr>
          <w:rFonts w:ascii="Times New Roman" w:hAnsi="Times New Roman"/>
          <w:sz w:val="24"/>
          <w:szCs w:val="24"/>
        </w:rPr>
        <w:tab/>
        <w:t>Ei</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Pr="00F2417D"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F2417D">
        <w:rPr>
          <w:rFonts w:ascii="Times New Roman" w:hAnsi="Times New Roman"/>
          <w:sz w:val="24"/>
          <w:szCs w:val="24"/>
        </w:rPr>
        <w:t xml:space="preserve">Jos vastaus on myöntävä, mainitkaa asianomaiset kustannukset: </w:t>
      </w:r>
    </w:p>
    <w:p w14:paraId="7428B961" w14:textId="77777777" w:rsidR="00F95839" w:rsidRPr="00F2417D" w:rsidRDefault="00F95839" w:rsidP="00F95839">
      <w:pPr>
        <w:rPr>
          <w:rFonts w:ascii="Times New Roman" w:eastAsia="Times New Roman" w:hAnsi="Times New Roman"/>
          <w:sz w:val="24"/>
          <w:szCs w:val="24"/>
        </w:rPr>
      </w:pPr>
      <w:r w:rsidRPr="00F2417D">
        <w:rPr>
          <w:rFonts w:ascii="Times New Roman" w:hAnsi="Times New Roman"/>
          <w:sz w:val="24"/>
          <w:szCs w:val="24"/>
        </w:rPr>
        <w:t>………………………………………………………………………………………………….</w:t>
      </w:r>
    </w:p>
    <w:p w14:paraId="595CB3CD" w14:textId="77777777"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Pr="00F2417D"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F2417D">
        <w:rPr>
          <w:rFonts w:ascii="Times New Roman" w:hAnsi="Times New Roman"/>
          <w:sz w:val="24"/>
          <w:szCs w:val="24"/>
        </w:rPr>
        <w:t>Jos vastaus on myöntävä, mainitkaa oikeusperustan asianomaiset säännökset:</w:t>
      </w:r>
    </w:p>
    <w:p w14:paraId="5A6019C1" w14:textId="3B79AECA" w:rsidR="00F95839" w:rsidRPr="00F2417D" w:rsidRDefault="00F95839" w:rsidP="00122D59">
      <w:pPr>
        <w:rPr>
          <w:rFonts w:ascii="Times New Roman" w:eastAsia="Times New Roman" w:hAnsi="Times New Roman"/>
          <w:sz w:val="24"/>
          <w:szCs w:val="24"/>
        </w:rPr>
      </w:pPr>
      <w:r w:rsidRPr="00F2417D">
        <w:rPr>
          <w:rFonts w:ascii="Times New Roman" w:hAnsi="Times New Roman"/>
          <w:sz w:val="24"/>
          <w:szCs w:val="24"/>
        </w:rPr>
        <w:t>………………………………………………………………………………………………….</w:t>
      </w:r>
      <w:bookmarkEnd w:id="11"/>
    </w:p>
    <w:p w14:paraId="385355FD" w14:textId="57FF8890" w:rsidR="00880E2D" w:rsidRPr="00F2417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F2417D">
        <w:rPr>
          <w:rFonts w:ascii="Times New Roman" w:hAnsi="Times New Roman"/>
          <w:sz w:val="24"/>
          <w:szCs w:val="24"/>
        </w:rPr>
        <w:t>Huomioikaa, että suuntaviivojen 175 kohdan mukaan komissio voi hyväksyä muita laskentatapoja, jos ne ovat edustavia, eivät perustu epätavallisen suuriin saaliisiin tai tuotoksiin eivätkä johda tuensaajayritysten saamiin liiallisiin korvauksiin.</w:t>
      </w:r>
    </w:p>
    <w:p w14:paraId="701699A8" w14:textId="77777777" w:rsidR="00880E2D" w:rsidRPr="00F2417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638C7D0D" w:rsidR="00880E2D" w:rsidRPr="00F2417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sidRPr="00F2417D">
        <w:rPr>
          <w:rFonts w:ascii="Times New Roman" w:hAnsi="Times New Roman"/>
          <w:sz w:val="24"/>
          <w:szCs w:val="24"/>
        </w:rPr>
        <w:t xml:space="preserve">Jos ilmoittava jäsenvaltio aikoo ehdottaa vaihtoehtoista laskentatapaa, perustelkaa, miksi suuntaviivoissa vahvistettu menetelmä ei sovellu kyseiseen tapaukseen, ja selittäkää, miten vaihtoehtoinen laskentatapa ottaa määritellyt tarpeet paremmin </w:t>
      </w:r>
      <w:proofErr w:type="gramStart"/>
      <w:r w:rsidRPr="00F2417D">
        <w:rPr>
          <w:rFonts w:ascii="Times New Roman" w:hAnsi="Times New Roman"/>
          <w:sz w:val="24"/>
          <w:szCs w:val="24"/>
        </w:rPr>
        <w:t>huomioon.…</w:t>
      </w:r>
      <w:proofErr w:type="gramEnd"/>
      <w:r w:rsidRPr="00F2417D">
        <w:rPr>
          <w:rFonts w:ascii="Times New Roman" w:hAnsi="Times New Roman"/>
          <w:sz w:val="24"/>
          <w:szCs w:val="24"/>
        </w:rPr>
        <w:t>……………………………………………………………………………………</w:t>
      </w:r>
    </w:p>
    <w:p w14:paraId="79C86FF4" w14:textId="77777777" w:rsidR="00880E2D" w:rsidRPr="00F2417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F2417D"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sidRPr="00F2417D">
        <w:rPr>
          <w:rFonts w:ascii="Times New Roman" w:hAnsi="Times New Roman"/>
          <w:i/>
          <w:sz w:val="24"/>
          <w:szCs w:val="24"/>
        </w:rPr>
        <w:t xml:space="preserve">Toimittakaa ilmoituksen liitteenä ehdotettu vaihtoehtoinen menetelmä sekä osoitus siitä, että menetelmä on edustava, ei perustu epätavallisen suuriin saaliisiin tai tuotoksiin eikä johda tuensaajayritysten saamiin liiallisiin korvauksiin. </w:t>
      </w:r>
    </w:p>
    <w:bookmarkEnd w:id="12"/>
    <w:p w14:paraId="5CE1DD02" w14:textId="21818095" w:rsidR="00F95839" w:rsidRPr="00F2417D" w:rsidRDefault="00880E2D" w:rsidP="00880E2D">
      <w:pPr>
        <w:rPr>
          <w:rFonts w:ascii="Times New Roman" w:eastAsia="Times New Roman" w:hAnsi="Times New Roman"/>
          <w:sz w:val="24"/>
          <w:szCs w:val="24"/>
        </w:rPr>
      </w:pPr>
      <w:r w:rsidRPr="00F2417D">
        <w:rPr>
          <w:rFonts w:ascii="Times New Roman" w:hAnsi="Times New Roman"/>
          <w:sz w:val="24"/>
          <w:szCs w:val="24"/>
        </w:rPr>
        <w:t>………………………………………………………………………………………………….</w:t>
      </w:r>
    </w:p>
    <w:p w14:paraId="241050DF" w14:textId="304D9763" w:rsidR="00F95839" w:rsidRPr="00F2417D"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F2417D">
        <w:rPr>
          <w:rFonts w:ascii="Times New Roman" w:hAnsi="Times New Roman"/>
          <w:sz w:val="24"/>
          <w:szCs w:val="24"/>
        </w:rPr>
        <w:t>Edellytetäänkö toimenpiteessä, että jos pk-yritys on perustettu alle kolme vuotta ennen luonnonmullistukseen rinnastettavissa olevien epäsuotuisien sääolojen tapahtumispäivää, 163 kohdan a alakohdassa, 171 kohdassa ja 173 kohdan b alakohdassa tarkoitetun kolmen tai viiden vuoden ajanjakson katsotaan viittaavan sellaisen keskivertoyrityksen tuottamaan ja myymään määrään, joka on hakijan kanssa samansuuruinen eli mikroyritys, pienyritys tai keskisuuri yritys ja toimii kansallisella tai alueellisella alalla, johon luonnonmullistukseen rinnastettavissa olevat epäsuotuisat sääolot vaikuttivat.</w:t>
      </w:r>
    </w:p>
    <w:p w14:paraId="66DD16D2" w14:textId="4AC171EC"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F2417D"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F2417D">
        <w:rPr>
          <w:rFonts w:ascii="Times New Roman" w:eastAsia="Times New Roman" w:hAnsi="Times New Roman"/>
          <w:b/>
          <w:sz w:val="24"/>
          <w:szCs w:val="24"/>
        </w:rPr>
        <w:fldChar w:fldCharType="begin">
          <w:ffData>
            <w:name w:val="Check1"/>
            <w:enabled/>
            <w:calcOnExit w:val="0"/>
            <w:checkBox>
              <w:sizeAuto/>
              <w:default w:val="0"/>
            </w:checkBox>
          </w:ffData>
        </w:fldChar>
      </w:r>
      <w:r w:rsidRPr="00F2417D">
        <w:rPr>
          <w:rFonts w:ascii="Times New Roman" w:eastAsia="Times New Roman" w:hAnsi="Times New Roman"/>
          <w:b/>
          <w:sz w:val="24"/>
          <w:szCs w:val="24"/>
        </w:rPr>
        <w:instrText xml:space="preserve"> FORMCHECKBOX </w:instrText>
      </w:r>
      <w:r w:rsidR="00F2417D" w:rsidRPr="00F2417D">
        <w:rPr>
          <w:rFonts w:ascii="Times New Roman" w:eastAsia="Times New Roman" w:hAnsi="Times New Roman"/>
          <w:b/>
          <w:sz w:val="24"/>
          <w:szCs w:val="24"/>
        </w:rPr>
      </w:r>
      <w:r w:rsidR="00F2417D" w:rsidRPr="00F2417D">
        <w:rPr>
          <w:rFonts w:ascii="Times New Roman" w:eastAsia="Times New Roman" w:hAnsi="Times New Roman"/>
          <w:b/>
          <w:sz w:val="24"/>
          <w:szCs w:val="24"/>
        </w:rPr>
        <w:fldChar w:fldCharType="separate"/>
      </w:r>
      <w:r w:rsidRPr="00F2417D">
        <w:rPr>
          <w:rFonts w:ascii="Times New Roman" w:eastAsia="Times New Roman" w:hAnsi="Times New Roman"/>
          <w:b/>
          <w:sz w:val="24"/>
          <w:szCs w:val="24"/>
        </w:rPr>
        <w:fldChar w:fldCharType="end"/>
      </w:r>
      <w:r w:rsidRPr="00F2417D">
        <w:rPr>
          <w:rFonts w:ascii="Times New Roman" w:hAnsi="Times New Roman"/>
          <w:sz w:val="24"/>
          <w:szCs w:val="24"/>
        </w:rPr>
        <w:tab/>
        <w:t>Kyllä</w:t>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eastAsia="Times New Roman" w:hAnsi="Times New Roman"/>
          <w:b/>
          <w:sz w:val="24"/>
          <w:szCs w:val="24"/>
        </w:rPr>
        <w:fldChar w:fldCharType="begin">
          <w:ffData>
            <w:name w:val="Check1"/>
            <w:enabled/>
            <w:calcOnExit w:val="0"/>
            <w:checkBox>
              <w:sizeAuto/>
              <w:default w:val="0"/>
            </w:checkBox>
          </w:ffData>
        </w:fldChar>
      </w:r>
      <w:r w:rsidRPr="00F2417D">
        <w:rPr>
          <w:rFonts w:ascii="Times New Roman" w:eastAsia="Times New Roman" w:hAnsi="Times New Roman"/>
          <w:b/>
          <w:sz w:val="24"/>
          <w:szCs w:val="24"/>
        </w:rPr>
        <w:instrText xml:space="preserve"> FORMCHECKBOX </w:instrText>
      </w:r>
      <w:r w:rsidR="00F2417D" w:rsidRPr="00F2417D">
        <w:rPr>
          <w:rFonts w:ascii="Times New Roman" w:eastAsia="Times New Roman" w:hAnsi="Times New Roman"/>
          <w:b/>
          <w:sz w:val="24"/>
          <w:szCs w:val="24"/>
        </w:rPr>
      </w:r>
      <w:r w:rsidR="00F2417D" w:rsidRPr="00F2417D">
        <w:rPr>
          <w:rFonts w:ascii="Times New Roman" w:eastAsia="Times New Roman" w:hAnsi="Times New Roman"/>
          <w:b/>
          <w:sz w:val="24"/>
          <w:szCs w:val="24"/>
        </w:rPr>
        <w:fldChar w:fldCharType="separate"/>
      </w:r>
      <w:r w:rsidRPr="00F2417D">
        <w:rPr>
          <w:rFonts w:ascii="Times New Roman" w:eastAsia="Times New Roman" w:hAnsi="Times New Roman"/>
          <w:b/>
          <w:sz w:val="24"/>
          <w:szCs w:val="24"/>
        </w:rPr>
        <w:fldChar w:fldCharType="end"/>
      </w:r>
      <w:r w:rsidRPr="00F2417D">
        <w:rPr>
          <w:rFonts w:ascii="Times New Roman" w:hAnsi="Times New Roman"/>
          <w:sz w:val="24"/>
          <w:szCs w:val="24"/>
        </w:rPr>
        <w:tab/>
        <w:t>Ei</w:t>
      </w:r>
    </w:p>
    <w:p w14:paraId="3A61EAA0" w14:textId="77777777"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Pr="00F2417D"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F2417D">
        <w:rPr>
          <w:rFonts w:ascii="Times New Roman" w:hAnsi="Times New Roman"/>
          <w:sz w:val="24"/>
          <w:szCs w:val="24"/>
        </w:rPr>
        <w:t>Jos vastaus on myöntävä, mainitkaa oikeusperustan asianomaiset säännökset:</w:t>
      </w:r>
    </w:p>
    <w:p w14:paraId="79315BC5" w14:textId="13D2F5FC" w:rsidR="00F95839" w:rsidRPr="00F2417D" w:rsidRDefault="00F95839" w:rsidP="00364DA6">
      <w:pPr>
        <w:rPr>
          <w:rFonts w:ascii="Times New Roman" w:eastAsia="Times New Roman" w:hAnsi="Times New Roman"/>
          <w:sz w:val="24"/>
          <w:szCs w:val="24"/>
        </w:rPr>
      </w:pPr>
      <w:r w:rsidRPr="00F2417D">
        <w:rPr>
          <w:rFonts w:ascii="Times New Roman" w:hAnsi="Times New Roman"/>
          <w:sz w:val="24"/>
          <w:szCs w:val="24"/>
        </w:rPr>
        <w:t>………………………………………………………………………………………………….</w:t>
      </w:r>
    </w:p>
    <w:p w14:paraId="451F3872" w14:textId="20660D8B" w:rsidR="00F95839" w:rsidRPr="00F2417D"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F2417D">
        <w:rPr>
          <w:rFonts w:ascii="Times New Roman" w:hAnsi="Times New Roman"/>
          <w:sz w:val="24"/>
          <w:szCs w:val="24"/>
        </w:rPr>
        <w:t>Edellytetäänkö toimenpiteessä, että tuki ja muut maksut, joita on saatu vahingon korvaamiseksi, mukaan lukien vakuutussopimusten perusteella saadut maksut, saavat olla enintään 100 prosenttia tukikelpoisista kustannuksista?</w:t>
      </w:r>
    </w:p>
    <w:p w14:paraId="59C54C7F" w14:textId="77777777"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F2417D"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F2417D">
        <w:rPr>
          <w:rFonts w:ascii="Times New Roman" w:eastAsia="Times New Roman" w:hAnsi="Times New Roman"/>
          <w:b/>
          <w:sz w:val="24"/>
          <w:szCs w:val="24"/>
        </w:rPr>
        <w:fldChar w:fldCharType="begin">
          <w:ffData>
            <w:name w:val="Check1"/>
            <w:enabled/>
            <w:calcOnExit w:val="0"/>
            <w:checkBox>
              <w:sizeAuto/>
              <w:default w:val="0"/>
            </w:checkBox>
          </w:ffData>
        </w:fldChar>
      </w:r>
      <w:r w:rsidRPr="00F2417D">
        <w:rPr>
          <w:rFonts w:ascii="Times New Roman" w:eastAsia="Times New Roman" w:hAnsi="Times New Roman"/>
          <w:b/>
          <w:sz w:val="24"/>
          <w:szCs w:val="24"/>
        </w:rPr>
        <w:instrText xml:space="preserve"> FORMCHECKBOX </w:instrText>
      </w:r>
      <w:r w:rsidR="00F2417D" w:rsidRPr="00F2417D">
        <w:rPr>
          <w:rFonts w:ascii="Times New Roman" w:eastAsia="Times New Roman" w:hAnsi="Times New Roman"/>
          <w:b/>
          <w:sz w:val="24"/>
          <w:szCs w:val="24"/>
        </w:rPr>
      </w:r>
      <w:r w:rsidR="00F2417D" w:rsidRPr="00F2417D">
        <w:rPr>
          <w:rFonts w:ascii="Times New Roman" w:eastAsia="Times New Roman" w:hAnsi="Times New Roman"/>
          <w:b/>
          <w:sz w:val="24"/>
          <w:szCs w:val="24"/>
        </w:rPr>
        <w:fldChar w:fldCharType="separate"/>
      </w:r>
      <w:r w:rsidRPr="00F2417D">
        <w:rPr>
          <w:rFonts w:ascii="Times New Roman" w:eastAsia="Times New Roman" w:hAnsi="Times New Roman"/>
          <w:b/>
          <w:sz w:val="24"/>
          <w:szCs w:val="24"/>
        </w:rPr>
        <w:fldChar w:fldCharType="end"/>
      </w:r>
      <w:r w:rsidRPr="00F2417D">
        <w:rPr>
          <w:rFonts w:ascii="Times New Roman" w:hAnsi="Times New Roman"/>
          <w:sz w:val="24"/>
          <w:szCs w:val="24"/>
        </w:rPr>
        <w:tab/>
        <w:t>Kyllä</w:t>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hAnsi="Times New Roman"/>
          <w:sz w:val="24"/>
          <w:szCs w:val="24"/>
        </w:rPr>
        <w:tab/>
      </w:r>
      <w:r w:rsidRPr="00F2417D">
        <w:rPr>
          <w:rFonts w:ascii="Times New Roman" w:eastAsia="Times New Roman" w:hAnsi="Times New Roman"/>
          <w:b/>
          <w:sz w:val="24"/>
          <w:szCs w:val="24"/>
        </w:rPr>
        <w:fldChar w:fldCharType="begin">
          <w:ffData>
            <w:name w:val="Check1"/>
            <w:enabled/>
            <w:calcOnExit w:val="0"/>
            <w:checkBox>
              <w:sizeAuto/>
              <w:default w:val="0"/>
            </w:checkBox>
          </w:ffData>
        </w:fldChar>
      </w:r>
      <w:r w:rsidRPr="00F2417D">
        <w:rPr>
          <w:rFonts w:ascii="Times New Roman" w:eastAsia="Times New Roman" w:hAnsi="Times New Roman"/>
          <w:b/>
          <w:sz w:val="24"/>
          <w:szCs w:val="24"/>
        </w:rPr>
        <w:instrText xml:space="preserve"> FORMCHECKBOX </w:instrText>
      </w:r>
      <w:r w:rsidR="00F2417D" w:rsidRPr="00F2417D">
        <w:rPr>
          <w:rFonts w:ascii="Times New Roman" w:eastAsia="Times New Roman" w:hAnsi="Times New Roman"/>
          <w:b/>
          <w:sz w:val="24"/>
          <w:szCs w:val="24"/>
        </w:rPr>
      </w:r>
      <w:r w:rsidR="00F2417D" w:rsidRPr="00F2417D">
        <w:rPr>
          <w:rFonts w:ascii="Times New Roman" w:eastAsia="Times New Roman" w:hAnsi="Times New Roman"/>
          <w:b/>
          <w:sz w:val="24"/>
          <w:szCs w:val="24"/>
        </w:rPr>
        <w:fldChar w:fldCharType="separate"/>
      </w:r>
      <w:r w:rsidRPr="00F2417D">
        <w:rPr>
          <w:rFonts w:ascii="Times New Roman" w:eastAsia="Times New Roman" w:hAnsi="Times New Roman"/>
          <w:b/>
          <w:sz w:val="24"/>
          <w:szCs w:val="24"/>
        </w:rPr>
        <w:fldChar w:fldCharType="end"/>
      </w:r>
      <w:r w:rsidRPr="00F2417D">
        <w:rPr>
          <w:rFonts w:ascii="Times New Roman" w:hAnsi="Times New Roman"/>
          <w:sz w:val="24"/>
          <w:szCs w:val="24"/>
        </w:rPr>
        <w:tab/>
        <w:t>Ei</w:t>
      </w:r>
    </w:p>
    <w:p w14:paraId="0D147042" w14:textId="77777777" w:rsidR="00F95839" w:rsidRPr="00F2417D"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Pr="00F2417D"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F2417D">
        <w:rPr>
          <w:rFonts w:ascii="Times New Roman" w:hAnsi="Times New Roman"/>
          <w:sz w:val="24"/>
          <w:szCs w:val="24"/>
        </w:rPr>
        <w:t>Mainitkaa toimenpiteessä sovellettavat enimmäistuki-intensiteetit.</w:t>
      </w:r>
    </w:p>
    <w:p w14:paraId="7E325BCD" w14:textId="77777777" w:rsidR="00810BC2" w:rsidRPr="00F2417D" w:rsidRDefault="00810BC2" w:rsidP="00810BC2">
      <w:pPr>
        <w:rPr>
          <w:rFonts w:ascii="Times New Roman" w:eastAsia="Times New Roman" w:hAnsi="Times New Roman"/>
          <w:sz w:val="24"/>
          <w:szCs w:val="24"/>
        </w:rPr>
      </w:pPr>
      <w:r w:rsidRPr="00F2417D">
        <w:rPr>
          <w:rFonts w:ascii="Times New Roman" w:hAnsi="Times New Roman"/>
          <w:sz w:val="24"/>
          <w:szCs w:val="24"/>
        </w:rPr>
        <w:t>………………………………………………………………………………………………….</w:t>
      </w:r>
    </w:p>
    <w:p w14:paraId="78287849" w14:textId="77777777" w:rsidR="00810BC2" w:rsidRPr="00F2417D"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Pr="00F2417D"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sidRPr="00F2417D">
        <w:rPr>
          <w:rFonts w:ascii="Times New Roman" w:hAnsi="Times New Roman"/>
          <w:sz w:val="24"/>
          <w:szCs w:val="24"/>
        </w:rPr>
        <w:t>Mainitkaa 100 prosentin rajan vahvistavan oikeusperustan asianomaiset säännökset ja toimenpiteen enimmäistuki-intensiteetit.</w:t>
      </w:r>
    </w:p>
    <w:p w14:paraId="3AA99119" w14:textId="77777777" w:rsidR="00F95839" w:rsidRDefault="00F95839" w:rsidP="00F95839">
      <w:pPr>
        <w:rPr>
          <w:rFonts w:ascii="Times New Roman" w:eastAsia="Times New Roman" w:hAnsi="Times New Roman"/>
          <w:sz w:val="24"/>
          <w:szCs w:val="24"/>
        </w:rPr>
      </w:pPr>
      <w:r>
        <w:rPr>
          <w:rFonts w:ascii="Times New Roman" w:hAnsi="Times New Roman"/>
          <w:sz w:val="24"/>
        </w:rPr>
        <w:lastRenderedPageBreak/>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MUUT TIEDOT</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4E366CAB"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kaikki muut tiedot, jotka katsotte olennaisiksi</w:t>
      </w:r>
      <w:r w:rsidR="00086351">
        <w:rPr>
          <w:rFonts w:ascii="Times New Roman" w:hAnsi="Times New Roman"/>
          <w:sz w:val="24"/>
        </w:rPr>
        <w:t xml:space="preserve"> </w:t>
      </w:r>
      <w:r>
        <w:rPr>
          <w:rFonts w:ascii="Times New Roman" w:hAnsi="Times New Roman"/>
          <w:sz w:val="24"/>
        </w:rPr>
        <w:t>asianomaisen toimenpiteen suuntaviivojen tämän jakson nojalla tehtävän arvioinnin kannalta.</w:t>
      </w:r>
    </w:p>
    <w:p w14:paraId="0101F026" w14:textId="24E53A87" w:rsidR="00B0210E" w:rsidRPr="001A1A6E" w:rsidRDefault="00F95839" w:rsidP="00880E2D">
      <w:pPr>
        <w:rPr>
          <w:rFonts w:ascii="Times New Roman" w:eastAsia="Times New Roman" w:hAnsi="Times New Roman"/>
          <w:i/>
          <w:sz w:val="24"/>
          <w:szCs w:val="24"/>
        </w:rPr>
      </w:pP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EUVL C 107,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2139C"/>
    <w:rsid w:val="000442CE"/>
    <w:rsid w:val="00066E70"/>
    <w:rsid w:val="00086351"/>
    <w:rsid w:val="001178FC"/>
    <w:rsid w:val="00122D59"/>
    <w:rsid w:val="0013790F"/>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917E1"/>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2417D"/>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fi-FI"/>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1585</TotalTime>
  <Pages>7</Pages>
  <Words>1965</Words>
  <Characters>10670</Characters>
  <Application>Microsoft Office Word</Application>
  <DocSecurity>0</DocSecurity>
  <Lines>260</Lines>
  <Paragraphs>145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SIHTO Jo (DGT)</cp:lastModifiedBy>
  <cp:revision>99</cp:revision>
  <dcterms:created xsi:type="dcterms:W3CDTF">2023-01-17T11:55:00Z</dcterms:created>
  <dcterms:modified xsi:type="dcterms:W3CDTF">2024-06-25T12:17:00Z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