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FC70E2">
        <w:rPr>
          <w:rFonts w:ascii="Times New Roman" w:hAnsi="Times New Roman"/>
          <w:b/>
          <w:smallCaps/>
          <w:sz w:val="24"/>
        </w:rPr>
        <w:t>3.4.</w:t>
      </w:r>
    </w:p>
    <w:p w14:paraId="7788A656" w14:textId="5AA11F8A" w:rsidR="005615D7" w:rsidRPr="00FC70E2"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FC70E2">
        <w:rPr>
          <w:rFonts w:ascii="Times New Roman" w:hAnsi="Times New Roman"/>
          <w:b/>
          <w:smallCaps/>
          <w:sz w:val="24"/>
        </w:rPr>
        <w:t>Formulár doplňujúcich informácií</w:t>
      </w:r>
      <w:r>
        <w:t xml:space="preserve"> </w:t>
      </w:r>
      <w:r>
        <w:br/>
      </w:r>
      <w:r w:rsidRPr="00FC70E2">
        <w:rPr>
          <w:rFonts w:ascii="Times New Roman" w:hAnsi="Times New Roman"/>
          <w:b/>
          <w:smallCaps/>
          <w:sz w:val="24"/>
        </w:rPr>
        <w:t>o pomoci na trvalé ukončenie rybolovných činností</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1173B39A" w:rsidR="005615D7" w:rsidRPr="00FC70E2" w:rsidRDefault="009D3BF2" w:rsidP="009D3BF2">
      <w:pPr>
        <w:spacing w:after="0" w:line="240" w:lineRule="auto"/>
        <w:jc w:val="both"/>
        <w:rPr>
          <w:rFonts w:ascii="Times New Roman" w:eastAsia="Times New Roman" w:hAnsi="Times New Roman"/>
          <w:i/>
          <w:sz w:val="24"/>
          <w:szCs w:val="24"/>
        </w:rPr>
      </w:pPr>
      <w:r w:rsidRPr="00FC70E2">
        <w:rPr>
          <w:rFonts w:ascii="Times New Roman" w:hAnsi="Times New Roman"/>
          <w:i/>
          <w:sz w:val="24"/>
        </w:rPr>
        <w:t>Tento formulár musia členské štáty použiť na notifikáciu akejkoľvek štátnej pomoci na trvalé zastavenie rybolovných činností, ako sa opisuje v časti II kapitole 3 oddiele 3.4 Usmernení o</w:t>
      </w:r>
      <w:r w:rsidR="009B1C4F" w:rsidRPr="00FC70E2">
        <w:rPr>
          <w:rFonts w:ascii="Times New Roman" w:hAnsi="Times New Roman"/>
          <w:i/>
          <w:sz w:val="24"/>
        </w:rPr>
        <w:t> </w:t>
      </w:r>
      <w:r w:rsidRPr="00FC70E2">
        <w:rPr>
          <w:rFonts w:ascii="Times New Roman" w:hAnsi="Times New Roman"/>
          <w:i/>
          <w:sz w:val="24"/>
        </w:rPr>
        <w:t>štátnej pomoci v odvetví rybolovu a akvakultúry</w:t>
      </w:r>
      <w:r w:rsidRPr="00FC70E2">
        <w:rPr>
          <w:rStyle w:val="FootnoteReference"/>
          <w:rFonts w:ascii="Times New Roman" w:eastAsia="Times New Roman" w:hAnsi="Times New Roman"/>
          <w:i/>
          <w:sz w:val="24"/>
          <w:szCs w:val="24"/>
          <w:lang w:eastAsia="en-GB"/>
        </w:rPr>
        <w:footnoteReference w:id="1"/>
      </w:r>
      <w:r w:rsidRPr="00FC70E2">
        <w:rPr>
          <w:rFonts w:ascii="Times New Roman" w:hAnsi="Times New Roman"/>
          <w:i/>
          <w:sz w:val="24"/>
        </w:rPr>
        <w:t xml:space="preserve"> (ďalej len „usmernenia“).</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Potvrďte, že v opatrení sa stanovuje, že v súvislosti s rybárskymi plavidlami Únie, na ktoré sa pomoc poskytuje, sa počas obdobia najmenej piatich rokov od záverečnej platby pomoci neuskutoční prevod ani zmena vlajky na krajiny mimo Únie.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áno</w:t>
      </w:r>
      <w:r>
        <w:tab/>
      </w:r>
      <w:r>
        <w:tab/>
      </w:r>
      <w:r>
        <w:tab/>
      </w:r>
      <w:r>
        <w:tab/>
      </w: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nie</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38029BDB"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Ak ste odpovedali „áno“, uveďte príslušné ustanovenie (ustanovenia) v právnom základe</w:t>
      </w:r>
      <w:r w:rsidR="00FC70E2">
        <w:rPr>
          <w:rFonts w:ascii="Times New Roman" w:hAnsi="Times New Roman"/>
          <w:sz w:val="24"/>
        </w:rPr>
        <w:t>:</w:t>
      </w:r>
    </w:p>
    <w:p w14:paraId="7D161270" w14:textId="26FF8BF2" w:rsidR="00FC70E2" w:rsidRDefault="00FC70E2" w:rsidP="00FC70E2">
      <w:pPr>
        <w:autoSpaceDE w:val="0"/>
        <w:autoSpaceDN w:val="0"/>
        <w:adjustRightInd w:val="0"/>
        <w:spacing w:before="240" w:after="0" w:line="240" w:lineRule="auto"/>
        <w:jc w:val="both"/>
        <w:rPr>
          <w:rFonts w:ascii="Times New Roman" w:hAnsi="Times New Roman"/>
          <w:sz w:val="24"/>
        </w:rPr>
      </w:pPr>
      <w:r>
        <w:rPr>
          <w:rFonts w:ascii="Times New Roman" w:hAnsi="Times New Roman"/>
          <w:sz w:val="24"/>
        </w:rPr>
        <w:t>.......................................................................................................................................................</w:t>
      </w:r>
    </w:p>
    <w:p w14:paraId="585ADBE8" w14:textId="77777777" w:rsidR="00FC70E2" w:rsidRDefault="00FC70E2" w:rsidP="009D3BF2">
      <w:pPr>
        <w:autoSpaceDE w:val="0"/>
        <w:autoSpaceDN w:val="0"/>
        <w:adjustRightInd w:val="0"/>
        <w:spacing w:after="0" w:line="240" w:lineRule="auto"/>
        <w:jc w:val="both"/>
        <w:rPr>
          <w:rFonts w:ascii="Times New Roman" w:hAnsi="Times New Roman"/>
          <w:sz w:val="24"/>
        </w:rPr>
      </w:pPr>
    </w:p>
    <w:p w14:paraId="13C410C0" w14:textId="120FA412" w:rsidR="009D3BF2" w:rsidRPr="00FC70E2" w:rsidRDefault="009D3BF2" w:rsidP="009D3BF2">
      <w:pPr>
        <w:autoSpaceDE w:val="0"/>
        <w:autoSpaceDN w:val="0"/>
        <w:adjustRightInd w:val="0"/>
        <w:spacing w:after="0" w:line="240" w:lineRule="auto"/>
        <w:jc w:val="both"/>
        <w:rPr>
          <w:rFonts w:ascii="Times New Roman" w:eastAsia="Times New Roman" w:hAnsi="Times New Roman"/>
          <w:i/>
          <w:iCs/>
          <w:sz w:val="24"/>
          <w:szCs w:val="24"/>
        </w:rPr>
      </w:pPr>
      <w:r w:rsidRPr="00FC70E2">
        <w:rPr>
          <w:rFonts w:ascii="Times New Roman" w:hAnsi="Times New Roman"/>
          <w:i/>
          <w:sz w:val="24"/>
        </w:rPr>
        <w:t>Ak opatrenie zahŕňa len zošrotovanie rybárskych plavidiel, táto otázka sa neuplatňuje.</w:t>
      </w:r>
    </w:p>
    <w:p w14:paraId="36312EFD" w14:textId="77777777" w:rsidR="00114BDD" w:rsidRPr="009B1C4F"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87B342" w14:textId="79326F0E"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Potvrďte, že ukončenie je stanovené ako nástroj akčného plánu uvedeného v článku 22 ods. 4 nariadenia (EÚ) č. 1380/2013.</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áno</w:t>
      </w:r>
      <w:r>
        <w:tab/>
      </w:r>
      <w:r>
        <w:tab/>
      </w:r>
      <w:r>
        <w:tab/>
      </w:r>
      <w:r>
        <w:tab/>
      </w: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nie</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1E103F" w:rsidRDefault="009D3BF2" w:rsidP="009D3BF2">
      <w:pPr>
        <w:autoSpaceDE w:val="0"/>
        <w:autoSpaceDN w:val="0"/>
        <w:adjustRightInd w:val="0"/>
        <w:spacing w:after="0" w:line="240" w:lineRule="auto"/>
        <w:ind w:left="360"/>
        <w:jc w:val="both"/>
        <w:rPr>
          <w:rFonts w:ascii="Times New Roman" w:eastAsia="Times New Roman" w:hAnsi="Times New Roman"/>
          <w:sz w:val="24"/>
          <w:szCs w:val="24"/>
        </w:rPr>
      </w:pPr>
      <w:r w:rsidRPr="00FC70E2">
        <w:rPr>
          <w:rFonts w:ascii="Times New Roman" w:hAnsi="Times New Roman"/>
          <w:i/>
          <w:sz w:val="24"/>
        </w:rPr>
        <w:t>Ak je opatrenie motivované aspektmi hospodárskej povahy alebo inými aspektmi súvisiacimi s ochranou morských biologických zdrojov podľa bodu 277 usmernení, táto otázka sa neuplatňuje. Táto otázka sa rovnako neuplatňuje v prípade, že sa opatrenie týka vnútrozemského rybolovu.</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Potvrďte, že trvalé ukončenie rybolovných činností sa dosiahne prostredníctvom:</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a) zošrotovania rybárskeho plavidla;</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b) vyradenia rybárskych plavidiel z prevádzky a ich dodatočného vybavenia na iné činnosti ako komerčný rybolov;</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c) oboch, t. j. trvalé ukončenie sa dosiahne prostredníctvom zošrotovania aj vyradenia rybárskeho plavidla z prevádzky a jeho dodatočného vybavenia.</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E8161DD"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Uveďte ustanovenie (ustanovenia) právneho základu, ktoré zodpovedá (zodpovedajú) vášmu výberu</w:t>
      </w:r>
      <w:r w:rsidR="00FC70E2">
        <w:rPr>
          <w:rFonts w:ascii="Times New Roman" w:hAnsi="Times New Roman"/>
          <w:sz w:val="24"/>
        </w:rPr>
        <w:t>:</w:t>
      </w:r>
    </w:p>
    <w:p w14:paraId="1FA3F1AD" w14:textId="41C67E7A" w:rsidR="00C25FCA" w:rsidRDefault="00FC70E2" w:rsidP="00C66980">
      <w:pPr>
        <w:autoSpaceDE w:val="0"/>
        <w:autoSpaceDN w:val="0"/>
        <w:adjustRightInd w:val="0"/>
        <w:spacing w:before="240" w:line="240" w:lineRule="auto"/>
        <w:jc w:val="both"/>
        <w:rPr>
          <w:rFonts w:ascii="Times New Roman" w:eastAsia="Times New Roman" w:hAnsi="Times New Roman"/>
          <w:sz w:val="24"/>
          <w:szCs w:val="24"/>
          <w:lang w:eastAsia="en-GB"/>
        </w:rPr>
      </w:pPr>
      <w:r>
        <w:rPr>
          <w:rFonts w:ascii="Times New Roman" w:hAnsi="Times New Roman"/>
          <w:sz w:val="24"/>
        </w:rPr>
        <w:t>.......................................................................................................................................................</w:t>
      </w:r>
    </w:p>
    <w:p w14:paraId="6ACE7332" w14:textId="749B5829"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Potvrďte, že v opatrení sa stanovuje, že rybárske plavidlá musia byť zaregistrované ako aktívne, pričom počas posledných dvoch kalendárnych rokov pred dátumom predloženia žiadosti o pomoc museli vykonávať rybolovné činnosti najmenej 90 dní ročne.</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áno</w:t>
      </w:r>
      <w:r>
        <w:tab/>
      </w:r>
      <w:r>
        <w:tab/>
      </w:r>
      <w:r>
        <w:tab/>
      </w:r>
      <w:r>
        <w:tab/>
      </w: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nie</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C7BB3D2" w14:textId="77777777" w:rsidR="00FC70E2" w:rsidRPr="00FC70E2"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Ak ste odpovedali „áno“, uveďte príslušné ustanovenie (ustanovenia) v právnom základe</w:t>
      </w:r>
      <w:r w:rsidR="00FC70E2">
        <w:rPr>
          <w:rFonts w:ascii="Times New Roman" w:hAnsi="Times New Roman"/>
          <w:sz w:val="24"/>
        </w:rPr>
        <w:t>:</w:t>
      </w:r>
    </w:p>
    <w:p w14:paraId="00888C6E" w14:textId="2F8DC2EC" w:rsidR="00693BB6"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p>
    <w:p w14:paraId="16A1D0B6" w14:textId="5F4C26EF" w:rsidR="00114BDD" w:rsidRPr="001E103F" w:rsidRDefault="00114BDD" w:rsidP="009D3BF2">
      <w:pPr>
        <w:numPr>
          <w:ilvl w:val="1"/>
          <w:numId w:val="15"/>
        </w:numPr>
        <w:autoSpaceDE w:val="0"/>
        <w:autoSpaceDN w:val="0"/>
        <w:adjustRightInd w:val="0"/>
        <w:spacing w:after="120" w:line="240" w:lineRule="auto"/>
        <w:jc w:val="both"/>
        <w:rPr>
          <w:rFonts w:ascii="Times New Roman" w:eastAsia="Times New Roman" w:hAnsi="Times New Roman"/>
          <w:sz w:val="24"/>
          <w:szCs w:val="24"/>
        </w:rPr>
      </w:pPr>
      <w:bookmarkStart w:id="0" w:name="_Hlk125376374"/>
      <w:r>
        <w:rPr>
          <w:rFonts w:ascii="Times New Roman" w:hAnsi="Times New Roman"/>
          <w:sz w:val="24"/>
        </w:rPr>
        <w:t xml:space="preserve">Ak je dotknutá rybolovná činnosť takej povahy, že ju nemožno vykonávať počas celého kalendárneho roka, môže sa minimálna požiadavka na rybolovnú činnosť stanovená v bode 275 písm. c) usmernení znížiť, pokiaľ pomer medzi počtom dní činnosti a počtom dní umožňujúcich rybolov je rovnaký ako pomer medzi počtom dní činnosti a počtom kalendárnych dní za rok pre prijímajúce podniky, ktoré lovia ryby počas celého roka. </w:t>
      </w:r>
    </w:p>
    <w:p w14:paraId="4DE3BDF3" w14:textId="5495A193" w:rsidR="00114BDD" w:rsidRPr="001E103F" w:rsidRDefault="00114BDD" w:rsidP="00924F4A">
      <w:pPr>
        <w:numPr>
          <w:ilvl w:val="2"/>
          <w:numId w:val="15"/>
        </w:numPr>
        <w:autoSpaceDE w:val="0"/>
        <w:autoSpaceDN w:val="0"/>
        <w:adjustRightInd w:val="0"/>
        <w:spacing w:after="0" w:line="240" w:lineRule="auto"/>
        <w:ind w:left="1418" w:hanging="698"/>
        <w:jc w:val="both"/>
        <w:rPr>
          <w:rFonts w:ascii="Times New Roman" w:eastAsia="Times New Roman" w:hAnsi="Times New Roman"/>
          <w:sz w:val="24"/>
          <w:szCs w:val="24"/>
        </w:rPr>
      </w:pPr>
      <w:r>
        <w:rPr>
          <w:rFonts w:ascii="Times New Roman" w:hAnsi="Times New Roman"/>
          <w:sz w:val="24"/>
        </w:rPr>
        <w:t>V takom prípade podrobne opíšte povahu rybolovnej činnosti, na ktorú sa opatrenie vzťahuje, vysvetlite, ako bola vypočítaná minimálna požiadavka na rybolovnú činnosť, a uveďte príslušné ustanovenie (ustanovenia) v právnom základe</w:t>
      </w:r>
      <w:r w:rsidR="00FC70E2">
        <w:rPr>
          <w:rFonts w:ascii="Times New Roman" w:hAnsi="Times New Roman"/>
          <w:sz w:val="24"/>
        </w:rPr>
        <w:t>:</w:t>
      </w:r>
    </w:p>
    <w:bookmarkEnd w:id="0"/>
    <w:p w14:paraId="78141983" w14:textId="5E2DD54B" w:rsidR="00693BB6" w:rsidRPr="001E103F"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p>
    <w:p w14:paraId="5E5E64B4" w14:textId="1E7EF860" w:rsidR="0092025C" w:rsidRDefault="0092025C" w:rsidP="009D3BF2">
      <w:pPr>
        <w:numPr>
          <w:ilvl w:val="1"/>
          <w:numId w:val="15"/>
        </w:num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rPr>
        <w:t>Ak sa opatrenie týka vnútrozemského rybolovu a rybárskych plavidiel, ktoré lovia viaceré druhy, pre ktoré je vo vnútrozemských vodách povolený rôzny počet dní umožňujúcich rybolov, počet dní umožňujúcich rybolov na výpočet pomeru stanoveného v bode 276 usmernení je priemerom počtu dní umožňujúcich rybolov pre úlovky daného plavidla. Upozorňujeme však, že minimálny počet dní rybolovných činností vyplývajúci z takejto úpravy v žiadnom prípade nesmie predstavovať menej ako 30 dní alebo viac ako 90 dní.</w:t>
      </w:r>
    </w:p>
    <w:p w14:paraId="26293B18" w14:textId="2623EF51" w:rsidR="001E103F" w:rsidRPr="001E103F" w:rsidRDefault="001E103F" w:rsidP="00924F4A">
      <w:pPr>
        <w:numPr>
          <w:ilvl w:val="2"/>
          <w:numId w:val="15"/>
        </w:numPr>
        <w:autoSpaceDE w:val="0"/>
        <w:autoSpaceDN w:val="0"/>
        <w:adjustRightInd w:val="0"/>
        <w:spacing w:after="0" w:line="240" w:lineRule="auto"/>
        <w:ind w:left="1418" w:hanging="698"/>
        <w:jc w:val="both"/>
        <w:rPr>
          <w:rFonts w:ascii="Times New Roman" w:hAnsi="Times New Roman"/>
          <w:sz w:val="24"/>
          <w:szCs w:val="24"/>
        </w:rPr>
      </w:pPr>
      <w:bookmarkStart w:id="1" w:name="_Hlk125377419"/>
      <w:r>
        <w:rPr>
          <w:rFonts w:ascii="Times New Roman" w:hAnsi="Times New Roman"/>
          <w:sz w:val="24"/>
        </w:rPr>
        <w:t>V takom prípade podrobne opíšte právny a/alebo administratívny rámec, ktorý sa vzťahuje na daný vnútrozemský rybolov, vysvetlite, ako bola vypočítaná minimálna požiadavka na rybolovnú činnosť, a uveďte príslušné ustanovenie (ustanovenia) v právnom základe</w:t>
      </w:r>
      <w:r w:rsidR="00FC70E2">
        <w:rPr>
          <w:rFonts w:ascii="Times New Roman" w:hAnsi="Times New Roman"/>
          <w:sz w:val="24"/>
        </w:rPr>
        <w:t>:</w:t>
      </w:r>
    </w:p>
    <w:bookmarkEnd w:id="1"/>
    <w:p w14:paraId="69D56BBB" w14:textId="3BADFC30" w:rsidR="0092025C" w:rsidRPr="001E103F"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p>
    <w:p w14:paraId="78B88945" w14:textId="6F92834F" w:rsidR="006F53A8"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Potvrďte, že v opatrení sa stanovuje, že z registra rybárskej flotily Únie bude natrvalo odstránená ekvivalentná rybolovná kapacita, ktorá nebude nahradená.</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áno</w:t>
      </w:r>
      <w:r>
        <w:tab/>
      </w:r>
      <w:r>
        <w:tab/>
      </w:r>
      <w:r>
        <w:tab/>
      </w:r>
      <w:r>
        <w:tab/>
      </w: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nie</w:t>
      </w:r>
    </w:p>
    <w:p w14:paraId="51034BF3" w14:textId="62C45F83" w:rsidR="006F53A8" w:rsidRDefault="006F53A8" w:rsidP="00924F4A">
      <w:pPr>
        <w:tabs>
          <w:tab w:val="left" w:pos="1418"/>
          <w:tab w:val="left" w:pos="4820"/>
          <w:tab w:val="left" w:pos="5103"/>
        </w:tabs>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70ED0AB1" w:rsidR="009D3BF2" w:rsidRDefault="009D3BF2" w:rsidP="009D3BF2">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Ak sa opatrenie týka vnútrozemského rybolovu, potvrďte, že podmienka sa uplatní s</w:t>
      </w:r>
      <w:r w:rsidR="009B1C4F">
        <w:rPr>
          <w:rFonts w:ascii="Times New Roman" w:hAnsi="Times New Roman"/>
          <w:sz w:val="24"/>
        </w:rPr>
        <w:t> </w:t>
      </w:r>
      <w:r>
        <w:rPr>
          <w:rFonts w:ascii="Times New Roman" w:hAnsi="Times New Roman"/>
          <w:sz w:val="24"/>
        </w:rPr>
        <w:t>odkazom na príslušný vnútroštátny register flotily, ak existuje podľa vnútroštátneho práva, a nie na register flotily Únie.</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92045A">
      <w:pPr>
        <w:tabs>
          <w:tab w:val="left" w:pos="1418"/>
        </w:tabs>
        <w:autoSpaceDE w:val="0"/>
        <w:autoSpaceDN w:val="0"/>
        <w:adjustRightInd w:val="0"/>
        <w:spacing w:after="0" w:line="240" w:lineRule="auto"/>
        <w:ind w:left="567"/>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áno</w:t>
      </w:r>
      <w:r>
        <w:tab/>
      </w:r>
      <w:r>
        <w:tab/>
      </w:r>
      <w:r>
        <w:tab/>
      </w:r>
      <w:r>
        <w:tab/>
      </w: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nie</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FC70E2"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1F6755F6" w14:textId="77777777" w:rsidR="00FC70E2" w:rsidRDefault="00693BB6" w:rsidP="00FC70E2">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Ak ste na otázku 5 alebo 5.1 odpovedali „áno“, uveďte príslušné ustanovenie (ustanovenia) v právnom základe</w:t>
      </w:r>
      <w:r w:rsidR="00FC70E2">
        <w:rPr>
          <w:rFonts w:ascii="Times New Roman" w:hAnsi="Times New Roman"/>
          <w:sz w:val="24"/>
        </w:rPr>
        <w:t>:</w:t>
      </w:r>
    </w:p>
    <w:p w14:paraId="74CE5F72" w14:textId="359CBE60" w:rsidR="00FC70E2" w:rsidRPr="001E103F"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sidRPr="00FC70E2">
        <w:rPr>
          <w:rFonts w:ascii="Times New Roman" w:hAnsi="Times New Roman"/>
          <w:sz w:val="24"/>
        </w:rPr>
        <w:t>.......................................................................................................................................................</w:t>
      </w:r>
    </w:p>
    <w:p w14:paraId="781524A7" w14:textId="79EBE9A1"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Potvrďte, že v opatrení sa stanovuje, že príslušné licencie na rybolov a oprávnenia na rybolov budú natrvalo odobrané.</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áno</w:t>
      </w:r>
      <w:r>
        <w:tab/>
      </w:r>
      <w:r>
        <w:tab/>
      </w:r>
      <w:r>
        <w:tab/>
      </w:r>
      <w:r>
        <w:tab/>
      </w: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nie</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6299FF9" w14:textId="77777777" w:rsidR="00FC70E2" w:rsidRDefault="00693BB6" w:rsidP="00FC70E2">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Ak ste odpovedali „áno“, uveďte príslušné ustanovenie (ustanovenia) v právnom základe</w:t>
      </w:r>
      <w:r w:rsidR="00FC70E2">
        <w:rPr>
          <w:rFonts w:ascii="Times New Roman" w:hAnsi="Times New Roman"/>
          <w:sz w:val="24"/>
        </w:rPr>
        <w:t>:</w:t>
      </w:r>
    </w:p>
    <w:p w14:paraId="5BE0BB4D" w14:textId="453368FA" w:rsidR="00114BDD" w:rsidRPr="001E103F"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sidRPr="00FC70E2">
        <w:rPr>
          <w:rFonts w:ascii="Times New Roman" w:hAnsi="Times New Roman"/>
          <w:sz w:val="24"/>
        </w:rPr>
        <w:t>.......................................................................................................................................................</w:t>
      </w:r>
    </w:p>
    <w:p w14:paraId="5B285EC5" w14:textId="61EB5EA7"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Potvrďte, že v opatrení sa stanovuje, že v lehote piatich rokov od získania pomoci prijímajúci podnik nezaregistruje žiadne rybárske plavidlo.</w:t>
      </w: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áno</w:t>
      </w:r>
      <w:r>
        <w:tab/>
      </w:r>
      <w:r>
        <w:tab/>
      </w:r>
      <w:r>
        <w:tab/>
      </w:r>
      <w:r>
        <w:tab/>
      </w: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nie</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738EB4AF" w:rsidR="00814101" w:rsidRDefault="00814101" w:rsidP="0081410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Ak sa opatrenie týka vnútrozemského rybolovu, potvrďte, že podmienka sa uplatní s</w:t>
      </w:r>
      <w:r w:rsidR="009B1C4F">
        <w:rPr>
          <w:rFonts w:ascii="Times New Roman" w:hAnsi="Times New Roman"/>
          <w:sz w:val="24"/>
        </w:rPr>
        <w:t> </w:t>
      </w:r>
      <w:r>
        <w:rPr>
          <w:rFonts w:ascii="Times New Roman" w:hAnsi="Times New Roman"/>
          <w:sz w:val="24"/>
        </w:rPr>
        <w:t>odkazom na príslušný vnútroštátny register flotily, ak existuje podľa vnútroštátneho práva, a nie na register flotily Únie.</w:t>
      </w:r>
    </w:p>
    <w:p w14:paraId="4A1DD355" w14:textId="77777777" w:rsidR="00814101" w:rsidRPr="00FC70E2"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924F4A">
      <w:pPr>
        <w:autoSpaceDE w:val="0"/>
        <w:autoSpaceDN w:val="0"/>
        <w:adjustRightInd w:val="0"/>
        <w:spacing w:after="0" w:line="240" w:lineRule="auto"/>
        <w:ind w:firstLine="567"/>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áno</w:t>
      </w:r>
      <w:r>
        <w:tab/>
      </w:r>
      <w:r>
        <w:tab/>
      </w:r>
      <w:r>
        <w:tab/>
      </w:r>
      <w:r>
        <w:tab/>
      </w: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nie</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0C781329"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Ak ste na otázku 7 alebo 7.1 odpovedali „áno“, uveďte príslušné ustanovenie (ustanovenia) v právnom základe</w:t>
      </w:r>
      <w:r w:rsidR="00FC70E2">
        <w:rPr>
          <w:rFonts w:ascii="Times New Roman" w:hAnsi="Times New Roman"/>
          <w:sz w:val="24"/>
        </w:rPr>
        <w:t>:</w:t>
      </w:r>
    </w:p>
    <w:p w14:paraId="261F2C25" w14:textId="5360F4DD" w:rsidR="00114BDD" w:rsidRPr="001E103F"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p>
    <w:p w14:paraId="445D675E" w14:textId="09A5601E" w:rsidR="00247C79" w:rsidRDefault="008A02E0"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Ak je opatrenie motivované aspektmi hospodárskej povahy alebo inými aspektmi súvisiacimi s ochranou morských biologických zdrojov podľa bodu 277 usmernení, alebo ak sa opatrenie týka vnútrozemského rybolovu podľa bodu 280 usmernení, zamerajte sa na nasledovné:</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593A9DBA" w:rsidR="003E1E24" w:rsidRPr="001E103F" w:rsidRDefault="003E1E24" w:rsidP="00A64651">
      <w:pPr>
        <w:numPr>
          <w:ilvl w:val="1"/>
          <w:numId w:val="15"/>
        </w:numPr>
        <w:autoSpaceDE w:val="0"/>
        <w:autoSpaceDN w:val="0"/>
        <w:adjustRightInd w:val="0"/>
        <w:spacing w:after="0" w:line="240" w:lineRule="auto"/>
        <w:ind w:left="851" w:hanging="425"/>
        <w:jc w:val="both"/>
        <w:rPr>
          <w:rFonts w:ascii="Times New Roman" w:eastAsia="Times New Roman" w:hAnsi="Times New Roman"/>
          <w:sz w:val="24"/>
          <w:szCs w:val="24"/>
        </w:rPr>
      </w:pPr>
      <w:bookmarkStart w:id="2" w:name="_Ref125107693"/>
      <w:r>
        <w:rPr>
          <w:rFonts w:ascii="Times New Roman" w:hAnsi="Times New Roman"/>
          <w:sz w:val="24"/>
        </w:rPr>
        <w:t>Podrobne vysvetlite okolnosti, ktoré odôvodňujú trvalé ukončenie,</w:t>
      </w:r>
      <w:bookmarkEnd w:id="2"/>
      <w:r>
        <w:rPr>
          <w:rFonts w:ascii="Times New Roman" w:hAnsi="Times New Roman"/>
          <w:sz w:val="24"/>
        </w:rPr>
        <w:t xml:space="preserve"> a uveďte napríklad hospodárske alebo environmentálne aspekty</w:t>
      </w:r>
      <w:r w:rsidR="00FC70E2">
        <w:rPr>
          <w:rFonts w:ascii="Times New Roman" w:hAnsi="Times New Roman"/>
          <w:sz w:val="24"/>
        </w:rPr>
        <w:t>:</w:t>
      </w:r>
    </w:p>
    <w:p w14:paraId="7C4E18C5" w14:textId="0D2E6EEF" w:rsidR="003E1E24"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r>
        <w:rPr>
          <w:rFonts w:ascii="Times New Roman" w:hAnsi="Times New Roman"/>
          <w:sz w:val="24"/>
        </w:rPr>
        <w:t>.</w:t>
      </w:r>
      <w:r>
        <w:rPr>
          <w:rFonts w:ascii="Times New Roman" w:hAnsi="Times New Roman"/>
          <w:sz w:val="24"/>
        </w:rPr>
        <w:t>............................................................................................................................</w:t>
      </w: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76717"/>
      <w:r>
        <w:rPr>
          <w:rFonts w:ascii="Times New Roman" w:hAnsi="Times New Roman"/>
          <w:sz w:val="24"/>
        </w:rPr>
        <w:t>Uveďte cieľ opatrenia:</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ochranné opatrenia podložené vedeckými dôkazmi,</w:t>
      </w:r>
    </w:p>
    <w:p w14:paraId="0633FD28" w14:textId="5BFEAC87" w:rsidR="003E1E24" w:rsidRPr="001E103F" w:rsidRDefault="003E1E24" w:rsidP="003E1E24">
      <w:pPr>
        <w:spacing w:after="0" w:line="240" w:lineRule="auto"/>
        <w:ind w:left="1440" w:hanging="720"/>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aspekty hospodárskej povahy.</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18E4EAF7" w:rsidR="003E1E24" w:rsidRPr="001E103F" w:rsidRDefault="00924F4A" w:rsidP="00924F4A">
      <w:pPr>
        <w:numPr>
          <w:ilvl w:val="2"/>
          <w:numId w:val="15"/>
        </w:numPr>
        <w:autoSpaceDE w:val="0"/>
        <w:autoSpaceDN w:val="0"/>
        <w:adjustRightInd w:val="0"/>
        <w:spacing w:after="0" w:line="240" w:lineRule="auto"/>
        <w:ind w:left="1418" w:hanging="698"/>
        <w:jc w:val="both"/>
        <w:rPr>
          <w:rFonts w:ascii="Times New Roman" w:eastAsia="Times New Roman" w:hAnsi="Times New Roman"/>
          <w:sz w:val="24"/>
          <w:szCs w:val="24"/>
        </w:rPr>
      </w:pPr>
      <w:bookmarkStart w:id="4" w:name="_Hlk125377676"/>
      <w:r>
        <w:rPr>
          <w:rFonts w:ascii="Times New Roman" w:hAnsi="Times New Roman"/>
          <w:sz w:val="24"/>
        </w:rPr>
        <w:br w:type="column"/>
      </w:r>
      <w:r w:rsidR="003E1E24">
        <w:rPr>
          <w:rFonts w:ascii="Times New Roman" w:hAnsi="Times New Roman"/>
          <w:sz w:val="24"/>
        </w:rPr>
        <w:lastRenderedPageBreak/>
        <w:t>V prípade ochranných opatrení uveďte zhrnutie vedeckých dôkazov podporujúcich opatrenie</w:t>
      </w:r>
      <w:r w:rsidR="00FC70E2">
        <w:rPr>
          <w:rFonts w:ascii="Times New Roman" w:hAnsi="Times New Roman"/>
          <w:sz w:val="24"/>
        </w:rPr>
        <w:t>:</w:t>
      </w:r>
    </w:p>
    <w:bookmarkEnd w:id="4"/>
    <w:p w14:paraId="5B1E7D34" w14:textId="61345691" w:rsidR="003E1E24" w:rsidRPr="001E103F"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p>
    <w:p w14:paraId="3BB61632" w14:textId="520963F5" w:rsidR="003E1E24" w:rsidRPr="001E103F" w:rsidRDefault="003E1E24" w:rsidP="00924F4A">
      <w:pPr>
        <w:numPr>
          <w:ilvl w:val="2"/>
          <w:numId w:val="15"/>
        </w:numPr>
        <w:autoSpaceDE w:val="0"/>
        <w:autoSpaceDN w:val="0"/>
        <w:adjustRightInd w:val="0"/>
        <w:spacing w:after="0" w:line="240" w:lineRule="auto"/>
        <w:ind w:left="1418" w:hanging="698"/>
        <w:jc w:val="both"/>
        <w:rPr>
          <w:rFonts w:ascii="Times New Roman" w:eastAsia="Times New Roman" w:hAnsi="Times New Roman"/>
          <w:sz w:val="24"/>
          <w:szCs w:val="24"/>
        </w:rPr>
      </w:pPr>
      <w:r>
        <w:rPr>
          <w:rFonts w:ascii="Times New Roman" w:hAnsi="Times New Roman"/>
          <w:sz w:val="24"/>
        </w:rPr>
        <w:t>V prípade aspektov hospodárskej povahy podrobne vysvetlite hospodárske odôvodnenie trvalého ukončenia (pokiaľ už nie je opísané v odpovedi na otázku</w:t>
      </w:r>
      <w:r>
        <w:rPr>
          <w:rFonts w:ascii="Times New Roman" w:eastAsia="Times New Roman" w:hAnsi="Times New Roman"/>
          <w:sz w:val="24"/>
        </w:rPr>
        <w:fldChar w:fldCharType="begin"/>
      </w:r>
      <w:r>
        <w:rPr>
          <w:rFonts w:ascii="Times New Roman" w:eastAsia="Times New Roman" w:hAnsi="Times New Roman"/>
          <w:sz w:val="24"/>
        </w:rPr>
        <w:instrText xml:space="preserve"> REF _Ref125107693 \r \h  \* MERGEFORMAT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8.1</w:t>
      </w:r>
      <w:r>
        <w:rPr>
          <w:rFonts w:ascii="Times New Roman" w:eastAsia="Times New Roman" w:hAnsi="Times New Roman"/>
          <w:sz w:val="24"/>
        </w:rPr>
        <w:fldChar w:fldCharType="end"/>
      </w:r>
      <w:r>
        <w:rPr>
          <w:rFonts w:ascii="Times New Roman" w:hAnsi="Times New Roman"/>
          <w:sz w:val="24"/>
        </w:rPr>
        <w:t>)</w:t>
      </w:r>
      <w:r w:rsidR="00FC70E2">
        <w:rPr>
          <w:rFonts w:ascii="Times New Roman" w:hAnsi="Times New Roman"/>
          <w:sz w:val="24"/>
        </w:rPr>
        <w:t>:</w:t>
      </w:r>
    </w:p>
    <w:p w14:paraId="4F9B1CC6" w14:textId="0360EEAD" w:rsidR="003E1E24"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76523"/>
      <w:r>
        <w:rPr>
          <w:rFonts w:ascii="Times New Roman" w:hAnsi="Times New Roman"/>
          <w:sz w:val="24"/>
        </w:rPr>
        <w:t>Pokiaľ ide o vnútrozemský rybolov, potvrďte, že pomoc v rámci opatrenia sa môže poskytnúť len prijímajúcim podnikom, ktoré pôsobia výlučne vo vnútrozemských vodách.</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rFonts w:ascii="Times New Roman" w:eastAsia="Times New Roman" w:hAnsi="Times New Roman"/>
          <w:noProof/>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áno</w:t>
      </w:r>
      <w:r>
        <w:tab/>
      </w:r>
      <w:r>
        <w:tab/>
      </w:r>
      <w:r>
        <w:tab/>
      </w:r>
      <w:r>
        <w:tab/>
      </w: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nie</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0B08B66C" w:rsidR="00693BB6" w:rsidRDefault="00693BB6" w:rsidP="00924F4A">
      <w:pPr>
        <w:numPr>
          <w:ilvl w:val="2"/>
          <w:numId w:val="15"/>
        </w:numPr>
        <w:autoSpaceDE w:val="0"/>
        <w:autoSpaceDN w:val="0"/>
        <w:adjustRightInd w:val="0"/>
        <w:spacing w:after="0" w:line="240" w:lineRule="auto"/>
        <w:ind w:left="1418" w:hanging="698"/>
        <w:jc w:val="both"/>
        <w:rPr>
          <w:rFonts w:ascii="Times New Roman" w:eastAsia="Times New Roman" w:hAnsi="Times New Roman"/>
          <w:sz w:val="24"/>
          <w:szCs w:val="24"/>
        </w:rPr>
      </w:pPr>
      <w:r>
        <w:rPr>
          <w:rFonts w:ascii="Times New Roman" w:hAnsi="Times New Roman"/>
          <w:sz w:val="24"/>
        </w:rPr>
        <w:t>Ak ste odpovedali „áno“, uveďte príslušné ustanovenie (ustanovenia) v</w:t>
      </w:r>
      <w:r w:rsidR="009B1C4F">
        <w:rPr>
          <w:rFonts w:ascii="Times New Roman" w:hAnsi="Times New Roman"/>
          <w:sz w:val="24"/>
        </w:rPr>
        <w:t> </w:t>
      </w:r>
      <w:r>
        <w:rPr>
          <w:rFonts w:ascii="Times New Roman" w:hAnsi="Times New Roman"/>
          <w:sz w:val="24"/>
        </w:rPr>
        <w:t>právnom základe</w:t>
      </w:r>
      <w:r w:rsidR="00FC70E2">
        <w:rPr>
          <w:rFonts w:ascii="Times New Roman" w:hAnsi="Times New Roman"/>
          <w:sz w:val="24"/>
        </w:rPr>
        <w:t>:</w:t>
      </w:r>
    </w:p>
    <w:bookmarkEnd w:id="5"/>
    <w:p w14:paraId="705B289A" w14:textId="71A2A778" w:rsidR="00114BDD" w:rsidRPr="001E103F"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r>
        <w:rPr>
          <w:rFonts w:ascii="Times New Roman" w:hAnsi="Times New Roman"/>
          <w:sz w:val="24"/>
        </w:rPr>
        <w:t>......................................................................................................................................................</w:t>
      </w:r>
    </w:p>
    <w:p w14:paraId="2E6681DF" w14:textId="14F45606" w:rsidR="00114BDD"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Potvrďte, že v opatrení sa stanovuje, že prijímajúce podniky sa zaväzujú, že od okamihu podania žiadosti o poskytnutie pomoci do piatich rokov po vyplatení pomoci nezvýšia svoju aktívnu rybolovnú kapacitu.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áno</w:t>
      </w:r>
      <w:r>
        <w:tab/>
      </w:r>
      <w:r>
        <w:tab/>
      </w:r>
      <w:r>
        <w:tab/>
      </w:r>
      <w:r>
        <w:tab/>
      </w: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nie</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21C0422" w:rsidR="006741CF" w:rsidRDefault="006741CF" w:rsidP="00924F4A">
      <w:pPr>
        <w:numPr>
          <w:ilvl w:val="2"/>
          <w:numId w:val="15"/>
        </w:numPr>
        <w:autoSpaceDE w:val="0"/>
        <w:autoSpaceDN w:val="0"/>
        <w:adjustRightInd w:val="0"/>
        <w:spacing w:after="0" w:line="240" w:lineRule="auto"/>
        <w:ind w:left="1418" w:hanging="698"/>
        <w:jc w:val="both"/>
        <w:rPr>
          <w:rFonts w:ascii="Times New Roman" w:eastAsia="Times New Roman" w:hAnsi="Times New Roman"/>
          <w:sz w:val="24"/>
          <w:szCs w:val="24"/>
        </w:rPr>
      </w:pPr>
      <w:r>
        <w:rPr>
          <w:rFonts w:ascii="Times New Roman" w:hAnsi="Times New Roman"/>
          <w:sz w:val="24"/>
        </w:rPr>
        <w:t>Ak ste odpovedali „áno“, uveďte príslušné ustanovenie (ustanovenia) v</w:t>
      </w:r>
      <w:r w:rsidR="009B1C4F">
        <w:rPr>
          <w:rFonts w:ascii="Times New Roman" w:hAnsi="Times New Roman"/>
          <w:sz w:val="24"/>
        </w:rPr>
        <w:t> </w:t>
      </w:r>
      <w:r>
        <w:rPr>
          <w:rFonts w:ascii="Times New Roman" w:hAnsi="Times New Roman"/>
          <w:sz w:val="24"/>
        </w:rPr>
        <w:t>právnom základe</w:t>
      </w:r>
      <w:r w:rsidR="00FC70E2">
        <w:rPr>
          <w:rFonts w:ascii="Times New Roman" w:hAnsi="Times New Roman"/>
          <w:sz w:val="24"/>
        </w:rPr>
        <w:t>:</w:t>
      </w:r>
    </w:p>
    <w:p w14:paraId="00EAADF1" w14:textId="41324261" w:rsidR="006741CF" w:rsidRPr="001E103F"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p>
    <w:p w14:paraId="458D6BBA" w14:textId="0873736F" w:rsidR="00247C79"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Potvrďte, že v opatrení sa stanovuje, že prijímajúce podniky sa takisto zaväzujú, že pomoc nepoužijú na výmenu ani modernizáciu svojich motorov, pokiaľ nebudú splnené podmienky stanovené v článku 18 nariadenia (EÚ) 2021/1139</w:t>
      </w:r>
      <w:r>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áno</w:t>
      </w:r>
      <w:r>
        <w:tab/>
      </w:r>
      <w:r>
        <w:tab/>
      </w:r>
      <w:r>
        <w:tab/>
      </w:r>
      <w:r>
        <w:tab/>
      </w: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nie</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0B840DFB" w:rsidR="006741CF" w:rsidRDefault="006741CF" w:rsidP="00924F4A">
      <w:pPr>
        <w:numPr>
          <w:ilvl w:val="2"/>
          <w:numId w:val="15"/>
        </w:numPr>
        <w:autoSpaceDE w:val="0"/>
        <w:autoSpaceDN w:val="0"/>
        <w:adjustRightInd w:val="0"/>
        <w:spacing w:after="0" w:line="240" w:lineRule="auto"/>
        <w:ind w:left="1418" w:hanging="698"/>
        <w:jc w:val="both"/>
        <w:rPr>
          <w:rFonts w:ascii="Times New Roman" w:eastAsia="Times New Roman" w:hAnsi="Times New Roman"/>
          <w:sz w:val="24"/>
          <w:szCs w:val="24"/>
        </w:rPr>
      </w:pPr>
      <w:r>
        <w:rPr>
          <w:rFonts w:ascii="Times New Roman" w:hAnsi="Times New Roman"/>
          <w:sz w:val="24"/>
        </w:rPr>
        <w:t>Ak ste odpovedali „áno“, uveďte príslušné ustanovenie (ustanovenia) v</w:t>
      </w:r>
      <w:r w:rsidR="009B1C4F">
        <w:rPr>
          <w:rFonts w:ascii="Times New Roman" w:hAnsi="Times New Roman"/>
          <w:sz w:val="24"/>
        </w:rPr>
        <w:t> </w:t>
      </w:r>
      <w:r>
        <w:rPr>
          <w:rFonts w:ascii="Times New Roman" w:hAnsi="Times New Roman"/>
          <w:sz w:val="24"/>
        </w:rPr>
        <w:t>právnom základe</w:t>
      </w:r>
      <w:r w:rsidR="00FC70E2">
        <w:rPr>
          <w:rFonts w:ascii="Times New Roman" w:hAnsi="Times New Roman"/>
          <w:sz w:val="24"/>
        </w:rPr>
        <w:t>:</w:t>
      </w:r>
    </w:p>
    <w:p w14:paraId="181A0280" w14:textId="66D079FC" w:rsidR="006741CF" w:rsidRPr="001E103F"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p>
    <w:p w14:paraId="64B83106" w14:textId="74644DA5" w:rsidR="003E1E24" w:rsidRPr="00FC70E2" w:rsidRDefault="00924F4A" w:rsidP="00FC70E2">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br w:type="column"/>
      </w:r>
      <w:r w:rsidR="00247C79">
        <w:rPr>
          <w:rFonts w:ascii="Times New Roman" w:hAnsi="Times New Roman"/>
          <w:sz w:val="24"/>
        </w:rPr>
        <w:lastRenderedPageBreak/>
        <w:t>Ak oznamujúci členský štát rok pred notifikáciou poskytol akúkoľvek pomoc alebo vykonal operácie v rámci Európskeho námorného a rybárskeho fondu (ENRF) alebo Európskeho námorného, rybolovného a akvakultúrneho fondu (ENRAF), ktoré viedli k zvýšeniu rybolovnej kapacity v morskej oblasti, alebo ak zahrnul takéto operácie do vnútroštátneho programu ENRAF, podrobne vysvetlite, do akej miery je pomoc na trvalé ukončenie v rovnakej morskej oblasti zlučiteľná s takýmto zvýšením rybolovnej kapacity, a preukážte opodstatnenosť a nevyhnutnosť pomoci</w:t>
      </w:r>
      <w:r w:rsidR="00FC70E2">
        <w:rPr>
          <w:rFonts w:ascii="Times New Roman" w:hAnsi="Times New Roman"/>
          <w:sz w:val="24"/>
        </w:rPr>
        <w:t>:</w:t>
      </w:r>
    </w:p>
    <w:p w14:paraId="66E4A5CA" w14:textId="06B5DA54" w:rsidR="00FC70E2"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p>
    <w:p w14:paraId="4696EF65" w14:textId="60A5AC6A" w:rsidR="00D25398" w:rsidRPr="00A64651" w:rsidRDefault="00814101" w:rsidP="00114BDD">
      <w:pPr>
        <w:autoSpaceDE w:val="0"/>
        <w:autoSpaceDN w:val="0"/>
        <w:adjustRightInd w:val="0"/>
        <w:spacing w:after="0" w:line="240" w:lineRule="auto"/>
        <w:jc w:val="both"/>
        <w:rPr>
          <w:rFonts w:ascii="Times New Roman" w:eastAsia="Times New Roman" w:hAnsi="Times New Roman"/>
          <w:i/>
          <w:iCs/>
          <w:sz w:val="24"/>
          <w:szCs w:val="24"/>
        </w:rPr>
      </w:pPr>
      <w:r w:rsidRPr="00FC70E2">
        <w:rPr>
          <w:rFonts w:ascii="Times New Roman" w:hAnsi="Times New Roman"/>
          <w:i/>
          <w:sz w:val="24"/>
        </w:rPr>
        <w:t>Ak sa opatrenie týka vnútrozemského rybolovu, táto otázka sa neuplatňuje.</w:t>
      </w: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Potvrďte, že príjemcami pomoci sú:</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a) vlastníci rybárskych plavidiel Únie, ktorých sa týka trvalé ukončenie;</w:t>
      </w:r>
    </w:p>
    <w:p w14:paraId="0F36EBF0" w14:textId="4572D9E1" w:rsidR="00683B68" w:rsidRPr="001E103F" w:rsidRDefault="00683B68" w:rsidP="001E50D6">
      <w:pPr>
        <w:spacing w:after="120" w:line="240" w:lineRule="auto"/>
        <w:ind w:left="1440" w:hanging="720"/>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b) rybári, ktorí pracovali na palube rybárskeho plavidla Únie, ktorého sa týka trvalé ukončenie, najmenej 90 dní ročne počas posledných dvoch kalendárnych rokov pred rokom predloženia žiadosti o pomoc;</w:t>
      </w:r>
    </w:p>
    <w:p w14:paraId="3E8C9E38" w14:textId="66FB2E8C" w:rsidR="00683B68" w:rsidRPr="001E103F" w:rsidRDefault="00683B68" w:rsidP="00683B68">
      <w:pPr>
        <w:spacing w:after="0" w:line="240" w:lineRule="auto"/>
        <w:ind w:left="1440" w:hanging="720"/>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c) obe skupiny, t. j. kategórie príjemcov zahŕňajú možnosť a) aj b).</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1F9E12A6" w:rsidR="0026001A" w:rsidRDefault="0026001A"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Uveďte ustanovenie (ustanovenia) právneho základu, ktoré zodpovedá (zodpovedajú) vášmu výberu</w:t>
      </w:r>
      <w:r w:rsidR="00FC70E2">
        <w:rPr>
          <w:rFonts w:ascii="Times New Roman" w:hAnsi="Times New Roman"/>
          <w:sz w:val="24"/>
        </w:rPr>
        <w:t>:</w:t>
      </w:r>
    </w:p>
    <w:p w14:paraId="5EE0720A" w14:textId="6A79E473" w:rsidR="0026001A"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r>
        <w:rPr>
          <w:rFonts w:ascii="Times New Roman" w:hAnsi="Times New Roman"/>
          <w:sz w:val="24"/>
        </w:rPr>
        <w:t>......................................................................................................................................................</w:t>
      </w:r>
    </w:p>
    <w:p w14:paraId="41176CD3" w14:textId="03FD25CF" w:rsidR="00683B68" w:rsidRDefault="006D57B3"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Ak sa na príslušné rybárske plavidlá vzťahovali akékoľvek úpravy, vysvetlite, ako bol vypočítaný minimálny počet 90 dní stanovený pre rybárov, s prihliadnutím na body 283, 276 a 281 usmernení</w:t>
      </w:r>
      <w:r w:rsidR="00FC70E2">
        <w:rPr>
          <w:rFonts w:ascii="Times New Roman" w:hAnsi="Times New Roman"/>
          <w:sz w:val="24"/>
        </w:rPr>
        <w:t>:</w:t>
      </w:r>
    </w:p>
    <w:p w14:paraId="5A8C02AB" w14:textId="3F32921A" w:rsidR="000E6ABB" w:rsidRPr="001E103F"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r>
        <w:rPr>
          <w:rFonts w:ascii="Times New Roman" w:hAnsi="Times New Roman"/>
          <w:sz w:val="24"/>
        </w:rPr>
        <w:t>....................................................................................................................................................</w:t>
      </w:r>
    </w:p>
    <w:p w14:paraId="458D4D59" w14:textId="67EEC7BB" w:rsidR="00D25398" w:rsidRPr="001E103F" w:rsidRDefault="006D57B3" w:rsidP="00A64651">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Potvrďte, že v opatrení sa stanovuje, že rybári musia ukončiť všetky rybolovné činnosti na päť rokov od prijatia pomoci, a že ak sa rybár v rámci tohto obdobia vráti k rybolovným činnostiam, sumy neoprávnene vyplatenej pomoci sa vrátia vo výške úmernej obdobiu, počas ktorého nebola táto podmienka splnená.</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áno</w:t>
      </w:r>
      <w:r>
        <w:tab/>
      </w:r>
      <w:r>
        <w:tab/>
      </w:r>
      <w:r>
        <w:tab/>
      </w:r>
      <w:r>
        <w:tab/>
      </w: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nie</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196E57E2" w:rsidR="000E6ABB" w:rsidRDefault="000E6ABB" w:rsidP="00A64651">
      <w:pPr>
        <w:numPr>
          <w:ilvl w:val="2"/>
          <w:numId w:val="15"/>
        </w:numPr>
        <w:tabs>
          <w:tab w:val="left" w:pos="1418"/>
        </w:tabs>
        <w:autoSpaceDE w:val="0"/>
        <w:autoSpaceDN w:val="0"/>
        <w:adjustRightInd w:val="0"/>
        <w:spacing w:after="0" w:line="240" w:lineRule="auto"/>
        <w:ind w:left="1418" w:hanging="709"/>
        <w:jc w:val="both"/>
        <w:rPr>
          <w:rFonts w:ascii="Times New Roman" w:eastAsia="Times New Roman" w:hAnsi="Times New Roman"/>
          <w:sz w:val="24"/>
          <w:szCs w:val="24"/>
        </w:rPr>
      </w:pPr>
      <w:r>
        <w:rPr>
          <w:rFonts w:ascii="Times New Roman" w:hAnsi="Times New Roman"/>
          <w:sz w:val="24"/>
        </w:rPr>
        <w:t>Ak ste odpovedali „áno“, uveďte príslušné ustanovenie (ustanovenia) v</w:t>
      </w:r>
      <w:r w:rsidR="009B1C4F">
        <w:rPr>
          <w:rFonts w:ascii="Times New Roman" w:hAnsi="Times New Roman"/>
          <w:sz w:val="24"/>
        </w:rPr>
        <w:t> </w:t>
      </w:r>
      <w:r>
        <w:rPr>
          <w:rFonts w:ascii="Times New Roman" w:hAnsi="Times New Roman"/>
          <w:sz w:val="24"/>
        </w:rPr>
        <w:t>právnom základe</w:t>
      </w:r>
      <w:r w:rsidR="00FC70E2">
        <w:rPr>
          <w:rFonts w:ascii="Times New Roman" w:hAnsi="Times New Roman"/>
          <w:sz w:val="24"/>
        </w:rPr>
        <w:t>:</w:t>
      </w:r>
    </w:p>
    <w:p w14:paraId="2D11C7F0" w14:textId="6110C27F" w:rsidR="006D57B3"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p>
    <w:p w14:paraId="3711C5D2" w14:textId="688D031D" w:rsidR="006D57B3" w:rsidRDefault="00924F4A"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br w:type="column"/>
      </w:r>
      <w:r w:rsidR="006D57B3">
        <w:rPr>
          <w:rFonts w:ascii="Times New Roman" w:hAnsi="Times New Roman"/>
          <w:sz w:val="24"/>
        </w:rPr>
        <w:lastRenderedPageBreak/>
        <w:t>Podrobne opíšte zavedené mechanizmy kontroly a presadzovania na zaručenie splnenia podmienok spojených s trvalým ukončením, ako aj na zabezpečenie toho, aby bola kapacita trvalo vyradená a aby dotknuté plavidlo alebo rybári ukončili po prijatí opatrenia všetky rybolovné činnosti. Upozorňujeme, že ak neexistuje vnútroštátny register flotily uplatniteľný na vnútrozemské vody, členské štáty musia takisto preukázať, že takéto mechanizmy kontroly a presadzovania zabezpečujú riadenie kapacity porovnateľné s riadením uplatniteľným na morský rybolov</w:t>
      </w:r>
      <w:r w:rsidR="00FC70E2">
        <w:rPr>
          <w:rFonts w:ascii="Times New Roman" w:hAnsi="Times New Roman"/>
          <w:sz w:val="24"/>
        </w:rPr>
        <w:t>:</w:t>
      </w:r>
    </w:p>
    <w:p w14:paraId="755C2AAA" w14:textId="0D4DEB95" w:rsidR="00DF06B6"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r>
        <w:rPr>
          <w:rFonts w:ascii="Times New Roman" w:hAnsi="Times New Roman"/>
          <w:sz w:val="24"/>
        </w:rPr>
        <w:t>......................................................................................................................................................</w:t>
      </w:r>
    </w:p>
    <w:p w14:paraId="15D1EE4F" w14:textId="587DF4E2"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Potvrďte, že oprávnené náklady sa musia vypočítať na úrovni jednotlivého príjemcu.</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áno</w:t>
      </w:r>
      <w:r>
        <w:tab/>
      </w:r>
      <w:r>
        <w:tab/>
      </w:r>
      <w:r>
        <w:tab/>
      </w:r>
      <w:r>
        <w:tab/>
      </w: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nie</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64368B5" w14:textId="77777777" w:rsidR="00FC70E2" w:rsidRDefault="00F117EF" w:rsidP="00FC70E2">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Ak ste odpovedali „áno“, uveďte príslušné ustanovenie (ustanovenia) v právnom základe</w:t>
      </w:r>
      <w:r w:rsidR="00FC70E2">
        <w:rPr>
          <w:rFonts w:ascii="Times New Roman" w:hAnsi="Times New Roman"/>
          <w:sz w:val="24"/>
        </w:rPr>
        <w:t>:</w:t>
      </w:r>
    </w:p>
    <w:p w14:paraId="76DA2220" w14:textId="295F2673" w:rsidR="006D57B3"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sidRPr="00FC70E2">
        <w:rPr>
          <w:rFonts w:ascii="Times New Roman" w:hAnsi="Times New Roman"/>
          <w:sz w:val="24"/>
        </w:rPr>
        <w:t>.......................................................................................................................................................</w:t>
      </w:r>
    </w:p>
    <w:p w14:paraId="4C97850B" w14:textId="7673BBC8"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Potvrďte oprávnené náklady:</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v prípade zošrotovania rybárskych plavidiel:</w:t>
      </w:r>
    </w:p>
    <w:p w14:paraId="33430DB0" w14:textId="77777777" w:rsidR="00E0325E" w:rsidRDefault="00E0325E" w:rsidP="00E0325E">
      <w:pPr>
        <w:spacing w:after="120" w:line="240" w:lineRule="auto"/>
        <w:ind w:left="1440"/>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rPr>
          <w:rFonts w:ascii="Times New Roman" w:hAnsi="Times New Roman"/>
          <w:sz w:val="24"/>
        </w:rPr>
        <w:t xml:space="preserve"> náklady na zošrotovanie rybárskych plavidiel, </w:t>
      </w:r>
    </w:p>
    <w:p w14:paraId="459E0D44" w14:textId="2E70EA29" w:rsidR="006C0203" w:rsidRPr="001E103F" w:rsidRDefault="00E0325E" w:rsidP="00E0325E">
      <w:pPr>
        <w:spacing w:after="120" w:line="240" w:lineRule="auto"/>
        <w:ind w:left="1440"/>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rPr>
          <w:rFonts w:ascii="Times New Roman" w:hAnsi="Times New Roman"/>
          <w:sz w:val="24"/>
        </w:rPr>
        <w:t xml:space="preserve"> kompenzácia strát hodnoty zošrotovaných rybárskych pravidiel určená ako ich súčasná predajná hodnota,</w:t>
      </w:r>
    </w:p>
    <w:p w14:paraId="7391D27F" w14:textId="1D8E8659" w:rsidR="006C0203" w:rsidRPr="001E103F" w:rsidRDefault="006C0203" w:rsidP="00091B7A">
      <w:pPr>
        <w:spacing w:after="120" w:line="240" w:lineRule="auto"/>
        <w:ind w:left="1440" w:hanging="720"/>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v prípade vyradenia z prevádzky a dodatočného vybavenia na iné činnosti ako komerčný rybolov: investičné náklady týkajúce sa prestavby rybárskeho plavidla na účely iných hospodárskych činností,</w:t>
      </w:r>
    </w:p>
    <w:p w14:paraId="4DD79CB5" w14:textId="303F1DD8" w:rsidR="006C0203" w:rsidRPr="001E103F" w:rsidRDefault="006C0203" w:rsidP="006C0203">
      <w:pPr>
        <w:spacing w:after="0" w:line="240" w:lineRule="auto"/>
        <w:ind w:left="1440" w:hanging="720"/>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náklady týkajúce sa rybárov, ktoré môžu zahŕňať aj povinné sociálne náklady vyplývajúce z vykonania trvalého ukončenia, pokiaľ sa naň nevzťahujú iné vnútroštátne ustanovenia v prípade ukončenia podnikateľskej činnosti.</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5C87C99D" w14:textId="77777777" w:rsidR="00FC70E2" w:rsidRDefault="00F117EF" w:rsidP="00FC70E2">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6" w:name="_Hlk125378825"/>
      <w:r>
        <w:rPr>
          <w:rFonts w:ascii="Times New Roman" w:hAnsi="Times New Roman"/>
          <w:sz w:val="24"/>
        </w:rPr>
        <w:t>Uveďte ustanovenie (ustanovenia) právneho základu, ktoré zodpovedá (zodpovedajú) vášmu výberu</w:t>
      </w:r>
      <w:r w:rsidR="00FC70E2">
        <w:rPr>
          <w:rFonts w:ascii="Times New Roman" w:hAnsi="Times New Roman"/>
          <w:sz w:val="24"/>
        </w:rPr>
        <w:t>:</w:t>
      </w:r>
    </w:p>
    <w:p w14:paraId="4252CD83" w14:textId="0D7855FF" w:rsidR="00FC70E2" w:rsidRPr="00FC70E2"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sidRPr="00FC70E2">
        <w:rPr>
          <w:rFonts w:ascii="Times New Roman" w:hAnsi="Times New Roman"/>
          <w:sz w:val="24"/>
        </w:rPr>
        <w:t>.......................................................................................................................................................</w:t>
      </w:r>
    </w:p>
    <w:p w14:paraId="3ACFE232" w14:textId="5E864902" w:rsidR="00E0325E" w:rsidRDefault="00E0325E"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Podrobne opíšte oprávnené náklady</w:t>
      </w:r>
      <w:r w:rsidR="00FC70E2">
        <w:rPr>
          <w:rFonts w:ascii="Times New Roman" w:hAnsi="Times New Roman"/>
          <w:sz w:val="24"/>
        </w:rPr>
        <w:t>:</w:t>
      </w:r>
    </w:p>
    <w:bookmarkEnd w:id="6"/>
    <w:p w14:paraId="76DA6870" w14:textId="455D1A0B" w:rsidR="005B1262"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p>
    <w:p w14:paraId="38E2CBDE" w14:textId="0FBB4C42" w:rsidR="00091B7A" w:rsidRDefault="00091B7A"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Ref127293339"/>
      <w:r>
        <w:rPr>
          <w:rFonts w:ascii="Times New Roman" w:hAnsi="Times New Roman"/>
          <w:sz w:val="24"/>
        </w:rPr>
        <w:t>Potvrďte, že oprávnené náklady sa musia znížiť o všetky náklady, ktoré nevznikli v dôsledku trvalého ukončenia rybolovných činností a ktoré by inak prijímajúcemu podniku vznikli.</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75C8E">
        <w:rPr>
          <w:rFonts w:ascii="Times New Roman" w:eastAsia="Times New Roman" w:hAnsi="Times New Roman"/>
          <w:sz w:val="24"/>
        </w:rPr>
      </w:r>
      <w:r w:rsidR="00E75C8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áno</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75C8E">
        <w:rPr>
          <w:rFonts w:ascii="Times New Roman" w:eastAsia="Times New Roman" w:hAnsi="Times New Roman"/>
          <w:sz w:val="24"/>
        </w:rPr>
      </w:r>
      <w:r w:rsidR="00E75C8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732871F7" w:rsidR="00091B7A" w:rsidRDefault="00924F4A" w:rsidP="00A64651">
      <w:pPr>
        <w:numPr>
          <w:ilvl w:val="2"/>
          <w:numId w:val="17"/>
        </w:numPr>
        <w:autoSpaceDE w:val="0"/>
        <w:autoSpaceDN w:val="0"/>
        <w:adjustRightInd w:val="0"/>
        <w:spacing w:after="0" w:line="240" w:lineRule="auto"/>
        <w:ind w:left="1418" w:hanging="709"/>
        <w:jc w:val="both"/>
        <w:rPr>
          <w:rFonts w:ascii="Times New Roman" w:eastAsia="Times New Roman" w:hAnsi="Times New Roman"/>
          <w:sz w:val="24"/>
          <w:szCs w:val="24"/>
        </w:rPr>
      </w:pPr>
      <w:r>
        <w:rPr>
          <w:rFonts w:ascii="Times New Roman" w:hAnsi="Times New Roman"/>
          <w:sz w:val="24"/>
        </w:rPr>
        <w:br w:type="column"/>
      </w:r>
      <w:r w:rsidR="00091B7A">
        <w:rPr>
          <w:rFonts w:ascii="Times New Roman" w:hAnsi="Times New Roman"/>
          <w:sz w:val="24"/>
        </w:rPr>
        <w:lastRenderedPageBreak/>
        <w:t>Ak ste odpovedali „áno“, uveďte príslušné náklady</w:t>
      </w:r>
      <w:r w:rsidR="00FC70E2">
        <w:rPr>
          <w:rFonts w:ascii="Times New Roman" w:hAnsi="Times New Roman"/>
          <w:sz w:val="24"/>
        </w:rPr>
        <w:t>:</w:t>
      </w:r>
    </w:p>
    <w:p w14:paraId="14D5426E" w14:textId="0585C605" w:rsidR="00091B7A"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p>
    <w:p w14:paraId="5462259D" w14:textId="75D77F79" w:rsidR="00091B7A" w:rsidRDefault="00091B7A" w:rsidP="00A64651">
      <w:pPr>
        <w:numPr>
          <w:ilvl w:val="2"/>
          <w:numId w:val="18"/>
        </w:numPr>
        <w:autoSpaceDE w:val="0"/>
        <w:autoSpaceDN w:val="0"/>
        <w:adjustRightInd w:val="0"/>
        <w:spacing w:after="0" w:line="240" w:lineRule="auto"/>
        <w:ind w:left="1418" w:hanging="709"/>
        <w:jc w:val="both"/>
        <w:rPr>
          <w:rFonts w:ascii="Times New Roman" w:eastAsia="Times New Roman" w:hAnsi="Times New Roman"/>
          <w:sz w:val="24"/>
          <w:szCs w:val="24"/>
        </w:rPr>
      </w:pPr>
      <w:r>
        <w:rPr>
          <w:rFonts w:ascii="Times New Roman" w:hAnsi="Times New Roman"/>
          <w:sz w:val="24"/>
        </w:rPr>
        <w:t>Ak ste odpovedali „áno“, uveďte príslušné ustanovenie (ustanovenia) v</w:t>
      </w:r>
      <w:r w:rsidR="009B1C4F">
        <w:rPr>
          <w:rFonts w:ascii="Times New Roman" w:hAnsi="Times New Roman"/>
          <w:sz w:val="24"/>
        </w:rPr>
        <w:t> </w:t>
      </w:r>
      <w:r>
        <w:rPr>
          <w:rFonts w:ascii="Times New Roman" w:hAnsi="Times New Roman"/>
          <w:sz w:val="24"/>
        </w:rPr>
        <w:t>právnom základe</w:t>
      </w:r>
      <w:r w:rsidR="00FC70E2">
        <w:rPr>
          <w:rFonts w:ascii="Times New Roman" w:hAnsi="Times New Roman"/>
          <w:sz w:val="24"/>
        </w:rPr>
        <w:t>:</w:t>
      </w:r>
    </w:p>
    <w:p w14:paraId="31AF0784" w14:textId="404C170A" w:rsidR="001E46DC" w:rsidRPr="001E103F"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p>
    <w:p w14:paraId="33E57E75" w14:textId="71A91833" w:rsidR="00252DEE" w:rsidRPr="001E103F" w:rsidRDefault="00252DEE" w:rsidP="008074E7">
      <w:pPr>
        <w:numPr>
          <w:ilvl w:val="0"/>
          <w:numId w:val="15"/>
        </w:numPr>
        <w:autoSpaceDE w:val="0"/>
        <w:autoSpaceDN w:val="0"/>
        <w:adjustRightInd w:val="0"/>
        <w:spacing w:after="0" w:line="240" w:lineRule="auto"/>
        <w:jc w:val="both"/>
        <w:rPr>
          <w:rFonts w:ascii="Times New Roman" w:eastAsia="Times New Roman" w:hAnsi="Times New Roman"/>
          <w:sz w:val="24"/>
          <w:szCs w:val="24"/>
        </w:rPr>
      </w:pPr>
      <w:bookmarkStart w:id="8" w:name="_Hlk125379591"/>
      <w:r>
        <w:rPr>
          <w:rFonts w:ascii="Times New Roman" w:hAnsi="Times New Roman"/>
          <w:sz w:val="24"/>
        </w:rPr>
        <w:t>Potvrďte, že v opatrení sa stanovuje, že maximálna intenzita pomoci nepresahuje 100 % oprávnených nákladov.</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924F4A">
      <w:pPr>
        <w:autoSpaceDE w:val="0"/>
        <w:autoSpaceDN w:val="0"/>
        <w:adjustRightInd w:val="0"/>
        <w:spacing w:after="0" w:line="240" w:lineRule="auto"/>
        <w:ind w:left="851" w:hanging="142"/>
        <w:jc w:val="both"/>
        <w:rPr>
          <w:rFonts w:ascii="Times New Roman" w:eastAsia="Times New Roman" w:hAnsi="Times New Roman"/>
          <w:sz w:val="24"/>
          <w:szCs w:val="24"/>
        </w:rPr>
      </w:pP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áno</w:t>
      </w:r>
      <w:r>
        <w:tab/>
      </w:r>
      <w:r>
        <w:tab/>
      </w:r>
      <w:r>
        <w:tab/>
      </w:r>
      <w:r>
        <w:tab/>
      </w:r>
      <w:r w:rsidRPr="00FC70E2">
        <w:rPr>
          <w:rFonts w:ascii="Times New Roman" w:eastAsia="Times New Roman" w:hAnsi="Times New Roman"/>
          <w:b/>
          <w:sz w:val="24"/>
        </w:rPr>
        <w:fldChar w:fldCharType="begin">
          <w:ffData>
            <w:name w:val="Check1"/>
            <w:enabled/>
            <w:calcOnExit w:val="0"/>
            <w:checkBox>
              <w:sizeAuto/>
              <w:default w:val="0"/>
            </w:checkBox>
          </w:ffData>
        </w:fldChar>
      </w:r>
      <w:r w:rsidRPr="00FC70E2">
        <w:rPr>
          <w:rFonts w:ascii="Times New Roman" w:eastAsia="Times New Roman" w:hAnsi="Times New Roman"/>
          <w:b/>
          <w:sz w:val="24"/>
        </w:rPr>
        <w:instrText xml:space="preserve"> FORMCHECKBOX </w:instrText>
      </w:r>
      <w:r w:rsidR="00E75C8E" w:rsidRPr="00FC70E2">
        <w:rPr>
          <w:rFonts w:ascii="Times New Roman" w:eastAsia="Times New Roman" w:hAnsi="Times New Roman"/>
          <w:b/>
          <w:sz w:val="24"/>
        </w:rPr>
      </w:r>
      <w:r w:rsidR="00E75C8E" w:rsidRPr="00FC70E2">
        <w:rPr>
          <w:rFonts w:ascii="Times New Roman" w:eastAsia="Times New Roman" w:hAnsi="Times New Roman"/>
          <w:b/>
          <w:sz w:val="24"/>
        </w:rPr>
        <w:fldChar w:fldCharType="separate"/>
      </w:r>
      <w:r w:rsidRPr="00FC70E2">
        <w:rPr>
          <w:rFonts w:ascii="Times New Roman" w:eastAsia="Times New Roman" w:hAnsi="Times New Roman"/>
          <w:b/>
          <w:sz w:val="24"/>
        </w:rPr>
        <w:fldChar w:fldCharType="end"/>
      </w:r>
      <w:r>
        <w:tab/>
      </w:r>
      <w:r>
        <w:rPr>
          <w:rFonts w:ascii="Times New Roman" w:hAnsi="Times New Roman"/>
          <w:sz w:val="24"/>
        </w:rPr>
        <w:t>nie</w:t>
      </w:r>
    </w:p>
    <w:p w14:paraId="6F7D7680" w14:textId="77777777" w:rsidR="008074E7" w:rsidRDefault="008074E7" w:rsidP="008074E7">
      <w:pPr>
        <w:rPr>
          <w:rFonts w:ascii="Times New Roman" w:eastAsia="Times New Roman" w:hAnsi="Times New Roman"/>
          <w:sz w:val="24"/>
          <w:szCs w:val="24"/>
          <w:lang w:eastAsia="en-GB"/>
        </w:rPr>
      </w:pPr>
    </w:p>
    <w:p w14:paraId="6C3AC315" w14:textId="77777777" w:rsidR="00FC70E2" w:rsidRDefault="008074E7" w:rsidP="00FC70E2">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Uveďte maximálnu intenzitu pomoci, resp. maximálne intenzity pomoci uplatniteľné v rámci opatrenia</w:t>
      </w:r>
      <w:r w:rsidR="00FC70E2">
        <w:rPr>
          <w:rFonts w:ascii="Times New Roman" w:hAnsi="Times New Roman"/>
          <w:sz w:val="24"/>
        </w:rPr>
        <w:t>:</w:t>
      </w:r>
    </w:p>
    <w:p w14:paraId="2780C2A9" w14:textId="3284F243" w:rsidR="005B1262" w:rsidRPr="001E103F"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eastAsia="Times New Roman" w:hAnsi="Times New Roman"/>
          <w:sz w:val="24"/>
          <w:szCs w:val="24"/>
        </w:rPr>
        <w:t>.</w:t>
      </w:r>
      <w:r w:rsidRPr="00FC70E2">
        <w:rPr>
          <w:rFonts w:ascii="Times New Roman" w:hAnsi="Times New Roman"/>
          <w:sz w:val="24"/>
        </w:rPr>
        <w:t>......................................................................................................................................................</w:t>
      </w:r>
    </w:p>
    <w:p w14:paraId="6054F693" w14:textId="77777777" w:rsidR="00FC70E2" w:rsidRDefault="00A9369A" w:rsidP="00FC70E2">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5368675"/>
      <w:bookmarkEnd w:id="8"/>
      <w:r>
        <w:rPr>
          <w:rFonts w:ascii="Times New Roman" w:hAnsi="Times New Roman"/>
          <w:sz w:val="24"/>
        </w:rPr>
        <w:t>Uveďte ustanovenie (ustanovenia) právneho základu, v ktorom (ktorých) sa stanovuje maximálna intenzita pomoci, resp. maximálne intenzity pomoci uplatniteľné v rámci opatrenia</w:t>
      </w:r>
      <w:r w:rsidR="00FC70E2">
        <w:rPr>
          <w:rFonts w:ascii="Times New Roman" w:hAnsi="Times New Roman"/>
          <w:sz w:val="24"/>
        </w:rPr>
        <w:t>:</w:t>
      </w:r>
      <w:bookmarkEnd w:id="9"/>
    </w:p>
    <w:p w14:paraId="00DADBFA" w14:textId="45173DB1" w:rsidR="00DB7B42"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sidRPr="00FC70E2">
        <w:rPr>
          <w:rFonts w:ascii="Times New Roman" w:hAnsi="Times New Roman"/>
          <w:sz w:val="24"/>
        </w:rPr>
        <w:t>.......................................................................................................................................................</w:t>
      </w:r>
    </w:p>
    <w:p w14:paraId="51FD3CDC" w14:textId="585CB13A" w:rsidR="00DB7B42" w:rsidRPr="00DB7B42" w:rsidRDefault="00DB7B42"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Upozorňujeme, že Komisia môže akceptovať iné spôsoby výpočtu, pokiaľ je </w:t>
      </w:r>
      <w:r>
        <w:rPr>
          <w:rFonts w:ascii="Times New Roman" w:hAnsi="Times New Roman"/>
          <w:color w:val="040004"/>
          <w:sz w:val="24"/>
        </w:rPr>
        <w:t>presvedčená</w:t>
      </w:r>
      <w:r>
        <w:rPr>
          <w:rFonts w:ascii="Times New Roman" w:hAnsi="Times New Roman"/>
          <w:sz w:val="24"/>
        </w:rPr>
        <w:t xml:space="preserve">, že sú založené na objektívnych kritériách a nemajú za následok nadmernú kompenzáciu pre žiadny prijímajúci podnik.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402A5A7B"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Ak má oznamujúci členský štát v úmysle navrhnúť iný spôsob výpočtu, uveďte dôvody, prečo spôsob stanovený v usmerneniach nie je v danom prípade vhodný, a vysvetlite, v</w:t>
      </w:r>
      <w:r w:rsidR="009B1C4F">
        <w:rPr>
          <w:rFonts w:ascii="Times New Roman" w:hAnsi="Times New Roman"/>
          <w:sz w:val="24"/>
        </w:rPr>
        <w:t> </w:t>
      </w:r>
      <w:r>
        <w:rPr>
          <w:rFonts w:ascii="Times New Roman" w:hAnsi="Times New Roman"/>
          <w:sz w:val="24"/>
        </w:rPr>
        <w:t>čom iný spôsob výpočtu lepšie rieši identifikované potreby</w:t>
      </w:r>
      <w:r w:rsidR="00FC70E2">
        <w:rPr>
          <w:rFonts w:ascii="Times New Roman" w:hAnsi="Times New Roman"/>
          <w:sz w:val="24"/>
        </w:rPr>
        <w:t>:</w:t>
      </w:r>
    </w:p>
    <w:p w14:paraId="0733C233" w14:textId="1D7E0402" w:rsidR="00DB7B42" w:rsidRDefault="00FC70E2" w:rsidP="00FC70E2">
      <w:pPr>
        <w:autoSpaceDE w:val="0"/>
        <w:autoSpaceDN w:val="0"/>
        <w:adjustRightInd w:val="0"/>
        <w:spacing w:before="240" w:line="240" w:lineRule="auto"/>
        <w:ind w:left="284"/>
        <w:jc w:val="both"/>
        <w:rPr>
          <w:rFonts w:ascii="Times New Roman" w:eastAsia="Times New Roman" w:hAnsi="Times New Roman"/>
          <w:sz w:val="24"/>
          <w:szCs w:val="24"/>
        </w:rPr>
      </w:pPr>
      <w:r>
        <w:rPr>
          <w:rFonts w:ascii="Times New Roman" w:hAnsi="Times New Roman"/>
          <w:sz w:val="24"/>
        </w:rPr>
        <w:t>.......................................................................................................................................</w:t>
      </w:r>
      <w:r>
        <w:rPr>
          <w:rFonts w:ascii="Times New Roman" w:hAnsi="Times New Roman"/>
          <w:sz w:val="24"/>
        </w:rPr>
        <w:t>..</w:t>
      </w:r>
      <w:r>
        <w:rPr>
          <w:rFonts w:ascii="Times New Roman" w:hAnsi="Times New Roman"/>
          <w:sz w:val="24"/>
        </w:rPr>
        <w:t>.........</w:t>
      </w:r>
    </w:p>
    <w:p w14:paraId="67ADC257" w14:textId="349235C1" w:rsidR="00DB7B42" w:rsidRPr="00FC70E2" w:rsidRDefault="00DB7B42" w:rsidP="00DB7B42">
      <w:pPr>
        <w:autoSpaceDE w:val="0"/>
        <w:autoSpaceDN w:val="0"/>
        <w:adjustRightInd w:val="0"/>
        <w:spacing w:after="0" w:line="240" w:lineRule="auto"/>
        <w:ind w:left="360"/>
        <w:jc w:val="both"/>
        <w:rPr>
          <w:rFonts w:ascii="Times New Roman" w:eastAsia="Times New Roman" w:hAnsi="Times New Roman"/>
          <w:i/>
          <w:iCs/>
          <w:sz w:val="24"/>
          <w:szCs w:val="24"/>
        </w:rPr>
      </w:pPr>
      <w:bookmarkStart w:id="10" w:name="_Hlk126835995"/>
      <w:r w:rsidRPr="00FC70E2">
        <w:rPr>
          <w:rFonts w:ascii="Times New Roman" w:hAnsi="Times New Roman"/>
          <w:i/>
          <w:sz w:val="24"/>
        </w:rPr>
        <w:t>V prílohe k notifikácii predložte navrhovanú inú metodiku výpočtu a preukážte, že je založená na objektívnych kritériách a nemá za následok nadmernú kompenzáciu pre žiadneho príjemcu</w:t>
      </w:r>
      <w:r w:rsidR="00FC70E2" w:rsidRPr="00FC70E2">
        <w:rPr>
          <w:rFonts w:ascii="Times New Roman" w:hAnsi="Times New Roman"/>
          <w:i/>
          <w:sz w:val="24"/>
        </w:rPr>
        <w:t>.</w:t>
      </w:r>
    </w:p>
    <w:bookmarkEnd w:id="10"/>
    <w:p w14:paraId="6F48B044" w14:textId="1F342281" w:rsidR="005615D7" w:rsidRDefault="00FC70E2" w:rsidP="00FC70E2">
      <w:pPr>
        <w:autoSpaceDE w:val="0"/>
        <w:autoSpaceDN w:val="0"/>
        <w:adjustRightInd w:val="0"/>
        <w:spacing w:before="240" w:line="240" w:lineRule="auto"/>
        <w:ind w:left="284"/>
        <w:jc w:val="both"/>
        <w:rPr>
          <w:rFonts w:ascii="Times New Roman" w:eastAsia="Times New Roman" w:hAnsi="Times New Roman"/>
          <w:sz w:val="24"/>
          <w:szCs w:val="24"/>
        </w:rPr>
      </w:pPr>
      <w:r>
        <w:rPr>
          <w:rFonts w:ascii="Times New Roman" w:hAnsi="Times New Roman"/>
          <w:sz w:val="24"/>
        </w:rPr>
        <w:t>..................................................................................................................................................</w:t>
      </w:r>
    </w:p>
    <w:p w14:paraId="1331A70E" w14:textId="77777777" w:rsidR="00FC70E2" w:rsidRPr="001E103F" w:rsidRDefault="00FC70E2" w:rsidP="00924F4A">
      <w:pPr>
        <w:autoSpaceDE w:val="0"/>
        <w:autoSpaceDN w:val="0"/>
        <w:adjustRightInd w:val="0"/>
        <w:spacing w:before="240" w:line="240" w:lineRule="auto"/>
        <w:jc w:val="both"/>
        <w:rPr>
          <w:rFonts w:ascii="Times New Roman" w:eastAsia="Times New Roman" w:hAnsi="Times New Roman"/>
          <w:sz w:val="24"/>
          <w:szCs w:val="24"/>
        </w:rPr>
      </w:pPr>
    </w:p>
    <w:p w14:paraId="529F1477" w14:textId="77777777" w:rsidR="005615D7" w:rsidRPr="00FC70E2"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FC70E2">
        <w:rPr>
          <w:rFonts w:ascii="Times New Roman" w:hAnsi="Times New Roman"/>
          <w:b/>
          <w:sz w:val="24"/>
        </w:rPr>
        <w:t>ĎALŠIE INFORMÁCIE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6EDC1812" w:rsidR="005615D7" w:rsidRPr="001E103F" w:rsidRDefault="005615D7"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Uveďte všetky ďalšie informácie, ktoré možno považovať za významné z hľadiska posúdenia opatrenia v rámci tohto oddielu usmernení</w:t>
      </w:r>
      <w:r w:rsidR="00FC70E2">
        <w:rPr>
          <w:rFonts w:ascii="Times New Roman" w:hAnsi="Times New Roman"/>
          <w:sz w:val="24"/>
        </w:rPr>
        <w:t>:</w:t>
      </w:r>
    </w:p>
    <w:p w14:paraId="72E27E27" w14:textId="672C9762" w:rsidR="00FC70E2" w:rsidRDefault="00FC70E2" w:rsidP="00FC70E2">
      <w:pPr>
        <w:autoSpaceDE w:val="0"/>
        <w:autoSpaceDN w:val="0"/>
        <w:adjustRightInd w:val="0"/>
        <w:spacing w:before="240" w:line="240" w:lineRule="auto"/>
        <w:jc w:val="both"/>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38F85C90" w:rsidR="002F32FD" w:rsidRPr="002F32FD" w:rsidRDefault="002F32FD" w:rsidP="00C73918">
      <w:pPr>
        <w:pStyle w:val="FootnoteText"/>
        <w:spacing w:after="0"/>
        <w:ind w:left="720" w:hanging="720"/>
        <w:jc w:val="both"/>
      </w:pPr>
      <w:r>
        <w:rPr>
          <w:rStyle w:val="FootnoteReference"/>
        </w:rPr>
        <w:footnoteRef/>
      </w:r>
      <w:r>
        <w:t xml:space="preserve"> </w:t>
      </w:r>
      <w:r w:rsidR="00C73918">
        <w:tab/>
      </w:r>
      <w:r>
        <w:rPr>
          <w:rFonts w:ascii="Times New Roman" w:hAnsi="Times New Roman"/>
        </w:rPr>
        <w:t>Ú. v. EÚ C 107, 23.3.2023, s. 1.</w:t>
      </w:r>
    </w:p>
  </w:footnote>
  <w:footnote w:id="2">
    <w:p w14:paraId="502011EF" w14:textId="2B03D7AE" w:rsidR="00814101" w:rsidRPr="00814101" w:rsidRDefault="00814101" w:rsidP="00C73918">
      <w:pPr>
        <w:pStyle w:val="FootnoteText"/>
        <w:spacing w:after="0"/>
        <w:ind w:left="720" w:hanging="720"/>
        <w:jc w:val="both"/>
        <w:rPr>
          <w:rFonts w:ascii="Times New Roman" w:hAnsi="Times New Roman"/>
        </w:rPr>
      </w:pPr>
      <w:r>
        <w:rPr>
          <w:rStyle w:val="FootnoteReference"/>
          <w:rFonts w:ascii="Times New Roman" w:hAnsi="Times New Roman"/>
          <w:color w:val="000000" w:themeColor="text1"/>
        </w:rPr>
        <w:footnoteRef/>
      </w:r>
      <w:r>
        <w:rPr>
          <w:rFonts w:ascii="Times New Roman" w:hAnsi="Times New Roman"/>
          <w:color w:val="000000" w:themeColor="text1"/>
        </w:rPr>
        <w:t xml:space="preserve"> </w:t>
      </w:r>
      <w:r w:rsidR="00C73918">
        <w:rPr>
          <w:rFonts w:ascii="Times New Roman" w:hAnsi="Times New Roman"/>
          <w:color w:val="000000" w:themeColor="text1"/>
        </w:rPr>
        <w:tab/>
      </w:r>
      <w:r>
        <w:rPr>
          <w:rFonts w:ascii="Times New Roman" w:hAnsi="Times New Roman"/>
          <w:color w:val="000000" w:themeColor="text1"/>
        </w:rPr>
        <w:t>Nariadenie Európskeho parlamentu a Rady (EÚ) 2021/1139 zo 7. júla 2021, ktorým sa zriaďuje Európsky námorný, rybolovný a akvakultúrny fond a ktorým sa mení nariadenie (EÚ) 2017/1004 (Ú. v. EÚ L 247, 13.7.2021,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2045A"/>
    <w:rsid w:val="00924F4A"/>
    <w:rsid w:val="009725CF"/>
    <w:rsid w:val="009B1C4F"/>
    <w:rsid w:val="009D3BF2"/>
    <w:rsid w:val="009E1F93"/>
    <w:rsid w:val="00A02D5E"/>
    <w:rsid w:val="00A13FFA"/>
    <w:rsid w:val="00A53414"/>
    <w:rsid w:val="00A56179"/>
    <w:rsid w:val="00A5779C"/>
    <w:rsid w:val="00A634A8"/>
    <w:rsid w:val="00A64651"/>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66980"/>
    <w:rsid w:val="00C73918"/>
    <w:rsid w:val="00CB04AA"/>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C70E2"/>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DB7B4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7</Pages>
  <Words>2424</Words>
  <Characters>13794</Characters>
  <Application>Microsoft Office Word</Application>
  <DocSecurity>0</DocSecurity>
  <Lines>372</Lines>
  <Paragraphs>172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DUGASOVA Denisa (DGT)</cp:lastModifiedBy>
  <cp:revision>72</cp:revision>
  <dcterms:created xsi:type="dcterms:W3CDTF">2023-01-05T14:31:00Z</dcterms:created>
  <dcterms:modified xsi:type="dcterms:W3CDTF">2024-08-23T10:16:00Z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