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1656C" w14:textId="77777777" w:rsidR="00AA3794" w:rsidRPr="00404728" w:rsidRDefault="00AA3794" w:rsidP="00AA3794">
      <w:pPr>
        <w:pStyle w:val="ManualHeading1"/>
        <w:rPr>
          <w:noProof/>
        </w:rPr>
      </w:pPr>
      <w:r w:rsidRPr="00404728">
        <w:rPr>
          <w:noProof/>
        </w:rPr>
        <w:t>2.1. KIEGÉSZÍTŐ ADATLAP A KÜLSŐ RÉGIÓKBAN NYÚJTOTT MŰKÖDÉSI TÁMOGATÁSRÓL</w:t>
      </w:r>
    </w:p>
    <w:p w14:paraId="0A0C9F08" w14:textId="77777777" w:rsidR="00AA3794" w:rsidRPr="00404728" w:rsidRDefault="00AA3794" w:rsidP="00AA3794">
      <w:pPr>
        <w:rPr>
          <w:i/>
          <w:iCs/>
          <w:noProof/>
        </w:rPr>
      </w:pPr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2. fejezetének 2.1. szakaszában leírt, a legkülső régiókban nyújtott működési támogatás bejelentéséhez. Kérjük, vegye figyelembe, hogy az iránymutatás (216) pontja értelmében a támogatás nem léphet túl azon a mértéken, ami a legkülső régiók elszigeteltsége, szigetjellege vagy rendkívül távoli fekvése miatti sajátos nehézségeinek enyhítéséhez szükséges.</w:t>
      </w:r>
    </w:p>
    <w:p w14:paraId="213D99A6" w14:textId="77777777" w:rsidR="00AA3794" w:rsidRPr="00404728" w:rsidRDefault="00AA3794" w:rsidP="00AA3794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>Kérjük, nevezze meg az intézkedés által érintett, a Szerződés 349. cikkében említett legkülső régió(ka)t.</w:t>
      </w:r>
    </w:p>
    <w:p w14:paraId="533C416E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</w:p>
    <w:p w14:paraId="49A707C8" w14:textId="77777777" w:rsidR="00AA3794" w:rsidRPr="00404728" w:rsidRDefault="00AA3794" w:rsidP="00AA3794">
      <w:pPr>
        <w:pStyle w:val="ManualNumPar1"/>
        <w:rPr>
          <w:rFonts w:eastAsia="Times New Roman"/>
          <w:noProof/>
        </w:rPr>
      </w:pPr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Kérjük, ismertesse részletesen az érintett legkülső régió(k) sajátos korlátait (elszigeteltség, szigetjelleg, rendkívül távoli fekvés), és fejtse ki, hogyan kezeli az intézkedés ezeket a korlátokat.</w:t>
      </w:r>
    </w:p>
    <w:p w14:paraId="27E24FEF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0215A38" w14:textId="77777777" w:rsidR="00AA3794" w:rsidRPr="00404728" w:rsidRDefault="00AA3794" w:rsidP="00AA3794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>Kérjük, ismertesse részletesen a nyújtott működési támogatás típusát, és sorolja fel az intézkedés keretében elszámolható költségeket.</w:t>
      </w:r>
    </w:p>
    <w:p w14:paraId="0A8EDA62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255C9262" w14:textId="77777777" w:rsidR="00AA3794" w:rsidRPr="00404728" w:rsidRDefault="00AA3794" w:rsidP="00AA3794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4.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az elszámolható költségeknek az érintett legkülső régiók sajátos nehézségeiből kell eredniük.</w:t>
      </w:r>
    </w:p>
    <w:p w14:paraId="6B687697" w14:textId="77777777" w:rsidR="00AA3794" w:rsidRPr="00404728" w:rsidRDefault="00AA3794" w:rsidP="00AA3794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19A7984" w14:textId="77777777" w:rsidR="00AA3794" w:rsidRPr="00404728" w:rsidRDefault="00AA3794" w:rsidP="00AA3794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4.1.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3E347DC4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7EC9A69C" w14:textId="77777777" w:rsidR="00AA3794" w:rsidRPr="00404728" w:rsidRDefault="00AA3794" w:rsidP="00AA3794">
      <w:pPr>
        <w:pStyle w:val="ManualNumPar1"/>
        <w:rPr>
          <w:noProof/>
        </w:rPr>
      </w:pPr>
      <w:r w:rsidRPr="00254ADB">
        <w:rPr>
          <w:noProof/>
        </w:rPr>
        <w:t>5.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 előírja, hogy az elszámolható költségek nem léphetnek túl azon a mértéken, ami az érintett legkülső régiók sajátos nehézségeinek enyhítéséhez szükséges. </w:t>
      </w:r>
    </w:p>
    <w:p w14:paraId="1909A9C8" w14:textId="77777777" w:rsidR="00AA3794" w:rsidRPr="00404728" w:rsidRDefault="00AA3794" w:rsidP="00AA3794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2C321EB" w14:textId="77777777" w:rsidR="00AA3794" w:rsidRPr="00404728" w:rsidRDefault="00AA3794" w:rsidP="00AA3794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5.1.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32F8FA0E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149DC215" w14:textId="77777777" w:rsidR="00AA3794" w:rsidRPr="00404728" w:rsidRDefault="00AA3794" w:rsidP="00AA3794">
      <w:pPr>
        <w:pStyle w:val="ManualNumPar1"/>
        <w:rPr>
          <w:noProof/>
        </w:rPr>
      </w:pPr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az elszámolható költségeket az (EU) 2021/1972 felhatalmazáson alapuló bizottsági rendeletben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404728">
        <w:rPr>
          <w:noProof/>
        </w:rPr>
        <w:t xml:space="preserve"> megállapított feltételek szerint kell kiszámítani.</w:t>
      </w:r>
    </w:p>
    <w:p w14:paraId="032B4EB0" w14:textId="77777777" w:rsidR="00AA3794" w:rsidRPr="00404728" w:rsidRDefault="00AA3794" w:rsidP="00AA3794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F766C1D" w14:textId="77777777" w:rsidR="00AA3794" w:rsidRPr="00404728" w:rsidRDefault="00AA3794" w:rsidP="00AA3794">
      <w:pPr>
        <w:pStyle w:val="ManualNumPar2"/>
        <w:rPr>
          <w:noProof/>
        </w:rPr>
      </w:pPr>
      <w:r w:rsidRPr="00254ADB">
        <w:rPr>
          <w:noProof/>
        </w:rPr>
        <w:t>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6D1E5486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…………………………………………………………………………….</w:t>
      </w:r>
    </w:p>
    <w:p w14:paraId="3F9D8E2B" w14:textId="77777777" w:rsidR="00AA3794" w:rsidRPr="00404728" w:rsidRDefault="00AA3794" w:rsidP="00AA3794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7.</w:t>
      </w:r>
      <w:r w:rsidRPr="00254ADB">
        <w:rPr>
          <w:noProof/>
        </w:rPr>
        <w:tab/>
      </w:r>
      <w:r w:rsidRPr="00404728">
        <w:rPr>
          <w:noProof/>
        </w:rPr>
        <w:t>Kérjük, ismertesse részletesen az intézkedés keretében alkalmazott számítási módszert.</w:t>
      </w:r>
    </w:p>
    <w:p w14:paraId="1A63DA45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</w:p>
    <w:p w14:paraId="03B949F5" w14:textId="77777777" w:rsidR="00AA3794" w:rsidRPr="00404728" w:rsidRDefault="00AA3794" w:rsidP="00AA3794">
      <w:pPr>
        <w:pStyle w:val="ManualNumPar1"/>
        <w:rPr>
          <w:noProof/>
        </w:rPr>
      </w:pPr>
      <w:bookmarkStart w:id="0" w:name="_Ref127286747"/>
      <w:r w:rsidRPr="00254ADB">
        <w:rPr>
          <w:noProof/>
        </w:rPr>
        <w:t>8.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figyelembe veszi a más típusú állami beavatkozásokat, beleértve adott esetében a legkülső régiókból származó egyes halászati és akvakultúra-termékek halászata, tenyésztése, feldolgozása és piaci értékesítése során a piaci szereplőknél felmerülő többletköltségek tekintetében az (EU) 2021/1139 rendelet 24. és 35–37. cikke alapján fizetett ellentételezést.</w:t>
      </w:r>
      <w:bookmarkEnd w:id="0"/>
    </w:p>
    <w:p w14:paraId="7656FB04" w14:textId="77777777" w:rsidR="00AA3794" w:rsidRPr="00404728" w:rsidRDefault="00AA3794" w:rsidP="00AA3794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01E8BF72" w14:textId="77777777" w:rsidR="00AA3794" w:rsidRPr="00404728" w:rsidRDefault="00AA3794" w:rsidP="00AA3794">
      <w:pPr>
        <w:pStyle w:val="ManualNumPar2"/>
        <w:rPr>
          <w:rFonts w:eastAsia="Times New Roman"/>
          <w:bCs/>
          <w:noProof/>
          <w:szCs w:val="24"/>
        </w:rPr>
      </w:pPr>
      <w:r w:rsidRPr="00254ADB">
        <w:rPr>
          <w:noProof/>
        </w:rPr>
        <w:t>8.1.</w:t>
      </w:r>
      <w:r w:rsidRPr="00254ADB">
        <w:rPr>
          <w:noProof/>
        </w:rPr>
        <w:tab/>
      </w:r>
      <w:r w:rsidRPr="00404728">
        <w:rPr>
          <w:noProof/>
        </w:rPr>
        <w:t>Ha a válasz „igen”, kérjük, ismertesse a túlkompenzáció elkerülését célzó ellenőrzési mechanizmusokat.</w:t>
      </w:r>
    </w:p>
    <w:p w14:paraId="5905169C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341403B" w14:textId="77777777" w:rsidR="00AA3794" w:rsidRPr="00404728" w:rsidRDefault="00AA3794" w:rsidP="00AA3794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8.2.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6949F4F1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5546B5C3" w14:textId="77777777" w:rsidR="00AA3794" w:rsidRPr="00404728" w:rsidRDefault="00AA3794" w:rsidP="00AA3794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9.</w:t>
      </w:r>
      <w:r w:rsidRPr="00254ADB">
        <w:rPr>
          <w:noProof/>
        </w:rPr>
        <w:tab/>
      </w:r>
      <w:r w:rsidRPr="00404728">
        <w:rPr>
          <w:noProof/>
        </w:rPr>
        <w:t>Kérjük erősítse meg, hogy az intézkedés előírja, hogy a kedvezményezett vállalkozásnak nyújtott támogatás és ugyanazon elszámolható költségek kapcsán nyújtott egyéb kifizetések nem haladhatják meg az elszámolható költségek 100 %-át.</w:t>
      </w:r>
    </w:p>
    <w:p w14:paraId="14B7EF7B" w14:textId="77777777" w:rsidR="00AA3794" w:rsidRPr="00404728" w:rsidRDefault="00AA3794" w:rsidP="00AA3794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F6AFBE6" w14:textId="77777777" w:rsidR="00AA3794" w:rsidRPr="00404728" w:rsidRDefault="00AA3794" w:rsidP="00AA3794">
      <w:pPr>
        <w:pStyle w:val="ManualNumPar2"/>
        <w:rPr>
          <w:noProof/>
        </w:rPr>
      </w:pPr>
      <w:r w:rsidRPr="00254ADB">
        <w:rPr>
          <w:noProof/>
        </w:rPr>
        <w:t>9.1.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764EABED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4326893A" w14:textId="77777777" w:rsidR="00AA3794" w:rsidRPr="00404728" w:rsidRDefault="00AA3794" w:rsidP="00AA3794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9.2.</w:t>
      </w:r>
      <w:r w:rsidRPr="00254ADB">
        <w:rPr>
          <w:noProof/>
        </w:rPr>
        <w:tab/>
      </w:r>
      <w:r w:rsidRPr="00404728">
        <w:rPr>
          <w:noProof/>
        </w:rPr>
        <w:t>Kérjük, nevezze meg az intézkedésre vonatkozóan a jogalap 100 %-os határt és maximális támogatási intenzitást meghatározó rendelkezését/rendelkezéseit.</w:t>
      </w:r>
    </w:p>
    <w:p w14:paraId="386B3FBA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05788B41" w14:textId="77777777" w:rsidR="00AA3794" w:rsidRPr="00404728" w:rsidRDefault="00AA3794" w:rsidP="00AA3794">
      <w:pPr>
        <w:pStyle w:val="ManualHeading4"/>
        <w:rPr>
          <w:noProof/>
        </w:rPr>
      </w:pPr>
      <w:r w:rsidRPr="00404728">
        <w:rPr>
          <w:noProof/>
        </w:rPr>
        <w:t>EGYÉB INFORMÁCIÓK</w:t>
      </w:r>
    </w:p>
    <w:p w14:paraId="7C82F76E" w14:textId="77777777" w:rsidR="00AA3794" w:rsidRPr="00404728" w:rsidRDefault="00AA3794" w:rsidP="00AA3794">
      <w:pPr>
        <w:pStyle w:val="ManualNumPar1"/>
        <w:rPr>
          <w:noProof/>
        </w:rPr>
      </w:pPr>
      <w:r w:rsidRPr="00254ADB">
        <w:rPr>
          <w:noProof/>
        </w:rPr>
        <w:t>10.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475B275A" w14:textId="77777777" w:rsidR="00AA3794" w:rsidRPr="00404728" w:rsidRDefault="00AA3794" w:rsidP="00AA379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17055A0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9128C" w14:textId="77777777" w:rsidR="00AA3794" w:rsidRDefault="00AA3794" w:rsidP="00AA3794">
      <w:pPr>
        <w:spacing w:before="0" w:after="0"/>
      </w:pPr>
      <w:r>
        <w:separator/>
      </w:r>
    </w:p>
  </w:endnote>
  <w:endnote w:type="continuationSeparator" w:id="0">
    <w:p w14:paraId="00250B5B" w14:textId="77777777" w:rsidR="00AA3794" w:rsidRDefault="00AA3794" w:rsidP="00AA37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0084C" w14:textId="77777777" w:rsidR="00AA3794" w:rsidRDefault="00AA37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8232D" w14:textId="710C03DF" w:rsidR="00AA3794" w:rsidRDefault="00AA3794" w:rsidP="00AA379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DB0B" w14:textId="77777777" w:rsidR="00AA3794" w:rsidRDefault="00AA37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E3A86" w14:textId="77777777" w:rsidR="00AA3794" w:rsidRDefault="00AA3794" w:rsidP="00AA3794">
      <w:pPr>
        <w:spacing w:before="0" w:after="0"/>
      </w:pPr>
      <w:r>
        <w:separator/>
      </w:r>
    </w:p>
  </w:footnote>
  <w:footnote w:type="continuationSeparator" w:id="0">
    <w:p w14:paraId="00A06B16" w14:textId="77777777" w:rsidR="00AA3794" w:rsidRDefault="00AA3794" w:rsidP="00AA3794">
      <w:pPr>
        <w:spacing w:before="0" w:after="0"/>
      </w:pPr>
      <w:r>
        <w:continuationSeparator/>
      </w:r>
    </w:p>
  </w:footnote>
  <w:footnote w:id="1">
    <w:p w14:paraId="0F019339" w14:textId="77777777" w:rsidR="00AA3794" w:rsidRPr="00773515" w:rsidRDefault="00AA3794" w:rsidP="00AA3794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  <w:footnote w:id="2">
    <w:p w14:paraId="4A7997EC" w14:textId="77777777" w:rsidR="00AA3794" w:rsidRPr="004C6027" w:rsidRDefault="00AA3794" w:rsidP="00AA3794">
      <w:pPr>
        <w:pStyle w:val="FootnoteText"/>
      </w:pPr>
      <w:r>
        <w:rPr>
          <w:rStyle w:val="FootnoteReference"/>
        </w:rPr>
        <w:footnoteRef/>
      </w:r>
      <w:r>
        <w:tab/>
        <w:t>A Bizottság (EU) 2021/1972 felhatalmazáson alapuló rendelete (2021. augusztus 11.) az Európai Tengerügyi, Halászati és Akvakultúra-alap létrehozásáról és az (EU) 2017/1004 rendelet módosításáról szóló (EU) 2021/1139 európai parlamenti és tanácsi rendeletnek a legkülső régiókból származó egyes halászati és akvakultúra-termékek halászata, tenyésztése, feldolgozása és piaci értékesítése terén a gazdasági szereplőknél felmerülő többletköltségek kiszámítására vonatkozó kritériumok tekintetében történő kiegészítéséről (HL L 402., 2021.11.15., 1. 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CB16" w14:textId="77777777" w:rsidR="00AA3794" w:rsidRDefault="00AA37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29D78" w14:textId="77777777" w:rsidR="00AA3794" w:rsidRDefault="00AA37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6D543" w14:textId="77777777" w:rsidR="00AA3794" w:rsidRDefault="00AA37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85545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078430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A3794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61153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3794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2C710"/>
  <w15:chartTrackingRefBased/>
  <w15:docId w15:val="{6F0CF537-63F5-4425-B67B-D30FD3A6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794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379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379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A379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379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A37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37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379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37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37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379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A379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379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379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A3794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AA3794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AA3794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AA3794"/>
    <w:pPr>
      <w:ind w:left="850"/>
    </w:pPr>
  </w:style>
  <w:style w:type="paragraph" w:customStyle="1" w:styleId="Point0number">
    <w:name w:val="Point 0 (number)"/>
    <w:basedOn w:val="Normal"/>
    <w:rsid w:val="00AA3794"/>
    <w:pPr>
      <w:numPr>
        <w:numId w:val="45"/>
      </w:numPr>
    </w:pPr>
  </w:style>
  <w:style w:type="paragraph" w:customStyle="1" w:styleId="Point1number">
    <w:name w:val="Point 1 (number)"/>
    <w:basedOn w:val="Normal"/>
    <w:rsid w:val="00AA3794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AA3794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AA3794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AA3794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AA3794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AA3794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AA3794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AA3794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3292</Characters>
  <DocSecurity>0</DocSecurity>
  <Lines>63</Lines>
  <Paragraphs>33</Paragraphs>
  <ScaleCrop>false</ScaleCrop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2025-05-25T16:07:00Z</dcterms:created>
  <dcterms:modified xsi:type="dcterms:W3CDTF">2025-05-25T16:07:00Z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2025-05-25T16:07:32Z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b7e602b7-de86-4edc-a301-ecd3249d18d5</vt:lpwstr>
  </property>
  <property fmtid="{D5CDD505-2E9C-101B-9397-08002B2CF9AE}" pid="8" name="MSIP_Label_6bd9ddd1-4d20-43f6-abfa-fc3c07406f94_ContentBits">
    <vt:lpwstr>0</vt:lpwstr>
  </property>
</Properties>
</file>