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E1FE" w14:textId="77777777" w:rsidR="00EA179F" w:rsidRPr="00623C28" w:rsidRDefault="00EA179F" w:rsidP="00EA179F">
      <w:pPr>
        <w:pStyle w:val="ManualHeading1"/>
        <w:rPr>
          <w:noProof/>
        </w:rPr>
      </w:pPr>
      <w:r w:rsidRPr="00623C28">
        <w:rPr>
          <w:noProof/>
        </w:rPr>
        <w:t>3.2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VÝMĚNU NEBO MODERNIZACI HLAVNÍHO NEBO POMOCNÉHO MOTORU</w:t>
      </w:r>
    </w:p>
    <w:p w14:paraId="0EE68F37" w14:textId="77777777" w:rsidR="00EA179F" w:rsidRPr="00623C28" w:rsidRDefault="00EA179F" w:rsidP="00EA179F">
      <w:pPr>
        <w:spacing w:before="360"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případné podpory na výměnu nebo modernizaci hlavního nebo pomocného motoru rybářských plavidel, jak je popsáno v oddíle 3.2 kapitoly 3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3E10DE77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rybářská plavidla Unie, pro která je podpora poskytnuta, nesmí být převedena ani změnit vlajku mimo Unii po dobu nejméně pěti let od poslední platby podpory. </w:t>
      </w:r>
    </w:p>
    <w:p w14:paraId="28334F87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37EAEC8" w14:textId="77777777" w:rsidR="00EA179F" w:rsidRPr="00623C28" w:rsidRDefault="00EA179F" w:rsidP="00EA179F">
      <w:pPr>
        <w:pStyle w:val="ManualNumPar2"/>
        <w:rPr>
          <w:noProof/>
        </w:rPr>
      </w:pPr>
      <w:r w:rsidRPr="00045BF3">
        <w:rPr>
          <w:noProof/>
        </w:rPr>
        <w:t>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E040619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B6AC5F3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Potvrďte, že podpora bude poskytnuta pouze na výměnu nebo modernizaci hlavního nebo pomocného motoru rybářského plavidla o celkové délce nepřesahující 24 metrů.</w:t>
      </w:r>
    </w:p>
    <w:p w14:paraId="0A38BF17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E079798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44F6B93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5DEB993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Podle bodu 253 písm. a) pokynů musí rybářská plavidla patřit do skupiny loďstva, u které nejnovější zpráva o rybolovné kapacitě podle čl. 22 odst. 2 nařízení Evropského parlamentu a Rady (EU) č. 1380/2013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 xml:space="preserve"> prokázala vyváženost s rybolovnými právy dostupnými pro tuto skupinu </w:t>
      </w:r>
      <w:bookmarkStart w:id="0" w:name="_Hlk127291610"/>
      <w:r w:rsidRPr="00623C28">
        <w:rPr>
          <w:noProof/>
        </w:rPr>
        <w:t>(dále jen „vnitrostátní zpráva“).</w:t>
      </w:r>
      <w:bookmarkEnd w:id="0"/>
      <w:r w:rsidRPr="00623C28">
        <w:rPr>
          <w:noProof/>
        </w:rPr>
        <w:t xml:space="preserve"> Podle bodu 254 pokynů se </w:t>
      </w:r>
      <w:r w:rsidRPr="00623C28">
        <w:rPr>
          <w:noProof/>
          <w:color w:val="000000"/>
          <w:sz w:val="23"/>
        </w:rPr>
        <w:t xml:space="preserve">pro účely bodu 253 písm. a) použijí postup a podmínky stanovené v bodech 225 až 227 části II kapitoly 2 oddílu 2.2. </w:t>
      </w:r>
      <w:r w:rsidRPr="00623C28">
        <w:rPr>
          <w:noProof/>
        </w:rPr>
        <w:t>V této souvislosti se zaměřte na následující otázky:</w:t>
      </w:r>
    </w:p>
    <w:p w14:paraId="3C8207B5" w14:textId="77777777" w:rsidR="00EA179F" w:rsidRPr="00623C28" w:rsidRDefault="00EA179F" w:rsidP="00EA179F">
      <w:pPr>
        <w:rPr>
          <w:i/>
          <w:iCs/>
          <w:noProof/>
        </w:rPr>
      </w:pPr>
      <w:r w:rsidRPr="00623C28">
        <w:rPr>
          <w:i/>
          <w:noProof/>
        </w:rPr>
        <w:t>Pokud se opatření týká vnitrozemského rybolovu, není třeba odpovídat na otázky 3.1–3.2.6.1.</w:t>
      </w:r>
    </w:p>
    <w:p w14:paraId="636E7348" w14:textId="77777777" w:rsidR="00EA179F" w:rsidRPr="00623C28" w:rsidRDefault="00EA179F" w:rsidP="00EA179F">
      <w:pPr>
        <w:pStyle w:val="ManualNumPar2"/>
        <w:rPr>
          <w:noProof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>Kdy byla vypracována nejnovější vnitrostátní zpráva před datem poskytnutí podpory?</w:t>
      </w:r>
    </w:p>
    <w:p w14:paraId="1F498AC4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635D5379" w14:textId="77777777" w:rsidR="00EA179F" w:rsidRPr="00623C28" w:rsidRDefault="00EA179F" w:rsidP="00EA179F">
      <w:pPr>
        <w:pStyle w:val="ManualNumPar3"/>
        <w:rPr>
          <w:noProof/>
        </w:rPr>
      </w:pPr>
      <w:r w:rsidRPr="00045BF3">
        <w:rPr>
          <w:noProof/>
        </w:rPr>
        <w:t>3.1.1.</w:t>
      </w:r>
      <w:r w:rsidRPr="00045BF3">
        <w:rPr>
          <w:noProof/>
        </w:rPr>
        <w:tab/>
      </w:r>
      <w:r w:rsidRPr="00623C28">
        <w:rPr>
          <w:noProof/>
        </w:rPr>
        <w:t>Uveďte odkaz na nejnovější vnitrostátní zprávu nebo ji přiložte k oznámení.</w:t>
      </w:r>
    </w:p>
    <w:p w14:paraId="0E5833BC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68C5608D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3.2.</w:t>
      </w:r>
      <w:r w:rsidRPr="00045BF3">
        <w:rPr>
          <w:noProof/>
        </w:rPr>
        <w:tab/>
      </w:r>
      <w:r w:rsidRPr="00623C28">
        <w:rPr>
          <w:noProof/>
        </w:rPr>
        <w:t>Potvrďte, že jsou splněny následující podmínky pro poskytnutí jakékoli podpory:</w:t>
      </w:r>
    </w:p>
    <w:p w14:paraId="7715F655" w14:textId="77777777" w:rsidR="00EA179F" w:rsidRPr="00623C28" w:rsidRDefault="00EA179F" w:rsidP="00EA179F">
      <w:pPr>
        <w:pStyle w:val="ManualNumPar3"/>
        <w:rPr>
          <w:noProof/>
        </w:rPr>
      </w:pPr>
      <w:r w:rsidRPr="00045BF3">
        <w:rPr>
          <w:noProof/>
        </w:rPr>
        <w:lastRenderedPageBreak/>
        <w:t>3.2.1.</w:t>
      </w:r>
      <w:r w:rsidRPr="00045BF3">
        <w:rPr>
          <w:noProof/>
        </w:rPr>
        <w:tab/>
      </w:r>
      <w:r w:rsidRPr="00623C28">
        <w:rPr>
          <w:noProof/>
        </w:rPr>
        <w:t>Byla vnitrostátní zpráva předložena do 31. května roku N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623C28">
        <w:rPr>
          <w:noProof/>
        </w:rPr>
        <w:t>?</w:t>
      </w:r>
    </w:p>
    <w:p w14:paraId="20981769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5C6ECCB" w14:textId="77777777" w:rsidR="00EA179F" w:rsidRPr="00623C28" w:rsidRDefault="00EA179F" w:rsidP="00EA179F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3.2.2.</w:t>
      </w:r>
      <w:r w:rsidRPr="00045BF3">
        <w:rPr>
          <w:noProof/>
        </w:rPr>
        <w:tab/>
      </w:r>
      <w:r w:rsidRPr="00623C28">
        <w:rPr>
          <w:noProof/>
        </w:rPr>
        <w:t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623C28">
        <w:rPr>
          <w:noProof/>
        </w:rPr>
        <w:t xml:space="preserve"> uvedených v čl. 22 odst. 2 nařízení (EU) č. 1380/2013.</w:t>
      </w:r>
    </w:p>
    <w:p w14:paraId="3B76CC76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78EA4DB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 w:rsidRPr="00623C28">
        <w:rPr>
          <w:noProof/>
          <w:color w:val="040004"/>
          <w:sz w:val="16"/>
        </w:rPr>
        <w:t>.</w:t>
      </w:r>
      <w:r w:rsidRPr="00623C28">
        <w:rPr>
          <w:noProof/>
        </w:rPr>
        <w:t xml:space="preserve"> </w:t>
      </w:r>
    </w:p>
    <w:p w14:paraId="1657452C" w14:textId="77777777" w:rsidR="00EA179F" w:rsidRPr="00623C28" w:rsidRDefault="00EA179F" w:rsidP="00EA179F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3.2.3.</w:t>
      </w:r>
      <w:r w:rsidRPr="00045BF3">
        <w:rPr>
          <w:noProof/>
        </w:rPr>
        <w:tab/>
      </w:r>
      <w:r w:rsidRPr="00623C28">
        <w:rPr>
          <w:noProof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2D0553C5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06B7B8B" w14:textId="77777777" w:rsidR="00EA179F" w:rsidRPr="00623C28" w:rsidRDefault="00EA179F" w:rsidP="00EA179F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3.2.4.</w:t>
      </w:r>
      <w:r w:rsidRPr="00045BF3">
        <w:rPr>
          <w:noProof/>
        </w:rPr>
        <w:tab/>
      </w:r>
      <w:r w:rsidRPr="00623C28">
        <w:rPr>
          <w:noProof/>
        </w:rPr>
        <w:t>Vysvětlete, jak byla vnitrostátní zpráva při navrhování opatření zohledněna a jak je dosaženo vyváženosti.</w:t>
      </w:r>
    </w:p>
    <w:p w14:paraId="766F4834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631E263" w14:textId="77777777" w:rsidR="00EA179F" w:rsidRPr="00623C28" w:rsidRDefault="00EA179F" w:rsidP="00EA179F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3.2.5.</w:t>
      </w:r>
      <w:r w:rsidRPr="00045BF3">
        <w:rPr>
          <w:noProof/>
        </w:rPr>
        <w:tab/>
      </w:r>
      <w:r w:rsidRPr="00623C28">
        <w:rPr>
          <w:noProof/>
        </w:rPr>
        <w:t>Potvrďte, že Komise do 31. března roku N+1 nezpochybnila:</w:t>
      </w:r>
    </w:p>
    <w:p w14:paraId="62C6AE3A" w14:textId="77777777" w:rsidR="00EA179F" w:rsidRPr="00451F57" w:rsidRDefault="00EA179F" w:rsidP="00EA179F">
      <w:pPr>
        <w:pStyle w:val="Point1"/>
        <w:rPr>
          <w:noProof/>
        </w:rPr>
      </w:pPr>
      <w:r w:rsidRPr="00451F57">
        <w:rPr>
          <w:rFonts w:eastAsia="MS Gothic"/>
          <w:noProof/>
        </w:rPr>
        <w:t>a)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závěr národní zprávy předložené v roce N; </w:t>
      </w:r>
    </w:p>
    <w:p w14:paraId="7B16E519" w14:textId="77777777" w:rsidR="00EA179F" w:rsidRPr="00451F57" w:rsidRDefault="00EA179F" w:rsidP="00EA179F">
      <w:pPr>
        <w:pStyle w:val="Point1"/>
        <w:rPr>
          <w:noProof/>
        </w:rPr>
      </w:pPr>
      <w:r w:rsidRPr="00451F57">
        <w:rPr>
          <w:rFonts w:eastAsia="MS Gothic"/>
          <w:noProof/>
        </w:rPr>
        <w:t>b)</w:t>
      </w:r>
      <w:r w:rsidRPr="00451F5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51F5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451F57">
        <w:rPr>
          <w:noProof/>
        </w:rPr>
        <w:t xml:space="preserve"> posouzení vyváženosti obsažené ve vnitrostátní zprávě předložené v roce N.</w:t>
      </w:r>
    </w:p>
    <w:p w14:paraId="385FDDDA" w14:textId="77777777" w:rsidR="00EA179F" w:rsidRPr="00623C28" w:rsidRDefault="00EA179F" w:rsidP="00EA179F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3.2.6.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50CED214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95E39F6" w14:textId="77777777" w:rsidR="00EA179F" w:rsidRPr="00623C28" w:rsidRDefault="00EA179F" w:rsidP="00EA179F">
      <w:pPr>
        <w:pStyle w:val="ManualNumPar4"/>
        <w:rPr>
          <w:noProof/>
        </w:rPr>
      </w:pPr>
      <w:r w:rsidRPr="00045BF3">
        <w:rPr>
          <w:noProof/>
        </w:rPr>
        <w:t>3.2.6.1.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EE24D0A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</w:t>
      </w:r>
    </w:p>
    <w:p w14:paraId="6AB234B9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rybářská plavidla musí být zaregistrována v rejstříku loďstva Unie alespoň pět kalendářních let před rokem předložení žádosti o podporu.</w:t>
      </w:r>
    </w:p>
    <w:p w14:paraId="519D90F8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4CF6C49" w14:textId="77777777" w:rsidR="00EA179F" w:rsidRPr="00623C28" w:rsidRDefault="00EA179F" w:rsidP="00EA179F">
      <w:pPr>
        <w:pStyle w:val="ManualNumPar2"/>
        <w:rPr>
          <w:rFonts w:eastAsia="Times New Roman"/>
          <w:iCs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se opatření týká vnitrozemského rybolovu, potvrďte, že opatření stanoví, že podpora může být poskytnuta pouze na rybářské plavidlo, které bylo uvedeno do provozu, v souladu s vnitrostátním právem, alespoň pět kalendářních let před rokem předložení žádosti o podporu.</w:t>
      </w:r>
    </w:p>
    <w:p w14:paraId="4479FF77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74A54FF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4.2.</w:t>
      </w:r>
      <w:r w:rsidRPr="00045BF3">
        <w:rPr>
          <w:noProof/>
        </w:rPr>
        <w:tab/>
      </w:r>
      <w:r w:rsidRPr="00623C28">
        <w:rPr>
          <w:noProof/>
        </w:rPr>
        <w:t>Pokud je odpověď na otázky 4 nebo 4.1 kladná, uveďte příslušné ustanovení (příslušná ustanovení) v právním základu.</w:t>
      </w:r>
    </w:p>
    <w:p w14:paraId="19AB692B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5FEE68BE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V případě plavidel pro drobný pobřežní rybolov a plavidel používaných pro vnitrozemský rybolov potvrďte, že opatření stanoví, že nový nebo modernizovaný motor má nejvýše stejný výkon v kW jako motor stávající.</w:t>
      </w:r>
    </w:p>
    <w:p w14:paraId="58351DDC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8C75CCA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33F5905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046F208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V případě jiných plavidel o celkové délce do 24 metrů potvrďte, že opatření stanoví, že nový nebo modernizovaný motor má nejvýše stejný výkon v kW jako motor stávající a produkuje alespoň o 20 % méně emisí CO</w:t>
      </w:r>
      <w:r w:rsidRPr="00623C28">
        <w:rPr>
          <w:noProof/>
          <w:vertAlign w:val="subscript"/>
        </w:rPr>
        <w:t>2</w:t>
      </w:r>
      <w:r w:rsidRPr="00623C28">
        <w:rPr>
          <w:noProof/>
        </w:rPr>
        <w:t xml:space="preserve"> než motor stávající.</w:t>
      </w:r>
      <w:bookmarkEnd w:id="1"/>
    </w:p>
    <w:p w14:paraId="0CBFCEE3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57093DC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AE53E02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07889976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rybolovná kapacita stažená v důsledku výměny nebo modernizace hlavního nebo pomocného motoru nesmí být nahrazena.</w:t>
      </w:r>
    </w:p>
    <w:p w14:paraId="1E740954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4969D9A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128FEBB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CC100FC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Podrobně popište zavedené kontrolní a donucovací mechanismy, které zaručují plnění podmínek stanovených v oddíle 3.2 kapitoly 3 části II pokynů.</w:t>
      </w:r>
    </w:p>
    <w:p w14:paraId="334F8E1A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0E0B5686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všechny vyměněné nebo modernizované motory musí být podrobeny fyzickému ověření.</w:t>
      </w:r>
    </w:p>
    <w:p w14:paraId="6403110E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4B23B62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249D1956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9E1BFF3" w14:textId="77777777" w:rsidR="00EA179F" w:rsidRPr="00623C28" w:rsidRDefault="00EA179F" w:rsidP="00EA179F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 xml:space="preserve">Potvrďte, jakým způsobem bude v rámci opatření splněno snížení emisí CO₂ uvedené v otázce č. </w:t>
      </w:r>
      <w:r w:rsidRPr="00623C28">
        <w:rPr>
          <w:rFonts w:eastAsia="Times New Roman"/>
          <w:noProof/>
        </w:rPr>
        <w:t>6</w:t>
      </w:r>
      <w:r w:rsidRPr="00623C28">
        <w:rPr>
          <w:noProof/>
        </w:rPr>
        <w:t xml:space="preserve">: </w:t>
      </w:r>
    </w:p>
    <w:p w14:paraId="248DA099" w14:textId="77777777" w:rsidR="00EA179F" w:rsidRPr="003529D4" w:rsidRDefault="00EA179F" w:rsidP="00EA179F">
      <w:pPr>
        <w:pStyle w:val="Point1"/>
        <w:rPr>
          <w:noProof/>
        </w:rPr>
      </w:pPr>
      <w:r w:rsidRPr="003529D4">
        <w:rPr>
          <w:rFonts w:eastAsia="MS Gothic"/>
          <w:noProof/>
        </w:rPr>
        <w:t>a)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na základě příslušných informací osvědčených výrobcem dotčených motorů v rámci schválení typu nebo certifikátu výrobku naznačujících, že nový motor má o 20 % nižší emise CO</w:t>
      </w:r>
      <w:r w:rsidRPr="003529D4">
        <w:rPr>
          <w:noProof/>
          <w:vertAlign w:val="subscript"/>
        </w:rPr>
        <w:t>2</w:t>
      </w:r>
      <w:r w:rsidRPr="003529D4">
        <w:rPr>
          <w:noProof/>
        </w:rPr>
        <w:t xml:space="preserve"> než vyměňovaný motor;</w:t>
      </w:r>
    </w:p>
    <w:p w14:paraId="6856E6D2" w14:textId="77777777" w:rsidR="00EA179F" w:rsidRPr="003529D4" w:rsidRDefault="00EA179F" w:rsidP="00EA179F">
      <w:pPr>
        <w:pStyle w:val="Point1"/>
        <w:rPr>
          <w:noProof/>
        </w:rPr>
      </w:pPr>
      <w:r w:rsidRPr="003529D4">
        <w:rPr>
          <w:rFonts w:eastAsia="MS Gothic"/>
          <w:noProof/>
        </w:rPr>
        <w:t>b)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na základě příslušných informací osvědčených výrobcem dotčených motorů v rámci schválení typu nebo certifikátu výrobku naznačujících, že nový motor spotřebuje o 20 % méně paliva než vyměňovaný motor.</w:t>
      </w:r>
    </w:p>
    <w:p w14:paraId="68E1ECF0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10.1.</w:t>
      </w:r>
      <w:r w:rsidRPr="00045BF3">
        <w:rPr>
          <w:noProof/>
        </w:rPr>
        <w:tab/>
      </w:r>
      <w:r w:rsidRPr="00623C28">
        <w:rPr>
          <w:noProof/>
        </w:rPr>
        <w:t xml:space="preserve">Svou volbu podrobně popište. </w:t>
      </w:r>
    </w:p>
    <w:p w14:paraId="3E4BAD8C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lastRenderedPageBreak/>
        <w:t>………………………………………………………………………………………</w:t>
      </w:r>
    </w:p>
    <w:p w14:paraId="784D9F16" w14:textId="77777777" w:rsidR="00EA179F" w:rsidRPr="00623C28" w:rsidRDefault="00EA179F" w:rsidP="00EA179F">
      <w:pPr>
        <w:pStyle w:val="ManualNumPar2"/>
        <w:rPr>
          <w:noProof/>
        </w:rPr>
      </w:pPr>
      <w:r w:rsidRPr="00045BF3">
        <w:rPr>
          <w:noProof/>
        </w:rPr>
        <w:t>10.2.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odpovídá (která odpovídají) políčku vybranému v odpovědi na předchozí otázku.</w:t>
      </w:r>
    </w:p>
    <w:p w14:paraId="54DCF6EB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3BF96CD0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11.</w:t>
      </w:r>
      <w:r w:rsidRPr="00045BF3">
        <w:rPr>
          <w:noProof/>
        </w:rPr>
        <w:tab/>
      </w:r>
      <w:r w:rsidRPr="00623C28">
        <w:rPr>
          <w:noProof/>
        </w:rPr>
        <w:t xml:space="preserve">Pokud příslušné informace osvědčené výrobcem dotčeného motoru v rámci schválení typu nebo certifikátu výrobku pro jeden nebo oba motory neumožňují srovnání emisí CO2 nebo spotřeby paliva, potvrďte, jakým způsobem se bude snížení emisí CO₂ uvedené v otázce 6 považovat v rámci opatření za splněné: </w:t>
      </w:r>
    </w:p>
    <w:p w14:paraId="6AD0406D" w14:textId="77777777" w:rsidR="00EA179F" w:rsidRPr="003529D4" w:rsidRDefault="00EA179F" w:rsidP="00EA179F">
      <w:pPr>
        <w:pStyle w:val="Point1"/>
        <w:rPr>
          <w:noProof/>
        </w:rPr>
      </w:pPr>
      <w:r w:rsidRPr="003529D4">
        <w:rPr>
          <w:rFonts w:eastAsia="MS Gothic"/>
          <w:noProof/>
        </w:rPr>
        <w:t>a)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nový motor používá energeticky účinnou technologii a rozdíl ve stáří mezi novým motorem a vyměňovaným motorem činí nejméně sedm let;</w:t>
      </w:r>
    </w:p>
    <w:p w14:paraId="52447FC5" w14:textId="77777777" w:rsidR="00EA179F" w:rsidRPr="003529D4" w:rsidRDefault="00EA179F" w:rsidP="00EA179F">
      <w:pPr>
        <w:pStyle w:val="Point1"/>
        <w:rPr>
          <w:noProof/>
        </w:rPr>
      </w:pPr>
      <w:r w:rsidRPr="003529D4">
        <w:rPr>
          <w:rFonts w:eastAsia="MS Gothic"/>
          <w:noProof/>
        </w:rPr>
        <w:t>b)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nový motor používá typ paliva nebo pohonný systém, u nějž se má za to, že vypouští méně CO</w:t>
      </w:r>
      <w:r w:rsidRPr="003529D4">
        <w:rPr>
          <w:noProof/>
          <w:vertAlign w:val="subscript"/>
        </w:rPr>
        <w:t>2</w:t>
      </w:r>
      <w:r w:rsidRPr="003529D4">
        <w:rPr>
          <w:noProof/>
        </w:rPr>
        <w:t xml:space="preserve"> než vyměňovaný motor;</w:t>
      </w:r>
    </w:p>
    <w:p w14:paraId="28E6913E" w14:textId="77777777" w:rsidR="00EA179F" w:rsidRPr="003529D4" w:rsidRDefault="00EA179F" w:rsidP="00EA179F">
      <w:pPr>
        <w:pStyle w:val="Point1"/>
        <w:rPr>
          <w:noProof/>
        </w:rPr>
      </w:pPr>
      <w:r w:rsidRPr="003529D4">
        <w:rPr>
          <w:rFonts w:eastAsia="MS Gothic"/>
          <w:bCs/>
          <w:noProof/>
        </w:rPr>
        <w:t>c)</w:t>
      </w:r>
      <w:r w:rsidRPr="003529D4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dotčený členský stát změří, že nový motor vypouští o 20 % méně CO</w:t>
      </w:r>
      <w:r w:rsidRPr="003529D4">
        <w:rPr>
          <w:noProof/>
          <w:vertAlign w:val="subscript"/>
        </w:rPr>
        <w:t>2</w:t>
      </w:r>
      <w:r w:rsidRPr="003529D4">
        <w:rPr>
          <w:noProof/>
        </w:rPr>
        <w:t xml:space="preserve"> nebo používá o 20 % méně paliva než vyměňovaný motor při běžné intenzitě rybolovu dotčeného plavidla.</w:t>
      </w:r>
    </w:p>
    <w:p w14:paraId="305EC7D9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11.1.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odpovídá (která odpovídají) Vašemu výběru.</w:t>
      </w:r>
    </w:p>
    <w:p w14:paraId="3F259EE2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214D0FC8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11.2.</w:t>
      </w:r>
      <w:r w:rsidRPr="00045BF3">
        <w:rPr>
          <w:noProof/>
        </w:rPr>
        <w:tab/>
      </w:r>
      <w:r w:rsidRPr="00623C28">
        <w:rPr>
          <w:noProof/>
        </w:rPr>
        <w:t>Podle bodu 260 pokynů potvrďte, že k určování energeticky účinných technologií podle bodu 259 písm. a) pokynů a dalšímu upřesňování metodických prvků pro provádění bodu 259 písm. c) pokynů používáte prováděcí nařízení Komise (EU) 2022/46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623C28">
        <w:rPr>
          <w:noProof/>
        </w:rPr>
        <w:t xml:space="preserve">. </w:t>
      </w:r>
    </w:p>
    <w:p w14:paraId="246330AB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C4ECEC4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11.3.</w:t>
      </w:r>
      <w:r w:rsidRPr="00045BF3">
        <w:rPr>
          <w:noProof/>
        </w:rPr>
        <w:tab/>
      </w:r>
      <w:r w:rsidRPr="00623C28">
        <w:rPr>
          <w:noProof/>
        </w:rPr>
        <w:t>Popište, jak opatření uvedené požadavky uplatňuje.</w:t>
      </w:r>
    </w:p>
    <w:p w14:paraId="465EE2FC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4136B6B6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12.</w:t>
      </w:r>
      <w:r w:rsidRPr="00045BF3">
        <w:rPr>
          <w:noProof/>
        </w:rPr>
        <w:tab/>
      </w:r>
      <w:r w:rsidRPr="00623C28">
        <w:rPr>
          <w:noProof/>
        </w:rPr>
        <w:t>Potvrďte, že způsobilé náklady zahrnují pouze přímé a nepřímé náklady související s výměnou nebo modernizací hlavního nebo pomocného motoru.</w:t>
      </w:r>
    </w:p>
    <w:p w14:paraId="6B0C43CC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091E796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86E56B6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C014934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12.2.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</w:t>
      </w:r>
    </w:p>
    <w:p w14:paraId="28621580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5DF9F86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13.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maximální intenzita podpory nepřekračuje 40 % způsobilých nákladů.</w:t>
      </w:r>
    </w:p>
    <w:p w14:paraId="7EF7B137" w14:textId="77777777" w:rsidR="00EA179F" w:rsidRPr="00623C28" w:rsidRDefault="00EA179F" w:rsidP="00EA179F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F568D81" w14:textId="77777777" w:rsidR="00EA179F" w:rsidRPr="00623C28" w:rsidRDefault="00EA179F" w:rsidP="00EA179F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lastRenderedPageBreak/>
        <w:t>13.1.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367F77E3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3271A34" w14:textId="77777777" w:rsidR="00EA179F" w:rsidRPr="00623C28" w:rsidRDefault="00EA179F" w:rsidP="00EA179F">
      <w:pPr>
        <w:pStyle w:val="ManualNumPar2"/>
        <w:rPr>
          <w:noProof/>
        </w:rPr>
      </w:pPr>
      <w:r w:rsidRPr="00045BF3">
        <w:rPr>
          <w:noProof/>
        </w:rPr>
        <w:t>13.2.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</w:p>
    <w:p w14:paraId="1E251575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0FB4F7CF" w14:textId="77777777" w:rsidR="00EA179F" w:rsidRPr="00623C28" w:rsidRDefault="00EA179F" w:rsidP="00EA179F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2C936C8F" w14:textId="77777777" w:rsidR="00EA179F" w:rsidRPr="00623C28" w:rsidRDefault="00EA179F" w:rsidP="00EA179F">
      <w:pPr>
        <w:pStyle w:val="ManualNumPar1"/>
        <w:rPr>
          <w:noProof/>
        </w:rPr>
      </w:pPr>
      <w:r w:rsidRPr="00045BF3">
        <w:rPr>
          <w:noProof/>
        </w:rPr>
        <w:t>14.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2EB871CF" w14:textId="77777777" w:rsidR="00EA179F" w:rsidRPr="00623C28" w:rsidRDefault="00EA179F" w:rsidP="00EA179F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956C78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6D18" w14:textId="77777777" w:rsidR="00EA179F" w:rsidRDefault="00EA179F" w:rsidP="00EA179F">
      <w:pPr>
        <w:spacing w:before="0" w:after="0"/>
      </w:pPr>
      <w:r>
        <w:separator/>
      </w:r>
    </w:p>
  </w:endnote>
  <w:endnote w:type="continuationSeparator" w:id="0">
    <w:p w14:paraId="4F90D449" w14:textId="77777777" w:rsidR="00EA179F" w:rsidRDefault="00EA179F" w:rsidP="00EA17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0C13" w14:textId="77777777" w:rsidR="00EA179F" w:rsidRDefault="00EA17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EFA5" w14:textId="43CEF4E2" w:rsidR="00EA179F" w:rsidRDefault="00EA179F" w:rsidP="00EA179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43DD" w14:textId="77777777" w:rsidR="00EA179F" w:rsidRDefault="00EA1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F7FC" w14:textId="77777777" w:rsidR="00EA179F" w:rsidRDefault="00EA179F" w:rsidP="00EA179F">
      <w:pPr>
        <w:spacing w:before="0" w:after="0"/>
      </w:pPr>
      <w:r>
        <w:separator/>
      </w:r>
    </w:p>
  </w:footnote>
  <w:footnote w:type="continuationSeparator" w:id="0">
    <w:p w14:paraId="01E90CC6" w14:textId="77777777" w:rsidR="00EA179F" w:rsidRDefault="00EA179F" w:rsidP="00EA179F">
      <w:pPr>
        <w:spacing w:before="0" w:after="0"/>
      </w:pPr>
      <w:r>
        <w:continuationSeparator/>
      </w:r>
    </w:p>
  </w:footnote>
  <w:footnote w:id="1">
    <w:p w14:paraId="74F2CD17" w14:textId="77777777" w:rsidR="00EA179F" w:rsidRPr="00F877C4" w:rsidRDefault="00EA179F" w:rsidP="00EA179F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21B2E2B8" w14:textId="77777777" w:rsidR="00EA179F" w:rsidRPr="003533B1" w:rsidRDefault="00EA179F" w:rsidP="00EA179F">
      <w:pPr>
        <w:pStyle w:val="FootnoteText"/>
      </w:pPr>
      <w:r>
        <w:rPr>
          <w:rStyle w:val="FootnoteReference"/>
        </w:rPr>
        <w:footnoteRef/>
      </w:r>
      <w:r>
        <w:tab/>
        <w:t xml:space="preserve">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 </w:t>
      </w:r>
    </w:p>
  </w:footnote>
  <w:footnote w:id="3">
    <w:p w14:paraId="66B06DF4" w14:textId="77777777" w:rsidR="00EA179F" w:rsidRPr="000345FA" w:rsidRDefault="00EA179F" w:rsidP="00EA179F">
      <w:pPr>
        <w:pStyle w:val="FootnoteText"/>
      </w:pPr>
      <w:r>
        <w:rPr>
          <w:rStyle w:val="FootnoteReference"/>
        </w:rPr>
        <w:footnoteRef/>
      </w:r>
      <w:r>
        <w:tab/>
        <w:t>Viz body 225 a 226 pokynů, které popisují sled podání vnitrostátní zprávy předložené v roce N a kroky Komise do 31. března roku N+1.</w:t>
      </w:r>
    </w:p>
  </w:footnote>
  <w:footnote w:id="4">
    <w:p w14:paraId="197723ED" w14:textId="77777777" w:rsidR="00EA179F" w:rsidRPr="001A2686" w:rsidRDefault="00EA179F" w:rsidP="00EA179F">
      <w:pPr>
        <w:pStyle w:val="FootnoteText"/>
      </w:pPr>
      <w:r>
        <w:rPr>
          <w:rStyle w:val="FootnoteReference"/>
        </w:rPr>
        <w:footnoteRef/>
      </w:r>
      <w:r>
        <w:tab/>
        <w:t xml:space="preserve">Sdělení Komise Evropskému parlamentu a Radě: Pokyny k analýze vyváženosti rybolovné kapacity a rybolovných práv podle článku 22 nařízení Evropského parlamentu a Rady (EU) č. 1380/2013 o společné rybářské politice (COM(2014) 545 final). </w:t>
      </w:r>
    </w:p>
  </w:footnote>
  <w:footnote w:id="5">
    <w:p w14:paraId="0AA9FF5C" w14:textId="77777777" w:rsidR="00EA179F" w:rsidRPr="009A6F32" w:rsidRDefault="00EA179F" w:rsidP="00EA179F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Prováděcí nařízení Komise (EU) 2022/46 ze dne 13. ledna 2022, kterým se provádí nařízení Evropského parlamentu a Rady (EU) 2021/1139, kterým se zřizuje Evropský námořní, rybářský a akvakulturní fond a mění nařízení (EU) 2017/1004, pokud jde o určování energeticky účinných technologií a upřesnění metodických prvků pro určení běžné intenzity rybolovu rybářských plavidel (Úř. věst. L 9, 14.1.2022, s. 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7825" w14:textId="77777777" w:rsidR="00EA179F" w:rsidRDefault="00EA1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330B" w14:textId="77777777" w:rsidR="00EA179F" w:rsidRDefault="00EA17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3BB5" w14:textId="77777777" w:rsidR="00EA179F" w:rsidRDefault="00EA17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A179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179F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B8998A"/>
  <w15:chartTrackingRefBased/>
  <w15:docId w15:val="{FE34AD73-B15A-462E-879D-3B984FD8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79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79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79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A179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79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A17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79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1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17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79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A179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79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79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A179F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A179F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A179F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EA179F"/>
    <w:pPr>
      <w:ind w:left="850"/>
    </w:pPr>
  </w:style>
  <w:style w:type="paragraph" w:customStyle="1" w:styleId="Point1">
    <w:name w:val="Point 1"/>
    <w:basedOn w:val="Normal"/>
    <w:rsid w:val="00EA179F"/>
    <w:pPr>
      <w:ind w:left="1417" w:hanging="567"/>
    </w:pPr>
  </w:style>
  <w:style w:type="paragraph" w:customStyle="1" w:styleId="Tiret0">
    <w:name w:val="Tiret 0"/>
    <w:basedOn w:val="Normal"/>
    <w:rsid w:val="00EA179F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7288</Characters>
  <DocSecurity>0</DocSecurity>
  <Lines>155</Lines>
  <Paragraphs>74</Paragraphs>
  <ScaleCrop>false</ScaleCrop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2025-05-23T14:45:00Z</dcterms:created>
  <dcterms:modified xsi:type="dcterms:W3CDTF">2025-05-23T14:46:00Z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2025-05-23T14:46:15Z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dc8886a9-38a2-434b-8b51-9055ace98d7f</vt:lpwstr>
  </property>
  <property fmtid="{D5CDD505-2E9C-101B-9397-08002B2CF9AE}" pid="8" name="MSIP_Label_6bd9ddd1-4d20-43f6-abfa-fc3c07406f94_ContentBits">
    <vt:lpwstr>0</vt:lpwstr>
  </property>
</Properties>
</file>