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FD62" w14:textId="77777777" w:rsidR="00D413AA" w:rsidRPr="00190747" w:rsidRDefault="00D413AA" w:rsidP="00D413AA">
      <w:pPr>
        <w:pStyle w:val="ManualHeading1"/>
        <w:rPr>
          <w:noProof/>
        </w:rPr>
      </w:pPr>
      <w:r w:rsidRPr="00190747">
        <w:rPr>
          <w:noProof/>
        </w:rPr>
        <w:t>3.6. BILEOG FAISNÉISE FORLÍONTAÍ MAIDIR LE CABHAIR LEACHTACHA D’IASCAIRÍ</w:t>
      </w:r>
    </w:p>
    <w:p w14:paraId="31D153B9" w14:textId="77777777" w:rsidR="00D413AA" w:rsidRPr="00190747" w:rsidRDefault="00D413AA" w:rsidP="00D413AA">
      <w:pPr>
        <w:rPr>
          <w:i/>
          <w:iCs/>
          <w:noProof/>
        </w:rPr>
      </w:pPr>
      <w:r w:rsidRPr="00190747">
        <w:rPr>
          <w:i/>
          <w:noProof/>
        </w:rPr>
        <w:t>Ní mór do na Ballstáit an fhoirm seo a úsáid chun fógra a thabhairt faoi chabhair leachtachta d’iascairí, mar a thuairiscítear i Roinn 3.6 de Chaibidil 3 de Chuid II de na Treoirlínte maidir le státchabhair in earnáil an iascaigh agus an dobharshaothraithe</w:t>
      </w:r>
      <w:r w:rsidRPr="00190747">
        <w:rPr>
          <w:rStyle w:val="FootnoteReference"/>
          <w:rFonts w:eastAsia="Times New Roman"/>
          <w:i/>
          <w:noProof/>
          <w:lang w:eastAsia="en-GB"/>
        </w:rPr>
        <w:footnoteReference w:id="1"/>
      </w:r>
      <w:r w:rsidRPr="00190747">
        <w:rPr>
          <w:i/>
          <w:noProof/>
        </w:rPr>
        <w:t xml:space="preserve"> (‘na Treoirlínte’). Féadfar cabhair a dheonú faoin Roinn seo freisin do ghnóthais atá gníomhach in earnáil na hiascaireachta intíre. </w:t>
      </w:r>
    </w:p>
    <w:p w14:paraId="46859FBF" w14:textId="77777777" w:rsidR="00D413AA" w:rsidRPr="00190747" w:rsidRDefault="00D413AA" w:rsidP="00D413AA">
      <w:pPr>
        <w:pStyle w:val="ManualNumPar1"/>
        <w:rPr>
          <w:noProof/>
        </w:rPr>
      </w:pPr>
      <w:r w:rsidRPr="00D47337">
        <w:rPr>
          <w:noProof/>
        </w:rPr>
        <w:t>1.</w:t>
      </w:r>
      <w:r w:rsidRPr="00D47337">
        <w:rPr>
          <w:noProof/>
        </w:rPr>
        <w:tab/>
      </w:r>
      <w:r w:rsidRPr="00190747">
        <w:rPr>
          <w:noProof/>
        </w:rPr>
        <w:t xml:space="preserve">Deimhnigh go n-ordaítear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0F4E3D6E" w14:textId="77777777" w:rsidR="00D413AA" w:rsidRPr="00190747" w:rsidRDefault="00D413AA" w:rsidP="00D413AA">
      <w:pPr>
        <w:pStyle w:val="Text1"/>
        <w:rPr>
          <w:noProof/>
        </w:rPr>
      </w:pPr>
      <w:sdt>
        <w:sdtPr>
          <w:rPr>
            <w:noProof/>
          </w:rPr>
          <w:id w:val="-80508109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83159407"/>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7974CAC" w14:textId="77777777" w:rsidR="00D413AA" w:rsidRPr="00190747" w:rsidRDefault="00D413AA" w:rsidP="00D413AA">
      <w:pPr>
        <w:pStyle w:val="ManualNumPar2"/>
        <w:rPr>
          <w:noProof/>
        </w:rPr>
      </w:pPr>
      <w:r w:rsidRPr="00D47337">
        <w:rPr>
          <w:noProof/>
        </w:rPr>
        <w:t>1.1.</w:t>
      </w:r>
      <w:r w:rsidRPr="00D47337">
        <w:rPr>
          <w:noProof/>
        </w:rPr>
        <w:tab/>
      </w:r>
      <w:r w:rsidRPr="00190747">
        <w:rPr>
          <w:noProof/>
        </w:rPr>
        <w:t>Má ordaítear, sainaithin an fhoráil nó na forálacha ábhartha sa bhunús dlí.</w:t>
      </w:r>
    </w:p>
    <w:p w14:paraId="126546AB" w14:textId="77777777" w:rsidR="00D413AA" w:rsidRPr="00190747" w:rsidRDefault="00D413AA" w:rsidP="00D413AA">
      <w:pPr>
        <w:pStyle w:val="Text1"/>
        <w:rPr>
          <w:noProof/>
        </w:rPr>
      </w:pPr>
      <w:r w:rsidRPr="00190747">
        <w:rPr>
          <w:noProof/>
        </w:rPr>
        <w:t>……………………………………………………………………………………….</w:t>
      </w:r>
    </w:p>
    <w:p w14:paraId="5254BBFA" w14:textId="77777777" w:rsidR="00D413AA" w:rsidRPr="00190747" w:rsidRDefault="00D413AA" w:rsidP="00D413AA">
      <w:pPr>
        <w:pStyle w:val="ManualNumPar1"/>
        <w:rPr>
          <w:noProof/>
        </w:rPr>
      </w:pPr>
      <w:r w:rsidRPr="00D47337">
        <w:rPr>
          <w:noProof/>
        </w:rPr>
        <w:t>2.</w:t>
      </w:r>
      <w:r w:rsidRPr="00D47337">
        <w:rPr>
          <w:noProof/>
        </w:rPr>
        <w:tab/>
      </w:r>
      <w:r w:rsidRPr="00190747">
        <w:rPr>
          <w:noProof/>
        </w:rPr>
        <w:t>Mínigh go mionsonraithe na cúinsí a thugann údar leis an gcabhair leachtachta agus tabhair tuairisc ar na teagmhais eisginiúla lena mbaineann srian sealadach ar ghníomhaíochtaí iascaireachta.</w:t>
      </w:r>
    </w:p>
    <w:p w14:paraId="17BC45F5" w14:textId="77777777" w:rsidR="00D413AA" w:rsidRPr="00190747" w:rsidRDefault="00D413AA" w:rsidP="00D413AA">
      <w:pPr>
        <w:pStyle w:val="Text1"/>
        <w:rPr>
          <w:noProof/>
        </w:rPr>
      </w:pPr>
      <w:r w:rsidRPr="00190747">
        <w:rPr>
          <w:noProof/>
        </w:rPr>
        <w:t>……………………………………………………………………………………….</w:t>
      </w:r>
    </w:p>
    <w:p w14:paraId="2CD47D34" w14:textId="77777777" w:rsidR="00D413AA" w:rsidRPr="00190747" w:rsidRDefault="00D413AA" w:rsidP="00D413AA">
      <w:pPr>
        <w:pStyle w:val="ManualNumPar1"/>
        <w:rPr>
          <w:i/>
          <w:noProof/>
        </w:rPr>
      </w:pPr>
      <w:r w:rsidRPr="00D47337">
        <w:rPr>
          <w:noProof/>
        </w:rPr>
        <w:t>3.</w:t>
      </w:r>
      <w:r w:rsidRPr="00D47337">
        <w:rPr>
          <w:noProof/>
        </w:rPr>
        <w:tab/>
      </w:r>
      <w:r w:rsidRPr="00190747">
        <w:rPr>
          <w:noProof/>
        </w:rPr>
        <w:t>Mínigh cathain a tharla an teagmhas eisginiúil, lena n-áirítear a dhátaí tosaithe agus deiridh más infheidhme.</w:t>
      </w:r>
    </w:p>
    <w:p w14:paraId="6ED40C61" w14:textId="77777777" w:rsidR="00D413AA" w:rsidRPr="00190747" w:rsidRDefault="00D413AA" w:rsidP="00D413AA">
      <w:pPr>
        <w:pStyle w:val="Text1"/>
        <w:rPr>
          <w:rFonts w:eastAsia="Times New Roman"/>
          <w:i/>
          <w:noProof/>
          <w:szCs w:val="24"/>
        </w:rPr>
      </w:pPr>
      <w:r w:rsidRPr="00190747">
        <w:rPr>
          <w:noProof/>
        </w:rPr>
        <w:t>…………………………………………………………………………</w:t>
      </w:r>
      <w:r w:rsidRPr="00190747">
        <w:rPr>
          <w:i/>
          <w:noProof/>
        </w:rPr>
        <w:t xml:space="preserve"> </w:t>
      </w:r>
    </w:p>
    <w:p w14:paraId="57EBD2EF" w14:textId="77777777" w:rsidR="00D413AA" w:rsidRPr="00190747" w:rsidRDefault="00D413AA" w:rsidP="00D413AA">
      <w:pPr>
        <w:pStyle w:val="ManualNumPar1"/>
        <w:rPr>
          <w:noProof/>
        </w:rPr>
      </w:pPr>
      <w:r w:rsidRPr="00D47337">
        <w:rPr>
          <w:noProof/>
        </w:rPr>
        <w:t>4.</w:t>
      </w:r>
      <w:r w:rsidRPr="00D47337">
        <w:rPr>
          <w:noProof/>
        </w:rPr>
        <w:tab/>
      </w:r>
      <w:r w:rsidRPr="00190747">
        <w:rPr>
          <w:noProof/>
        </w:rPr>
        <w:t>Deimhnigh gurb amhlaidh nach mbaineann an beart le haon cheann díobh seo a leanas:</w:t>
      </w:r>
    </w:p>
    <w:p w14:paraId="0D07F1AB" w14:textId="77777777" w:rsidR="00D413AA" w:rsidRPr="00190747" w:rsidRDefault="00D413AA" w:rsidP="00D413AA">
      <w:pPr>
        <w:pStyle w:val="Point1"/>
        <w:rPr>
          <w:noProof/>
        </w:rPr>
      </w:pPr>
      <w:r w:rsidRPr="00D47337">
        <w:rPr>
          <w:noProof/>
        </w:rPr>
        <w:t>(a)</w:t>
      </w:r>
      <w:r w:rsidRPr="00D47337">
        <w:rPr>
          <w:noProof/>
        </w:rPr>
        <w:tab/>
      </w:r>
      <w:r w:rsidRPr="00190747">
        <w:rPr>
          <w:noProof/>
        </w:rPr>
        <w:t>na cásanna a liostaítear i Roinn 3.5 de Chuid II, Caibidil 3 de na Treoirlínte ina scoirtear go sealadach de ghníomhaíochtaí iascaireachta</w:t>
      </w:r>
    </w:p>
    <w:p w14:paraId="04CEF49B" w14:textId="77777777" w:rsidR="00D413AA" w:rsidRPr="00190747" w:rsidRDefault="00D413AA" w:rsidP="00D413AA">
      <w:pPr>
        <w:pStyle w:val="Point1"/>
        <w:rPr>
          <w:noProof/>
        </w:rPr>
      </w:pPr>
      <w:r w:rsidRPr="00D47337">
        <w:rPr>
          <w:noProof/>
        </w:rPr>
        <w:t>(b)</w:t>
      </w:r>
      <w:r w:rsidRPr="00D47337">
        <w:rPr>
          <w:noProof/>
        </w:rPr>
        <w:tab/>
      </w:r>
      <w:r w:rsidRPr="00190747">
        <w:rPr>
          <w:noProof/>
        </w:rPr>
        <w:t>bearta caomhnaithe a dhéantar i gcomhréir le comhaontuithe comhpháirtíochta maidir le hiascaigh inbhuanaithe agus le comhaontuithe maidir le malartú nó maidir le bainistiú comhpháirteach</w:t>
      </w:r>
    </w:p>
    <w:p w14:paraId="128A9CBA" w14:textId="77777777" w:rsidR="00D413AA" w:rsidRPr="00190747" w:rsidRDefault="00D413AA" w:rsidP="00D413AA">
      <w:pPr>
        <w:pStyle w:val="Point1"/>
        <w:rPr>
          <w:noProof/>
        </w:rPr>
      </w:pPr>
      <w:r w:rsidRPr="00D47337">
        <w:rPr>
          <w:noProof/>
        </w:rPr>
        <w:t>(c)</w:t>
      </w:r>
      <w:r w:rsidRPr="00D47337">
        <w:rPr>
          <w:noProof/>
        </w:rPr>
        <w:tab/>
      </w:r>
      <w:r w:rsidRPr="00190747">
        <w:rPr>
          <w:noProof/>
        </w:rPr>
        <w:t>laghdú nó caillteanas deiseanna iascaireachta laistigh d’uiscí an Aontais faoi chuimsiú chur chun feidhme an Chomhbheartais Iascaigh</w:t>
      </w:r>
    </w:p>
    <w:p w14:paraId="6AAB4ACF" w14:textId="77777777" w:rsidR="00D413AA" w:rsidRPr="00190747" w:rsidRDefault="00D413AA" w:rsidP="00D413AA">
      <w:pPr>
        <w:pStyle w:val="Point1"/>
        <w:rPr>
          <w:noProof/>
        </w:rPr>
      </w:pPr>
      <w:r w:rsidRPr="00D47337">
        <w:rPr>
          <w:noProof/>
        </w:rPr>
        <w:t>(d)</w:t>
      </w:r>
      <w:r w:rsidRPr="00D47337">
        <w:rPr>
          <w:noProof/>
        </w:rPr>
        <w:tab/>
      </w:r>
      <w:r w:rsidRPr="00190747">
        <w:rPr>
          <w:noProof/>
        </w:rPr>
        <w:t>laghdú nó caillteanas deiseanna iascaireachta i ndáil le huiscí neamh-Aontais, e.g. mar gheall ar neamh-athnuachan, fionraí, foirceannadh nó athchaibidliú comhaontaithe comhpháirtíochta maidir le hiascaigh inbhuanaithe agus comhaontuithe maidir le malartú nó maidir le bainistiú comhpháirteach nó mar gheall ar bhearta socraithe agus leithdháilte deiseanna iascaireachta arna ndéanamh i gcomhréir le comhaontuithe den chineál sin nó faoi choimirce eagraíochta réigiúnaí bainistithe iascaigh</w:t>
      </w:r>
    </w:p>
    <w:p w14:paraId="4861CCBA" w14:textId="77777777" w:rsidR="00D413AA" w:rsidRPr="00190747" w:rsidRDefault="00D413AA" w:rsidP="00D413AA">
      <w:pPr>
        <w:pStyle w:val="Text1"/>
        <w:rPr>
          <w:noProof/>
        </w:rPr>
      </w:pPr>
      <w:sdt>
        <w:sdtPr>
          <w:rPr>
            <w:noProof/>
          </w:rPr>
          <w:id w:val="-1788038499"/>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61436155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6AF7DA21" w14:textId="77777777" w:rsidR="00D413AA" w:rsidRPr="00190747" w:rsidRDefault="00D413AA" w:rsidP="00D413AA">
      <w:pPr>
        <w:pStyle w:val="ManualNumPar1"/>
        <w:rPr>
          <w:rFonts w:eastAsia="Times New Roman"/>
          <w:noProof/>
          <w:szCs w:val="24"/>
        </w:rPr>
      </w:pPr>
      <w:r w:rsidRPr="00D47337">
        <w:rPr>
          <w:noProof/>
        </w:rPr>
        <w:lastRenderedPageBreak/>
        <w:t>5.</w:t>
      </w:r>
      <w:r w:rsidRPr="00D47337">
        <w:rPr>
          <w:noProof/>
        </w:rPr>
        <w:tab/>
      </w:r>
      <w:r w:rsidRPr="00190747">
        <w:rPr>
          <w:noProof/>
        </w:rPr>
        <w:t>Deimhnigh go n-ordaítear leis an mbeart nach bhféadfar cabhair a dheonú ach amháin i gcás ina bhfuil nasc cúisíoch díreach idir na teagmhais eisginiúla agus an caillteanas ioncaim.</w:t>
      </w:r>
    </w:p>
    <w:p w14:paraId="417806AB" w14:textId="77777777" w:rsidR="00D413AA" w:rsidRPr="00190747" w:rsidRDefault="00D413AA" w:rsidP="00D413AA">
      <w:pPr>
        <w:pStyle w:val="Text1"/>
        <w:rPr>
          <w:noProof/>
        </w:rPr>
      </w:pPr>
      <w:sdt>
        <w:sdtPr>
          <w:rPr>
            <w:noProof/>
          </w:rPr>
          <w:id w:val="28779218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1050656010"/>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4A4B081" w14:textId="77777777" w:rsidR="00D413AA" w:rsidRPr="00190747" w:rsidRDefault="00D413AA" w:rsidP="00D413AA">
      <w:pPr>
        <w:pStyle w:val="ManualNumPar2"/>
        <w:rPr>
          <w:noProof/>
        </w:rPr>
      </w:pPr>
      <w:r w:rsidRPr="00D47337">
        <w:rPr>
          <w:noProof/>
        </w:rPr>
        <w:t>5.1.</w:t>
      </w:r>
      <w:r w:rsidRPr="00D47337">
        <w:rPr>
          <w:noProof/>
        </w:rPr>
        <w:tab/>
      </w:r>
      <w:r w:rsidRPr="00190747">
        <w:rPr>
          <w:noProof/>
        </w:rPr>
        <w:t>Má ordaítear, sainaithin an fhoráil nó na forálacha ábhartha sa bhunús dlí.</w:t>
      </w:r>
    </w:p>
    <w:p w14:paraId="2D140B4C" w14:textId="77777777" w:rsidR="00D413AA" w:rsidRPr="00190747" w:rsidRDefault="00D413AA" w:rsidP="00D413AA">
      <w:pPr>
        <w:pStyle w:val="Text1"/>
        <w:rPr>
          <w:noProof/>
        </w:rPr>
      </w:pPr>
      <w:r w:rsidRPr="00190747">
        <w:rPr>
          <w:noProof/>
        </w:rPr>
        <w:t>.…………………………………………………………………………………….</w:t>
      </w:r>
    </w:p>
    <w:p w14:paraId="7502328E" w14:textId="77777777" w:rsidR="00D413AA" w:rsidRPr="00190747" w:rsidRDefault="00D413AA" w:rsidP="00D413AA">
      <w:pPr>
        <w:pStyle w:val="ManualNumPar1"/>
        <w:rPr>
          <w:rFonts w:eastAsia="Times New Roman"/>
          <w:noProof/>
          <w:szCs w:val="24"/>
        </w:rPr>
      </w:pPr>
      <w:r w:rsidRPr="00D47337">
        <w:rPr>
          <w:noProof/>
        </w:rPr>
        <w:t>6.</w:t>
      </w:r>
      <w:r w:rsidRPr="00D47337">
        <w:rPr>
          <w:noProof/>
        </w:rPr>
        <w:tab/>
      </w:r>
      <w:r w:rsidRPr="00190747">
        <w:rPr>
          <w:noProof/>
        </w:rPr>
        <w:t>Tabhair tuairisc mhionsonraithe ar na sásraí um rialú agus um fhorfheidhmiú atá i bhfeidhm chun a ráthú go gcomhlíonfar na coinníollacha a ghabhann leis an gcabhair leachtachta d’iascairí.</w:t>
      </w:r>
    </w:p>
    <w:p w14:paraId="705A6A85" w14:textId="77777777" w:rsidR="00D413AA" w:rsidRPr="00190747" w:rsidRDefault="00D413AA" w:rsidP="00D413AA">
      <w:pPr>
        <w:pStyle w:val="Text1"/>
        <w:rPr>
          <w:noProof/>
        </w:rPr>
      </w:pPr>
      <w:r w:rsidRPr="00190747">
        <w:rPr>
          <w:noProof/>
        </w:rPr>
        <w:t>……………………………………………………………………………………….</w:t>
      </w:r>
    </w:p>
    <w:p w14:paraId="57B550BF" w14:textId="77777777" w:rsidR="00D413AA" w:rsidRPr="00190747" w:rsidRDefault="00D413AA" w:rsidP="00D413AA">
      <w:pPr>
        <w:pStyle w:val="ManualNumPar1"/>
        <w:rPr>
          <w:rFonts w:eastAsia="Times New Roman"/>
          <w:noProof/>
          <w:szCs w:val="24"/>
        </w:rPr>
      </w:pPr>
      <w:r w:rsidRPr="00D47337">
        <w:rPr>
          <w:noProof/>
        </w:rPr>
        <w:t>7.</w:t>
      </w:r>
      <w:r w:rsidRPr="00D47337">
        <w:rPr>
          <w:noProof/>
        </w:rPr>
        <w:tab/>
      </w:r>
      <w:r w:rsidRPr="00190747">
        <w:rPr>
          <w:noProof/>
        </w:rPr>
        <w:t>Deimhnigh gurb amhlaidh nach gcumhdaítear leis na costais incháilithe ach an caillteanas ioncaim mar gheall ar na teagmhais eisginiúla.</w:t>
      </w:r>
    </w:p>
    <w:p w14:paraId="61E7A6E5" w14:textId="77777777" w:rsidR="00D413AA" w:rsidRPr="00190747" w:rsidRDefault="00D413AA" w:rsidP="00D413AA">
      <w:pPr>
        <w:pStyle w:val="Text1"/>
        <w:rPr>
          <w:noProof/>
        </w:rPr>
      </w:pPr>
      <w:sdt>
        <w:sdtPr>
          <w:rPr>
            <w:noProof/>
          </w:rPr>
          <w:id w:val="-11944642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115468164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0EFA9488" w14:textId="77777777" w:rsidR="00D413AA" w:rsidRPr="00190747" w:rsidRDefault="00D413AA" w:rsidP="00D413AA">
      <w:pPr>
        <w:pStyle w:val="ManualNumPar2"/>
        <w:rPr>
          <w:rFonts w:eastAsia="Times New Roman"/>
          <w:noProof/>
          <w:szCs w:val="24"/>
        </w:rPr>
      </w:pPr>
      <w:r w:rsidRPr="00D47337">
        <w:rPr>
          <w:noProof/>
        </w:rPr>
        <w:t>7.1.</w:t>
      </w:r>
      <w:r w:rsidRPr="00D47337">
        <w:rPr>
          <w:noProof/>
        </w:rPr>
        <w:tab/>
      </w:r>
      <w:r w:rsidRPr="00190747">
        <w:rPr>
          <w:noProof/>
        </w:rPr>
        <w:t>Má fhreagraítear ‘is amhlaidh’ ar an gceist roimhe seo, sainaithin an fhoráil nó na forálacha ábhartha sa bhunús dlí.</w:t>
      </w:r>
    </w:p>
    <w:p w14:paraId="3E20EA1E" w14:textId="77777777" w:rsidR="00D413AA" w:rsidRPr="00190747" w:rsidRDefault="00D413AA" w:rsidP="00D413AA">
      <w:pPr>
        <w:pStyle w:val="Text1"/>
        <w:rPr>
          <w:noProof/>
        </w:rPr>
      </w:pPr>
      <w:r w:rsidRPr="00190747">
        <w:rPr>
          <w:noProof/>
        </w:rPr>
        <w:t>.…………………………………………………………………………………….</w:t>
      </w:r>
    </w:p>
    <w:p w14:paraId="0FC24A08" w14:textId="77777777" w:rsidR="00D413AA" w:rsidRPr="00190747" w:rsidRDefault="00D413AA" w:rsidP="00D413AA">
      <w:pPr>
        <w:pStyle w:val="ManualNumPar2"/>
        <w:rPr>
          <w:rFonts w:eastAsia="Times New Roman"/>
          <w:noProof/>
          <w:szCs w:val="24"/>
        </w:rPr>
      </w:pPr>
      <w:r w:rsidRPr="00D47337">
        <w:rPr>
          <w:noProof/>
        </w:rPr>
        <w:t>7.2.</w:t>
      </w:r>
      <w:r w:rsidRPr="00D47337">
        <w:rPr>
          <w:noProof/>
        </w:rPr>
        <w:tab/>
      </w:r>
      <w:r w:rsidRPr="00190747">
        <w:rPr>
          <w:noProof/>
        </w:rPr>
        <w:t>Deimhnigh gurb amhlaidh nach mór na costais incháilithe a ríomh ar leibhéal an tairbhí aonair.</w:t>
      </w:r>
    </w:p>
    <w:p w14:paraId="2B9ED32C" w14:textId="77777777" w:rsidR="00D413AA" w:rsidRPr="00190747" w:rsidRDefault="00D413AA" w:rsidP="00D413AA">
      <w:pPr>
        <w:pStyle w:val="Text1"/>
        <w:rPr>
          <w:noProof/>
        </w:rPr>
      </w:pPr>
      <w:sdt>
        <w:sdtPr>
          <w:rPr>
            <w:noProof/>
          </w:rPr>
          <w:id w:val="194695880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79745626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071816A7" w14:textId="77777777" w:rsidR="00D413AA" w:rsidRPr="00190747" w:rsidRDefault="00D413AA" w:rsidP="00D413AA">
      <w:pPr>
        <w:pStyle w:val="ManualNumPar3"/>
        <w:rPr>
          <w:noProof/>
        </w:rPr>
      </w:pPr>
      <w:r w:rsidRPr="00D47337">
        <w:rPr>
          <w:noProof/>
        </w:rPr>
        <w:t>7.2.1.</w:t>
      </w:r>
      <w:r w:rsidRPr="00D47337">
        <w:rPr>
          <w:noProof/>
        </w:rPr>
        <w:tab/>
      </w:r>
      <w:r w:rsidRPr="00190747">
        <w:rPr>
          <w:noProof/>
        </w:rPr>
        <w:t>Más amhlaidh, sainaithin an fhoráil nó na forálacha ábhartha sa bhunús dlí.</w:t>
      </w:r>
    </w:p>
    <w:p w14:paraId="4229CC13" w14:textId="77777777" w:rsidR="00D413AA" w:rsidRPr="00190747" w:rsidRDefault="00D413AA" w:rsidP="00D413AA">
      <w:pPr>
        <w:pStyle w:val="Text1"/>
        <w:rPr>
          <w:noProof/>
        </w:rPr>
      </w:pPr>
      <w:r w:rsidRPr="00190747">
        <w:rPr>
          <w:noProof/>
        </w:rPr>
        <w:t>……………………………………………………………………………………….</w:t>
      </w:r>
    </w:p>
    <w:p w14:paraId="5886D2B6" w14:textId="77777777" w:rsidR="00D413AA" w:rsidRPr="00190747" w:rsidRDefault="00D413AA" w:rsidP="00D413AA">
      <w:pPr>
        <w:pStyle w:val="ManualNumPar2"/>
        <w:rPr>
          <w:rFonts w:eastAsia="Times New Roman"/>
          <w:noProof/>
          <w:szCs w:val="24"/>
        </w:rPr>
      </w:pPr>
      <w:bookmarkStart w:id="0" w:name="_Ref125386706"/>
      <w:r w:rsidRPr="00D47337">
        <w:rPr>
          <w:noProof/>
        </w:rPr>
        <w:t>7.3.</w:t>
      </w:r>
      <w:r w:rsidRPr="00D47337">
        <w:rPr>
          <w:noProof/>
        </w:rPr>
        <w:tab/>
      </w:r>
      <w:r w:rsidRPr="00190747">
        <w:rPr>
          <w:noProof/>
        </w:rPr>
        <w:t>Deimhnigh gurb amhlaidh nach mór an caillteanas ioncaim a ríomh de bhun phointe (319) de na Treoirlínte, is é sin trí: (a) an toradh a fhaightear nuair a iolraítear cainníocht na dtáirgí iascaireachta a táirgeadh i mbliain na dteagmhas eisginiúil, faoin meánphraghas díola a fuarthas le linn na bliana sin, ó (b) an toradh a fhaightear nuair a iolraítear meánchainníocht bhliantúil na dtáirgí iascaigh a táirgeadh le linn na tréimhse 3 bliana roimh na teagmhais eisginiúla, nó meán 3 bliana bunaithe ar an tréimhse 5 bliana roimh na teagmhais eisginiúla, cé is moite den iontráil is airde agus den iontráil is ísle, faoin meánphraghas díola a baineadh amach.</w:t>
      </w:r>
      <w:bookmarkEnd w:id="0"/>
    </w:p>
    <w:p w14:paraId="474E79D7" w14:textId="77777777" w:rsidR="00D413AA" w:rsidRPr="00190747" w:rsidRDefault="00D413AA" w:rsidP="00D413AA">
      <w:pPr>
        <w:pStyle w:val="Text1"/>
        <w:rPr>
          <w:noProof/>
        </w:rPr>
      </w:pPr>
      <w:sdt>
        <w:sdtPr>
          <w:rPr>
            <w:noProof/>
          </w:rPr>
          <w:id w:val="50848896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is amhlaidh</w:t>
      </w:r>
      <w:r w:rsidRPr="00190747">
        <w:rPr>
          <w:noProof/>
        </w:rPr>
        <w:tab/>
      </w:r>
      <w:r w:rsidRPr="00190747">
        <w:rPr>
          <w:noProof/>
        </w:rPr>
        <w:tab/>
      </w:r>
      <w:sdt>
        <w:sdtPr>
          <w:rPr>
            <w:noProof/>
          </w:rPr>
          <w:id w:val="95706478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hamhlaidh</w:t>
      </w:r>
    </w:p>
    <w:p w14:paraId="28A51243" w14:textId="77777777" w:rsidR="00D413AA" w:rsidRPr="00190747" w:rsidRDefault="00D413AA" w:rsidP="00D413AA">
      <w:pPr>
        <w:pStyle w:val="ManualNumPar3"/>
        <w:rPr>
          <w:rFonts w:eastAsia="Times New Roman"/>
          <w:noProof/>
          <w:szCs w:val="24"/>
        </w:rPr>
      </w:pPr>
      <w:r w:rsidRPr="00D47337">
        <w:rPr>
          <w:noProof/>
        </w:rPr>
        <w:t>7.3.1.</w:t>
      </w:r>
      <w:r w:rsidRPr="00D47337">
        <w:rPr>
          <w:noProof/>
        </w:rPr>
        <w:tab/>
      </w:r>
      <w:r w:rsidRPr="00190747">
        <w:rPr>
          <w:noProof/>
        </w:rPr>
        <w:t>Más amhlaidh, sainaithin an fhoráil nó na forálacha ábhartha sa bhunús dlí.</w:t>
      </w:r>
    </w:p>
    <w:p w14:paraId="5FBA500E" w14:textId="77777777" w:rsidR="00D413AA" w:rsidRPr="00190747" w:rsidRDefault="00D413AA" w:rsidP="00D413AA">
      <w:pPr>
        <w:pStyle w:val="Text1"/>
        <w:rPr>
          <w:noProof/>
        </w:rPr>
      </w:pPr>
      <w:r w:rsidRPr="00190747">
        <w:rPr>
          <w:noProof/>
        </w:rPr>
        <w:t>.…………………………………………………………………………………….</w:t>
      </w:r>
    </w:p>
    <w:p w14:paraId="099E2060" w14:textId="77777777" w:rsidR="00D413AA" w:rsidRPr="00190747" w:rsidRDefault="00D413AA" w:rsidP="00D413AA">
      <w:pPr>
        <w:pStyle w:val="ManualNumPar2"/>
        <w:rPr>
          <w:rFonts w:eastAsia="Times New Roman"/>
          <w:noProof/>
          <w:szCs w:val="24"/>
        </w:rPr>
      </w:pPr>
      <w:bookmarkStart w:id="1" w:name="_Ref127295567"/>
      <w:r w:rsidRPr="00D47337">
        <w:rPr>
          <w:noProof/>
        </w:rPr>
        <w:t>7.4.</w:t>
      </w:r>
      <w:r w:rsidRPr="00D47337">
        <w:rPr>
          <w:noProof/>
        </w:rPr>
        <w:tab/>
      </w:r>
      <w:r w:rsidRPr="00190747">
        <w:rPr>
          <w:noProof/>
        </w:rPr>
        <w:t>Mínigh an bhféadfaidh costais eile a thabhaíonn an gnóthas is tairbhí mar gheall ar na teagmhais eisginiúla a bheith san áireamh sna costais incháilithe.</w:t>
      </w:r>
      <w:bookmarkEnd w:id="1"/>
    </w:p>
    <w:p w14:paraId="124CBCF3" w14:textId="77777777" w:rsidR="00D413AA" w:rsidRPr="00190747" w:rsidRDefault="00D413AA" w:rsidP="00D413AA">
      <w:pPr>
        <w:pStyle w:val="Text1"/>
        <w:rPr>
          <w:noProof/>
        </w:rPr>
      </w:pPr>
      <w:sdt>
        <w:sdtPr>
          <w:rPr>
            <w:noProof/>
          </w:rPr>
          <w:id w:val="-122575054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féadfaidh</w:t>
      </w:r>
      <w:r w:rsidRPr="00190747">
        <w:rPr>
          <w:noProof/>
        </w:rPr>
        <w:tab/>
      </w:r>
      <w:r w:rsidRPr="00190747">
        <w:rPr>
          <w:noProof/>
        </w:rPr>
        <w:tab/>
      </w:r>
      <w:sdt>
        <w:sdtPr>
          <w:rPr>
            <w:noProof/>
          </w:rPr>
          <w:id w:val="1153944121"/>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fhéadfaidh</w:t>
      </w:r>
    </w:p>
    <w:p w14:paraId="24F960FD" w14:textId="77777777" w:rsidR="00D413AA" w:rsidRPr="00190747" w:rsidRDefault="00D413AA" w:rsidP="00D413AA">
      <w:pPr>
        <w:pStyle w:val="ManualNumPar3"/>
        <w:rPr>
          <w:rFonts w:eastAsia="Times New Roman"/>
          <w:noProof/>
          <w:szCs w:val="24"/>
        </w:rPr>
      </w:pPr>
      <w:r w:rsidRPr="00D47337">
        <w:rPr>
          <w:noProof/>
        </w:rPr>
        <w:t>7.4.1.</w:t>
      </w:r>
      <w:r w:rsidRPr="00D47337">
        <w:rPr>
          <w:noProof/>
        </w:rPr>
        <w:tab/>
      </w:r>
      <w:r w:rsidRPr="00190747">
        <w:rPr>
          <w:noProof/>
        </w:rPr>
        <w:t xml:space="preserve">Má fhéadfaidh, sainaithin na costais ábhartha. </w:t>
      </w:r>
    </w:p>
    <w:p w14:paraId="0E0A91EB" w14:textId="77777777" w:rsidR="00D413AA" w:rsidRPr="00190747" w:rsidRDefault="00D413AA" w:rsidP="00D413AA">
      <w:pPr>
        <w:pStyle w:val="Text1"/>
        <w:rPr>
          <w:noProof/>
        </w:rPr>
      </w:pPr>
      <w:r w:rsidRPr="00190747">
        <w:rPr>
          <w:noProof/>
        </w:rPr>
        <w:t>……………………………………………………………………………………….</w:t>
      </w:r>
    </w:p>
    <w:p w14:paraId="468CAD34" w14:textId="77777777" w:rsidR="00D413AA" w:rsidRPr="00190747" w:rsidRDefault="00D413AA" w:rsidP="00D413AA">
      <w:pPr>
        <w:pStyle w:val="ManualNumPar3"/>
        <w:rPr>
          <w:rFonts w:eastAsia="Times New Roman"/>
          <w:noProof/>
          <w:szCs w:val="24"/>
        </w:rPr>
      </w:pPr>
      <w:r w:rsidRPr="00D47337">
        <w:rPr>
          <w:noProof/>
        </w:rPr>
        <w:t>7.4.2.</w:t>
      </w:r>
      <w:r w:rsidRPr="00D47337">
        <w:rPr>
          <w:noProof/>
        </w:rPr>
        <w:tab/>
      </w:r>
      <w:r w:rsidRPr="00190747">
        <w:rPr>
          <w:noProof/>
        </w:rPr>
        <w:t>Má fhéadfaidh, sainaithin an fhoráil nó na forálacha ábhartha sa bhunús dlí.</w:t>
      </w:r>
    </w:p>
    <w:p w14:paraId="1DDD6CA6" w14:textId="77777777" w:rsidR="00D413AA" w:rsidRPr="00190747" w:rsidRDefault="00D413AA" w:rsidP="00D413AA">
      <w:pPr>
        <w:pStyle w:val="Text1"/>
        <w:rPr>
          <w:noProof/>
        </w:rPr>
      </w:pPr>
      <w:r w:rsidRPr="00190747">
        <w:rPr>
          <w:noProof/>
        </w:rPr>
        <w:t>……………………………………………………………………………………….</w:t>
      </w:r>
    </w:p>
    <w:p w14:paraId="529DDE17" w14:textId="77777777" w:rsidR="00D413AA" w:rsidRPr="00190747" w:rsidRDefault="00D413AA" w:rsidP="00D413AA">
      <w:pPr>
        <w:pStyle w:val="ManualNumPar2"/>
        <w:rPr>
          <w:rFonts w:eastAsia="Times New Roman"/>
          <w:noProof/>
          <w:szCs w:val="24"/>
        </w:rPr>
      </w:pPr>
      <w:bookmarkStart w:id="2" w:name="_Ref127295680"/>
      <w:r w:rsidRPr="00D47337">
        <w:rPr>
          <w:noProof/>
        </w:rPr>
        <w:lastRenderedPageBreak/>
        <w:t>7.5.</w:t>
      </w:r>
      <w:r w:rsidRPr="00D47337">
        <w:rPr>
          <w:noProof/>
        </w:rPr>
        <w:tab/>
      </w:r>
      <w:r w:rsidRPr="00190747">
        <w:rPr>
          <w:noProof/>
        </w:rPr>
        <w:t>Deimhnigh gurb amhlaidh nach mór na costais incháilithe a laghdú le haon chostas nár tabhaíodh mar gheall ar na teagmhais eisginiúla agus a thabhódh an tairbhí murach sin.</w:t>
      </w:r>
      <w:bookmarkEnd w:id="2"/>
    </w:p>
    <w:p w14:paraId="0D5E04A1" w14:textId="77777777" w:rsidR="00D413AA" w:rsidRPr="00190747" w:rsidRDefault="00D413AA" w:rsidP="00D413AA">
      <w:pPr>
        <w:pStyle w:val="ManualNumPar3"/>
        <w:rPr>
          <w:rFonts w:eastAsia="Times New Roman"/>
          <w:noProof/>
          <w:szCs w:val="24"/>
        </w:rPr>
      </w:pPr>
      <w:r w:rsidRPr="00D47337">
        <w:rPr>
          <w:noProof/>
        </w:rPr>
        <w:t>7.5.1.</w:t>
      </w:r>
      <w:r w:rsidRPr="00D47337">
        <w:rPr>
          <w:noProof/>
        </w:rPr>
        <w:tab/>
      </w:r>
      <w:r w:rsidRPr="00190747">
        <w:rPr>
          <w:noProof/>
        </w:rPr>
        <w:t xml:space="preserve">Más amhlaidh, sainaithin na costais ábhartha. </w:t>
      </w:r>
    </w:p>
    <w:p w14:paraId="6AE45A05" w14:textId="77777777" w:rsidR="00D413AA" w:rsidRPr="00190747" w:rsidRDefault="00D413AA" w:rsidP="00D413AA">
      <w:pPr>
        <w:pStyle w:val="Text1"/>
        <w:rPr>
          <w:noProof/>
        </w:rPr>
      </w:pPr>
      <w:r w:rsidRPr="00190747">
        <w:rPr>
          <w:noProof/>
        </w:rPr>
        <w:t>……………………………………………………………………………………….</w:t>
      </w:r>
    </w:p>
    <w:p w14:paraId="555E613C" w14:textId="77777777" w:rsidR="00D413AA" w:rsidRPr="00190747" w:rsidRDefault="00D413AA" w:rsidP="00D413AA">
      <w:pPr>
        <w:pStyle w:val="ManualNumPar3"/>
        <w:rPr>
          <w:rFonts w:eastAsia="Times New Roman"/>
          <w:noProof/>
          <w:szCs w:val="24"/>
        </w:rPr>
      </w:pPr>
      <w:r w:rsidRPr="00D47337">
        <w:rPr>
          <w:noProof/>
        </w:rPr>
        <w:t>7.5.2.</w:t>
      </w:r>
      <w:r w:rsidRPr="00D47337">
        <w:rPr>
          <w:noProof/>
        </w:rPr>
        <w:tab/>
      </w:r>
      <w:r w:rsidRPr="00190747">
        <w:rPr>
          <w:noProof/>
        </w:rPr>
        <w:t xml:space="preserve"> Más amhlaidh, sainaithin an fhoráil nó na forálacha ábhartha sa bhunús dlí.</w:t>
      </w:r>
    </w:p>
    <w:p w14:paraId="20C51889" w14:textId="77777777" w:rsidR="00D413AA" w:rsidRPr="00190747" w:rsidRDefault="00D413AA" w:rsidP="00D413AA">
      <w:pPr>
        <w:pStyle w:val="Text1"/>
        <w:rPr>
          <w:noProof/>
        </w:rPr>
      </w:pPr>
      <w:r w:rsidRPr="00190747">
        <w:rPr>
          <w:noProof/>
        </w:rPr>
        <w:t>……………………………………………………………………………………….</w:t>
      </w:r>
    </w:p>
    <w:p w14:paraId="444AFC29" w14:textId="77777777" w:rsidR="00D413AA" w:rsidRPr="00190747" w:rsidRDefault="00D413AA" w:rsidP="00D413AA">
      <w:pPr>
        <w:pStyle w:val="ManualNumPar2"/>
        <w:rPr>
          <w:rFonts w:eastAsia="Times New Roman"/>
          <w:noProof/>
          <w:szCs w:val="24"/>
        </w:rPr>
      </w:pPr>
      <w:r w:rsidRPr="00D47337">
        <w:rPr>
          <w:noProof/>
        </w:rPr>
        <w:t>7.6.</w:t>
      </w:r>
      <w:r w:rsidRPr="00D47337">
        <w:rPr>
          <w:noProof/>
        </w:rPr>
        <w:tab/>
      </w:r>
      <w:r w:rsidRPr="00190747">
        <w:rPr>
          <w:noProof/>
        </w:rPr>
        <w:t>I gcás ina n-úsáidtear soitheach le haghaidh gníomhaíochtaí nach iascaireacht tráchtála iad le linn na dteagmhas eisginiúil, deimhnigh go n-ordaítear leis an mbeart nach mór aon ioncam a dhearbhú agus a asbhaint den chabhair a dheonaítear faoin Roinn seo.</w:t>
      </w:r>
    </w:p>
    <w:p w14:paraId="0BB89A2C" w14:textId="77777777" w:rsidR="00D413AA" w:rsidRPr="00190747" w:rsidRDefault="00D413AA" w:rsidP="00D413AA">
      <w:pPr>
        <w:pStyle w:val="Text1"/>
        <w:rPr>
          <w:noProof/>
        </w:rPr>
      </w:pPr>
      <w:sdt>
        <w:sdtPr>
          <w:rPr>
            <w:noProof/>
          </w:rPr>
          <w:id w:val="133772042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73641896"/>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43FF4554" w14:textId="77777777" w:rsidR="00D413AA" w:rsidRPr="00190747" w:rsidRDefault="00D413AA" w:rsidP="00D413AA">
      <w:pPr>
        <w:pStyle w:val="ManualNumPar3"/>
        <w:rPr>
          <w:rFonts w:eastAsia="Times New Roman"/>
          <w:noProof/>
          <w:szCs w:val="24"/>
        </w:rPr>
      </w:pPr>
      <w:r w:rsidRPr="00D47337">
        <w:rPr>
          <w:noProof/>
        </w:rPr>
        <w:t>7.6.1.</w:t>
      </w:r>
      <w:r w:rsidRPr="00D47337">
        <w:rPr>
          <w:noProof/>
        </w:rPr>
        <w:tab/>
      </w:r>
      <w:r w:rsidRPr="00190747">
        <w:rPr>
          <w:noProof/>
        </w:rPr>
        <w:t>Má ordaítear, sainaithin an fhoráil nó na forálacha ábhartha sa bhunús dlí.</w:t>
      </w:r>
    </w:p>
    <w:p w14:paraId="33137BF6" w14:textId="77777777" w:rsidR="00D413AA" w:rsidRPr="00190747" w:rsidRDefault="00D413AA" w:rsidP="00D413AA">
      <w:pPr>
        <w:pStyle w:val="Text1"/>
        <w:rPr>
          <w:noProof/>
        </w:rPr>
      </w:pPr>
      <w:r w:rsidRPr="00190747">
        <w:rPr>
          <w:noProof/>
        </w:rPr>
        <w:t>……………………………………………………………………………………….</w:t>
      </w:r>
    </w:p>
    <w:p w14:paraId="0D875B0C" w14:textId="77777777" w:rsidR="00D413AA" w:rsidRPr="00190747" w:rsidRDefault="00D413AA" w:rsidP="00D413AA">
      <w:pPr>
        <w:pStyle w:val="ManualNumPar1"/>
        <w:rPr>
          <w:noProof/>
        </w:rPr>
      </w:pPr>
      <w:r w:rsidRPr="00D47337">
        <w:rPr>
          <w:noProof/>
        </w:rPr>
        <w:t>8.</w:t>
      </w:r>
      <w:r w:rsidRPr="00D47337">
        <w:rPr>
          <w:noProof/>
        </w:rPr>
        <w:tab/>
      </w:r>
      <w:r w:rsidRPr="00190747">
        <w:rPr>
          <w:noProof/>
        </w:rPr>
        <w:t>Tabhair do d’aire go bhféadfaidh an Coimisiún modhanna ríofa eile a ghlacadh ar choinníoll go bhfuil sé sásta go bhfuil na modhanna sin bunaithe ar chritéir oibiachtúla agus nach bhfaigheann aon gnóthas is tairbhí róchúiteamh mar thoradh orthu.</w:t>
      </w:r>
    </w:p>
    <w:p w14:paraId="1CBC8433" w14:textId="77777777" w:rsidR="00D413AA" w:rsidRPr="00190747" w:rsidRDefault="00D413AA" w:rsidP="00D413AA">
      <w:pPr>
        <w:pStyle w:val="Text1"/>
        <w:rPr>
          <w:noProof/>
        </w:rPr>
      </w:pPr>
      <w:r w:rsidRPr="00190747">
        <w:rPr>
          <w:noProof/>
        </w:rPr>
        <w:t>Má tá sé ar intinn ag an mBallstát a thugann fógra modh ríofa eile a mholadh, tabhair na cúiseanna nach bhfuil an modh a leagtar amach sna Treoirlínte iomchuí sa chás atá idir lámha agus mínigh conas a théann an modh ríofa eile i ngleic leis na riachtanais shainaitheanta ar bhealach níos fearr.</w:t>
      </w:r>
    </w:p>
    <w:p w14:paraId="07284BC8" w14:textId="77777777" w:rsidR="00D413AA" w:rsidRPr="00190747" w:rsidRDefault="00D413AA" w:rsidP="00D413AA">
      <w:pPr>
        <w:pStyle w:val="Text1"/>
        <w:rPr>
          <w:noProof/>
        </w:rPr>
      </w:pPr>
      <w:r w:rsidRPr="00190747">
        <w:rPr>
          <w:noProof/>
        </w:rPr>
        <w:t>…………………………………………………………………………..</w:t>
      </w:r>
    </w:p>
    <w:p w14:paraId="2FEFF46D" w14:textId="77777777" w:rsidR="00D413AA" w:rsidRPr="00190747" w:rsidRDefault="00D413AA" w:rsidP="00D413AA">
      <w:pPr>
        <w:pStyle w:val="Text1"/>
        <w:rPr>
          <w:noProof/>
        </w:rPr>
      </w:pPr>
      <w:r w:rsidRPr="00190747">
        <w:rPr>
          <w:noProof/>
        </w:rPr>
        <w:t xml:space="preserve">Cuir isteach mar iarscríbhinn leis an bhfógra an mhodheolaíocht eile atá beartaithe, mar aon le léiriú go bhfuil sí bunaithe ar chritéir oibiachtúla agus nach bhfaigheann aon tairbhí róchúiteamh dá barr. </w:t>
      </w:r>
    </w:p>
    <w:p w14:paraId="2380B8FD" w14:textId="77777777" w:rsidR="00D413AA" w:rsidRPr="00190747" w:rsidRDefault="00D413AA" w:rsidP="00D413AA">
      <w:pPr>
        <w:pStyle w:val="ManualNumPar1"/>
        <w:rPr>
          <w:rFonts w:eastAsia="Times New Roman"/>
          <w:noProof/>
          <w:szCs w:val="24"/>
        </w:rPr>
      </w:pPr>
      <w:r w:rsidRPr="00D47337">
        <w:rPr>
          <w:noProof/>
        </w:rPr>
        <w:t>9.</w:t>
      </w:r>
      <w:r w:rsidRPr="00D47337">
        <w:rPr>
          <w:noProof/>
        </w:rPr>
        <w:tab/>
      </w:r>
      <w:r w:rsidRPr="00190747">
        <w:rPr>
          <w:noProof/>
        </w:rPr>
        <w:t>Deimhnigh an bhforáiltear leis an mbeart, i gcás inar bunaíodh FBM níos lú ná 3 bliana roimh dháta na dteagmhas eisginiúil, nach mór an tagairt do na tréimhsí 3 bliana nó 5 bliana i bpointe (319)(b) de na Treoirlínte a thuiscint mar thagairt don chainníocht a tháirg agus a dhíol meánghnóthas den mhéid céanna den iarratasóir, is é sin micrifhiontar nó fiontar beag nó fiontar meánmhéide, de réir mar is infheidhme, san earnáil náisiúnta nó réigiúnach a ndearna na teagmhais eisginiúla difear di</w:t>
      </w:r>
    </w:p>
    <w:p w14:paraId="1C458F04" w14:textId="77777777" w:rsidR="00D413AA" w:rsidRPr="00190747" w:rsidRDefault="00D413AA" w:rsidP="00D413AA">
      <w:pPr>
        <w:pStyle w:val="Text1"/>
        <w:rPr>
          <w:noProof/>
        </w:rPr>
      </w:pPr>
      <w:sdt>
        <w:sdtPr>
          <w:rPr>
            <w:noProof/>
          </w:rPr>
          <w:id w:val="2073627064"/>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foráiltear</w:t>
      </w:r>
      <w:r w:rsidRPr="00190747">
        <w:rPr>
          <w:noProof/>
        </w:rPr>
        <w:tab/>
      </w:r>
      <w:r w:rsidRPr="00190747">
        <w:rPr>
          <w:noProof/>
        </w:rPr>
        <w:tab/>
      </w:r>
      <w:sdt>
        <w:sdtPr>
          <w:rPr>
            <w:noProof/>
          </w:rPr>
          <w:id w:val="352781465"/>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fhoráiltear</w:t>
      </w:r>
    </w:p>
    <w:p w14:paraId="338C3C69" w14:textId="77777777" w:rsidR="00D413AA" w:rsidRPr="00190747" w:rsidRDefault="00D413AA" w:rsidP="00D413AA">
      <w:pPr>
        <w:pStyle w:val="ManualNumPar2"/>
        <w:rPr>
          <w:rFonts w:eastAsia="Times New Roman"/>
          <w:noProof/>
          <w:szCs w:val="24"/>
        </w:rPr>
      </w:pPr>
      <w:r w:rsidRPr="00D47337">
        <w:rPr>
          <w:noProof/>
        </w:rPr>
        <w:t>9.1.</w:t>
      </w:r>
      <w:r w:rsidRPr="00D47337">
        <w:rPr>
          <w:noProof/>
        </w:rPr>
        <w:tab/>
      </w:r>
      <w:r w:rsidRPr="00190747">
        <w:rPr>
          <w:noProof/>
        </w:rPr>
        <w:t>Má fhoráiltear, sainaithin an fhoráil nó na forálacha ábhartha sa bhunús dlí.</w:t>
      </w:r>
    </w:p>
    <w:p w14:paraId="25F64537" w14:textId="77777777" w:rsidR="00D413AA" w:rsidRPr="00190747" w:rsidRDefault="00D413AA" w:rsidP="00D413AA">
      <w:pPr>
        <w:pStyle w:val="Text1"/>
        <w:rPr>
          <w:noProof/>
        </w:rPr>
      </w:pPr>
      <w:r w:rsidRPr="00190747">
        <w:rPr>
          <w:noProof/>
        </w:rPr>
        <w:t>……………………………………………………………………………………….</w:t>
      </w:r>
    </w:p>
    <w:p w14:paraId="73CA03E1" w14:textId="77777777" w:rsidR="00D413AA" w:rsidRPr="00190747" w:rsidRDefault="00D413AA" w:rsidP="00D413AA">
      <w:pPr>
        <w:pStyle w:val="ManualNumPar1"/>
        <w:rPr>
          <w:rFonts w:eastAsia="Times New Roman"/>
          <w:noProof/>
          <w:szCs w:val="24"/>
        </w:rPr>
      </w:pPr>
      <w:r w:rsidRPr="00D47337">
        <w:rPr>
          <w:noProof/>
        </w:rPr>
        <w:t>10.</w:t>
      </w:r>
      <w:r w:rsidRPr="00D47337">
        <w:rPr>
          <w:noProof/>
        </w:rPr>
        <w:tab/>
      </w:r>
      <w:r w:rsidRPr="00190747">
        <w:rPr>
          <w:noProof/>
        </w:rPr>
        <w:t>Deimhnigh go n-ordaítear leis an mbeart nach mór teorainn 100 % de na costais incháilithe a bheith leis an gcabhair agus le haon íocaíocht eile, íocaíochtaí faoi pholasaithe árachais san áireamh.</w:t>
      </w:r>
    </w:p>
    <w:p w14:paraId="2803B1B8" w14:textId="77777777" w:rsidR="00D413AA" w:rsidRPr="00190747" w:rsidRDefault="00D413AA" w:rsidP="00D413AA">
      <w:pPr>
        <w:pStyle w:val="Text1"/>
        <w:rPr>
          <w:noProof/>
        </w:rPr>
      </w:pPr>
      <w:sdt>
        <w:sdtPr>
          <w:rPr>
            <w:noProof/>
          </w:rPr>
          <w:id w:val="-1849087282"/>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ordaítear</w:t>
      </w:r>
      <w:r w:rsidRPr="00190747">
        <w:rPr>
          <w:noProof/>
        </w:rPr>
        <w:tab/>
      </w:r>
      <w:r w:rsidRPr="00190747">
        <w:rPr>
          <w:noProof/>
        </w:rPr>
        <w:tab/>
      </w:r>
      <w:sdt>
        <w:sdtPr>
          <w:rPr>
            <w:noProof/>
          </w:rPr>
          <w:id w:val="-2122363428"/>
          <w14:checkbox>
            <w14:checked w14:val="0"/>
            <w14:checkedState w14:val="2612" w14:font="MS Gothic"/>
            <w14:uncheckedState w14:val="2610" w14:font="MS Gothic"/>
          </w14:checkbox>
        </w:sdtPr>
        <w:sdtContent>
          <w:r w:rsidRPr="00190747">
            <w:rPr>
              <w:rFonts w:ascii="MS Gothic" w:eastAsia="MS Gothic" w:hAnsi="MS Gothic" w:hint="eastAsia"/>
              <w:noProof/>
              <w:lang w:eastAsia="en-GB"/>
            </w:rPr>
            <w:t>☐</w:t>
          </w:r>
        </w:sdtContent>
      </w:sdt>
      <w:r w:rsidRPr="00190747">
        <w:rPr>
          <w:noProof/>
        </w:rPr>
        <w:t xml:space="preserve"> ní ordaítear</w:t>
      </w:r>
    </w:p>
    <w:p w14:paraId="30C5B7BC" w14:textId="77777777" w:rsidR="00D413AA" w:rsidRPr="00190747" w:rsidRDefault="00D413AA" w:rsidP="00D413AA">
      <w:pPr>
        <w:pStyle w:val="ManualNumPar2"/>
        <w:rPr>
          <w:rFonts w:eastAsia="Times New Roman"/>
          <w:noProof/>
          <w:szCs w:val="24"/>
        </w:rPr>
      </w:pPr>
      <w:r w:rsidRPr="00D47337">
        <w:rPr>
          <w:noProof/>
        </w:rPr>
        <w:t>10.1.</w:t>
      </w:r>
      <w:r w:rsidRPr="00D47337">
        <w:rPr>
          <w:noProof/>
        </w:rPr>
        <w:tab/>
      </w:r>
      <w:r w:rsidRPr="00190747">
        <w:rPr>
          <w:noProof/>
        </w:rPr>
        <w:t>Tabhair an uasdéine cabhrach is infheidhme faoin mbeart.</w:t>
      </w:r>
    </w:p>
    <w:p w14:paraId="2C26839C" w14:textId="77777777" w:rsidR="00D413AA" w:rsidRPr="00190747" w:rsidRDefault="00D413AA" w:rsidP="00D413AA">
      <w:pPr>
        <w:pStyle w:val="Text1"/>
        <w:rPr>
          <w:noProof/>
        </w:rPr>
      </w:pPr>
      <w:r w:rsidRPr="00190747">
        <w:rPr>
          <w:noProof/>
        </w:rPr>
        <w:t>……………………………………………………………………………………….</w:t>
      </w:r>
    </w:p>
    <w:p w14:paraId="5C93C91E" w14:textId="77777777" w:rsidR="00D413AA" w:rsidRPr="00190747" w:rsidRDefault="00D413AA" w:rsidP="00D413AA">
      <w:pPr>
        <w:pStyle w:val="ManualNumPar2"/>
        <w:rPr>
          <w:rFonts w:eastAsia="Times New Roman"/>
          <w:noProof/>
          <w:szCs w:val="24"/>
        </w:rPr>
      </w:pPr>
      <w:r w:rsidRPr="00D47337">
        <w:rPr>
          <w:noProof/>
        </w:rPr>
        <w:lastRenderedPageBreak/>
        <w:t>10.2.</w:t>
      </w:r>
      <w:r w:rsidRPr="00D47337">
        <w:rPr>
          <w:noProof/>
        </w:rPr>
        <w:tab/>
      </w:r>
      <w:r w:rsidRPr="00190747">
        <w:rPr>
          <w:noProof/>
        </w:rPr>
        <w:t>Sainaithin foráil nó forálacha an bhunúis dlí lena leagtar amach an teorainn 100 % agus an uasdéine cabhrach faoin mbeart.</w:t>
      </w:r>
    </w:p>
    <w:p w14:paraId="2C976EBF" w14:textId="77777777" w:rsidR="00D413AA" w:rsidRPr="00190747" w:rsidRDefault="00D413AA" w:rsidP="00D413AA">
      <w:pPr>
        <w:pStyle w:val="Text1"/>
        <w:rPr>
          <w:noProof/>
        </w:rPr>
      </w:pPr>
      <w:r w:rsidRPr="00190747">
        <w:rPr>
          <w:noProof/>
        </w:rPr>
        <w:t>……………………………………………………………………………………….</w:t>
      </w:r>
    </w:p>
    <w:p w14:paraId="48806FFA" w14:textId="77777777" w:rsidR="00D413AA" w:rsidRPr="00190747" w:rsidRDefault="00D413AA" w:rsidP="00D413AA">
      <w:pPr>
        <w:pStyle w:val="ManualHeading4"/>
        <w:rPr>
          <w:noProof/>
        </w:rPr>
      </w:pPr>
      <w:r w:rsidRPr="00190747">
        <w:rPr>
          <w:noProof/>
        </w:rPr>
        <w:t>FAISNÉIS EILE</w:t>
      </w:r>
    </w:p>
    <w:p w14:paraId="02549474" w14:textId="77777777" w:rsidR="00D413AA" w:rsidRPr="00190747" w:rsidRDefault="00D413AA" w:rsidP="00D413AA">
      <w:pPr>
        <w:pStyle w:val="ManualNumPar1"/>
        <w:rPr>
          <w:rFonts w:eastAsia="Times New Roman"/>
          <w:noProof/>
          <w:szCs w:val="24"/>
        </w:rPr>
      </w:pPr>
      <w:r w:rsidRPr="00D47337">
        <w:rPr>
          <w:noProof/>
        </w:rPr>
        <w:t>11.</w:t>
      </w:r>
      <w:r w:rsidRPr="00D47337">
        <w:rPr>
          <w:noProof/>
        </w:rPr>
        <w:tab/>
      </w:r>
      <w:r w:rsidRPr="00190747">
        <w:rPr>
          <w:noProof/>
        </w:rPr>
        <w:t>Sonraigh aon fhaisnéis eile a mheastar a bheith ábhartha maidir le measúnú an bhirt faoin Roinn seo de na Treoirlínte.</w:t>
      </w:r>
    </w:p>
    <w:p w14:paraId="01CFD653" w14:textId="77777777" w:rsidR="00D413AA" w:rsidRPr="00190747" w:rsidRDefault="00D413AA" w:rsidP="00D413AA">
      <w:pPr>
        <w:pStyle w:val="Text1"/>
        <w:rPr>
          <w:noProof/>
        </w:rPr>
      </w:pPr>
      <w:r w:rsidRPr="00190747">
        <w:rPr>
          <w:noProof/>
        </w:rPr>
        <w:t>……………………………………………………………………………………….</w:t>
      </w:r>
    </w:p>
    <w:sectPr w:rsidR="00D413AA" w:rsidRPr="00190747" w:rsidSect="00D413A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A09F4" w14:textId="77777777" w:rsidR="00D413AA" w:rsidRDefault="00D413AA" w:rsidP="00D413AA">
      <w:pPr>
        <w:spacing w:before="0" w:after="0"/>
      </w:pPr>
      <w:r>
        <w:separator/>
      </w:r>
    </w:p>
  </w:endnote>
  <w:endnote w:type="continuationSeparator" w:id="0">
    <w:p w14:paraId="1A1F1CAC" w14:textId="77777777" w:rsidR="00D413AA" w:rsidRDefault="00D413AA" w:rsidP="00D413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C077" w14:textId="77777777" w:rsidR="00D413AA" w:rsidRDefault="00D413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BC276" w14:textId="77777777" w:rsidR="00D413AA" w:rsidRPr="00921C41" w:rsidRDefault="00D413AA" w:rsidP="00921C41">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9F83" w14:textId="77777777" w:rsidR="00D413AA" w:rsidRDefault="00D413AA" w:rsidP="005D2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A358" w14:textId="77777777" w:rsidR="00D413AA" w:rsidRDefault="00D413AA" w:rsidP="00D413AA">
      <w:pPr>
        <w:spacing w:before="0" w:after="0"/>
      </w:pPr>
      <w:r>
        <w:separator/>
      </w:r>
    </w:p>
  </w:footnote>
  <w:footnote w:type="continuationSeparator" w:id="0">
    <w:p w14:paraId="120990D4" w14:textId="77777777" w:rsidR="00D413AA" w:rsidRDefault="00D413AA" w:rsidP="00D413AA">
      <w:pPr>
        <w:spacing w:before="0" w:after="0"/>
      </w:pPr>
      <w:r>
        <w:continuationSeparator/>
      </w:r>
    </w:p>
  </w:footnote>
  <w:footnote w:id="1">
    <w:p w14:paraId="3477F3BD" w14:textId="77777777" w:rsidR="00D413AA" w:rsidRPr="00C03E87" w:rsidRDefault="00D413AA" w:rsidP="00D413AA">
      <w:pPr>
        <w:pStyle w:val="FootnoteText"/>
      </w:pPr>
      <w:r>
        <w:rPr>
          <w:rStyle w:val="FootnoteReference"/>
        </w:rPr>
        <w:footnoteRef/>
      </w:r>
      <w:r>
        <w:tab/>
        <w:t>IO C 107, 23.3.2023,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6D0D" w14:textId="77777777" w:rsidR="00D413AA" w:rsidRDefault="00D413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B29C7" w14:textId="77777777" w:rsidR="00D413AA" w:rsidRDefault="00D413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152F" w14:textId="77777777" w:rsidR="00D413AA" w:rsidRDefault="00D413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72444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930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413A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06F0"/>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13AA"/>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85D9A"/>
  <w15:chartTrackingRefBased/>
  <w15:docId w15:val="{61E0CFFF-39A1-427D-A015-17DCC88B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3AA"/>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413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13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413A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413A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413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3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3A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3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3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13A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413AA"/>
    <w:rPr>
      <w:i/>
      <w:iCs/>
      <w:color w:val="365F91" w:themeColor="accent1" w:themeShade="BF"/>
    </w:rPr>
  </w:style>
  <w:style w:type="paragraph" w:styleId="IntenseQuote">
    <w:name w:val="Intense Quote"/>
    <w:basedOn w:val="Normal"/>
    <w:next w:val="Normal"/>
    <w:link w:val="IntenseQuoteChar"/>
    <w:uiPriority w:val="30"/>
    <w:qFormat/>
    <w:rsid w:val="00D413A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413A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413AA"/>
    <w:rPr>
      <w:b/>
      <w:bCs/>
      <w:smallCaps/>
      <w:color w:val="365F91" w:themeColor="accent1" w:themeShade="BF"/>
      <w:spacing w:val="5"/>
    </w:rPr>
  </w:style>
  <w:style w:type="paragraph" w:styleId="Signature">
    <w:name w:val="Signature"/>
    <w:basedOn w:val="Normal"/>
    <w:link w:val="FootnoteReference"/>
    <w:uiPriority w:val="99"/>
    <w:rsid w:val="00D413A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413AA"/>
    <w:rPr>
      <w:rFonts w:ascii="Times New Roman" w:hAnsi="Times New Roman" w:cs="Times New Roman"/>
      <w:kern w:val="0"/>
      <w:sz w:val="24"/>
      <w:lang w:val="ga-IE"/>
      <w14:ligatures w14:val="none"/>
    </w:rPr>
  </w:style>
  <w:style w:type="paragraph" w:customStyle="1" w:styleId="Text1">
    <w:name w:val="Text 1"/>
    <w:basedOn w:val="Normal"/>
    <w:rsid w:val="00D413AA"/>
    <w:pPr>
      <w:ind w:left="850"/>
    </w:pPr>
  </w:style>
  <w:style w:type="paragraph" w:customStyle="1" w:styleId="Point1">
    <w:name w:val="Point 1"/>
    <w:basedOn w:val="Normal"/>
    <w:rsid w:val="00D413AA"/>
    <w:pPr>
      <w:ind w:left="1417" w:hanging="567"/>
    </w:pPr>
  </w:style>
  <w:style w:type="paragraph" w:customStyle="1" w:styleId="Point0number">
    <w:name w:val="Point 0 (number)"/>
    <w:basedOn w:val="Normal"/>
    <w:rsid w:val="00D413AA"/>
    <w:pPr>
      <w:numPr>
        <w:numId w:val="45"/>
      </w:numPr>
    </w:pPr>
  </w:style>
  <w:style w:type="paragraph" w:customStyle="1" w:styleId="Point1number">
    <w:name w:val="Point 1 (number)"/>
    <w:basedOn w:val="Normal"/>
    <w:rsid w:val="00D413AA"/>
    <w:pPr>
      <w:numPr>
        <w:ilvl w:val="2"/>
        <w:numId w:val="45"/>
      </w:numPr>
    </w:pPr>
  </w:style>
  <w:style w:type="paragraph" w:customStyle="1" w:styleId="Point2number">
    <w:name w:val="Point 2 (number)"/>
    <w:basedOn w:val="Normal"/>
    <w:rsid w:val="00D413AA"/>
    <w:pPr>
      <w:numPr>
        <w:ilvl w:val="4"/>
        <w:numId w:val="45"/>
      </w:numPr>
    </w:pPr>
  </w:style>
  <w:style w:type="paragraph" w:customStyle="1" w:styleId="Point3number">
    <w:name w:val="Point 3 (number)"/>
    <w:basedOn w:val="Normal"/>
    <w:rsid w:val="00D413AA"/>
    <w:pPr>
      <w:numPr>
        <w:ilvl w:val="6"/>
        <w:numId w:val="45"/>
      </w:numPr>
    </w:pPr>
  </w:style>
  <w:style w:type="paragraph" w:customStyle="1" w:styleId="Point0letter">
    <w:name w:val="Point 0 (letter)"/>
    <w:basedOn w:val="Normal"/>
    <w:rsid w:val="00D413AA"/>
    <w:pPr>
      <w:numPr>
        <w:ilvl w:val="1"/>
        <w:numId w:val="45"/>
      </w:numPr>
    </w:pPr>
  </w:style>
  <w:style w:type="paragraph" w:customStyle="1" w:styleId="Point1letter">
    <w:name w:val="Point 1 (letter)"/>
    <w:basedOn w:val="Normal"/>
    <w:rsid w:val="00D413AA"/>
    <w:pPr>
      <w:numPr>
        <w:ilvl w:val="3"/>
        <w:numId w:val="45"/>
      </w:numPr>
    </w:pPr>
  </w:style>
  <w:style w:type="paragraph" w:customStyle="1" w:styleId="Point2letter">
    <w:name w:val="Point 2 (letter)"/>
    <w:basedOn w:val="Normal"/>
    <w:rsid w:val="00D413AA"/>
    <w:pPr>
      <w:numPr>
        <w:ilvl w:val="5"/>
        <w:numId w:val="45"/>
      </w:numPr>
    </w:pPr>
  </w:style>
  <w:style w:type="paragraph" w:customStyle="1" w:styleId="Point3letter">
    <w:name w:val="Point 3 (letter)"/>
    <w:basedOn w:val="Normal"/>
    <w:rsid w:val="00D413AA"/>
    <w:pPr>
      <w:numPr>
        <w:ilvl w:val="7"/>
        <w:numId w:val="45"/>
      </w:numPr>
    </w:pPr>
  </w:style>
  <w:style w:type="paragraph" w:customStyle="1" w:styleId="Point4letter">
    <w:name w:val="Point 4 (letter)"/>
    <w:basedOn w:val="Normal"/>
    <w:rsid w:val="00D413A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1144</Words>
  <Characters>6476</Characters>
  <DocSecurity>0</DocSecurity>
  <Lines>122</Lines>
  <Paragraphs>69</Paragraphs>
  <ScaleCrop>false</ScaleCrop>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2025-05-25T15:46:00Z</dcterms:created>
  <dcterms:modified xsi:type="dcterms:W3CDTF">2025-05-25T15:46:00Z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2025-05-25T15:46:28Z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486ac9ee-ec88-4ef9-aaf6-0ffc988c2b2d</vt:lpwstr>
  </property>
  <property fmtid="{D5CDD505-2E9C-101B-9397-08002B2CF9AE}" pid="8" name="MSIP_Label_6bd9ddd1-4d20-43f6-abfa-fc3c07406f94_ContentBits">
    <vt:lpwstr>0</vt:lpwstr>
  </property>
</Properties>
</file>