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01D91" w14:textId="77777777" w:rsidR="002D03B6" w:rsidRPr="001252D4" w:rsidRDefault="002D03B6" w:rsidP="002D03B6">
      <w:pPr>
        <w:pStyle w:val="ManualHeading1"/>
        <w:rPr>
          <w:noProof/>
        </w:rPr>
      </w:pPr>
      <w:r w:rsidRPr="001252D4">
        <w:rPr>
          <w:noProof/>
        </w:rPr>
        <w:t>3.3. FIȘĂ DE INFORMAȚII SUPLIMENTARE PRIVIND</w:t>
      </w:r>
      <w:r>
        <w:rPr>
          <w:noProof/>
        </w:rPr>
        <w:t xml:space="preserve"> </w:t>
      </w:r>
      <w:r w:rsidRPr="001252D4">
        <w:rPr>
          <w:noProof/>
        </w:rPr>
        <w:t>AJUTOARELE PENTRU MĂRIREA TONAJULUI BRUT AL UNEI NAVE DE PESCUIT ÎN SCOPUL ÎMBUNĂTĂȚIRII SIGURANȚEI, A CONDIȚIILOR DE MUNCĂ SAU A EFICIENȚEI ENERGETICE</w:t>
      </w:r>
    </w:p>
    <w:p w14:paraId="03AB20D1" w14:textId="77777777" w:rsidR="002D03B6" w:rsidRPr="001252D4" w:rsidRDefault="002D03B6" w:rsidP="002D03B6">
      <w:pPr>
        <w:spacing w:after="0"/>
        <w:rPr>
          <w:rFonts w:eastAsia="Times New Roman"/>
          <w:i/>
          <w:noProof/>
          <w:szCs w:val="24"/>
        </w:rPr>
      </w:pPr>
      <w:r w:rsidRPr="001252D4">
        <w:rPr>
          <w:i/>
          <w:noProof/>
        </w:rPr>
        <w:t>Acest formular trebuie utilizat de statele membre pentru notificarea oricăror ajutoare acordate pentru mărirea tonajului brut al unei nave de pescuit în scopul îmbunătățirii siguranței, a condițiilor de muncă sau a eficienței energetice, astfel cum sunt descrise în partea II capitolul 3 secțiunea 3.3 din Orientările pentru ajutoarele de stat în sectorul pescuitului și acvaculturii</w:t>
      </w:r>
      <w:r w:rsidRPr="001252D4">
        <w:rPr>
          <w:rStyle w:val="FootnoteReference"/>
          <w:rFonts w:eastAsia="Times New Roman"/>
          <w:i/>
          <w:noProof/>
          <w:szCs w:val="24"/>
          <w:lang w:eastAsia="en-GB"/>
        </w:rPr>
        <w:footnoteReference w:id="1"/>
      </w:r>
      <w:r w:rsidRPr="001252D4">
        <w:rPr>
          <w:i/>
          <w:noProof/>
        </w:rPr>
        <w:t xml:space="preserve"> („orientările”).</w:t>
      </w:r>
    </w:p>
    <w:p w14:paraId="57169CEF" w14:textId="77777777" w:rsidR="002D03B6" w:rsidRPr="001252D4" w:rsidRDefault="002D03B6" w:rsidP="002D03B6">
      <w:pPr>
        <w:pStyle w:val="ManualNumPar1"/>
        <w:rPr>
          <w:noProof/>
        </w:rPr>
      </w:pPr>
      <w:r w:rsidRPr="00FC45E0">
        <w:rPr>
          <w:noProof/>
        </w:rPr>
        <w:t>1.</w:t>
      </w:r>
      <w:r w:rsidRPr="00FC45E0">
        <w:rPr>
          <w:noProof/>
        </w:rPr>
        <w:tab/>
      </w:r>
      <w:r w:rsidRPr="001252D4">
        <w:rPr>
          <w:noProof/>
        </w:rPr>
        <w:t>Vă rugăm să confirmați că măsura prevede că navele de pescuit ale Uniunii pentru care se acordă ajutorul nu vor fi transferate în afara Uniunii și că acestora nu li se va schimba pavilionul cu pavilionul unui stat din afara Uniunii timp de cel puțin cinci</w:t>
      </w:r>
      <w:r>
        <w:rPr>
          <w:noProof/>
        </w:rPr>
        <w:t> </w:t>
      </w:r>
      <w:r w:rsidRPr="001252D4">
        <w:rPr>
          <w:noProof/>
        </w:rPr>
        <w:t xml:space="preserve">ani de la plata finală a ajutorului. </w:t>
      </w:r>
    </w:p>
    <w:p w14:paraId="198F60B5" w14:textId="77777777" w:rsidR="002D03B6" w:rsidRPr="001252D4" w:rsidRDefault="002D03B6" w:rsidP="002D03B6">
      <w:pPr>
        <w:pStyle w:val="Text1"/>
        <w:rPr>
          <w:noProof/>
        </w:rPr>
      </w:pPr>
      <w:sdt>
        <w:sdtPr>
          <w:rPr>
            <w:noProof/>
          </w:rPr>
          <w:id w:val="-154211800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31815029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C7DB81A" w14:textId="77777777" w:rsidR="002D03B6" w:rsidRPr="001252D4" w:rsidRDefault="002D03B6" w:rsidP="002D03B6">
      <w:pPr>
        <w:pStyle w:val="ManualNumPar2"/>
        <w:rPr>
          <w:noProof/>
        </w:rPr>
      </w:pPr>
      <w:r w:rsidRPr="00FC45E0">
        <w:rPr>
          <w:noProof/>
        </w:rPr>
        <w:t>1.1.</w:t>
      </w:r>
      <w:r w:rsidRPr="00FC45E0">
        <w:rPr>
          <w:noProof/>
        </w:rPr>
        <w:tab/>
      </w:r>
      <w:r w:rsidRPr="001252D4">
        <w:rPr>
          <w:noProof/>
        </w:rPr>
        <w:t>Dacă răspunsul este „da”, vă rugăm să identificați dispoziția (dispozițiile) relevantă (relevante) din temeiul juridic.</w:t>
      </w:r>
    </w:p>
    <w:p w14:paraId="6E0C87B2" w14:textId="77777777" w:rsidR="002D03B6" w:rsidRPr="001252D4" w:rsidRDefault="002D03B6" w:rsidP="002D03B6">
      <w:pPr>
        <w:pStyle w:val="Text1"/>
        <w:rPr>
          <w:noProof/>
        </w:rPr>
      </w:pPr>
      <w:r w:rsidRPr="001252D4">
        <w:rPr>
          <w:noProof/>
        </w:rPr>
        <w:t>………………………………………………………………………………….</w:t>
      </w:r>
    </w:p>
    <w:p w14:paraId="71BEB817" w14:textId="77777777" w:rsidR="002D03B6" w:rsidRPr="001252D4" w:rsidRDefault="002D03B6" w:rsidP="002D03B6">
      <w:pPr>
        <w:pStyle w:val="ManualNumPar1"/>
        <w:rPr>
          <w:rFonts w:eastAsia="Times New Roman"/>
          <w:noProof/>
          <w:szCs w:val="24"/>
        </w:rPr>
      </w:pPr>
      <w:r w:rsidRPr="00FC45E0">
        <w:rPr>
          <w:noProof/>
        </w:rPr>
        <w:t>2.</w:t>
      </w:r>
      <w:r w:rsidRPr="00FC45E0">
        <w:rPr>
          <w:noProof/>
        </w:rPr>
        <w:tab/>
      </w:r>
      <w:r w:rsidRPr="001252D4">
        <w:rPr>
          <w:noProof/>
        </w:rPr>
        <w:t>În conformitate cu punctul 265 litera (a) din orientări, navele de pescuit trebuie să aparțină unui segment de flotă pentru care cel mai recent raport privind capacitatea de pescuit, menționat la articolul 22 alineatul (2) din Regulamentul (UE) nr. 1380/2013, indică un echilibru cu posibilitățile de pescuit disponibile pentru segmentul respectiv (denumit în continuare „raport național”). În conformitate cu punctul 266 din orientări, procedura și condițiile stabilite la punctele 225-227 din partea II capitolul 2 secțiunea 2.2 se aplică în sensul punctului 265 litera (a). În acest context, vă rugăm să precizați următoarele:</w:t>
      </w:r>
    </w:p>
    <w:p w14:paraId="3CA93115" w14:textId="77777777" w:rsidR="002D03B6" w:rsidRPr="001252D4" w:rsidRDefault="002D03B6" w:rsidP="002D03B6">
      <w:pPr>
        <w:rPr>
          <w:i/>
          <w:iCs/>
          <w:noProof/>
        </w:rPr>
      </w:pPr>
      <w:r w:rsidRPr="001252D4">
        <w:rPr>
          <w:i/>
          <w:noProof/>
        </w:rPr>
        <w:t>În cazul în care măsura se referă la pescuitul în apele interioare, nu este necesar să se răspundă la întrebările 2.1-2.2.6.1.</w:t>
      </w:r>
    </w:p>
    <w:p w14:paraId="41CCCDAB" w14:textId="77777777" w:rsidR="002D03B6" w:rsidRPr="001252D4" w:rsidRDefault="002D03B6" w:rsidP="002D03B6">
      <w:pPr>
        <w:pStyle w:val="ManualNumPar2"/>
        <w:rPr>
          <w:rFonts w:eastAsia="Times New Roman"/>
          <w:noProof/>
          <w:szCs w:val="24"/>
        </w:rPr>
      </w:pPr>
      <w:r w:rsidRPr="00FC45E0">
        <w:rPr>
          <w:noProof/>
        </w:rPr>
        <w:t>2.1.</w:t>
      </w:r>
      <w:r w:rsidRPr="00FC45E0">
        <w:rPr>
          <w:noProof/>
        </w:rPr>
        <w:tab/>
      </w:r>
      <w:r w:rsidRPr="001252D4">
        <w:rPr>
          <w:noProof/>
        </w:rPr>
        <w:t>Când a fost întocmit ultimul raport național înainte de data acordării ajutorului?</w:t>
      </w:r>
    </w:p>
    <w:p w14:paraId="68FAE732" w14:textId="77777777" w:rsidR="002D03B6" w:rsidRPr="001252D4" w:rsidRDefault="002D03B6" w:rsidP="002D03B6">
      <w:pPr>
        <w:pStyle w:val="Text1"/>
        <w:rPr>
          <w:noProof/>
        </w:rPr>
      </w:pPr>
      <w:r w:rsidRPr="001252D4">
        <w:rPr>
          <w:noProof/>
        </w:rPr>
        <w:t>……………………………………………………………………………………….</w:t>
      </w:r>
    </w:p>
    <w:p w14:paraId="7C844D57" w14:textId="77777777" w:rsidR="002D03B6" w:rsidRPr="001252D4" w:rsidRDefault="002D03B6" w:rsidP="002D03B6">
      <w:pPr>
        <w:pStyle w:val="ManualNumPar3"/>
        <w:rPr>
          <w:noProof/>
        </w:rPr>
      </w:pPr>
      <w:r w:rsidRPr="00FC45E0">
        <w:rPr>
          <w:noProof/>
        </w:rPr>
        <w:t>2.1.1.</w:t>
      </w:r>
      <w:r w:rsidRPr="00FC45E0">
        <w:rPr>
          <w:noProof/>
        </w:rPr>
        <w:tab/>
      </w:r>
      <w:r w:rsidRPr="001252D4">
        <w:rPr>
          <w:noProof/>
        </w:rPr>
        <w:t>Vă rugăm să furnizați linkul către cel mai recent raport național sau să îl anexați la notificare.</w:t>
      </w:r>
    </w:p>
    <w:p w14:paraId="7A97FD2F" w14:textId="77777777" w:rsidR="002D03B6" w:rsidRPr="001252D4" w:rsidRDefault="002D03B6" w:rsidP="002D03B6">
      <w:pPr>
        <w:pStyle w:val="Text1"/>
        <w:rPr>
          <w:noProof/>
        </w:rPr>
      </w:pPr>
      <w:r w:rsidRPr="001252D4">
        <w:rPr>
          <w:noProof/>
        </w:rPr>
        <w:t>……………………………………………………………………………………….</w:t>
      </w:r>
    </w:p>
    <w:p w14:paraId="33D8FA92" w14:textId="77777777" w:rsidR="002D03B6" w:rsidRPr="001252D4" w:rsidRDefault="002D03B6" w:rsidP="002D03B6">
      <w:pPr>
        <w:pStyle w:val="ManualNumPar2"/>
        <w:rPr>
          <w:rFonts w:eastAsia="Times New Roman"/>
          <w:noProof/>
          <w:szCs w:val="24"/>
        </w:rPr>
      </w:pPr>
      <w:r w:rsidRPr="00FC45E0">
        <w:rPr>
          <w:noProof/>
        </w:rPr>
        <w:t>2.2.</w:t>
      </w:r>
      <w:r w:rsidRPr="00FC45E0">
        <w:rPr>
          <w:noProof/>
        </w:rPr>
        <w:tab/>
      </w:r>
      <w:r w:rsidRPr="001252D4">
        <w:rPr>
          <w:noProof/>
        </w:rPr>
        <w:t>Vă rugăm să confirmați că sunt îndeplinite următoarele condiții pentru acordarea tuturor ajutoarelor:</w:t>
      </w:r>
    </w:p>
    <w:p w14:paraId="26118EAE" w14:textId="77777777" w:rsidR="002D03B6" w:rsidRPr="001252D4" w:rsidRDefault="002D03B6" w:rsidP="002D03B6">
      <w:pPr>
        <w:pStyle w:val="ManualNumPar3"/>
        <w:rPr>
          <w:noProof/>
        </w:rPr>
      </w:pPr>
      <w:r w:rsidRPr="00FC45E0">
        <w:rPr>
          <w:noProof/>
        </w:rPr>
        <w:t>2.2.1.</w:t>
      </w:r>
      <w:r w:rsidRPr="00FC45E0">
        <w:rPr>
          <w:noProof/>
        </w:rPr>
        <w:tab/>
      </w:r>
      <w:r w:rsidRPr="001252D4">
        <w:rPr>
          <w:noProof/>
        </w:rPr>
        <w:t>Raportul național a fost prezentat până la data de 31 mai a anului N</w:t>
      </w:r>
      <w:r w:rsidRPr="001252D4">
        <w:rPr>
          <w:rStyle w:val="FootnoteReference"/>
          <w:rFonts w:eastAsia="Times New Roman"/>
          <w:noProof/>
          <w:szCs w:val="24"/>
          <w:lang w:eastAsia="en-GB"/>
        </w:rPr>
        <w:footnoteReference w:id="2"/>
      </w:r>
      <w:r w:rsidRPr="001252D4">
        <w:rPr>
          <w:noProof/>
        </w:rPr>
        <w:t>?</w:t>
      </w:r>
    </w:p>
    <w:p w14:paraId="0A9B624F" w14:textId="77777777" w:rsidR="002D03B6" w:rsidRPr="001252D4" w:rsidRDefault="002D03B6" w:rsidP="002D03B6">
      <w:pPr>
        <w:pStyle w:val="Text1"/>
        <w:rPr>
          <w:noProof/>
        </w:rPr>
      </w:pPr>
      <w:sdt>
        <w:sdtPr>
          <w:rPr>
            <w:noProof/>
          </w:rPr>
          <w:id w:val="47394684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6457813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61733EA" w14:textId="77777777" w:rsidR="002D03B6" w:rsidRPr="001252D4" w:rsidRDefault="002D03B6" w:rsidP="002D03B6">
      <w:pPr>
        <w:pStyle w:val="ManualNumPar3"/>
        <w:rPr>
          <w:rFonts w:eastAsia="Times New Roman"/>
          <w:noProof/>
          <w:szCs w:val="24"/>
        </w:rPr>
      </w:pPr>
      <w:r w:rsidRPr="00FC45E0">
        <w:rPr>
          <w:noProof/>
        </w:rPr>
        <w:t>2.2.2.</w:t>
      </w:r>
      <w:r w:rsidRPr="00FC45E0">
        <w:rPr>
          <w:noProof/>
        </w:rPr>
        <w:tab/>
      </w:r>
      <w:r w:rsidRPr="001252D4">
        <w:rPr>
          <w:noProof/>
        </w:rPr>
        <w:t xml:space="preserve">Vă rugăm să confirmați că raportul național prezentat în anul N, în special evaluarea echilibrului cuprins în acesta, a fost elaborat pe baza indicatorilor biologici, </w:t>
      </w:r>
      <w:r w:rsidRPr="001252D4">
        <w:rPr>
          <w:noProof/>
        </w:rPr>
        <w:lastRenderedPageBreak/>
        <w:t>economici și de utilizare a navelor stabiliți în orientările comune</w:t>
      </w:r>
      <w:r w:rsidRPr="001252D4">
        <w:rPr>
          <w:rStyle w:val="FootnoteReference"/>
          <w:rFonts w:eastAsia="Times New Roman"/>
          <w:noProof/>
          <w:szCs w:val="24"/>
          <w:lang w:eastAsia="en-GB"/>
        </w:rPr>
        <w:footnoteReference w:id="3"/>
      </w:r>
      <w:r w:rsidRPr="001252D4">
        <w:rPr>
          <w:noProof/>
        </w:rPr>
        <w:t xml:space="preserve"> menționate la articolul 22 alineatul (2) din Regulamentul (UE) nr. 1380/2013.</w:t>
      </w:r>
    </w:p>
    <w:p w14:paraId="432F48DC" w14:textId="77777777" w:rsidR="002D03B6" w:rsidRPr="001252D4" w:rsidRDefault="002D03B6" w:rsidP="002D03B6">
      <w:pPr>
        <w:pStyle w:val="Text1"/>
        <w:rPr>
          <w:noProof/>
        </w:rPr>
      </w:pPr>
      <w:sdt>
        <w:sdtPr>
          <w:rPr>
            <w:noProof/>
          </w:rPr>
          <w:id w:val="-133360528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49792655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80B0A40" w14:textId="77777777" w:rsidR="002D03B6" w:rsidRPr="001252D4" w:rsidRDefault="002D03B6" w:rsidP="002D03B6">
      <w:pPr>
        <w:pStyle w:val="Text1"/>
        <w:rPr>
          <w:noProof/>
        </w:rPr>
      </w:pPr>
      <w:r w:rsidRPr="001252D4">
        <w:rPr>
          <w:noProof/>
        </w:rPr>
        <w:t xml:space="preserve">Vă atragem atenția asupra faptului că nu se pot acorda ajutoare în cazul în care raportul național, în special evaluarea echilibrului cuprins în acesta, nu a fost elaborat pe baza indicatorilor biologici, economici și de utilizare a navelor stabiliți în orientările comune menționate la articolul 22 alineatul (2) din Regulamentul (UE) nr. 1380/2013. </w:t>
      </w:r>
    </w:p>
    <w:p w14:paraId="2A94E310" w14:textId="77777777" w:rsidR="002D03B6" w:rsidRPr="001252D4" w:rsidRDefault="002D03B6" w:rsidP="002D03B6">
      <w:pPr>
        <w:pStyle w:val="ManualNumPar3"/>
        <w:rPr>
          <w:rFonts w:eastAsia="Times New Roman"/>
          <w:noProof/>
          <w:szCs w:val="24"/>
        </w:rPr>
      </w:pPr>
      <w:r w:rsidRPr="00FC45E0">
        <w:rPr>
          <w:noProof/>
        </w:rPr>
        <w:t>2.2.3.</w:t>
      </w:r>
      <w:r w:rsidRPr="00FC45E0">
        <w:rPr>
          <w:noProof/>
        </w:rPr>
        <w:tab/>
      </w:r>
      <w:r w:rsidRPr="001252D4">
        <w:rPr>
          <w:noProof/>
        </w:rPr>
        <w:t>Raportul național prezentat în anul N demonstrează că există un echilibru între capacitatea de pescuit și posibilitățile de pescuit ale segmentului de flotă căruia îi aparține nava de pescuit?</w:t>
      </w:r>
    </w:p>
    <w:p w14:paraId="2CD79DED" w14:textId="77777777" w:rsidR="002D03B6" w:rsidRPr="001252D4" w:rsidRDefault="002D03B6" w:rsidP="002D03B6">
      <w:pPr>
        <w:pStyle w:val="Text1"/>
        <w:rPr>
          <w:noProof/>
        </w:rPr>
      </w:pPr>
      <w:sdt>
        <w:sdtPr>
          <w:rPr>
            <w:noProof/>
          </w:rPr>
          <w:id w:val="206675674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1024128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6D26104" w14:textId="77777777" w:rsidR="002D03B6" w:rsidRPr="001252D4" w:rsidRDefault="002D03B6" w:rsidP="002D03B6">
      <w:pPr>
        <w:pStyle w:val="ManualNumPar3"/>
        <w:rPr>
          <w:rFonts w:eastAsia="Times New Roman"/>
          <w:noProof/>
          <w:szCs w:val="24"/>
        </w:rPr>
      </w:pPr>
      <w:r w:rsidRPr="00FC45E0">
        <w:rPr>
          <w:noProof/>
        </w:rPr>
        <w:t>2.2.4.</w:t>
      </w:r>
      <w:r w:rsidRPr="00FC45E0">
        <w:rPr>
          <w:noProof/>
        </w:rPr>
        <w:tab/>
      </w:r>
      <w:r w:rsidRPr="001252D4">
        <w:rPr>
          <w:noProof/>
        </w:rPr>
        <w:t>Vă rugăm să explicați modul în care raportul național a fost luat în considerare la elaborarea măsurii și modul în care se realizează echilibrul.</w:t>
      </w:r>
    </w:p>
    <w:p w14:paraId="2FE0C114" w14:textId="77777777" w:rsidR="002D03B6" w:rsidRPr="001252D4" w:rsidRDefault="002D03B6" w:rsidP="002D03B6">
      <w:pPr>
        <w:pStyle w:val="Text1"/>
        <w:rPr>
          <w:noProof/>
        </w:rPr>
      </w:pPr>
      <w:r w:rsidRPr="001252D4">
        <w:rPr>
          <w:noProof/>
        </w:rPr>
        <w:t>…………………………………………………………………………………….</w:t>
      </w:r>
    </w:p>
    <w:p w14:paraId="5C5BE1F3" w14:textId="77777777" w:rsidR="002D03B6" w:rsidRPr="001252D4" w:rsidRDefault="002D03B6" w:rsidP="002D03B6">
      <w:pPr>
        <w:pStyle w:val="ManualNumPar3"/>
        <w:rPr>
          <w:rFonts w:eastAsia="Times New Roman"/>
          <w:noProof/>
          <w:szCs w:val="24"/>
        </w:rPr>
      </w:pPr>
      <w:r w:rsidRPr="00FC45E0">
        <w:rPr>
          <w:noProof/>
        </w:rPr>
        <w:t>2.2.5.</w:t>
      </w:r>
      <w:r w:rsidRPr="00FC45E0">
        <w:rPr>
          <w:noProof/>
        </w:rPr>
        <w:tab/>
      </w:r>
      <w:r w:rsidRPr="001252D4">
        <w:rPr>
          <w:noProof/>
        </w:rPr>
        <w:t>Vă rugăm să confirmați că, până la data de 31 martie a anului N+1, Comisia nu a contestat:</w:t>
      </w:r>
    </w:p>
    <w:p w14:paraId="4BF7FE45" w14:textId="77777777" w:rsidR="002D03B6" w:rsidRPr="001252D4" w:rsidRDefault="002D03B6" w:rsidP="002D03B6">
      <w:pPr>
        <w:pStyle w:val="Point1"/>
        <w:rPr>
          <w:noProof/>
        </w:rPr>
      </w:pPr>
      <w:r w:rsidRPr="00FC45E0">
        <w:rPr>
          <w:noProof/>
        </w:rPr>
        <w:t>(a)</w:t>
      </w:r>
      <w:r w:rsidRPr="00FC45E0">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concluzia raportului național prezentat în anul N </w:t>
      </w:r>
    </w:p>
    <w:p w14:paraId="03E2727D" w14:textId="77777777" w:rsidR="002D03B6" w:rsidRPr="001252D4" w:rsidRDefault="002D03B6" w:rsidP="002D03B6">
      <w:pPr>
        <w:pStyle w:val="Point1"/>
        <w:rPr>
          <w:noProof/>
        </w:rPr>
      </w:pPr>
      <w:r w:rsidRPr="00FC45E0">
        <w:rPr>
          <w:noProof/>
        </w:rPr>
        <w:t>(b)</w:t>
      </w:r>
      <w:r w:rsidRPr="00FC45E0">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evaluarea echilibrului cuprinsă în raportul național prezentat în anul N</w:t>
      </w:r>
    </w:p>
    <w:p w14:paraId="214EDB96" w14:textId="77777777" w:rsidR="002D03B6" w:rsidRPr="001252D4" w:rsidRDefault="002D03B6" w:rsidP="002D03B6">
      <w:pPr>
        <w:pStyle w:val="ManualNumPar3"/>
        <w:rPr>
          <w:rFonts w:eastAsia="Times New Roman"/>
          <w:noProof/>
          <w:szCs w:val="24"/>
        </w:rPr>
      </w:pPr>
      <w:r w:rsidRPr="00FC45E0">
        <w:rPr>
          <w:noProof/>
        </w:rPr>
        <w:t>2.2.6.</w:t>
      </w:r>
      <w:r w:rsidRPr="00FC45E0">
        <w:rPr>
          <w:noProof/>
        </w:rPr>
        <w:tab/>
      </w:r>
      <w:r w:rsidRPr="001252D4">
        <w:rPr>
          <w:noProof/>
        </w:rPr>
        <w:t xml:space="preserve">Vă rugăm să confirmați că măsura prevede că ajutoarele pot fi acordate pe baza raportului național prezentat în anul N numai până la data de 31 decembrie a anului N+1, adică anul care urmează anului în care a fost prezentat raportul. </w:t>
      </w:r>
    </w:p>
    <w:p w14:paraId="694AC97B" w14:textId="77777777" w:rsidR="002D03B6" w:rsidRPr="001252D4" w:rsidRDefault="002D03B6" w:rsidP="002D03B6">
      <w:pPr>
        <w:pStyle w:val="Text1"/>
        <w:rPr>
          <w:noProof/>
        </w:rPr>
      </w:pPr>
      <w:sdt>
        <w:sdtPr>
          <w:rPr>
            <w:noProof/>
          </w:rPr>
          <w:id w:val="170674525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1226763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520522A" w14:textId="77777777" w:rsidR="002D03B6" w:rsidRPr="001252D4" w:rsidRDefault="002D03B6" w:rsidP="002D03B6">
      <w:pPr>
        <w:pStyle w:val="ManualNumPar4"/>
        <w:rPr>
          <w:noProof/>
        </w:rPr>
      </w:pPr>
      <w:r w:rsidRPr="00FC45E0">
        <w:rPr>
          <w:noProof/>
        </w:rPr>
        <w:t>2.2.6.1.</w:t>
      </w:r>
      <w:r w:rsidRPr="00FC45E0">
        <w:rPr>
          <w:noProof/>
        </w:rPr>
        <w:tab/>
      </w:r>
      <w:r w:rsidRPr="001252D4">
        <w:rPr>
          <w:noProof/>
        </w:rPr>
        <w:t>Dacă răspunsul este „da”, vă rugăm să identificați dispoziția (dispozițiile) relevantă (relevante) din temeiul juridic.</w:t>
      </w:r>
    </w:p>
    <w:p w14:paraId="73FD1755" w14:textId="77777777" w:rsidR="002D03B6" w:rsidRPr="001252D4" w:rsidRDefault="002D03B6" w:rsidP="002D03B6">
      <w:pPr>
        <w:pStyle w:val="Text1"/>
        <w:rPr>
          <w:noProof/>
        </w:rPr>
      </w:pPr>
      <w:r w:rsidRPr="001252D4">
        <w:rPr>
          <w:noProof/>
        </w:rPr>
        <w:t>…………………………………………………………………………………</w:t>
      </w:r>
    </w:p>
    <w:p w14:paraId="4F74FE4E" w14:textId="77777777" w:rsidR="002D03B6" w:rsidRPr="001252D4" w:rsidRDefault="002D03B6" w:rsidP="002D03B6">
      <w:pPr>
        <w:pStyle w:val="ManualNumPar1"/>
        <w:rPr>
          <w:noProof/>
        </w:rPr>
      </w:pPr>
      <w:r w:rsidRPr="00FC45E0">
        <w:rPr>
          <w:noProof/>
        </w:rPr>
        <w:t>3.</w:t>
      </w:r>
      <w:r w:rsidRPr="00FC45E0">
        <w:rPr>
          <w:noProof/>
        </w:rPr>
        <w:tab/>
      </w:r>
      <w:r w:rsidRPr="001252D4">
        <w:rPr>
          <w:noProof/>
        </w:rPr>
        <w:t>Vă rugăm să confirmați că măsura prevede că nava de pescuit trebuie să aibă o lungime totală de maximum 24 de metri.</w:t>
      </w:r>
    </w:p>
    <w:p w14:paraId="564CDBDD" w14:textId="77777777" w:rsidR="002D03B6" w:rsidRPr="001252D4" w:rsidRDefault="002D03B6" w:rsidP="002D03B6">
      <w:pPr>
        <w:pStyle w:val="Text1"/>
        <w:rPr>
          <w:noProof/>
        </w:rPr>
      </w:pPr>
      <w:sdt>
        <w:sdtPr>
          <w:rPr>
            <w:noProof/>
          </w:rPr>
          <w:id w:val="188343151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07377621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D9B8BD8" w14:textId="77777777" w:rsidR="002D03B6" w:rsidRPr="001252D4" w:rsidRDefault="002D03B6" w:rsidP="002D03B6">
      <w:pPr>
        <w:pStyle w:val="ManualNumPar2"/>
        <w:rPr>
          <w:noProof/>
        </w:rPr>
      </w:pPr>
      <w:r w:rsidRPr="00FC45E0">
        <w:rPr>
          <w:noProof/>
        </w:rPr>
        <w:t>3.1.</w:t>
      </w:r>
      <w:r w:rsidRPr="00FC45E0">
        <w:rPr>
          <w:noProof/>
        </w:rPr>
        <w:tab/>
      </w:r>
      <w:r w:rsidRPr="001252D4">
        <w:rPr>
          <w:noProof/>
        </w:rPr>
        <w:t>Dacă răspunsul este „da”, vă rugăm să identificați dispoziția (dispozițiile) relevantă (relevante) din temeiul juridic.</w:t>
      </w:r>
    </w:p>
    <w:p w14:paraId="3350C027" w14:textId="77777777" w:rsidR="002D03B6" w:rsidRPr="001252D4" w:rsidRDefault="002D03B6" w:rsidP="002D03B6">
      <w:pPr>
        <w:pStyle w:val="Text1"/>
        <w:rPr>
          <w:noProof/>
        </w:rPr>
      </w:pPr>
      <w:r w:rsidRPr="001252D4">
        <w:rPr>
          <w:noProof/>
        </w:rPr>
        <w:t>……………………………………………………………………………………….</w:t>
      </w:r>
    </w:p>
    <w:p w14:paraId="3BE8541C" w14:textId="77777777" w:rsidR="002D03B6" w:rsidRPr="001252D4" w:rsidRDefault="002D03B6" w:rsidP="002D03B6">
      <w:pPr>
        <w:pStyle w:val="ManualNumPar1"/>
        <w:rPr>
          <w:rFonts w:eastAsia="Times New Roman"/>
          <w:noProof/>
          <w:szCs w:val="24"/>
        </w:rPr>
      </w:pPr>
      <w:r w:rsidRPr="00FC45E0">
        <w:rPr>
          <w:noProof/>
        </w:rPr>
        <w:t>4.</w:t>
      </w:r>
      <w:r w:rsidRPr="00FC45E0">
        <w:rPr>
          <w:noProof/>
        </w:rPr>
        <w:tab/>
      </w:r>
      <w:r w:rsidRPr="001252D4">
        <w:rPr>
          <w:noProof/>
        </w:rPr>
        <w:t>Vă rugăm să confirmați că măsura prevede că nava de pescuit trebuie să fi fost înregistrată în registrul flotei de pescuit al Uniunii timp de cel puțin 10 ani calendaristici anteriori anului în care este depusă cererea de ajutor.</w:t>
      </w:r>
    </w:p>
    <w:p w14:paraId="5AEF9C00" w14:textId="77777777" w:rsidR="002D03B6" w:rsidRPr="001252D4" w:rsidRDefault="002D03B6" w:rsidP="002D03B6">
      <w:pPr>
        <w:pStyle w:val="Text1"/>
        <w:rPr>
          <w:noProof/>
        </w:rPr>
      </w:pPr>
      <w:sdt>
        <w:sdtPr>
          <w:rPr>
            <w:noProof/>
          </w:rPr>
          <w:id w:val="196500160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7775981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35408012" w14:textId="77777777" w:rsidR="002D03B6" w:rsidRPr="001252D4" w:rsidRDefault="002D03B6" w:rsidP="002D03B6">
      <w:pPr>
        <w:pStyle w:val="ManualNumPar2"/>
        <w:rPr>
          <w:rFonts w:eastAsia="Times New Roman"/>
          <w:iCs/>
          <w:noProof/>
          <w:szCs w:val="24"/>
        </w:rPr>
      </w:pPr>
      <w:r w:rsidRPr="00FC45E0">
        <w:rPr>
          <w:noProof/>
        </w:rPr>
        <w:lastRenderedPageBreak/>
        <w:t>4.1.</w:t>
      </w:r>
      <w:r w:rsidRPr="00FC45E0">
        <w:rPr>
          <w:noProof/>
        </w:rPr>
        <w:tab/>
      </w:r>
      <w:r w:rsidRPr="001252D4">
        <w:rPr>
          <w:noProof/>
        </w:rPr>
        <w:t>În cazul în care măsura se referă la pescuitul în apele interioare, vă rugăm să confirmați că măsura prevede că ajutoarele se pot acorda numai pentru o navă de pescuit care a fost pusă în circulație, în conformitate cu legislația națională, timp de cel puțin 10 ani calendaristici anteriori anului în care a fost depusă cererea de ajutor.</w:t>
      </w:r>
    </w:p>
    <w:p w14:paraId="067E04BD" w14:textId="77777777" w:rsidR="002D03B6" w:rsidRPr="001252D4" w:rsidRDefault="002D03B6" w:rsidP="002D03B6">
      <w:pPr>
        <w:pStyle w:val="Text1"/>
        <w:rPr>
          <w:noProof/>
        </w:rPr>
      </w:pPr>
      <w:sdt>
        <w:sdtPr>
          <w:rPr>
            <w:noProof/>
          </w:rPr>
          <w:id w:val="-59155283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53469064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B88841A" w14:textId="77777777" w:rsidR="002D03B6" w:rsidRPr="001252D4" w:rsidRDefault="002D03B6" w:rsidP="002D03B6">
      <w:pPr>
        <w:pStyle w:val="ManualNumPar2"/>
        <w:rPr>
          <w:rFonts w:eastAsia="Times New Roman"/>
          <w:noProof/>
          <w:szCs w:val="24"/>
        </w:rPr>
      </w:pPr>
      <w:r w:rsidRPr="00FC45E0">
        <w:rPr>
          <w:noProof/>
        </w:rPr>
        <w:t>4.2.</w:t>
      </w:r>
      <w:r w:rsidRPr="00FC45E0">
        <w:rPr>
          <w:noProof/>
        </w:rPr>
        <w:tab/>
      </w:r>
      <w:r w:rsidRPr="001252D4">
        <w:rPr>
          <w:noProof/>
        </w:rPr>
        <w:t>Dacă răspunsul la întrebarea 4 sau 4.1 este „da”, vă rugăm să identificați dispoziția (dispozițiile) relevantă (relevante) din temeiul juridic.</w:t>
      </w:r>
    </w:p>
    <w:p w14:paraId="2F40B130" w14:textId="77777777" w:rsidR="002D03B6" w:rsidRPr="001252D4" w:rsidRDefault="002D03B6" w:rsidP="002D03B6">
      <w:pPr>
        <w:pStyle w:val="Text1"/>
        <w:rPr>
          <w:noProof/>
        </w:rPr>
      </w:pPr>
      <w:r w:rsidRPr="001252D4">
        <w:rPr>
          <w:noProof/>
        </w:rPr>
        <w:t>……………………………………………………………………………………….</w:t>
      </w:r>
    </w:p>
    <w:p w14:paraId="5FDA4CD0" w14:textId="77777777" w:rsidR="002D03B6" w:rsidRPr="001252D4" w:rsidRDefault="002D03B6" w:rsidP="002D03B6">
      <w:pPr>
        <w:pStyle w:val="ManualNumPar1"/>
        <w:rPr>
          <w:rFonts w:eastAsia="Times New Roman"/>
          <w:noProof/>
          <w:szCs w:val="24"/>
        </w:rPr>
      </w:pPr>
      <w:r w:rsidRPr="00FC45E0">
        <w:rPr>
          <w:noProof/>
        </w:rPr>
        <w:t>5.</w:t>
      </w:r>
      <w:r w:rsidRPr="00FC45E0">
        <w:rPr>
          <w:noProof/>
        </w:rPr>
        <w:tab/>
      </w:r>
      <w:r w:rsidRPr="001252D4">
        <w:rPr>
          <w:noProof/>
        </w:rPr>
        <w:t>Vă rugăm să confirmați că dobândirea de către flota de pescuit a unei noi capacități de pescuit ca urmare a operațiunii este compensată prin retragerea prealabilă, fără ajutor public, a unei capacități de pescuit cel puțin echivalente din același segment de flotă sau dintr-un segment de flotă pentru care cel mai recent raport național, menționat la articolul 22 alineatul (2) din Regulamentul (UE) nr. 1380/2013, a indicat un dezechilibru între capacitatea de pescuit și posibilitățile de pescuit disponibile pentru segmentul respectiv.</w:t>
      </w:r>
    </w:p>
    <w:p w14:paraId="54C1A140" w14:textId="77777777" w:rsidR="002D03B6" w:rsidRPr="001252D4" w:rsidRDefault="002D03B6" w:rsidP="002D03B6">
      <w:pPr>
        <w:pStyle w:val="Text1"/>
        <w:rPr>
          <w:noProof/>
        </w:rPr>
      </w:pPr>
      <w:sdt>
        <w:sdtPr>
          <w:rPr>
            <w:noProof/>
          </w:rPr>
          <w:id w:val="183202241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480958423"/>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353FE5A" w14:textId="77777777" w:rsidR="002D03B6" w:rsidRPr="001252D4" w:rsidRDefault="002D03B6" w:rsidP="002D03B6">
      <w:pPr>
        <w:pStyle w:val="ManualNumPar2"/>
        <w:rPr>
          <w:noProof/>
        </w:rPr>
      </w:pPr>
      <w:r w:rsidRPr="00FC45E0">
        <w:rPr>
          <w:noProof/>
        </w:rPr>
        <w:t>5.1.</w:t>
      </w:r>
      <w:r w:rsidRPr="00FC45E0">
        <w:rPr>
          <w:noProof/>
        </w:rPr>
        <w:tab/>
      </w:r>
      <w:r w:rsidRPr="001252D4">
        <w:rPr>
          <w:noProof/>
        </w:rPr>
        <w:t>Dacă răspunsul la întrebarea anterioară este „da”, vă rugăm să identificați dispoziția (dispozițiile) relevantă (relevante) din temeiul juridic.</w:t>
      </w:r>
    </w:p>
    <w:p w14:paraId="68517DF6" w14:textId="77777777" w:rsidR="002D03B6" w:rsidRPr="001252D4" w:rsidRDefault="002D03B6" w:rsidP="002D03B6">
      <w:pPr>
        <w:pStyle w:val="Text1"/>
        <w:rPr>
          <w:noProof/>
        </w:rPr>
      </w:pPr>
      <w:r w:rsidRPr="001252D4">
        <w:rPr>
          <w:noProof/>
        </w:rPr>
        <w:t>……………………………………………………………………………….</w:t>
      </w:r>
    </w:p>
    <w:p w14:paraId="195A3A36" w14:textId="77777777" w:rsidR="002D03B6" w:rsidRPr="001252D4" w:rsidRDefault="002D03B6" w:rsidP="002D03B6">
      <w:pPr>
        <w:rPr>
          <w:i/>
          <w:iCs/>
          <w:noProof/>
        </w:rPr>
      </w:pPr>
      <w:r w:rsidRPr="001252D4">
        <w:rPr>
          <w:i/>
          <w:noProof/>
        </w:rPr>
        <w:t>În cazul în care măsura se referă la pescuitul în apele interioare, această întrebare nu se aplică.</w:t>
      </w:r>
    </w:p>
    <w:p w14:paraId="3577D60D" w14:textId="77777777" w:rsidR="002D03B6" w:rsidRPr="001252D4" w:rsidRDefault="002D03B6" w:rsidP="002D03B6">
      <w:pPr>
        <w:pStyle w:val="ManualNumPar1"/>
        <w:rPr>
          <w:rFonts w:eastAsia="Times New Roman"/>
          <w:noProof/>
          <w:szCs w:val="24"/>
        </w:rPr>
      </w:pPr>
      <w:r w:rsidRPr="00FC45E0">
        <w:rPr>
          <w:noProof/>
        </w:rPr>
        <w:t>6.</w:t>
      </w:r>
      <w:r w:rsidRPr="00FC45E0">
        <w:rPr>
          <w:noProof/>
        </w:rPr>
        <w:tab/>
      </w:r>
      <w:r w:rsidRPr="001252D4">
        <w:rPr>
          <w:noProof/>
        </w:rPr>
        <w:t>Vă rugăm să confirmați costurile eligibile:</w:t>
      </w:r>
    </w:p>
    <w:p w14:paraId="515B7F8C" w14:textId="77777777" w:rsidR="002D03B6" w:rsidRPr="001252D4" w:rsidRDefault="002D03B6" w:rsidP="002D03B6">
      <w:pPr>
        <w:pStyle w:val="Point1"/>
        <w:rPr>
          <w:noProof/>
        </w:rPr>
      </w:pPr>
      <w:r w:rsidRPr="00FC45E0">
        <w:rPr>
          <w:noProof/>
        </w:rPr>
        <w:t>(a)</w:t>
      </w:r>
      <w:r w:rsidRPr="00FC45E0">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mărirea tonajului brut necesară pentru instalarea sau renovarea ulterioară a unor spații de cazare destinate utilizării exclusive de către echipaj, inclusiv instalații sanitare, spații comune, spații de bucătărie și structuri de adăpost pe punte;</w:t>
      </w:r>
    </w:p>
    <w:p w14:paraId="3E38FAFF" w14:textId="77777777" w:rsidR="002D03B6" w:rsidRPr="001252D4" w:rsidRDefault="002D03B6" w:rsidP="002D03B6">
      <w:pPr>
        <w:pStyle w:val="Point1"/>
        <w:rPr>
          <w:noProof/>
        </w:rPr>
      </w:pPr>
      <w:r w:rsidRPr="00FC45E0">
        <w:rPr>
          <w:noProof/>
        </w:rPr>
        <w:t>(b)</w:t>
      </w:r>
      <w:r w:rsidRPr="00FC45E0">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mărirea tonajului brut necesară pentru instalarea ulterioară la bord a unor sisteme de prevenire a incendiilor, a unor sisteme de siguranță și de alarmă sau a unor sisteme de reducere a zgomotului ori pentru îmbunătățirea acestora;</w:t>
      </w:r>
    </w:p>
    <w:p w14:paraId="2B01DA03" w14:textId="77777777" w:rsidR="002D03B6" w:rsidRPr="001252D4" w:rsidRDefault="002D03B6" w:rsidP="002D03B6">
      <w:pPr>
        <w:pStyle w:val="Point1"/>
        <w:rPr>
          <w:noProof/>
        </w:rPr>
      </w:pPr>
      <w:r w:rsidRPr="00FC45E0">
        <w:rPr>
          <w:noProof/>
        </w:rPr>
        <w:t>(c)</w:t>
      </w:r>
      <w:r w:rsidRPr="00FC45E0">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mărirea tonajului brut necesară pentru instalarea ulterioară pe puntea de comandă a unor sisteme integrate menite să îmbunătățească navigația sau controlul motoarelor;</w:t>
      </w:r>
    </w:p>
    <w:p w14:paraId="0115629C" w14:textId="77777777" w:rsidR="002D03B6" w:rsidRPr="001252D4" w:rsidRDefault="002D03B6" w:rsidP="002D03B6">
      <w:pPr>
        <w:pStyle w:val="Point1"/>
        <w:rPr>
          <w:noProof/>
        </w:rPr>
      </w:pPr>
      <w:r w:rsidRPr="00FC45E0">
        <w:rPr>
          <w:noProof/>
        </w:rPr>
        <w:t>(d)</w:t>
      </w:r>
      <w:r w:rsidRPr="00FC45E0">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mărirea tonajului brut necesară pentru instalarea sau renovarea ulterioară a unui motor sau a unui sistem de propulsie care face dovada unei eficiențe energetice sporite sau a unor emisii de CO₂ mai reduse în comparație cu situația anterioară, a cărui putere nu depășește puterea motorului navei de pescuit certificată anterior în conformitate cu articolul 40 alineatul (1) din Regulamentul (CE) nr. 1224/2009</w:t>
      </w:r>
      <w:r w:rsidRPr="001252D4">
        <w:rPr>
          <w:rStyle w:val="FootnoteReference"/>
          <w:rFonts w:eastAsia="Times New Roman"/>
          <w:bCs/>
          <w:noProof/>
          <w:szCs w:val="24"/>
          <w:lang w:eastAsia="en-GB"/>
        </w:rPr>
        <w:footnoteReference w:id="4"/>
      </w:r>
      <w:r w:rsidRPr="001252D4">
        <w:rPr>
          <w:noProof/>
        </w:rPr>
        <w:t xml:space="preserve"> al Consiliului și a cărui putere maximă de </w:t>
      </w:r>
      <w:r w:rsidRPr="001252D4">
        <w:rPr>
          <w:noProof/>
        </w:rPr>
        <w:lastRenderedPageBreak/>
        <w:t>ieșire este certificată de producător pentru modelul motorului sau sistemul de propulsie respectiv;</w:t>
      </w:r>
    </w:p>
    <w:p w14:paraId="2C74B305" w14:textId="77777777" w:rsidR="002D03B6" w:rsidRPr="001252D4" w:rsidRDefault="002D03B6" w:rsidP="002D03B6">
      <w:pPr>
        <w:pStyle w:val="Point1"/>
        <w:rPr>
          <w:noProof/>
        </w:rPr>
      </w:pPr>
      <w:r w:rsidRPr="00FC45E0">
        <w:rPr>
          <w:noProof/>
        </w:rPr>
        <w:t>(e)</w:t>
      </w:r>
      <w:r w:rsidRPr="00FC45E0">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înlocuirea sau renovarea provei cu bulb, cu condiția ca aceasta să îmbunătățească eficiența energetică generală a navei de pescuit.</w:t>
      </w:r>
    </w:p>
    <w:p w14:paraId="14049113" w14:textId="77777777" w:rsidR="002D03B6" w:rsidRPr="001252D4" w:rsidRDefault="002D03B6" w:rsidP="002D03B6">
      <w:pPr>
        <w:pStyle w:val="ManualNumPar2"/>
        <w:rPr>
          <w:rFonts w:eastAsia="Times New Roman"/>
          <w:noProof/>
          <w:szCs w:val="24"/>
        </w:rPr>
      </w:pPr>
      <w:r w:rsidRPr="00FC45E0">
        <w:rPr>
          <w:noProof/>
        </w:rPr>
        <w:t>6.1.</w:t>
      </w:r>
      <w:r w:rsidRPr="00FC45E0">
        <w:rPr>
          <w:noProof/>
        </w:rPr>
        <w:tab/>
      </w:r>
      <w:r w:rsidRPr="001252D4">
        <w:rPr>
          <w:noProof/>
        </w:rPr>
        <w:t>Vă rugăm să identificați dispoziția (dispozițiile) din temeiul juridic care reflectă selecția dumneavoastră.</w:t>
      </w:r>
    </w:p>
    <w:p w14:paraId="0E3E451C" w14:textId="77777777" w:rsidR="002D03B6" w:rsidRPr="001252D4" w:rsidRDefault="002D03B6" w:rsidP="002D03B6">
      <w:pPr>
        <w:pStyle w:val="Text1"/>
        <w:rPr>
          <w:noProof/>
        </w:rPr>
      </w:pPr>
      <w:r w:rsidRPr="001252D4">
        <w:rPr>
          <w:noProof/>
        </w:rPr>
        <w:t>……………………………………………………………………………………….</w:t>
      </w:r>
    </w:p>
    <w:p w14:paraId="05EDEBAD" w14:textId="77777777" w:rsidR="002D03B6" w:rsidRPr="001252D4" w:rsidRDefault="002D03B6" w:rsidP="002D03B6">
      <w:pPr>
        <w:pStyle w:val="ManualNumPar2"/>
        <w:rPr>
          <w:rFonts w:eastAsia="Times New Roman"/>
          <w:noProof/>
          <w:szCs w:val="24"/>
        </w:rPr>
      </w:pPr>
      <w:r w:rsidRPr="00FC45E0">
        <w:rPr>
          <w:noProof/>
        </w:rPr>
        <w:t>6.2.</w:t>
      </w:r>
      <w:r w:rsidRPr="00FC45E0">
        <w:rPr>
          <w:noProof/>
        </w:rPr>
        <w:tab/>
      </w:r>
      <w:r w:rsidRPr="001252D4">
        <w:rPr>
          <w:noProof/>
        </w:rPr>
        <w:t>Vă rugăm să confirmați că costurile eligibile includ numai costurile directe și indirecte legate de ajutoarele pentru investiții vizând îmbunătățirea siguranței, a condițiilor de muncă sau a eficienței energetice care duc la mărirea tonajului brut al unei nave de pescuit.</w:t>
      </w:r>
    </w:p>
    <w:p w14:paraId="1376F2ED" w14:textId="77777777" w:rsidR="002D03B6" w:rsidRPr="001252D4" w:rsidRDefault="002D03B6" w:rsidP="002D03B6">
      <w:pPr>
        <w:pStyle w:val="Text1"/>
        <w:rPr>
          <w:noProof/>
        </w:rPr>
      </w:pPr>
      <w:sdt>
        <w:sdtPr>
          <w:rPr>
            <w:noProof/>
          </w:rPr>
          <w:id w:val="89331082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85132321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5522A3A" w14:textId="77777777" w:rsidR="002D03B6" w:rsidRPr="001252D4" w:rsidRDefault="002D03B6" w:rsidP="002D03B6">
      <w:pPr>
        <w:pStyle w:val="ManualNumPar2"/>
        <w:rPr>
          <w:rFonts w:eastAsia="Times New Roman"/>
          <w:noProof/>
          <w:szCs w:val="24"/>
        </w:rPr>
      </w:pPr>
      <w:r w:rsidRPr="00FC45E0">
        <w:rPr>
          <w:noProof/>
        </w:rPr>
        <w:t>6.3.</w:t>
      </w:r>
      <w:r w:rsidRPr="00FC45E0">
        <w:rPr>
          <w:noProof/>
        </w:rPr>
        <w:tab/>
      </w:r>
      <w:r w:rsidRPr="001252D4">
        <w:rPr>
          <w:noProof/>
        </w:rPr>
        <w:t>Dacă răspunsul este „da”, vă rugăm să identificați dispoziția (dispozițiile) relevantă (relevante) din temeiul juridic.</w:t>
      </w:r>
    </w:p>
    <w:p w14:paraId="4C2AD723" w14:textId="77777777" w:rsidR="002D03B6" w:rsidRPr="001252D4" w:rsidRDefault="002D03B6" w:rsidP="002D03B6">
      <w:pPr>
        <w:pStyle w:val="Text1"/>
        <w:rPr>
          <w:noProof/>
        </w:rPr>
      </w:pPr>
      <w:r w:rsidRPr="001252D4">
        <w:rPr>
          <w:noProof/>
        </w:rPr>
        <w:t>………………………………………………………………………………….</w:t>
      </w:r>
    </w:p>
    <w:p w14:paraId="228C36A1" w14:textId="77777777" w:rsidR="002D03B6" w:rsidRPr="001252D4" w:rsidRDefault="002D03B6" w:rsidP="002D03B6">
      <w:pPr>
        <w:pStyle w:val="ManualNumPar2"/>
        <w:rPr>
          <w:rFonts w:eastAsia="Times New Roman"/>
          <w:noProof/>
          <w:szCs w:val="24"/>
        </w:rPr>
      </w:pPr>
      <w:bookmarkStart w:id="0" w:name="_Hlk134023979"/>
      <w:r w:rsidRPr="00FC45E0">
        <w:rPr>
          <w:noProof/>
        </w:rPr>
        <w:t>6.4.</w:t>
      </w:r>
      <w:r w:rsidRPr="00FC45E0">
        <w:rPr>
          <w:noProof/>
        </w:rPr>
        <w:tab/>
      </w:r>
      <w:r w:rsidRPr="001252D4">
        <w:rPr>
          <w:noProof/>
        </w:rPr>
        <w:t>Vă rugăm să furnizați o descriere detaliată a costurilor eligibile în cadrul măsurii. Vă rugăm să descrieți costurile care se referă la îmbunătățirea siguranței, la îmbunătățirea condițiilor de muncă sau, respectiv, la îmbunătățirea eficienței energetice.</w:t>
      </w:r>
    </w:p>
    <w:bookmarkEnd w:id="0"/>
    <w:p w14:paraId="78187AF4" w14:textId="77777777" w:rsidR="002D03B6" w:rsidRPr="001252D4" w:rsidRDefault="002D03B6" w:rsidP="002D03B6">
      <w:pPr>
        <w:pStyle w:val="Text1"/>
        <w:rPr>
          <w:noProof/>
        </w:rPr>
      </w:pPr>
      <w:r w:rsidRPr="001252D4">
        <w:rPr>
          <w:noProof/>
        </w:rPr>
        <w:t>……………………………………………………………………………………….</w:t>
      </w:r>
    </w:p>
    <w:p w14:paraId="5E31D2E2" w14:textId="77777777" w:rsidR="002D03B6" w:rsidRPr="001252D4" w:rsidRDefault="002D03B6" w:rsidP="002D03B6">
      <w:pPr>
        <w:pStyle w:val="ManualNumPar1"/>
        <w:rPr>
          <w:noProof/>
        </w:rPr>
      </w:pPr>
      <w:r w:rsidRPr="00FC45E0">
        <w:rPr>
          <w:noProof/>
        </w:rPr>
        <w:t>7.</w:t>
      </w:r>
      <w:r w:rsidRPr="00FC45E0">
        <w:rPr>
          <w:noProof/>
        </w:rPr>
        <w:tab/>
      </w:r>
      <w:r w:rsidRPr="001252D4">
        <w:rPr>
          <w:noProof/>
        </w:rPr>
        <w:t>Vă rugăm să descrieți în detaliu mecanismele de control și de asigurare a respectării legislației instituite pentru a asigura îndeplinirea condițiilor prevăzute în partea II capitolul 3 secțiunea 3.3 din orientări.</w:t>
      </w:r>
    </w:p>
    <w:p w14:paraId="387405D6" w14:textId="77777777" w:rsidR="002D03B6" w:rsidRPr="001252D4" w:rsidRDefault="002D03B6" w:rsidP="002D03B6">
      <w:pPr>
        <w:pStyle w:val="Text1"/>
        <w:rPr>
          <w:noProof/>
        </w:rPr>
      </w:pPr>
      <w:r w:rsidRPr="001252D4">
        <w:rPr>
          <w:noProof/>
        </w:rPr>
        <w:t>……………………………………………………………………………………….</w:t>
      </w:r>
    </w:p>
    <w:p w14:paraId="5610C57F" w14:textId="77777777" w:rsidR="002D03B6" w:rsidRPr="001252D4" w:rsidRDefault="002D03B6" w:rsidP="002D03B6">
      <w:pPr>
        <w:pStyle w:val="ManualNumPar1"/>
        <w:rPr>
          <w:rFonts w:eastAsia="Times New Roman"/>
          <w:noProof/>
          <w:szCs w:val="24"/>
        </w:rPr>
      </w:pPr>
      <w:r w:rsidRPr="00FC45E0">
        <w:rPr>
          <w:noProof/>
        </w:rPr>
        <w:t>8.</w:t>
      </w:r>
      <w:r w:rsidRPr="00FC45E0">
        <w:rPr>
          <w:noProof/>
        </w:rPr>
        <w:tab/>
      </w:r>
      <w:r w:rsidRPr="001252D4">
        <w:rPr>
          <w:noProof/>
        </w:rPr>
        <w:t>Vă rugăm să furnizați o descriere detaliată a caracteristicilor măsurii, inclusiv să precizați cu cât a fost mărită capacitatea de pescuit și scopul acestei măriri.</w:t>
      </w:r>
    </w:p>
    <w:p w14:paraId="5C758269" w14:textId="77777777" w:rsidR="002D03B6" w:rsidRPr="001252D4" w:rsidRDefault="002D03B6" w:rsidP="002D03B6">
      <w:pPr>
        <w:rPr>
          <w:rFonts w:eastAsia="Times New Roman"/>
          <w:noProof/>
          <w:szCs w:val="24"/>
        </w:rPr>
      </w:pPr>
      <w:r w:rsidRPr="001252D4">
        <w:rPr>
          <w:noProof/>
        </w:rPr>
        <w:t>…………………………………………………………………………………………….</w:t>
      </w:r>
    </w:p>
    <w:p w14:paraId="2318D7DA" w14:textId="77777777" w:rsidR="002D03B6" w:rsidRPr="001252D4" w:rsidRDefault="002D03B6" w:rsidP="002D03B6">
      <w:pPr>
        <w:autoSpaceDE w:val="0"/>
        <w:autoSpaceDN w:val="0"/>
        <w:adjustRightInd w:val="0"/>
        <w:spacing w:after="0"/>
        <w:rPr>
          <w:rFonts w:eastAsia="Times New Roman"/>
          <w:noProof/>
          <w:szCs w:val="24"/>
        </w:rPr>
      </w:pPr>
      <w:r w:rsidRPr="001252D4">
        <w:rPr>
          <w:i/>
          <w:noProof/>
        </w:rPr>
        <w:t>În cazul în care răspunsul a fost deja furnizat ca răspuns la o întrebare sau la o secțiune anterioară, vă rugăm să faceți referire la răspunsul respectiv.</w:t>
      </w:r>
    </w:p>
    <w:p w14:paraId="0B1D9AA5" w14:textId="77777777" w:rsidR="002D03B6" w:rsidRPr="001252D4" w:rsidRDefault="002D03B6" w:rsidP="002D03B6">
      <w:pPr>
        <w:pStyle w:val="ManualNumPar1"/>
        <w:rPr>
          <w:rFonts w:eastAsia="Times New Roman"/>
          <w:noProof/>
          <w:szCs w:val="24"/>
        </w:rPr>
      </w:pPr>
      <w:r w:rsidRPr="00FC45E0">
        <w:rPr>
          <w:noProof/>
        </w:rPr>
        <w:t>9.</w:t>
      </w:r>
      <w:r w:rsidRPr="00FC45E0">
        <w:rPr>
          <w:noProof/>
        </w:rPr>
        <w:tab/>
      </w:r>
      <w:r w:rsidRPr="001252D4">
        <w:rPr>
          <w:noProof/>
        </w:rPr>
        <w:t>Vă rugăm să confirmați faptul că măsura prevede că intensitatea maximă a ajutoarelor nu depășește 40 % din costurile eligibile.</w:t>
      </w:r>
    </w:p>
    <w:p w14:paraId="09C25442" w14:textId="77777777" w:rsidR="002D03B6" w:rsidRPr="001252D4" w:rsidRDefault="002D03B6" w:rsidP="002D03B6">
      <w:pPr>
        <w:pStyle w:val="Text1"/>
        <w:rPr>
          <w:noProof/>
        </w:rPr>
      </w:pPr>
      <w:sdt>
        <w:sdtPr>
          <w:rPr>
            <w:noProof/>
          </w:rPr>
          <w:id w:val="154324796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7127695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7F2710CF" w14:textId="77777777" w:rsidR="002D03B6" w:rsidRPr="001252D4" w:rsidRDefault="002D03B6" w:rsidP="002D03B6">
      <w:pPr>
        <w:pStyle w:val="ManualNumPar2"/>
        <w:rPr>
          <w:noProof/>
        </w:rPr>
      </w:pPr>
      <w:r w:rsidRPr="00FC45E0">
        <w:rPr>
          <w:noProof/>
        </w:rPr>
        <w:t>9.1.</w:t>
      </w:r>
      <w:r w:rsidRPr="00FC45E0">
        <w:rPr>
          <w:noProof/>
        </w:rPr>
        <w:tab/>
      </w:r>
      <w:r w:rsidRPr="001252D4">
        <w:rPr>
          <w:noProof/>
        </w:rPr>
        <w:t>Vă rugăm să furnizați intensitatea maximă (intensitățile maxime) a(le) ajutorului aplicabilă (aplicabile) în temeiul măsurii.</w:t>
      </w:r>
    </w:p>
    <w:p w14:paraId="18BCD52E" w14:textId="77777777" w:rsidR="002D03B6" w:rsidRPr="001252D4" w:rsidRDefault="002D03B6" w:rsidP="002D03B6">
      <w:pPr>
        <w:pStyle w:val="Text1"/>
        <w:rPr>
          <w:noProof/>
        </w:rPr>
      </w:pPr>
      <w:r w:rsidRPr="001252D4">
        <w:rPr>
          <w:noProof/>
        </w:rPr>
        <w:t>……………………………………………………………………………………….</w:t>
      </w:r>
    </w:p>
    <w:p w14:paraId="1F4B027B" w14:textId="77777777" w:rsidR="002D03B6" w:rsidRPr="001252D4" w:rsidRDefault="002D03B6" w:rsidP="002D03B6">
      <w:pPr>
        <w:pStyle w:val="ManualNumPar2"/>
        <w:rPr>
          <w:rFonts w:eastAsia="Times New Roman"/>
          <w:noProof/>
          <w:szCs w:val="24"/>
        </w:rPr>
      </w:pPr>
      <w:r w:rsidRPr="00FC45E0">
        <w:rPr>
          <w:noProof/>
        </w:rPr>
        <w:t>9.2.</w:t>
      </w:r>
      <w:r w:rsidRPr="00FC45E0">
        <w:rPr>
          <w:noProof/>
        </w:rPr>
        <w:tab/>
      </w:r>
      <w:r w:rsidRPr="001252D4">
        <w:rPr>
          <w:noProof/>
        </w:rPr>
        <w:t>Vă rugăm să identificați dispoziția (dispozițiile) din temeiul juridic care stabilește (stabilesc) intensitatea maximă (intensitățile maxime) a(le) ajutorului aplicabilă (aplicabile) în temeiul măsurii.</w:t>
      </w:r>
    </w:p>
    <w:p w14:paraId="1BAAE813" w14:textId="77777777" w:rsidR="002D03B6" w:rsidRPr="001252D4" w:rsidRDefault="002D03B6" w:rsidP="002D03B6">
      <w:pPr>
        <w:pStyle w:val="Text1"/>
        <w:rPr>
          <w:noProof/>
        </w:rPr>
      </w:pPr>
      <w:r w:rsidRPr="001252D4">
        <w:rPr>
          <w:noProof/>
        </w:rPr>
        <w:lastRenderedPageBreak/>
        <w:t>………………………………………………………………………………….</w:t>
      </w:r>
    </w:p>
    <w:p w14:paraId="0695EE02" w14:textId="77777777" w:rsidR="002D03B6" w:rsidRPr="001252D4" w:rsidRDefault="002D03B6" w:rsidP="002D03B6">
      <w:pPr>
        <w:pStyle w:val="ManualHeading4"/>
        <w:rPr>
          <w:noProof/>
        </w:rPr>
      </w:pPr>
      <w:r w:rsidRPr="001252D4">
        <w:rPr>
          <w:noProof/>
        </w:rPr>
        <w:t>ALTE INFORMAȚII</w:t>
      </w:r>
    </w:p>
    <w:p w14:paraId="40D872AE" w14:textId="77777777" w:rsidR="002D03B6" w:rsidRPr="001252D4" w:rsidRDefault="002D03B6" w:rsidP="002D03B6">
      <w:pPr>
        <w:pStyle w:val="ManualNumPar1"/>
        <w:rPr>
          <w:rFonts w:eastAsia="Times New Roman"/>
          <w:noProof/>
          <w:szCs w:val="24"/>
        </w:rPr>
      </w:pPr>
      <w:r w:rsidRPr="00FC45E0">
        <w:rPr>
          <w:noProof/>
        </w:rPr>
        <w:t>10.</w:t>
      </w:r>
      <w:r w:rsidRPr="00FC45E0">
        <w:rPr>
          <w:noProof/>
        </w:rPr>
        <w:tab/>
      </w:r>
      <w:r w:rsidRPr="001252D4">
        <w:rPr>
          <w:noProof/>
        </w:rPr>
        <w:t>Vă rugăm să indicați orice altă informație considerată relevantă pentru evaluarea măsurii vizate de prezenta secțiune a orientărilor.</w:t>
      </w:r>
    </w:p>
    <w:p w14:paraId="4AB460A4" w14:textId="77777777" w:rsidR="002D03B6" w:rsidRPr="001252D4" w:rsidRDefault="002D03B6" w:rsidP="002D03B6">
      <w:pPr>
        <w:pStyle w:val="Text1"/>
        <w:rPr>
          <w:noProof/>
        </w:rPr>
      </w:pPr>
      <w:r w:rsidRPr="001252D4">
        <w:rPr>
          <w:noProof/>
        </w:rPr>
        <w:t>……………………………………………………………………………………….</w:t>
      </w:r>
    </w:p>
    <w:p w14:paraId="5A1E548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0CDE8" w14:textId="77777777" w:rsidR="002D03B6" w:rsidRDefault="002D03B6" w:rsidP="002D03B6">
      <w:pPr>
        <w:spacing w:before="0" w:after="0"/>
      </w:pPr>
      <w:r>
        <w:separator/>
      </w:r>
    </w:p>
  </w:endnote>
  <w:endnote w:type="continuationSeparator" w:id="0">
    <w:p w14:paraId="6E5870E6" w14:textId="77777777" w:rsidR="002D03B6" w:rsidRDefault="002D03B6" w:rsidP="002D03B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1F4F" w14:textId="77777777" w:rsidR="002D03B6" w:rsidRDefault="002D03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C69A2" w14:textId="3D8BAF31" w:rsidR="002D03B6" w:rsidRDefault="002D03B6" w:rsidP="002D03B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6283" w14:textId="77777777" w:rsidR="002D03B6" w:rsidRDefault="002D03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C2F84" w14:textId="77777777" w:rsidR="002D03B6" w:rsidRDefault="002D03B6" w:rsidP="002D03B6">
      <w:pPr>
        <w:spacing w:before="0" w:after="0"/>
      </w:pPr>
      <w:r>
        <w:separator/>
      </w:r>
    </w:p>
  </w:footnote>
  <w:footnote w:type="continuationSeparator" w:id="0">
    <w:p w14:paraId="7884B702" w14:textId="77777777" w:rsidR="002D03B6" w:rsidRDefault="002D03B6" w:rsidP="002D03B6">
      <w:pPr>
        <w:spacing w:before="0" w:after="0"/>
      </w:pPr>
      <w:r>
        <w:continuationSeparator/>
      </w:r>
    </w:p>
  </w:footnote>
  <w:footnote w:id="1">
    <w:p w14:paraId="04EC4ED8" w14:textId="77777777" w:rsidR="002D03B6" w:rsidRPr="00794B67" w:rsidRDefault="002D03B6" w:rsidP="002D03B6">
      <w:pPr>
        <w:pStyle w:val="FootnoteText"/>
      </w:pPr>
      <w:r>
        <w:rPr>
          <w:rStyle w:val="FootnoteReference"/>
        </w:rPr>
        <w:footnoteRef/>
      </w:r>
      <w:r>
        <w:tab/>
        <w:t>JO C 107, 23.3.2023, p. 1.</w:t>
      </w:r>
    </w:p>
  </w:footnote>
  <w:footnote w:id="2">
    <w:p w14:paraId="78997115" w14:textId="77777777" w:rsidR="002D03B6" w:rsidRPr="000345FA" w:rsidRDefault="002D03B6" w:rsidP="002D03B6">
      <w:pPr>
        <w:pStyle w:val="FootnoteText"/>
      </w:pPr>
      <w:r>
        <w:rPr>
          <w:rStyle w:val="FootnoteReference"/>
        </w:rPr>
        <w:footnoteRef/>
      </w:r>
      <w:r>
        <w:tab/>
        <w:t>A se vedea punctele 225 și 226 din orientări, care descriu succesiunea etapelor legate de raportul național prezentat în anul N și acțiunea întreprinsă de Comisie până la data de 31 martie a anului N+1.</w:t>
      </w:r>
    </w:p>
  </w:footnote>
  <w:footnote w:id="3">
    <w:p w14:paraId="319430CF" w14:textId="77777777" w:rsidR="002D03B6" w:rsidRPr="001A2686" w:rsidRDefault="002D03B6" w:rsidP="002D03B6">
      <w:pPr>
        <w:pStyle w:val="FootnoteText"/>
      </w:pPr>
      <w:r>
        <w:rPr>
          <w:rStyle w:val="FootnoteReference"/>
        </w:rPr>
        <w:footnoteRef/>
      </w:r>
      <w:r>
        <w:tab/>
        <w:t xml:space="preserve">Comunicarea Comisiei către Parlamentul European și Consiliu: Orientări pentru o analiză a echilibrului dintre capacitatea de pescuit și posibilitățile de pescuit în conformitate cu articolul 22 din Regulamentul (UE) nr. 1380/2013 al Parlamentului European și al Consiliului privind politica comună în domeniul pescuitului [COM(2014) 545 final]. </w:t>
      </w:r>
    </w:p>
  </w:footnote>
  <w:footnote w:id="4">
    <w:p w14:paraId="1D214A8C" w14:textId="77777777" w:rsidR="002D03B6" w:rsidRPr="001D7707" w:rsidRDefault="002D03B6" w:rsidP="002D03B6">
      <w:pPr>
        <w:pStyle w:val="FootnoteText"/>
        <w:ind w:left="567" w:hanging="425"/>
      </w:pPr>
      <w:r>
        <w:rPr>
          <w:rStyle w:val="FootnoteReference"/>
        </w:rPr>
        <w:footnoteRef/>
      </w:r>
      <w:r>
        <w:tab/>
        <w:t>Regulamentul (CE) nr. 1224/2009 al Consiliului din 20 noiembrie 2009 de stabilire a unui sistem comunitar de control pentru asigurarea respectării normelor politicii comune în domeniul pescuitului, de modificare a Regulamentelor (CE) nr. 847/96, (CE) nr. 2371/2002, (CE) nr. 811/2004, (CE) nr. 768/2005, (CE) nr. 2115/2005, (CE) nr. 2166/2005, (CE) nr. 388/2006, (CE) nr. 509/2007, (CE) nr. 676/2007, (CE) nr. 1098/2007, (CE) nr. 1300/2008, (CE) nr. 1342/2008 și de abrogare a Regulamentelor (CEE) nr. 2847/93, (CE) nr. 1627/94 și (CE) nr. 1966/2006 (JO L 343, 22.12.2009,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8D34" w14:textId="77777777" w:rsidR="002D03B6" w:rsidRDefault="002D03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B9084" w14:textId="77777777" w:rsidR="002D03B6" w:rsidRDefault="002D03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CFD35" w14:textId="77777777" w:rsidR="002D03B6" w:rsidRDefault="002D03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D03B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03B6"/>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D8E1354"/>
  <w15:chartTrackingRefBased/>
  <w15:docId w15:val="{D8A70D75-A26A-4FD4-8D21-B3EC8C687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3B6"/>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D03B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D03B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D03B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D03B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D03B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03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03B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03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03B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D03B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D03B6"/>
    <w:rPr>
      <w:i/>
      <w:iCs/>
      <w:color w:val="365F91" w:themeColor="accent1" w:themeShade="BF"/>
    </w:rPr>
  </w:style>
  <w:style w:type="paragraph" w:styleId="IntenseQuote">
    <w:name w:val="Intense Quote"/>
    <w:basedOn w:val="Normal"/>
    <w:next w:val="Normal"/>
    <w:link w:val="IntenseQuoteChar"/>
    <w:uiPriority w:val="30"/>
    <w:qFormat/>
    <w:rsid w:val="002D03B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D03B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D03B6"/>
    <w:rPr>
      <w:b/>
      <w:bCs/>
      <w:smallCaps/>
      <w:color w:val="365F91" w:themeColor="accent1" w:themeShade="BF"/>
      <w:spacing w:val="5"/>
    </w:rPr>
  </w:style>
  <w:style w:type="paragraph" w:styleId="Signature">
    <w:name w:val="Signature"/>
    <w:basedOn w:val="Normal"/>
    <w:link w:val="FootnoteReference"/>
    <w:uiPriority w:val="99"/>
    <w:rsid w:val="002D03B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2D03B6"/>
    <w:rPr>
      <w:rFonts w:ascii="Times New Roman" w:hAnsi="Times New Roman" w:cs="Times New Roman"/>
      <w:kern w:val="0"/>
      <w:sz w:val="24"/>
      <w:lang w:val="ro-RO"/>
      <w14:ligatures w14:val="none"/>
    </w:rPr>
  </w:style>
  <w:style w:type="paragraph" w:customStyle="1" w:styleId="Text1">
    <w:name w:val="Text 1"/>
    <w:basedOn w:val="Normal"/>
    <w:rsid w:val="002D03B6"/>
    <w:pPr>
      <w:ind w:left="850"/>
    </w:pPr>
  </w:style>
  <w:style w:type="paragraph" w:customStyle="1" w:styleId="Point1">
    <w:name w:val="Point 1"/>
    <w:basedOn w:val="Normal"/>
    <w:rsid w:val="002D03B6"/>
    <w:pPr>
      <w:ind w:left="1417" w:hanging="567"/>
    </w:pPr>
  </w:style>
  <w:style w:type="paragraph" w:customStyle="1" w:styleId="Point0number">
    <w:name w:val="Point 0 (number)"/>
    <w:basedOn w:val="Normal"/>
    <w:rsid w:val="002D03B6"/>
    <w:pPr>
      <w:numPr>
        <w:numId w:val="45"/>
      </w:numPr>
    </w:pPr>
  </w:style>
  <w:style w:type="paragraph" w:customStyle="1" w:styleId="Point1number">
    <w:name w:val="Point 1 (number)"/>
    <w:basedOn w:val="Normal"/>
    <w:rsid w:val="002D03B6"/>
    <w:pPr>
      <w:numPr>
        <w:ilvl w:val="2"/>
        <w:numId w:val="45"/>
      </w:numPr>
    </w:pPr>
  </w:style>
  <w:style w:type="paragraph" w:customStyle="1" w:styleId="Point2number">
    <w:name w:val="Point 2 (number)"/>
    <w:basedOn w:val="Normal"/>
    <w:rsid w:val="002D03B6"/>
    <w:pPr>
      <w:numPr>
        <w:ilvl w:val="4"/>
        <w:numId w:val="45"/>
      </w:numPr>
    </w:pPr>
  </w:style>
  <w:style w:type="paragraph" w:customStyle="1" w:styleId="Point3number">
    <w:name w:val="Point 3 (number)"/>
    <w:basedOn w:val="Normal"/>
    <w:rsid w:val="002D03B6"/>
    <w:pPr>
      <w:numPr>
        <w:ilvl w:val="6"/>
        <w:numId w:val="45"/>
      </w:numPr>
    </w:pPr>
  </w:style>
  <w:style w:type="paragraph" w:customStyle="1" w:styleId="Point0letter">
    <w:name w:val="Point 0 (letter)"/>
    <w:basedOn w:val="Normal"/>
    <w:rsid w:val="002D03B6"/>
    <w:pPr>
      <w:numPr>
        <w:ilvl w:val="1"/>
        <w:numId w:val="45"/>
      </w:numPr>
    </w:pPr>
  </w:style>
  <w:style w:type="paragraph" w:customStyle="1" w:styleId="Point1letter">
    <w:name w:val="Point 1 (letter)"/>
    <w:basedOn w:val="Normal"/>
    <w:rsid w:val="002D03B6"/>
    <w:pPr>
      <w:numPr>
        <w:ilvl w:val="3"/>
        <w:numId w:val="45"/>
      </w:numPr>
    </w:pPr>
  </w:style>
  <w:style w:type="paragraph" w:customStyle="1" w:styleId="Point2letter">
    <w:name w:val="Point 2 (letter)"/>
    <w:basedOn w:val="Normal"/>
    <w:rsid w:val="002D03B6"/>
    <w:pPr>
      <w:numPr>
        <w:ilvl w:val="5"/>
        <w:numId w:val="45"/>
      </w:numPr>
    </w:pPr>
  </w:style>
  <w:style w:type="paragraph" w:customStyle="1" w:styleId="Point3letter">
    <w:name w:val="Point 3 (letter)"/>
    <w:basedOn w:val="Normal"/>
    <w:rsid w:val="002D03B6"/>
    <w:pPr>
      <w:numPr>
        <w:ilvl w:val="7"/>
        <w:numId w:val="45"/>
      </w:numPr>
    </w:pPr>
  </w:style>
  <w:style w:type="paragraph" w:customStyle="1" w:styleId="Point4letter">
    <w:name w:val="Point 4 (letter)"/>
    <w:basedOn w:val="Normal"/>
    <w:rsid w:val="002D03B6"/>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1290</Words>
  <Characters>8347</Characters>
  <DocSecurity>0</DocSecurity>
  <Lines>166</Lines>
  <Paragraphs>105</Paragraphs>
  <ScaleCrop>false</ScaleCrop>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2025-05-26T12:00:00Z</dcterms:created>
  <dcterms:modified xsi:type="dcterms:W3CDTF">2025-05-26T12:00:00Z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2025-05-26T12:00:55Z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acbc41a0-11e6-482d-b2a4-528a599e81e0</vt:lpwstr>
  </property>
  <property fmtid="{D5CDD505-2E9C-101B-9397-08002B2CF9AE}" pid="8" name="MSIP_Label_6bd9ddd1-4d20-43f6-abfa-fc3c07406f94_ContentBits">
    <vt:lpwstr>0</vt:lpwstr>
  </property>
</Properties>
</file>