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B7A59" w14:textId="77777777" w:rsidR="006267EE" w:rsidRPr="001D6573" w:rsidRDefault="006267EE" w:rsidP="006267EE">
      <w:pPr>
        <w:pStyle w:val="ManualHeading1"/>
        <w:rPr>
          <w:noProof/>
        </w:rPr>
      </w:pPr>
      <w:r w:rsidRPr="001D6573">
        <w:rPr>
          <w:noProof/>
        </w:rPr>
        <w:t>3.3. PAPILDINFORMĀCIJAS ANKETA PAR ATBALSTU ZVEJAS KUĢA BRUTO TILPĪBAS PALIELINĀŠANAI DROŠĪBAS, DARBA APSTĀKĻU VAI ENERGOEFEKTIVITĀTES UZLABOŠANAS NOLŪKOS</w:t>
      </w:r>
    </w:p>
    <w:p w14:paraId="0A917B6E" w14:textId="77777777" w:rsidR="006267EE" w:rsidRPr="001D6573" w:rsidRDefault="006267EE" w:rsidP="006267EE">
      <w:pPr>
        <w:spacing w:after="0"/>
        <w:rPr>
          <w:rFonts w:eastAsia="Times New Roman"/>
          <w:i/>
          <w:noProof/>
          <w:szCs w:val="24"/>
        </w:rPr>
      </w:pPr>
      <w:r w:rsidRPr="001D6573">
        <w:rPr>
          <w:i/>
          <w:noProof/>
        </w:rPr>
        <w:t>Šī veidlapa dalībvalstīm jāizmanto, lai paziņotu atbalstu, kas paredzēts zvejas kuģa bruto tilpības palielināšanai drošības, darba apstākļu vai energoefektivitātes uzlabošanas nolūkos un aprakstīts Pamatnostādņu par valsts atbalstu zvejniecības un akvakultūras nozarē</w:t>
      </w:r>
      <w:r w:rsidRPr="001D6573">
        <w:rPr>
          <w:rStyle w:val="FootnoteReference"/>
          <w:rFonts w:eastAsia="Times New Roman"/>
          <w:i/>
          <w:noProof/>
          <w:szCs w:val="24"/>
          <w:lang w:eastAsia="en-GB"/>
        </w:rPr>
        <w:footnoteReference w:id="1"/>
      </w:r>
      <w:r w:rsidRPr="001D6573">
        <w:rPr>
          <w:i/>
          <w:noProof/>
        </w:rPr>
        <w:t xml:space="preserve"> (“Pamatnostādnes”) II daļas 3. nodaļas 3.3. iedaļā.</w:t>
      </w:r>
    </w:p>
    <w:p w14:paraId="0A38EF4D" w14:textId="77777777" w:rsidR="006267EE" w:rsidRPr="001D6573" w:rsidRDefault="006267EE" w:rsidP="006267EE">
      <w:pPr>
        <w:pStyle w:val="ManualNumPar1"/>
        <w:rPr>
          <w:noProof/>
        </w:rPr>
      </w:pPr>
      <w:r w:rsidRPr="008E5076">
        <w:rPr>
          <w:noProof/>
        </w:rPr>
        <w:t>1.</w:t>
      </w:r>
      <w:r w:rsidRPr="008E5076">
        <w:rPr>
          <w:noProof/>
        </w:rPr>
        <w:tab/>
      </w:r>
      <w:r w:rsidRPr="001D6573">
        <w:rPr>
          <w:noProof/>
        </w:rPr>
        <w:t xml:space="preserve">Apstipriniet, ka pasākums noteic, ka Savienības zvejas kuģus, attiecībā uz kuriem atbalsts piešķirts, vismaz piecus gadus pēc atbalsta galīgā maksājuma nedrīkst nodot vai mainīt to karogu ārpus Savienības. </w:t>
      </w:r>
    </w:p>
    <w:p w14:paraId="45410343" w14:textId="77777777" w:rsidR="006267EE" w:rsidRPr="001D6573" w:rsidRDefault="006267EE" w:rsidP="006267EE">
      <w:pPr>
        <w:pStyle w:val="Text1"/>
        <w:rPr>
          <w:noProof/>
        </w:rPr>
      </w:pPr>
      <w:sdt>
        <w:sdtPr>
          <w:rPr>
            <w:noProof/>
          </w:rPr>
          <w:id w:val="-154211800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31815029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A26F435" w14:textId="77777777" w:rsidR="006267EE" w:rsidRPr="001D6573" w:rsidRDefault="006267EE" w:rsidP="006267EE">
      <w:pPr>
        <w:pStyle w:val="ManualNumPar2"/>
        <w:rPr>
          <w:noProof/>
        </w:rPr>
      </w:pPr>
      <w:r w:rsidRPr="008E5076">
        <w:rPr>
          <w:noProof/>
        </w:rPr>
        <w:t>1.1.</w:t>
      </w:r>
      <w:r w:rsidRPr="008E5076">
        <w:rPr>
          <w:noProof/>
        </w:rPr>
        <w:tab/>
      </w:r>
      <w:r w:rsidRPr="001D6573">
        <w:rPr>
          <w:noProof/>
        </w:rPr>
        <w:t>Ja atbilde ir “jā”, norādiet relevanto juridiskā pamata noteikumu (noteikumus).</w:t>
      </w:r>
    </w:p>
    <w:p w14:paraId="73739168" w14:textId="77777777" w:rsidR="006267EE" w:rsidRPr="001D6573" w:rsidRDefault="006267EE" w:rsidP="006267EE">
      <w:pPr>
        <w:pStyle w:val="Text1"/>
        <w:rPr>
          <w:noProof/>
        </w:rPr>
      </w:pPr>
      <w:r w:rsidRPr="001D6573">
        <w:rPr>
          <w:noProof/>
        </w:rPr>
        <w:t>………………………………………………………………………………….</w:t>
      </w:r>
    </w:p>
    <w:p w14:paraId="339E4229" w14:textId="77777777" w:rsidR="006267EE" w:rsidRPr="001D6573" w:rsidRDefault="006267EE" w:rsidP="006267EE">
      <w:pPr>
        <w:pStyle w:val="ManualNumPar1"/>
        <w:rPr>
          <w:rFonts w:eastAsia="Times New Roman"/>
          <w:noProof/>
          <w:szCs w:val="24"/>
        </w:rPr>
      </w:pPr>
      <w:r w:rsidRPr="008E5076">
        <w:rPr>
          <w:noProof/>
        </w:rPr>
        <w:t>2.</w:t>
      </w:r>
      <w:r w:rsidRPr="008E5076">
        <w:rPr>
          <w:noProof/>
        </w:rPr>
        <w:tab/>
      </w:r>
      <w:r w:rsidRPr="001D6573">
        <w:rPr>
          <w:noProof/>
        </w:rPr>
        <w:t>Saskaņā ar Pamatnostādņu 265. punkta a) apakšpunktu zvejas kuģiem ir jāietilpst flotes segmentā, par kuru Regulas (ES) Nr. 1380/2013 22. panta 2. punktā minētajā jaunākajā zvejas kapacitātes ziņojumā (turpmāk “valsts ziņojums”) norādīts, ka minētais segments ir līdzsvarā ar tam pieejamajām zvejas iespējām. Saskaņā ar Pamatnostādņu 266. punktu to 265. punkta a) apakšpunkta vajadzībām piemēro procedūru un nosacījumus, kas izklāstīti II daļas 2. nodaļas 2.2. iedaļas 225.–227. punktā. Ņemot vērā iepriekš minēto, apstipriniet tālāk minēto informāciju.</w:t>
      </w:r>
    </w:p>
    <w:p w14:paraId="595CF0A4" w14:textId="77777777" w:rsidR="006267EE" w:rsidRPr="001D6573" w:rsidRDefault="006267EE" w:rsidP="006267EE">
      <w:pPr>
        <w:rPr>
          <w:i/>
          <w:iCs/>
          <w:noProof/>
        </w:rPr>
      </w:pPr>
      <w:r w:rsidRPr="001D6573">
        <w:rPr>
          <w:i/>
          <w:noProof/>
        </w:rPr>
        <w:t>Ja pasākums attiecas uz zveju iekšējos ūdeņos, uz 2.1.–2.2.6.1. jautājumu nav jāatbild.</w:t>
      </w:r>
    </w:p>
    <w:p w14:paraId="5D88A3EF" w14:textId="77777777" w:rsidR="006267EE" w:rsidRPr="001D6573" w:rsidRDefault="006267EE" w:rsidP="006267EE">
      <w:pPr>
        <w:pStyle w:val="ManualNumPar2"/>
        <w:rPr>
          <w:rFonts w:eastAsia="Times New Roman"/>
          <w:noProof/>
          <w:szCs w:val="24"/>
        </w:rPr>
      </w:pPr>
      <w:r w:rsidRPr="008E5076">
        <w:rPr>
          <w:noProof/>
        </w:rPr>
        <w:t>2.1.</w:t>
      </w:r>
      <w:r w:rsidRPr="008E5076">
        <w:rPr>
          <w:noProof/>
        </w:rPr>
        <w:tab/>
      </w:r>
      <w:r w:rsidRPr="001D6573">
        <w:rPr>
          <w:noProof/>
        </w:rPr>
        <w:t>Kad sagatavots jaunākais valsts ziņojums pirms atbalsta piešķiršanas dienas?</w:t>
      </w:r>
    </w:p>
    <w:p w14:paraId="5E05F84A" w14:textId="77777777" w:rsidR="006267EE" w:rsidRPr="001D6573" w:rsidRDefault="006267EE" w:rsidP="006267EE">
      <w:pPr>
        <w:pStyle w:val="Text1"/>
        <w:rPr>
          <w:noProof/>
        </w:rPr>
      </w:pPr>
      <w:r w:rsidRPr="001D6573">
        <w:rPr>
          <w:noProof/>
        </w:rPr>
        <w:t>……………………………………………………………………………………….</w:t>
      </w:r>
    </w:p>
    <w:p w14:paraId="26132160" w14:textId="77777777" w:rsidR="006267EE" w:rsidRPr="001D6573" w:rsidRDefault="006267EE" w:rsidP="006267EE">
      <w:pPr>
        <w:pStyle w:val="ManualNumPar3"/>
        <w:rPr>
          <w:noProof/>
        </w:rPr>
      </w:pPr>
      <w:r w:rsidRPr="008E5076">
        <w:rPr>
          <w:noProof/>
        </w:rPr>
        <w:t>2.1.1.</w:t>
      </w:r>
      <w:r w:rsidRPr="008E5076">
        <w:rPr>
          <w:noProof/>
        </w:rPr>
        <w:tab/>
      </w:r>
      <w:r w:rsidRPr="001D6573">
        <w:rPr>
          <w:noProof/>
        </w:rPr>
        <w:t>Norādiet saiti uz jaunāko valsts ziņojumu vai pievienojiet to paziņojumam.</w:t>
      </w:r>
    </w:p>
    <w:p w14:paraId="46F42855" w14:textId="77777777" w:rsidR="006267EE" w:rsidRPr="001D6573" w:rsidRDefault="006267EE" w:rsidP="006267EE">
      <w:pPr>
        <w:pStyle w:val="Text1"/>
        <w:rPr>
          <w:noProof/>
        </w:rPr>
      </w:pPr>
      <w:r w:rsidRPr="001D6573">
        <w:rPr>
          <w:noProof/>
        </w:rPr>
        <w:t>……………………………………………………………………………………….</w:t>
      </w:r>
    </w:p>
    <w:p w14:paraId="1FBC1129" w14:textId="77777777" w:rsidR="006267EE" w:rsidRPr="001D6573" w:rsidRDefault="006267EE" w:rsidP="006267EE">
      <w:pPr>
        <w:pStyle w:val="ManualNumPar2"/>
        <w:rPr>
          <w:rFonts w:eastAsia="Times New Roman"/>
          <w:noProof/>
          <w:szCs w:val="24"/>
        </w:rPr>
      </w:pPr>
      <w:r w:rsidRPr="008E5076">
        <w:rPr>
          <w:noProof/>
        </w:rPr>
        <w:t>2.2.</w:t>
      </w:r>
      <w:r w:rsidRPr="008E5076">
        <w:rPr>
          <w:noProof/>
        </w:rPr>
        <w:tab/>
      </w:r>
      <w:r w:rsidRPr="001D6573">
        <w:rPr>
          <w:noProof/>
        </w:rPr>
        <w:t>Apstipriniet, ka attiecībā uz visu piešķiramo atbalstu ir izpildīti šādi nosacījumi.</w:t>
      </w:r>
    </w:p>
    <w:p w14:paraId="0CEB01ED" w14:textId="77777777" w:rsidR="006267EE" w:rsidRPr="001D6573" w:rsidRDefault="006267EE" w:rsidP="006267EE">
      <w:pPr>
        <w:pStyle w:val="ManualNumPar3"/>
        <w:rPr>
          <w:noProof/>
        </w:rPr>
      </w:pPr>
      <w:r w:rsidRPr="008E5076">
        <w:rPr>
          <w:noProof/>
        </w:rPr>
        <w:t>2.2.1.</w:t>
      </w:r>
      <w:r w:rsidRPr="008E5076">
        <w:rPr>
          <w:noProof/>
        </w:rPr>
        <w:tab/>
      </w:r>
      <w:r w:rsidRPr="001D6573">
        <w:rPr>
          <w:noProof/>
        </w:rPr>
        <w:t>Vai valsts ziņojums tika iesniegts līdz N gada</w:t>
      </w:r>
      <w:r w:rsidRPr="001D6573">
        <w:rPr>
          <w:rStyle w:val="FootnoteReference"/>
          <w:rFonts w:eastAsia="Times New Roman"/>
          <w:noProof/>
          <w:szCs w:val="24"/>
          <w:lang w:eastAsia="en-GB"/>
        </w:rPr>
        <w:footnoteReference w:id="2"/>
      </w:r>
      <w:r w:rsidRPr="001D6573">
        <w:rPr>
          <w:noProof/>
        </w:rPr>
        <w:t xml:space="preserve"> 31. maijam?</w:t>
      </w:r>
    </w:p>
    <w:p w14:paraId="2EB5A522" w14:textId="77777777" w:rsidR="006267EE" w:rsidRPr="001D6573" w:rsidRDefault="006267EE" w:rsidP="006267EE">
      <w:pPr>
        <w:pStyle w:val="Text1"/>
        <w:rPr>
          <w:noProof/>
        </w:rPr>
      </w:pPr>
      <w:sdt>
        <w:sdtPr>
          <w:rPr>
            <w:noProof/>
          </w:rPr>
          <w:id w:val="47394684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6457813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98CE07F" w14:textId="77777777" w:rsidR="006267EE" w:rsidRPr="001D6573" w:rsidRDefault="006267EE" w:rsidP="006267EE">
      <w:pPr>
        <w:pStyle w:val="ManualNumPar3"/>
        <w:rPr>
          <w:rFonts w:eastAsia="Times New Roman"/>
          <w:noProof/>
          <w:szCs w:val="24"/>
        </w:rPr>
      </w:pPr>
      <w:r w:rsidRPr="008E5076">
        <w:rPr>
          <w:noProof/>
        </w:rPr>
        <w:t>2.2.2.</w:t>
      </w:r>
      <w:r w:rsidRPr="008E5076">
        <w:rPr>
          <w:noProof/>
        </w:rPr>
        <w:tab/>
      </w:r>
      <w:r w:rsidRPr="001D6573">
        <w:rPr>
          <w:noProof/>
        </w:rPr>
        <w:t>Apstipriniet, ka N gadā iesniegtais valsts ziņojums, jo īpaši tajā ietvertais līdzsvara novērtējums, ir sagatavots, pamatojoties uz bioloģiskajiem, ekonomiskajiem un kuģu izmantojuma rādītājiem, kas noteikti Regulas (ES) Nr. 1380/2013 22. panta 2. punktā minētajās kopīgajās pamatnostādnēs</w:t>
      </w:r>
      <w:r w:rsidRPr="001D6573">
        <w:rPr>
          <w:rStyle w:val="FootnoteReference"/>
          <w:rFonts w:eastAsia="Times New Roman"/>
          <w:noProof/>
          <w:szCs w:val="24"/>
          <w:lang w:eastAsia="en-GB"/>
        </w:rPr>
        <w:footnoteReference w:id="3"/>
      </w:r>
      <w:r w:rsidRPr="001D6573">
        <w:rPr>
          <w:noProof/>
        </w:rPr>
        <w:t>.</w:t>
      </w:r>
    </w:p>
    <w:p w14:paraId="7C8D2520" w14:textId="77777777" w:rsidR="006267EE" w:rsidRPr="001D6573" w:rsidRDefault="006267EE" w:rsidP="006267EE">
      <w:pPr>
        <w:pStyle w:val="Text1"/>
        <w:rPr>
          <w:noProof/>
        </w:rPr>
      </w:pPr>
      <w:sdt>
        <w:sdtPr>
          <w:rPr>
            <w:noProof/>
          </w:rPr>
          <w:id w:val="-133360528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49792655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DD63748" w14:textId="77777777" w:rsidR="006267EE" w:rsidRPr="001D6573" w:rsidRDefault="006267EE" w:rsidP="006267EE">
      <w:pPr>
        <w:pStyle w:val="Text1"/>
        <w:rPr>
          <w:noProof/>
        </w:rPr>
      </w:pPr>
      <w:r w:rsidRPr="001D6573">
        <w:rPr>
          <w:noProof/>
        </w:rPr>
        <w:lastRenderedPageBreak/>
        <w:t xml:space="preserve">Ņemiet vērā, ka atbalstu nedrīkst piešķirt, ja valsts ziņojums, jo īpaši tajā ietvertais līdzsvara novērtējums, nav sagatavots, pamatojoties uz bioloģiskajiem, ekonomiskajiem un kuģu izmantojuma rādītājiem, kas noteikti Regulas (ES) Nr. 1380/2013 22. panta 2. punktā minētajās kopīgajās pamatnostādnēs. </w:t>
      </w:r>
    </w:p>
    <w:p w14:paraId="2E13AC55" w14:textId="77777777" w:rsidR="006267EE" w:rsidRPr="001D6573" w:rsidRDefault="006267EE" w:rsidP="006267EE">
      <w:pPr>
        <w:pStyle w:val="ManualNumPar3"/>
        <w:rPr>
          <w:rFonts w:eastAsia="Times New Roman"/>
          <w:noProof/>
          <w:szCs w:val="24"/>
        </w:rPr>
      </w:pPr>
      <w:r w:rsidRPr="008E5076">
        <w:rPr>
          <w:noProof/>
        </w:rPr>
        <w:t>2.2.3.</w:t>
      </w:r>
      <w:r w:rsidRPr="008E5076">
        <w:rPr>
          <w:noProof/>
        </w:rPr>
        <w:tab/>
      </w:r>
      <w:r w:rsidRPr="001D6573">
        <w:rPr>
          <w:noProof/>
        </w:rPr>
        <w:t>Vai N gadā iesniegtajā valsts ziņojumā ir pierādīts, ka flotes segmentā, pie kura kuģis pieder, pastāv līdzsvars starp zvejas kapacitāti un zvejas iespējām?</w:t>
      </w:r>
    </w:p>
    <w:p w14:paraId="43C7174A" w14:textId="77777777" w:rsidR="006267EE" w:rsidRPr="001D6573" w:rsidRDefault="006267EE" w:rsidP="006267EE">
      <w:pPr>
        <w:pStyle w:val="Text1"/>
        <w:rPr>
          <w:noProof/>
        </w:rPr>
      </w:pPr>
      <w:sdt>
        <w:sdtPr>
          <w:rPr>
            <w:noProof/>
          </w:rPr>
          <w:id w:val="206675674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1024128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7D546A0" w14:textId="77777777" w:rsidR="006267EE" w:rsidRPr="001D6573" w:rsidRDefault="006267EE" w:rsidP="006267EE">
      <w:pPr>
        <w:pStyle w:val="ManualNumPar3"/>
        <w:rPr>
          <w:rFonts w:eastAsia="Times New Roman"/>
          <w:noProof/>
          <w:szCs w:val="24"/>
        </w:rPr>
      </w:pPr>
      <w:r w:rsidRPr="008E5076">
        <w:rPr>
          <w:noProof/>
        </w:rPr>
        <w:t>2.2.4.</w:t>
      </w:r>
      <w:r w:rsidRPr="008E5076">
        <w:rPr>
          <w:noProof/>
        </w:rPr>
        <w:tab/>
      </w:r>
      <w:r w:rsidRPr="001D6573">
        <w:rPr>
          <w:noProof/>
        </w:rPr>
        <w:t>Paskaidrojiet, kā pasākuma izstrādē tika ņemts vērā valsts ziņojums un kā tika panākts līdzsvars.</w:t>
      </w:r>
    </w:p>
    <w:p w14:paraId="5C0352AC" w14:textId="77777777" w:rsidR="006267EE" w:rsidRPr="001D6573" w:rsidRDefault="006267EE" w:rsidP="006267EE">
      <w:pPr>
        <w:pStyle w:val="Text1"/>
        <w:rPr>
          <w:noProof/>
        </w:rPr>
      </w:pPr>
      <w:r w:rsidRPr="001D6573">
        <w:rPr>
          <w:noProof/>
        </w:rPr>
        <w:t>…………………………………………………………………………………….</w:t>
      </w:r>
    </w:p>
    <w:p w14:paraId="06877591" w14:textId="77777777" w:rsidR="006267EE" w:rsidRPr="001D6573" w:rsidRDefault="006267EE" w:rsidP="006267EE">
      <w:pPr>
        <w:pStyle w:val="ManualNumPar3"/>
        <w:rPr>
          <w:rFonts w:eastAsia="Times New Roman"/>
          <w:noProof/>
          <w:szCs w:val="24"/>
        </w:rPr>
      </w:pPr>
      <w:r w:rsidRPr="008E5076">
        <w:rPr>
          <w:noProof/>
        </w:rPr>
        <w:t>2.2.5.</w:t>
      </w:r>
      <w:r w:rsidRPr="008E5076">
        <w:rPr>
          <w:noProof/>
        </w:rPr>
        <w:tab/>
      </w:r>
      <w:r w:rsidRPr="001D6573">
        <w:rPr>
          <w:noProof/>
        </w:rPr>
        <w:t>Apstipriniet, ka Komisija līdz N+1 gada 31. martam nav apšaubījusi:</w:t>
      </w:r>
    </w:p>
    <w:p w14:paraId="15B5F06E" w14:textId="77777777" w:rsidR="006267EE" w:rsidRPr="001D6573" w:rsidRDefault="006267EE" w:rsidP="006267EE">
      <w:pPr>
        <w:pStyle w:val="Point1"/>
        <w:rPr>
          <w:noProof/>
        </w:rPr>
      </w:pPr>
      <w:r w:rsidRPr="008E5076">
        <w:rPr>
          <w:noProof/>
        </w:rPr>
        <w:t>(a)</w:t>
      </w:r>
      <w:r w:rsidRPr="008E5076">
        <w:rPr>
          <w:noProof/>
        </w:rPr>
        <w:tab/>
      </w:r>
      <w:sdt>
        <w:sdtPr>
          <w:rPr>
            <w:rFonts w:ascii="MS Gothic" w:eastAsia="MS Gothic" w:hAnsi="MS Gothic"/>
            <w:noProof/>
          </w:rPr>
          <w:id w:val="-133814550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 gadā iesniegtā valsts ziņojuma secinājumus; </w:t>
      </w:r>
    </w:p>
    <w:p w14:paraId="7FD55AA3" w14:textId="77777777" w:rsidR="006267EE" w:rsidRPr="001D6573" w:rsidRDefault="006267EE" w:rsidP="006267EE">
      <w:pPr>
        <w:pStyle w:val="Point1"/>
        <w:rPr>
          <w:noProof/>
        </w:rPr>
      </w:pPr>
      <w:r w:rsidRPr="008E5076">
        <w:rPr>
          <w:noProof/>
        </w:rPr>
        <w:t>(b)</w:t>
      </w:r>
      <w:r w:rsidRPr="008E5076">
        <w:rPr>
          <w:noProof/>
        </w:rPr>
        <w:tab/>
      </w:r>
      <w:sdt>
        <w:sdtPr>
          <w:rPr>
            <w:rFonts w:ascii="MS Gothic" w:eastAsia="MS Gothic" w:hAnsi="MS Gothic"/>
            <w:noProof/>
          </w:rPr>
          <w:id w:val="81985764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līdzsvara novērtējumu, kas ietverts N gadā iesniegtajā valsts ziņojumā.</w:t>
      </w:r>
    </w:p>
    <w:p w14:paraId="370325A3" w14:textId="77777777" w:rsidR="006267EE" w:rsidRPr="001D6573" w:rsidRDefault="006267EE" w:rsidP="006267EE">
      <w:pPr>
        <w:pStyle w:val="ManualNumPar3"/>
        <w:rPr>
          <w:rFonts w:eastAsia="Times New Roman"/>
          <w:noProof/>
          <w:szCs w:val="24"/>
        </w:rPr>
      </w:pPr>
      <w:r w:rsidRPr="008E5076">
        <w:rPr>
          <w:noProof/>
        </w:rPr>
        <w:t>2.2.6.</w:t>
      </w:r>
      <w:r w:rsidRPr="008E5076">
        <w:rPr>
          <w:noProof/>
        </w:rPr>
        <w:tab/>
      </w:r>
      <w:r w:rsidRPr="001D6573">
        <w:rPr>
          <w:noProof/>
        </w:rPr>
        <w:t xml:space="preserve">Apstipriniet, ka pasākums noteic, ka uz N gadā iesniegtā valsts ziņojuma pamata atbalstu drīkst piešķirt tikai līdz N+1 gada 31. decembrim, t. i., nākamajam gadam pēc ziņojuma iesniegšanas gada. </w:t>
      </w:r>
    </w:p>
    <w:p w14:paraId="0EC7B2F6" w14:textId="77777777" w:rsidR="006267EE" w:rsidRPr="001D6573" w:rsidRDefault="006267EE" w:rsidP="006267EE">
      <w:pPr>
        <w:pStyle w:val="Text1"/>
        <w:rPr>
          <w:noProof/>
        </w:rPr>
      </w:pPr>
      <w:sdt>
        <w:sdtPr>
          <w:rPr>
            <w:noProof/>
          </w:rPr>
          <w:id w:val="170674525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1226763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E294B8E" w14:textId="77777777" w:rsidR="006267EE" w:rsidRPr="001D6573" w:rsidRDefault="006267EE" w:rsidP="006267EE">
      <w:pPr>
        <w:pStyle w:val="ManualNumPar4"/>
        <w:rPr>
          <w:noProof/>
        </w:rPr>
      </w:pPr>
      <w:r w:rsidRPr="008E5076">
        <w:rPr>
          <w:noProof/>
        </w:rPr>
        <w:t>2.2.6.1.</w:t>
      </w:r>
      <w:r w:rsidRPr="008E5076">
        <w:rPr>
          <w:noProof/>
        </w:rPr>
        <w:tab/>
      </w:r>
      <w:r w:rsidRPr="001D6573">
        <w:rPr>
          <w:noProof/>
        </w:rPr>
        <w:t>Ja atbilde ir “jā”, norādiet relevanto juridiskā pamata noteikumu (noteikumus).</w:t>
      </w:r>
    </w:p>
    <w:p w14:paraId="3144454D" w14:textId="77777777" w:rsidR="006267EE" w:rsidRPr="001D6573" w:rsidRDefault="006267EE" w:rsidP="006267EE">
      <w:pPr>
        <w:pStyle w:val="Text1"/>
        <w:rPr>
          <w:noProof/>
        </w:rPr>
      </w:pPr>
      <w:r w:rsidRPr="001D6573">
        <w:rPr>
          <w:noProof/>
        </w:rPr>
        <w:t>…………………………………………………………………………………</w:t>
      </w:r>
    </w:p>
    <w:p w14:paraId="23237616" w14:textId="77777777" w:rsidR="006267EE" w:rsidRPr="001D6573" w:rsidRDefault="006267EE" w:rsidP="006267EE">
      <w:pPr>
        <w:pStyle w:val="ManualNumPar1"/>
        <w:rPr>
          <w:noProof/>
        </w:rPr>
      </w:pPr>
      <w:r w:rsidRPr="008E5076">
        <w:rPr>
          <w:noProof/>
        </w:rPr>
        <w:t>3.</w:t>
      </w:r>
      <w:r w:rsidRPr="008E5076">
        <w:rPr>
          <w:noProof/>
        </w:rPr>
        <w:tab/>
      </w:r>
      <w:r w:rsidRPr="001D6573">
        <w:rPr>
          <w:noProof/>
        </w:rPr>
        <w:t>Apstipriniet, ka pasākums noteic, ka zvejas kuģu lielākais garums nedrīkst pārsniegt 24 metrus.</w:t>
      </w:r>
    </w:p>
    <w:p w14:paraId="2275FF0A" w14:textId="77777777" w:rsidR="006267EE" w:rsidRPr="001D6573" w:rsidRDefault="006267EE" w:rsidP="006267EE">
      <w:pPr>
        <w:pStyle w:val="Text1"/>
        <w:rPr>
          <w:noProof/>
        </w:rPr>
      </w:pPr>
      <w:sdt>
        <w:sdtPr>
          <w:rPr>
            <w:noProof/>
          </w:rPr>
          <w:id w:val="188343151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07377621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3C5DC54" w14:textId="77777777" w:rsidR="006267EE" w:rsidRPr="001D6573" w:rsidRDefault="006267EE" w:rsidP="006267EE">
      <w:pPr>
        <w:pStyle w:val="ManualNumPar2"/>
        <w:rPr>
          <w:noProof/>
        </w:rPr>
      </w:pPr>
      <w:r w:rsidRPr="008E5076">
        <w:rPr>
          <w:noProof/>
        </w:rPr>
        <w:t>3.1.</w:t>
      </w:r>
      <w:r w:rsidRPr="008E5076">
        <w:rPr>
          <w:noProof/>
        </w:rPr>
        <w:tab/>
      </w:r>
      <w:r w:rsidRPr="001D6573">
        <w:rPr>
          <w:noProof/>
        </w:rPr>
        <w:t>Ja atbilde ir “jā”, norādiet relevanto juridiskā pamata noteikumu (noteikumus).</w:t>
      </w:r>
    </w:p>
    <w:p w14:paraId="78A2571B" w14:textId="77777777" w:rsidR="006267EE" w:rsidRPr="001D6573" w:rsidRDefault="006267EE" w:rsidP="006267EE">
      <w:pPr>
        <w:pStyle w:val="Text1"/>
        <w:rPr>
          <w:noProof/>
        </w:rPr>
      </w:pPr>
      <w:r w:rsidRPr="001D6573">
        <w:rPr>
          <w:noProof/>
        </w:rPr>
        <w:t>……………………………………………………………………………………….</w:t>
      </w:r>
    </w:p>
    <w:p w14:paraId="06F4A9C9" w14:textId="77777777" w:rsidR="006267EE" w:rsidRPr="001D6573" w:rsidRDefault="006267EE" w:rsidP="006267EE">
      <w:pPr>
        <w:pStyle w:val="ManualNumPar1"/>
        <w:rPr>
          <w:rFonts w:eastAsia="Times New Roman"/>
          <w:noProof/>
          <w:szCs w:val="24"/>
        </w:rPr>
      </w:pPr>
      <w:r w:rsidRPr="008E5076">
        <w:rPr>
          <w:noProof/>
        </w:rPr>
        <w:t>4.</w:t>
      </w:r>
      <w:r w:rsidRPr="008E5076">
        <w:rPr>
          <w:noProof/>
        </w:rPr>
        <w:tab/>
      </w:r>
      <w:r w:rsidRPr="001D6573">
        <w:rPr>
          <w:noProof/>
        </w:rPr>
        <w:t>Apstipriniet, ka pasākums paredz, ka zvejas kuģiem Savienības zvejas flotes reģistrā jābūt bijušiem reģistrētiem vismaz 10 kalendāros gadus pirms atbalsta pieteikuma iesniegšanas gada.</w:t>
      </w:r>
    </w:p>
    <w:p w14:paraId="73224AF9" w14:textId="77777777" w:rsidR="006267EE" w:rsidRPr="001D6573" w:rsidRDefault="006267EE" w:rsidP="006267EE">
      <w:pPr>
        <w:pStyle w:val="Text1"/>
        <w:rPr>
          <w:noProof/>
        </w:rPr>
      </w:pPr>
      <w:sdt>
        <w:sdtPr>
          <w:rPr>
            <w:noProof/>
          </w:rPr>
          <w:id w:val="196500160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77775981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5A33330" w14:textId="77777777" w:rsidR="006267EE" w:rsidRPr="001D6573" w:rsidRDefault="006267EE" w:rsidP="006267EE">
      <w:pPr>
        <w:pStyle w:val="ManualNumPar2"/>
        <w:rPr>
          <w:rFonts w:eastAsia="Times New Roman"/>
          <w:iCs/>
          <w:noProof/>
          <w:szCs w:val="24"/>
        </w:rPr>
      </w:pPr>
      <w:r w:rsidRPr="008E5076">
        <w:rPr>
          <w:noProof/>
        </w:rPr>
        <w:t>4.1.</w:t>
      </w:r>
      <w:r w:rsidRPr="008E5076">
        <w:rPr>
          <w:noProof/>
        </w:rPr>
        <w:tab/>
      </w:r>
      <w:r w:rsidRPr="001D6573">
        <w:rPr>
          <w:noProof/>
        </w:rPr>
        <w:t>Ja pasākums attiecas uz zveju iekšējos ūdeņos, apstipriniet, ka pasākums noteic, ka atbalstu var piešķirt tikai attiecībā uz zvejas kuģi, kura izmantošana saskaņā ar valsts tiesību aktiem sākta vismaz 10 kalendāros gadus pirms atbalsta pieteikuma iesniegšanas gada.</w:t>
      </w:r>
    </w:p>
    <w:p w14:paraId="60EF6E4F" w14:textId="77777777" w:rsidR="006267EE" w:rsidRPr="001D6573" w:rsidRDefault="006267EE" w:rsidP="006267EE">
      <w:pPr>
        <w:pStyle w:val="Text1"/>
        <w:rPr>
          <w:noProof/>
        </w:rPr>
      </w:pPr>
      <w:sdt>
        <w:sdtPr>
          <w:rPr>
            <w:noProof/>
          </w:rPr>
          <w:id w:val="-59155283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53469064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5C67BD8A" w14:textId="77777777" w:rsidR="006267EE" w:rsidRPr="001D6573" w:rsidRDefault="006267EE" w:rsidP="006267EE">
      <w:pPr>
        <w:pStyle w:val="ManualNumPar2"/>
        <w:rPr>
          <w:rFonts w:eastAsia="Times New Roman"/>
          <w:noProof/>
          <w:szCs w:val="24"/>
        </w:rPr>
      </w:pPr>
      <w:r w:rsidRPr="008E5076">
        <w:rPr>
          <w:noProof/>
        </w:rPr>
        <w:t>4.2.</w:t>
      </w:r>
      <w:r w:rsidRPr="008E5076">
        <w:rPr>
          <w:noProof/>
        </w:rPr>
        <w:tab/>
      </w:r>
      <w:r w:rsidRPr="001D6573">
        <w:rPr>
          <w:noProof/>
        </w:rPr>
        <w:t>Ja atbilde uz 4. vai 4.1. jautājumu ir “jā”, norādiet relevanto juridiskā pamata noteikumu (noteikumus).</w:t>
      </w:r>
    </w:p>
    <w:p w14:paraId="12DF461B" w14:textId="77777777" w:rsidR="006267EE" w:rsidRPr="001D6573" w:rsidRDefault="006267EE" w:rsidP="006267EE">
      <w:pPr>
        <w:pStyle w:val="Text1"/>
        <w:rPr>
          <w:noProof/>
        </w:rPr>
      </w:pPr>
      <w:r w:rsidRPr="001D6573">
        <w:rPr>
          <w:noProof/>
        </w:rPr>
        <w:t>……………………………………………………………………………………….</w:t>
      </w:r>
    </w:p>
    <w:p w14:paraId="1A912DA9" w14:textId="77777777" w:rsidR="006267EE" w:rsidRPr="001D6573" w:rsidRDefault="006267EE" w:rsidP="006267EE">
      <w:pPr>
        <w:pStyle w:val="ManualNumPar1"/>
        <w:rPr>
          <w:rFonts w:eastAsia="Times New Roman"/>
          <w:noProof/>
          <w:szCs w:val="24"/>
        </w:rPr>
      </w:pPr>
      <w:r w:rsidRPr="008E5076">
        <w:rPr>
          <w:noProof/>
        </w:rPr>
        <w:t>5.</w:t>
      </w:r>
      <w:r w:rsidRPr="008E5076">
        <w:rPr>
          <w:noProof/>
        </w:rPr>
        <w:tab/>
      </w:r>
      <w:r w:rsidRPr="001D6573">
        <w:rPr>
          <w:noProof/>
        </w:rPr>
        <w:t xml:space="preserve">Apstipriniet, ka darbības rezultātā radušās jaunās zvejas kapacitātes iekļaušanu zvejas flotē kompensē, iepriekš vismaz tāda paša apjoma zvejas kapacitāti bez publiskā atbalsta izslēdzot no tā paša flotes segmenta vai no flotes segmenta, par kuru Regulas (ES) Nr. 1380/2013 22. panta 2. punktā minētajā jaunākajā valsts </w:t>
      </w:r>
      <w:r w:rsidRPr="001D6573">
        <w:rPr>
          <w:noProof/>
        </w:rPr>
        <w:lastRenderedPageBreak/>
        <w:t>ziņojumā norādīts, ka minētā segmenta zvejas kapacitāte nav līdzsvarā ar tam pieejamajām zvejas iespējām.</w:t>
      </w:r>
    </w:p>
    <w:p w14:paraId="4E917A8B" w14:textId="77777777" w:rsidR="006267EE" w:rsidRPr="001D6573" w:rsidRDefault="006267EE" w:rsidP="006267EE">
      <w:pPr>
        <w:pStyle w:val="Text1"/>
        <w:rPr>
          <w:noProof/>
        </w:rPr>
      </w:pPr>
      <w:sdt>
        <w:sdtPr>
          <w:rPr>
            <w:noProof/>
          </w:rPr>
          <w:id w:val="183202241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48095842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E1711A5" w14:textId="77777777" w:rsidR="006267EE" w:rsidRPr="001D6573" w:rsidRDefault="006267EE" w:rsidP="006267EE">
      <w:pPr>
        <w:pStyle w:val="ManualNumPar2"/>
        <w:rPr>
          <w:noProof/>
        </w:rPr>
      </w:pPr>
      <w:r w:rsidRPr="008E5076">
        <w:rPr>
          <w:noProof/>
        </w:rPr>
        <w:t>5.1.</w:t>
      </w:r>
      <w:r w:rsidRPr="008E5076">
        <w:rPr>
          <w:noProof/>
        </w:rPr>
        <w:tab/>
      </w:r>
      <w:r w:rsidRPr="001D6573">
        <w:rPr>
          <w:noProof/>
        </w:rPr>
        <w:t>Ja atbilde uz iepriekšējo jautājumu ir “jā”, norādiet relevanto juridiskā pamata noteikumu (noteikumus).</w:t>
      </w:r>
    </w:p>
    <w:p w14:paraId="160CB70B" w14:textId="77777777" w:rsidR="006267EE" w:rsidRPr="001D6573" w:rsidRDefault="006267EE" w:rsidP="006267EE">
      <w:pPr>
        <w:pStyle w:val="Text1"/>
        <w:rPr>
          <w:noProof/>
        </w:rPr>
      </w:pPr>
      <w:r w:rsidRPr="001D6573">
        <w:rPr>
          <w:noProof/>
        </w:rPr>
        <w:t>……………………………………………………………………………….</w:t>
      </w:r>
    </w:p>
    <w:p w14:paraId="00D6DB25" w14:textId="77777777" w:rsidR="006267EE" w:rsidRPr="001D6573" w:rsidRDefault="006267EE" w:rsidP="006267EE">
      <w:pPr>
        <w:rPr>
          <w:i/>
          <w:iCs/>
          <w:noProof/>
        </w:rPr>
      </w:pPr>
      <w:r w:rsidRPr="001D6573">
        <w:rPr>
          <w:i/>
          <w:noProof/>
        </w:rPr>
        <w:t>Ja pasākums attiecas uz zveju iekšējos ūdeņos, uz šo jautājumu nav jāatbild.</w:t>
      </w:r>
    </w:p>
    <w:p w14:paraId="4DA1CC1E" w14:textId="77777777" w:rsidR="006267EE" w:rsidRPr="001D6573" w:rsidRDefault="006267EE" w:rsidP="006267EE">
      <w:pPr>
        <w:pStyle w:val="ManualNumPar1"/>
        <w:rPr>
          <w:rFonts w:eastAsia="Times New Roman"/>
          <w:noProof/>
          <w:szCs w:val="24"/>
        </w:rPr>
      </w:pPr>
      <w:r w:rsidRPr="008E5076">
        <w:rPr>
          <w:noProof/>
        </w:rPr>
        <w:t>6.</w:t>
      </w:r>
      <w:r w:rsidRPr="008E5076">
        <w:rPr>
          <w:noProof/>
        </w:rPr>
        <w:tab/>
      </w:r>
      <w:r w:rsidRPr="001D6573">
        <w:rPr>
          <w:noProof/>
        </w:rPr>
        <w:t>Apstipriniet attiecināmās izmaksas:</w:t>
      </w:r>
    </w:p>
    <w:p w14:paraId="53208526" w14:textId="77777777" w:rsidR="006267EE" w:rsidRPr="001D6573" w:rsidRDefault="006267EE" w:rsidP="006267EE">
      <w:pPr>
        <w:pStyle w:val="Point1"/>
        <w:rPr>
          <w:noProof/>
        </w:rPr>
      </w:pPr>
      <w:r w:rsidRPr="008E5076">
        <w:rPr>
          <w:noProof/>
        </w:rPr>
        <w:t>(a)</w:t>
      </w:r>
      <w:r w:rsidRPr="008E5076">
        <w:rPr>
          <w:noProof/>
        </w:rPr>
        <w:tab/>
      </w:r>
      <w:sdt>
        <w:sdtPr>
          <w:rPr>
            <w:rFonts w:ascii="MS Gothic" w:eastAsia="MS Gothic" w:hAnsi="MS Gothic"/>
            <w:noProof/>
          </w:rPr>
          <w:id w:val="140980340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bruto tilpības palielināšana, kas nepieciešama, lai pēc tam ierīkotu vai renovētu izmitināšanas telpas, kuras paredzētas vienīgi apkalpes vajadzībām, arī sanitārās labierīcības, koplietošanas telpas, kambīzes un segtas klāja konstrukcijas;</w:t>
      </w:r>
    </w:p>
    <w:p w14:paraId="21A0D77A" w14:textId="77777777" w:rsidR="006267EE" w:rsidRPr="001D6573" w:rsidRDefault="006267EE" w:rsidP="006267EE">
      <w:pPr>
        <w:pStyle w:val="Point1"/>
        <w:rPr>
          <w:noProof/>
        </w:rPr>
      </w:pPr>
      <w:r w:rsidRPr="008E5076">
        <w:rPr>
          <w:noProof/>
        </w:rPr>
        <w:t>(b)</w:t>
      </w:r>
      <w:r w:rsidRPr="008E5076">
        <w:rPr>
          <w:noProof/>
        </w:rPr>
        <w:tab/>
      </w:r>
      <w:sdt>
        <w:sdtPr>
          <w:rPr>
            <w:rFonts w:ascii="MS Gothic" w:eastAsia="MS Gothic" w:hAnsi="MS Gothic"/>
            <w:noProof/>
          </w:rPr>
          <w:id w:val="207731456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bruto tilpības palielināšana, kas nepieciešama, lai pēc tam uzlabotu vai uzstādītu uz kuģa esošas ugunsgrēku novēršanas sistēmas, drošības un trauksmes sistēmas vai trokšņa samazināšanas sistēmas;</w:t>
      </w:r>
    </w:p>
    <w:p w14:paraId="3277208A" w14:textId="77777777" w:rsidR="006267EE" w:rsidRPr="001D6573" w:rsidRDefault="006267EE" w:rsidP="006267EE">
      <w:pPr>
        <w:pStyle w:val="Point1"/>
        <w:rPr>
          <w:noProof/>
        </w:rPr>
      </w:pPr>
      <w:r w:rsidRPr="008E5076">
        <w:rPr>
          <w:noProof/>
        </w:rPr>
        <w:t>(c)</w:t>
      </w:r>
      <w:r w:rsidRPr="008E5076">
        <w:rPr>
          <w:noProof/>
        </w:rPr>
        <w:tab/>
      </w:r>
      <w:sdt>
        <w:sdtPr>
          <w:rPr>
            <w:rFonts w:ascii="MS Gothic" w:eastAsia="MS Gothic" w:hAnsi="MS Gothic"/>
            <w:noProof/>
          </w:rPr>
          <w:id w:val="-193890200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bruto tilpības palielināšana, kas nepieciešama, lai pēc tam uzstādītu integrētas tiltiņa sistēmas nolūkā uzlabot navigāciju vai dzinēja vadību;</w:t>
      </w:r>
    </w:p>
    <w:p w14:paraId="1F2810F9" w14:textId="77777777" w:rsidR="006267EE" w:rsidRPr="001D6573" w:rsidRDefault="006267EE" w:rsidP="006267EE">
      <w:pPr>
        <w:pStyle w:val="Point1"/>
        <w:rPr>
          <w:noProof/>
        </w:rPr>
      </w:pPr>
      <w:r w:rsidRPr="008E5076">
        <w:rPr>
          <w:noProof/>
        </w:rPr>
        <w:t>(d)</w:t>
      </w:r>
      <w:r w:rsidRPr="008E5076">
        <w:rPr>
          <w:noProof/>
        </w:rPr>
        <w:tab/>
      </w:r>
      <w:sdt>
        <w:sdtPr>
          <w:rPr>
            <w:rFonts w:ascii="MS Gothic" w:eastAsia="MS Gothic" w:hAnsi="MS Gothic"/>
            <w:noProof/>
          </w:rPr>
          <w:id w:val="4156735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bruto tilpības palielināšana, kas nepieciešama, lai pēc tam uzstādītu vai atjaunotu tādu dzinēju vai piedziņas sistēmu, kas uzrāda labāku energoefektivitāti vai zemākas CO₂ emisijas salīdzinājumā ar iepriekšējo situāciju un kuras jauda saskaņā ar Padomes Regulas (EK) Nr. 1224/2009</w:t>
      </w:r>
      <w:r w:rsidRPr="001D6573">
        <w:rPr>
          <w:rStyle w:val="FootnoteReference"/>
          <w:rFonts w:eastAsia="Times New Roman"/>
          <w:bCs/>
          <w:noProof/>
          <w:szCs w:val="24"/>
          <w:lang w:eastAsia="en-GB"/>
        </w:rPr>
        <w:footnoteReference w:id="4"/>
      </w:r>
      <w:r w:rsidRPr="001D6573">
        <w:rPr>
          <w:noProof/>
        </w:rPr>
        <w:t xml:space="preserve"> 40. panta 1. punktu nepārsniedz iepriekš sertificēto zvejas kuģa dzinēja jaudu, un kuras maksimālo jaudu šim dzinēja vai piedziņas sistēmas modelim sertificējis ražotājs;</w:t>
      </w:r>
    </w:p>
    <w:p w14:paraId="5F1FD4D5" w14:textId="77777777" w:rsidR="006267EE" w:rsidRPr="001D6573" w:rsidRDefault="006267EE" w:rsidP="006267EE">
      <w:pPr>
        <w:pStyle w:val="Point1"/>
        <w:rPr>
          <w:noProof/>
        </w:rPr>
      </w:pPr>
      <w:r w:rsidRPr="008E5076">
        <w:rPr>
          <w:noProof/>
        </w:rPr>
        <w:t>(e)</w:t>
      </w:r>
      <w:r w:rsidRPr="008E5076">
        <w:rPr>
          <w:noProof/>
        </w:rPr>
        <w:tab/>
      </w:r>
      <w:sdt>
        <w:sdtPr>
          <w:rPr>
            <w:rFonts w:ascii="MS Gothic" w:eastAsia="MS Gothic" w:hAnsi="MS Gothic"/>
            <w:noProof/>
          </w:rPr>
          <w:id w:val="-102933793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bulba priekšgala nomaiņa vai atjaunošana ar noteikumu, ka tas uzlabo zvejas kuģa vispārējo energoefektivitāti.</w:t>
      </w:r>
    </w:p>
    <w:p w14:paraId="6334C7F1" w14:textId="77777777" w:rsidR="006267EE" w:rsidRPr="001D6573" w:rsidRDefault="006267EE" w:rsidP="006267EE">
      <w:pPr>
        <w:pStyle w:val="ManualNumPar2"/>
        <w:rPr>
          <w:rFonts w:eastAsia="Times New Roman"/>
          <w:noProof/>
          <w:szCs w:val="24"/>
        </w:rPr>
      </w:pPr>
      <w:r w:rsidRPr="008E5076">
        <w:rPr>
          <w:noProof/>
        </w:rPr>
        <w:t>6.1.</w:t>
      </w:r>
      <w:r w:rsidRPr="008E5076">
        <w:rPr>
          <w:noProof/>
        </w:rPr>
        <w:tab/>
      </w:r>
      <w:r w:rsidRPr="001D6573">
        <w:rPr>
          <w:noProof/>
        </w:rPr>
        <w:t>Norādiet juridiskā pamata noteikumu (noteikumus), kas atspoguļo atzīmēto atbildi.</w:t>
      </w:r>
    </w:p>
    <w:p w14:paraId="7AE75D36" w14:textId="77777777" w:rsidR="006267EE" w:rsidRPr="001D6573" w:rsidRDefault="006267EE" w:rsidP="006267EE">
      <w:pPr>
        <w:pStyle w:val="Text1"/>
        <w:rPr>
          <w:noProof/>
        </w:rPr>
      </w:pPr>
      <w:r w:rsidRPr="001D6573">
        <w:rPr>
          <w:noProof/>
        </w:rPr>
        <w:t>……………………………………………………………………………………….</w:t>
      </w:r>
    </w:p>
    <w:p w14:paraId="18EFD9B4" w14:textId="77777777" w:rsidR="006267EE" w:rsidRPr="001D6573" w:rsidRDefault="006267EE" w:rsidP="006267EE">
      <w:pPr>
        <w:pStyle w:val="ManualNumPar2"/>
        <w:rPr>
          <w:rFonts w:eastAsia="Times New Roman"/>
          <w:noProof/>
          <w:szCs w:val="24"/>
        </w:rPr>
      </w:pPr>
      <w:r w:rsidRPr="008E5076">
        <w:rPr>
          <w:noProof/>
        </w:rPr>
        <w:t>6.2.</w:t>
      </w:r>
      <w:r w:rsidRPr="008E5076">
        <w:rPr>
          <w:noProof/>
        </w:rPr>
        <w:tab/>
      </w:r>
      <w:r w:rsidRPr="001D6573">
        <w:rPr>
          <w:noProof/>
        </w:rPr>
        <w:t>Apstipriniet, ka attiecināmās izmaksas ietver tikai tiešās un netiešās izmaksas, kas saistītas ar atbalstu investīcijām, kuru mērķis ir uzlabot drošību, darba apstākļus vai energoefektivitāti un kuras noved pie zvejas kuģa bruto tilpības palielinājuma.</w:t>
      </w:r>
    </w:p>
    <w:p w14:paraId="447F963F" w14:textId="77777777" w:rsidR="006267EE" w:rsidRPr="001D6573" w:rsidRDefault="006267EE" w:rsidP="006267EE">
      <w:pPr>
        <w:pStyle w:val="Text1"/>
        <w:rPr>
          <w:noProof/>
        </w:rPr>
      </w:pPr>
      <w:sdt>
        <w:sdtPr>
          <w:rPr>
            <w:noProof/>
          </w:rPr>
          <w:id w:val="89331082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85132321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DB3D024" w14:textId="77777777" w:rsidR="006267EE" w:rsidRPr="001D6573" w:rsidRDefault="006267EE" w:rsidP="006267EE">
      <w:pPr>
        <w:pStyle w:val="ManualNumPar2"/>
        <w:rPr>
          <w:rFonts w:eastAsia="Times New Roman"/>
          <w:noProof/>
          <w:szCs w:val="24"/>
        </w:rPr>
      </w:pPr>
      <w:r w:rsidRPr="008E5076">
        <w:rPr>
          <w:noProof/>
        </w:rPr>
        <w:t>6.3.</w:t>
      </w:r>
      <w:r w:rsidRPr="008E5076">
        <w:rPr>
          <w:noProof/>
        </w:rPr>
        <w:tab/>
      </w:r>
      <w:r w:rsidRPr="001D6573">
        <w:rPr>
          <w:noProof/>
        </w:rPr>
        <w:t>Ja atbilde ir “jā”, norādiet relevanto juridiskā pamata noteikumu (noteikumus).</w:t>
      </w:r>
    </w:p>
    <w:p w14:paraId="2644EC71" w14:textId="77777777" w:rsidR="006267EE" w:rsidRPr="001D6573" w:rsidRDefault="006267EE" w:rsidP="006267EE">
      <w:pPr>
        <w:pStyle w:val="Text1"/>
        <w:rPr>
          <w:noProof/>
        </w:rPr>
      </w:pPr>
      <w:r w:rsidRPr="001D6573">
        <w:rPr>
          <w:noProof/>
        </w:rPr>
        <w:t>………………………………………………………………………………….</w:t>
      </w:r>
    </w:p>
    <w:p w14:paraId="3D2F6C2A" w14:textId="77777777" w:rsidR="006267EE" w:rsidRPr="001D6573" w:rsidRDefault="006267EE" w:rsidP="006267EE">
      <w:pPr>
        <w:pStyle w:val="ManualNumPar2"/>
        <w:rPr>
          <w:rFonts w:eastAsia="Times New Roman"/>
          <w:noProof/>
          <w:szCs w:val="24"/>
        </w:rPr>
      </w:pPr>
      <w:bookmarkStart w:id="0" w:name="_Hlk134023979"/>
      <w:r w:rsidRPr="008E5076">
        <w:rPr>
          <w:noProof/>
        </w:rPr>
        <w:lastRenderedPageBreak/>
        <w:t>6.4.</w:t>
      </w:r>
      <w:r w:rsidRPr="008E5076">
        <w:rPr>
          <w:noProof/>
        </w:rPr>
        <w:tab/>
      </w:r>
      <w:r w:rsidRPr="001D6573">
        <w:rPr>
          <w:noProof/>
        </w:rPr>
        <w:t>Detalizēti aprakstiet izmaksas, kas ir attiecināmas saskaņā ar šo pasākumu. Aprakstiet izmaksas, kas attiecīgi saistītas ar drošības, darba apstākļu vai energoefektivitātes uzlabošanu.</w:t>
      </w:r>
    </w:p>
    <w:bookmarkEnd w:id="0"/>
    <w:p w14:paraId="5F555B2D" w14:textId="77777777" w:rsidR="006267EE" w:rsidRPr="001D6573" w:rsidRDefault="006267EE" w:rsidP="006267EE">
      <w:pPr>
        <w:pStyle w:val="Text1"/>
        <w:rPr>
          <w:noProof/>
        </w:rPr>
      </w:pPr>
      <w:r w:rsidRPr="001D6573">
        <w:rPr>
          <w:noProof/>
        </w:rPr>
        <w:t>……………………………………………………………………………………….</w:t>
      </w:r>
    </w:p>
    <w:p w14:paraId="6897B7F8" w14:textId="77777777" w:rsidR="006267EE" w:rsidRPr="001D6573" w:rsidRDefault="006267EE" w:rsidP="006267EE">
      <w:pPr>
        <w:pStyle w:val="ManualNumPar1"/>
        <w:rPr>
          <w:noProof/>
        </w:rPr>
      </w:pPr>
      <w:r w:rsidRPr="008E5076">
        <w:rPr>
          <w:noProof/>
        </w:rPr>
        <w:t>7.</w:t>
      </w:r>
      <w:r w:rsidRPr="008E5076">
        <w:rPr>
          <w:noProof/>
        </w:rPr>
        <w:tab/>
      </w:r>
      <w:r w:rsidRPr="001D6573">
        <w:rPr>
          <w:noProof/>
        </w:rPr>
        <w:t>Detalizēti aprakstiet kontroles un izpildes panākšanas mehānismus, kas ieviesti, lai garantētu Pamatnostādņu II daļas 3. nodaļas 3.3. iedaļā izklāstīto nosacījumu izpildi.</w:t>
      </w:r>
    </w:p>
    <w:p w14:paraId="1F799125" w14:textId="77777777" w:rsidR="006267EE" w:rsidRPr="001D6573" w:rsidRDefault="006267EE" w:rsidP="006267EE">
      <w:pPr>
        <w:pStyle w:val="Text1"/>
        <w:rPr>
          <w:noProof/>
        </w:rPr>
      </w:pPr>
      <w:r w:rsidRPr="001D6573">
        <w:rPr>
          <w:noProof/>
        </w:rPr>
        <w:t>……………………………………………………………………………………….</w:t>
      </w:r>
    </w:p>
    <w:p w14:paraId="15C1E913" w14:textId="77777777" w:rsidR="006267EE" w:rsidRPr="001D6573" w:rsidRDefault="006267EE" w:rsidP="006267EE">
      <w:pPr>
        <w:pStyle w:val="ManualNumPar1"/>
        <w:rPr>
          <w:rFonts w:eastAsia="Times New Roman"/>
          <w:noProof/>
          <w:szCs w:val="24"/>
        </w:rPr>
      </w:pPr>
      <w:r w:rsidRPr="008E5076">
        <w:rPr>
          <w:noProof/>
        </w:rPr>
        <w:t>8.</w:t>
      </w:r>
      <w:r w:rsidRPr="008E5076">
        <w:rPr>
          <w:noProof/>
        </w:rPr>
        <w:tab/>
      </w:r>
      <w:r w:rsidRPr="001D6573">
        <w:rPr>
          <w:noProof/>
        </w:rPr>
        <w:t>Detalizēti aprakstiet pasākuma iezīmes, turklāt norādiet palielinātās zvejas kapacitātes apjomu un minētās palielināšanas mērķi.</w:t>
      </w:r>
    </w:p>
    <w:p w14:paraId="4B172CF5" w14:textId="77777777" w:rsidR="006267EE" w:rsidRPr="001D6573" w:rsidRDefault="006267EE" w:rsidP="006267EE">
      <w:pPr>
        <w:rPr>
          <w:rFonts w:eastAsia="Times New Roman"/>
          <w:noProof/>
          <w:szCs w:val="24"/>
        </w:rPr>
      </w:pPr>
      <w:r w:rsidRPr="001D6573">
        <w:rPr>
          <w:noProof/>
        </w:rPr>
        <w:t>…………………………………………………………………………………………….</w:t>
      </w:r>
    </w:p>
    <w:p w14:paraId="53248F8A" w14:textId="77777777" w:rsidR="006267EE" w:rsidRPr="001D6573" w:rsidRDefault="006267EE" w:rsidP="006267EE">
      <w:pPr>
        <w:autoSpaceDE w:val="0"/>
        <w:autoSpaceDN w:val="0"/>
        <w:adjustRightInd w:val="0"/>
        <w:spacing w:after="0"/>
        <w:rPr>
          <w:rFonts w:eastAsia="Times New Roman"/>
          <w:noProof/>
          <w:szCs w:val="24"/>
        </w:rPr>
      </w:pPr>
      <w:r w:rsidRPr="001D6573">
        <w:rPr>
          <w:i/>
          <w:noProof/>
        </w:rPr>
        <w:t>Ja atbilde jau ir sniegta uz kādu no iepriekšējiem jautājumiem vai iedaļām, norādiet šo atbildi.</w:t>
      </w:r>
    </w:p>
    <w:p w14:paraId="3CA3877C" w14:textId="77777777" w:rsidR="006267EE" w:rsidRPr="001D6573" w:rsidRDefault="006267EE" w:rsidP="006267EE">
      <w:pPr>
        <w:pStyle w:val="ManualNumPar1"/>
        <w:rPr>
          <w:rFonts w:eastAsia="Times New Roman"/>
          <w:noProof/>
          <w:szCs w:val="24"/>
        </w:rPr>
      </w:pPr>
      <w:r w:rsidRPr="008E5076">
        <w:rPr>
          <w:noProof/>
        </w:rPr>
        <w:t>9.</w:t>
      </w:r>
      <w:r w:rsidRPr="008E5076">
        <w:rPr>
          <w:noProof/>
        </w:rPr>
        <w:tab/>
      </w:r>
      <w:r w:rsidRPr="001D6573">
        <w:rPr>
          <w:noProof/>
        </w:rPr>
        <w:t>Apstipriniet, ka pasākums noteic, ka atbalsta maksimālā intensitāte nepārsniedz 40 % no attiecināmajām izmaksām.</w:t>
      </w:r>
    </w:p>
    <w:p w14:paraId="68917E88" w14:textId="77777777" w:rsidR="006267EE" w:rsidRPr="001D6573" w:rsidRDefault="006267EE" w:rsidP="006267EE">
      <w:pPr>
        <w:pStyle w:val="Text1"/>
        <w:rPr>
          <w:noProof/>
        </w:rPr>
      </w:pPr>
      <w:sdt>
        <w:sdtPr>
          <w:rPr>
            <w:noProof/>
          </w:rPr>
          <w:id w:val="154324796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77127695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0B0031F" w14:textId="77777777" w:rsidR="006267EE" w:rsidRPr="001D6573" w:rsidRDefault="006267EE" w:rsidP="006267EE">
      <w:pPr>
        <w:pStyle w:val="ManualNumPar2"/>
        <w:rPr>
          <w:noProof/>
        </w:rPr>
      </w:pPr>
      <w:r w:rsidRPr="008E5076">
        <w:rPr>
          <w:noProof/>
        </w:rPr>
        <w:t>9.1.</w:t>
      </w:r>
      <w:r w:rsidRPr="008E5076">
        <w:rPr>
          <w:noProof/>
        </w:rPr>
        <w:tab/>
      </w:r>
      <w:r w:rsidRPr="001D6573">
        <w:rPr>
          <w:noProof/>
        </w:rPr>
        <w:t>Norādiet maksimālo atbalsta intensitāti, kas piemērojama saskaņā ar šo pasākumu.</w:t>
      </w:r>
    </w:p>
    <w:p w14:paraId="6B747C53" w14:textId="77777777" w:rsidR="006267EE" w:rsidRPr="001D6573" w:rsidRDefault="006267EE" w:rsidP="006267EE">
      <w:pPr>
        <w:pStyle w:val="Text1"/>
        <w:rPr>
          <w:noProof/>
        </w:rPr>
      </w:pPr>
      <w:r w:rsidRPr="001D6573">
        <w:rPr>
          <w:noProof/>
        </w:rPr>
        <w:t>……………………………………………………………………………………….</w:t>
      </w:r>
    </w:p>
    <w:p w14:paraId="6ED2619A" w14:textId="77777777" w:rsidR="006267EE" w:rsidRPr="001D6573" w:rsidRDefault="006267EE" w:rsidP="006267EE">
      <w:pPr>
        <w:pStyle w:val="ManualNumPar2"/>
        <w:rPr>
          <w:rFonts w:eastAsia="Times New Roman"/>
          <w:noProof/>
          <w:szCs w:val="24"/>
        </w:rPr>
      </w:pPr>
      <w:r w:rsidRPr="008E5076">
        <w:rPr>
          <w:noProof/>
        </w:rPr>
        <w:t>9.2.</w:t>
      </w:r>
      <w:r w:rsidRPr="008E5076">
        <w:rPr>
          <w:noProof/>
        </w:rPr>
        <w:tab/>
      </w:r>
      <w:r w:rsidRPr="001D6573">
        <w:rPr>
          <w:noProof/>
        </w:rPr>
        <w:t>Norādiet juridiskā pamata noteikumu (noteikumus), kas nosaka maksimālo atbalsta intensitāti, kas piemērojama saskaņā ar šo pasākumu.</w:t>
      </w:r>
    </w:p>
    <w:p w14:paraId="17F74F0D" w14:textId="77777777" w:rsidR="006267EE" w:rsidRPr="001D6573" w:rsidRDefault="006267EE" w:rsidP="006267EE">
      <w:pPr>
        <w:pStyle w:val="Text1"/>
        <w:rPr>
          <w:noProof/>
        </w:rPr>
      </w:pPr>
      <w:r w:rsidRPr="001D6573">
        <w:rPr>
          <w:noProof/>
        </w:rPr>
        <w:t>………………………………………………………………………………….</w:t>
      </w:r>
    </w:p>
    <w:p w14:paraId="05A0742D" w14:textId="77777777" w:rsidR="006267EE" w:rsidRPr="001D6573" w:rsidRDefault="006267EE" w:rsidP="006267EE">
      <w:pPr>
        <w:pStyle w:val="ManualHeading4"/>
        <w:rPr>
          <w:noProof/>
        </w:rPr>
      </w:pPr>
      <w:r w:rsidRPr="001D6573">
        <w:rPr>
          <w:noProof/>
        </w:rPr>
        <w:t>CITA INFORMĀCIJA</w:t>
      </w:r>
    </w:p>
    <w:p w14:paraId="77959CA4" w14:textId="77777777" w:rsidR="006267EE" w:rsidRPr="001D6573" w:rsidRDefault="006267EE" w:rsidP="006267EE">
      <w:pPr>
        <w:pStyle w:val="ManualNumPar1"/>
        <w:rPr>
          <w:rFonts w:eastAsia="Times New Roman"/>
          <w:noProof/>
          <w:szCs w:val="24"/>
        </w:rPr>
      </w:pPr>
      <w:r w:rsidRPr="008E5076">
        <w:rPr>
          <w:noProof/>
        </w:rPr>
        <w:t>10.</w:t>
      </w:r>
      <w:r w:rsidRPr="008E5076">
        <w:rPr>
          <w:noProof/>
        </w:rPr>
        <w:tab/>
      </w:r>
      <w:r w:rsidRPr="001D6573">
        <w:rPr>
          <w:noProof/>
        </w:rPr>
        <w:t>Norādiet jebkādu citu informāciju, ko uzskatāt par šīs Pamatnostādņu iedaļas aptvertā pasākuma novērtēšanai relevantu.</w:t>
      </w:r>
    </w:p>
    <w:p w14:paraId="41A7258E" w14:textId="77777777" w:rsidR="006267EE" w:rsidRPr="001D6573" w:rsidRDefault="006267EE" w:rsidP="006267EE">
      <w:pPr>
        <w:pStyle w:val="Text1"/>
        <w:rPr>
          <w:noProof/>
        </w:rPr>
      </w:pPr>
      <w:r w:rsidRPr="001D6573">
        <w:rPr>
          <w:noProof/>
        </w:rPr>
        <w:t>……………………………………………………………………………………….</w:t>
      </w:r>
    </w:p>
    <w:p w14:paraId="6389182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BBB66" w14:textId="77777777" w:rsidR="006267EE" w:rsidRDefault="006267EE" w:rsidP="006267EE">
      <w:pPr>
        <w:spacing w:before="0" w:after="0"/>
      </w:pPr>
      <w:r>
        <w:separator/>
      </w:r>
    </w:p>
  </w:endnote>
  <w:endnote w:type="continuationSeparator" w:id="0">
    <w:p w14:paraId="224EB827" w14:textId="77777777" w:rsidR="006267EE" w:rsidRDefault="006267EE" w:rsidP="006267E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60AFA" w14:textId="77777777" w:rsidR="006267EE" w:rsidRDefault="006267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D346C" w14:textId="5BC24C92" w:rsidR="006267EE" w:rsidRDefault="006267EE" w:rsidP="006267E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1F815" w14:textId="77777777" w:rsidR="006267EE" w:rsidRDefault="006267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04364" w14:textId="77777777" w:rsidR="006267EE" w:rsidRDefault="006267EE" w:rsidP="006267EE">
      <w:pPr>
        <w:spacing w:before="0" w:after="0"/>
      </w:pPr>
      <w:r>
        <w:separator/>
      </w:r>
    </w:p>
  </w:footnote>
  <w:footnote w:type="continuationSeparator" w:id="0">
    <w:p w14:paraId="6E26B170" w14:textId="77777777" w:rsidR="006267EE" w:rsidRDefault="006267EE" w:rsidP="006267EE">
      <w:pPr>
        <w:spacing w:before="0" w:after="0"/>
      </w:pPr>
      <w:r>
        <w:continuationSeparator/>
      </w:r>
    </w:p>
  </w:footnote>
  <w:footnote w:id="1">
    <w:p w14:paraId="44589AAB" w14:textId="77777777" w:rsidR="006267EE" w:rsidRPr="00794B67" w:rsidRDefault="006267EE" w:rsidP="006267EE">
      <w:pPr>
        <w:pStyle w:val="FootnoteText"/>
      </w:pPr>
      <w:r>
        <w:rPr>
          <w:rStyle w:val="FootnoteReference"/>
        </w:rPr>
        <w:footnoteRef/>
      </w:r>
      <w:r>
        <w:tab/>
        <w:t>OV C 107, 23.3.2023., 1. lpp.</w:t>
      </w:r>
    </w:p>
  </w:footnote>
  <w:footnote w:id="2">
    <w:p w14:paraId="1632630C" w14:textId="77777777" w:rsidR="006267EE" w:rsidRPr="000345FA" w:rsidRDefault="006267EE" w:rsidP="006267EE">
      <w:pPr>
        <w:pStyle w:val="FootnoteText"/>
      </w:pPr>
      <w:r>
        <w:rPr>
          <w:rStyle w:val="FootnoteReference"/>
        </w:rPr>
        <w:footnoteRef/>
      </w:r>
      <w:r>
        <w:tab/>
        <w:t>Sk. Pamatnostādņu 225. un 226. punktu, kuros aprakstīta N gadā iesniegtā valsts ziņojuma sagatavošanas un Komisijas rīcības secība līdz N+1 gada 31. martam.</w:t>
      </w:r>
    </w:p>
  </w:footnote>
  <w:footnote w:id="3">
    <w:p w14:paraId="260E7D6E" w14:textId="77777777" w:rsidR="006267EE" w:rsidRPr="001A2686" w:rsidRDefault="006267EE" w:rsidP="006267EE">
      <w:pPr>
        <w:pStyle w:val="FootnoteText"/>
      </w:pPr>
      <w:r>
        <w:rPr>
          <w:rStyle w:val="FootnoteReference"/>
        </w:rPr>
        <w:footnoteRef/>
      </w:r>
      <w:r>
        <w:tab/>
        <w:t>Komisijas paziņojums Eiropas Parlamentam un Padomei “Zvejas kapacitātes un zvejas iespēju līdzsvara analīzes pamatnostādnes saskaņā ar 22. pantu Eiropas Parlamenta un Padomes Regulā (ES) Nr. 1380/2013 par kopējo zivsaimniecības politiku” (COM(2014) 545 final).</w:t>
      </w:r>
    </w:p>
  </w:footnote>
  <w:footnote w:id="4">
    <w:p w14:paraId="14EEB609" w14:textId="77777777" w:rsidR="006267EE" w:rsidRPr="001D7707" w:rsidRDefault="006267EE" w:rsidP="006267EE">
      <w:pPr>
        <w:pStyle w:val="FootnoteText"/>
        <w:ind w:left="567" w:hanging="425"/>
      </w:pPr>
      <w:r>
        <w:rPr>
          <w:rStyle w:val="FootnoteReference"/>
        </w:rPr>
        <w:footnoteRef/>
      </w:r>
      <w:r>
        <w:tab/>
        <w:t>Padomes Regula (EK) Nr. 1224/2009 (2009. gada 20. novembris), ar ko izveido Kopienas kontroles sistēmu, lai nodrošinātu atbilstību kopējās zivsaimniecības politikas noteikumiem, un groza Regulas (EK) Nr. 847/96, (EK) Nr. 2371/2002, (EK) Nr. 811/2004, (EK) Nr. 768/2005, (EK) Nr. 2115/2005, (EK) Nr. 2166/2005, (EK) Nr. 388/2006, (EK) Nr. 509/2007, (EK) Nr. 676/2007, (EK) Nr. 1098/2007, (EK) Nr. 1300/2008 un (EK) Nr. 1342/2008, un atceļ Regulas (EEK) Nr. 2847/93, (EK) Nr. 1627/94 un (EK) Nr. 1966/2006 (OV L 343, 22.12.2009.,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B6E2C" w14:textId="77777777" w:rsidR="006267EE" w:rsidRDefault="006267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B0E05" w14:textId="77777777" w:rsidR="006267EE" w:rsidRDefault="006267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48ABF" w14:textId="77777777" w:rsidR="006267EE" w:rsidRDefault="006267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03004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868985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267E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A1E16"/>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7EE"/>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B0343C4"/>
  <w15:chartTrackingRefBased/>
  <w15:docId w15:val="{9E0C3A1E-299F-4CA7-8EA7-2D480D28B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7EE"/>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267E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267E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267E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267E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267E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67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67E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67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67E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267E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267EE"/>
    <w:rPr>
      <w:i/>
      <w:iCs/>
      <w:color w:val="365F91" w:themeColor="accent1" w:themeShade="BF"/>
    </w:rPr>
  </w:style>
  <w:style w:type="paragraph" w:styleId="IntenseQuote">
    <w:name w:val="Intense Quote"/>
    <w:basedOn w:val="Normal"/>
    <w:next w:val="Normal"/>
    <w:link w:val="IntenseQuoteChar"/>
    <w:uiPriority w:val="30"/>
    <w:qFormat/>
    <w:rsid w:val="006267E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267E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267EE"/>
    <w:rPr>
      <w:b/>
      <w:bCs/>
      <w:smallCaps/>
      <w:color w:val="365F91" w:themeColor="accent1" w:themeShade="BF"/>
      <w:spacing w:val="5"/>
    </w:rPr>
  </w:style>
  <w:style w:type="paragraph" w:styleId="Signature">
    <w:name w:val="Signature"/>
    <w:basedOn w:val="Normal"/>
    <w:link w:val="FootnoteReference"/>
    <w:uiPriority w:val="99"/>
    <w:rsid w:val="006267E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267EE"/>
    <w:rPr>
      <w:rFonts w:ascii="Times New Roman" w:hAnsi="Times New Roman" w:cs="Times New Roman"/>
      <w:kern w:val="0"/>
      <w:sz w:val="24"/>
      <w:lang w:val="lv-LV"/>
      <w14:ligatures w14:val="none"/>
    </w:rPr>
  </w:style>
  <w:style w:type="paragraph" w:customStyle="1" w:styleId="Text1">
    <w:name w:val="Text 1"/>
    <w:basedOn w:val="Normal"/>
    <w:rsid w:val="006267EE"/>
    <w:pPr>
      <w:ind w:left="850"/>
    </w:pPr>
  </w:style>
  <w:style w:type="paragraph" w:customStyle="1" w:styleId="Point1">
    <w:name w:val="Point 1"/>
    <w:basedOn w:val="Normal"/>
    <w:rsid w:val="006267EE"/>
    <w:pPr>
      <w:ind w:left="1417" w:hanging="567"/>
    </w:pPr>
  </w:style>
  <w:style w:type="paragraph" w:customStyle="1" w:styleId="Point0number">
    <w:name w:val="Point 0 (number)"/>
    <w:basedOn w:val="Normal"/>
    <w:rsid w:val="006267EE"/>
    <w:pPr>
      <w:numPr>
        <w:numId w:val="45"/>
      </w:numPr>
    </w:pPr>
  </w:style>
  <w:style w:type="paragraph" w:customStyle="1" w:styleId="Point1number">
    <w:name w:val="Point 1 (number)"/>
    <w:basedOn w:val="Normal"/>
    <w:rsid w:val="006267EE"/>
    <w:pPr>
      <w:numPr>
        <w:ilvl w:val="2"/>
        <w:numId w:val="45"/>
      </w:numPr>
    </w:pPr>
  </w:style>
  <w:style w:type="paragraph" w:customStyle="1" w:styleId="Point2number">
    <w:name w:val="Point 2 (number)"/>
    <w:basedOn w:val="Normal"/>
    <w:rsid w:val="006267EE"/>
    <w:pPr>
      <w:numPr>
        <w:ilvl w:val="4"/>
        <w:numId w:val="45"/>
      </w:numPr>
    </w:pPr>
  </w:style>
  <w:style w:type="paragraph" w:customStyle="1" w:styleId="Point3number">
    <w:name w:val="Point 3 (number)"/>
    <w:basedOn w:val="Normal"/>
    <w:rsid w:val="006267EE"/>
    <w:pPr>
      <w:numPr>
        <w:ilvl w:val="6"/>
        <w:numId w:val="45"/>
      </w:numPr>
    </w:pPr>
  </w:style>
  <w:style w:type="paragraph" w:customStyle="1" w:styleId="Point0letter">
    <w:name w:val="Point 0 (letter)"/>
    <w:basedOn w:val="Normal"/>
    <w:rsid w:val="006267EE"/>
    <w:pPr>
      <w:numPr>
        <w:ilvl w:val="1"/>
        <w:numId w:val="45"/>
      </w:numPr>
    </w:pPr>
  </w:style>
  <w:style w:type="paragraph" w:customStyle="1" w:styleId="Point1letter">
    <w:name w:val="Point 1 (letter)"/>
    <w:basedOn w:val="Normal"/>
    <w:rsid w:val="006267EE"/>
    <w:pPr>
      <w:numPr>
        <w:ilvl w:val="3"/>
        <w:numId w:val="45"/>
      </w:numPr>
    </w:pPr>
  </w:style>
  <w:style w:type="paragraph" w:customStyle="1" w:styleId="Point2letter">
    <w:name w:val="Point 2 (letter)"/>
    <w:basedOn w:val="Normal"/>
    <w:rsid w:val="006267EE"/>
    <w:pPr>
      <w:numPr>
        <w:ilvl w:val="5"/>
        <w:numId w:val="45"/>
      </w:numPr>
    </w:pPr>
  </w:style>
  <w:style w:type="paragraph" w:customStyle="1" w:styleId="Point3letter">
    <w:name w:val="Point 3 (letter)"/>
    <w:basedOn w:val="Normal"/>
    <w:rsid w:val="006267EE"/>
    <w:pPr>
      <w:numPr>
        <w:ilvl w:val="7"/>
        <w:numId w:val="45"/>
      </w:numPr>
    </w:pPr>
  </w:style>
  <w:style w:type="paragraph" w:customStyle="1" w:styleId="Point4letter">
    <w:name w:val="Point 4 (letter)"/>
    <w:basedOn w:val="Normal"/>
    <w:rsid w:val="006267EE"/>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985</Words>
  <Characters>6938</Characters>
  <DocSecurity>0</DocSecurity>
  <Lines>130</Lines>
  <Paragraphs>79</Paragraphs>
  <ScaleCrop>false</ScaleCrop>
  <LinksUpToDate>false</LinksUpToDate>
  <CharactersWithSpaces>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2025-05-26T09:19:00Z</dcterms:created>
  <dcterms:modified xsi:type="dcterms:W3CDTF">2025-05-26T09:19:00Z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2025-05-26T09:19:52Z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7f8a40f3-9628-4633-975f-51f26485921b</vt:lpwstr>
  </property>
  <property fmtid="{D5CDD505-2E9C-101B-9397-08002B2CF9AE}" pid="8" name="MSIP_Label_6bd9ddd1-4d20-43f6-abfa-fc3c07406f94_ContentBits">
    <vt:lpwstr>0</vt:lpwstr>
  </property>
</Properties>
</file>