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83912" w14:textId="77777777" w:rsidR="00D373AF" w:rsidRPr="00C754B1" w:rsidRDefault="00D373AF" w:rsidP="00D373AF">
      <w:pPr>
        <w:pStyle w:val="ManualHeading1"/>
        <w:rPr>
          <w:noProof/>
        </w:rPr>
      </w:pPr>
      <w:r w:rsidRPr="00C754B1">
        <w:rPr>
          <w:noProof/>
        </w:rPr>
        <w:t>3.3. FICHA DE INFORMAÇÕES COMPLEMENTARES SOBRE OS AUXÍLIOS AO AUMENTO DA ARQUEAÇÃO BRUTA DE UM NAVIO DE PESCA PARA MELHORAR A SEGURANÇA, AS CONDIÇÕES DE TRABALHO OU A EFICIÊNCIA ENERGÉTICA</w:t>
      </w:r>
    </w:p>
    <w:p w14:paraId="68824439" w14:textId="77777777" w:rsidR="00D373AF" w:rsidRPr="00C754B1" w:rsidRDefault="00D373AF" w:rsidP="00D373AF">
      <w:pPr>
        <w:spacing w:after="0"/>
        <w:rPr>
          <w:rFonts w:eastAsia="Times New Roman"/>
          <w:i/>
          <w:noProof/>
          <w:szCs w:val="24"/>
        </w:rPr>
      </w:pPr>
      <w:r w:rsidRPr="00C754B1">
        <w:rPr>
          <w:i/>
          <w:noProof/>
        </w:rPr>
        <w:t>O presente formulário deve ser utilizado pelos Estados-Membros para a notificação dos auxílios ao aumento da arqueação bruta de um navio de pesca para melhorar a segurança, as condições de trabalho ou a eficiência energética, tal como descritos na parte II, capítulo 3, secção 3.3, das Orientações relativas aos auxílios estatais no setor das pescas e da aquicultura</w:t>
      </w:r>
      <w:r w:rsidRPr="00C754B1">
        <w:rPr>
          <w:rStyle w:val="FootnoteReference"/>
          <w:rFonts w:eastAsia="Times New Roman"/>
          <w:i/>
          <w:noProof/>
          <w:szCs w:val="24"/>
          <w:lang w:eastAsia="en-GB"/>
        </w:rPr>
        <w:footnoteReference w:id="1"/>
      </w:r>
      <w:r w:rsidRPr="00C754B1">
        <w:rPr>
          <w:i/>
          <w:noProof/>
        </w:rPr>
        <w:t xml:space="preserve"> («Orientações»).</w:t>
      </w:r>
    </w:p>
    <w:p w14:paraId="688032FE" w14:textId="77777777" w:rsidR="00D373AF" w:rsidRPr="00C754B1" w:rsidRDefault="00D373AF" w:rsidP="00D373AF">
      <w:pPr>
        <w:pStyle w:val="ManualNumPar1"/>
        <w:rPr>
          <w:noProof/>
        </w:rPr>
      </w:pPr>
      <w:r w:rsidRPr="00957D93">
        <w:rPr>
          <w:noProof/>
        </w:rPr>
        <w:t>1.</w:t>
      </w:r>
      <w:r w:rsidRPr="00957D93">
        <w:rPr>
          <w:noProof/>
        </w:rPr>
        <w:tab/>
      </w:r>
      <w:r w:rsidRPr="00C754B1">
        <w:rPr>
          <w:noProof/>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193136E2" w14:textId="77777777" w:rsidR="00D373AF" w:rsidRPr="00C754B1" w:rsidRDefault="00D373AF" w:rsidP="00D373AF">
      <w:pPr>
        <w:pStyle w:val="Text1"/>
        <w:rPr>
          <w:noProof/>
        </w:rPr>
      </w:pPr>
      <w:sdt>
        <w:sdtPr>
          <w:rPr>
            <w:noProof/>
          </w:rPr>
          <w:id w:val="-154211800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31815029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0133234" w14:textId="77777777" w:rsidR="00D373AF" w:rsidRPr="00C754B1" w:rsidRDefault="00D373AF" w:rsidP="00D373AF">
      <w:pPr>
        <w:pStyle w:val="ManualNumPar2"/>
        <w:rPr>
          <w:noProof/>
        </w:rPr>
      </w:pPr>
      <w:r w:rsidRPr="00957D93">
        <w:rPr>
          <w:noProof/>
        </w:rPr>
        <w:t>1.1.</w:t>
      </w:r>
      <w:r w:rsidRPr="00957D93">
        <w:rPr>
          <w:noProof/>
        </w:rPr>
        <w:tab/>
      </w:r>
      <w:r w:rsidRPr="00C754B1">
        <w:rPr>
          <w:noProof/>
        </w:rPr>
        <w:t>Caso a resposta seja afirmativa, queira indicar a ou as disposições relevantes na base jurídica.</w:t>
      </w:r>
    </w:p>
    <w:p w14:paraId="4B79ADE9" w14:textId="77777777" w:rsidR="00D373AF" w:rsidRPr="00C754B1" w:rsidRDefault="00D373AF" w:rsidP="00D373AF">
      <w:pPr>
        <w:pStyle w:val="Text1"/>
        <w:rPr>
          <w:noProof/>
        </w:rPr>
      </w:pPr>
      <w:r w:rsidRPr="00C754B1">
        <w:rPr>
          <w:noProof/>
        </w:rPr>
        <w:t>………………………………………………………………………………….</w:t>
      </w:r>
    </w:p>
    <w:p w14:paraId="1611A641" w14:textId="77777777" w:rsidR="00D373AF" w:rsidRPr="00C754B1" w:rsidRDefault="00D373AF" w:rsidP="00D373AF">
      <w:pPr>
        <w:pStyle w:val="ManualNumPar1"/>
        <w:rPr>
          <w:rFonts w:eastAsia="Times New Roman"/>
          <w:noProof/>
          <w:szCs w:val="24"/>
        </w:rPr>
      </w:pPr>
      <w:r w:rsidRPr="00957D93">
        <w:rPr>
          <w:noProof/>
        </w:rPr>
        <w:t>2.</w:t>
      </w:r>
      <w:r w:rsidRPr="00957D93">
        <w:rPr>
          <w:noProof/>
        </w:rPr>
        <w:tab/>
      </w:r>
      <w:r w:rsidRPr="00C754B1">
        <w:rPr>
          <w:noProof/>
        </w:rPr>
        <w:t>Nos termos do ponto 265, alínea a), das Orientações, os navios de pesca devem pertencer a um segmento da frota em relação ao qual o mais recente relatório sobre a capacidade de pesca a que se refere o artigo 22.º, n.º 2, do Regulamento (UE) n.º 1380/2013 tenha demonstrado a existência de um equilíbrio entre a capacidade de pesca e as possibilidades de pesca disponíveis para esse segmento («relatório nacional»). Nos termos do ponto 266 das Orientações, o procedimento e as condições estabelecidos nos pontos 225 a 227 da parte II, capítulo 2, secção 2.2., são aplicáveis para efeitos do ponto 265, alínea a). Nesse contexto, queira confirmar o seguinte:</w:t>
      </w:r>
    </w:p>
    <w:p w14:paraId="3E23C097" w14:textId="77777777" w:rsidR="00D373AF" w:rsidRPr="00C754B1" w:rsidRDefault="00D373AF" w:rsidP="00D373AF">
      <w:pPr>
        <w:rPr>
          <w:i/>
          <w:iCs/>
          <w:noProof/>
        </w:rPr>
      </w:pPr>
      <w:r w:rsidRPr="00C754B1">
        <w:rPr>
          <w:i/>
          <w:noProof/>
        </w:rPr>
        <w:t>Caso a medida diga respeito à pesca interior, não é necessário responder às perguntas 2.1 a 2.2.6.1.</w:t>
      </w:r>
    </w:p>
    <w:p w14:paraId="7CA02470" w14:textId="77777777" w:rsidR="00D373AF" w:rsidRPr="00C754B1" w:rsidRDefault="00D373AF" w:rsidP="00D373AF">
      <w:pPr>
        <w:pStyle w:val="ManualNumPar2"/>
        <w:rPr>
          <w:rFonts w:eastAsia="Times New Roman"/>
          <w:noProof/>
          <w:szCs w:val="24"/>
        </w:rPr>
      </w:pPr>
      <w:r w:rsidRPr="00957D93">
        <w:rPr>
          <w:noProof/>
        </w:rPr>
        <w:t>2.1.</w:t>
      </w:r>
      <w:r w:rsidRPr="00957D93">
        <w:rPr>
          <w:noProof/>
        </w:rPr>
        <w:tab/>
      </w:r>
      <w:r w:rsidRPr="00C754B1">
        <w:rPr>
          <w:noProof/>
        </w:rPr>
        <w:t>Quando foi elaborado o último relatório nacional antes da data de concessão do auxílio?</w:t>
      </w:r>
    </w:p>
    <w:p w14:paraId="26A2D6BF" w14:textId="77777777" w:rsidR="00D373AF" w:rsidRPr="00C754B1" w:rsidRDefault="00D373AF" w:rsidP="00D373AF">
      <w:pPr>
        <w:pStyle w:val="Text1"/>
        <w:rPr>
          <w:noProof/>
        </w:rPr>
      </w:pPr>
      <w:r w:rsidRPr="00C754B1">
        <w:rPr>
          <w:noProof/>
        </w:rPr>
        <w:t>……………………………………………………………………………………….</w:t>
      </w:r>
    </w:p>
    <w:p w14:paraId="5015332E" w14:textId="77777777" w:rsidR="00D373AF" w:rsidRPr="00C754B1" w:rsidRDefault="00D373AF" w:rsidP="00D373AF">
      <w:pPr>
        <w:pStyle w:val="ManualNumPar3"/>
        <w:rPr>
          <w:noProof/>
        </w:rPr>
      </w:pPr>
      <w:r w:rsidRPr="00957D93">
        <w:rPr>
          <w:noProof/>
        </w:rPr>
        <w:t>2.1.1.</w:t>
      </w:r>
      <w:r w:rsidRPr="00957D93">
        <w:rPr>
          <w:noProof/>
        </w:rPr>
        <w:tab/>
      </w:r>
      <w:r w:rsidRPr="00C754B1">
        <w:rPr>
          <w:noProof/>
        </w:rPr>
        <w:t>Queira fornecer a ligação para o último relatório nacional ou anexá-lo à notificação.</w:t>
      </w:r>
    </w:p>
    <w:p w14:paraId="585944B9" w14:textId="77777777" w:rsidR="00D373AF" w:rsidRPr="00C754B1" w:rsidRDefault="00D373AF" w:rsidP="00D373AF">
      <w:pPr>
        <w:pStyle w:val="Text1"/>
        <w:rPr>
          <w:noProof/>
        </w:rPr>
      </w:pPr>
      <w:r w:rsidRPr="00C754B1">
        <w:rPr>
          <w:noProof/>
        </w:rPr>
        <w:t>……………………………………………………………………………………….</w:t>
      </w:r>
    </w:p>
    <w:p w14:paraId="73AE6550" w14:textId="77777777" w:rsidR="00D373AF" w:rsidRPr="00C754B1" w:rsidRDefault="00D373AF" w:rsidP="00D373AF">
      <w:pPr>
        <w:pStyle w:val="ManualNumPar2"/>
        <w:rPr>
          <w:rFonts w:eastAsia="Times New Roman"/>
          <w:noProof/>
          <w:szCs w:val="24"/>
        </w:rPr>
      </w:pPr>
      <w:r w:rsidRPr="00957D93">
        <w:rPr>
          <w:noProof/>
        </w:rPr>
        <w:t>2.2.</w:t>
      </w:r>
      <w:r w:rsidRPr="00957D93">
        <w:rPr>
          <w:noProof/>
        </w:rPr>
        <w:tab/>
      </w:r>
      <w:r w:rsidRPr="00C754B1">
        <w:rPr>
          <w:noProof/>
        </w:rPr>
        <w:t>Queira confirmar que estão preenchidas as seguintes condições para a concessão dos auxílios:</w:t>
      </w:r>
    </w:p>
    <w:p w14:paraId="0471B4CA" w14:textId="77777777" w:rsidR="00D373AF" w:rsidRPr="00C754B1" w:rsidRDefault="00D373AF" w:rsidP="00D373AF">
      <w:pPr>
        <w:pStyle w:val="ManualNumPar3"/>
        <w:rPr>
          <w:noProof/>
        </w:rPr>
      </w:pPr>
      <w:r w:rsidRPr="00957D93">
        <w:rPr>
          <w:noProof/>
        </w:rPr>
        <w:t>2.2.1.</w:t>
      </w:r>
      <w:r w:rsidRPr="00957D93">
        <w:rPr>
          <w:noProof/>
        </w:rPr>
        <w:tab/>
      </w:r>
      <w:r w:rsidRPr="00C754B1">
        <w:rPr>
          <w:noProof/>
        </w:rPr>
        <w:t>O relatório nacional foi apresentado até 31 de maio do ano N</w:t>
      </w:r>
      <w:r w:rsidRPr="00C754B1">
        <w:rPr>
          <w:rStyle w:val="FootnoteReference"/>
          <w:rFonts w:eastAsia="Times New Roman"/>
          <w:noProof/>
          <w:szCs w:val="24"/>
          <w:lang w:eastAsia="en-GB"/>
        </w:rPr>
        <w:footnoteReference w:id="2"/>
      </w:r>
      <w:r w:rsidRPr="00C754B1">
        <w:rPr>
          <w:noProof/>
        </w:rPr>
        <w:t>?</w:t>
      </w:r>
    </w:p>
    <w:p w14:paraId="19314D47" w14:textId="77777777" w:rsidR="00D373AF" w:rsidRPr="00C754B1" w:rsidRDefault="00D373AF" w:rsidP="00D373AF">
      <w:pPr>
        <w:pStyle w:val="Text1"/>
        <w:rPr>
          <w:noProof/>
        </w:rPr>
      </w:pPr>
      <w:sdt>
        <w:sdtPr>
          <w:rPr>
            <w:noProof/>
          </w:rPr>
          <w:id w:val="47394684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6457813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36E507F" w14:textId="77777777" w:rsidR="00D373AF" w:rsidRPr="00C754B1" w:rsidRDefault="00D373AF" w:rsidP="00D373AF">
      <w:pPr>
        <w:pStyle w:val="ManualNumPar3"/>
        <w:rPr>
          <w:rFonts w:eastAsia="Times New Roman"/>
          <w:noProof/>
          <w:szCs w:val="24"/>
        </w:rPr>
      </w:pPr>
      <w:r w:rsidRPr="00957D93">
        <w:rPr>
          <w:noProof/>
        </w:rPr>
        <w:t>2.2.2.</w:t>
      </w:r>
      <w:r w:rsidRPr="00957D93">
        <w:rPr>
          <w:noProof/>
        </w:rPr>
        <w:tab/>
      </w:r>
      <w:r w:rsidRPr="00C754B1">
        <w:rPr>
          <w:noProof/>
        </w:rPr>
        <w:t xml:space="preserve">Queira confirmar que o relatório nacional apresentado no ano N e, em especial, a avaliação do equilíbrio nele apresentada, foi elaborado com base nos indicadores </w:t>
      </w:r>
      <w:r w:rsidRPr="00C754B1">
        <w:rPr>
          <w:noProof/>
        </w:rPr>
        <w:lastRenderedPageBreak/>
        <w:t>biológicos, económicos e de utilização dos navios definidos nas orientações comuns</w:t>
      </w:r>
      <w:r w:rsidRPr="00C754B1">
        <w:rPr>
          <w:rStyle w:val="FootnoteReference"/>
          <w:rFonts w:eastAsia="Times New Roman"/>
          <w:noProof/>
          <w:szCs w:val="24"/>
          <w:lang w:eastAsia="en-GB"/>
        </w:rPr>
        <w:footnoteReference w:id="3"/>
      </w:r>
      <w:r w:rsidRPr="00C754B1">
        <w:rPr>
          <w:noProof/>
        </w:rPr>
        <w:t xml:space="preserve"> a que se refere o artigo 22.º, n.º 2, do Regulamento (UE) n.º 1380/2013.</w:t>
      </w:r>
    </w:p>
    <w:p w14:paraId="0A12D85B" w14:textId="77777777" w:rsidR="00D373AF" w:rsidRPr="00C754B1" w:rsidRDefault="00D373AF" w:rsidP="00D373AF">
      <w:pPr>
        <w:pStyle w:val="Text1"/>
        <w:rPr>
          <w:noProof/>
        </w:rPr>
      </w:pPr>
      <w:sdt>
        <w:sdtPr>
          <w:rPr>
            <w:noProof/>
          </w:rPr>
          <w:id w:val="-133360528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49792655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002C1BA" w14:textId="77777777" w:rsidR="00D373AF" w:rsidRPr="00C754B1" w:rsidRDefault="00D373AF" w:rsidP="00D373AF">
      <w:pPr>
        <w:pStyle w:val="Text1"/>
        <w:rPr>
          <w:noProof/>
        </w:rPr>
      </w:pPr>
      <w:r w:rsidRPr="00C754B1">
        <w:rPr>
          <w:noProof/>
        </w:rPr>
        <w:t xml:space="preserve">Queira ter em conta que não pode ser concedido qualquer auxílio se o relatório nacional e, em especial, a avaliação do equilíbrio nele apresentada, não tiver sido elaborado com base nos indicadores biológicos, económicos e de utilização dos navios definidos nas orientações comuns a que se refere o artigo 22.º, n.º 2, do Regulamento (UE) n.º 1380/2013. </w:t>
      </w:r>
    </w:p>
    <w:p w14:paraId="54CEA58E" w14:textId="77777777" w:rsidR="00D373AF" w:rsidRPr="00C754B1" w:rsidRDefault="00D373AF" w:rsidP="00D373AF">
      <w:pPr>
        <w:pStyle w:val="ManualNumPar3"/>
        <w:rPr>
          <w:rFonts w:eastAsia="Times New Roman"/>
          <w:noProof/>
          <w:szCs w:val="24"/>
        </w:rPr>
      </w:pPr>
      <w:r w:rsidRPr="00957D93">
        <w:rPr>
          <w:noProof/>
        </w:rPr>
        <w:t>2.2.3.</w:t>
      </w:r>
      <w:r w:rsidRPr="00957D93">
        <w:rPr>
          <w:noProof/>
        </w:rPr>
        <w:tab/>
      </w:r>
      <w:r w:rsidRPr="00C754B1">
        <w:rPr>
          <w:noProof/>
        </w:rPr>
        <w:t>O relatório nacional apresentado no ano N demonstra que existe um equilíbrio entre a capacidade de pesca e as possibilidades de pesca no segmento da frota a que o navio pertence?</w:t>
      </w:r>
    </w:p>
    <w:p w14:paraId="16B22024" w14:textId="77777777" w:rsidR="00D373AF" w:rsidRPr="00C754B1" w:rsidRDefault="00D373AF" w:rsidP="00D373AF">
      <w:pPr>
        <w:pStyle w:val="Text1"/>
        <w:rPr>
          <w:noProof/>
        </w:rPr>
      </w:pPr>
      <w:sdt>
        <w:sdtPr>
          <w:rPr>
            <w:noProof/>
          </w:rPr>
          <w:id w:val="206675674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1024128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A87B99A" w14:textId="77777777" w:rsidR="00D373AF" w:rsidRPr="00C754B1" w:rsidRDefault="00D373AF" w:rsidP="00D373AF">
      <w:pPr>
        <w:pStyle w:val="ManualNumPar3"/>
        <w:rPr>
          <w:rFonts w:eastAsia="Times New Roman"/>
          <w:noProof/>
          <w:szCs w:val="24"/>
        </w:rPr>
      </w:pPr>
      <w:r w:rsidRPr="00957D93">
        <w:rPr>
          <w:noProof/>
        </w:rPr>
        <w:t>2.2.4.</w:t>
      </w:r>
      <w:r w:rsidRPr="00957D93">
        <w:rPr>
          <w:noProof/>
        </w:rPr>
        <w:tab/>
      </w:r>
      <w:r w:rsidRPr="00C754B1">
        <w:rPr>
          <w:noProof/>
        </w:rPr>
        <w:t>Queira explicar de que forma o relatório nacional foi tido em conta na conceção da medida e como é alcançado o equilíbrio.</w:t>
      </w:r>
    </w:p>
    <w:p w14:paraId="53E82F72" w14:textId="77777777" w:rsidR="00D373AF" w:rsidRPr="00C754B1" w:rsidRDefault="00D373AF" w:rsidP="00D373AF">
      <w:pPr>
        <w:pStyle w:val="Text1"/>
        <w:rPr>
          <w:noProof/>
        </w:rPr>
      </w:pPr>
      <w:r w:rsidRPr="00C754B1">
        <w:rPr>
          <w:noProof/>
        </w:rPr>
        <w:t>…………………………………………………………………………………….</w:t>
      </w:r>
    </w:p>
    <w:p w14:paraId="0D7114D7" w14:textId="77777777" w:rsidR="00D373AF" w:rsidRPr="00C754B1" w:rsidRDefault="00D373AF" w:rsidP="00D373AF">
      <w:pPr>
        <w:pStyle w:val="ManualNumPar3"/>
        <w:rPr>
          <w:rFonts w:eastAsia="Times New Roman"/>
          <w:noProof/>
          <w:szCs w:val="24"/>
        </w:rPr>
      </w:pPr>
      <w:r w:rsidRPr="00957D93">
        <w:rPr>
          <w:noProof/>
        </w:rPr>
        <w:t>2.2.5.</w:t>
      </w:r>
      <w:r w:rsidRPr="00957D93">
        <w:rPr>
          <w:noProof/>
        </w:rPr>
        <w:tab/>
      </w:r>
      <w:r w:rsidRPr="00C754B1">
        <w:rPr>
          <w:noProof/>
        </w:rPr>
        <w:t>Queira confirmar que a Comissão não pôs em causa, até 31 de março do ano N+1:</w:t>
      </w:r>
    </w:p>
    <w:p w14:paraId="46392936" w14:textId="77777777" w:rsidR="00D373AF" w:rsidRPr="00C754B1" w:rsidRDefault="00D373AF" w:rsidP="00D373AF">
      <w:pPr>
        <w:pStyle w:val="Point1"/>
        <w:rPr>
          <w:noProof/>
        </w:rPr>
      </w:pPr>
      <w:r w:rsidRPr="00957D93">
        <w:rPr>
          <w:noProof/>
        </w:rPr>
        <w:t>(a)</w:t>
      </w:r>
      <w:r w:rsidRPr="00957D93">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 conclusão do relatório nacional apresentado no ano N </w:t>
      </w:r>
    </w:p>
    <w:p w14:paraId="19EEE3CC" w14:textId="77777777" w:rsidR="00D373AF" w:rsidRPr="00C754B1" w:rsidRDefault="00D373AF" w:rsidP="00D373AF">
      <w:pPr>
        <w:pStyle w:val="Point1"/>
        <w:rPr>
          <w:noProof/>
        </w:rPr>
      </w:pPr>
      <w:r w:rsidRPr="00957D93">
        <w:rPr>
          <w:noProof/>
        </w:rPr>
        <w:t>(b)</w:t>
      </w:r>
      <w:r w:rsidRPr="00957D93">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 avaliação do equilíbrio constante do relatório nacional apresentado no ano N</w:t>
      </w:r>
    </w:p>
    <w:p w14:paraId="7CA5C127" w14:textId="77777777" w:rsidR="00D373AF" w:rsidRPr="00C754B1" w:rsidRDefault="00D373AF" w:rsidP="00D373AF">
      <w:pPr>
        <w:pStyle w:val="ManualNumPar3"/>
        <w:rPr>
          <w:rFonts w:eastAsia="Times New Roman"/>
          <w:noProof/>
          <w:szCs w:val="24"/>
        </w:rPr>
      </w:pPr>
      <w:r w:rsidRPr="00957D93">
        <w:rPr>
          <w:noProof/>
        </w:rPr>
        <w:t>2.2.6.</w:t>
      </w:r>
      <w:r w:rsidRPr="00957D93">
        <w:rPr>
          <w:noProof/>
        </w:rPr>
        <w:tab/>
      </w:r>
      <w:r w:rsidRPr="00C754B1">
        <w:rPr>
          <w:noProof/>
        </w:rPr>
        <w:t xml:space="preserve">Queira confirmar que a medida estabelece que o auxílio só pode ser concedido com base no relatório nacional apresentado no ano N até 31 de dezembro do ano N+1, ou seja, no ano seguinte ao ano de apresentação do relatório. </w:t>
      </w:r>
    </w:p>
    <w:p w14:paraId="7DEFF046" w14:textId="77777777" w:rsidR="00D373AF" w:rsidRPr="00C754B1" w:rsidRDefault="00D373AF" w:rsidP="00D373AF">
      <w:pPr>
        <w:pStyle w:val="Text1"/>
        <w:rPr>
          <w:noProof/>
        </w:rPr>
      </w:pPr>
      <w:sdt>
        <w:sdtPr>
          <w:rPr>
            <w:noProof/>
          </w:rPr>
          <w:id w:val="170674525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1226763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8E1980D" w14:textId="77777777" w:rsidR="00D373AF" w:rsidRPr="00C754B1" w:rsidRDefault="00D373AF" w:rsidP="00D373AF">
      <w:pPr>
        <w:pStyle w:val="ManualNumPar4"/>
        <w:rPr>
          <w:noProof/>
        </w:rPr>
      </w:pPr>
      <w:r w:rsidRPr="00957D93">
        <w:rPr>
          <w:noProof/>
        </w:rPr>
        <w:t>2.2.6.1.</w:t>
      </w:r>
      <w:r w:rsidRPr="00957D93">
        <w:rPr>
          <w:noProof/>
        </w:rPr>
        <w:tab/>
      </w:r>
      <w:r w:rsidRPr="00C754B1">
        <w:rPr>
          <w:noProof/>
        </w:rPr>
        <w:t>Caso a resposta seja afirmativa, queira indicar a ou as disposições relevantes na base jurídica.</w:t>
      </w:r>
    </w:p>
    <w:p w14:paraId="019316D9" w14:textId="77777777" w:rsidR="00D373AF" w:rsidRPr="00C754B1" w:rsidRDefault="00D373AF" w:rsidP="00D373AF">
      <w:pPr>
        <w:pStyle w:val="Text1"/>
        <w:rPr>
          <w:noProof/>
        </w:rPr>
      </w:pPr>
      <w:r w:rsidRPr="00C754B1">
        <w:rPr>
          <w:noProof/>
        </w:rPr>
        <w:t>…………………………………………………………………………………</w:t>
      </w:r>
    </w:p>
    <w:p w14:paraId="02E03A82" w14:textId="77777777" w:rsidR="00D373AF" w:rsidRPr="00C754B1" w:rsidRDefault="00D373AF" w:rsidP="00D373AF">
      <w:pPr>
        <w:pStyle w:val="ManualNumPar1"/>
        <w:rPr>
          <w:noProof/>
        </w:rPr>
      </w:pPr>
      <w:r w:rsidRPr="00957D93">
        <w:rPr>
          <w:noProof/>
        </w:rPr>
        <w:t>3.</w:t>
      </w:r>
      <w:r w:rsidRPr="00957D93">
        <w:rPr>
          <w:noProof/>
        </w:rPr>
        <w:tab/>
      </w:r>
      <w:r w:rsidRPr="00C754B1">
        <w:rPr>
          <w:noProof/>
        </w:rPr>
        <w:t>Queira confirmar que a medida estabelece que os navios de pesca devem ter um comprimento fora a fora não superior a 24 metros.</w:t>
      </w:r>
    </w:p>
    <w:p w14:paraId="6F313F21" w14:textId="77777777" w:rsidR="00D373AF" w:rsidRPr="00C754B1" w:rsidRDefault="00D373AF" w:rsidP="00D373AF">
      <w:pPr>
        <w:pStyle w:val="Text1"/>
        <w:rPr>
          <w:noProof/>
        </w:rPr>
      </w:pPr>
      <w:sdt>
        <w:sdtPr>
          <w:rPr>
            <w:noProof/>
          </w:rPr>
          <w:id w:val="188343151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07377621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4F4FB947" w14:textId="77777777" w:rsidR="00D373AF" w:rsidRPr="00C754B1" w:rsidRDefault="00D373AF" w:rsidP="00D373AF">
      <w:pPr>
        <w:pStyle w:val="ManualNumPar2"/>
        <w:rPr>
          <w:noProof/>
        </w:rPr>
      </w:pPr>
      <w:r w:rsidRPr="00957D93">
        <w:rPr>
          <w:noProof/>
        </w:rPr>
        <w:t>3.1.</w:t>
      </w:r>
      <w:r w:rsidRPr="00957D93">
        <w:rPr>
          <w:noProof/>
        </w:rPr>
        <w:tab/>
      </w:r>
      <w:r w:rsidRPr="00C754B1">
        <w:rPr>
          <w:noProof/>
        </w:rPr>
        <w:t>Caso a resposta seja afirmativa, queira indicar a ou as disposições relevantes na base jurídica.</w:t>
      </w:r>
    </w:p>
    <w:p w14:paraId="4083B3AE" w14:textId="77777777" w:rsidR="00D373AF" w:rsidRPr="00C754B1" w:rsidRDefault="00D373AF" w:rsidP="00D373AF">
      <w:pPr>
        <w:pStyle w:val="Text1"/>
        <w:rPr>
          <w:noProof/>
        </w:rPr>
      </w:pPr>
      <w:r w:rsidRPr="00C754B1">
        <w:rPr>
          <w:noProof/>
        </w:rPr>
        <w:t>……………………………………………………………………………………….</w:t>
      </w:r>
    </w:p>
    <w:p w14:paraId="179100B7" w14:textId="77777777" w:rsidR="00D373AF" w:rsidRPr="00C754B1" w:rsidRDefault="00D373AF" w:rsidP="00D373AF">
      <w:pPr>
        <w:pStyle w:val="ManualNumPar1"/>
        <w:rPr>
          <w:rFonts w:eastAsia="Times New Roman"/>
          <w:noProof/>
          <w:szCs w:val="24"/>
        </w:rPr>
      </w:pPr>
      <w:r w:rsidRPr="00957D93">
        <w:rPr>
          <w:noProof/>
        </w:rPr>
        <w:t>4.</w:t>
      </w:r>
      <w:r w:rsidRPr="00957D93">
        <w:rPr>
          <w:noProof/>
        </w:rPr>
        <w:tab/>
      </w:r>
      <w:r w:rsidRPr="00C754B1">
        <w:rPr>
          <w:noProof/>
        </w:rPr>
        <w:t>Queira confirmar que a medida estabelece que os navios de pesca têm de ter estado registados no ficheiro da frota de pesca da União durante, pelo menos, os 10 anos civis anteriores ao ano de apresentação do pedido de auxílio.</w:t>
      </w:r>
    </w:p>
    <w:p w14:paraId="30D5328A" w14:textId="77777777" w:rsidR="00D373AF" w:rsidRPr="00C754B1" w:rsidRDefault="00D373AF" w:rsidP="00D373AF">
      <w:pPr>
        <w:pStyle w:val="Text1"/>
        <w:rPr>
          <w:noProof/>
        </w:rPr>
      </w:pPr>
      <w:sdt>
        <w:sdtPr>
          <w:rPr>
            <w:noProof/>
          </w:rPr>
          <w:id w:val="196500160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7775981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E00AB99" w14:textId="77777777" w:rsidR="00D373AF" w:rsidRPr="00C754B1" w:rsidRDefault="00D373AF" w:rsidP="00D373AF">
      <w:pPr>
        <w:pStyle w:val="ManualNumPar2"/>
        <w:rPr>
          <w:rFonts w:eastAsia="Times New Roman"/>
          <w:iCs/>
          <w:noProof/>
          <w:szCs w:val="24"/>
        </w:rPr>
      </w:pPr>
      <w:r w:rsidRPr="00957D93">
        <w:rPr>
          <w:noProof/>
        </w:rPr>
        <w:lastRenderedPageBreak/>
        <w:t>4.1.</w:t>
      </w:r>
      <w:r w:rsidRPr="00957D93">
        <w:rPr>
          <w:noProof/>
        </w:rPr>
        <w:tab/>
      </w:r>
      <w:r w:rsidRPr="00C754B1">
        <w:rPr>
          <w:noProof/>
        </w:rPr>
        <w:t>Caso a medida diga respeito à pesca interior, queira confirmar que a medida estabelece que o auxílio só pode ser concedido em relação a um navio de pesca que tenha estado em serviço, em conformidade com o direito nacional, durante, pelo menos, os 10 anos civis anteriores ao ano de apresentação do pedido de auxílio.</w:t>
      </w:r>
    </w:p>
    <w:p w14:paraId="7AC41A1E" w14:textId="77777777" w:rsidR="00D373AF" w:rsidRPr="00C754B1" w:rsidRDefault="00D373AF" w:rsidP="00D373AF">
      <w:pPr>
        <w:pStyle w:val="Text1"/>
        <w:rPr>
          <w:noProof/>
        </w:rPr>
      </w:pPr>
      <w:sdt>
        <w:sdtPr>
          <w:rPr>
            <w:noProof/>
          </w:rPr>
          <w:id w:val="-59155283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53469064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02AF5BF" w14:textId="77777777" w:rsidR="00D373AF" w:rsidRPr="00C754B1" w:rsidRDefault="00D373AF" w:rsidP="00D373AF">
      <w:pPr>
        <w:pStyle w:val="ManualNumPar2"/>
        <w:rPr>
          <w:rFonts w:eastAsia="Times New Roman"/>
          <w:noProof/>
          <w:szCs w:val="24"/>
        </w:rPr>
      </w:pPr>
      <w:r w:rsidRPr="00957D93">
        <w:rPr>
          <w:noProof/>
        </w:rPr>
        <w:t>4.2.</w:t>
      </w:r>
      <w:r w:rsidRPr="00957D93">
        <w:rPr>
          <w:noProof/>
        </w:rPr>
        <w:tab/>
      </w:r>
      <w:r w:rsidRPr="00C754B1">
        <w:rPr>
          <w:noProof/>
        </w:rPr>
        <w:t>Caso a resposta às perguntas 4 ou 4.1 seja afirmativa, queira indicar a ou as disposições relevantes na base jurídica.</w:t>
      </w:r>
    </w:p>
    <w:p w14:paraId="1B227C2D" w14:textId="77777777" w:rsidR="00D373AF" w:rsidRPr="00C754B1" w:rsidRDefault="00D373AF" w:rsidP="00D373AF">
      <w:pPr>
        <w:pStyle w:val="Text1"/>
        <w:rPr>
          <w:noProof/>
        </w:rPr>
      </w:pPr>
      <w:r w:rsidRPr="00C754B1">
        <w:rPr>
          <w:noProof/>
        </w:rPr>
        <w:t>……………………………………………………………………………………….</w:t>
      </w:r>
    </w:p>
    <w:p w14:paraId="15029162" w14:textId="77777777" w:rsidR="00D373AF" w:rsidRPr="00C754B1" w:rsidRDefault="00D373AF" w:rsidP="00D373AF">
      <w:pPr>
        <w:pStyle w:val="ManualNumPar1"/>
        <w:rPr>
          <w:rFonts w:eastAsia="Times New Roman"/>
          <w:noProof/>
          <w:szCs w:val="24"/>
        </w:rPr>
      </w:pPr>
      <w:r w:rsidRPr="00957D93">
        <w:rPr>
          <w:noProof/>
        </w:rPr>
        <w:t>5.</w:t>
      </w:r>
      <w:r w:rsidRPr="00957D93">
        <w:rPr>
          <w:noProof/>
        </w:rPr>
        <w:tab/>
      </w:r>
      <w:r w:rsidRPr="00C754B1">
        <w:rPr>
          <w:noProof/>
        </w:rPr>
        <w:t>Queira confirmar que a entrada na frota de pesca de novas capacidades de pesca geradas pela operação é compensada pela retirada prévia de, pelo menos, igual capacidade de pesca, sem ajuda pública, do mesmo segmento da frota ou de um segmento da frota relativamente ao qual o mais recente relatório nacional, a que se refere o artigo 22.º, n.º 2, do Regulamento (UE) n.º 1380/2013, tenha demonstrado que a capacidade de pesca não está em equilíbrio com as possibilidades de pesca disponíveis para esse segmento.</w:t>
      </w:r>
    </w:p>
    <w:p w14:paraId="1E901793" w14:textId="77777777" w:rsidR="00D373AF" w:rsidRPr="00C754B1" w:rsidRDefault="00D373AF" w:rsidP="00D373AF">
      <w:pPr>
        <w:pStyle w:val="Text1"/>
        <w:rPr>
          <w:noProof/>
        </w:rPr>
      </w:pPr>
      <w:sdt>
        <w:sdtPr>
          <w:rPr>
            <w:noProof/>
          </w:rPr>
          <w:id w:val="183202241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480958423"/>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8E51402" w14:textId="77777777" w:rsidR="00D373AF" w:rsidRPr="00C754B1" w:rsidRDefault="00D373AF" w:rsidP="00D373AF">
      <w:pPr>
        <w:pStyle w:val="ManualNumPar2"/>
        <w:rPr>
          <w:noProof/>
        </w:rPr>
      </w:pPr>
      <w:r w:rsidRPr="00957D93">
        <w:rPr>
          <w:noProof/>
        </w:rPr>
        <w:t>5.1.</w:t>
      </w:r>
      <w:r w:rsidRPr="00957D93">
        <w:rPr>
          <w:noProof/>
        </w:rPr>
        <w:tab/>
      </w:r>
      <w:r w:rsidRPr="00C754B1">
        <w:rPr>
          <w:noProof/>
        </w:rPr>
        <w:t>Caso a resposta à pergunta anterior seja afirmativa, queira indicar a ou as disposições relevantes na base jurídica.</w:t>
      </w:r>
    </w:p>
    <w:p w14:paraId="273D4DA5" w14:textId="77777777" w:rsidR="00D373AF" w:rsidRPr="00C754B1" w:rsidRDefault="00D373AF" w:rsidP="00D373AF">
      <w:pPr>
        <w:pStyle w:val="Text1"/>
        <w:rPr>
          <w:noProof/>
        </w:rPr>
      </w:pPr>
      <w:r w:rsidRPr="00C754B1">
        <w:rPr>
          <w:noProof/>
        </w:rPr>
        <w:t>……………………………………………………………………………….</w:t>
      </w:r>
    </w:p>
    <w:p w14:paraId="75D88044" w14:textId="77777777" w:rsidR="00D373AF" w:rsidRPr="00C754B1" w:rsidRDefault="00D373AF" w:rsidP="00D373AF">
      <w:pPr>
        <w:rPr>
          <w:i/>
          <w:iCs/>
          <w:noProof/>
        </w:rPr>
      </w:pPr>
      <w:r w:rsidRPr="00C754B1">
        <w:rPr>
          <w:i/>
          <w:noProof/>
        </w:rPr>
        <w:t>Caso a medida diga respeito à pesca interior, esta pergunta não se aplica.</w:t>
      </w:r>
    </w:p>
    <w:p w14:paraId="0DBD9BEE" w14:textId="77777777" w:rsidR="00D373AF" w:rsidRPr="00C754B1" w:rsidRDefault="00D373AF" w:rsidP="00D373AF">
      <w:pPr>
        <w:pStyle w:val="ManualNumPar1"/>
        <w:rPr>
          <w:rFonts w:eastAsia="Times New Roman"/>
          <w:noProof/>
          <w:szCs w:val="24"/>
        </w:rPr>
      </w:pPr>
      <w:r w:rsidRPr="00957D93">
        <w:rPr>
          <w:noProof/>
        </w:rPr>
        <w:t>6.</w:t>
      </w:r>
      <w:r w:rsidRPr="00957D93">
        <w:rPr>
          <w:noProof/>
        </w:rPr>
        <w:tab/>
      </w:r>
      <w:r w:rsidRPr="00C754B1">
        <w:rPr>
          <w:noProof/>
        </w:rPr>
        <w:t>Queira confirmar os custos elegíveis:</w:t>
      </w:r>
    </w:p>
    <w:p w14:paraId="3E13AA3D" w14:textId="77777777" w:rsidR="00D373AF" w:rsidRPr="00C754B1" w:rsidRDefault="00D373AF" w:rsidP="00D373AF">
      <w:pPr>
        <w:pStyle w:val="Point1"/>
        <w:rPr>
          <w:noProof/>
        </w:rPr>
      </w:pPr>
      <w:r w:rsidRPr="00957D93">
        <w:rPr>
          <w:noProof/>
        </w:rPr>
        <w:t>(a)</w:t>
      </w:r>
      <w:r w:rsidRPr="00957D93">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 aumento da arqueação bruta necessário para a subsequente instalação ou renovação de instalações de alojamento dedicadas à utilização exclusiva da tripulação, nomeadamente instalações sanitárias, áreas comuns, instalações de cozinha e estruturas de convés de abrigo</w:t>
      </w:r>
    </w:p>
    <w:p w14:paraId="1376C985" w14:textId="77777777" w:rsidR="00D373AF" w:rsidRPr="00C754B1" w:rsidRDefault="00D373AF" w:rsidP="00D373AF">
      <w:pPr>
        <w:pStyle w:val="Point1"/>
        <w:rPr>
          <w:noProof/>
        </w:rPr>
      </w:pPr>
      <w:r w:rsidRPr="00957D93">
        <w:rPr>
          <w:noProof/>
        </w:rPr>
        <w:t>(b)</w:t>
      </w:r>
      <w:r w:rsidRPr="00957D93">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 aumento da arqueação bruta necessário para o subsequente melhoramento ou instalação de sistemas de prevenção de incêndios a bordo, sistemas de segurança e alarme ou sistemas de redução do ruído</w:t>
      </w:r>
    </w:p>
    <w:p w14:paraId="4F1DA13F" w14:textId="77777777" w:rsidR="00D373AF" w:rsidRPr="00C754B1" w:rsidRDefault="00D373AF" w:rsidP="00D373AF">
      <w:pPr>
        <w:pStyle w:val="Point1"/>
        <w:rPr>
          <w:noProof/>
        </w:rPr>
      </w:pPr>
      <w:r w:rsidRPr="00957D93">
        <w:rPr>
          <w:noProof/>
        </w:rPr>
        <w:t>(c)</w:t>
      </w:r>
      <w:r w:rsidRPr="00957D93">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 aumento da arqueação bruta necessário para a subsequente instalação de sistemas integrados da ponte para melhorar a navegação ou o controlo do motor</w:t>
      </w:r>
    </w:p>
    <w:p w14:paraId="3EBFD4FD" w14:textId="77777777" w:rsidR="00D373AF" w:rsidRPr="00C754B1" w:rsidRDefault="00D373AF" w:rsidP="00D373AF">
      <w:pPr>
        <w:pStyle w:val="Point1"/>
        <w:rPr>
          <w:noProof/>
        </w:rPr>
      </w:pPr>
      <w:r w:rsidRPr="00957D93">
        <w:rPr>
          <w:noProof/>
        </w:rPr>
        <w:t>(d)</w:t>
      </w:r>
      <w:r w:rsidRPr="00957D93">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o aumento da arqueação bruta necessário para a subsequente instalação ou renovação de um motor ou sistema de propulsão que demonstre uma melhor eficiência energética ou uma redução das emissões de CO₂ em comparação com a situação anterior, que não tenha uma potência superior à potência do motor previamente certificada do navio de pesca nos termos do artigo 40.º, n.º 1, do Regulamento (CE) n.º 1224/2009 do Conselho</w:t>
      </w:r>
      <w:r w:rsidRPr="00C754B1">
        <w:rPr>
          <w:rStyle w:val="FootnoteReference"/>
          <w:rFonts w:eastAsia="Times New Roman"/>
          <w:bCs/>
          <w:noProof/>
          <w:szCs w:val="24"/>
          <w:lang w:eastAsia="en-GB"/>
        </w:rPr>
        <w:footnoteReference w:id="4"/>
      </w:r>
      <w:r w:rsidRPr="00C754B1">
        <w:rPr>
          <w:noProof/>
        </w:rPr>
        <w:t xml:space="preserve"> e cuja potência </w:t>
      </w:r>
      <w:r w:rsidRPr="00C754B1">
        <w:rPr>
          <w:noProof/>
        </w:rPr>
        <w:lastRenderedPageBreak/>
        <w:t>máxima seja certificada pelo fabricante para esse modelo de motor ou sistema de propulsão</w:t>
      </w:r>
    </w:p>
    <w:p w14:paraId="605AC55A" w14:textId="77777777" w:rsidR="00D373AF" w:rsidRPr="00C754B1" w:rsidRDefault="00D373AF" w:rsidP="00D373AF">
      <w:pPr>
        <w:pStyle w:val="Point1"/>
        <w:rPr>
          <w:noProof/>
        </w:rPr>
      </w:pPr>
      <w:r w:rsidRPr="00957D93">
        <w:rPr>
          <w:noProof/>
        </w:rPr>
        <w:t>(e)</w:t>
      </w:r>
      <w:r w:rsidRPr="00957D93">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a substituição ou renovação do bolbo da proa, desde que melhore a eficiência energética global do navio de pesca.</w:t>
      </w:r>
    </w:p>
    <w:p w14:paraId="1551E690" w14:textId="77777777" w:rsidR="00D373AF" w:rsidRPr="00C754B1" w:rsidRDefault="00D373AF" w:rsidP="00D373AF">
      <w:pPr>
        <w:pStyle w:val="ManualNumPar2"/>
        <w:rPr>
          <w:rFonts w:eastAsia="Times New Roman"/>
          <w:noProof/>
          <w:szCs w:val="24"/>
        </w:rPr>
      </w:pPr>
      <w:r w:rsidRPr="00957D93">
        <w:rPr>
          <w:noProof/>
        </w:rPr>
        <w:t>6.1.</w:t>
      </w:r>
      <w:r w:rsidRPr="00957D93">
        <w:rPr>
          <w:noProof/>
        </w:rPr>
        <w:tab/>
      </w:r>
      <w:r w:rsidRPr="00C754B1">
        <w:rPr>
          <w:noProof/>
        </w:rPr>
        <w:t>Queira identificar a ou as disposições da base jurídica que correspondem à sua seleção.</w:t>
      </w:r>
    </w:p>
    <w:p w14:paraId="0206E620" w14:textId="77777777" w:rsidR="00D373AF" w:rsidRPr="00C754B1" w:rsidRDefault="00D373AF" w:rsidP="00D373AF">
      <w:pPr>
        <w:pStyle w:val="Text1"/>
        <w:rPr>
          <w:noProof/>
        </w:rPr>
      </w:pPr>
      <w:r w:rsidRPr="00C754B1">
        <w:rPr>
          <w:noProof/>
        </w:rPr>
        <w:t>……………………………………………………………………………………….</w:t>
      </w:r>
    </w:p>
    <w:p w14:paraId="5DB71BDC" w14:textId="77777777" w:rsidR="00D373AF" w:rsidRPr="00C754B1" w:rsidRDefault="00D373AF" w:rsidP="00D373AF">
      <w:pPr>
        <w:pStyle w:val="ManualNumPar2"/>
        <w:rPr>
          <w:rFonts w:eastAsia="Times New Roman"/>
          <w:noProof/>
          <w:szCs w:val="24"/>
        </w:rPr>
      </w:pPr>
      <w:r w:rsidRPr="00957D93">
        <w:rPr>
          <w:noProof/>
        </w:rPr>
        <w:t>6.2.</w:t>
      </w:r>
      <w:r w:rsidRPr="00957D93">
        <w:rPr>
          <w:noProof/>
        </w:rPr>
        <w:tab/>
      </w:r>
      <w:r w:rsidRPr="00C754B1">
        <w:rPr>
          <w:noProof/>
        </w:rPr>
        <w:t>Queira confirmar que os custos elegíveis só incluem os custos diretos e indiretos relacionados com os auxílios aos investimentos destinados a melhorar a segurança, as condições de trabalho ou a eficiência energética que resultam num aumento da arqueação bruta de um navio de pesca.</w:t>
      </w:r>
    </w:p>
    <w:p w14:paraId="54B4B6A4" w14:textId="77777777" w:rsidR="00D373AF" w:rsidRPr="00C754B1" w:rsidRDefault="00D373AF" w:rsidP="00D373AF">
      <w:pPr>
        <w:pStyle w:val="Text1"/>
        <w:rPr>
          <w:noProof/>
        </w:rPr>
      </w:pPr>
      <w:sdt>
        <w:sdtPr>
          <w:rPr>
            <w:noProof/>
          </w:rPr>
          <w:id w:val="89331082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85132321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3CF9BC1" w14:textId="77777777" w:rsidR="00D373AF" w:rsidRPr="00C754B1" w:rsidRDefault="00D373AF" w:rsidP="00D373AF">
      <w:pPr>
        <w:pStyle w:val="ManualNumPar2"/>
        <w:rPr>
          <w:rFonts w:eastAsia="Times New Roman"/>
          <w:noProof/>
          <w:szCs w:val="24"/>
        </w:rPr>
      </w:pPr>
      <w:r w:rsidRPr="00957D93">
        <w:rPr>
          <w:noProof/>
        </w:rPr>
        <w:t>6.3.</w:t>
      </w:r>
      <w:r w:rsidRPr="00957D93">
        <w:rPr>
          <w:noProof/>
        </w:rPr>
        <w:tab/>
      </w:r>
      <w:r w:rsidRPr="00C754B1">
        <w:rPr>
          <w:noProof/>
        </w:rPr>
        <w:t>Caso a resposta seja afirmativa, queira indicar a ou as disposições relevantes na base jurídica.</w:t>
      </w:r>
    </w:p>
    <w:p w14:paraId="3E96FD5A" w14:textId="77777777" w:rsidR="00D373AF" w:rsidRPr="00C754B1" w:rsidRDefault="00D373AF" w:rsidP="00D373AF">
      <w:pPr>
        <w:pStyle w:val="Text1"/>
        <w:rPr>
          <w:noProof/>
        </w:rPr>
      </w:pPr>
      <w:r w:rsidRPr="00C754B1">
        <w:rPr>
          <w:noProof/>
        </w:rPr>
        <w:t>………………………………………………………………………………….</w:t>
      </w:r>
    </w:p>
    <w:p w14:paraId="41822F0D" w14:textId="77777777" w:rsidR="00D373AF" w:rsidRPr="00C754B1" w:rsidRDefault="00D373AF" w:rsidP="00D373AF">
      <w:pPr>
        <w:pStyle w:val="ManualNumPar2"/>
        <w:rPr>
          <w:rFonts w:eastAsia="Times New Roman"/>
          <w:noProof/>
          <w:szCs w:val="24"/>
        </w:rPr>
      </w:pPr>
      <w:bookmarkStart w:id="0" w:name="_Hlk134023979"/>
      <w:r w:rsidRPr="00957D93">
        <w:rPr>
          <w:noProof/>
        </w:rPr>
        <w:t>6.4.</w:t>
      </w:r>
      <w:r w:rsidRPr="00957D93">
        <w:rPr>
          <w:noProof/>
        </w:rPr>
        <w:tab/>
      </w:r>
      <w:r w:rsidRPr="00C754B1">
        <w:rPr>
          <w:noProof/>
        </w:rPr>
        <w:t>Queira fornecer uma descrição pormenorizada dos custos elegíveis ao abrigo da medida. Queira descrever que custos estão relacionados com a melhoria da segurança, das condições de trabalho ou da eficiência energética, respetivamente.</w:t>
      </w:r>
    </w:p>
    <w:bookmarkEnd w:id="0"/>
    <w:p w14:paraId="3A53D8E5" w14:textId="77777777" w:rsidR="00D373AF" w:rsidRPr="00C754B1" w:rsidRDefault="00D373AF" w:rsidP="00D373AF">
      <w:pPr>
        <w:pStyle w:val="Text1"/>
        <w:rPr>
          <w:noProof/>
        </w:rPr>
      </w:pPr>
      <w:r w:rsidRPr="00C754B1">
        <w:rPr>
          <w:noProof/>
        </w:rPr>
        <w:t>……………………………………………………………………………………….</w:t>
      </w:r>
    </w:p>
    <w:p w14:paraId="3DB4947F" w14:textId="77777777" w:rsidR="00D373AF" w:rsidRPr="00C754B1" w:rsidRDefault="00D373AF" w:rsidP="00D373AF">
      <w:pPr>
        <w:pStyle w:val="ManualNumPar1"/>
        <w:rPr>
          <w:noProof/>
        </w:rPr>
      </w:pPr>
      <w:r w:rsidRPr="00957D93">
        <w:rPr>
          <w:noProof/>
        </w:rPr>
        <w:t>7.</w:t>
      </w:r>
      <w:r w:rsidRPr="00957D93">
        <w:rPr>
          <w:noProof/>
        </w:rPr>
        <w:tab/>
      </w:r>
      <w:r w:rsidRPr="00C754B1">
        <w:rPr>
          <w:noProof/>
        </w:rPr>
        <w:t>Queira descrever pormenorizadamente os mecanismos de controlo e de execução existentes para garantir o cumprimento das condições estabelecidas na parte II, capítulo 3, secção 3.3, das Orientações.</w:t>
      </w:r>
    </w:p>
    <w:p w14:paraId="53B194AB" w14:textId="77777777" w:rsidR="00D373AF" w:rsidRPr="00C754B1" w:rsidRDefault="00D373AF" w:rsidP="00D373AF">
      <w:pPr>
        <w:pStyle w:val="Text1"/>
        <w:rPr>
          <w:noProof/>
        </w:rPr>
      </w:pPr>
      <w:r w:rsidRPr="00C754B1">
        <w:rPr>
          <w:noProof/>
        </w:rPr>
        <w:t>……………………………………………………………………………………….</w:t>
      </w:r>
    </w:p>
    <w:p w14:paraId="5EA1375D" w14:textId="77777777" w:rsidR="00D373AF" w:rsidRPr="00C754B1" w:rsidRDefault="00D373AF" w:rsidP="00D373AF">
      <w:pPr>
        <w:pStyle w:val="ManualNumPar1"/>
        <w:rPr>
          <w:rFonts w:eastAsia="Times New Roman"/>
          <w:noProof/>
          <w:szCs w:val="24"/>
        </w:rPr>
      </w:pPr>
      <w:r w:rsidRPr="00957D93">
        <w:rPr>
          <w:noProof/>
        </w:rPr>
        <w:t>8.</w:t>
      </w:r>
      <w:r w:rsidRPr="00957D93">
        <w:rPr>
          <w:noProof/>
        </w:rPr>
        <w:tab/>
      </w:r>
      <w:r w:rsidRPr="00C754B1">
        <w:rPr>
          <w:noProof/>
        </w:rPr>
        <w:t>Queira fornecer uma descrição pormenorizada das características da medida, incluindo o montante da capacidade de pesca aumentada e o objetivo desse aumento.</w:t>
      </w:r>
    </w:p>
    <w:p w14:paraId="69D5E36B" w14:textId="77777777" w:rsidR="00D373AF" w:rsidRPr="00C754B1" w:rsidRDefault="00D373AF" w:rsidP="00D373AF">
      <w:pPr>
        <w:rPr>
          <w:rFonts w:eastAsia="Times New Roman"/>
          <w:noProof/>
          <w:szCs w:val="24"/>
        </w:rPr>
      </w:pPr>
      <w:r w:rsidRPr="00C754B1">
        <w:rPr>
          <w:noProof/>
        </w:rPr>
        <w:t>…………………………………………………………………………………………….</w:t>
      </w:r>
    </w:p>
    <w:p w14:paraId="4D826AA5" w14:textId="77777777" w:rsidR="00D373AF" w:rsidRPr="00C754B1" w:rsidRDefault="00D373AF" w:rsidP="00D373AF">
      <w:pPr>
        <w:autoSpaceDE w:val="0"/>
        <w:autoSpaceDN w:val="0"/>
        <w:adjustRightInd w:val="0"/>
        <w:spacing w:after="0"/>
        <w:rPr>
          <w:rFonts w:eastAsia="Times New Roman"/>
          <w:noProof/>
          <w:szCs w:val="24"/>
        </w:rPr>
      </w:pPr>
      <w:r w:rsidRPr="00C754B1">
        <w:rPr>
          <w:i/>
          <w:noProof/>
        </w:rPr>
        <w:t>Se a informação já tiver sido fornecida em resposta a uma pergunta ou secção anterior, queira remeter para essa resposta.</w:t>
      </w:r>
    </w:p>
    <w:p w14:paraId="1F420F90" w14:textId="77777777" w:rsidR="00D373AF" w:rsidRPr="00C754B1" w:rsidRDefault="00D373AF" w:rsidP="00D373AF">
      <w:pPr>
        <w:pStyle w:val="ManualNumPar1"/>
        <w:rPr>
          <w:rFonts w:eastAsia="Times New Roman"/>
          <w:noProof/>
          <w:szCs w:val="24"/>
        </w:rPr>
      </w:pPr>
      <w:r w:rsidRPr="00957D93">
        <w:rPr>
          <w:noProof/>
        </w:rPr>
        <w:t>9.</w:t>
      </w:r>
      <w:r w:rsidRPr="00957D93">
        <w:rPr>
          <w:noProof/>
        </w:rPr>
        <w:tab/>
      </w:r>
      <w:r w:rsidRPr="00C754B1">
        <w:rPr>
          <w:noProof/>
        </w:rPr>
        <w:t>Queira confirmar que a medida estabelece que a intensidade máxima do auxílio não excede 40 % dos custos elegíveis.</w:t>
      </w:r>
    </w:p>
    <w:p w14:paraId="445BD610" w14:textId="77777777" w:rsidR="00D373AF" w:rsidRPr="00C754B1" w:rsidRDefault="00D373AF" w:rsidP="00D373AF">
      <w:pPr>
        <w:pStyle w:val="Text1"/>
        <w:rPr>
          <w:noProof/>
        </w:rPr>
      </w:pPr>
      <w:sdt>
        <w:sdtPr>
          <w:rPr>
            <w:noProof/>
          </w:rPr>
          <w:id w:val="154324796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7127695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22FF9FC" w14:textId="77777777" w:rsidR="00D373AF" w:rsidRPr="00C754B1" w:rsidRDefault="00D373AF" w:rsidP="00D373AF">
      <w:pPr>
        <w:pStyle w:val="ManualNumPar2"/>
        <w:rPr>
          <w:noProof/>
        </w:rPr>
      </w:pPr>
      <w:r w:rsidRPr="00957D93">
        <w:rPr>
          <w:noProof/>
        </w:rPr>
        <w:t>9.1.</w:t>
      </w:r>
      <w:r w:rsidRPr="00957D93">
        <w:rPr>
          <w:noProof/>
        </w:rPr>
        <w:tab/>
      </w:r>
      <w:r w:rsidRPr="00C754B1">
        <w:rPr>
          <w:noProof/>
        </w:rPr>
        <w:t>Queira indicar a ou as intensidades máximas do auxílio aplicáveis ao abrigo da medida:</w:t>
      </w:r>
    </w:p>
    <w:p w14:paraId="5595E7AD" w14:textId="77777777" w:rsidR="00D373AF" w:rsidRPr="00C754B1" w:rsidRDefault="00D373AF" w:rsidP="00D373AF">
      <w:pPr>
        <w:pStyle w:val="Text1"/>
        <w:rPr>
          <w:noProof/>
        </w:rPr>
      </w:pPr>
      <w:r w:rsidRPr="00C754B1">
        <w:rPr>
          <w:noProof/>
        </w:rPr>
        <w:t>……………………………………………………………………………………….</w:t>
      </w:r>
    </w:p>
    <w:p w14:paraId="72E5BB5A" w14:textId="77777777" w:rsidR="00D373AF" w:rsidRPr="00C754B1" w:rsidRDefault="00D373AF" w:rsidP="00D373AF">
      <w:pPr>
        <w:pStyle w:val="ManualNumPar2"/>
        <w:rPr>
          <w:rFonts w:eastAsia="Times New Roman"/>
          <w:noProof/>
          <w:szCs w:val="24"/>
        </w:rPr>
      </w:pPr>
      <w:r w:rsidRPr="00957D93">
        <w:rPr>
          <w:noProof/>
        </w:rPr>
        <w:t>9.2.</w:t>
      </w:r>
      <w:r w:rsidRPr="00957D93">
        <w:rPr>
          <w:noProof/>
        </w:rPr>
        <w:tab/>
      </w:r>
      <w:r w:rsidRPr="00C754B1">
        <w:rPr>
          <w:noProof/>
        </w:rPr>
        <w:t>Queira identificar a ou as disposições da base jurídica que estabelecem a(s) intensidade(s) máxima(s) do auxílio ao abrigo da medida.</w:t>
      </w:r>
    </w:p>
    <w:p w14:paraId="72514DEC" w14:textId="77777777" w:rsidR="00D373AF" w:rsidRPr="00C754B1" w:rsidRDefault="00D373AF" w:rsidP="00D373AF">
      <w:pPr>
        <w:pStyle w:val="Text1"/>
        <w:rPr>
          <w:noProof/>
        </w:rPr>
      </w:pPr>
      <w:r w:rsidRPr="00C754B1">
        <w:rPr>
          <w:noProof/>
        </w:rPr>
        <w:t>………………………………………………………………………………….</w:t>
      </w:r>
    </w:p>
    <w:p w14:paraId="34275C08" w14:textId="77777777" w:rsidR="00D373AF" w:rsidRPr="00C754B1" w:rsidRDefault="00D373AF" w:rsidP="00D373AF">
      <w:pPr>
        <w:pStyle w:val="ManualHeading4"/>
        <w:rPr>
          <w:noProof/>
        </w:rPr>
      </w:pPr>
      <w:r w:rsidRPr="00C754B1">
        <w:rPr>
          <w:noProof/>
        </w:rPr>
        <w:t>OUTRAS INFORMAÇÕES</w:t>
      </w:r>
    </w:p>
    <w:p w14:paraId="65027E23" w14:textId="77777777" w:rsidR="00D373AF" w:rsidRPr="00C754B1" w:rsidRDefault="00D373AF" w:rsidP="00D373AF">
      <w:pPr>
        <w:pStyle w:val="ManualNumPar1"/>
        <w:rPr>
          <w:rFonts w:eastAsia="Times New Roman"/>
          <w:noProof/>
          <w:szCs w:val="24"/>
        </w:rPr>
      </w:pPr>
      <w:r w:rsidRPr="00957D93">
        <w:rPr>
          <w:noProof/>
        </w:rPr>
        <w:t>10.</w:t>
      </w:r>
      <w:r w:rsidRPr="00957D93">
        <w:rPr>
          <w:noProof/>
        </w:rPr>
        <w:tab/>
      </w:r>
      <w:r w:rsidRPr="00C754B1">
        <w:rPr>
          <w:noProof/>
        </w:rPr>
        <w:t>Queira indicar outras informações consideradas pertinentes para a apreciação da medida ao abrigo da secção correspondente das Orientações.</w:t>
      </w:r>
    </w:p>
    <w:p w14:paraId="2BADFFC0" w14:textId="77777777" w:rsidR="00D373AF" w:rsidRPr="00C754B1" w:rsidRDefault="00D373AF" w:rsidP="00D373AF">
      <w:pPr>
        <w:pStyle w:val="Text1"/>
        <w:rPr>
          <w:noProof/>
        </w:rPr>
      </w:pPr>
      <w:r w:rsidRPr="00C754B1">
        <w:rPr>
          <w:noProof/>
        </w:rPr>
        <w:lastRenderedPageBreak/>
        <w:t>……………………………………………………………………………………….</w:t>
      </w:r>
    </w:p>
    <w:p w14:paraId="0E4AF65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CD916" w14:textId="77777777" w:rsidR="00D373AF" w:rsidRDefault="00D373AF" w:rsidP="00D373AF">
      <w:pPr>
        <w:spacing w:before="0" w:after="0"/>
      </w:pPr>
      <w:r>
        <w:separator/>
      </w:r>
    </w:p>
  </w:endnote>
  <w:endnote w:type="continuationSeparator" w:id="0">
    <w:p w14:paraId="2CB86BB1" w14:textId="77777777" w:rsidR="00D373AF" w:rsidRDefault="00D373AF" w:rsidP="00D373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3D2E" w14:textId="77777777" w:rsidR="00D373AF" w:rsidRDefault="00D373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27D73" w14:textId="67CD3392" w:rsidR="00D373AF" w:rsidRDefault="00D373AF" w:rsidP="00D373A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C1971" w14:textId="77777777" w:rsidR="00D373AF" w:rsidRDefault="00D373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E363" w14:textId="77777777" w:rsidR="00D373AF" w:rsidRDefault="00D373AF" w:rsidP="00D373AF">
      <w:pPr>
        <w:spacing w:before="0" w:after="0"/>
      </w:pPr>
      <w:r>
        <w:separator/>
      </w:r>
    </w:p>
  </w:footnote>
  <w:footnote w:type="continuationSeparator" w:id="0">
    <w:p w14:paraId="7E822540" w14:textId="77777777" w:rsidR="00D373AF" w:rsidRDefault="00D373AF" w:rsidP="00D373AF">
      <w:pPr>
        <w:spacing w:before="0" w:after="0"/>
      </w:pPr>
      <w:r>
        <w:continuationSeparator/>
      </w:r>
    </w:p>
  </w:footnote>
  <w:footnote w:id="1">
    <w:p w14:paraId="4D3925F7" w14:textId="77777777" w:rsidR="00D373AF" w:rsidRPr="00794B67" w:rsidRDefault="00D373AF" w:rsidP="00D373AF">
      <w:pPr>
        <w:pStyle w:val="FootnoteText"/>
      </w:pPr>
      <w:r>
        <w:rPr>
          <w:rStyle w:val="FootnoteReference"/>
        </w:rPr>
        <w:footnoteRef/>
      </w:r>
      <w:r>
        <w:tab/>
        <w:t>JO C 107 de 23.3.2023, p. 1.</w:t>
      </w:r>
    </w:p>
  </w:footnote>
  <w:footnote w:id="2">
    <w:p w14:paraId="24725DEF" w14:textId="77777777" w:rsidR="00D373AF" w:rsidRPr="000345FA" w:rsidRDefault="00D373AF" w:rsidP="00D373AF">
      <w:pPr>
        <w:pStyle w:val="FootnoteText"/>
      </w:pPr>
      <w:r>
        <w:rPr>
          <w:rStyle w:val="FootnoteReference"/>
        </w:rPr>
        <w:footnoteRef/>
      </w:r>
      <w:r>
        <w:tab/>
        <w:t>Queira consultar os pontos 225 e 226 das Orientações que descrevem as sequências do relatório nacional apresentado no ano N e a possibilidade de a Comissão atuar até 31 de março do ano N+1.</w:t>
      </w:r>
    </w:p>
  </w:footnote>
  <w:footnote w:id="3">
    <w:p w14:paraId="528A4E33" w14:textId="77777777" w:rsidR="00D373AF" w:rsidRPr="001A2686" w:rsidRDefault="00D373AF" w:rsidP="00D373AF">
      <w:pPr>
        <w:pStyle w:val="FootnoteText"/>
      </w:pPr>
      <w:r>
        <w:rPr>
          <w:rStyle w:val="FootnoteReference"/>
        </w:rPr>
        <w:footnoteRef/>
      </w:r>
      <w:r>
        <w:tab/>
        <w:t xml:space="preserve">Comunicação da Comissão ao Parlamento Europeu e ao Conselho: Diretrizes para a análise do equilíbrio entre a capacidade de pesca e as possibilidades de pesca em virtude do artigo 22.º do Regulamento (UE) n.º 1380/2013 do Parlamento Europeu e do Conselho relativo à política comum das pescas [COM(2014) 545 final].  </w:t>
      </w:r>
    </w:p>
  </w:footnote>
  <w:footnote w:id="4">
    <w:p w14:paraId="1EE6D318" w14:textId="77777777" w:rsidR="00D373AF" w:rsidRPr="001D7707" w:rsidRDefault="00D373AF" w:rsidP="00D373AF">
      <w:pPr>
        <w:pStyle w:val="FootnoteText"/>
        <w:ind w:left="567" w:hanging="425"/>
      </w:pPr>
      <w:r>
        <w:rPr>
          <w:rStyle w:val="FootnoteReference"/>
        </w:rPr>
        <w:footnoteRef/>
      </w:r>
      <w:r>
        <w:tab/>
        <w:t>Regulamento (CE) n.º 1224/2009 do Conselho, de 20 de novembro de 2009, que institui um regime de controlo da União a fim de assegurar o cumprimento das regras da Política Comum das Pescas, altera os Regulamentos (CE) n.º 847/96, (CE) n.º 2371/2002, (CE) n.º 811/2004, (CE) n.º 768/2005, (CE) n.º 2115/2005, (CE) n.º 2166/2005, (CE) n.º 388/2006, (CE) n.º 509/2007, (CE) n.º 676/2007, (CE) n.º 1098/2007, (CE) n.º 1300/2008, (CE) n.º 1342/2008, e revoga os Regulamentos (CEE) n.º 2847/93, (CE) n.º 1627/94 e (CE) n.º 1966/2006 (JO L 343 de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AEB0" w14:textId="77777777" w:rsidR="00D373AF" w:rsidRDefault="00D373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30EC3" w14:textId="77777777" w:rsidR="00D373AF" w:rsidRDefault="00D373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277E0" w14:textId="77777777" w:rsidR="00D373AF" w:rsidRDefault="00D373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373A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373AF"/>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3D6ACFB"/>
  <w15:chartTrackingRefBased/>
  <w15:docId w15:val="{E366C240-D36B-4C3E-8233-74468897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3AF"/>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373A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373A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373A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373A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373A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73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73A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73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73A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373A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373AF"/>
    <w:rPr>
      <w:i/>
      <w:iCs/>
      <w:color w:val="365F91" w:themeColor="accent1" w:themeShade="BF"/>
    </w:rPr>
  </w:style>
  <w:style w:type="paragraph" w:styleId="IntenseQuote">
    <w:name w:val="Intense Quote"/>
    <w:basedOn w:val="Normal"/>
    <w:next w:val="Normal"/>
    <w:link w:val="IntenseQuoteChar"/>
    <w:uiPriority w:val="30"/>
    <w:qFormat/>
    <w:rsid w:val="00D373A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373A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373AF"/>
    <w:rPr>
      <w:b/>
      <w:bCs/>
      <w:smallCaps/>
      <w:color w:val="365F91" w:themeColor="accent1" w:themeShade="BF"/>
      <w:spacing w:val="5"/>
    </w:rPr>
  </w:style>
  <w:style w:type="paragraph" w:styleId="Signature">
    <w:name w:val="Signature"/>
    <w:basedOn w:val="Normal"/>
    <w:link w:val="FootnoteReference"/>
    <w:uiPriority w:val="99"/>
    <w:rsid w:val="00D373A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D373AF"/>
    <w:rPr>
      <w:rFonts w:ascii="Times New Roman" w:hAnsi="Times New Roman" w:cs="Times New Roman"/>
      <w:kern w:val="0"/>
      <w:sz w:val="24"/>
      <w:lang w:val="pt-PT"/>
      <w14:ligatures w14:val="none"/>
    </w:rPr>
  </w:style>
  <w:style w:type="paragraph" w:customStyle="1" w:styleId="Text1">
    <w:name w:val="Text 1"/>
    <w:basedOn w:val="Normal"/>
    <w:rsid w:val="00D373AF"/>
    <w:pPr>
      <w:ind w:left="850"/>
    </w:pPr>
  </w:style>
  <w:style w:type="paragraph" w:customStyle="1" w:styleId="Point1">
    <w:name w:val="Point 1"/>
    <w:basedOn w:val="Normal"/>
    <w:rsid w:val="00D373AF"/>
    <w:pPr>
      <w:ind w:left="1417" w:hanging="567"/>
    </w:pPr>
  </w:style>
  <w:style w:type="paragraph" w:customStyle="1" w:styleId="Point0number">
    <w:name w:val="Point 0 (number)"/>
    <w:basedOn w:val="Normal"/>
    <w:rsid w:val="00D373AF"/>
    <w:pPr>
      <w:numPr>
        <w:numId w:val="45"/>
      </w:numPr>
    </w:pPr>
  </w:style>
  <w:style w:type="paragraph" w:customStyle="1" w:styleId="Point1number">
    <w:name w:val="Point 1 (number)"/>
    <w:basedOn w:val="Normal"/>
    <w:rsid w:val="00D373AF"/>
    <w:pPr>
      <w:numPr>
        <w:ilvl w:val="2"/>
        <w:numId w:val="45"/>
      </w:numPr>
    </w:pPr>
  </w:style>
  <w:style w:type="paragraph" w:customStyle="1" w:styleId="Point2number">
    <w:name w:val="Point 2 (number)"/>
    <w:basedOn w:val="Normal"/>
    <w:rsid w:val="00D373AF"/>
    <w:pPr>
      <w:numPr>
        <w:ilvl w:val="4"/>
        <w:numId w:val="45"/>
      </w:numPr>
    </w:pPr>
  </w:style>
  <w:style w:type="paragraph" w:customStyle="1" w:styleId="Point3number">
    <w:name w:val="Point 3 (number)"/>
    <w:basedOn w:val="Normal"/>
    <w:rsid w:val="00D373AF"/>
    <w:pPr>
      <w:numPr>
        <w:ilvl w:val="6"/>
        <w:numId w:val="45"/>
      </w:numPr>
    </w:pPr>
  </w:style>
  <w:style w:type="paragraph" w:customStyle="1" w:styleId="Point0letter">
    <w:name w:val="Point 0 (letter)"/>
    <w:basedOn w:val="Normal"/>
    <w:rsid w:val="00D373AF"/>
    <w:pPr>
      <w:numPr>
        <w:ilvl w:val="1"/>
        <w:numId w:val="45"/>
      </w:numPr>
    </w:pPr>
  </w:style>
  <w:style w:type="paragraph" w:customStyle="1" w:styleId="Point1letter">
    <w:name w:val="Point 1 (letter)"/>
    <w:basedOn w:val="Normal"/>
    <w:rsid w:val="00D373AF"/>
    <w:pPr>
      <w:numPr>
        <w:ilvl w:val="3"/>
        <w:numId w:val="45"/>
      </w:numPr>
    </w:pPr>
  </w:style>
  <w:style w:type="paragraph" w:customStyle="1" w:styleId="Point2letter">
    <w:name w:val="Point 2 (letter)"/>
    <w:basedOn w:val="Normal"/>
    <w:rsid w:val="00D373AF"/>
    <w:pPr>
      <w:numPr>
        <w:ilvl w:val="5"/>
        <w:numId w:val="45"/>
      </w:numPr>
    </w:pPr>
  </w:style>
  <w:style w:type="paragraph" w:customStyle="1" w:styleId="Point3letter">
    <w:name w:val="Point 3 (letter)"/>
    <w:basedOn w:val="Normal"/>
    <w:rsid w:val="00D373AF"/>
    <w:pPr>
      <w:numPr>
        <w:ilvl w:val="7"/>
        <w:numId w:val="45"/>
      </w:numPr>
    </w:pPr>
  </w:style>
  <w:style w:type="paragraph" w:customStyle="1" w:styleId="Point4letter">
    <w:name w:val="Point 4 (letter)"/>
    <w:basedOn w:val="Normal"/>
    <w:rsid w:val="00D373A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1351</Words>
  <Characters>7675</Characters>
  <DocSecurity>0</DocSecurity>
  <Lines>150</Lines>
  <Paragraphs>84</Paragraphs>
  <ScaleCrop>false</ScaleCrop>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2025-05-26T11:41:00Z</dcterms:created>
  <dcterms:modified xsi:type="dcterms:W3CDTF">2025-05-26T11:41:00Z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2025-05-26T11:41:44Z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f5732973-1586-4043-ba90-bb8d38cb4e91</vt:lpwstr>
  </property>
  <property fmtid="{D5CDD505-2E9C-101B-9397-08002B2CF9AE}" pid="8" name="MSIP_Label_6bd9ddd1-4d20-43f6-abfa-fc3c07406f94_ContentBits">
    <vt:lpwstr>0</vt:lpwstr>
  </property>
</Properties>
</file>