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C501B" w14:textId="77777777" w:rsidR="00F454B4" w:rsidRPr="00190747" w:rsidRDefault="00F454B4" w:rsidP="00F454B4">
      <w:pPr>
        <w:pStyle w:val="ManualHeading1"/>
        <w:rPr>
          <w:rFonts w:eastAsia="Times New Roman"/>
          <w:noProof/>
          <w:szCs w:val="24"/>
        </w:rPr>
      </w:pPr>
      <w:r w:rsidRPr="00190747">
        <w:rPr>
          <w:noProof/>
        </w:rPr>
        <w:t>1.5. CABHAIR LE hAGHAIDH INFHEISTÍOCHTAÍ CHUN AN DAMÁISTE A THARLAÍONN MAR GHEALL AR THEAGMHAIS RIOSCA A CHOSC AGUS A MHAOLÚ</w:t>
      </w:r>
    </w:p>
    <w:p w14:paraId="2339FBDE" w14:textId="77777777" w:rsidR="00F454B4" w:rsidRPr="00190747" w:rsidRDefault="00F454B4" w:rsidP="00F454B4">
      <w:pPr>
        <w:spacing w:after="0"/>
        <w:rPr>
          <w:rFonts w:eastAsia="Times New Roman"/>
          <w:i/>
          <w:noProof/>
          <w:szCs w:val="24"/>
        </w:rPr>
      </w:pPr>
      <w:r w:rsidRPr="00190747">
        <w:rPr>
          <w:i/>
          <w:noProof/>
        </w:rPr>
        <w:t>Ní mór do na Ballstáit an fhoirm seo a úsáid chun fógra a thabhairt faoi aon chabhair le haghaidh infheistíochtaí chun an damáiste a tharlaíonn mar gheall ar theagmhais riosca a shlánú, mar a thuairiscítear i Roinn 1.5 de Chaibidil 1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0280483F" w14:textId="77777777" w:rsidR="00F454B4" w:rsidRPr="00190747" w:rsidRDefault="00F454B4" w:rsidP="00F454B4">
      <w:pPr>
        <w:pStyle w:val="ManualNumPar1"/>
        <w:rPr>
          <w:rFonts w:eastAsia="Times New Roman"/>
          <w:noProof/>
          <w:szCs w:val="24"/>
        </w:rPr>
      </w:pPr>
      <w:r w:rsidRPr="00D47337">
        <w:rPr>
          <w:noProof/>
        </w:rPr>
        <w:t>1.</w:t>
      </w:r>
      <w:r w:rsidRPr="00D47337">
        <w:rPr>
          <w:noProof/>
        </w:rPr>
        <w:tab/>
      </w:r>
      <w:r w:rsidRPr="00190747">
        <w:rPr>
          <w:noProof/>
        </w:rPr>
        <w:t>Deimhnigh go n-ordaítear leis an mbeart nach mór don infheistíocht a bheith dírithe go príomha ar dhamáiste a tharlaíonn mar gheall ar theagmhais riosca a chosc agus a mhaolú agus, go háirithe i gcás earnáil an iascaigh, nach mór don infheistíocht díriú ar fhoghail nó damáiste do threalamh iascaireachta nó do threalamh eile a chosc agus a mhaolú.</w:t>
      </w:r>
    </w:p>
    <w:p w14:paraId="0E604F23" w14:textId="77777777" w:rsidR="00F454B4" w:rsidRPr="00190747" w:rsidRDefault="00F454B4" w:rsidP="00F454B4">
      <w:pPr>
        <w:pStyle w:val="Text1"/>
        <w:rPr>
          <w:noProof/>
        </w:rPr>
      </w:pPr>
      <w:sdt>
        <w:sdtPr>
          <w:rPr>
            <w:noProof/>
          </w:rPr>
          <w:id w:val="142399807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93754965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1FC8B8AD" w14:textId="77777777" w:rsidR="00F454B4" w:rsidRPr="00190747" w:rsidRDefault="00F454B4" w:rsidP="00F454B4">
      <w:pPr>
        <w:pStyle w:val="ManualNumPar2"/>
        <w:rPr>
          <w:rFonts w:eastAsia="Times New Roman"/>
          <w:noProof/>
          <w:szCs w:val="24"/>
        </w:rPr>
      </w:pPr>
      <w:r w:rsidRPr="00D47337">
        <w:rPr>
          <w:noProof/>
        </w:rPr>
        <w:t>1.1.</w:t>
      </w:r>
      <w:r w:rsidRPr="00D47337">
        <w:rPr>
          <w:noProof/>
        </w:rPr>
        <w:tab/>
      </w:r>
      <w:r w:rsidRPr="00190747">
        <w:rPr>
          <w:noProof/>
        </w:rPr>
        <w:t>Má ordaítear, sainaithin an fhoráil nó na forálacha ábhartha sa bhunús dlí.</w:t>
      </w:r>
    </w:p>
    <w:p w14:paraId="72618FD9" w14:textId="77777777" w:rsidR="00F454B4" w:rsidRPr="00190747" w:rsidRDefault="00F454B4" w:rsidP="00F454B4">
      <w:pPr>
        <w:pStyle w:val="Text1"/>
        <w:rPr>
          <w:noProof/>
        </w:rPr>
      </w:pPr>
      <w:r w:rsidRPr="00190747">
        <w:rPr>
          <w:noProof/>
        </w:rPr>
        <w:t>………………………………………………………………………………….</w:t>
      </w:r>
    </w:p>
    <w:p w14:paraId="23D87138" w14:textId="77777777" w:rsidR="00F454B4" w:rsidRPr="00190747" w:rsidRDefault="00F454B4" w:rsidP="00F454B4">
      <w:pPr>
        <w:pStyle w:val="ManualNumPar1"/>
        <w:rPr>
          <w:rFonts w:eastAsia="Times New Roman"/>
          <w:noProof/>
          <w:szCs w:val="24"/>
        </w:rPr>
      </w:pPr>
      <w:r w:rsidRPr="00D47337">
        <w:rPr>
          <w:noProof/>
        </w:rPr>
        <w:t>2.</w:t>
      </w:r>
      <w:r w:rsidRPr="00D47337">
        <w:rPr>
          <w:noProof/>
        </w:rPr>
        <w:tab/>
      </w:r>
      <w:r w:rsidRPr="00190747">
        <w:rPr>
          <w:noProof/>
        </w:rPr>
        <w:t>Má cheanglaítear leis an infheistíocht measúnú ar an tionchar ar an gcomhshaol faoi Threoir 2011/92/AE ó Pharlaimint na hEorpa agus ón gComhairle</w:t>
      </w:r>
      <w:r w:rsidRPr="00190747">
        <w:rPr>
          <w:rStyle w:val="FootnoteReference"/>
          <w:rFonts w:eastAsia="Times New Roman"/>
          <w:noProof/>
          <w:szCs w:val="24"/>
          <w:lang w:eastAsia="en-GB"/>
        </w:rPr>
        <w:footnoteReference w:id="2"/>
      </w:r>
      <w:r w:rsidRPr="00190747">
        <w:rPr>
          <w:noProof/>
        </w:rPr>
        <w:t>, deimhnigh go bhfágann an beart an chabhair a bheith faoi réir an choinníll go mbeidh an measúnú sin déanta agus go mbeidh an toiliú don fhorbairt deonaithe le haghaidh an tionscadail infheistíochta lena mbaineann roimh dháta deonaithe na cabhrach aonair.</w:t>
      </w:r>
    </w:p>
    <w:p w14:paraId="417C2EB6" w14:textId="77777777" w:rsidR="00F454B4" w:rsidRPr="00190747" w:rsidRDefault="00F454B4" w:rsidP="00F454B4">
      <w:pPr>
        <w:pStyle w:val="Text1"/>
        <w:rPr>
          <w:noProof/>
        </w:rPr>
      </w:pPr>
      <w:sdt>
        <w:sdtPr>
          <w:rPr>
            <w:noProof/>
          </w:rPr>
          <w:id w:val="100663699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fágann</w:t>
      </w:r>
      <w:r w:rsidRPr="00190747">
        <w:rPr>
          <w:noProof/>
        </w:rPr>
        <w:tab/>
      </w:r>
      <w:r w:rsidRPr="00190747">
        <w:rPr>
          <w:noProof/>
        </w:rPr>
        <w:tab/>
      </w:r>
      <w:sdt>
        <w:sdtPr>
          <w:rPr>
            <w:noProof/>
          </w:rPr>
          <w:id w:val="21109469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fhágann</w:t>
      </w:r>
    </w:p>
    <w:p w14:paraId="5418CCE4" w14:textId="77777777" w:rsidR="00F454B4" w:rsidRPr="00190747" w:rsidRDefault="00F454B4" w:rsidP="00F454B4">
      <w:pPr>
        <w:pStyle w:val="ManualNumPar2"/>
        <w:rPr>
          <w:rFonts w:eastAsia="Times New Roman"/>
          <w:noProof/>
          <w:szCs w:val="24"/>
        </w:rPr>
      </w:pPr>
      <w:r w:rsidRPr="00D47337">
        <w:rPr>
          <w:noProof/>
        </w:rPr>
        <w:t>2.1.</w:t>
      </w:r>
      <w:r w:rsidRPr="00D47337">
        <w:rPr>
          <w:noProof/>
        </w:rPr>
        <w:tab/>
      </w:r>
      <w:r w:rsidRPr="00190747">
        <w:rPr>
          <w:noProof/>
        </w:rPr>
        <w:t>Má fhágann, sainaithin an fhoráil nó na forálacha ábhartha sa bhunús dlí.</w:t>
      </w:r>
    </w:p>
    <w:p w14:paraId="56791953" w14:textId="77777777" w:rsidR="00F454B4" w:rsidRPr="00190747" w:rsidRDefault="00F454B4" w:rsidP="00F454B4">
      <w:pPr>
        <w:pStyle w:val="Text1"/>
        <w:rPr>
          <w:noProof/>
        </w:rPr>
      </w:pPr>
      <w:r w:rsidRPr="00190747">
        <w:rPr>
          <w:noProof/>
        </w:rPr>
        <w:t>………………………………………………………………………………….</w:t>
      </w:r>
    </w:p>
    <w:p w14:paraId="7ECD5E77" w14:textId="77777777" w:rsidR="00F454B4" w:rsidRPr="00190747" w:rsidRDefault="00F454B4" w:rsidP="00F454B4">
      <w:pPr>
        <w:pStyle w:val="ManualNumPar1"/>
        <w:rPr>
          <w:rFonts w:eastAsia="Times New Roman"/>
          <w:noProof/>
          <w:szCs w:val="24"/>
        </w:rPr>
      </w:pPr>
      <w:r w:rsidRPr="00D47337">
        <w:rPr>
          <w:noProof/>
        </w:rPr>
        <w:t>3.</w:t>
      </w:r>
      <w:r w:rsidRPr="00D47337">
        <w:rPr>
          <w:noProof/>
        </w:rPr>
        <w:tab/>
      </w:r>
      <w:r w:rsidRPr="00190747">
        <w:rPr>
          <w:noProof/>
        </w:rPr>
        <w:t>Deimhnigh gurb amhlaidh nach n-áirítear leis an mbeart ach na costais incháilithe atá díreach agus sonrach le haghaidh bearta coisctheacha.</w:t>
      </w:r>
    </w:p>
    <w:p w14:paraId="27ADE8DA" w14:textId="77777777" w:rsidR="00F454B4" w:rsidRPr="00190747" w:rsidRDefault="00F454B4" w:rsidP="00F454B4">
      <w:pPr>
        <w:pStyle w:val="Text1"/>
        <w:rPr>
          <w:noProof/>
        </w:rPr>
      </w:pPr>
      <w:sdt>
        <w:sdtPr>
          <w:rPr>
            <w:noProof/>
          </w:rPr>
          <w:id w:val="159335884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42894354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55CAC325" w14:textId="77777777" w:rsidR="00F454B4" w:rsidRPr="00190747" w:rsidRDefault="00F454B4" w:rsidP="00F454B4">
      <w:pPr>
        <w:pStyle w:val="ManualNumPar2"/>
        <w:rPr>
          <w:rFonts w:eastAsia="Times New Roman"/>
          <w:noProof/>
          <w:szCs w:val="24"/>
        </w:rPr>
      </w:pPr>
      <w:r w:rsidRPr="00D47337">
        <w:rPr>
          <w:noProof/>
        </w:rPr>
        <w:t>3.1.</w:t>
      </w:r>
      <w:r w:rsidRPr="00D47337">
        <w:rPr>
          <w:noProof/>
        </w:rPr>
        <w:tab/>
      </w:r>
      <w:r w:rsidRPr="00190747">
        <w:rPr>
          <w:noProof/>
        </w:rPr>
        <w:t>Más amhlaidh, sainaithin an fhoráil nó na forálacha ábhartha sa bhunús dlí.</w:t>
      </w:r>
    </w:p>
    <w:p w14:paraId="5EAD3503" w14:textId="77777777" w:rsidR="00F454B4" w:rsidRPr="00190747" w:rsidRDefault="00F454B4" w:rsidP="00F454B4">
      <w:pPr>
        <w:pStyle w:val="Text1"/>
        <w:rPr>
          <w:noProof/>
        </w:rPr>
      </w:pPr>
      <w:r w:rsidRPr="00190747">
        <w:rPr>
          <w:noProof/>
        </w:rPr>
        <w:t>.…………………………………………………………………………………….</w:t>
      </w:r>
    </w:p>
    <w:p w14:paraId="35D79460" w14:textId="77777777" w:rsidR="00F454B4" w:rsidRPr="00190747" w:rsidRDefault="00F454B4" w:rsidP="00F454B4">
      <w:pPr>
        <w:pStyle w:val="ManualNumPar1"/>
        <w:rPr>
          <w:rFonts w:eastAsia="Times New Roman"/>
          <w:noProof/>
          <w:szCs w:val="24"/>
        </w:rPr>
      </w:pPr>
      <w:r w:rsidRPr="00D47337">
        <w:rPr>
          <w:noProof/>
        </w:rPr>
        <w:t>4.</w:t>
      </w:r>
      <w:r w:rsidRPr="00D47337">
        <w:rPr>
          <w:noProof/>
        </w:rPr>
        <w:tab/>
      </w:r>
      <w:r w:rsidRPr="00190747">
        <w:rPr>
          <w:noProof/>
        </w:rPr>
        <w:t xml:space="preserve">Deimhnigh an bhfuil san áireamh sna costais incháilithe: </w:t>
      </w:r>
    </w:p>
    <w:p w14:paraId="2A63EA03" w14:textId="77777777" w:rsidR="00F454B4" w:rsidRPr="00190747" w:rsidRDefault="00F454B4" w:rsidP="00F454B4">
      <w:pPr>
        <w:pStyle w:val="Point1"/>
        <w:rPr>
          <w:noProof/>
        </w:rPr>
      </w:pPr>
      <w:r w:rsidRPr="00D47337">
        <w:rPr>
          <w:noProof/>
        </w:rPr>
        <w:t>(a)</w:t>
      </w:r>
      <w:r w:rsidRPr="00D47337">
        <w:rPr>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maoin dhochorraithe a thógáil, a fháil, lena n‑áirítear í a léasú, nó a fheabhsú</w:t>
      </w:r>
    </w:p>
    <w:p w14:paraId="56154556" w14:textId="77777777" w:rsidR="00F454B4" w:rsidRPr="00190747" w:rsidRDefault="00F454B4" w:rsidP="00F454B4">
      <w:pPr>
        <w:pStyle w:val="Point1"/>
        <w:rPr>
          <w:noProof/>
        </w:rPr>
      </w:pPr>
      <w:r w:rsidRPr="00D47337">
        <w:rPr>
          <w:noProof/>
        </w:rPr>
        <w:t>(b)</w:t>
      </w:r>
      <w:r w:rsidRPr="00D47337">
        <w:rPr>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innealra agus trealamh a cheannach nó a cheannach ar léas suas le margadhluach na sócmhainní</w:t>
      </w:r>
    </w:p>
    <w:p w14:paraId="0911E2B1" w14:textId="77777777" w:rsidR="00F454B4" w:rsidRPr="00190747" w:rsidRDefault="00F454B4" w:rsidP="00F454B4">
      <w:pPr>
        <w:pStyle w:val="Point1"/>
        <w:rPr>
          <w:noProof/>
        </w:rPr>
      </w:pPr>
      <w:r w:rsidRPr="00D47337">
        <w:rPr>
          <w:noProof/>
        </w:rPr>
        <w:t>(c)</w:t>
      </w:r>
      <w:r w:rsidRPr="00D47337">
        <w:rPr>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w:t>
      </w:r>
      <w:bookmarkStart w:id="0" w:name="_Hlk127279234"/>
      <w:r w:rsidRPr="00190747">
        <w:rPr>
          <w:noProof/>
        </w:rPr>
        <w:t>an dá cheann acu, i.e. tá (a) agus (b) san áireamh sna costais incháilithe</w:t>
      </w:r>
      <w:bookmarkStart w:id="1" w:name="_Hlk127279297"/>
      <w:bookmarkEnd w:id="0"/>
      <w:bookmarkEnd w:id="1"/>
    </w:p>
    <w:p w14:paraId="0E3249BD" w14:textId="77777777" w:rsidR="00F454B4" w:rsidRPr="00190747" w:rsidRDefault="00F454B4" w:rsidP="00F454B4">
      <w:pPr>
        <w:pStyle w:val="ManualNumPar2"/>
        <w:rPr>
          <w:rFonts w:eastAsia="Times New Roman"/>
          <w:noProof/>
          <w:szCs w:val="24"/>
        </w:rPr>
      </w:pPr>
      <w:r w:rsidRPr="00D47337">
        <w:rPr>
          <w:noProof/>
        </w:rPr>
        <w:t>4.1.</w:t>
      </w:r>
      <w:r w:rsidRPr="00D47337">
        <w:rPr>
          <w:noProof/>
        </w:rPr>
        <w:tab/>
      </w:r>
      <w:r w:rsidRPr="00190747">
        <w:rPr>
          <w:noProof/>
        </w:rPr>
        <w:t>Sainaithin foráil/forálacha an bhunúis dlí a léiríonn na costais incháilithe.</w:t>
      </w:r>
    </w:p>
    <w:p w14:paraId="3A439C4C" w14:textId="77777777" w:rsidR="00F454B4" w:rsidRPr="00190747" w:rsidRDefault="00F454B4" w:rsidP="00F454B4">
      <w:pPr>
        <w:pStyle w:val="Text1"/>
        <w:rPr>
          <w:noProof/>
        </w:rPr>
      </w:pPr>
      <w:r w:rsidRPr="00190747">
        <w:rPr>
          <w:noProof/>
        </w:rPr>
        <w:lastRenderedPageBreak/>
        <w:t>………………………………………………………………………………….</w:t>
      </w:r>
    </w:p>
    <w:p w14:paraId="4ECFD1C5" w14:textId="77777777" w:rsidR="00F454B4" w:rsidRPr="00190747" w:rsidRDefault="00F454B4" w:rsidP="00F454B4">
      <w:pPr>
        <w:pStyle w:val="ManualNumPar2"/>
        <w:rPr>
          <w:rFonts w:eastAsia="Times New Roman"/>
          <w:noProof/>
          <w:szCs w:val="24"/>
        </w:rPr>
      </w:pPr>
      <w:r w:rsidRPr="00D47337">
        <w:rPr>
          <w:noProof/>
        </w:rPr>
        <w:t>4.2.</w:t>
      </w:r>
      <w:r w:rsidRPr="00D47337">
        <w:rPr>
          <w:noProof/>
        </w:rPr>
        <w:tab/>
      </w:r>
      <w:r w:rsidRPr="00190747">
        <w:rPr>
          <w:noProof/>
        </w:rPr>
        <w:t>Tabhair tuairisc mhionsonraithe ar na costais atá incháilithe faoin mbeart.</w:t>
      </w:r>
    </w:p>
    <w:p w14:paraId="15AF5B52" w14:textId="77777777" w:rsidR="00F454B4" w:rsidRPr="00190747" w:rsidRDefault="00F454B4" w:rsidP="00F454B4">
      <w:pPr>
        <w:pStyle w:val="Text1"/>
        <w:rPr>
          <w:noProof/>
        </w:rPr>
      </w:pPr>
      <w:r w:rsidRPr="00190747">
        <w:rPr>
          <w:noProof/>
        </w:rPr>
        <w:t>……………………………………………………………………………….</w:t>
      </w:r>
    </w:p>
    <w:p w14:paraId="034F09B9" w14:textId="77777777" w:rsidR="00F454B4" w:rsidRPr="00190747" w:rsidRDefault="00F454B4" w:rsidP="00F454B4">
      <w:pPr>
        <w:pStyle w:val="ManualNumPar1"/>
        <w:rPr>
          <w:rFonts w:eastAsia="Times New Roman"/>
          <w:noProof/>
          <w:szCs w:val="24"/>
        </w:rPr>
      </w:pPr>
      <w:r w:rsidRPr="00D47337">
        <w:rPr>
          <w:noProof/>
        </w:rPr>
        <w:t>5.</w:t>
      </w:r>
      <w:r w:rsidRPr="00D47337">
        <w:rPr>
          <w:noProof/>
        </w:rPr>
        <w:tab/>
      </w:r>
      <w:r w:rsidRPr="00190747">
        <w:rPr>
          <w:noProof/>
        </w:rPr>
        <w:t>Deimhnigh go n-ordaítear leis an mbeart nach mó ná 100 % de na costais incháilithe an uasdéine cabhrach.</w:t>
      </w:r>
    </w:p>
    <w:p w14:paraId="0A34A2C7" w14:textId="77777777" w:rsidR="00F454B4" w:rsidRPr="00190747" w:rsidRDefault="00F454B4" w:rsidP="00F454B4">
      <w:pPr>
        <w:pStyle w:val="Text1"/>
        <w:rPr>
          <w:noProof/>
        </w:rPr>
      </w:pPr>
      <w:sdt>
        <w:sdtPr>
          <w:rPr>
            <w:noProof/>
          </w:rPr>
          <w:id w:val="-10033454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23646514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205551FD" w14:textId="77777777" w:rsidR="00F454B4" w:rsidRPr="00190747" w:rsidRDefault="00F454B4" w:rsidP="00F454B4">
      <w:pPr>
        <w:pStyle w:val="ManualNumPar2"/>
        <w:rPr>
          <w:rFonts w:eastAsia="Times New Roman"/>
          <w:noProof/>
          <w:szCs w:val="24"/>
        </w:rPr>
      </w:pPr>
      <w:r w:rsidRPr="00D47337">
        <w:rPr>
          <w:noProof/>
        </w:rPr>
        <w:t>5.1.</w:t>
      </w:r>
      <w:r w:rsidRPr="00D47337">
        <w:rPr>
          <w:noProof/>
        </w:rPr>
        <w:tab/>
      </w:r>
      <w:r w:rsidRPr="00190747">
        <w:rPr>
          <w:noProof/>
        </w:rPr>
        <w:t>Tabhair an uasdéine cabhrach is infheidhme faoin mbeart.</w:t>
      </w:r>
    </w:p>
    <w:p w14:paraId="04370908" w14:textId="77777777" w:rsidR="00F454B4" w:rsidRPr="00190747" w:rsidRDefault="00F454B4" w:rsidP="00F454B4">
      <w:pPr>
        <w:pStyle w:val="Text1"/>
        <w:rPr>
          <w:noProof/>
        </w:rPr>
      </w:pPr>
      <w:r w:rsidRPr="00190747">
        <w:rPr>
          <w:noProof/>
        </w:rPr>
        <w:t>………………………………………………………………………………….</w:t>
      </w:r>
    </w:p>
    <w:p w14:paraId="4E622FFD" w14:textId="77777777" w:rsidR="00F454B4" w:rsidRPr="00190747" w:rsidRDefault="00F454B4" w:rsidP="00F454B4">
      <w:pPr>
        <w:pStyle w:val="ManualNumPar2"/>
        <w:rPr>
          <w:noProof/>
        </w:rPr>
      </w:pPr>
      <w:r w:rsidRPr="00D47337">
        <w:rPr>
          <w:noProof/>
        </w:rPr>
        <w:t>5.2.</w:t>
      </w:r>
      <w:r w:rsidRPr="00D47337">
        <w:rPr>
          <w:noProof/>
        </w:rPr>
        <w:tab/>
      </w:r>
      <w:r w:rsidRPr="00190747">
        <w:rPr>
          <w:noProof/>
        </w:rPr>
        <w:t>Sainaithin foráil nó forálacha an bhunúis dlí lena leagtar amach an uasdéine cabhrach faoin mbeart.</w:t>
      </w:r>
    </w:p>
    <w:p w14:paraId="27D7E852" w14:textId="77777777" w:rsidR="00F454B4" w:rsidRPr="00190747" w:rsidRDefault="00F454B4" w:rsidP="00F454B4">
      <w:pPr>
        <w:pStyle w:val="Text1"/>
        <w:rPr>
          <w:noProof/>
        </w:rPr>
      </w:pPr>
      <w:r w:rsidRPr="00190747">
        <w:rPr>
          <w:noProof/>
        </w:rPr>
        <w:t>……………………………………………………………………………….</w:t>
      </w:r>
    </w:p>
    <w:p w14:paraId="20F8670F" w14:textId="77777777" w:rsidR="00F454B4" w:rsidRPr="00190747" w:rsidRDefault="00F454B4" w:rsidP="00F454B4">
      <w:pPr>
        <w:pStyle w:val="ManualHeading4"/>
        <w:rPr>
          <w:noProof/>
        </w:rPr>
      </w:pPr>
      <w:r w:rsidRPr="00190747">
        <w:rPr>
          <w:noProof/>
        </w:rPr>
        <w:t>FAISNÉIS EILE</w:t>
      </w:r>
    </w:p>
    <w:p w14:paraId="7496790C" w14:textId="77777777" w:rsidR="00F454B4" w:rsidRPr="00190747" w:rsidRDefault="00F454B4" w:rsidP="00F454B4">
      <w:pPr>
        <w:pStyle w:val="ManualNumPar1"/>
        <w:rPr>
          <w:noProof/>
        </w:rPr>
      </w:pPr>
      <w:r w:rsidRPr="00D47337">
        <w:rPr>
          <w:noProof/>
        </w:rPr>
        <w:t>6.</w:t>
      </w:r>
      <w:r w:rsidRPr="00D47337">
        <w:rPr>
          <w:noProof/>
        </w:rPr>
        <w:tab/>
      </w:r>
      <w:r w:rsidRPr="00190747">
        <w:rPr>
          <w:noProof/>
        </w:rPr>
        <w:t>Sonraigh aon fhaisnéis eile a mheastar a bheith ábhartha maidir le measúnú an bhirt faoin Roinn seo de na Treoirlínte.</w:t>
      </w:r>
    </w:p>
    <w:p w14:paraId="4BAEAFF4" w14:textId="77777777" w:rsidR="00F454B4" w:rsidRPr="00190747" w:rsidRDefault="00F454B4" w:rsidP="00F454B4">
      <w:pPr>
        <w:pStyle w:val="Text1"/>
        <w:rPr>
          <w:noProof/>
        </w:rPr>
      </w:pPr>
      <w:r w:rsidRPr="00190747">
        <w:rPr>
          <w:noProof/>
        </w:rPr>
        <w:t>………………………………………………………………………………….</w:t>
      </w:r>
    </w:p>
    <w:p w14:paraId="6EAF8E4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3AABD" w14:textId="77777777" w:rsidR="00F454B4" w:rsidRDefault="00F454B4" w:rsidP="00F454B4">
      <w:pPr>
        <w:spacing w:before="0" w:after="0"/>
      </w:pPr>
      <w:r>
        <w:separator/>
      </w:r>
    </w:p>
  </w:endnote>
  <w:endnote w:type="continuationSeparator" w:id="0">
    <w:p w14:paraId="681D964F" w14:textId="77777777" w:rsidR="00F454B4" w:rsidRDefault="00F454B4" w:rsidP="00F454B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43075" w14:textId="77777777" w:rsidR="00F454B4" w:rsidRDefault="00F454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CA47" w14:textId="247281F6" w:rsidR="00F454B4" w:rsidRDefault="00F454B4" w:rsidP="00F454B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6681" w14:textId="77777777" w:rsidR="00F454B4" w:rsidRDefault="00F45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CC423" w14:textId="77777777" w:rsidR="00F454B4" w:rsidRDefault="00F454B4" w:rsidP="00F454B4">
      <w:pPr>
        <w:spacing w:before="0" w:after="0"/>
      </w:pPr>
      <w:r>
        <w:separator/>
      </w:r>
    </w:p>
  </w:footnote>
  <w:footnote w:type="continuationSeparator" w:id="0">
    <w:p w14:paraId="664806A6" w14:textId="77777777" w:rsidR="00F454B4" w:rsidRDefault="00F454B4" w:rsidP="00F454B4">
      <w:pPr>
        <w:spacing w:before="0" w:after="0"/>
      </w:pPr>
      <w:r>
        <w:continuationSeparator/>
      </w:r>
    </w:p>
  </w:footnote>
  <w:footnote w:id="1">
    <w:p w14:paraId="07A10161" w14:textId="77777777" w:rsidR="00F454B4" w:rsidRPr="000A26BB" w:rsidRDefault="00F454B4" w:rsidP="00F454B4">
      <w:pPr>
        <w:pStyle w:val="FootnoteText"/>
      </w:pPr>
      <w:r>
        <w:rPr>
          <w:rStyle w:val="FootnoteReference"/>
        </w:rPr>
        <w:footnoteRef/>
      </w:r>
      <w:r>
        <w:tab/>
        <w:t>IO C 107, 23.3.2023, lch. 1</w:t>
      </w:r>
    </w:p>
  </w:footnote>
  <w:footnote w:id="2">
    <w:p w14:paraId="46BEA2A1" w14:textId="77777777" w:rsidR="00F454B4" w:rsidRPr="00A003E4" w:rsidRDefault="00F454B4" w:rsidP="00F454B4">
      <w:pPr>
        <w:pStyle w:val="FootnoteText"/>
      </w:pPr>
      <w:r>
        <w:rPr>
          <w:rStyle w:val="FootnoteReference"/>
        </w:rPr>
        <w:footnoteRef/>
      </w:r>
      <w:r>
        <w:tab/>
        <w:t>Treoir 2011/92/AE ó Pharlaimint na hEorpa agus ón gComhairle an 13 Nollaig 2011 maidir le measúnú a dhéanamh ar éifeachtaí tionscadal poiblí agus príobháideach áirithe ar an gcomhshaol Téacs atá ábhartha maidir le LEE (IO L 26, 28.1.2012,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9235" w14:textId="77777777" w:rsidR="00F454B4" w:rsidRDefault="00F454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FEFB7" w14:textId="77777777" w:rsidR="00F454B4" w:rsidRDefault="00F454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A07D0" w14:textId="77777777" w:rsidR="00F454B4" w:rsidRDefault="00F454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454B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454B4"/>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F05FE4F"/>
  <w15:chartTrackingRefBased/>
  <w15:docId w15:val="{8D59D29B-66DC-4EFD-BF25-511BC50E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4B4"/>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454B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454B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454B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454B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454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54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54B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54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54B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454B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454B4"/>
    <w:rPr>
      <w:i/>
      <w:iCs/>
      <w:color w:val="365F91" w:themeColor="accent1" w:themeShade="BF"/>
    </w:rPr>
  </w:style>
  <w:style w:type="paragraph" w:styleId="IntenseQuote">
    <w:name w:val="Intense Quote"/>
    <w:basedOn w:val="Normal"/>
    <w:next w:val="Normal"/>
    <w:link w:val="IntenseQuoteChar"/>
    <w:uiPriority w:val="30"/>
    <w:qFormat/>
    <w:rsid w:val="00F454B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454B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454B4"/>
    <w:rPr>
      <w:b/>
      <w:bCs/>
      <w:smallCaps/>
      <w:color w:val="365F91" w:themeColor="accent1" w:themeShade="BF"/>
      <w:spacing w:val="5"/>
    </w:rPr>
  </w:style>
  <w:style w:type="paragraph" w:styleId="Signature">
    <w:name w:val="Signature"/>
    <w:basedOn w:val="Normal"/>
    <w:link w:val="FootnoteReference"/>
    <w:uiPriority w:val="99"/>
    <w:rsid w:val="00F454B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454B4"/>
    <w:rPr>
      <w:rFonts w:ascii="Times New Roman" w:hAnsi="Times New Roman" w:cs="Times New Roman"/>
      <w:kern w:val="0"/>
      <w:sz w:val="24"/>
      <w:lang w:val="ga-IE"/>
      <w14:ligatures w14:val="none"/>
    </w:rPr>
  </w:style>
  <w:style w:type="paragraph" w:customStyle="1" w:styleId="Text1">
    <w:name w:val="Text 1"/>
    <w:basedOn w:val="Normal"/>
    <w:rsid w:val="00F454B4"/>
    <w:pPr>
      <w:ind w:left="850"/>
    </w:pPr>
  </w:style>
  <w:style w:type="paragraph" w:customStyle="1" w:styleId="Point1">
    <w:name w:val="Point 1"/>
    <w:basedOn w:val="Normal"/>
    <w:rsid w:val="00F454B4"/>
    <w:pPr>
      <w:ind w:left="1417" w:hanging="567"/>
    </w:pPr>
  </w:style>
  <w:style w:type="paragraph" w:customStyle="1" w:styleId="Point0number">
    <w:name w:val="Point 0 (number)"/>
    <w:basedOn w:val="Normal"/>
    <w:rsid w:val="00F454B4"/>
    <w:pPr>
      <w:numPr>
        <w:numId w:val="45"/>
      </w:numPr>
    </w:pPr>
  </w:style>
  <w:style w:type="paragraph" w:customStyle="1" w:styleId="Point1number">
    <w:name w:val="Point 1 (number)"/>
    <w:basedOn w:val="Normal"/>
    <w:rsid w:val="00F454B4"/>
    <w:pPr>
      <w:numPr>
        <w:ilvl w:val="2"/>
        <w:numId w:val="45"/>
      </w:numPr>
    </w:pPr>
  </w:style>
  <w:style w:type="paragraph" w:customStyle="1" w:styleId="Point2number">
    <w:name w:val="Point 2 (number)"/>
    <w:basedOn w:val="Normal"/>
    <w:rsid w:val="00F454B4"/>
    <w:pPr>
      <w:numPr>
        <w:ilvl w:val="4"/>
        <w:numId w:val="45"/>
      </w:numPr>
    </w:pPr>
  </w:style>
  <w:style w:type="paragraph" w:customStyle="1" w:styleId="Point3number">
    <w:name w:val="Point 3 (number)"/>
    <w:basedOn w:val="Normal"/>
    <w:rsid w:val="00F454B4"/>
    <w:pPr>
      <w:numPr>
        <w:ilvl w:val="6"/>
        <w:numId w:val="45"/>
      </w:numPr>
    </w:pPr>
  </w:style>
  <w:style w:type="paragraph" w:customStyle="1" w:styleId="Point0letter">
    <w:name w:val="Point 0 (letter)"/>
    <w:basedOn w:val="Normal"/>
    <w:rsid w:val="00F454B4"/>
    <w:pPr>
      <w:numPr>
        <w:ilvl w:val="1"/>
        <w:numId w:val="45"/>
      </w:numPr>
    </w:pPr>
  </w:style>
  <w:style w:type="paragraph" w:customStyle="1" w:styleId="Point1letter">
    <w:name w:val="Point 1 (letter)"/>
    <w:basedOn w:val="Normal"/>
    <w:rsid w:val="00F454B4"/>
    <w:pPr>
      <w:numPr>
        <w:ilvl w:val="3"/>
        <w:numId w:val="45"/>
      </w:numPr>
    </w:pPr>
  </w:style>
  <w:style w:type="paragraph" w:customStyle="1" w:styleId="Point2letter">
    <w:name w:val="Point 2 (letter)"/>
    <w:basedOn w:val="Normal"/>
    <w:rsid w:val="00F454B4"/>
    <w:pPr>
      <w:numPr>
        <w:ilvl w:val="5"/>
        <w:numId w:val="45"/>
      </w:numPr>
    </w:pPr>
  </w:style>
  <w:style w:type="paragraph" w:customStyle="1" w:styleId="Point3letter">
    <w:name w:val="Point 3 (letter)"/>
    <w:basedOn w:val="Normal"/>
    <w:rsid w:val="00F454B4"/>
    <w:pPr>
      <w:numPr>
        <w:ilvl w:val="7"/>
        <w:numId w:val="45"/>
      </w:numPr>
    </w:pPr>
  </w:style>
  <w:style w:type="paragraph" w:customStyle="1" w:styleId="Point4letter">
    <w:name w:val="Point 4 (letter)"/>
    <w:basedOn w:val="Normal"/>
    <w:rsid w:val="00F454B4"/>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2485</Characters>
  <DocSecurity>0</DocSecurity>
  <Lines>46</Lines>
  <Paragraphs>26</Paragraphs>
  <ScaleCrop>false</ScaleCrop>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2025-05-25T15:40:00Z</dcterms:created>
  <dcterms:modified xsi:type="dcterms:W3CDTF">2025-05-25T15:41:00Z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2025-05-25T15:41:04Z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446a1a08-2dad-43f7-9afe-2d33110fa15e</vt:lpwstr>
  </property>
  <property fmtid="{D5CDD505-2E9C-101B-9397-08002B2CF9AE}" pid="8" name="MSIP_Label_6bd9ddd1-4d20-43f6-abfa-fc3c07406f94_ContentBits">
    <vt:lpwstr>0</vt:lpwstr>
  </property>
</Properties>
</file>