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5834" w14:textId="77777777" w:rsidR="00284AE9" w:rsidRPr="00623C28" w:rsidRDefault="00284AE9" w:rsidP="00284AE9">
      <w:pPr>
        <w:pStyle w:val="ManualHeading1"/>
        <w:rPr>
          <w:noProof/>
        </w:rPr>
      </w:pPr>
      <w:r w:rsidRPr="00623C28">
        <w:rPr>
          <w:noProof/>
        </w:rPr>
        <w:t>2.2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OBNOVU RYBÁŘSKÉHO LOĎSTVA V NEJVZDÁLENĚJŠÍCH REGIONECH</w:t>
      </w:r>
    </w:p>
    <w:p w14:paraId="4229B41C" w14:textId="77777777" w:rsidR="00284AE9" w:rsidRPr="00623C28" w:rsidRDefault="00284AE9" w:rsidP="00284AE9">
      <w:pPr>
        <w:spacing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podpory na obnovu rybářského loďstva v nejvzdálenějších regionech, jak je popsáno v oddíle 2.2 kapitoly 2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54EF5B54" w14:textId="77777777" w:rsidR="00284AE9" w:rsidRPr="00623C28" w:rsidRDefault="00284AE9" w:rsidP="00284AE9">
      <w:pPr>
        <w:pStyle w:val="ManualNumPar1"/>
        <w:rPr>
          <w:noProof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>Uveďte nejvzdálenější region uvedený (nejvzdálenější regiony uvedené) v článku 349 Smlouvy, kterého (kterých) se opatření týká.</w:t>
      </w:r>
    </w:p>
    <w:p w14:paraId="7D8F9874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08D88C69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nová rybářská plavidla splňují předpisy Unie a vnitrostátní předpisy o hygienických, zdravotních, bezpečnostních a pracovních podmínkách pro práci na palubě rybářských plavidel a mají parametry rybářských plavidel.</w:t>
      </w:r>
    </w:p>
    <w:p w14:paraId="768F4BC4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25AA42C" w14:textId="77777777" w:rsidR="00284AE9" w:rsidRPr="00623C28" w:rsidRDefault="00284AE9" w:rsidP="00284AE9">
      <w:pPr>
        <w:pStyle w:val="ManualNumPar2"/>
        <w:rPr>
          <w:noProof/>
        </w:rPr>
      </w:pPr>
      <w:r w:rsidRPr="00045BF3">
        <w:rPr>
          <w:noProof/>
        </w:rPr>
        <w:t>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A59237F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68B38E2F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v den podání žádosti o podporu musí mít přijímající podnik hlavní místo své registrace v nejvzdálenějším regionu, kde bude nové plavidlo registrováno.</w:t>
      </w:r>
    </w:p>
    <w:p w14:paraId="4B62931D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FB2AAE9" w14:textId="77777777" w:rsidR="00284AE9" w:rsidRPr="00623C28" w:rsidRDefault="00284AE9" w:rsidP="00284AE9">
      <w:pPr>
        <w:pStyle w:val="ManualNumPar2"/>
        <w:rPr>
          <w:rFonts w:eastAsia="Times New Roman"/>
          <w:noProof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>Pokud ano, uveďte hlavní místo registrace:</w:t>
      </w:r>
    </w:p>
    <w:p w14:paraId="24536B49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2F47A3AA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Podle bodu 223 pokynů musí v den poskytnutí podpory zpráva vypracovaná před tímto dnem v souladu s čl. 22 odst. 2 a 3 nařízení Evropského parlamentu a Rady (EU) č. 1380/2013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 xml:space="preserve"> prokázat, že ve skupině loďstva nejvzdálenějšího regionu, do něhož bude nové plavidlo patřit, existuje vyváženost mezi jeho rybolovnou kapacitou a jeho rybolovnými právy (dále jen „vnitrostátní zpráva“). V této souvislosti odpovězte na následující otázky:</w:t>
      </w:r>
    </w:p>
    <w:p w14:paraId="6A5E89EC" w14:textId="77777777" w:rsidR="00284AE9" w:rsidRPr="00623C28" w:rsidRDefault="00284AE9" w:rsidP="00284AE9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Kdy byla vypracována nejnovější vnitrostátní zpráva před datem poskytnutí podpory?</w:t>
      </w:r>
    </w:p>
    <w:p w14:paraId="47DE026B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  <w:bookmarkStart w:id="0" w:name="_Ref124951182"/>
    </w:p>
    <w:p w14:paraId="2B0F9AFD" w14:textId="77777777" w:rsidR="00284AE9" w:rsidRPr="00623C28" w:rsidRDefault="00284AE9" w:rsidP="00284AE9">
      <w:pPr>
        <w:pStyle w:val="ManualNumPar3"/>
        <w:rPr>
          <w:noProof/>
        </w:rPr>
      </w:pPr>
      <w:bookmarkStart w:id="1" w:name="_Hlk129253679"/>
      <w:r w:rsidRPr="00045BF3">
        <w:rPr>
          <w:noProof/>
        </w:rPr>
        <w:t>4.1.1.</w:t>
      </w:r>
      <w:r w:rsidRPr="00045BF3">
        <w:rPr>
          <w:noProof/>
        </w:rPr>
        <w:tab/>
      </w:r>
      <w:r w:rsidRPr="00623C28">
        <w:rPr>
          <w:noProof/>
        </w:rPr>
        <w:t>Uveďte odkaz na nejnovější vnitrostátní zprávu nebo ji přiložte k oznámení.</w:t>
      </w:r>
    </w:p>
    <w:p w14:paraId="10B9A6C4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bookmarkEnd w:id="1"/>
    <w:p w14:paraId="3D3F724A" w14:textId="77777777" w:rsidR="00284AE9" w:rsidRPr="00623C28" w:rsidRDefault="00284AE9" w:rsidP="00284AE9">
      <w:pPr>
        <w:pStyle w:val="ManualNumPar2"/>
        <w:rPr>
          <w:noProof/>
          <w:sz w:val="23"/>
          <w:szCs w:val="23"/>
        </w:rPr>
      </w:pPr>
      <w:r w:rsidRPr="00045BF3">
        <w:rPr>
          <w:noProof/>
        </w:rPr>
        <w:t>4.2.</w:t>
      </w:r>
      <w:r w:rsidRPr="00045BF3">
        <w:rPr>
          <w:noProof/>
        </w:rPr>
        <w:tab/>
      </w:r>
      <w:r w:rsidRPr="00623C28">
        <w:rPr>
          <w:noProof/>
        </w:rPr>
        <w:t xml:space="preserve">Podle bodu 225 pokynů potvrďte, že jsou splněny následující podmínky pro poskytnutí jakékoli podpory: </w:t>
      </w:r>
    </w:p>
    <w:p w14:paraId="4610467E" w14:textId="77777777" w:rsidR="00284AE9" w:rsidRPr="00623C28" w:rsidRDefault="00284AE9" w:rsidP="00284AE9">
      <w:pPr>
        <w:pStyle w:val="ManualNumPar3"/>
        <w:rPr>
          <w:noProof/>
        </w:rPr>
      </w:pPr>
      <w:r w:rsidRPr="00045BF3">
        <w:rPr>
          <w:noProof/>
        </w:rPr>
        <w:lastRenderedPageBreak/>
        <w:t>4.2.1.</w:t>
      </w:r>
      <w:r w:rsidRPr="00045BF3">
        <w:rPr>
          <w:noProof/>
        </w:rPr>
        <w:tab/>
      </w:r>
      <w:r w:rsidRPr="00623C28">
        <w:rPr>
          <w:noProof/>
        </w:rPr>
        <w:t>Byla vnitrostátní zpráva předložena do 31. května roku N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623C28">
        <w:rPr>
          <w:noProof/>
        </w:rPr>
        <w:t>?</w:t>
      </w:r>
    </w:p>
    <w:p w14:paraId="796D1FCB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A69AEA5" w14:textId="77777777" w:rsidR="00284AE9" w:rsidRPr="00623C28" w:rsidRDefault="00284AE9" w:rsidP="00284AE9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4.2.2.</w:t>
      </w:r>
      <w:r w:rsidRPr="00045BF3">
        <w:rPr>
          <w:noProof/>
        </w:rPr>
        <w:tab/>
      </w:r>
      <w:r w:rsidRPr="00623C28">
        <w:rPr>
          <w:noProof/>
        </w:rPr>
        <w:t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623C28">
        <w:rPr>
          <w:noProof/>
        </w:rPr>
        <w:t xml:space="preserve">. </w:t>
      </w:r>
    </w:p>
    <w:p w14:paraId="735DF28A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62E88F9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 xml:space="preserve">Podle bodu 224 pokynů nelze podporu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1380/2013. </w:t>
      </w:r>
    </w:p>
    <w:bookmarkEnd w:id="0"/>
    <w:p w14:paraId="7249A793" w14:textId="77777777" w:rsidR="00284AE9" w:rsidRPr="00623C28" w:rsidRDefault="00284AE9" w:rsidP="00284AE9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4.2.3.</w:t>
      </w:r>
      <w:r w:rsidRPr="00045BF3">
        <w:rPr>
          <w:noProof/>
        </w:rPr>
        <w:tab/>
      </w:r>
      <w:r w:rsidRPr="00623C28">
        <w:rPr>
          <w:noProof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0EAE9AA2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B6EDF70" w14:textId="77777777" w:rsidR="00284AE9" w:rsidRPr="00623C28" w:rsidRDefault="00284AE9" w:rsidP="00284AE9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4.2.4.</w:t>
      </w:r>
      <w:r w:rsidRPr="00045BF3">
        <w:rPr>
          <w:noProof/>
        </w:rPr>
        <w:tab/>
      </w:r>
      <w:r w:rsidRPr="00623C28">
        <w:rPr>
          <w:noProof/>
        </w:rPr>
        <w:t>Vysvětlete, jak byla vnitrostátní zpráva při navrhování opatření zohledněna a jak je dosaženo vyváženosti.</w:t>
      </w:r>
    </w:p>
    <w:p w14:paraId="477EBA6E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3C2F9A2" w14:textId="77777777" w:rsidR="00284AE9" w:rsidRPr="00623C28" w:rsidRDefault="00284AE9" w:rsidP="00284AE9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4.2.5.</w:t>
      </w:r>
      <w:r w:rsidRPr="00045BF3">
        <w:rPr>
          <w:noProof/>
        </w:rPr>
        <w:tab/>
      </w:r>
      <w:r w:rsidRPr="00623C28">
        <w:rPr>
          <w:noProof/>
        </w:rPr>
        <w:t>Podle bodu 226 pokynů potvrďte, že Komise do 31. března roku N+1 nezpochybnila:</w:t>
      </w:r>
    </w:p>
    <w:p w14:paraId="49EF965D" w14:textId="77777777" w:rsidR="00284AE9" w:rsidRPr="005F1CBF" w:rsidRDefault="00284AE9" w:rsidP="00284AE9">
      <w:pPr>
        <w:pStyle w:val="Point1"/>
        <w:rPr>
          <w:noProof/>
        </w:rPr>
      </w:pPr>
      <w:r w:rsidRPr="005F1CBF">
        <w:rPr>
          <w:rFonts w:eastAsia="MS Gothic"/>
          <w:noProof/>
        </w:rPr>
        <w:t>a)</w:t>
      </w:r>
      <w:r w:rsidRPr="005F1CBF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F1CBF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5F1CBF">
        <w:rPr>
          <w:noProof/>
        </w:rPr>
        <w:t xml:space="preserve"> závěr národní zprávy předložené v roce N; </w:t>
      </w:r>
    </w:p>
    <w:p w14:paraId="076857D0" w14:textId="77777777" w:rsidR="00284AE9" w:rsidRPr="005F1CBF" w:rsidRDefault="00284AE9" w:rsidP="00284AE9">
      <w:pPr>
        <w:pStyle w:val="Point1"/>
        <w:rPr>
          <w:noProof/>
        </w:rPr>
      </w:pPr>
      <w:r w:rsidRPr="005F1CBF">
        <w:rPr>
          <w:rFonts w:eastAsia="MS Gothic"/>
          <w:noProof/>
        </w:rPr>
        <w:t>b)</w:t>
      </w:r>
      <w:r w:rsidRPr="005F1CBF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F1CBF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5F1CBF">
        <w:rPr>
          <w:b/>
          <w:noProof/>
        </w:rPr>
        <w:t xml:space="preserve"> </w:t>
      </w:r>
      <w:r w:rsidRPr="005F1CBF">
        <w:rPr>
          <w:noProof/>
        </w:rPr>
        <w:t>posouzení vyváženosti obsažené ve vnitrostátní zprávě předložené v roce N.</w:t>
      </w:r>
    </w:p>
    <w:p w14:paraId="48FD7ADD" w14:textId="77777777" w:rsidR="00284AE9" w:rsidRPr="00623C28" w:rsidRDefault="00284AE9" w:rsidP="00284AE9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4.2.6.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3F5F41E2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46F4D86" w14:textId="77777777" w:rsidR="00284AE9" w:rsidRPr="00623C28" w:rsidRDefault="00284AE9" w:rsidP="00284AE9">
      <w:pPr>
        <w:pStyle w:val="ManualNumPar4"/>
        <w:rPr>
          <w:noProof/>
        </w:rPr>
      </w:pPr>
      <w:r w:rsidRPr="00045BF3">
        <w:rPr>
          <w:noProof/>
        </w:rPr>
        <w:t>4.2.6.1.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7CFDE006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</w:t>
      </w:r>
    </w:p>
    <w:p w14:paraId="328837EC" w14:textId="77777777" w:rsidR="00284AE9" w:rsidRPr="00623C28" w:rsidRDefault="00284AE9" w:rsidP="00284AE9">
      <w:pPr>
        <w:pStyle w:val="ManualNumPar1"/>
        <w:rPr>
          <w:noProof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Potvrďte, že stropy rybolovné kapacity každého členského státu a každé skupiny loďstva nejvzdálenějších regionů stanovené v příloze II nařízení (EU) č. 1380/2013, se zohledněním jakéhokoli možného snížení těchto stropů podle čl. 22 odst. 6 uvedeného nařízení, nebudou v žádném okamžiku překročeny.</w:t>
      </w:r>
      <w:r w:rsidRPr="00623C28">
        <w:rPr>
          <w:noProof/>
        </w:rPr>
        <w:tab/>
      </w:r>
    </w:p>
    <w:p w14:paraId="2ED62862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8D814A9" w14:textId="77777777" w:rsidR="00284AE9" w:rsidRPr="00623C28" w:rsidRDefault="00284AE9" w:rsidP="00284AE9">
      <w:pPr>
        <w:pStyle w:val="ManualNumPar2"/>
        <w:rPr>
          <w:noProof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 xml:space="preserve">Vysvětlete, jak bude tato podmínka zajištěna. </w:t>
      </w:r>
    </w:p>
    <w:p w14:paraId="449D8829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6A7D74E5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lastRenderedPageBreak/>
        <w:t>Vstup nové kapacity pořízené s pomocí podpory do loďstva musí být proveden při plném respektování těchto stropů kapacity a nesmí vést k situaci, kdy dojde k překročení těchto stropů.</w:t>
      </w:r>
    </w:p>
    <w:p w14:paraId="69FA5386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nesmí být podmíněna pořízením nového plavidla z konkrétní loděnice.</w:t>
      </w:r>
    </w:p>
    <w:p w14:paraId="43632FD2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F2E5398" w14:textId="77777777" w:rsidR="00284AE9" w:rsidRPr="00623C28" w:rsidRDefault="00284AE9" w:rsidP="00284AE9">
      <w:pPr>
        <w:pStyle w:val="ManualNumPar2"/>
        <w:rPr>
          <w:noProof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F49D2EC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0E2D865F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</w:t>
      </w:r>
    </w:p>
    <w:p w14:paraId="0388ADCD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D80494C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Potvrďte, že maximální intenzita podpory pro plavidla nesmí být:</w:t>
      </w:r>
    </w:p>
    <w:p w14:paraId="2D88A873" w14:textId="77777777" w:rsidR="00284AE9" w:rsidRPr="00623C28" w:rsidRDefault="00284AE9" w:rsidP="00284AE9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623C28">
        <w:rPr>
          <w:noProof/>
        </w:rPr>
        <w:t>vyšší než 60 % celkových způsobilých nákladů v případě plavidel o celkové délce méně než 12 metrů;</w:t>
      </w:r>
    </w:p>
    <w:p w14:paraId="6EB31453" w14:textId="77777777" w:rsidR="00284AE9" w:rsidRPr="00623C28" w:rsidRDefault="00284AE9" w:rsidP="00284AE9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71F981B" w14:textId="77777777" w:rsidR="00284AE9" w:rsidRPr="00623C28" w:rsidRDefault="00284AE9" w:rsidP="00284AE9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b)</w:t>
      </w:r>
      <w:r>
        <w:rPr>
          <w:noProof/>
        </w:rPr>
        <w:tab/>
      </w:r>
      <w:r w:rsidRPr="00623C28">
        <w:rPr>
          <w:noProof/>
        </w:rPr>
        <w:t>vyšší než 50 % celkových způsobilých nákladů v případě plavidel o celkové délce 12 metrů nebo více a méně než 24 metrů;</w:t>
      </w:r>
    </w:p>
    <w:p w14:paraId="421B29A3" w14:textId="77777777" w:rsidR="00284AE9" w:rsidRPr="00623C28" w:rsidRDefault="00284AE9" w:rsidP="00284AE9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7192649" w14:textId="77777777" w:rsidR="00284AE9" w:rsidRPr="00623C28" w:rsidRDefault="00284AE9" w:rsidP="00284AE9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c)</w:t>
      </w:r>
      <w:r>
        <w:rPr>
          <w:noProof/>
        </w:rPr>
        <w:tab/>
      </w:r>
      <w:r w:rsidRPr="00623C28">
        <w:rPr>
          <w:noProof/>
        </w:rPr>
        <w:t>vyšší než 25 % celkových způsobilých nákladů v případě plavidel o celkové délce 24 metrů a více.</w:t>
      </w:r>
    </w:p>
    <w:p w14:paraId="0ADE90B8" w14:textId="77777777" w:rsidR="00284AE9" w:rsidRPr="00623C28" w:rsidRDefault="00284AE9" w:rsidP="00284AE9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762A04A" w14:textId="77777777" w:rsidR="00284AE9" w:rsidRPr="00623C28" w:rsidRDefault="00284AE9" w:rsidP="00284AE9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8.1.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3DABE843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06FA20B8" w14:textId="77777777" w:rsidR="00284AE9" w:rsidRPr="00623C28" w:rsidRDefault="00284AE9" w:rsidP="00284AE9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8.2.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  <w:r>
        <w:rPr>
          <w:noProof/>
        </w:rPr>
        <w:t xml:space="preserve"> </w:t>
      </w:r>
    </w:p>
    <w:p w14:paraId="44C5E62B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771BE9B7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 xml:space="preserve">Potvrďte, že plavidlo pořízené s pomocí podpory musí zůstat registrované v nejvzdálenějším regionu po dobu alespoň 15 let ode dne poskytnutí podpory a během této doby musí vykládat všechny své úlovky v nejvzdálenějším regionu. </w:t>
      </w:r>
    </w:p>
    <w:p w14:paraId="04E2197B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0F82ADE" w14:textId="77777777" w:rsidR="00284AE9" w:rsidRPr="00623C28" w:rsidRDefault="00284AE9" w:rsidP="00284AE9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Potvrďte, že v případě, že tato podmínka není splněna, musí být podpora přijímajícím podnikem vrácena ve výši úměrné období nebo rozsahu nesplnění pravidel.</w:t>
      </w:r>
    </w:p>
    <w:p w14:paraId="7B9186C6" w14:textId="77777777" w:rsidR="00284AE9" w:rsidRPr="00623C28" w:rsidRDefault="00284AE9" w:rsidP="00284AE9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8EC4B26" w14:textId="77777777" w:rsidR="00284AE9" w:rsidRPr="00623C28" w:rsidRDefault="00284AE9" w:rsidP="00284AE9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C0BB5F7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850914F" w14:textId="77777777" w:rsidR="00284AE9" w:rsidRPr="00623C28" w:rsidRDefault="00284AE9" w:rsidP="00284AE9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35E34F9A" w14:textId="77777777" w:rsidR="00284AE9" w:rsidRPr="00623C28" w:rsidRDefault="00284AE9" w:rsidP="00284AE9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6C71A0DB" w14:textId="77777777" w:rsidR="00284AE9" w:rsidRPr="00623C28" w:rsidRDefault="00284AE9" w:rsidP="00284AE9">
      <w:pPr>
        <w:pStyle w:val="Text1"/>
        <w:rPr>
          <w:noProof/>
        </w:rPr>
      </w:pPr>
      <w:r w:rsidRPr="00623C28">
        <w:rPr>
          <w:noProof/>
        </w:rPr>
        <w:lastRenderedPageBreak/>
        <w:t>………………………………………………………………………………….</w:t>
      </w:r>
    </w:p>
    <w:p w14:paraId="7C3553C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3FA8" w14:textId="77777777" w:rsidR="00284AE9" w:rsidRDefault="00284AE9" w:rsidP="00284AE9">
      <w:pPr>
        <w:spacing w:before="0" w:after="0"/>
      </w:pPr>
      <w:r>
        <w:separator/>
      </w:r>
    </w:p>
  </w:endnote>
  <w:endnote w:type="continuationSeparator" w:id="0">
    <w:p w14:paraId="35117103" w14:textId="77777777" w:rsidR="00284AE9" w:rsidRDefault="00284AE9" w:rsidP="00284A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BFAF5" w14:textId="77777777" w:rsidR="00284AE9" w:rsidRDefault="00284A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911F" w14:textId="5F01C815" w:rsidR="00284AE9" w:rsidRDefault="00284AE9" w:rsidP="00284AE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B9C5" w14:textId="77777777" w:rsidR="00284AE9" w:rsidRDefault="0028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2633" w14:textId="77777777" w:rsidR="00284AE9" w:rsidRDefault="00284AE9" w:rsidP="00284AE9">
      <w:pPr>
        <w:spacing w:before="0" w:after="0"/>
      </w:pPr>
      <w:r>
        <w:separator/>
      </w:r>
    </w:p>
  </w:footnote>
  <w:footnote w:type="continuationSeparator" w:id="0">
    <w:p w14:paraId="0DEA9048" w14:textId="77777777" w:rsidR="00284AE9" w:rsidRDefault="00284AE9" w:rsidP="00284AE9">
      <w:pPr>
        <w:spacing w:before="0" w:after="0"/>
      </w:pPr>
      <w:r>
        <w:continuationSeparator/>
      </w:r>
    </w:p>
  </w:footnote>
  <w:footnote w:id="1">
    <w:p w14:paraId="5E34F08F" w14:textId="77777777" w:rsidR="00284AE9" w:rsidRPr="00504ACF" w:rsidRDefault="00284AE9" w:rsidP="00284AE9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2FFD99A8" w14:textId="77777777" w:rsidR="00284AE9" w:rsidRPr="00376F0F" w:rsidRDefault="00284AE9" w:rsidP="00284AE9">
      <w:pPr>
        <w:pStyle w:val="FootnoteText"/>
      </w:pPr>
      <w:r>
        <w:rPr>
          <w:rStyle w:val="FootnoteReference"/>
        </w:rPr>
        <w:footnoteRef/>
      </w:r>
      <w:r>
        <w:tab/>
        <w:t xml:space="preserve">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 </w:t>
      </w:r>
    </w:p>
  </w:footnote>
  <w:footnote w:id="3">
    <w:p w14:paraId="2EFC979A" w14:textId="77777777" w:rsidR="00284AE9" w:rsidRPr="000345FA" w:rsidRDefault="00284AE9" w:rsidP="00284AE9">
      <w:pPr>
        <w:pStyle w:val="FootnoteText"/>
      </w:pPr>
      <w:r>
        <w:rPr>
          <w:rStyle w:val="FootnoteReference"/>
        </w:rPr>
        <w:footnoteRef/>
      </w:r>
      <w:r>
        <w:tab/>
        <w:t>Viz body 225 až 227 pokynů, které popisují sled podání vnitrostátní zprávy za rok N, kroky Komise do 31. března roku N+1 a období pro poskytnutí podpory.</w:t>
      </w:r>
    </w:p>
  </w:footnote>
  <w:footnote w:id="4">
    <w:p w14:paraId="2B50B30F" w14:textId="77777777" w:rsidR="00284AE9" w:rsidRPr="001A2686" w:rsidRDefault="00284AE9" w:rsidP="00284AE9">
      <w:pPr>
        <w:pStyle w:val="FootnoteText"/>
      </w:pPr>
      <w:r>
        <w:rPr>
          <w:rStyle w:val="FootnoteReference"/>
        </w:rPr>
        <w:footnoteRef/>
      </w:r>
      <w:r>
        <w:tab/>
        <w:t xml:space="preserve">Sdělení Komise Evropskému parlamentu a Radě: Pokyny k analýze vyváženosti rybolovné kapacity a rybolovných práv podle článku 22 nařízení Evropského parlamentu a Rady (EU) č. 1380/2013 o společné rybářské politice (COM(2014) 545 final).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4551" w14:textId="77777777" w:rsidR="00284AE9" w:rsidRDefault="00284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3394" w14:textId="77777777" w:rsidR="00284AE9" w:rsidRDefault="00284A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FEDF" w14:textId="77777777" w:rsidR="00284AE9" w:rsidRDefault="00284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84AE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4AE9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A97D8"/>
  <w15:chartTrackingRefBased/>
  <w15:docId w15:val="{BA6DB49E-F866-4564-B13C-6EDF6ACE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AE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AE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AE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84AE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AE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84A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A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A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AE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84AE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A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AE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84AE9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84AE9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84AE9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284AE9"/>
    <w:pPr>
      <w:ind w:left="850"/>
    </w:pPr>
  </w:style>
  <w:style w:type="paragraph" w:customStyle="1" w:styleId="Text2">
    <w:name w:val="Text 2"/>
    <w:basedOn w:val="Normal"/>
    <w:rsid w:val="00284AE9"/>
    <w:pPr>
      <w:ind w:left="1417"/>
    </w:pPr>
  </w:style>
  <w:style w:type="paragraph" w:customStyle="1" w:styleId="Point1">
    <w:name w:val="Point 1"/>
    <w:basedOn w:val="Normal"/>
    <w:rsid w:val="00284AE9"/>
    <w:pPr>
      <w:ind w:left="1417" w:hanging="567"/>
    </w:pPr>
  </w:style>
  <w:style w:type="paragraph" w:customStyle="1" w:styleId="Tiret0">
    <w:name w:val="Tiret 0"/>
    <w:basedOn w:val="Normal"/>
    <w:rsid w:val="00284AE9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5049</Characters>
  <DocSecurity>0</DocSecurity>
  <Lines>107</Lines>
  <Paragraphs>51</Paragraphs>
  <ScaleCrop>false</ScaleCrop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2025-05-23T14:43:00Z</dcterms:created>
  <dcterms:modified xsi:type="dcterms:W3CDTF">2025-05-23T14:44:00Z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2025-05-23T14:44:17Z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aa1bad17-ed17-4dd8-b9a4-d83146ab0037</vt:lpwstr>
  </property>
  <property fmtid="{D5CDD505-2E9C-101B-9397-08002B2CF9AE}" pid="8" name="MSIP_Label_6bd9ddd1-4d20-43f6-abfa-fc3c07406f94_ContentBits">
    <vt:lpwstr>0</vt:lpwstr>
  </property>
</Properties>
</file>