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27508" w14:textId="77777777" w:rsidR="00595401" w:rsidRPr="003007DB" w:rsidRDefault="00595401" w:rsidP="00595401">
      <w:pPr>
        <w:pStyle w:val="ManualHeading1"/>
        <w:rPr>
          <w:noProof/>
        </w:rPr>
      </w:pPr>
      <w:r w:rsidRPr="003007DB">
        <w:rPr>
          <w:noProof/>
        </w:rPr>
        <w:t>3.1. ΣΥΜΠΛΗΡΩΜΑΤΙΚΟ ΔΕΛΤΙΟ ΠΛΗΡΟΦΟΡΙΩΝ ΣΧΕΤΙΚΑ ΜΕ ΕΝΙΣΧΥΣΕΙΣ ΓΙΑ ΤΗΝ ΠΡΩΤΗ ΑΠΟΚΤΗΣΗ ΑΛΙΕΥΤΙΚΟΥ ΣΚΑΦΟΥΣ</w:t>
      </w:r>
    </w:p>
    <w:p w14:paraId="76C076E4" w14:textId="77777777" w:rsidR="00595401" w:rsidRPr="003007DB" w:rsidRDefault="00595401" w:rsidP="00595401">
      <w:pPr>
        <w:spacing w:after="0"/>
        <w:rPr>
          <w:rFonts w:eastAsia="Times New Roman"/>
          <w:i/>
          <w:noProof/>
          <w:szCs w:val="24"/>
        </w:rPr>
      </w:pPr>
      <w:bookmarkStart w:id="0" w:name="_Hlk126832135"/>
      <w:r w:rsidRPr="003007DB">
        <w:rPr>
          <w:i/>
          <w:noProof/>
        </w:rPr>
        <w:t>Το παρόν έντυπο πρέπει να χρησιμοποιείται από τα κράτη μέλη για την κοινοποίηση οποιασδήποτε ενίσχυσης για την πρώτη απόκτηση αλιευτικού σκάφους, όπως περιγράφεται στο μέρος ΙΙ κεφάλαιο 3 τμήμα 3.1 των κατευθυντήριων γραμμών για τις κρατικές ενισχύσεις στον τομέα της αλιείας και της υδατοκαλλιέργειας</w:t>
      </w:r>
      <w:r w:rsidRPr="003007DB">
        <w:rPr>
          <w:rStyle w:val="FootnoteReference"/>
          <w:rFonts w:eastAsia="Times New Roman"/>
          <w:i/>
          <w:noProof/>
          <w:szCs w:val="24"/>
          <w:lang w:eastAsia="en-GB"/>
        </w:rPr>
        <w:footnoteReference w:id="1"/>
      </w:r>
      <w:r w:rsidRPr="003007DB">
        <w:rPr>
          <w:i/>
          <w:noProof/>
        </w:rPr>
        <w:t xml:space="preserve"> (στο εξής: κατευθυντήριες γραμμές).</w:t>
      </w:r>
    </w:p>
    <w:p w14:paraId="509DF181" w14:textId="77777777" w:rsidR="00595401" w:rsidRPr="003007DB" w:rsidRDefault="00595401" w:rsidP="00595401">
      <w:pPr>
        <w:pStyle w:val="ManualNumPar1"/>
        <w:rPr>
          <w:noProof/>
        </w:rPr>
      </w:pPr>
      <w:bookmarkStart w:id="1" w:name="_Ref125367426"/>
      <w:bookmarkStart w:id="2" w:name="_Hlk126832721"/>
      <w:bookmarkEnd w:id="0"/>
      <w:r w:rsidRPr="00D11FE0">
        <w:rPr>
          <w:noProof/>
        </w:rPr>
        <w:t>1.</w:t>
      </w:r>
      <w:r w:rsidRPr="00D11FE0">
        <w:rPr>
          <w:noProof/>
        </w:rPr>
        <w:tab/>
      </w:r>
      <w:r w:rsidRPr="003007DB">
        <w:rPr>
          <w:noProof/>
        </w:rPr>
        <w:t>Επιβεβαιώστε ότι το μέτρο προβλέπει ότι τα ενωσιακά αλιευτικά σκάφη για τα οποία χορηγείται ενίσχυση δεν θα μεταβιβαστούν ούτε θα μετανηολογηθούν εκτός της Ένωσης κατά τη διάρκεια τουλάχιστον πέντε ετών από την τελική καταβολή της ενίσχυσης.</w:t>
      </w:r>
      <w:bookmarkEnd w:id="1"/>
      <w:r w:rsidRPr="003007DB">
        <w:rPr>
          <w:noProof/>
        </w:rPr>
        <w:t xml:space="preserve"> </w:t>
      </w:r>
    </w:p>
    <w:bookmarkStart w:id="3" w:name="_Hlk125369018"/>
    <w:bookmarkEnd w:id="2"/>
    <w:p w14:paraId="5646B243" w14:textId="77777777" w:rsidR="00595401" w:rsidRPr="003007DB" w:rsidRDefault="00595401" w:rsidP="00595401">
      <w:pPr>
        <w:pStyle w:val="Text1"/>
        <w:rPr>
          <w:noProof/>
        </w:rPr>
      </w:pPr>
      <w:sdt>
        <w:sdtPr>
          <w:rPr>
            <w:noProof/>
          </w:rPr>
          <w:id w:val="918763145"/>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99547708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71318A5B" w14:textId="77777777" w:rsidR="00595401" w:rsidRPr="003007DB" w:rsidRDefault="00595401" w:rsidP="00595401">
      <w:pPr>
        <w:pStyle w:val="ManualNumPar2"/>
        <w:rPr>
          <w:noProof/>
        </w:rPr>
      </w:pPr>
      <w:r w:rsidRPr="00D11FE0">
        <w:rPr>
          <w:noProof/>
        </w:rPr>
        <w:t>1.1.</w:t>
      </w:r>
      <w:r w:rsidRPr="00D11FE0">
        <w:rPr>
          <w:noProof/>
        </w:rPr>
        <w:tab/>
      </w:r>
      <w:r w:rsidRPr="003007DB">
        <w:rPr>
          <w:noProof/>
        </w:rPr>
        <w:t>Εάν η απάντηση είναι «ναι», προσδιορίστε τις σχετικές διατάξεις της νομικής βάσης.</w:t>
      </w:r>
    </w:p>
    <w:p w14:paraId="1495B2FB" w14:textId="77777777" w:rsidR="00595401" w:rsidRPr="003007DB" w:rsidRDefault="00595401" w:rsidP="00595401">
      <w:pPr>
        <w:pStyle w:val="Text1"/>
        <w:rPr>
          <w:noProof/>
        </w:rPr>
      </w:pPr>
      <w:r w:rsidRPr="003007DB">
        <w:rPr>
          <w:noProof/>
        </w:rPr>
        <w:t>……………………………………………………………………………….</w:t>
      </w:r>
      <w:bookmarkEnd w:id="3"/>
    </w:p>
    <w:p w14:paraId="4E000CA4" w14:textId="77777777" w:rsidR="00595401" w:rsidRPr="003007DB" w:rsidRDefault="00595401" w:rsidP="00595401">
      <w:pPr>
        <w:pStyle w:val="ManualNumPar1"/>
        <w:rPr>
          <w:rFonts w:eastAsia="Times New Roman"/>
          <w:noProof/>
          <w:szCs w:val="24"/>
        </w:rPr>
      </w:pPr>
      <w:bookmarkStart w:id="4" w:name="_Ref125367725"/>
      <w:r w:rsidRPr="00D11FE0">
        <w:rPr>
          <w:noProof/>
        </w:rPr>
        <w:t>2.</w:t>
      </w:r>
      <w:r w:rsidRPr="00D11FE0">
        <w:rPr>
          <w:noProof/>
        </w:rPr>
        <w:tab/>
      </w:r>
      <w:r w:rsidRPr="003007DB">
        <w:rPr>
          <w:noProof/>
        </w:rPr>
        <w:t>Επιβεβαιώστε σε ποιον μπορεί να χορηγηθεί ενίσχυση στο πλαίσιο του μέτρου:</w:t>
      </w:r>
      <w:bookmarkEnd w:id="4"/>
    </w:p>
    <w:p w14:paraId="72F1D806" w14:textId="77777777" w:rsidR="00595401" w:rsidRPr="003007DB" w:rsidRDefault="00595401" w:rsidP="00595401">
      <w:pPr>
        <w:pStyle w:val="Point1"/>
        <w:rPr>
          <w:noProof/>
        </w:rPr>
      </w:pPr>
      <w:r>
        <w:rPr>
          <w:rFonts w:eastAsia="MS Gothic"/>
          <w:noProof/>
        </w:rPr>
        <w:t>α)</w:t>
      </w:r>
      <w:r>
        <w:rPr>
          <w:rFonts w:ascii="MS Gothic" w:eastAsia="MS Gothic" w:hAnsi="MS Gothic"/>
          <w:noProof/>
        </w:rPr>
        <w:tab/>
      </w:r>
      <w:sdt>
        <w:sdtPr>
          <w:rPr>
            <w:rFonts w:ascii="MS Gothic" w:eastAsia="MS Gothic" w:hAnsi="MS Gothic"/>
            <w:noProof/>
          </w:rPr>
          <w:id w:val="1555424323"/>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σε φυσικό πρόσωπο ηλικίας έως 40 ετών κατά την ημερομηνία υποβολής της αίτησης ενίσχυσης και το οποίο έχει εργαστεί επί τουλάχιστον πέντε έτη ως αλιέας ή έχει αποκτήσει επαρκή επαγγελματικά προσόντα·</w:t>
      </w:r>
    </w:p>
    <w:p w14:paraId="42F96653" w14:textId="77777777" w:rsidR="00595401" w:rsidRPr="003007DB" w:rsidRDefault="00595401" w:rsidP="00595401">
      <w:pPr>
        <w:pStyle w:val="Point1"/>
        <w:rPr>
          <w:noProof/>
        </w:rPr>
      </w:pPr>
      <w:r>
        <w:rPr>
          <w:rFonts w:eastAsia="MS Gothic"/>
          <w:noProof/>
        </w:rPr>
        <w:t>β)</w:t>
      </w:r>
      <w:r>
        <w:rPr>
          <w:rFonts w:ascii="MS Gothic" w:eastAsia="MS Gothic" w:hAnsi="MS Gothic"/>
          <w:noProof/>
        </w:rPr>
        <w:tab/>
      </w:r>
      <w:sdt>
        <w:sdtPr>
          <w:rPr>
            <w:rFonts w:ascii="MS Gothic" w:eastAsia="MS Gothic" w:hAnsi="MS Gothic"/>
            <w:noProof/>
          </w:rPr>
          <w:id w:val="2018883766"/>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σε νομικές οντότητες που ανήκουν εξολοκλήρου σε ένα ή περισσότερα φυσικά πρόσωπα, έκαστο εκ των οποίων πληροί τους όρους που καθορίζονται στο στοιχείο α)·</w:t>
      </w:r>
    </w:p>
    <w:p w14:paraId="74D759A3" w14:textId="77777777" w:rsidR="00595401" w:rsidRPr="003007DB" w:rsidRDefault="00595401" w:rsidP="00595401">
      <w:pPr>
        <w:pStyle w:val="Point1"/>
        <w:rPr>
          <w:noProof/>
        </w:rPr>
      </w:pPr>
      <w:r>
        <w:rPr>
          <w:rFonts w:eastAsia="MS Gothic"/>
          <w:noProof/>
        </w:rPr>
        <w:t>γ)</w:t>
      </w:r>
      <w:r>
        <w:rPr>
          <w:rFonts w:ascii="MS Gothic" w:eastAsia="MS Gothic" w:hAnsi="MS Gothic"/>
          <w:noProof/>
        </w:rPr>
        <w:tab/>
      </w:r>
      <w:sdt>
        <w:sdtPr>
          <w:rPr>
            <w:rFonts w:ascii="MS Gothic" w:eastAsia="MS Gothic" w:hAnsi="MS Gothic"/>
            <w:noProof/>
          </w:rPr>
          <w:id w:val="-1705311980"/>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σε περίπτωση από κοινού πρώτης απόκτησης αλιευτικού σκάφους, σε περισσότερα φυσικά πρόσωπα, έκαστο εκ των οποίων πληροί τους όρους που καθορίζονται στο στοιχείο α)·</w:t>
      </w:r>
    </w:p>
    <w:p w14:paraId="0496BA1B" w14:textId="77777777" w:rsidR="00595401" w:rsidRPr="003007DB" w:rsidRDefault="00595401" w:rsidP="00595401">
      <w:pPr>
        <w:pStyle w:val="Point1"/>
        <w:rPr>
          <w:noProof/>
        </w:rPr>
      </w:pPr>
      <w:r>
        <w:rPr>
          <w:rFonts w:eastAsia="MS Gothic"/>
          <w:noProof/>
        </w:rPr>
        <w:t>δ)</w:t>
      </w:r>
      <w:r>
        <w:rPr>
          <w:rFonts w:ascii="MS Gothic" w:eastAsia="MS Gothic" w:hAnsi="MS Gothic"/>
          <w:noProof/>
        </w:rPr>
        <w:tab/>
      </w:r>
      <w:sdt>
        <w:sdtPr>
          <w:rPr>
            <w:rFonts w:ascii="MS Gothic" w:eastAsia="MS Gothic" w:hAnsi="MS Gothic"/>
            <w:noProof/>
          </w:rPr>
          <w:id w:val="682087858"/>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σε περίπτωση απόκτησης μερικής κυριότητας επί αλιευτικού σκάφους, σε φυσικό πρόσωπο που πληροί τους όρους που καθορίζονται στο στοιχείο α) και το οποίο λογίζεται ότι έχει δικαιώματα ελέγχου επί του εν λόγω σκάφους με την κυριότητα τουλάχιστον του 33 % του σκάφους ή των μεριδίων του σκάφους ή νομικής οντότητας που πληροί τους όρους που καθορίζονται στο στοιχείο β) και η οποία λογίζεται ότι έχει δικαιώματα ελέγχου επί του εν λόγω σκάφους με την κυριότητα τουλάχιστον του 33 % του σκάφους ή των μεριδίων του σκάφους.</w:t>
      </w:r>
    </w:p>
    <w:p w14:paraId="256E42E6" w14:textId="77777777" w:rsidR="00595401" w:rsidRPr="003007DB" w:rsidRDefault="00595401" w:rsidP="00595401">
      <w:pPr>
        <w:pStyle w:val="ManualNumPar2"/>
        <w:rPr>
          <w:noProof/>
        </w:rPr>
      </w:pPr>
      <w:r w:rsidRPr="00D11FE0">
        <w:rPr>
          <w:noProof/>
        </w:rPr>
        <w:t>2.1.</w:t>
      </w:r>
      <w:r w:rsidRPr="00D11FE0">
        <w:rPr>
          <w:noProof/>
        </w:rPr>
        <w:tab/>
      </w:r>
      <w:r w:rsidRPr="003007DB">
        <w:rPr>
          <w:noProof/>
        </w:rPr>
        <w:t>Προσδιορίστε τις διατάξεις της νομικής βάσης που αντικατοπτρίζουν το τετραγωνίδιο που επιλέξατε ως απάντηση στην ερώτηση.</w:t>
      </w:r>
    </w:p>
    <w:p w14:paraId="12094806" w14:textId="77777777" w:rsidR="00595401" w:rsidRPr="003007DB" w:rsidRDefault="00595401" w:rsidP="00595401">
      <w:pPr>
        <w:pStyle w:val="Text1"/>
        <w:rPr>
          <w:noProof/>
        </w:rPr>
      </w:pPr>
      <w:r w:rsidRPr="003007DB">
        <w:rPr>
          <w:noProof/>
        </w:rPr>
        <w:t>………………………………………………………………………………….</w:t>
      </w:r>
    </w:p>
    <w:p w14:paraId="091CD930" w14:textId="77777777" w:rsidR="00595401" w:rsidRPr="003007DB" w:rsidRDefault="00595401" w:rsidP="00595401">
      <w:pPr>
        <w:pStyle w:val="ManualNumPar1"/>
        <w:rPr>
          <w:noProof/>
        </w:rPr>
      </w:pPr>
      <w:r w:rsidRPr="00D11FE0">
        <w:rPr>
          <w:noProof/>
        </w:rPr>
        <w:t>3.</w:t>
      </w:r>
      <w:r w:rsidRPr="00D11FE0">
        <w:rPr>
          <w:noProof/>
        </w:rPr>
        <w:tab/>
      </w:r>
      <w:r w:rsidRPr="003007DB">
        <w:rPr>
          <w:noProof/>
        </w:rPr>
        <w:t>Σύμφωνα με το σημείο 245 στοιχείο α) των κατευθυντήριων γραμμών, τα αλιευτικά σκάφη ανήκουν σε τμήμα στόλου για το οποίο η πλέον πρόσφατη έκθεση αλιευτικής ικανότητας που αναφέρεται στο άρθρο 22 παράγραφος 2 του κανονισμού (ΕΕ) αριθ. 1380/2013 του Ευρωπαϊκού Κοινοβουλίου και του Συμβουλίου</w:t>
      </w:r>
      <w:r w:rsidRPr="003007DB">
        <w:rPr>
          <w:rStyle w:val="FootnoteReference"/>
          <w:rFonts w:eastAsia="Times New Roman"/>
          <w:noProof/>
          <w:szCs w:val="24"/>
          <w:lang w:eastAsia="en-GB"/>
        </w:rPr>
        <w:footnoteReference w:id="2"/>
      </w:r>
      <w:r w:rsidRPr="003007DB">
        <w:rPr>
          <w:noProof/>
        </w:rPr>
        <w:t xml:space="preserve">, έχει δείξει ότι </w:t>
      </w:r>
      <w:r w:rsidRPr="003007DB">
        <w:rPr>
          <w:noProof/>
        </w:rPr>
        <w:lastRenderedPageBreak/>
        <w:t>υπάρχει ισορροπία με τις αλιευτικές δυνατότητες που είναι διαθέσιμες για το εν λόγω τμήμα (στο εξής: εθνική έκθεση). Σύμφωνα με το σημείο 226 των κατευθυντήριων γραμμών, για τους σκοπούς του σημείου 245 στοιχείο α) εφαρμόζονται η διαδικασία και οι όροι που καθορίζονται στο μέρος ΙΙ κεφάλαιο 2 τμήμα 2.2 σημεία 225 έως 227 των κατευθυντήριων γραμμών.</w:t>
      </w:r>
      <w:r w:rsidRPr="003007DB">
        <w:rPr>
          <w:noProof/>
          <w:color w:val="000000"/>
          <w:sz w:val="23"/>
        </w:rPr>
        <w:t xml:space="preserve"> </w:t>
      </w:r>
      <w:bookmarkStart w:id="5" w:name="_Hlk127291617"/>
      <w:r w:rsidRPr="003007DB">
        <w:rPr>
          <w:noProof/>
        </w:rPr>
        <w:t>Στο πλαίσιο αυτό, παρακαλούμε να απαντήσετε στα ακόλουθα ερωτήματα:</w:t>
      </w:r>
      <w:bookmarkEnd w:id="5"/>
    </w:p>
    <w:p w14:paraId="32C4B319" w14:textId="77777777" w:rsidR="00595401" w:rsidRPr="003007DB" w:rsidRDefault="00595401" w:rsidP="00595401">
      <w:pPr>
        <w:rPr>
          <w:i/>
          <w:iCs/>
          <w:noProof/>
        </w:rPr>
      </w:pPr>
      <w:r w:rsidRPr="003007DB">
        <w:rPr>
          <w:i/>
          <w:noProof/>
        </w:rPr>
        <w:t>Εάν το μέτρο αφορά την αλιεία εσωτερικών υδάτων, δεν χρειάζεται να δοθεί απάντηση στις ερωτήσεις 3.1-3.2.6.1.</w:t>
      </w:r>
    </w:p>
    <w:p w14:paraId="3F178373" w14:textId="77777777" w:rsidR="00595401" w:rsidRPr="003007DB" w:rsidRDefault="00595401" w:rsidP="00595401">
      <w:pPr>
        <w:pStyle w:val="ManualNumPar2"/>
        <w:rPr>
          <w:rFonts w:eastAsia="Times New Roman"/>
          <w:noProof/>
          <w:szCs w:val="24"/>
        </w:rPr>
      </w:pPr>
      <w:r w:rsidRPr="00D11FE0">
        <w:rPr>
          <w:noProof/>
        </w:rPr>
        <w:t>3.1.</w:t>
      </w:r>
      <w:r w:rsidRPr="00D11FE0">
        <w:rPr>
          <w:noProof/>
        </w:rPr>
        <w:tab/>
      </w:r>
      <w:r w:rsidRPr="003007DB">
        <w:rPr>
          <w:noProof/>
        </w:rPr>
        <w:t>Πότε καταρτίστηκε η τελευταία εθνική έκθεση πριν από την ημερομηνία χορήγησης της ενίσχυσης;</w:t>
      </w:r>
    </w:p>
    <w:p w14:paraId="041AA38E" w14:textId="77777777" w:rsidR="00595401" w:rsidRPr="003007DB" w:rsidRDefault="00595401" w:rsidP="00595401">
      <w:pPr>
        <w:pStyle w:val="Text1"/>
        <w:rPr>
          <w:noProof/>
        </w:rPr>
      </w:pPr>
      <w:r w:rsidRPr="003007DB">
        <w:rPr>
          <w:noProof/>
        </w:rPr>
        <w:t>…………………………………………………………………………………….</w:t>
      </w:r>
    </w:p>
    <w:p w14:paraId="0D012AB9" w14:textId="77777777" w:rsidR="00595401" w:rsidRPr="003007DB" w:rsidRDefault="00595401" w:rsidP="00595401">
      <w:pPr>
        <w:pStyle w:val="ManualNumPar3"/>
        <w:rPr>
          <w:rFonts w:eastAsia="Times New Roman"/>
          <w:noProof/>
          <w:szCs w:val="24"/>
        </w:rPr>
      </w:pPr>
      <w:r w:rsidRPr="00D11FE0">
        <w:rPr>
          <w:noProof/>
        </w:rPr>
        <w:t>3.1.1.</w:t>
      </w:r>
      <w:r w:rsidRPr="00D11FE0">
        <w:rPr>
          <w:noProof/>
        </w:rPr>
        <w:tab/>
      </w:r>
      <w:r w:rsidRPr="003007DB">
        <w:rPr>
          <w:noProof/>
        </w:rPr>
        <w:t>Συμπληρώστε τον σύνδεσμο προς την τελευταία εθνική έκθεση ή επισυνάψτε την στην κοινοποίηση.</w:t>
      </w:r>
    </w:p>
    <w:p w14:paraId="00D0AE2A" w14:textId="77777777" w:rsidR="00595401" w:rsidRPr="003007DB" w:rsidRDefault="00595401" w:rsidP="00595401">
      <w:pPr>
        <w:pStyle w:val="Text1"/>
        <w:rPr>
          <w:noProof/>
        </w:rPr>
      </w:pPr>
      <w:r w:rsidRPr="003007DB">
        <w:rPr>
          <w:noProof/>
        </w:rPr>
        <w:t>……………………………………………………………………………………….</w:t>
      </w:r>
    </w:p>
    <w:p w14:paraId="60B62226" w14:textId="77777777" w:rsidR="00595401" w:rsidRPr="003007DB" w:rsidRDefault="00595401" w:rsidP="00595401">
      <w:pPr>
        <w:pStyle w:val="ManualNumPar2"/>
        <w:rPr>
          <w:noProof/>
        </w:rPr>
      </w:pPr>
      <w:r w:rsidRPr="00D11FE0">
        <w:rPr>
          <w:noProof/>
        </w:rPr>
        <w:t>3.2.</w:t>
      </w:r>
      <w:r w:rsidRPr="00D11FE0">
        <w:rPr>
          <w:noProof/>
        </w:rPr>
        <w:tab/>
      </w:r>
      <w:r w:rsidRPr="003007DB">
        <w:rPr>
          <w:noProof/>
        </w:rPr>
        <w:t>Επιβεβαιώστε ότι πληρούνται οι ακόλουθοι όροι για τη χορήγηση όλων των ενισχύσεων:</w:t>
      </w:r>
    </w:p>
    <w:p w14:paraId="4649020B" w14:textId="77777777" w:rsidR="00595401" w:rsidRPr="003007DB" w:rsidRDefault="00595401" w:rsidP="00595401">
      <w:pPr>
        <w:pStyle w:val="ManualNumPar3"/>
        <w:rPr>
          <w:rFonts w:eastAsia="Times New Roman"/>
          <w:noProof/>
          <w:szCs w:val="24"/>
        </w:rPr>
      </w:pPr>
      <w:r w:rsidRPr="00D11FE0">
        <w:rPr>
          <w:noProof/>
        </w:rPr>
        <w:t>3.2.1.</w:t>
      </w:r>
      <w:r w:rsidRPr="00D11FE0">
        <w:rPr>
          <w:noProof/>
        </w:rPr>
        <w:tab/>
      </w:r>
      <w:r w:rsidRPr="003007DB">
        <w:rPr>
          <w:noProof/>
        </w:rPr>
        <w:t>Υποβλήθηκε η εθνική έκθεση έως τις 31 Μαΐου του έτους Ν</w:t>
      </w:r>
      <w:r w:rsidRPr="003007DB">
        <w:rPr>
          <w:rStyle w:val="FootnoteReference"/>
          <w:rFonts w:eastAsia="Times New Roman"/>
          <w:noProof/>
          <w:szCs w:val="24"/>
          <w:lang w:eastAsia="en-GB"/>
        </w:rPr>
        <w:footnoteReference w:id="3"/>
      </w:r>
      <w:r w:rsidRPr="003007DB">
        <w:rPr>
          <w:noProof/>
        </w:rPr>
        <w:t>;</w:t>
      </w:r>
    </w:p>
    <w:p w14:paraId="79E0370F" w14:textId="77777777" w:rsidR="00595401" w:rsidRPr="003007DB" w:rsidRDefault="00595401" w:rsidP="00595401">
      <w:pPr>
        <w:pStyle w:val="Text1"/>
        <w:rPr>
          <w:noProof/>
        </w:rPr>
      </w:pPr>
      <w:sdt>
        <w:sdtPr>
          <w:rPr>
            <w:noProof/>
          </w:rPr>
          <w:id w:val="239911722"/>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986773468"/>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29AD3D33" w14:textId="77777777" w:rsidR="00595401" w:rsidRPr="003007DB" w:rsidRDefault="00595401" w:rsidP="00595401">
      <w:pPr>
        <w:pStyle w:val="ManualNumPar3"/>
        <w:rPr>
          <w:rFonts w:eastAsia="Times New Roman"/>
          <w:noProof/>
          <w:szCs w:val="24"/>
        </w:rPr>
      </w:pPr>
      <w:r w:rsidRPr="00D11FE0">
        <w:rPr>
          <w:noProof/>
        </w:rPr>
        <w:t>3.2.2.</w:t>
      </w:r>
      <w:r w:rsidRPr="00D11FE0">
        <w:rPr>
          <w:noProof/>
        </w:rPr>
        <w:tab/>
      </w:r>
      <w:r w:rsidRPr="003007DB">
        <w:rPr>
          <w:noProof/>
        </w:rPr>
        <w:t>Επιβεβαιώστε ότι η εθνική έκθεση που υποβλήθηκε το έτος Ν, και ειδικότερα η αξιολόγηση της ισορροπίας που περιλαμβάνεται σε αυτήν, έχει εκπονηθεί με βάση βιολογικούς, οικονομικούς δείκτες και δείκτες χρήσης σκάφους οι οποίοι καθορίζονται στις κοινές κατευθυντήριες γραμμές</w:t>
      </w:r>
      <w:r w:rsidRPr="003007DB">
        <w:rPr>
          <w:rStyle w:val="FootnoteReference"/>
          <w:rFonts w:eastAsia="Times New Roman"/>
          <w:noProof/>
          <w:szCs w:val="24"/>
          <w:lang w:eastAsia="en-GB"/>
        </w:rPr>
        <w:footnoteReference w:id="4"/>
      </w:r>
      <w:r w:rsidRPr="003007DB">
        <w:rPr>
          <w:noProof/>
        </w:rPr>
        <w:t xml:space="preserve"> που αναφέρονται στο άρθρο 22 παράγραφος 2 του κανονισμού (ΕΕ) αριθ. 1380/2013.</w:t>
      </w:r>
    </w:p>
    <w:p w14:paraId="7611A604" w14:textId="77777777" w:rsidR="00595401" w:rsidRPr="003007DB" w:rsidRDefault="00595401" w:rsidP="00595401">
      <w:pPr>
        <w:pStyle w:val="Text1"/>
        <w:rPr>
          <w:noProof/>
        </w:rPr>
      </w:pPr>
      <w:sdt>
        <w:sdtPr>
          <w:rPr>
            <w:noProof/>
          </w:rPr>
          <w:id w:val="-1046986990"/>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394125265"/>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1E1AD527" w14:textId="77777777" w:rsidR="00595401" w:rsidRPr="003007DB" w:rsidRDefault="00595401" w:rsidP="00595401">
      <w:pPr>
        <w:pStyle w:val="Text1"/>
        <w:rPr>
          <w:noProof/>
        </w:rPr>
      </w:pPr>
      <w:r w:rsidRPr="003007DB">
        <w:rPr>
          <w:noProof/>
        </w:rPr>
        <w:t xml:space="preserve">Επισημαίνεται ότι δεν επιτρέπεται η χορήγηση ενίσχυσης εάν η εθνική έκθεση, και ειδικότερα η αξιολόγηση της ισορροπίας που περιλαμβάνεται σε αυτήν, δεν έχει εκπονηθεί με βάση βιολογικούς, οικονομικούς δείκτες και δείκτες χρήσης σκάφους οι οποίοι καθορίζονται στις κοινές κατευθυντήριες γραμμές που αναφέρονται στο άρθρο 22 παράγραφος 2 του κανονισμού (ΕΕ) αριθ. 1380/2013. </w:t>
      </w:r>
    </w:p>
    <w:p w14:paraId="066FE9A7" w14:textId="77777777" w:rsidR="00595401" w:rsidRPr="003007DB" w:rsidRDefault="00595401" w:rsidP="00595401">
      <w:pPr>
        <w:pStyle w:val="ManualNumPar3"/>
        <w:rPr>
          <w:rFonts w:eastAsia="Times New Roman"/>
          <w:noProof/>
          <w:szCs w:val="24"/>
        </w:rPr>
      </w:pPr>
      <w:r w:rsidRPr="00D11FE0">
        <w:rPr>
          <w:noProof/>
        </w:rPr>
        <w:t>3.2.3.</w:t>
      </w:r>
      <w:r w:rsidRPr="00D11FE0">
        <w:rPr>
          <w:noProof/>
        </w:rPr>
        <w:tab/>
      </w:r>
      <w:r w:rsidRPr="003007DB">
        <w:rPr>
          <w:noProof/>
        </w:rPr>
        <w:t>Η εθνική έκθεση η οποία υποβλήθηκε το έτος Ν αποδεικνύει ότι υπάρχει ισορροπία μεταξύ της αλιευτικής ικανότητας και των αλιευτικών δυνατοτήτων στο τμήμα του στόλου στο οποίο θα ανήκει το νέο σκάφος;</w:t>
      </w:r>
    </w:p>
    <w:p w14:paraId="0E634CCA" w14:textId="77777777" w:rsidR="00595401" w:rsidRPr="003007DB" w:rsidRDefault="00595401" w:rsidP="00595401">
      <w:pPr>
        <w:pStyle w:val="Text1"/>
        <w:rPr>
          <w:noProof/>
        </w:rPr>
      </w:pPr>
      <w:sdt>
        <w:sdtPr>
          <w:rPr>
            <w:noProof/>
          </w:rPr>
          <w:id w:val="56916082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643542463"/>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12859FCD" w14:textId="77777777" w:rsidR="00595401" w:rsidRPr="003007DB" w:rsidRDefault="00595401" w:rsidP="00595401">
      <w:pPr>
        <w:pStyle w:val="ManualNumPar3"/>
        <w:rPr>
          <w:rFonts w:eastAsia="Times New Roman"/>
          <w:noProof/>
          <w:szCs w:val="24"/>
        </w:rPr>
      </w:pPr>
      <w:r w:rsidRPr="00D11FE0">
        <w:rPr>
          <w:noProof/>
        </w:rPr>
        <w:lastRenderedPageBreak/>
        <w:t>3.2.4.</w:t>
      </w:r>
      <w:r w:rsidRPr="00D11FE0">
        <w:rPr>
          <w:noProof/>
        </w:rPr>
        <w:tab/>
      </w:r>
      <w:r w:rsidRPr="003007DB">
        <w:rPr>
          <w:noProof/>
        </w:rPr>
        <w:t>Εξηγήστε πώς ελήφθη υπόψη η εθνική έκθεση κατά τον σχεδιασμό του μέτρου και πώς επιτυγχάνεται η ισορροπία.</w:t>
      </w:r>
    </w:p>
    <w:p w14:paraId="2B503AB7" w14:textId="77777777" w:rsidR="00595401" w:rsidRPr="003007DB" w:rsidRDefault="00595401" w:rsidP="00595401">
      <w:pPr>
        <w:pStyle w:val="Text1"/>
        <w:rPr>
          <w:noProof/>
        </w:rPr>
      </w:pPr>
      <w:r w:rsidRPr="003007DB">
        <w:rPr>
          <w:noProof/>
        </w:rPr>
        <w:t>……………………………………………………………………………………….</w:t>
      </w:r>
    </w:p>
    <w:p w14:paraId="3FE93DA5" w14:textId="77777777" w:rsidR="00595401" w:rsidRPr="003007DB" w:rsidRDefault="00595401" w:rsidP="00595401">
      <w:pPr>
        <w:pStyle w:val="ManualNumPar3"/>
        <w:rPr>
          <w:rFonts w:eastAsia="Times New Roman"/>
          <w:noProof/>
          <w:szCs w:val="24"/>
        </w:rPr>
      </w:pPr>
      <w:r w:rsidRPr="00D11FE0">
        <w:rPr>
          <w:noProof/>
        </w:rPr>
        <w:t>3.2.5.</w:t>
      </w:r>
      <w:r w:rsidRPr="00D11FE0">
        <w:rPr>
          <w:noProof/>
        </w:rPr>
        <w:tab/>
      </w:r>
      <w:r w:rsidRPr="003007DB">
        <w:rPr>
          <w:noProof/>
        </w:rPr>
        <w:t>Επιβεβαιώστε ότι η Επιτροπή δεν έχει θέσει υπό αμφισβήτηση έως την 31η Μαρτίου του έτους Ν + 1</w:t>
      </w:r>
    </w:p>
    <w:p w14:paraId="71EEC180" w14:textId="77777777" w:rsidR="00595401" w:rsidRPr="003007DB" w:rsidRDefault="00595401" w:rsidP="00595401">
      <w:pPr>
        <w:pStyle w:val="Point1"/>
        <w:rPr>
          <w:noProof/>
        </w:rPr>
      </w:pPr>
      <w:r>
        <w:rPr>
          <w:rFonts w:eastAsia="MS Gothic"/>
          <w:noProof/>
        </w:rPr>
        <w:t>α)</w:t>
      </w:r>
      <w:r>
        <w:rPr>
          <w:rFonts w:ascii="MS Gothic" w:eastAsia="MS Gothic" w:hAnsi="MS Gothic"/>
          <w:noProof/>
        </w:rPr>
        <w:tab/>
      </w:r>
      <w:sdt>
        <w:sdtPr>
          <w:rPr>
            <w:rFonts w:ascii="MS Gothic" w:eastAsia="MS Gothic" w:hAnsi="MS Gothic"/>
            <w:noProof/>
          </w:rPr>
          <w:id w:val="1862242276"/>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το συμπέρασμα της εθνικής έκθεσης που υποβλήθηκε το έτος Ν </w:t>
      </w:r>
    </w:p>
    <w:p w14:paraId="6F822E2E" w14:textId="77777777" w:rsidR="00595401" w:rsidRPr="003007DB" w:rsidRDefault="00595401" w:rsidP="00595401">
      <w:pPr>
        <w:pStyle w:val="Point1"/>
        <w:rPr>
          <w:noProof/>
        </w:rPr>
      </w:pPr>
      <w:r>
        <w:rPr>
          <w:rFonts w:eastAsia="MS Gothic"/>
          <w:bCs/>
          <w:noProof/>
        </w:rPr>
        <w:t>β)</w:t>
      </w:r>
      <w:r>
        <w:rPr>
          <w:rFonts w:ascii="MS Gothic" w:eastAsia="MS Gothic" w:hAnsi="MS Gothic"/>
          <w:bCs/>
          <w:noProof/>
        </w:rPr>
        <w:tab/>
      </w:r>
      <w:sdt>
        <w:sdtPr>
          <w:rPr>
            <w:rFonts w:ascii="MS Gothic" w:eastAsia="MS Gothic" w:hAnsi="MS Gothic"/>
            <w:bCs/>
            <w:noProof/>
          </w:rPr>
          <w:id w:val="1195119982"/>
          <w14:checkbox>
            <w14:checked w14:val="0"/>
            <w14:checkedState w14:val="2612" w14:font="MS Gothic"/>
            <w14:uncheckedState w14:val="2610" w14:font="MS Gothic"/>
          </w14:checkbox>
        </w:sdtPr>
        <w:sdtContent>
          <w:r w:rsidRPr="003007DB">
            <w:rPr>
              <w:rFonts w:ascii="MS Gothic" w:eastAsia="MS Gothic" w:hAnsi="MS Gothic" w:hint="eastAsia"/>
              <w:bCs/>
              <w:noProof/>
              <w:lang w:eastAsia="en-GB"/>
            </w:rPr>
            <w:t>☐</w:t>
          </w:r>
        </w:sdtContent>
      </w:sdt>
      <w:r w:rsidRPr="003007DB">
        <w:rPr>
          <w:noProof/>
        </w:rPr>
        <w:t xml:space="preserve"> την αξιολόγηση της ισορροπίας που περιέχεται στην εθνική έκθεση που υποβλήθηκε κατά το έτος Ν</w:t>
      </w:r>
    </w:p>
    <w:p w14:paraId="70327D17" w14:textId="77777777" w:rsidR="00595401" w:rsidRPr="003007DB" w:rsidRDefault="00595401" w:rsidP="00595401">
      <w:pPr>
        <w:pStyle w:val="ManualNumPar3"/>
        <w:rPr>
          <w:noProof/>
        </w:rPr>
      </w:pPr>
      <w:r w:rsidRPr="00D11FE0">
        <w:rPr>
          <w:noProof/>
        </w:rPr>
        <w:t>3.2.6.</w:t>
      </w:r>
      <w:r w:rsidRPr="00D11FE0">
        <w:rPr>
          <w:noProof/>
        </w:rPr>
        <w:tab/>
      </w:r>
      <w:r w:rsidRPr="003007DB">
        <w:rPr>
          <w:noProof/>
        </w:rPr>
        <w:t xml:space="preserve">Επιβεβαιώστε ότι το μέτρο προβλέπει ότι η ενίσχυση μπορεί να χορηγηθεί βάσει της εθνικής έκθεσης που υποβάλλεται το έτος Ν μόνο έως τις 31 Δεκεμβρίου του έτους N + 1, δηλαδή το έτος που έπεται του έτους υποβολής της έκθεσης. </w:t>
      </w:r>
    </w:p>
    <w:p w14:paraId="5BF5C83A" w14:textId="77777777" w:rsidR="00595401" w:rsidRPr="003007DB" w:rsidRDefault="00595401" w:rsidP="00595401">
      <w:pPr>
        <w:pStyle w:val="Text1"/>
        <w:rPr>
          <w:noProof/>
        </w:rPr>
      </w:pPr>
      <w:sdt>
        <w:sdtPr>
          <w:rPr>
            <w:noProof/>
          </w:rPr>
          <w:id w:val="-38278737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968859090"/>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7F0F300F" w14:textId="77777777" w:rsidR="00595401" w:rsidRPr="003007DB" w:rsidRDefault="00595401" w:rsidP="00595401">
      <w:pPr>
        <w:pStyle w:val="ManualNumPar4"/>
        <w:rPr>
          <w:noProof/>
        </w:rPr>
      </w:pPr>
      <w:r w:rsidRPr="00D11FE0">
        <w:rPr>
          <w:noProof/>
        </w:rPr>
        <w:t>3.2.6.1.</w:t>
      </w:r>
      <w:r w:rsidRPr="00D11FE0">
        <w:rPr>
          <w:noProof/>
        </w:rPr>
        <w:tab/>
      </w:r>
      <w:r w:rsidRPr="003007DB">
        <w:rPr>
          <w:noProof/>
        </w:rPr>
        <w:t>Εάν η απάντηση είναι «ναι», προσδιορίστε τις σχετικές διατάξεις της νομικής βάσης.</w:t>
      </w:r>
    </w:p>
    <w:p w14:paraId="04B3AB3C" w14:textId="77777777" w:rsidR="00595401" w:rsidRPr="003007DB" w:rsidRDefault="00595401" w:rsidP="00595401">
      <w:pPr>
        <w:pStyle w:val="Text1"/>
        <w:rPr>
          <w:noProof/>
        </w:rPr>
      </w:pPr>
      <w:r w:rsidRPr="003007DB">
        <w:rPr>
          <w:noProof/>
        </w:rPr>
        <w:t>…………………………………………………………………………………</w:t>
      </w:r>
    </w:p>
    <w:p w14:paraId="7BBCD2F7" w14:textId="77777777" w:rsidR="00595401" w:rsidRPr="003007DB" w:rsidRDefault="00595401" w:rsidP="00595401">
      <w:pPr>
        <w:pStyle w:val="ManualNumPar1"/>
        <w:rPr>
          <w:rFonts w:eastAsia="Times New Roman"/>
          <w:noProof/>
          <w:szCs w:val="24"/>
        </w:rPr>
      </w:pPr>
      <w:bookmarkStart w:id="6" w:name="_Ref125367899"/>
      <w:r w:rsidRPr="00D11FE0">
        <w:rPr>
          <w:noProof/>
        </w:rPr>
        <w:t>4.</w:t>
      </w:r>
      <w:r w:rsidRPr="00D11FE0">
        <w:rPr>
          <w:noProof/>
        </w:rPr>
        <w:tab/>
      </w:r>
      <w:r w:rsidRPr="003007DB">
        <w:rPr>
          <w:noProof/>
        </w:rPr>
        <w:t>Επιβεβαιώστε ότι το μέτρο προβλέπει ότι τα αλιευτικά σκάφη πρέπει να είναι εξοπλισμένα για αλιευτικές δραστηριότητες και να μην υπερβαίνουν τα 24 μέτρα ολικού μήκους.</w:t>
      </w:r>
      <w:bookmarkEnd w:id="6"/>
    </w:p>
    <w:p w14:paraId="15F65A73" w14:textId="77777777" w:rsidR="00595401" w:rsidRPr="003007DB" w:rsidRDefault="00595401" w:rsidP="00595401">
      <w:pPr>
        <w:pStyle w:val="Text1"/>
        <w:rPr>
          <w:noProof/>
        </w:rPr>
      </w:pPr>
      <w:sdt>
        <w:sdtPr>
          <w:rPr>
            <w:noProof/>
          </w:rPr>
          <w:id w:val="704987505"/>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81541979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26F8A60D" w14:textId="77777777" w:rsidR="00595401" w:rsidRPr="003007DB" w:rsidRDefault="00595401" w:rsidP="00595401">
      <w:pPr>
        <w:pStyle w:val="ManualNumPar2"/>
        <w:rPr>
          <w:rFonts w:eastAsia="Times New Roman"/>
          <w:noProof/>
          <w:szCs w:val="24"/>
        </w:rPr>
      </w:pPr>
      <w:r w:rsidRPr="00D11FE0">
        <w:rPr>
          <w:noProof/>
        </w:rPr>
        <w:t>4.1.</w:t>
      </w:r>
      <w:r w:rsidRPr="00D11FE0">
        <w:rPr>
          <w:noProof/>
        </w:rPr>
        <w:tab/>
      </w:r>
      <w:r w:rsidRPr="003007DB">
        <w:rPr>
          <w:noProof/>
        </w:rPr>
        <w:t>Εάν η απάντηση είναι «ναι», προσδιορίστε τις σχετικές διατάξεις της νομικής βάσης.</w:t>
      </w:r>
    </w:p>
    <w:p w14:paraId="2C070403" w14:textId="77777777" w:rsidR="00595401" w:rsidRPr="003007DB" w:rsidRDefault="00595401" w:rsidP="00595401">
      <w:pPr>
        <w:pStyle w:val="Text1"/>
        <w:rPr>
          <w:noProof/>
        </w:rPr>
      </w:pPr>
      <w:r w:rsidRPr="003007DB">
        <w:rPr>
          <w:noProof/>
        </w:rPr>
        <w:t>………………………………………………………………………………….</w:t>
      </w:r>
    </w:p>
    <w:p w14:paraId="24319EEA" w14:textId="77777777" w:rsidR="00595401" w:rsidRPr="003007DB" w:rsidRDefault="00595401" w:rsidP="00595401">
      <w:pPr>
        <w:pStyle w:val="ManualNumPar1"/>
        <w:rPr>
          <w:noProof/>
        </w:rPr>
      </w:pPr>
      <w:bookmarkStart w:id="7" w:name="_Ref124951266"/>
      <w:r w:rsidRPr="00D11FE0">
        <w:rPr>
          <w:noProof/>
        </w:rPr>
        <w:t>5.</w:t>
      </w:r>
      <w:r w:rsidRPr="00D11FE0">
        <w:rPr>
          <w:noProof/>
        </w:rPr>
        <w:tab/>
      </w:r>
      <w:r w:rsidRPr="003007DB">
        <w:rPr>
          <w:noProof/>
        </w:rPr>
        <w:t>Επιβεβαιώστε ότι το μέτρο προβλέπει ότι η ενίσχυση μπορεί να χορηγηθεί μόνο για αλιευτικό σκάφος που είναι νηολογημένο στο μητρώο αλιευτικού στόλου της Ένωσης για τουλάχιστον τρία ημερολογιακά έτη πριν από το έτος υποβολής της αίτησης ενίσχυσης στην περίπτωση σκαφών παράκτιας αλιείας μικρής κλίμακας, και για τουλάχιστον πέντε ημερολογιακά έτη στην περίπτωση άλλου τύπου σκάφους.</w:t>
      </w:r>
      <w:bookmarkEnd w:id="7"/>
    </w:p>
    <w:p w14:paraId="1EAA36D9" w14:textId="77777777" w:rsidR="00595401" w:rsidRPr="003007DB" w:rsidRDefault="00595401" w:rsidP="00595401">
      <w:pPr>
        <w:pStyle w:val="Text1"/>
        <w:rPr>
          <w:noProof/>
        </w:rPr>
      </w:pPr>
      <w:sdt>
        <w:sdtPr>
          <w:rPr>
            <w:noProof/>
          </w:rPr>
          <w:id w:val="-1781103419"/>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944383353"/>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0306F362" w14:textId="77777777" w:rsidR="00595401" w:rsidRPr="003007DB" w:rsidRDefault="00595401" w:rsidP="00595401">
      <w:pPr>
        <w:pStyle w:val="ManualNumPar2"/>
        <w:rPr>
          <w:rFonts w:eastAsia="Times New Roman"/>
          <w:iCs/>
          <w:noProof/>
          <w:szCs w:val="24"/>
        </w:rPr>
      </w:pPr>
      <w:r w:rsidRPr="00D11FE0">
        <w:rPr>
          <w:noProof/>
        </w:rPr>
        <w:t>5.1.</w:t>
      </w:r>
      <w:r w:rsidRPr="00D11FE0">
        <w:rPr>
          <w:noProof/>
        </w:rPr>
        <w:tab/>
      </w:r>
      <w:r w:rsidRPr="003007DB">
        <w:rPr>
          <w:noProof/>
        </w:rPr>
        <w:t>Εάν το μέτρο αφορά την αλιεία εσωτερικών υδάτων, επιβεβαιώστε ότι το μέτρο προβλέπει ότι η ενίσχυση μπορεί να χορηγηθεί μόνο για αλιευτικό σκάφος που έχει τεθεί σε ενεργό υπηρεσία, σύμφωνα με την εθνική νομοθεσία, για τουλάχιστον τρία ημερολογιακά έτη πριν από το έτος υποβολής της αίτησης ενίσχυσης στην περίπτωση σκαφών παράκτιας αλιείας μικρής κλίμακας, και για τουλάχιστον πέντε ημερολογιακά έτη στην περίπτωση άλλου τύπου σκάφους.</w:t>
      </w:r>
    </w:p>
    <w:p w14:paraId="3CB3B431" w14:textId="77777777" w:rsidR="00595401" w:rsidRPr="003007DB" w:rsidRDefault="00595401" w:rsidP="00595401">
      <w:pPr>
        <w:pStyle w:val="Text1"/>
        <w:rPr>
          <w:noProof/>
        </w:rPr>
      </w:pPr>
      <w:sdt>
        <w:sdtPr>
          <w:rPr>
            <w:noProof/>
          </w:rPr>
          <w:id w:val="163438823"/>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846205243"/>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5514A17B" w14:textId="77777777" w:rsidR="00595401" w:rsidRPr="003007DB" w:rsidRDefault="00595401" w:rsidP="00595401">
      <w:pPr>
        <w:pStyle w:val="ManualNumPar2"/>
        <w:rPr>
          <w:rFonts w:eastAsia="Times New Roman"/>
          <w:noProof/>
          <w:szCs w:val="24"/>
        </w:rPr>
      </w:pPr>
      <w:r w:rsidRPr="00D11FE0">
        <w:rPr>
          <w:noProof/>
        </w:rPr>
        <w:t>5.2.</w:t>
      </w:r>
      <w:r w:rsidRPr="00D11FE0">
        <w:rPr>
          <w:noProof/>
        </w:rPr>
        <w:tab/>
      </w:r>
      <w:r w:rsidRPr="003007DB">
        <w:rPr>
          <w:noProof/>
        </w:rPr>
        <w:t>Εάν η απάντηση στην ερώτηση 5 ή στην ερώτηση 5.1 είναι «ναι», προσδιορίστε την ή τις σχετικές διατάξεις της νομικής βάσης.</w:t>
      </w:r>
    </w:p>
    <w:p w14:paraId="1383C8D3" w14:textId="77777777" w:rsidR="00595401" w:rsidRPr="003007DB" w:rsidRDefault="00595401" w:rsidP="00595401">
      <w:pPr>
        <w:pStyle w:val="Text1"/>
        <w:rPr>
          <w:noProof/>
        </w:rPr>
      </w:pPr>
      <w:r w:rsidRPr="003007DB">
        <w:rPr>
          <w:noProof/>
        </w:rPr>
        <w:t>…………………………………………………………………………………….</w:t>
      </w:r>
      <w:bookmarkStart w:id="8" w:name="_Ref124951474"/>
    </w:p>
    <w:p w14:paraId="41BBF1A9" w14:textId="77777777" w:rsidR="00595401" w:rsidRPr="003007DB" w:rsidRDefault="00595401" w:rsidP="00595401">
      <w:pPr>
        <w:pStyle w:val="ManualNumPar1"/>
        <w:rPr>
          <w:noProof/>
        </w:rPr>
      </w:pPr>
      <w:r w:rsidRPr="00D11FE0">
        <w:rPr>
          <w:noProof/>
        </w:rPr>
        <w:t>6.</w:t>
      </w:r>
      <w:r w:rsidRPr="00D11FE0">
        <w:rPr>
          <w:noProof/>
        </w:rPr>
        <w:tab/>
      </w:r>
      <w:r w:rsidRPr="003007DB">
        <w:rPr>
          <w:noProof/>
        </w:rPr>
        <w:t>Επιβεβαιώστε ότι το μέτρο προβλέπει ότι η ενίσχυση μπορεί να χορηγηθεί μόνο για αλιευτικό σκάφος που είναι νηολογημένο στο μητρώο αλιευτικού στόλου της Ένωσης για 30 ημερολογιακά έτη κατ’ ανώτατο όριο πριν από το έτος υποβολής της αίτησης ενίσχυσης.</w:t>
      </w:r>
      <w:bookmarkEnd w:id="8"/>
    </w:p>
    <w:p w14:paraId="6232C446" w14:textId="77777777" w:rsidR="00595401" w:rsidRPr="003007DB" w:rsidRDefault="00595401" w:rsidP="00595401">
      <w:pPr>
        <w:pStyle w:val="Text1"/>
        <w:rPr>
          <w:noProof/>
        </w:rPr>
      </w:pPr>
      <w:sdt>
        <w:sdtPr>
          <w:rPr>
            <w:noProof/>
          </w:rPr>
          <w:id w:val="-170030583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264812680"/>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50A09023" w14:textId="77777777" w:rsidR="00595401" w:rsidRPr="003007DB" w:rsidRDefault="00595401" w:rsidP="00595401">
      <w:pPr>
        <w:pStyle w:val="ManualNumPar2"/>
        <w:rPr>
          <w:rFonts w:eastAsia="Times New Roman"/>
          <w:iCs/>
          <w:noProof/>
          <w:szCs w:val="24"/>
        </w:rPr>
      </w:pPr>
      <w:r w:rsidRPr="00D11FE0">
        <w:rPr>
          <w:noProof/>
        </w:rPr>
        <w:lastRenderedPageBreak/>
        <w:t>6.1.</w:t>
      </w:r>
      <w:r w:rsidRPr="00D11FE0">
        <w:rPr>
          <w:noProof/>
        </w:rPr>
        <w:tab/>
      </w:r>
      <w:r w:rsidRPr="003007DB">
        <w:rPr>
          <w:noProof/>
        </w:rPr>
        <w:t>Εάν το μέτρο αφορά την αλιεία εσωτερικών υδάτων, επιβεβαιώστε ότι το μέτρο προβλέπει ότι η ενίσχυση μπορεί να χορηγηθεί μόνο για αλιευτικό σκάφος που έχει τεθεί σε ενεργό υπηρεσία, σύμφωνα με την εθνική νομοθεσία, για 30 ημερολογιακά έτη κατ’ ανώτατο όριο πριν από το έτος υποβολής της αίτησης ενίσχυσης.</w:t>
      </w:r>
    </w:p>
    <w:p w14:paraId="3AC67F55" w14:textId="77777777" w:rsidR="00595401" w:rsidRPr="003007DB" w:rsidRDefault="00595401" w:rsidP="00595401">
      <w:pPr>
        <w:pStyle w:val="Text1"/>
        <w:rPr>
          <w:noProof/>
        </w:rPr>
      </w:pPr>
      <w:sdt>
        <w:sdtPr>
          <w:rPr>
            <w:noProof/>
          </w:rPr>
          <w:id w:val="127444200"/>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998420725"/>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6C0FB9F1" w14:textId="77777777" w:rsidR="00595401" w:rsidRPr="003007DB" w:rsidRDefault="00595401" w:rsidP="00595401">
      <w:pPr>
        <w:pStyle w:val="ManualNumPar2"/>
        <w:rPr>
          <w:rFonts w:eastAsia="Times New Roman"/>
          <w:noProof/>
          <w:szCs w:val="24"/>
        </w:rPr>
      </w:pPr>
      <w:r w:rsidRPr="00D11FE0">
        <w:rPr>
          <w:noProof/>
        </w:rPr>
        <w:t>6.2.</w:t>
      </w:r>
      <w:r w:rsidRPr="00D11FE0">
        <w:rPr>
          <w:noProof/>
        </w:rPr>
        <w:tab/>
      </w:r>
      <w:r w:rsidRPr="003007DB">
        <w:rPr>
          <w:noProof/>
        </w:rPr>
        <w:t>Εάν η απάντηση στην ερώτηση 6 ή στην ερώτηση 6.1 είναι «ναι», προσδιορίστε την ή τις σχετικές διατάξεις της νομικής βάσης.</w:t>
      </w:r>
    </w:p>
    <w:p w14:paraId="325D3921" w14:textId="77777777" w:rsidR="00595401" w:rsidRPr="003007DB" w:rsidRDefault="00595401" w:rsidP="00595401">
      <w:pPr>
        <w:pStyle w:val="Text1"/>
        <w:rPr>
          <w:noProof/>
        </w:rPr>
      </w:pPr>
      <w:r w:rsidRPr="003007DB">
        <w:rPr>
          <w:noProof/>
        </w:rPr>
        <w:t>………………………………………………………………………………….</w:t>
      </w:r>
    </w:p>
    <w:p w14:paraId="3D657417" w14:textId="77777777" w:rsidR="00595401" w:rsidRPr="003007DB" w:rsidRDefault="00595401" w:rsidP="00595401">
      <w:pPr>
        <w:pStyle w:val="ManualNumPar1"/>
        <w:rPr>
          <w:rFonts w:eastAsia="Times New Roman"/>
          <w:noProof/>
          <w:szCs w:val="24"/>
        </w:rPr>
      </w:pPr>
      <w:r w:rsidRPr="00D11FE0">
        <w:rPr>
          <w:noProof/>
        </w:rPr>
        <w:t>7.</w:t>
      </w:r>
      <w:r w:rsidRPr="00D11FE0">
        <w:rPr>
          <w:noProof/>
        </w:rPr>
        <w:tab/>
      </w:r>
      <w:r w:rsidRPr="003007DB">
        <w:rPr>
          <w:noProof/>
        </w:rPr>
        <w:t>Επιβεβαιώστε ότι οι επιλέξιμες δαπάνες περιλαμβάνουν μόνο τις άμεσες και έμμεσες δαπάνες που σχετίζονται με την πρώτη απόκτηση αλιευτικού σκάφους.</w:t>
      </w:r>
    </w:p>
    <w:p w14:paraId="78236CAB" w14:textId="77777777" w:rsidR="00595401" w:rsidRPr="003007DB" w:rsidRDefault="00595401" w:rsidP="00595401">
      <w:pPr>
        <w:pStyle w:val="Text1"/>
        <w:rPr>
          <w:noProof/>
        </w:rPr>
      </w:pPr>
      <w:sdt>
        <w:sdtPr>
          <w:rPr>
            <w:noProof/>
          </w:rPr>
          <w:id w:val="-172342113"/>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718733093"/>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020CE5EB" w14:textId="77777777" w:rsidR="00595401" w:rsidRPr="003007DB" w:rsidRDefault="00595401" w:rsidP="00595401">
      <w:pPr>
        <w:pStyle w:val="ManualNumPar2"/>
        <w:rPr>
          <w:rFonts w:eastAsia="Times New Roman"/>
          <w:noProof/>
          <w:szCs w:val="24"/>
        </w:rPr>
      </w:pPr>
      <w:r w:rsidRPr="00D11FE0">
        <w:rPr>
          <w:noProof/>
        </w:rPr>
        <w:t>7.1.</w:t>
      </w:r>
      <w:r w:rsidRPr="00D11FE0">
        <w:rPr>
          <w:noProof/>
        </w:rPr>
        <w:tab/>
      </w:r>
      <w:r w:rsidRPr="003007DB">
        <w:rPr>
          <w:noProof/>
        </w:rPr>
        <w:t>Εάν η απάντηση είναι «ναι», προσδιορίστε τις σχετικές διατάξεις της νομικής βάσης.</w:t>
      </w:r>
    </w:p>
    <w:p w14:paraId="43DD1D58" w14:textId="77777777" w:rsidR="00595401" w:rsidRPr="003007DB" w:rsidRDefault="00595401" w:rsidP="00595401">
      <w:pPr>
        <w:pStyle w:val="Text1"/>
        <w:rPr>
          <w:noProof/>
        </w:rPr>
      </w:pPr>
      <w:r w:rsidRPr="003007DB">
        <w:rPr>
          <w:noProof/>
        </w:rPr>
        <w:t>………………………………………………………………………………….</w:t>
      </w:r>
    </w:p>
    <w:p w14:paraId="14BBA2EC" w14:textId="77777777" w:rsidR="00595401" w:rsidRPr="003007DB" w:rsidRDefault="00595401" w:rsidP="00595401">
      <w:pPr>
        <w:pStyle w:val="ManualNumPar2"/>
        <w:rPr>
          <w:rFonts w:eastAsia="Times New Roman"/>
          <w:noProof/>
          <w:szCs w:val="24"/>
        </w:rPr>
      </w:pPr>
      <w:r w:rsidRPr="00D11FE0">
        <w:rPr>
          <w:noProof/>
        </w:rPr>
        <w:t>7.2.</w:t>
      </w:r>
      <w:r w:rsidRPr="00D11FE0">
        <w:rPr>
          <w:noProof/>
        </w:rPr>
        <w:tab/>
      </w:r>
      <w:r w:rsidRPr="003007DB">
        <w:rPr>
          <w:noProof/>
        </w:rPr>
        <w:t>Περιγράψτε λεπτομερώς τις δαπάνες που είναι επιλέξιμες στο πλαίσιο του μέτρου.</w:t>
      </w:r>
    </w:p>
    <w:p w14:paraId="7D65FC11" w14:textId="77777777" w:rsidR="00595401" w:rsidRPr="003007DB" w:rsidRDefault="00595401" w:rsidP="00595401">
      <w:pPr>
        <w:pStyle w:val="Text1"/>
        <w:rPr>
          <w:noProof/>
        </w:rPr>
      </w:pPr>
      <w:r w:rsidRPr="003007DB">
        <w:rPr>
          <w:noProof/>
        </w:rPr>
        <w:t>………………………………………………………………………………….</w:t>
      </w:r>
    </w:p>
    <w:p w14:paraId="4C840B31" w14:textId="77777777" w:rsidR="00595401" w:rsidRPr="003007DB" w:rsidRDefault="00595401" w:rsidP="00595401">
      <w:pPr>
        <w:pStyle w:val="ManualNumPar1"/>
        <w:rPr>
          <w:noProof/>
        </w:rPr>
      </w:pPr>
      <w:r w:rsidRPr="00D11FE0">
        <w:rPr>
          <w:noProof/>
        </w:rPr>
        <w:t>8.</w:t>
      </w:r>
      <w:r w:rsidRPr="00D11FE0">
        <w:rPr>
          <w:noProof/>
        </w:rPr>
        <w:tab/>
      </w:r>
      <w:r w:rsidRPr="003007DB">
        <w:rPr>
          <w:noProof/>
        </w:rPr>
        <w:t>Επιβεβαιώστε ότι το μέτρο προβλέπει ότι η μέγιστη ένταση ενίσχυσης δεν υπερβαίνει το 40 % των επιλέξιμων δαπανών.</w:t>
      </w:r>
    </w:p>
    <w:bookmarkStart w:id="9" w:name="_Hlk127291948"/>
    <w:p w14:paraId="00AE29C0" w14:textId="77777777" w:rsidR="00595401" w:rsidRPr="003007DB" w:rsidRDefault="00595401" w:rsidP="00595401">
      <w:pPr>
        <w:pStyle w:val="Text1"/>
        <w:rPr>
          <w:noProof/>
        </w:rPr>
      </w:pPr>
      <w:sdt>
        <w:sdtPr>
          <w:rPr>
            <w:noProof/>
          </w:rPr>
          <w:id w:val="-1069574006"/>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308906737"/>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34846126" w14:textId="77777777" w:rsidR="00595401" w:rsidRPr="003007DB" w:rsidRDefault="00595401" w:rsidP="00595401">
      <w:pPr>
        <w:pStyle w:val="ManualNumPar2"/>
        <w:rPr>
          <w:rFonts w:eastAsia="Times New Roman"/>
          <w:noProof/>
          <w:szCs w:val="24"/>
        </w:rPr>
      </w:pPr>
      <w:r w:rsidRPr="00D11FE0">
        <w:rPr>
          <w:noProof/>
        </w:rPr>
        <w:t>8.1.</w:t>
      </w:r>
      <w:r w:rsidRPr="00D11FE0">
        <w:rPr>
          <w:noProof/>
        </w:rPr>
        <w:tab/>
      </w:r>
      <w:r w:rsidRPr="003007DB">
        <w:rPr>
          <w:noProof/>
        </w:rPr>
        <w:t>Αναφέρετε την ή τις μέγιστες εντάσεις ενίσχυσης που ισχύουν στο πλαίσιο του μέτρου.</w:t>
      </w:r>
    </w:p>
    <w:p w14:paraId="558FC3B3" w14:textId="77777777" w:rsidR="00595401" w:rsidRPr="003007DB" w:rsidRDefault="00595401" w:rsidP="00595401">
      <w:pPr>
        <w:pStyle w:val="Text1"/>
        <w:rPr>
          <w:noProof/>
        </w:rPr>
      </w:pPr>
      <w:r w:rsidRPr="003007DB">
        <w:rPr>
          <w:noProof/>
        </w:rPr>
        <w:t>………………………………………………………………………………….</w:t>
      </w:r>
    </w:p>
    <w:bookmarkEnd w:id="9"/>
    <w:p w14:paraId="075387A7" w14:textId="77777777" w:rsidR="00595401" w:rsidRPr="003007DB" w:rsidRDefault="00595401" w:rsidP="00595401">
      <w:pPr>
        <w:pStyle w:val="ManualNumPar2"/>
        <w:rPr>
          <w:noProof/>
        </w:rPr>
      </w:pPr>
      <w:r w:rsidRPr="00D11FE0">
        <w:rPr>
          <w:noProof/>
        </w:rPr>
        <w:t>8.2.</w:t>
      </w:r>
      <w:r w:rsidRPr="00D11FE0">
        <w:rPr>
          <w:noProof/>
        </w:rPr>
        <w:tab/>
      </w:r>
      <w:r w:rsidRPr="003007DB">
        <w:rPr>
          <w:noProof/>
        </w:rPr>
        <w:t>Προσδιορίστε την ή τις διατάξεις της νομικής βάσης που καθορίζουν την ή τις μέγιστες εντάσεις ενίσχυσης βάσει του μέτρου.</w:t>
      </w:r>
    </w:p>
    <w:p w14:paraId="2A87D6C1" w14:textId="77777777" w:rsidR="00595401" w:rsidRPr="003007DB" w:rsidRDefault="00595401" w:rsidP="00595401">
      <w:pPr>
        <w:pStyle w:val="Text1"/>
        <w:rPr>
          <w:noProof/>
        </w:rPr>
      </w:pPr>
      <w:r w:rsidRPr="003007DB">
        <w:rPr>
          <w:noProof/>
        </w:rPr>
        <w:t>………………………………………………………………………………….</w:t>
      </w:r>
    </w:p>
    <w:p w14:paraId="38466FB9" w14:textId="77777777" w:rsidR="00595401" w:rsidRPr="003007DB" w:rsidRDefault="00595401" w:rsidP="00595401">
      <w:pPr>
        <w:pStyle w:val="ManualHeading4"/>
        <w:rPr>
          <w:noProof/>
        </w:rPr>
      </w:pPr>
      <w:r w:rsidRPr="003007DB">
        <w:rPr>
          <w:noProof/>
        </w:rPr>
        <w:t>ΑΛΛΕΣ ΠΛΗΡΟΦΟΡΙΕΣ</w:t>
      </w:r>
    </w:p>
    <w:p w14:paraId="0138DC3C" w14:textId="77777777" w:rsidR="00595401" w:rsidRPr="003007DB" w:rsidRDefault="00595401" w:rsidP="00595401">
      <w:pPr>
        <w:pStyle w:val="ManualNumPar1"/>
        <w:rPr>
          <w:noProof/>
        </w:rPr>
      </w:pPr>
      <w:r w:rsidRPr="00D11FE0">
        <w:rPr>
          <w:noProof/>
        </w:rPr>
        <w:t>9.</w:t>
      </w:r>
      <w:r w:rsidRPr="00D11FE0">
        <w:rPr>
          <w:noProof/>
        </w:rPr>
        <w:tab/>
      </w:r>
      <w:r w:rsidRPr="003007DB">
        <w:rPr>
          <w:noProof/>
        </w:rPr>
        <w:t>Αναφέρετε κάθε άλλη πληροφορία που θεωρείται χρήσιμη για την αξιολόγηση του μέτρου βάσει του εν λόγω τμήματος των κατευθυντήριων γραμμών.</w:t>
      </w:r>
    </w:p>
    <w:p w14:paraId="7D659CF8" w14:textId="77777777" w:rsidR="00595401" w:rsidRPr="003007DB" w:rsidRDefault="00595401" w:rsidP="00595401">
      <w:pPr>
        <w:pStyle w:val="Text1"/>
        <w:rPr>
          <w:noProof/>
        </w:rPr>
      </w:pPr>
      <w:r w:rsidRPr="003007DB">
        <w:rPr>
          <w:noProof/>
        </w:rPr>
        <w:t>…………………………………………………………………………………….</w:t>
      </w:r>
    </w:p>
    <w:p w14:paraId="1D66125B"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FCAE2" w14:textId="77777777" w:rsidR="00595401" w:rsidRDefault="00595401" w:rsidP="00595401">
      <w:pPr>
        <w:spacing w:before="0" w:after="0"/>
      </w:pPr>
      <w:r>
        <w:separator/>
      </w:r>
    </w:p>
  </w:endnote>
  <w:endnote w:type="continuationSeparator" w:id="0">
    <w:p w14:paraId="0CEB5BEE" w14:textId="77777777" w:rsidR="00595401" w:rsidRDefault="00595401" w:rsidP="0059540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17860" w14:textId="77777777" w:rsidR="00595401" w:rsidRDefault="005954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3BB60" w14:textId="15A2F30C" w:rsidR="00595401" w:rsidRDefault="00595401" w:rsidP="00595401">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B4FAA" w14:textId="77777777" w:rsidR="00595401" w:rsidRDefault="005954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F3EA5" w14:textId="77777777" w:rsidR="00595401" w:rsidRDefault="00595401" w:rsidP="00595401">
      <w:pPr>
        <w:spacing w:before="0" w:after="0"/>
      </w:pPr>
      <w:r>
        <w:separator/>
      </w:r>
    </w:p>
  </w:footnote>
  <w:footnote w:type="continuationSeparator" w:id="0">
    <w:p w14:paraId="70E51F96" w14:textId="77777777" w:rsidR="00595401" w:rsidRDefault="00595401" w:rsidP="00595401">
      <w:pPr>
        <w:spacing w:before="0" w:after="0"/>
      </w:pPr>
      <w:r>
        <w:continuationSeparator/>
      </w:r>
    </w:p>
  </w:footnote>
  <w:footnote w:id="1">
    <w:p w14:paraId="3E43D89F" w14:textId="77777777" w:rsidR="00595401" w:rsidRPr="00456174" w:rsidRDefault="00595401" w:rsidP="00595401">
      <w:pPr>
        <w:pStyle w:val="FootnoteText"/>
      </w:pPr>
      <w:r>
        <w:rPr>
          <w:rStyle w:val="FootnoteReference"/>
        </w:rPr>
        <w:footnoteRef/>
      </w:r>
      <w:r>
        <w:tab/>
        <w:t>ΕΕ C 107 της 23.3.2023, σ. 1.</w:t>
      </w:r>
    </w:p>
  </w:footnote>
  <w:footnote w:id="2">
    <w:p w14:paraId="4BDA1AD0" w14:textId="77777777" w:rsidR="00595401" w:rsidRPr="003533B1" w:rsidRDefault="00595401" w:rsidP="00595401">
      <w:pPr>
        <w:pStyle w:val="FootnoteText"/>
      </w:pPr>
      <w:r>
        <w:rPr>
          <w:rStyle w:val="FootnoteReference"/>
        </w:rPr>
        <w:footnoteRef/>
      </w:r>
      <w:r>
        <w:tab/>
        <w:t xml:space="preserve">Κανονισμός (ΕΕ) αριθ. 1380/2013 του Ευρωπαϊκού Κοινοβουλίου και του Συμβουλίου, της 11ης Δεκεμβρίου 2013, σχετικά με την Κοινή Αλιευτική Πολιτική, την τροποποίηση των κανονισμών του Συμβουλίου (ΕΚ) αριθ. 1954/2003 και (ΕΚ) αριθ. 1224/2009 και την κατάργηση των κανονισμών του Συμβουλίου (ΕΚ) αριθ. 2371/2002 και (ΕΚ) αριθ. 639/2004 και της απόφασης 2004/585/ΕΚ του Συμβουλίου (ΕΕ L 354 της 28.12.2013, σ. 22).  </w:t>
      </w:r>
    </w:p>
  </w:footnote>
  <w:footnote w:id="3">
    <w:p w14:paraId="0943693E" w14:textId="77777777" w:rsidR="00595401" w:rsidRPr="000345FA" w:rsidRDefault="00595401" w:rsidP="00595401">
      <w:pPr>
        <w:pStyle w:val="FootnoteText"/>
      </w:pPr>
      <w:r>
        <w:rPr>
          <w:rStyle w:val="FootnoteReference"/>
        </w:rPr>
        <w:footnoteRef/>
      </w:r>
      <w:r>
        <w:tab/>
        <w:t>Ανατρέξτε στα σημεία 225 και 226 των κατευθυντήριων γραμμών που περιγράφουν την αλληλουχία που περιλαμβάνει την εθνική έκθεση που υποβάλλεται το έτος Ν και τις ενέργειες της Επιτροπής έως την 31η Μαρτίου του έτους Ν + 1.</w:t>
      </w:r>
    </w:p>
  </w:footnote>
  <w:footnote w:id="4">
    <w:p w14:paraId="7A293487" w14:textId="77777777" w:rsidR="00595401" w:rsidRPr="001A2686" w:rsidRDefault="00595401" w:rsidP="00595401">
      <w:pPr>
        <w:pStyle w:val="FootnoteText"/>
      </w:pPr>
      <w:r>
        <w:rPr>
          <w:rStyle w:val="FootnoteReference"/>
        </w:rPr>
        <w:footnoteRef/>
      </w:r>
      <w:r>
        <w:tab/>
        <w:t xml:space="preserve">Ανακοίνωση της Επιτροπής προς το Ευρωπαϊκό Κοινοβούλιο και το Συμβούλιο: Κατευθυντήριες γραμμές για την ανάλυση της ισορροπίας μεταξύ της αλιευτικής ικανότητας και των αλιευτικών δυνατοτήτων σύμφωνα με το άρθρο 22 του κανονισμού (ΕΕ) αριθ. 1380/2013 του Ευρωπαϊκού Κοινοβουλίου και του Συμβουλίου σχετικά με την Κοινή Αλιευτική Πολιτική [COM(2014) 545 final].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CB597" w14:textId="77777777" w:rsidR="00595401" w:rsidRDefault="005954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73506" w14:textId="77777777" w:rsidR="00595401" w:rsidRDefault="005954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343A3" w14:textId="77777777" w:rsidR="00595401" w:rsidRDefault="005954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591738536">
    <w:abstractNumId w:val="20"/>
    <w:lvlOverride w:ilvl="0">
      <w:startOverride w:val="1"/>
    </w:lvlOverride>
  </w:num>
  <w:num w:numId="46" w16cid:durableId="175735758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595401"/>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9540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94C22"/>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E0AC1BC"/>
  <w15:chartTrackingRefBased/>
  <w15:docId w15:val="{E6969E24-2C91-4ED9-97FA-3F5C40C14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5401"/>
    <w:pPr>
      <w:spacing w:before="120" w:after="120" w:line="240" w:lineRule="auto"/>
      <w:jc w:val="both"/>
    </w:pPr>
    <w:rPr>
      <w:rFonts w:ascii="Times New Roman" w:hAnsi="Times New Roman" w:cs="Times New Roman"/>
      <w:kern w:val="0"/>
      <w:sz w:val="24"/>
      <w:lang w:val="el-G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59540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9540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595401"/>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595401"/>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59540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9540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9540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9540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9540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95401"/>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595401"/>
    <w:rPr>
      <w:i/>
      <w:iCs/>
      <w:color w:val="365F91" w:themeColor="accent1" w:themeShade="BF"/>
    </w:rPr>
  </w:style>
  <w:style w:type="paragraph" w:styleId="IntenseQuote">
    <w:name w:val="Intense Quote"/>
    <w:basedOn w:val="Normal"/>
    <w:next w:val="Normal"/>
    <w:link w:val="IntenseQuoteChar"/>
    <w:uiPriority w:val="30"/>
    <w:qFormat/>
    <w:rsid w:val="00595401"/>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595401"/>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595401"/>
    <w:rPr>
      <w:b/>
      <w:bCs/>
      <w:smallCaps/>
      <w:color w:val="365F91" w:themeColor="accent1" w:themeShade="BF"/>
      <w:spacing w:val="5"/>
    </w:rPr>
  </w:style>
  <w:style w:type="paragraph" w:styleId="Signature">
    <w:name w:val="Signature"/>
    <w:basedOn w:val="Normal"/>
    <w:link w:val="FootnoteReference"/>
    <w:uiPriority w:val="99"/>
    <w:rsid w:val="00595401"/>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595401"/>
    <w:rPr>
      <w:rFonts w:ascii="Times New Roman" w:hAnsi="Times New Roman" w:cs="Times New Roman"/>
      <w:kern w:val="0"/>
      <w:sz w:val="24"/>
      <w:lang w:val="el-GR"/>
      <w14:ligatures w14:val="none"/>
    </w:rPr>
  </w:style>
  <w:style w:type="paragraph" w:customStyle="1" w:styleId="Text1">
    <w:name w:val="Text 1"/>
    <w:basedOn w:val="Normal"/>
    <w:rsid w:val="00595401"/>
    <w:pPr>
      <w:ind w:left="850"/>
    </w:pPr>
  </w:style>
  <w:style w:type="paragraph" w:customStyle="1" w:styleId="Point1">
    <w:name w:val="Point 1"/>
    <w:basedOn w:val="Normal"/>
    <w:rsid w:val="00595401"/>
    <w:pPr>
      <w:ind w:left="1417" w:hanging="567"/>
    </w:pPr>
  </w:style>
  <w:style w:type="paragraph" w:customStyle="1" w:styleId="Tiret0">
    <w:name w:val="Tiret 0"/>
    <w:basedOn w:val="Normal"/>
    <w:rsid w:val="00595401"/>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1160</Words>
  <Characters>7116</Characters>
  <DocSecurity>0</DocSecurity>
  <Lines>142</Lines>
  <Paragraphs>74</Paragraphs>
  <ScaleCrop>false</ScaleCrop>
  <LinksUpToDate>false</LinksUpToDate>
  <CharactersWithSpaces>8202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2025-05-23T15:46:00Z</dcterms:created>
  <dcterms:modified xsi:type="dcterms:W3CDTF">2025-05-23T15:47:00Z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2025-05-23T15:47:11Z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66a140ee-bcf8-466a-93c5-c8058ec3433a</vt:lpwstr>
  </property>
  <property fmtid="{D5CDD505-2E9C-101B-9397-08002B2CF9AE}" pid="8" name="MSIP_Label_6bd9ddd1-4d20-43f6-abfa-fc3c07406f94_ContentBits">
    <vt:lpwstr>0</vt:lpwstr>
  </property>
</Properties>
</file>