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3D398" w14:textId="77777777" w:rsidR="003075A0" w:rsidRPr="001D6573" w:rsidRDefault="003075A0" w:rsidP="003075A0">
      <w:pPr>
        <w:pStyle w:val="ManualHeading1"/>
        <w:rPr>
          <w:noProof/>
        </w:rPr>
      </w:pPr>
      <w:r w:rsidRPr="001D6573">
        <w:rPr>
          <w:noProof/>
        </w:rPr>
        <w:t>2.2. PAPILDINFORMĀCIJAS ANKETA PAR ATBALSTU ZVEJAS FLOTES ATJAUNOŠANAI TĀLĀKAJOS REĢIONOS</w:t>
      </w:r>
    </w:p>
    <w:p w14:paraId="50C931BA" w14:textId="77777777" w:rsidR="003075A0" w:rsidRPr="001D6573" w:rsidRDefault="003075A0" w:rsidP="003075A0">
      <w:pPr>
        <w:spacing w:after="0"/>
        <w:rPr>
          <w:rFonts w:eastAsia="Times New Roman"/>
          <w:i/>
          <w:noProof/>
          <w:szCs w:val="24"/>
        </w:rPr>
      </w:pPr>
      <w:r w:rsidRPr="001D6573">
        <w:rPr>
          <w:i/>
          <w:noProof/>
        </w:rPr>
        <w:t>Šī veidlapa dalībvalstīm jāizmanto, lai paziņotu par zvejas flotes atjaunošanai tālākajos reģionos paredzētu atbalstu, kas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2. nodaļas 2.2. iedaļā.</w:t>
      </w:r>
    </w:p>
    <w:p w14:paraId="51859FA9" w14:textId="77777777" w:rsidR="003075A0" w:rsidRPr="001D6573" w:rsidRDefault="003075A0" w:rsidP="003075A0">
      <w:pPr>
        <w:pStyle w:val="ManualNumPar1"/>
        <w:rPr>
          <w:noProof/>
        </w:rPr>
      </w:pPr>
      <w:r w:rsidRPr="008E5076">
        <w:rPr>
          <w:noProof/>
        </w:rPr>
        <w:t>1.</w:t>
      </w:r>
      <w:r w:rsidRPr="008E5076">
        <w:rPr>
          <w:noProof/>
        </w:rPr>
        <w:tab/>
      </w:r>
      <w:r w:rsidRPr="001D6573">
        <w:rPr>
          <w:noProof/>
        </w:rPr>
        <w:t>Norādiet Līguma 349. pantā minēto tālāko reģionu (reģionus), uz ko attiecas pasākums.</w:t>
      </w:r>
    </w:p>
    <w:p w14:paraId="0E4AF03D" w14:textId="77777777" w:rsidR="003075A0" w:rsidRPr="001D6573" w:rsidRDefault="003075A0" w:rsidP="003075A0">
      <w:pPr>
        <w:pStyle w:val="Text1"/>
        <w:rPr>
          <w:noProof/>
        </w:rPr>
      </w:pPr>
      <w:r w:rsidRPr="001D6573">
        <w:rPr>
          <w:noProof/>
        </w:rPr>
        <w:t>……………………………………………………………………………………….</w:t>
      </w:r>
    </w:p>
    <w:p w14:paraId="6BEEFF77" w14:textId="77777777" w:rsidR="003075A0" w:rsidRPr="001D6573" w:rsidRDefault="003075A0" w:rsidP="003075A0">
      <w:pPr>
        <w:pStyle w:val="ManualNumPar1"/>
        <w:rPr>
          <w:rFonts w:eastAsia="Times New Roman"/>
          <w:noProof/>
          <w:szCs w:val="24"/>
        </w:rPr>
      </w:pPr>
      <w:r w:rsidRPr="008E5076">
        <w:rPr>
          <w:noProof/>
        </w:rPr>
        <w:t>2.</w:t>
      </w:r>
      <w:r w:rsidRPr="008E5076">
        <w:rPr>
          <w:noProof/>
        </w:rPr>
        <w:tab/>
      </w:r>
      <w:r w:rsidRPr="001D6573">
        <w:rPr>
          <w:noProof/>
        </w:rPr>
        <w:t>Apstipriniet, ka pasākums noteic, ka jauniem zvejas kuģiem, kas iegādāti ar atbalstu, jāatbilst Savienības un valsts noteikumiem par higiēnas, veselības, drošības un darba apstākļiem darbam uz zvejas kuģiem un zvejas kuģu parametriem.</w:t>
      </w:r>
    </w:p>
    <w:p w14:paraId="4ACB77FC" w14:textId="77777777" w:rsidR="003075A0" w:rsidRPr="001D6573" w:rsidRDefault="003075A0" w:rsidP="003075A0">
      <w:pPr>
        <w:pStyle w:val="Text1"/>
        <w:rPr>
          <w:noProof/>
        </w:rPr>
      </w:pPr>
      <w:sdt>
        <w:sdtPr>
          <w:rPr>
            <w:noProof/>
          </w:rPr>
          <w:id w:val="20499163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73605138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AC6CCD8" w14:textId="77777777" w:rsidR="003075A0" w:rsidRPr="001D6573" w:rsidRDefault="003075A0" w:rsidP="003075A0">
      <w:pPr>
        <w:pStyle w:val="ManualNumPar2"/>
        <w:rPr>
          <w:noProof/>
        </w:rPr>
      </w:pPr>
      <w:r w:rsidRPr="008E5076">
        <w:rPr>
          <w:noProof/>
        </w:rPr>
        <w:t>2.1.</w:t>
      </w:r>
      <w:r w:rsidRPr="008E5076">
        <w:rPr>
          <w:noProof/>
        </w:rPr>
        <w:tab/>
      </w:r>
      <w:r w:rsidRPr="001D6573">
        <w:rPr>
          <w:noProof/>
        </w:rPr>
        <w:t>Ja atbilde ir “jā”, norādiet relevanto juridiskā pamata noteikumu (noteikumus).</w:t>
      </w:r>
    </w:p>
    <w:p w14:paraId="37AD738E" w14:textId="77777777" w:rsidR="003075A0" w:rsidRPr="001D6573" w:rsidRDefault="003075A0" w:rsidP="003075A0">
      <w:pPr>
        <w:pStyle w:val="Text1"/>
        <w:rPr>
          <w:noProof/>
        </w:rPr>
      </w:pPr>
      <w:r w:rsidRPr="001D6573">
        <w:rPr>
          <w:noProof/>
        </w:rPr>
        <w:t>………………………………………………………………………………….</w:t>
      </w:r>
    </w:p>
    <w:p w14:paraId="1436D672" w14:textId="77777777" w:rsidR="003075A0" w:rsidRPr="001D6573" w:rsidRDefault="003075A0" w:rsidP="003075A0">
      <w:pPr>
        <w:pStyle w:val="ManualNumPar1"/>
        <w:rPr>
          <w:rFonts w:eastAsia="Times New Roman"/>
          <w:noProof/>
          <w:szCs w:val="24"/>
        </w:rPr>
      </w:pPr>
      <w:r w:rsidRPr="008E5076">
        <w:rPr>
          <w:noProof/>
        </w:rPr>
        <w:t>3.</w:t>
      </w:r>
      <w:r w:rsidRPr="008E5076">
        <w:rPr>
          <w:noProof/>
        </w:rPr>
        <w:tab/>
      </w:r>
      <w:r w:rsidRPr="001D6573">
        <w:rPr>
          <w:noProof/>
        </w:rPr>
        <w:t>Apstipriniet, ka pasākums noteic, ka atbalsta pieteikuma iesniegšanas dienā labuma guvēja uzņēmuma galvenajai reģistrācijas vietai ir jābūt tālākajā reģionā, kurā jaunais kuģis tiks reģistrēts.</w:t>
      </w:r>
    </w:p>
    <w:p w14:paraId="16CD8E4F" w14:textId="77777777" w:rsidR="003075A0" w:rsidRPr="001D6573" w:rsidRDefault="003075A0" w:rsidP="003075A0">
      <w:pPr>
        <w:pStyle w:val="Text1"/>
        <w:rPr>
          <w:noProof/>
        </w:rPr>
      </w:pPr>
      <w:sdt>
        <w:sdtPr>
          <w:rPr>
            <w:noProof/>
          </w:rPr>
          <w:id w:val="135453882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4229603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6D93DB2" w14:textId="77777777" w:rsidR="003075A0" w:rsidRPr="001D6573" w:rsidRDefault="003075A0" w:rsidP="003075A0">
      <w:pPr>
        <w:pStyle w:val="ManualNumPar2"/>
        <w:rPr>
          <w:rFonts w:eastAsia="Times New Roman"/>
          <w:noProof/>
        </w:rPr>
      </w:pPr>
      <w:r w:rsidRPr="008E5076">
        <w:rPr>
          <w:noProof/>
        </w:rPr>
        <w:t>3.1.</w:t>
      </w:r>
      <w:r w:rsidRPr="008E5076">
        <w:rPr>
          <w:noProof/>
        </w:rPr>
        <w:tab/>
      </w:r>
      <w:r w:rsidRPr="001D6573">
        <w:rPr>
          <w:noProof/>
        </w:rPr>
        <w:t>Ja atbilde ir “jā”, norādiet galveno reģistrācijas vietu.</w:t>
      </w:r>
    </w:p>
    <w:p w14:paraId="3720BD11" w14:textId="77777777" w:rsidR="003075A0" w:rsidRPr="001D6573" w:rsidRDefault="003075A0" w:rsidP="003075A0">
      <w:pPr>
        <w:pStyle w:val="Text1"/>
        <w:rPr>
          <w:noProof/>
        </w:rPr>
      </w:pPr>
      <w:r w:rsidRPr="001D6573">
        <w:rPr>
          <w:noProof/>
        </w:rPr>
        <w:t>…………………………………………………………………………………….</w:t>
      </w:r>
    </w:p>
    <w:p w14:paraId="7E020220" w14:textId="77777777" w:rsidR="003075A0" w:rsidRPr="001D6573" w:rsidRDefault="003075A0" w:rsidP="003075A0">
      <w:pPr>
        <w:pStyle w:val="ManualNumPar1"/>
        <w:rPr>
          <w:rFonts w:eastAsia="Times New Roman"/>
          <w:noProof/>
          <w:szCs w:val="24"/>
        </w:rPr>
      </w:pPr>
      <w:r w:rsidRPr="008E5076">
        <w:rPr>
          <w:noProof/>
        </w:rPr>
        <w:t>4.</w:t>
      </w:r>
      <w:r w:rsidRPr="008E5076">
        <w:rPr>
          <w:noProof/>
        </w:rPr>
        <w:tab/>
      </w:r>
      <w:r w:rsidRPr="001D6573">
        <w:rPr>
          <w:noProof/>
        </w:rPr>
        <w:t>Saskaņā ar Pamatnostādņu 223. punktu atbalsta piešķiršanas dienā jaunākajā ziņojumā, kas pirms minētās dienas sagatavots saskaņā ar Eiropas Parlamenta un Padomes Regulas (ES) Nr. 1380/2013</w:t>
      </w:r>
      <w:r w:rsidRPr="001D6573">
        <w:rPr>
          <w:rStyle w:val="FootnoteReference"/>
          <w:rFonts w:eastAsia="Times New Roman"/>
          <w:noProof/>
          <w:szCs w:val="24"/>
          <w:lang w:eastAsia="en-GB"/>
        </w:rPr>
        <w:footnoteReference w:id="2"/>
      </w:r>
      <w:r w:rsidRPr="001D6573">
        <w:rPr>
          <w:noProof/>
        </w:rPr>
        <w:t xml:space="preserve"> 22. panta 2. un 3. punktu, jāpierāda līdzsvars starp zvejas kapacitāti un zvejas iespējām tā tālākā reģiona flotes segmentā, pie kura piederēs jaunais kuģis (“valsts ziņojums”). Ņemot vērā iepriekš minēto, atbildiet uz šādiem jautājumiem:</w:t>
      </w:r>
    </w:p>
    <w:p w14:paraId="2E18745F" w14:textId="77777777" w:rsidR="003075A0" w:rsidRPr="001D6573" w:rsidRDefault="003075A0" w:rsidP="003075A0">
      <w:pPr>
        <w:pStyle w:val="ManualNumPar2"/>
        <w:rPr>
          <w:rFonts w:eastAsia="Times New Roman"/>
          <w:noProof/>
          <w:szCs w:val="24"/>
        </w:rPr>
      </w:pPr>
      <w:r w:rsidRPr="008E5076">
        <w:rPr>
          <w:noProof/>
        </w:rPr>
        <w:t>4.1.</w:t>
      </w:r>
      <w:r w:rsidRPr="008E5076">
        <w:rPr>
          <w:noProof/>
        </w:rPr>
        <w:tab/>
      </w:r>
      <w:r w:rsidRPr="001D6573">
        <w:rPr>
          <w:noProof/>
        </w:rPr>
        <w:t>Kad sagatavots jaunākais valsts ziņojums pirms atbalsta piešķiršanas dienas?</w:t>
      </w:r>
    </w:p>
    <w:p w14:paraId="7B3525F8" w14:textId="77777777" w:rsidR="003075A0" w:rsidRPr="001D6573" w:rsidRDefault="003075A0" w:rsidP="003075A0">
      <w:pPr>
        <w:pStyle w:val="Text1"/>
        <w:rPr>
          <w:noProof/>
        </w:rPr>
      </w:pPr>
      <w:r w:rsidRPr="001D6573">
        <w:rPr>
          <w:noProof/>
        </w:rPr>
        <w:t>……………………………………………………………………………….</w:t>
      </w:r>
      <w:bookmarkStart w:id="0" w:name="_Ref124951182"/>
    </w:p>
    <w:p w14:paraId="40FE838B" w14:textId="77777777" w:rsidR="003075A0" w:rsidRPr="001D6573" w:rsidRDefault="003075A0" w:rsidP="003075A0">
      <w:pPr>
        <w:pStyle w:val="ManualNumPar3"/>
        <w:rPr>
          <w:noProof/>
        </w:rPr>
      </w:pPr>
      <w:bookmarkStart w:id="1" w:name="_Hlk129253679"/>
      <w:r w:rsidRPr="008E5076">
        <w:rPr>
          <w:noProof/>
        </w:rPr>
        <w:t>4.1.1.</w:t>
      </w:r>
      <w:r w:rsidRPr="008E5076">
        <w:rPr>
          <w:noProof/>
        </w:rPr>
        <w:tab/>
      </w:r>
      <w:r w:rsidRPr="001D6573">
        <w:rPr>
          <w:noProof/>
        </w:rPr>
        <w:t>Norādiet saiti uz jaunāko valsts ziņojumu vai pievienojiet to paziņojumam.</w:t>
      </w:r>
    </w:p>
    <w:p w14:paraId="7F094D6D" w14:textId="77777777" w:rsidR="003075A0" w:rsidRPr="001D6573" w:rsidRDefault="003075A0" w:rsidP="003075A0">
      <w:pPr>
        <w:pStyle w:val="Text1"/>
        <w:rPr>
          <w:noProof/>
        </w:rPr>
      </w:pPr>
      <w:r w:rsidRPr="001D6573">
        <w:rPr>
          <w:noProof/>
        </w:rPr>
        <w:t>……………………………………………………………………………….</w:t>
      </w:r>
    </w:p>
    <w:bookmarkEnd w:id="1"/>
    <w:p w14:paraId="22EC37F3" w14:textId="77777777" w:rsidR="003075A0" w:rsidRPr="001D6573" w:rsidRDefault="003075A0" w:rsidP="003075A0">
      <w:pPr>
        <w:pStyle w:val="ManualNumPar2"/>
        <w:rPr>
          <w:noProof/>
          <w:color w:val="000000"/>
          <w:sz w:val="23"/>
          <w:szCs w:val="23"/>
        </w:rPr>
      </w:pPr>
      <w:r w:rsidRPr="008E5076">
        <w:rPr>
          <w:noProof/>
        </w:rPr>
        <w:t>4.2.</w:t>
      </w:r>
      <w:r w:rsidRPr="008E5076">
        <w:rPr>
          <w:noProof/>
        </w:rPr>
        <w:tab/>
      </w:r>
      <w:r w:rsidRPr="001D6573">
        <w:rPr>
          <w:noProof/>
        </w:rPr>
        <w:t>Saskaņā ar Pamatnostādņu 225. punktu apstipriniet, ka attiecībā uz visu piešķiramo atbalstu ir izpildīti šādi nosacījumi.</w:t>
      </w:r>
      <w:r w:rsidRPr="001D6573">
        <w:rPr>
          <w:noProof/>
          <w:color w:val="000000"/>
        </w:rPr>
        <w:t xml:space="preserve"> </w:t>
      </w:r>
    </w:p>
    <w:p w14:paraId="5B2B27BD" w14:textId="77777777" w:rsidR="003075A0" w:rsidRPr="001D6573" w:rsidRDefault="003075A0" w:rsidP="003075A0">
      <w:pPr>
        <w:pStyle w:val="ManualNumPar3"/>
        <w:rPr>
          <w:noProof/>
        </w:rPr>
      </w:pPr>
      <w:r w:rsidRPr="008E5076">
        <w:rPr>
          <w:noProof/>
        </w:rPr>
        <w:lastRenderedPageBreak/>
        <w:t>4.2.1.</w:t>
      </w:r>
      <w:r w:rsidRPr="008E5076">
        <w:rPr>
          <w:noProof/>
        </w:rPr>
        <w:tab/>
      </w:r>
      <w:r w:rsidRPr="001D6573">
        <w:rPr>
          <w:noProof/>
        </w:rPr>
        <w:t>Vai valsts ziņojums tika iesniegts līdz N gada</w:t>
      </w:r>
      <w:r w:rsidRPr="001D6573">
        <w:rPr>
          <w:rStyle w:val="FootnoteReference"/>
          <w:rFonts w:eastAsia="Times New Roman"/>
          <w:noProof/>
          <w:szCs w:val="24"/>
          <w:lang w:eastAsia="en-GB"/>
        </w:rPr>
        <w:footnoteReference w:id="3"/>
      </w:r>
      <w:r w:rsidRPr="001D6573">
        <w:rPr>
          <w:noProof/>
        </w:rPr>
        <w:t xml:space="preserve"> 31. maijam?</w:t>
      </w:r>
    </w:p>
    <w:p w14:paraId="21A05BEC" w14:textId="77777777" w:rsidR="003075A0" w:rsidRPr="001D6573" w:rsidRDefault="003075A0" w:rsidP="003075A0">
      <w:pPr>
        <w:pStyle w:val="Text1"/>
        <w:rPr>
          <w:noProof/>
        </w:rPr>
      </w:pPr>
      <w:sdt>
        <w:sdtPr>
          <w:rPr>
            <w:noProof/>
          </w:rPr>
          <w:id w:val="-9486321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4020361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FF3338B" w14:textId="77777777" w:rsidR="003075A0" w:rsidRPr="001D6573" w:rsidRDefault="003075A0" w:rsidP="003075A0">
      <w:pPr>
        <w:pStyle w:val="ManualNumPar3"/>
        <w:rPr>
          <w:rFonts w:eastAsia="Times New Roman"/>
          <w:noProof/>
          <w:szCs w:val="24"/>
        </w:rPr>
      </w:pPr>
      <w:r w:rsidRPr="008E5076">
        <w:rPr>
          <w:noProof/>
        </w:rPr>
        <w:t>4.2.2.</w:t>
      </w:r>
      <w:r w:rsidRPr="008E5076">
        <w:rPr>
          <w:noProof/>
        </w:rPr>
        <w:tab/>
      </w:r>
      <w:r w:rsidRPr="001D6573">
        <w:rPr>
          <w:noProof/>
        </w:rPr>
        <w:t>Apstipriniet, ka N gadā iesniegtais valsts ziņojums, jo īpaši tajā ietvertais līdzsvara novērtējums, ir sagatavots, pamatojoties uz bioloģiskajiem, ekonomiskajiem un kuģu izmantojuma rādītājiem, kas noteikti kopīgajās pamatnostādnēs</w:t>
      </w:r>
      <w:r w:rsidRPr="001D6573">
        <w:rPr>
          <w:rStyle w:val="FootnoteReference"/>
          <w:rFonts w:eastAsia="Times New Roman"/>
          <w:noProof/>
          <w:szCs w:val="24"/>
          <w:lang w:eastAsia="en-GB"/>
        </w:rPr>
        <w:footnoteReference w:id="4"/>
      </w:r>
      <w:r w:rsidRPr="001D6573">
        <w:rPr>
          <w:noProof/>
        </w:rPr>
        <w:t xml:space="preserve">. </w:t>
      </w:r>
    </w:p>
    <w:p w14:paraId="500D27EC" w14:textId="77777777" w:rsidR="003075A0" w:rsidRPr="001D6573" w:rsidRDefault="003075A0" w:rsidP="003075A0">
      <w:pPr>
        <w:pStyle w:val="Text1"/>
        <w:rPr>
          <w:noProof/>
        </w:rPr>
      </w:pPr>
      <w:sdt>
        <w:sdtPr>
          <w:rPr>
            <w:noProof/>
          </w:rPr>
          <w:id w:val="12104279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55959487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3C16D11" w14:textId="77777777" w:rsidR="003075A0" w:rsidRPr="001D6573" w:rsidRDefault="003075A0" w:rsidP="003075A0">
      <w:pPr>
        <w:pStyle w:val="Text1"/>
        <w:rPr>
          <w:noProof/>
        </w:rPr>
      </w:pPr>
      <w:r w:rsidRPr="001D6573">
        <w:rPr>
          <w:noProof/>
        </w:rPr>
        <w:t xml:space="preserve">Ņemiet vērā, ka saskaņā ar Pamatnostādņu 224. punktu atbalstu nedrīkst piešķirt, ja valsts ziņojums, jo īpaši tajā ietvertais līdzsvara novērtējums, nav sagatavots, pamatojoties uz bioloģiskajiem, ekonomiskajiem un kuģu izmantojuma rādītājiem, kas noteikti Regulas (ES) Nr. 1380/2013 22. panta 2. punktā minētajās kopīgajās pamatnostādnēs. </w:t>
      </w:r>
    </w:p>
    <w:bookmarkEnd w:id="0"/>
    <w:p w14:paraId="4E81E0F8" w14:textId="77777777" w:rsidR="003075A0" w:rsidRPr="001D6573" w:rsidRDefault="003075A0" w:rsidP="003075A0">
      <w:pPr>
        <w:pStyle w:val="ManualNumPar3"/>
        <w:rPr>
          <w:rFonts w:eastAsia="Times New Roman"/>
          <w:noProof/>
          <w:szCs w:val="24"/>
        </w:rPr>
      </w:pPr>
      <w:r w:rsidRPr="008E5076">
        <w:rPr>
          <w:noProof/>
        </w:rPr>
        <w:t>4.2.3.</w:t>
      </w:r>
      <w:r w:rsidRPr="008E5076">
        <w:rPr>
          <w:noProof/>
        </w:rPr>
        <w:tab/>
      </w:r>
      <w:r w:rsidRPr="001D6573">
        <w:rPr>
          <w:noProof/>
        </w:rPr>
        <w:t>Vai N gadā iesniegtajā valsts ziņojumā ir pierādīts, ka flotes segmentā, pie kura piederēs jaunais kuģis, pastāv līdzsvars starp zvejas kapacitāti un zvejas iespējām?</w:t>
      </w:r>
    </w:p>
    <w:p w14:paraId="67A061FC" w14:textId="77777777" w:rsidR="003075A0" w:rsidRPr="001D6573" w:rsidRDefault="003075A0" w:rsidP="003075A0">
      <w:pPr>
        <w:pStyle w:val="Text1"/>
        <w:rPr>
          <w:noProof/>
        </w:rPr>
      </w:pPr>
      <w:sdt>
        <w:sdtPr>
          <w:rPr>
            <w:noProof/>
          </w:rPr>
          <w:id w:val="49639392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031931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EDBDCDD" w14:textId="77777777" w:rsidR="003075A0" w:rsidRPr="001D6573" w:rsidRDefault="003075A0" w:rsidP="003075A0">
      <w:pPr>
        <w:pStyle w:val="ManualNumPar3"/>
        <w:rPr>
          <w:rFonts w:eastAsia="Times New Roman"/>
          <w:noProof/>
          <w:szCs w:val="24"/>
        </w:rPr>
      </w:pPr>
      <w:r w:rsidRPr="008E5076">
        <w:rPr>
          <w:noProof/>
        </w:rPr>
        <w:t>4.2.4.</w:t>
      </w:r>
      <w:r w:rsidRPr="008E5076">
        <w:rPr>
          <w:noProof/>
        </w:rPr>
        <w:tab/>
      </w:r>
      <w:r w:rsidRPr="001D6573">
        <w:rPr>
          <w:noProof/>
        </w:rPr>
        <w:t>Paskaidrojiet, kā pasākuma izstrādē tika ņemts vērā valsts ziņojums un kā tika panākts līdzsvars.</w:t>
      </w:r>
    </w:p>
    <w:p w14:paraId="23B4B55F" w14:textId="77777777" w:rsidR="003075A0" w:rsidRPr="001D6573" w:rsidRDefault="003075A0" w:rsidP="003075A0">
      <w:pPr>
        <w:pStyle w:val="Text1"/>
        <w:rPr>
          <w:noProof/>
        </w:rPr>
      </w:pPr>
      <w:r w:rsidRPr="001D6573">
        <w:rPr>
          <w:noProof/>
        </w:rPr>
        <w:t>…………………………………………………………………………………….</w:t>
      </w:r>
    </w:p>
    <w:p w14:paraId="669EC1FF" w14:textId="77777777" w:rsidR="003075A0" w:rsidRPr="001D6573" w:rsidRDefault="003075A0" w:rsidP="003075A0">
      <w:pPr>
        <w:pStyle w:val="ManualNumPar3"/>
        <w:rPr>
          <w:rFonts w:eastAsia="Times New Roman"/>
          <w:noProof/>
          <w:szCs w:val="24"/>
        </w:rPr>
      </w:pPr>
      <w:r w:rsidRPr="008E5076">
        <w:rPr>
          <w:noProof/>
        </w:rPr>
        <w:t>4.2.5.</w:t>
      </w:r>
      <w:r w:rsidRPr="008E5076">
        <w:rPr>
          <w:noProof/>
        </w:rPr>
        <w:tab/>
      </w:r>
      <w:r w:rsidRPr="001D6573">
        <w:rPr>
          <w:noProof/>
        </w:rPr>
        <w:t>Saskaņā ar Pamatnostādņu 226. punktu apstipriniet, ka Komisija līdz N+1 gada 31. martam nav apšaubījusi:</w:t>
      </w:r>
    </w:p>
    <w:p w14:paraId="73852E39" w14:textId="77777777" w:rsidR="003075A0" w:rsidRPr="001D6573" w:rsidRDefault="003075A0" w:rsidP="003075A0">
      <w:pPr>
        <w:pStyle w:val="Point1"/>
        <w:rPr>
          <w:noProof/>
        </w:rPr>
      </w:pPr>
      <w:r w:rsidRPr="008E5076">
        <w:rPr>
          <w:noProof/>
        </w:rPr>
        <w:t>(a)</w:t>
      </w:r>
      <w:r w:rsidRPr="008E5076">
        <w:rPr>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 gadā iesniegtā valsts ziņojuma secinājumus; </w:t>
      </w:r>
    </w:p>
    <w:p w14:paraId="574B31B3" w14:textId="77777777" w:rsidR="003075A0" w:rsidRPr="001D6573" w:rsidRDefault="003075A0" w:rsidP="003075A0">
      <w:pPr>
        <w:pStyle w:val="Point1"/>
        <w:rPr>
          <w:noProof/>
        </w:rPr>
      </w:pPr>
      <w:r w:rsidRPr="008E5076">
        <w:rPr>
          <w:noProof/>
        </w:rPr>
        <w:t>(b)</w:t>
      </w:r>
      <w:r w:rsidRPr="008E5076">
        <w:rPr>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b/>
          <w:noProof/>
        </w:rPr>
        <w:t xml:space="preserve"> </w:t>
      </w:r>
      <w:r w:rsidRPr="001D6573">
        <w:rPr>
          <w:noProof/>
        </w:rPr>
        <w:t>līdzsvara novērtējumu, kas ietverts N gadā iesniegtajā valsts ziņojumā.</w:t>
      </w:r>
    </w:p>
    <w:p w14:paraId="7ABE7691" w14:textId="77777777" w:rsidR="003075A0" w:rsidRPr="001D6573" w:rsidRDefault="003075A0" w:rsidP="003075A0">
      <w:pPr>
        <w:pStyle w:val="ManualNumPar3"/>
        <w:rPr>
          <w:rFonts w:eastAsia="Times New Roman"/>
          <w:noProof/>
          <w:szCs w:val="24"/>
        </w:rPr>
      </w:pPr>
      <w:r w:rsidRPr="008E5076">
        <w:rPr>
          <w:noProof/>
        </w:rPr>
        <w:t>4.2.6.</w:t>
      </w:r>
      <w:r w:rsidRPr="008E5076">
        <w:rPr>
          <w:noProof/>
        </w:rPr>
        <w:tab/>
      </w:r>
      <w:r w:rsidRPr="001D6573">
        <w:rPr>
          <w:noProof/>
        </w:rPr>
        <w:t xml:space="preserve">Apstipriniet, ka pasākums noteic, ka uz N gadā iesniegtā valsts ziņojuma pamata atbalstu drīkst piešķirt tikai līdz N+1 gada 31. decembrim, t. i., nākamajam gadam pēc ziņojuma iesniegšanas gada. </w:t>
      </w:r>
    </w:p>
    <w:p w14:paraId="77D79102" w14:textId="77777777" w:rsidR="003075A0" w:rsidRPr="001D6573" w:rsidRDefault="003075A0" w:rsidP="003075A0">
      <w:pPr>
        <w:pStyle w:val="Text1"/>
        <w:rPr>
          <w:noProof/>
        </w:rPr>
      </w:pPr>
      <w:sdt>
        <w:sdtPr>
          <w:rPr>
            <w:noProof/>
          </w:rPr>
          <w:id w:val="7826418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33033414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3E2EF24" w14:textId="77777777" w:rsidR="003075A0" w:rsidRPr="001D6573" w:rsidRDefault="003075A0" w:rsidP="003075A0">
      <w:pPr>
        <w:pStyle w:val="ManualNumPar4"/>
        <w:rPr>
          <w:noProof/>
        </w:rPr>
      </w:pPr>
      <w:r w:rsidRPr="008E5076">
        <w:rPr>
          <w:noProof/>
        </w:rPr>
        <w:t>4.2.6.1.</w:t>
      </w:r>
      <w:r w:rsidRPr="008E5076">
        <w:rPr>
          <w:noProof/>
        </w:rPr>
        <w:tab/>
      </w:r>
      <w:r w:rsidRPr="001D6573">
        <w:rPr>
          <w:noProof/>
        </w:rPr>
        <w:t>Ja atbilde ir “jā”, norādiet relevanto juridiskā pamata noteikumu (noteikumus).</w:t>
      </w:r>
    </w:p>
    <w:p w14:paraId="53FD03D4" w14:textId="77777777" w:rsidR="003075A0" w:rsidRPr="001D6573" w:rsidRDefault="003075A0" w:rsidP="003075A0">
      <w:pPr>
        <w:pStyle w:val="Text1"/>
        <w:rPr>
          <w:noProof/>
        </w:rPr>
      </w:pPr>
      <w:r w:rsidRPr="001D6573">
        <w:rPr>
          <w:noProof/>
        </w:rPr>
        <w:t>……………………………………………………………………………</w:t>
      </w:r>
    </w:p>
    <w:p w14:paraId="2C88CE5C" w14:textId="77777777" w:rsidR="003075A0" w:rsidRPr="001D6573" w:rsidRDefault="003075A0" w:rsidP="003075A0">
      <w:pPr>
        <w:pStyle w:val="ManualNumPar1"/>
        <w:rPr>
          <w:noProof/>
        </w:rPr>
      </w:pPr>
      <w:r w:rsidRPr="008E5076">
        <w:rPr>
          <w:noProof/>
        </w:rPr>
        <w:t>5.</w:t>
      </w:r>
      <w:r w:rsidRPr="008E5076">
        <w:rPr>
          <w:noProof/>
        </w:rPr>
        <w:tab/>
      </w:r>
      <w:r w:rsidRPr="001D6573">
        <w:rPr>
          <w:noProof/>
        </w:rPr>
        <w:t>Apstipriniet, ka katras dalībvalsts un katra tālāko reģionu flotes segmenta maksimālā pieļaujamā zvejas kapacitāte, kas noteikta Regulas (ES) Nr. 1380/2013 II pielikumā, nevienā brīdī netiks pārsniegta, ņemot vērā jebkādu iespējamo minētās maksimālās pieļaujamās kapacitātes samazinājumu saskaņā ar minētās regulas 22. panta 6. punktu.</w:t>
      </w:r>
      <w:r w:rsidRPr="001D6573">
        <w:rPr>
          <w:noProof/>
        </w:rPr>
        <w:tab/>
      </w:r>
    </w:p>
    <w:p w14:paraId="176159F2" w14:textId="77777777" w:rsidR="003075A0" w:rsidRPr="001D6573" w:rsidRDefault="003075A0" w:rsidP="003075A0">
      <w:pPr>
        <w:pStyle w:val="Text1"/>
        <w:rPr>
          <w:noProof/>
        </w:rPr>
      </w:pPr>
      <w:sdt>
        <w:sdtPr>
          <w:rPr>
            <w:noProof/>
          </w:rPr>
          <w:id w:val="37404924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00156790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CC44713" w14:textId="77777777" w:rsidR="003075A0" w:rsidRPr="001D6573" w:rsidRDefault="003075A0" w:rsidP="003075A0">
      <w:pPr>
        <w:pStyle w:val="ManualNumPar2"/>
        <w:rPr>
          <w:noProof/>
        </w:rPr>
      </w:pPr>
      <w:r w:rsidRPr="008E5076">
        <w:rPr>
          <w:noProof/>
        </w:rPr>
        <w:t>5.1.</w:t>
      </w:r>
      <w:r w:rsidRPr="008E5076">
        <w:rPr>
          <w:noProof/>
        </w:rPr>
        <w:tab/>
      </w:r>
      <w:r w:rsidRPr="001D6573">
        <w:rPr>
          <w:noProof/>
        </w:rPr>
        <w:t xml:space="preserve">Paskaidrojiet, kā tiks panākta šā nosacījuma izpilde. </w:t>
      </w:r>
    </w:p>
    <w:p w14:paraId="60E7532E" w14:textId="77777777" w:rsidR="003075A0" w:rsidRPr="001D6573" w:rsidRDefault="003075A0" w:rsidP="003075A0">
      <w:pPr>
        <w:pStyle w:val="Text1"/>
        <w:rPr>
          <w:noProof/>
        </w:rPr>
      </w:pPr>
      <w:r w:rsidRPr="001D6573">
        <w:rPr>
          <w:noProof/>
        </w:rPr>
        <w:t>………………………………………………………………………………….</w:t>
      </w:r>
    </w:p>
    <w:p w14:paraId="256EFD28" w14:textId="77777777" w:rsidR="003075A0" w:rsidRPr="001D6573" w:rsidRDefault="003075A0" w:rsidP="003075A0">
      <w:pPr>
        <w:pStyle w:val="Text1"/>
        <w:rPr>
          <w:noProof/>
        </w:rPr>
      </w:pPr>
      <w:r w:rsidRPr="001D6573">
        <w:rPr>
          <w:noProof/>
        </w:rPr>
        <w:lastRenderedPageBreak/>
        <w:t>Ņemiet vērā, ka jaunas, ar atbalstu iegūtas kapacitātes iekļaušana flotē jāveic, pilnībā ievērojot šo maksimālo pieļaujamo kapacitāti, un tā nedrīkst radīt situāciju, kurā šī kapacitāte ir pārsniegta.</w:t>
      </w:r>
    </w:p>
    <w:p w14:paraId="2DF29B29" w14:textId="77777777" w:rsidR="003075A0" w:rsidRPr="001D6573" w:rsidRDefault="003075A0" w:rsidP="003075A0">
      <w:pPr>
        <w:pStyle w:val="ManualNumPar1"/>
        <w:rPr>
          <w:rFonts w:eastAsia="Times New Roman"/>
          <w:noProof/>
          <w:szCs w:val="24"/>
        </w:rPr>
      </w:pPr>
      <w:r w:rsidRPr="008E5076">
        <w:rPr>
          <w:noProof/>
        </w:rPr>
        <w:t>6.</w:t>
      </w:r>
      <w:r w:rsidRPr="008E5076">
        <w:rPr>
          <w:noProof/>
        </w:rPr>
        <w:tab/>
      </w:r>
      <w:r w:rsidRPr="001D6573">
        <w:rPr>
          <w:noProof/>
        </w:rPr>
        <w:t>Apstipriniet, ka pasākums noteic, ka atbalsta nosacījums nedrīkst būt jaunā kuģa iegāde no konkrētas kuģu būvētavas.</w:t>
      </w:r>
    </w:p>
    <w:p w14:paraId="4F372D24" w14:textId="77777777" w:rsidR="003075A0" w:rsidRPr="001D6573" w:rsidRDefault="003075A0" w:rsidP="003075A0">
      <w:pPr>
        <w:pStyle w:val="Text1"/>
        <w:rPr>
          <w:noProof/>
        </w:rPr>
      </w:pPr>
      <w:sdt>
        <w:sdtPr>
          <w:rPr>
            <w:noProof/>
          </w:rPr>
          <w:id w:val="197224733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30883505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2CB8F3B" w14:textId="77777777" w:rsidR="003075A0" w:rsidRPr="001D6573" w:rsidRDefault="003075A0" w:rsidP="003075A0">
      <w:pPr>
        <w:pStyle w:val="ManualNumPar2"/>
        <w:rPr>
          <w:noProof/>
        </w:rPr>
      </w:pPr>
      <w:r w:rsidRPr="008E5076">
        <w:rPr>
          <w:noProof/>
        </w:rPr>
        <w:t>6.1.</w:t>
      </w:r>
      <w:r w:rsidRPr="008E5076">
        <w:rPr>
          <w:noProof/>
        </w:rPr>
        <w:tab/>
      </w:r>
      <w:r w:rsidRPr="001D6573">
        <w:rPr>
          <w:noProof/>
        </w:rPr>
        <w:t>Ja atbilde ir “jā”, norādiet relevanto juridiskā pamata noteikumu (noteikumus).</w:t>
      </w:r>
    </w:p>
    <w:p w14:paraId="2642730C" w14:textId="77777777" w:rsidR="003075A0" w:rsidRPr="001D6573" w:rsidRDefault="003075A0" w:rsidP="003075A0">
      <w:pPr>
        <w:pStyle w:val="Text1"/>
        <w:rPr>
          <w:noProof/>
        </w:rPr>
      </w:pPr>
      <w:r w:rsidRPr="001D6573">
        <w:rPr>
          <w:noProof/>
        </w:rPr>
        <w:t>……………………………………………………………………………………….</w:t>
      </w:r>
    </w:p>
    <w:p w14:paraId="5E445811" w14:textId="77777777" w:rsidR="003075A0" w:rsidRPr="001D6573" w:rsidRDefault="003075A0" w:rsidP="003075A0">
      <w:pPr>
        <w:pStyle w:val="ManualNumPar1"/>
        <w:rPr>
          <w:rFonts w:eastAsia="Times New Roman"/>
          <w:noProof/>
          <w:szCs w:val="24"/>
        </w:rPr>
      </w:pPr>
      <w:r w:rsidRPr="008E5076">
        <w:rPr>
          <w:noProof/>
        </w:rPr>
        <w:t>7.</w:t>
      </w:r>
      <w:r w:rsidRPr="008E5076">
        <w:rPr>
          <w:noProof/>
        </w:rPr>
        <w:tab/>
      </w:r>
      <w:r w:rsidRPr="001D6573">
        <w:rPr>
          <w:noProof/>
        </w:rPr>
        <w:t>Detalizēti aprakstiet izmaksas, kas ir attiecināmas saskaņā ar šo pasākumu.</w:t>
      </w:r>
    </w:p>
    <w:p w14:paraId="7EF373AA" w14:textId="77777777" w:rsidR="003075A0" w:rsidRPr="001D6573" w:rsidRDefault="003075A0" w:rsidP="003075A0">
      <w:pPr>
        <w:pStyle w:val="Text1"/>
        <w:rPr>
          <w:noProof/>
        </w:rPr>
      </w:pPr>
      <w:r w:rsidRPr="001D6573">
        <w:rPr>
          <w:noProof/>
        </w:rPr>
        <w:t>……………………………………………………………………………………….</w:t>
      </w:r>
    </w:p>
    <w:p w14:paraId="5CA94BC0" w14:textId="77777777" w:rsidR="003075A0" w:rsidRPr="001D6573" w:rsidRDefault="003075A0" w:rsidP="003075A0">
      <w:pPr>
        <w:pStyle w:val="ManualNumPar1"/>
        <w:rPr>
          <w:rFonts w:eastAsia="Times New Roman"/>
          <w:noProof/>
          <w:szCs w:val="24"/>
        </w:rPr>
      </w:pPr>
      <w:r w:rsidRPr="008E5076">
        <w:rPr>
          <w:noProof/>
        </w:rPr>
        <w:t>8.</w:t>
      </w:r>
      <w:r w:rsidRPr="008E5076">
        <w:rPr>
          <w:noProof/>
        </w:rPr>
        <w:tab/>
      </w:r>
      <w:r w:rsidRPr="001D6573">
        <w:rPr>
          <w:noProof/>
        </w:rPr>
        <w:t>Vai varat apstiprināt, ka kuģiem piešķiramā atbalsta maksimālā intensitāte nedrīkst būt:</w:t>
      </w:r>
    </w:p>
    <w:p w14:paraId="65CBDC7D" w14:textId="77777777" w:rsidR="003075A0" w:rsidRPr="001D6573" w:rsidRDefault="003075A0" w:rsidP="003075A0">
      <w:pPr>
        <w:pStyle w:val="Point1"/>
        <w:rPr>
          <w:noProof/>
        </w:rPr>
      </w:pPr>
      <w:r w:rsidRPr="008E5076">
        <w:rPr>
          <w:noProof/>
        </w:rPr>
        <w:t>(a)</w:t>
      </w:r>
      <w:r w:rsidRPr="008E5076">
        <w:rPr>
          <w:noProof/>
        </w:rPr>
        <w:tab/>
      </w:r>
      <w:r w:rsidRPr="001D6573">
        <w:rPr>
          <w:noProof/>
        </w:rPr>
        <w:t>lielāka par 60 % no kopējām attiecināmajām izmaksām tādu kuģu gadījumā, kuru lielākais garums ir mazāks nekā 12 metri;</w:t>
      </w:r>
    </w:p>
    <w:p w14:paraId="58D69C26" w14:textId="77777777" w:rsidR="003075A0" w:rsidRPr="001D6573" w:rsidRDefault="003075A0" w:rsidP="003075A0">
      <w:pPr>
        <w:pStyle w:val="Text2"/>
        <w:rPr>
          <w:noProof/>
        </w:rPr>
      </w:pPr>
      <w:sdt>
        <w:sdtPr>
          <w:rPr>
            <w:noProof/>
          </w:rPr>
          <w:id w:val="-100466886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104660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C31377F" w14:textId="77777777" w:rsidR="003075A0" w:rsidRPr="001D6573" w:rsidRDefault="003075A0" w:rsidP="003075A0">
      <w:pPr>
        <w:pStyle w:val="Point1"/>
        <w:rPr>
          <w:rFonts w:eastAsia="Times New Roman"/>
          <w:noProof/>
          <w:szCs w:val="24"/>
        </w:rPr>
      </w:pPr>
      <w:r w:rsidRPr="008E5076">
        <w:rPr>
          <w:noProof/>
        </w:rPr>
        <w:t>(b)</w:t>
      </w:r>
      <w:r w:rsidRPr="008E5076">
        <w:rPr>
          <w:noProof/>
        </w:rPr>
        <w:tab/>
      </w:r>
      <w:r w:rsidRPr="001D6573">
        <w:rPr>
          <w:noProof/>
        </w:rPr>
        <w:t>lielāka par 50 % no kopējām attiecināmajām izmaksām tādu kuģu gadījumā, kuru lielākais garums ir 12 metri un vairāk, bet mazāk nekā 24 metri;</w:t>
      </w:r>
    </w:p>
    <w:p w14:paraId="472AC6DF" w14:textId="77777777" w:rsidR="003075A0" w:rsidRPr="001D6573" w:rsidRDefault="003075A0" w:rsidP="003075A0">
      <w:pPr>
        <w:pStyle w:val="Text2"/>
        <w:rPr>
          <w:noProof/>
        </w:rPr>
      </w:pPr>
      <w:sdt>
        <w:sdtPr>
          <w:rPr>
            <w:noProof/>
          </w:rPr>
          <w:id w:val="188452223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33862712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F1C3AA5" w14:textId="77777777" w:rsidR="003075A0" w:rsidRPr="001D6573" w:rsidRDefault="003075A0" w:rsidP="003075A0">
      <w:pPr>
        <w:pStyle w:val="Point1"/>
        <w:rPr>
          <w:rFonts w:eastAsia="Times New Roman"/>
          <w:noProof/>
          <w:szCs w:val="24"/>
        </w:rPr>
      </w:pPr>
      <w:r w:rsidRPr="008E5076">
        <w:rPr>
          <w:noProof/>
        </w:rPr>
        <w:t>(c)</w:t>
      </w:r>
      <w:r w:rsidRPr="008E5076">
        <w:rPr>
          <w:noProof/>
        </w:rPr>
        <w:tab/>
      </w:r>
      <w:r w:rsidRPr="001D6573">
        <w:rPr>
          <w:noProof/>
        </w:rPr>
        <w:t>lielāka par 25 % no kopējām attiecināmajām izmaksām tādu kuģu gadījumā, kuru lielākais garums ir 24 metri un vairāk.</w:t>
      </w:r>
    </w:p>
    <w:p w14:paraId="0902996C" w14:textId="77777777" w:rsidR="003075A0" w:rsidRPr="001D6573" w:rsidRDefault="003075A0" w:rsidP="003075A0">
      <w:pPr>
        <w:pStyle w:val="Text2"/>
        <w:rPr>
          <w:noProof/>
        </w:rPr>
      </w:pPr>
      <w:sdt>
        <w:sdtPr>
          <w:rPr>
            <w:noProof/>
          </w:rPr>
          <w:id w:val="-211566168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51280210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3C470AB" w14:textId="77777777" w:rsidR="003075A0" w:rsidRPr="001D6573" w:rsidRDefault="003075A0" w:rsidP="003075A0">
      <w:pPr>
        <w:pStyle w:val="ManualNumPar2"/>
        <w:rPr>
          <w:rFonts w:eastAsia="Times New Roman"/>
          <w:noProof/>
          <w:szCs w:val="24"/>
        </w:rPr>
      </w:pPr>
      <w:r w:rsidRPr="008E5076">
        <w:rPr>
          <w:noProof/>
        </w:rPr>
        <w:t>8.1.</w:t>
      </w:r>
      <w:r w:rsidRPr="008E5076">
        <w:rPr>
          <w:noProof/>
        </w:rPr>
        <w:tab/>
      </w:r>
      <w:r w:rsidRPr="001D6573">
        <w:rPr>
          <w:noProof/>
        </w:rPr>
        <w:t>Norādiet maksimālo atbalsta intensitāti, kas piemērojama saskaņā ar šo pasākumu.</w:t>
      </w:r>
    </w:p>
    <w:p w14:paraId="62231EF2" w14:textId="77777777" w:rsidR="003075A0" w:rsidRPr="001D6573" w:rsidRDefault="003075A0" w:rsidP="003075A0">
      <w:pPr>
        <w:pStyle w:val="Text1"/>
        <w:rPr>
          <w:noProof/>
        </w:rPr>
      </w:pPr>
      <w:r w:rsidRPr="001D6573">
        <w:rPr>
          <w:noProof/>
        </w:rPr>
        <w:t>……………………………………………………………………………………….</w:t>
      </w:r>
    </w:p>
    <w:p w14:paraId="7867070C" w14:textId="77777777" w:rsidR="003075A0" w:rsidRPr="001D6573" w:rsidRDefault="003075A0" w:rsidP="003075A0">
      <w:pPr>
        <w:pStyle w:val="ManualNumPar2"/>
        <w:rPr>
          <w:rFonts w:eastAsia="Times New Roman"/>
          <w:noProof/>
          <w:szCs w:val="24"/>
        </w:rPr>
      </w:pPr>
      <w:r w:rsidRPr="008E5076">
        <w:rPr>
          <w:noProof/>
        </w:rPr>
        <w:t>8.2.</w:t>
      </w:r>
      <w:r w:rsidRPr="008E5076">
        <w:rPr>
          <w:noProof/>
        </w:rPr>
        <w:tab/>
      </w:r>
      <w:r w:rsidRPr="001D6573">
        <w:rPr>
          <w:noProof/>
        </w:rPr>
        <w:t>Norādiet juridiskā pamata noteikumu (noteikumus), kas nosaka maksimālo atbalsta intensitāti, kas piemērojama saskaņā ar šo pasākumu.</w:t>
      </w:r>
    </w:p>
    <w:p w14:paraId="23864F19" w14:textId="77777777" w:rsidR="003075A0" w:rsidRPr="001D6573" w:rsidRDefault="003075A0" w:rsidP="003075A0">
      <w:pPr>
        <w:pStyle w:val="Text1"/>
        <w:rPr>
          <w:noProof/>
        </w:rPr>
      </w:pPr>
      <w:r w:rsidRPr="001D6573">
        <w:rPr>
          <w:noProof/>
        </w:rPr>
        <w:t>…………………………………………………………………………………….</w:t>
      </w:r>
    </w:p>
    <w:p w14:paraId="72952FBF" w14:textId="77777777" w:rsidR="003075A0" w:rsidRPr="001D6573" w:rsidRDefault="003075A0" w:rsidP="003075A0">
      <w:pPr>
        <w:pStyle w:val="ManualNumPar1"/>
        <w:rPr>
          <w:rFonts w:eastAsia="Times New Roman"/>
          <w:noProof/>
          <w:szCs w:val="24"/>
        </w:rPr>
      </w:pPr>
      <w:r w:rsidRPr="008E5076">
        <w:rPr>
          <w:noProof/>
        </w:rPr>
        <w:t>9.</w:t>
      </w:r>
      <w:r w:rsidRPr="008E5076">
        <w:rPr>
          <w:noProof/>
        </w:rPr>
        <w:tab/>
      </w:r>
      <w:r w:rsidRPr="001D6573">
        <w:rPr>
          <w:noProof/>
        </w:rPr>
        <w:t>Apstipriniet, ka ar atbalsta palīdzību iegādātam kuģim jābūt reģistrētam tālākajā reģionā vismaz 15 gadus no atbalsta piešķiršanas dienas un minētajā laikā visas tā nozvejas jāizkrauj tālākajā reģionā.</w:t>
      </w:r>
    </w:p>
    <w:p w14:paraId="60559F08" w14:textId="77777777" w:rsidR="003075A0" w:rsidRPr="001D6573" w:rsidRDefault="003075A0" w:rsidP="003075A0">
      <w:pPr>
        <w:pStyle w:val="Text1"/>
        <w:rPr>
          <w:noProof/>
        </w:rPr>
      </w:pPr>
      <w:sdt>
        <w:sdtPr>
          <w:rPr>
            <w:noProof/>
          </w:rPr>
          <w:id w:val="-158182532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43404165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FC2DE6E" w14:textId="77777777" w:rsidR="003075A0" w:rsidRPr="001D6573" w:rsidRDefault="003075A0" w:rsidP="003075A0">
      <w:pPr>
        <w:pStyle w:val="ManualNumPar2"/>
        <w:rPr>
          <w:rFonts w:eastAsia="Times New Roman"/>
          <w:noProof/>
          <w:szCs w:val="24"/>
        </w:rPr>
      </w:pPr>
      <w:r w:rsidRPr="008E5076">
        <w:rPr>
          <w:noProof/>
        </w:rPr>
        <w:t>9.1.</w:t>
      </w:r>
      <w:r w:rsidRPr="008E5076">
        <w:rPr>
          <w:noProof/>
        </w:rPr>
        <w:tab/>
      </w:r>
      <w:r w:rsidRPr="001D6573">
        <w:rPr>
          <w:noProof/>
        </w:rPr>
        <w:t>Apstipriniet, ka gadījumā, ja minētais nosacījums netiek izpildīts, atbalsts labuma guvējam uzņēmumam ir jāatmaksā tādā apjomā, kas ir samērīgs ar neatbilstības periodu vai apmēru.</w:t>
      </w:r>
    </w:p>
    <w:p w14:paraId="01DC0AB7" w14:textId="77777777" w:rsidR="003075A0" w:rsidRPr="001D6573" w:rsidRDefault="003075A0" w:rsidP="003075A0">
      <w:pPr>
        <w:pStyle w:val="Text1"/>
        <w:rPr>
          <w:noProof/>
        </w:rPr>
      </w:pPr>
      <w:sdt>
        <w:sdtPr>
          <w:rPr>
            <w:noProof/>
          </w:rPr>
          <w:id w:val="188953605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3988814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193BF68" w14:textId="77777777" w:rsidR="003075A0" w:rsidRPr="001D6573" w:rsidRDefault="003075A0" w:rsidP="003075A0">
      <w:pPr>
        <w:pStyle w:val="ManualNumPar2"/>
        <w:rPr>
          <w:rFonts w:eastAsia="Times New Roman"/>
          <w:noProof/>
          <w:szCs w:val="24"/>
        </w:rPr>
      </w:pPr>
      <w:r w:rsidRPr="008E5076">
        <w:rPr>
          <w:noProof/>
        </w:rPr>
        <w:t>9.2.</w:t>
      </w:r>
      <w:r w:rsidRPr="008E5076">
        <w:rPr>
          <w:noProof/>
        </w:rPr>
        <w:tab/>
      </w:r>
      <w:r w:rsidRPr="001D6573">
        <w:rPr>
          <w:noProof/>
        </w:rPr>
        <w:t>Ja atbilde ir “jā”, norādiet relevanto juridiskā pamata noteikumu (noteikumus).</w:t>
      </w:r>
    </w:p>
    <w:p w14:paraId="4C22EA13" w14:textId="77777777" w:rsidR="003075A0" w:rsidRPr="001D6573" w:rsidRDefault="003075A0" w:rsidP="003075A0">
      <w:pPr>
        <w:pStyle w:val="Text1"/>
        <w:rPr>
          <w:noProof/>
        </w:rPr>
      </w:pPr>
      <w:r w:rsidRPr="001D6573">
        <w:rPr>
          <w:noProof/>
        </w:rPr>
        <w:t>……………………………………………………………………………………….</w:t>
      </w:r>
    </w:p>
    <w:p w14:paraId="727ABE08" w14:textId="77777777" w:rsidR="003075A0" w:rsidRPr="001D6573" w:rsidRDefault="003075A0" w:rsidP="003075A0">
      <w:pPr>
        <w:pStyle w:val="ManualHeading4"/>
        <w:rPr>
          <w:noProof/>
        </w:rPr>
      </w:pPr>
      <w:r w:rsidRPr="001D6573">
        <w:rPr>
          <w:noProof/>
        </w:rPr>
        <w:t>CITA INFORMĀCIJA</w:t>
      </w:r>
    </w:p>
    <w:p w14:paraId="69D91EA8" w14:textId="77777777" w:rsidR="003075A0" w:rsidRPr="001D6573" w:rsidRDefault="003075A0" w:rsidP="003075A0">
      <w:pPr>
        <w:pStyle w:val="ManualNumPar1"/>
        <w:rPr>
          <w:rFonts w:eastAsia="Times New Roman"/>
          <w:noProof/>
          <w:szCs w:val="24"/>
        </w:rPr>
      </w:pPr>
      <w:r w:rsidRPr="008E5076">
        <w:rPr>
          <w:noProof/>
        </w:rPr>
        <w:t>10.</w:t>
      </w:r>
      <w:r w:rsidRPr="008E5076">
        <w:rPr>
          <w:noProof/>
        </w:rPr>
        <w:tab/>
      </w:r>
      <w:r w:rsidRPr="001D6573">
        <w:rPr>
          <w:noProof/>
        </w:rPr>
        <w:t>Norādiet jebkādu citu informāciju, ko uzskatāt par šīs Pamatnostādņu iedaļas aptvertā pasākuma novērtēšanai relevantu.</w:t>
      </w:r>
    </w:p>
    <w:p w14:paraId="497A06A5" w14:textId="77777777" w:rsidR="003075A0" w:rsidRPr="001D6573" w:rsidRDefault="003075A0" w:rsidP="003075A0">
      <w:pPr>
        <w:pStyle w:val="Text1"/>
        <w:rPr>
          <w:noProof/>
        </w:rPr>
      </w:pPr>
      <w:r w:rsidRPr="001D6573">
        <w:rPr>
          <w:noProof/>
        </w:rPr>
        <w:lastRenderedPageBreak/>
        <w:t>………………………………………………………………………………….</w:t>
      </w:r>
    </w:p>
    <w:p w14:paraId="5EBC72B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1D113" w14:textId="77777777" w:rsidR="003075A0" w:rsidRDefault="003075A0" w:rsidP="003075A0">
      <w:pPr>
        <w:spacing w:before="0" w:after="0"/>
      </w:pPr>
      <w:r>
        <w:separator/>
      </w:r>
    </w:p>
  </w:endnote>
  <w:endnote w:type="continuationSeparator" w:id="0">
    <w:p w14:paraId="39417860" w14:textId="77777777" w:rsidR="003075A0" w:rsidRDefault="003075A0" w:rsidP="003075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67898" w14:textId="77777777" w:rsidR="003075A0" w:rsidRDefault="003075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CDAE0" w14:textId="59E74DA4" w:rsidR="003075A0" w:rsidRDefault="003075A0" w:rsidP="003075A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6010D" w14:textId="77777777" w:rsidR="003075A0" w:rsidRDefault="00307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A3B5C" w14:textId="77777777" w:rsidR="003075A0" w:rsidRDefault="003075A0" w:rsidP="003075A0">
      <w:pPr>
        <w:spacing w:before="0" w:after="0"/>
      </w:pPr>
      <w:r>
        <w:separator/>
      </w:r>
    </w:p>
  </w:footnote>
  <w:footnote w:type="continuationSeparator" w:id="0">
    <w:p w14:paraId="006FDA75" w14:textId="77777777" w:rsidR="003075A0" w:rsidRDefault="003075A0" w:rsidP="003075A0">
      <w:pPr>
        <w:spacing w:before="0" w:after="0"/>
      </w:pPr>
      <w:r>
        <w:continuationSeparator/>
      </w:r>
    </w:p>
  </w:footnote>
  <w:footnote w:id="1">
    <w:p w14:paraId="695DCC31" w14:textId="77777777" w:rsidR="003075A0" w:rsidRPr="00504ACF" w:rsidRDefault="003075A0" w:rsidP="003075A0">
      <w:pPr>
        <w:pStyle w:val="FootnoteText"/>
      </w:pPr>
      <w:r>
        <w:rPr>
          <w:rStyle w:val="FootnoteReference"/>
        </w:rPr>
        <w:footnoteRef/>
      </w:r>
      <w:r>
        <w:tab/>
        <w:t>OV C 107, 23.3.2023., 1. lpp.</w:t>
      </w:r>
    </w:p>
  </w:footnote>
  <w:footnote w:id="2">
    <w:p w14:paraId="4E6F755A" w14:textId="77777777" w:rsidR="003075A0" w:rsidRPr="00376F0F" w:rsidRDefault="003075A0" w:rsidP="003075A0">
      <w:pPr>
        <w:pStyle w:val="FootnoteText"/>
      </w:pPr>
      <w:r>
        <w:rPr>
          <w:rStyle w:val="FootnoteReference"/>
        </w:rPr>
        <w:footnoteRef/>
      </w:r>
      <w:r>
        <w:tab/>
        <w:t>Eiropas Parlamenta un Padomes Regula (ES) Nr. 1380/2013 (2013. gada 11. decembris) par kopējo zivsaimniecības politiku un ar ko groza Padomes Regulas (EK) Nr. 1954/2003 un (EK) Nr. 1224/2009 un atceļ Padomes Regulas (EK) Nr. 2371/2002 un (EK) Nr. 639/2004 un Padomes Lēmumu 2004/585/EK (OV L 354, 28.12.2013., 22. lpp.).</w:t>
      </w:r>
    </w:p>
  </w:footnote>
  <w:footnote w:id="3">
    <w:p w14:paraId="24F5D9B6" w14:textId="77777777" w:rsidR="003075A0" w:rsidRPr="000345FA" w:rsidRDefault="003075A0" w:rsidP="003075A0">
      <w:pPr>
        <w:pStyle w:val="FootnoteText"/>
      </w:pPr>
      <w:r>
        <w:rPr>
          <w:rStyle w:val="FootnoteReference"/>
        </w:rPr>
        <w:footnoteRef/>
      </w:r>
      <w:r>
        <w:tab/>
        <w:t>Sk. Pamatnostādņu 225.–227. punktu, kuros aprakstīta N gada valsts ziņojuma sagatavošanas un Komisijas rīcības secība līdz N+1 gada 31. martam, kā arī atbalsta piešķiršanas periods.</w:t>
      </w:r>
    </w:p>
  </w:footnote>
  <w:footnote w:id="4">
    <w:p w14:paraId="06ADD0B2" w14:textId="77777777" w:rsidR="003075A0" w:rsidRPr="001A2686" w:rsidRDefault="003075A0" w:rsidP="003075A0">
      <w:pPr>
        <w:pStyle w:val="FootnoteText"/>
      </w:pPr>
      <w:r>
        <w:rPr>
          <w:rStyle w:val="FootnoteReference"/>
        </w:rPr>
        <w:footnoteRef/>
      </w:r>
      <w:r>
        <w:tab/>
        <w:t>Komisijas paziņojums Eiropas Parlamentam un Padomei “Zvejas kapacitātes un zvejas iespēju līdzsvara analīzes pamatnostādnes saskaņā ar 22. pantu Eiropas Parlamenta un Padomes Regulā (ES) Nr. 1380/2013 par kopējo zivsaimniecības politiku” (COM(2014) 545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3CF7" w14:textId="77777777" w:rsidR="003075A0" w:rsidRDefault="003075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1C3BE" w14:textId="77777777" w:rsidR="003075A0" w:rsidRDefault="003075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F528A" w14:textId="77777777" w:rsidR="003075A0" w:rsidRDefault="003075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075A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075A0"/>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6BA7519"/>
  <w15:chartTrackingRefBased/>
  <w15:docId w15:val="{707A7352-A5BA-4DD1-8335-ECAAC9528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5A0"/>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075A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075A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075A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075A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075A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75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75A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75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75A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075A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075A0"/>
    <w:rPr>
      <w:i/>
      <w:iCs/>
      <w:color w:val="365F91" w:themeColor="accent1" w:themeShade="BF"/>
    </w:rPr>
  </w:style>
  <w:style w:type="paragraph" w:styleId="IntenseQuote">
    <w:name w:val="Intense Quote"/>
    <w:basedOn w:val="Normal"/>
    <w:next w:val="Normal"/>
    <w:link w:val="IntenseQuoteChar"/>
    <w:uiPriority w:val="30"/>
    <w:qFormat/>
    <w:rsid w:val="003075A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075A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075A0"/>
    <w:rPr>
      <w:b/>
      <w:bCs/>
      <w:smallCaps/>
      <w:color w:val="365F91" w:themeColor="accent1" w:themeShade="BF"/>
      <w:spacing w:val="5"/>
    </w:rPr>
  </w:style>
  <w:style w:type="paragraph" w:styleId="Signature">
    <w:name w:val="Signature"/>
    <w:basedOn w:val="Normal"/>
    <w:link w:val="FootnoteReference"/>
    <w:uiPriority w:val="99"/>
    <w:rsid w:val="003075A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075A0"/>
    <w:rPr>
      <w:rFonts w:ascii="Times New Roman" w:hAnsi="Times New Roman" w:cs="Times New Roman"/>
      <w:kern w:val="0"/>
      <w:sz w:val="24"/>
      <w:lang w:val="lv-LV"/>
      <w14:ligatures w14:val="none"/>
    </w:rPr>
  </w:style>
  <w:style w:type="paragraph" w:customStyle="1" w:styleId="Text1">
    <w:name w:val="Text 1"/>
    <w:basedOn w:val="Normal"/>
    <w:rsid w:val="003075A0"/>
    <w:pPr>
      <w:ind w:left="850"/>
    </w:pPr>
  </w:style>
  <w:style w:type="paragraph" w:customStyle="1" w:styleId="Text2">
    <w:name w:val="Text 2"/>
    <w:basedOn w:val="Normal"/>
    <w:rsid w:val="003075A0"/>
    <w:pPr>
      <w:ind w:left="1417"/>
    </w:pPr>
  </w:style>
  <w:style w:type="paragraph" w:customStyle="1" w:styleId="Point1">
    <w:name w:val="Point 1"/>
    <w:basedOn w:val="Normal"/>
    <w:rsid w:val="003075A0"/>
    <w:pPr>
      <w:ind w:left="1417" w:hanging="567"/>
    </w:pPr>
  </w:style>
  <w:style w:type="paragraph" w:customStyle="1" w:styleId="Point0number">
    <w:name w:val="Point 0 (number)"/>
    <w:basedOn w:val="Normal"/>
    <w:rsid w:val="003075A0"/>
    <w:pPr>
      <w:numPr>
        <w:numId w:val="45"/>
      </w:numPr>
    </w:pPr>
  </w:style>
  <w:style w:type="paragraph" w:customStyle="1" w:styleId="Point1number">
    <w:name w:val="Point 1 (number)"/>
    <w:basedOn w:val="Normal"/>
    <w:rsid w:val="003075A0"/>
    <w:pPr>
      <w:numPr>
        <w:ilvl w:val="2"/>
        <w:numId w:val="45"/>
      </w:numPr>
    </w:pPr>
  </w:style>
  <w:style w:type="paragraph" w:customStyle="1" w:styleId="Point2number">
    <w:name w:val="Point 2 (number)"/>
    <w:basedOn w:val="Normal"/>
    <w:rsid w:val="003075A0"/>
    <w:pPr>
      <w:numPr>
        <w:ilvl w:val="4"/>
        <w:numId w:val="45"/>
      </w:numPr>
    </w:pPr>
  </w:style>
  <w:style w:type="paragraph" w:customStyle="1" w:styleId="Point3number">
    <w:name w:val="Point 3 (number)"/>
    <w:basedOn w:val="Normal"/>
    <w:rsid w:val="003075A0"/>
    <w:pPr>
      <w:numPr>
        <w:ilvl w:val="6"/>
        <w:numId w:val="45"/>
      </w:numPr>
    </w:pPr>
  </w:style>
  <w:style w:type="paragraph" w:customStyle="1" w:styleId="Point0letter">
    <w:name w:val="Point 0 (letter)"/>
    <w:basedOn w:val="Normal"/>
    <w:rsid w:val="003075A0"/>
    <w:pPr>
      <w:numPr>
        <w:ilvl w:val="1"/>
        <w:numId w:val="45"/>
      </w:numPr>
    </w:pPr>
  </w:style>
  <w:style w:type="paragraph" w:customStyle="1" w:styleId="Point1letter">
    <w:name w:val="Point 1 (letter)"/>
    <w:basedOn w:val="Normal"/>
    <w:rsid w:val="003075A0"/>
    <w:pPr>
      <w:numPr>
        <w:ilvl w:val="3"/>
        <w:numId w:val="45"/>
      </w:numPr>
    </w:pPr>
  </w:style>
  <w:style w:type="paragraph" w:customStyle="1" w:styleId="Point2letter">
    <w:name w:val="Point 2 (letter)"/>
    <w:basedOn w:val="Normal"/>
    <w:rsid w:val="003075A0"/>
    <w:pPr>
      <w:numPr>
        <w:ilvl w:val="5"/>
        <w:numId w:val="45"/>
      </w:numPr>
    </w:pPr>
  </w:style>
  <w:style w:type="paragraph" w:customStyle="1" w:styleId="Point3letter">
    <w:name w:val="Point 3 (letter)"/>
    <w:basedOn w:val="Normal"/>
    <w:rsid w:val="003075A0"/>
    <w:pPr>
      <w:numPr>
        <w:ilvl w:val="7"/>
        <w:numId w:val="45"/>
      </w:numPr>
    </w:pPr>
  </w:style>
  <w:style w:type="paragraph" w:customStyle="1" w:styleId="Point4letter">
    <w:name w:val="Point 4 (letter)"/>
    <w:basedOn w:val="Normal"/>
    <w:rsid w:val="003075A0"/>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756</Words>
  <Characters>5329</Characters>
  <DocSecurity>0</DocSecurity>
  <Lines>100</Lines>
  <Paragraphs>60</Paragraphs>
  <ScaleCrop>false</ScaleCrop>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2025-05-26T09:16:00Z</dcterms:created>
  <dcterms:modified xsi:type="dcterms:W3CDTF">2025-05-26T09:17:00Z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2025-05-26T09:17:11Z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5d821484-5744-474c-af82-ea4cbdf99a64</vt:lpwstr>
  </property>
  <property fmtid="{D5CDD505-2E9C-101B-9397-08002B2CF9AE}" pid="8" name="MSIP_Label_6bd9ddd1-4d20-43f6-abfa-fc3c07406f94_ContentBits">
    <vt:lpwstr>0</vt:lpwstr>
  </property>
</Properties>
</file>