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761D2" w14:textId="77777777" w:rsidR="00606C2D" w:rsidRPr="0026110A" w:rsidRDefault="00606C2D" w:rsidP="00606C2D">
      <w:pPr>
        <w:pStyle w:val="ManualHeading1"/>
        <w:rPr>
          <w:noProof/>
        </w:rPr>
      </w:pPr>
      <w:r w:rsidRPr="0026110A">
        <w:rPr>
          <w:noProof/>
        </w:rPr>
        <w:t>2.1. PAPILDOMOS INFORMACIJOS APIE VEIKLOS PAGALBĄ ATOKIAUSIUOSE REGIONUOSE PATEIKIMO FORMA</w:t>
      </w:r>
    </w:p>
    <w:p w14:paraId="64806BE9" w14:textId="77777777" w:rsidR="00606C2D" w:rsidRPr="0026110A" w:rsidRDefault="00606C2D" w:rsidP="00606C2D">
      <w:pPr>
        <w:rPr>
          <w:i/>
          <w:iCs/>
          <w:noProof/>
        </w:rPr>
      </w:pPr>
      <w:r w:rsidRPr="0026110A">
        <w:rPr>
          <w:i/>
          <w:noProof/>
        </w:rPr>
        <w:t>Šią formą valstybės narės turi naudoti pranešdamos apie bet kokią veiklos pagalbą atokiausiuose regionuose, aprašytą Valstybės pagalbos žvejybos ir akvakultūros sektoriuje gairių</w:t>
      </w:r>
      <w:r w:rsidRPr="0026110A">
        <w:rPr>
          <w:rStyle w:val="FootnoteReference"/>
          <w:rFonts w:eastAsia="Times New Roman"/>
          <w:i/>
          <w:iCs/>
          <w:noProof/>
          <w:szCs w:val="24"/>
          <w:lang w:eastAsia="en-GB"/>
        </w:rPr>
        <w:footnoteReference w:id="1"/>
      </w:r>
      <w:r w:rsidRPr="0026110A">
        <w:rPr>
          <w:i/>
          <w:noProof/>
        </w:rPr>
        <w:t xml:space="preserve"> (toliau – gairės) II dalies 2 skyriaus 2.1 skirsnyje. Atkreipkite dėmesį, kad pagal gairių 216 punktą pagalba neturi viršyti to, kas būtina siekiant sumažinti atokiausiems regionams būdingas kliūtis, atsirandančias dėl jų izoliuotumo, nuošalumo ir labai didelio atokumo.</w:t>
      </w:r>
    </w:p>
    <w:p w14:paraId="2DB8B372" w14:textId="77777777" w:rsidR="00606C2D" w:rsidRPr="0026110A" w:rsidRDefault="00606C2D" w:rsidP="00606C2D">
      <w:pPr>
        <w:pStyle w:val="ManualNumPar1"/>
        <w:rPr>
          <w:rFonts w:eastAsia="Times New Roman"/>
          <w:noProof/>
          <w:szCs w:val="24"/>
        </w:rPr>
      </w:pPr>
      <w:r w:rsidRPr="00D7551F">
        <w:rPr>
          <w:noProof/>
        </w:rPr>
        <w:t>1.</w:t>
      </w:r>
      <w:r w:rsidRPr="00D7551F">
        <w:rPr>
          <w:noProof/>
        </w:rPr>
        <w:tab/>
      </w:r>
      <w:r w:rsidRPr="0026110A">
        <w:rPr>
          <w:noProof/>
        </w:rPr>
        <w:t>Nurodykite Sutarties 349 straipsnyje nurodytą (-us) atokiausią (-ius) regioną (-us), kuriam (-iems) taikoma ši priemonė.</w:t>
      </w:r>
    </w:p>
    <w:p w14:paraId="21C8F92D" w14:textId="77777777" w:rsidR="00606C2D" w:rsidRPr="0026110A" w:rsidRDefault="00606C2D" w:rsidP="00606C2D">
      <w:pPr>
        <w:pStyle w:val="Text1"/>
        <w:rPr>
          <w:noProof/>
        </w:rPr>
      </w:pPr>
      <w:r w:rsidRPr="0026110A">
        <w:rPr>
          <w:noProof/>
        </w:rPr>
        <w:t>……………………………………………………………………………….</w:t>
      </w:r>
    </w:p>
    <w:p w14:paraId="360C083E" w14:textId="77777777" w:rsidR="00606C2D" w:rsidRPr="0026110A" w:rsidRDefault="00606C2D" w:rsidP="00606C2D">
      <w:pPr>
        <w:pStyle w:val="ManualNumPar1"/>
        <w:rPr>
          <w:rFonts w:eastAsia="Times New Roman"/>
          <w:noProof/>
        </w:rPr>
      </w:pPr>
      <w:r w:rsidRPr="00D7551F">
        <w:rPr>
          <w:noProof/>
        </w:rPr>
        <w:t>2.</w:t>
      </w:r>
      <w:r w:rsidRPr="00D7551F">
        <w:rPr>
          <w:noProof/>
        </w:rPr>
        <w:tab/>
      </w:r>
      <w:r w:rsidRPr="0026110A">
        <w:rPr>
          <w:noProof/>
        </w:rPr>
        <w:t>Išsamiai apibūdinkite atitinkamam (-iems) atokiausiam (-iems) regionui (-ams) būdingas kliūtis (atsirandančias dėl jų izoliuotumo, nuošalumo ir labai didelio atokumo) ir paaiškinkite, kaip priemone su jomis kovojama.</w:t>
      </w:r>
    </w:p>
    <w:p w14:paraId="06A504A6" w14:textId="77777777" w:rsidR="00606C2D" w:rsidRPr="0026110A" w:rsidRDefault="00606C2D" w:rsidP="00606C2D">
      <w:pPr>
        <w:pStyle w:val="Text1"/>
        <w:rPr>
          <w:noProof/>
        </w:rPr>
      </w:pPr>
      <w:r w:rsidRPr="0026110A">
        <w:rPr>
          <w:noProof/>
        </w:rPr>
        <w:t>………………………………………………………………………………….</w:t>
      </w:r>
    </w:p>
    <w:p w14:paraId="03B00AC8" w14:textId="77777777" w:rsidR="00606C2D" w:rsidRPr="0026110A" w:rsidRDefault="00606C2D" w:rsidP="00606C2D">
      <w:pPr>
        <w:pStyle w:val="ManualNumPar1"/>
        <w:rPr>
          <w:rFonts w:eastAsia="Times New Roman"/>
          <w:noProof/>
          <w:szCs w:val="24"/>
        </w:rPr>
      </w:pPr>
      <w:r w:rsidRPr="00D7551F">
        <w:rPr>
          <w:noProof/>
        </w:rPr>
        <w:t>3.</w:t>
      </w:r>
      <w:r w:rsidRPr="00D7551F">
        <w:rPr>
          <w:noProof/>
        </w:rPr>
        <w:tab/>
      </w:r>
      <w:r w:rsidRPr="0026110A">
        <w:rPr>
          <w:noProof/>
        </w:rPr>
        <w:t>Pateikite išsamų teikiamos veiklos pagalbos rūšies aprašymą ir išvardykite pagal priemonę tinkamas finansuoti išlaidas.</w:t>
      </w:r>
    </w:p>
    <w:p w14:paraId="139A5028" w14:textId="77777777" w:rsidR="00606C2D" w:rsidRPr="0026110A" w:rsidRDefault="00606C2D" w:rsidP="00606C2D">
      <w:pPr>
        <w:pStyle w:val="Text1"/>
        <w:rPr>
          <w:noProof/>
        </w:rPr>
      </w:pPr>
      <w:r w:rsidRPr="0026110A">
        <w:rPr>
          <w:noProof/>
        </w:rPr>
        <w:t>…………………………………………………………………………………….</w:t>
      </w:r>
    </w:p>
    <w:p w14:paraId="2201DC89" w14:textId="77777777" w:rsidR="00606C2D" w:rsidRPr="0026110A" w:rsidRDefault="00606C2D" w:rsidP="00606C2D">
      <w:pPr>
        <w:pStyle w:val="ManualNumPar1"/>
        <w:rPr>
          <w:rFonts w:eastAsia="Times New Roman"/>
          <w:noProof/>
          <w:szCs w:val="24"/>
        </w:rPr>
      </w:pPr>
      <w:r w:rsidRPr="00D7551F">
        <w:rPr>
          <w:noProof/>
        </w:rPr>
        <w:t>4.</w:t>
      </w:r>
      <w:r w:rsidRPr="00D7551F">
        <w:rPr>
          <w:noProof/>
        </w:rPr>
        <w:tab/>
      </w:r>
      <w:r w:rsidRPr="0026110A">
        <w:rPr>
          <w:noProof/>
        </w:rPr>
        <w:t>Patvirtinkite, kad pagal priemonę numatoma, jog tinkamos finansuoti išlaidos turi būti patirtos dėl atitinkamiems atokiausiems regionams būdingų kliūčių.</w:t>
      </w:r>
    </w:p>
    <w:p w14:paraId="3C762A9E" w14:textId="77777777" w:rsidR="00606C2D" w:rsidRPr="0026110A" w:rsidRDefault="00606C2D" w:rsidP="00606C2D">
      <w:pPr>
        <w:pStyle w:val="Text1"/>
        <w:rPr>
          <w:noProof/>
        </w:rPr>
      </w:pPr>
      <w:sdt>
        <w:sdtPr>
          <w:rPr>
            <w:noProof/>
          </w:rPr>
          <w:id w:val="175971923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5614513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C4DC7BE" w14:textId="77777777" w:rsidR="00606C2D" w:rsidRPr="0026110A" w:rsidRDefault="00606C2D" w:rsidP="00606C2D">
      <w:pPr>
        <w:pStyle w:val="ManualNumPar2"/>
        <w:rPr>
          <w:rFonts w:eastAsia="Times New Roman"/>
          <w:noProof/>
          <w:szCs w:val="24"/>
        </w:rPr>
      </w:pPr>
      <w:r w:rsidRPr="00D7551F">
        <w:rPr>
          <w:noProof/>
        </w:rPr>
        <w:t>4.1.</w:t>
      </w:r>
      <w:r w:rsidRPr="00D7551F">
        <w:rPr>
          <w:noProof/>
        </w:rPr>
        <w:tab/>
      </w:r>
      <w:r w:rsidRPr="0026110A">
        <w:rPr>
          <w:noProof/>
        </w:rPr>
        <w:t>Jei atsakėte teigiamai, nurodykite atitinkamą (-as) teisinio pagrindo nuostatą (-as).</w:t>
      </w:r>
    </w:p>
    <w:p w14:paraId="6EF47D6A" w14:textId="77777777" w:rsidR="00606C2D" w:rsidRPr="0026110A" w:rsidRDefault="00606C2D" w:rsidP="00606C2D">
      <w:pPr>
        <w:pStyle w:val="Text1"/>
        <w:rPr>
          <w:noProof/>
        </w:rPr>
      </w:pPr>
      <w:r w:rsidRPr="0026110A">
        <w:rPr>
          <w:noProof/>
        </w:rPr>
        <w:t>………………………………………………………………………………….</w:t>
      </w:r>
    </w:p>
    <w:p w14:paraId="347C50F5" w14:textId="77777777" w:rsidR="00606C2D" w:rsidRPr="0026110A" w:rsidRDefault="00606C2D" w:rsidP="00606C2D">
      <w:pPr>
        <w:pStyle w:val="ManualNumPar1"/>
        <w:rPr>
          <w:noProof/>
        </w:rPr>
      </w:pPr>
      <w:r w:rsidRPr="00D7551F">
        <w:rPr>
          <w:noProof/>
        </w:rPr>
        <w:t>5.</w:t>
      </w:r>
      <w:r w:rsidRPr="00D7551F">
        <w:rPr>
          <w:noProof/>
        </w:rPr>
        <w:tab/>
      </w:r>
      <w:r w:rsidRPr="0026110A">
        <w:rPr>
          <w:noProof/>
        </w:rPr>
        <w:t xml:space="preserve">Patvirtinkite, kad pagal priemonę numatoma, jog teikiama pagalba neturi viršyti to, kas būtina siekiant sumažinti atokiausiems regionams būdingas kliūtis. </w:t>
      </w:r>
    </w:p>
    <w:p w14:paraId="203A8DD0" w14:textId="77777777" w:rsidR="00606C2D" w:rsidRPr="0026110A" w:rsidRDefault="00606C2D" w:rsidP="00606C2D">
      <w:pPr>
        <w:pStyle w:val="Text1"/>
        <w:rPr>
          <w:noProof/>
        </w:rPr>
      </w:pPr>
      <w:sdt>
        <w:sdtPr>
          <w:rPr>
            <w:noProof/>
          </w:rPr>
          <w:id w:val="144173157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4833180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15F30FE" w14:textId="77777777" w:rsidR="00606C2D" w:rsidRPr="0026110A" w:rsidRDefault="00606C2D" w:rsidP="00606C2D">
      <w:pPr>
        <w:pStyle w:val="ManualNumPar2"/>
        <w:rPr>
          <w:rFonts w:eastAsia="Times New Roman"/>
          <w:noProof/>
          <w:szCs w:val="24"/>
        </w:rPr>
      </w:pPr>
      <w:r w:rsidRPr="00D7551F">
        <w:rPr>
          <w:noProof/>
        </w:rPr>
        <w:t>5.1.</w:t>
      </w:r>
      <w:r w:rsidRPr="00D7551F">
        <w:rPr>
          <w:noProof/>
        </w:rPr>
        <w:tab/>
      </w:r>
      <w:r w:rsidRPr="0026110A">
        <w:rPr>
          <w:noProof/>
        </w:rPr>
        <w:t>Jei atsakėte teigiamai, nurodykite atitinkamą (-as) teisinio pagrindo nuostatą (-as).</w:t>
      </w:r>
    </w:p>
    <w:p w14:paraId="3BE73E3D" w14:textId="77777777" w:rsidR="00606C2D" w:rsidRPr="0026110A" w:rsidRDefault="00606C2D" w:rsidP="00606C2D">
      <w:pPr>
        <w:pStyle w:val="Text1"/>
        <w:rPr>
          <w:noProof/>
        </w:rPr>
      </w:pPr>
      <w:r w:rsidRPr="0026110A">
        <w:rPr>
          <w:noProof/>
        </w:rPr>
        <w:t>………………………………………………………………………………….</w:t>
      </w:r>
    </w:p>
    <w:p w14:paraId="314B8C52" w14:textId="77777777" w:rsidR="00606C2D" w:rsidRPr="0026110A" w:rsidRDefault="00606C2D" w:rsidP="00606C2D">
      <w:pPr>
        <w:pStyle w:val="ManualNumPar1"/>
        <w:rPr>
          <w:noProof/>
        </w:rPr>
      </w:pPr>
      <w:r w:rsidRPr="00D7551F">
        <w:rPr>
          <w:noProof/>
        </w:rPr>
        <w:t>6.</w:t>
      </w:r>
      <w:r w:rsidRPr="00D7551F">
        <w:rPr>
          <w:noProof/>
        </w:rPr>
        <w:tab/>
      </w:r>
      <w:r w:rsidRPr="0026110A">
        <w:rPr>
          <w:noProof/>
        </w:rPr>
        <w:t>Patvirtinkite, kad pagal priemonę numatoma, jog tinkamos finansuoti išlaidos turi būti apskaičiuojamos pagal Komisijos deleguotajame reglamente (ES) 2021/1972</w:t>
      </w:r>
      <w:r w:rsidRPr="0026110A">
        <w:rPr>
          <w:rStyle w:val="FootnoteReference"/>
          <w:rFonts w:eastAsia="Times New Roman"/>
          <w:noProof/>
          <w:szCs w:val="24"/>
          <w:lang w:eastAsia="en-GB"/>
        </w:rPr>
        <w:footnoteReference w:id="2"/>
      </w:r>
      <w:r w:rsidRPr="0026110A">
        <w:rPr>
          <w:noProof/>
        </w:rPr>
        <w:t xml:space="preserve"> nustatytus kriterijus.</w:t>
      </w:r>
    </w:p>
    <w:p w14:paraId="3A52E2C8" w14:textId="77777777" w:rsidR="00606C2D" w:rsidRPr="0026110A" w:rsidRDefault="00606C2D" w:rsidP="00606C2D">
      <w:pPr>
        <w:pStyle w:val="Text1"/>
        <w:rPr>
          <w:noProof/>
        </w:rPr>
      </w:pPr>
      <w:sdt>
        <w:sdtPr>
          <w:rPr>
            <w:noProof/>
          </w:rPr>
          <w:id w:val="2598994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1293504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8D2E6F4" w14:textId="77777777" w:rsidR="00606C2D" w:rsidRPr="0026110A" w:rsidRDefault="00606C2D" w:rsidP="00606C2D">
      <w:pPr>
        <w:pStyle w:val="ManualNumPar2"/>
        <w:rPr>
          <w:noProof/>
        </w:rPr>
      </w:pPr>
      <w:r w:rsidRPr="00D7551F">
        <w:rPr>
          <w:noProof/>
        </w:rPr>
        <w:t>6.1.</w:t>
      </w:r>
      <w:r w:rsidRPr="00D7551F">
        <w:rPr>
          <w:noProof/>
        </w:rPr>
        <w:tab/>
      </w:r>
      <w:r w:rsidRPr="0026110A">
        <w:rPr>
          <w:noProof/>
        </w:rPr>
        <w:t>Jei atsakėte teigiamai, nurodykite atitinkamą (-as) teisinio pagrindo nuostatą (-as).</w:t>
      </w:r>
    </w:p>
    <w:p w14:paraId="6DF2DF60" w14:textId="77777777" w:rsidR="00606C2D" w:rsidRPr="0026110A" w:rsidRDefault="00606C2D" w:rsidP="00606C2D">
      <w:pPr>
        <w:pStyle w:val="Text1"/>
        <w:rPr>
          <w:noProof/>
        </w:rPr>
      </w:pPr>
      <w:r w:rsidRPr="0026110A">
        <w:rPr>
          <w:noProof/>
        </w:rPr>
        <w:lastRenderedPageBreak/>
        <w:t>…………………………………………………………………………….</w:t>
      </w:r>
    </w:p>
    <w:p w14:paraId="197063AF" w14:textId="77777777" w:rsidR="00606C2D" w:rsidRPr="0026110A" w:rsidRDefault="00606C2D" w:rsidP="00606C2D">
      <w:pPr>
        <w:pStyle w:val="ManualNumPar1"/>
        <w:rPr>
          <w:rFonts w:eastAsia="Times New Roman"/>
          <w:noProof/>
          <w:szCs w:val="24"/>
        </w:rPr>
      </w:pPr>
      <w:r w:rsidRPr="00D7551F">
        <w:rPr>
          <w:noProof/>
        </w:rPr>
        <w:t>7.</w:t>
      </w:r>
      <w:r w:rsidRPr="00D7551F">
        <w:rPr>
          <w:noProof/>
        </w:rPr>
        <w:tab/>
      </w:r>
      <w:r w:rsidRPr="0026110A">
        <w:rPr>
          <w:noProof/>
        </w:rPr>
        <w:t>Išsamiai apibūdinkite pagal priemonę taikomą skaičiavimo metodą.</w:t>
      </w:r>
    </w:p>
    <w:p w14:paraId="07ACE328" w14:textId="77777777" w:rsidR="00606C2D" w:rsidRPr="0026110A" w:rsidRDefault="00606C2D" w:rsidP="00606C2D">
      <w:pPr>
        <w:pStyle w:val="Text1"/>
        <w:rPr>
          <w:noProof/>
        </w:rPr>
      </w:pPr>
      <w:r w:rsidRPr="0026110A">
        <w:rPr>
          <w:noProof/>
        </w:rPr>
        <w:t>……………………………………………………………………………….</w:t>
      </w:r>
    </w:p>
    <w:p w14:paraId="0E9319F3" w14:textId="77777777" w:rsidR="00606C2D" w:rsidRPr="0026110A" w:rsidRDefault="00606C2D" w:rsidP="00606C2D">
      <w:pPr>
        <w:pStyle w:val="ManualNumPar1"/>
        <w:rPr>
          <w:noProof/>
        </w:rPr>
      </w:pPr>
      <w:bookmarkStart w:id="0" w:name="_Ref127286747"/>
      <w:r w:rsidRPr="00D7551F">
        <w:rPr>
          <w:noProof/>
        </w:rPr>
        <w:t>8.</w:t>
      </w:r>
      <w:r w:rsidRPr="00D7551F">
        <w:rPr>
          <w:noProof/>
        </w:rPr>
        <w:tab/>
      </w:r>
      <w:r w:rsidRPr="0026110A">
        <w:rPr>
          <w:noProof/>
        </w:rPr>
        <w:t>Patvirtinkite, kad siekiant išvengti kompensacijos permokų, pagal priemonę atsižvelgiama į kitas viešosios intervencijos rūšis, įskaitant (jei taikoma) papildomų išlaidų, kurias ūkio subjektai patiria žvejodami, augindami, perdirbdami ir parduodami tam tikrus žvejybos ir akvakultūros produktus iš atokiausių regionų, kompensavimą, kaip nurodyta Reglamento (ES) 2021/1139 24 ir 35–37 straipsniuose.</w:t>
      </w:r>
      <w:bookmarkEnd w:id="0"/>
    </w:p>
    <w:p w14:paraId="3C573D65" w14:textId="77777777" w:rsidR="00606C2D" w:rsidRPr="0026110A" w:rsidRDefault="00606C2D" w:rsidP="00606C2D">
      <w:pPr>
        <w:pStyle w:val="Text1"/>
        <w:rPr>
          <w:noProof/>
        </w:rPr>
      </w:pPr>
      <w:sdt>
        <w:sdtPr>
          <w:rPr>
            <w:noProof/>
          </w:rPr>
          <w:id w:val="-141362095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55247036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9DB156B" w14:textId="77777777" w:rsidR="00606C2D" w:rsidRPr="0026110A" w:rsidRDefault="00606C2D" w:rsidP="00606C2D">
      <w:pPr>
        <w:pStyle w:val="ManualNumPar2"/>
        <w:rPr>
          <w:rFonts w:eastAsia="Times New Roman"/>
          <w:bCs/>
          <w:noProof/>
          <w:szCs w:val="24"/>
        </w:rPr>
      </w:pPr>
      <w:r w:rsidRPr="00D7551F">
        <w:rPr>
          <w:noProof/>
        </w:rPr>
        <w:t>8.1.</w:t>
      </w:r>
      <w:r w:rsidRPr="00D7551F">
        <w:rPr>
          <w:noProof/>
        </w:rPr>
        <w:tab/>
      </w:r>
      <w:r w:rsidRPr="0026110A">
        <w:rPr>
          <w:noProof/>
        </w:rPr>
        <w:t>Jei atsakėte teigiamai, aprašykite kontrolės mechanizmus, kuriais siekiama išvengti kompensacijos permokų.</w:t>
      </w:r>
    </w:p>
    <w:p w14:paraId="64D19FE2" w14:textId="77777777" w:rsidR="00606C2D" w:rsidRPr="0026110A" w:rsidRDefault="00606C2D" w:rsidP="00606C2D">
      <w:pPr>
        <w:pStyle w:val="Text1"/>
        <w:rPr>
          <w:noProof/>
        </w:rPr>
      </w:pPr>
      <w:r w:rsidRPr="0026110A">
        <w:rPr>
          <w:noProof/>
        </w:rPr>
        <w:t>……………………………………………………………………………………….</w:t>
      </w:r>
    </w:p>
    <w:p w14:paraId="58EF7E3C" w14:textId="77777777" w:rsidR="00606C2D" w:rsidRPr="0026110A" w:rsidRDefault="00606C2D" w:rsidP="00606C2D">
      <w:pPr>
        <w:pStyle w:val="ManualNumPar2"/>
        <w:rPr>
          <w:rFonts w:eastAsia="Times New Roman"/>
          <w:noProof/>
          <w:szCs w:val="24"/>
        </w:rPr>
      </w:pPr>
      <w:r w:rsidRPr="00D7551F">
        <w:rPr>
          <w:noProof/>
        </w:rPr>
        <w:t>8.2.</w:t>
      </w:r>
      <w:r w:rsidRPr="00D7551F">
        <w:rPr>
          <w:noProof/>
        </w:rPr>
        <w:tab/>
      </w:r>
      <w:r w:rsidRPr="0026110A">
        <w:rPr>
          <w:noProof/>
        </w:rPr>
        <w:t>Jei atsakėte teigiamai, nurodykite atitinkamą (-as) teisinio pagrindo nuostatą (-as).</w:t>
      </w:r>
    </w:p>
    <w:p w14:paraId="76CABB87" w14:textId="77777777" w:rsidR="00606C2D" w:rsidRPr="0026110A" w:rsidRDefault="00606C2D" w:rsidP="00606C2D">
      <w:pPr>
        <w:pStyle w:val="Text1"/>
        <w:rPr>
          <w:noProof/>
        </w:rPr>
      </w:pPr>
      <w:r w:rsidRPr="0026110A">
        <w:rPr>
          <w:noProof/>
        </w:rPr>
        <w:t>………………………………………………………………………………….</w:t>
      </w:r>
    </w:p>
    <w:p w14:paraId="5A893449" w14:textId="77777777" w:rsidR="00606C2D" w:rsidRPr="0026110A" w:rsidRDefault="00606C2D" w:rsidP="00606C2D">
      <w:pPr>
        <w:pStyle w:val="ManualNumPar1"/>
        <w:rPr>
          <w:rFonts w:eastAsia="Times New Roman"/>
          <w:noProof/>
          <w:szCs w:val="24"/>
        </w:rPr>
      </w:pPr>
      <w:r w:rsidRPr="00D7551F">
        <w:rPr>
          <w:noProof/>
        </w:rPr>
        <w:t>9.</w:t>
      </w:r>
      <w:r w:rsidRPr="00D7551F">
        <w:rPr>
          <w:noProof/>
        </w:rPr>
        <w:tab/>
      </w:r>
      <w:r w:rsidRPr="0026110A">
        <w:rPr>
          <w:noProof/>
        </w:rPr>
        <w:t>Patvirtinkite, kad pagal priemonę numatoma, jog pagalba ir bet kokios kitos pagalbą gaunančios įmonės gaunamos išmokos, kuriomis kompensuojamos tokios pačios tinkamos finansuoti išlaidos, neturi viršyti 100 % tinkamų finansuoti išlaidų.</w:t>
      </w:r>
    </w:p>
    <w:p w14:paraId="5CA7B34D" w14:textId="77777777" w:rsidR="00606C2D" w:rsidRPr="0026110A" w:rsidRDefault="00606C2D" w:rsidP="00606C2D">
      <w:pPr>
        <w:pStyle w:val="Text1"/>
        <w:rPr>
          <w:noProof/>
        </w:rPr>
      </w:pPr>
      <w:sdt>
        <w:sdtPr>
          <w:rPr>
            <w:noProof/>
          </w:rPr>
          <w:id w:val="49646345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4379900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896888F" w14:textId="77777777" w:rsidR="00606C2D" w:rsidRPr="0026110A" w:rsidRDefault="00606C2D" w:rsidP="00606C2D">
      <w:pPr>
        <w:pStyle w:val="ManualNumPar2"/>
        <w:rPr>
          <w:noProof/>
        </w:rPr>
      </w:pPr>
      <w:r w:rsidRPr="00D7551F">
        <w:rPr>
          <w:noProof/>
        </w:rPr>
        <w:t>9.1.</w:t>
      </w:r>
      <w:r w:rsidRPr="00D7551F">
        <w:rPr>
          <w:noProof/>
        </w:rPr>
        <w:tab/>
      </w:r>
      <w:r w:rsidRPr="0026110A">
        <w:rPr>
          <w:noProof/>
        </w:rPr>
        <w:t>Nurodykite pagal šią priemonę taikytiną didžiausią pagalbos intensyvumą.</w:t>
      </w:r>
    </w:p>
    <w:p w14:paraId="3201ABE5" w14:textId="77777777" w:rsidR="00606C2D" w:rsidRPr="0026110A" w:rsidRDefault="00606C2D" w:rsidP="00606C2D">
      <w:pPr>
        <w:pStyle w:val="Text1"/>
        <w:rPr>
          <w:noProof/>
        </w:rPr>
      </w:pPr>
      <w:r w:rsidRPr="0026110A">
        <w:rPr>
          <w:noProof/>
        </w:rPr>
        <w:t>………………………………………………………………………………….</w:t>
      </w:r>
    </w:p>
    <w:p w14:paraId="052C30C9" w14:textId="77777777" w:rsidR="00606C2D" w:rsidRPr="0026110A" w:rsidRDefault="00606C2D" w:rsidP="00606C2D">
      <w:pPr>
        <w:pStyle w:val="ManualNumPar2"/>
        <w:rPr>
          <w:rFonts w:eastAsia="Times New Roman"/>
          <w:noProof/>
          <w:szCs w:val="24"/>
        </w:rPr>
      </w:pPr>
      <w:r w:rsidRPr="00D7551F">
        <w:rPr>
          <w:noProof/>
        </w:rPr>
        <w:t>9.2.</w:t>
      </w:r>
      <w:r w:rsidRPr="00D7551F">
        <w:rPr>
          <w:noProof/>
        </w:rPr>
        <w:tab/>
      </w:r>
      <w:r w:rsidRPr="0026110A">
        <w:rPr>
          <w:noProof/>
        </w:rPr>
        <w:t>Nurodykite teisinio pagrindo nuostatą (-as), kuria (-iomis) nustatoma 100 % riba ir didžiausias pagal šią priemonę teikiamos pagalbos intensyvumas.</w:t>
      </w:r>
    </w:p>
    <w:p w14:paraId="0B58322A" w14:textId="77777777" w:rsidR="00606C2D" w:rsidRPr="0026110A" w:rsidRDefault="00606C2D" w:rsidP="00606C2D">
      <w:pPr>
        <w:pStyle w:val="Text1"/>
        <w:rPr>
          <w:noProof/>
        </w:rPr>
      </w:pPr>
      <w:r w:rsidRPr="0026110A">
        <w:rPr>
          <w:noProof/>
        </w:rPr>
        <w:t>…………………………………………………………………………………….</w:t>
      </w:r>
    </w:p>
    <w:p w14:paraId="51893000" w14:textId="77777777" w:rsidR="00606C2D" w:rsidRPr="0026110A" w:rsidRDefault="00606C2D" w:rsidP="00606C2D">
      <w:pPr>
        <w:pStyle w:val="ManualHeading4"/>
        <w:rPr>
          <w:noProof/>
        </w:rPr>
      </w:pPr>
      <w:r w:rsidRPr="0026110A">
        <w:rPr>
          <w:noProof/>
        </w:rPr>
        <w:t>KITA INFORMACIJA</w:t>
      </w:r>
    </w:p>
    <w:p w14:paraId="1703596D" w14:textId="77777777" w:rsidR="00606C2D" w:rsidRPr="0026110A" w:rsidRDefault="00606C2D" w:rsidP="00606C2D">
      <w:pPr>
        <w:pStyle w:val="ManualNumPar1"/>
        <w:rPr>
          <w:noProof/>
        </w:rPr>
      </w:pPr>
      <w:r w:rsidRPr="00D7551F">
        <w:rPr>
          <w:noProof/>
        </w:rPr>
        <w:t>10.</w:t>
      </w:r>
      <w:r w:rsidRPr="00D7551F">
        <w:rPr>
          <w:noProof/>
        </w:rPr>
        <w:tab/>
      </w:r>
      <w:r w:rsidRPr="0026110A">
        <w:rPr>
          <w:noProof/>
        </w:rPr>
        <w:t>Pateikite bet kokią kitą informaciją, kuri laikoma svarbia vertinant priemonę pagal šį gairių skirsnį.</w:t>
      </w:r>
    </w:p>
    <w:p w14:paraId="768A73E0" w14:textId="77777777" w:rsidR="00606C2D" w:rsidRPr="0026110A" w:rsidRDefault="00606C2D" w:rsidP="00606C2D">
      <w:pPr>
        <w:pStyle w:val="Text1"/>
        <w:rPr>
          <w:noProof/>
        </w:rPr>
      </w:pPr>
      <w:r w:rsidRPr="0026110A">
        <w:rPr>
          <w:noProof/>
        </w:rPr>
        <w:t>…………………………………………………………………………………….</w:t>
      </w:r>
    </w:p>
    <w:p w14:paraId="3754A45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7B3F8" w14:textId="77777777" w:rsidR="00606C2D" w:rsidRDefault="00606C2D" w:rsidP="00606C2D">
      <w:pPr>
        <w:spacing w:before="0" w:after="0"/>
      </w:pPr>
      <w:r>
        <w:separator/>
      </w:r>
    </w:p>
  </w:endnote>
  <w:endnote w:type="continuationSeparator" w:id="0">
    <w:p w14:paraId="15DE1139" w14:textId="77777777" w:rsidR="00606C2D" w:rsidRDefault="00606C2D" w:rsidP="00606C2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BB2B" w14:textId="77777777" w:rsidR="00606C2D" w:rsidRDefault="00606C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C1C5F" w14:textId="150C1CBE" w:rsidR="00606C2D" w:rsidRDefault="00606C2D" w:rsidP="00606C2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FDF5B" w14:textId="77777777" w:rsidR="00606C2D" w:rsidRDefault="00606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BE22F" w14:textId="77777777" w:rsidR="00606C2D" w:rsidRDefault="00606C2D" w:rsidP="00606C2D">
      <w:pPr>
        <w:spacing w:before="0" w:after="0"/>
      </w:pPr>
      <w:r>
        <w:separator/>
      </w:r>
    </w:p>
  </w:footnote>
  <w:footnote w:type="continuationSeparator" w:id="0">
    <w:p w14:paraId="49A72B84" w14:textId="77777777" w:rsidR="00606C2D" w:rsidRDefault="00606C2D" w:rsidP="00606C2D">
      <w:pPr>
        <w:spacing w:before="0" w:after="0"/>
      </w:pPr>
      <w:r>
        <w:continuationSeparator/>
      </w:r>
    </w:p>
  </w:footnote>
  <w:footnote w:id="1">
    <w:p w14:paraId="388C4AF1" w14:textId="77777777" w:rsidR="00606C2D" w:rsidRPr="00773515" w:rsidRDefault="00606C2D" w:rsidP="00606C2D">
      <w:pPr>
        <w:pStyle w:val="FootnoteText"/>
      </w:pPr>
      <w:r>
        <w:rPr>
          <w:rStyle w:val="FootnoteReference"/>
        </w:rPr>
        <w:footnoteRef/>
      </w:r>
      <w:r>
        <w:tab/>
        <w:t>OL C 107, 2023 3 23, p. 1.</w:t>
      </w:r>
    </w:p>
  </w:footnote>
  <w:footnote w:id="2">
    <w:p w14:paraId="7923CF0C" w14:textId="77777777" w:rsidR="00606C2D" w:rsidRPr="004C6027" w:rsidRDefault="00606C2D" w:rsidP="00606C2D">
      <w:pPr>
        <w:pStyle w:val="FootnoteText"/>
      </w:pPr>
      <w:r>
        <w:rPr>
          <w:rStyle w:val="FootnoteReference"/>
        </w:rPr>
        <w:footnoteRef/>
      </w:r>
      <w:r>
        <w:tab/>
        <w:t>Komisijos deleguotasis reglamentas (ES) 2021/1972 2021 m. rugpjūčio 11 d. kuriuo Europos Parlamento ir Tarybos reglamentas (ES) 2021/1139, kuriuo nustatomas Europos jūrų reikalų, žvejybos ir akvakultūros fondas ir iš dalies keičiamas Reglamentas (ES) 2017/1004, papildomas nustatant tam tikrų žvejybos ir akvakultūros produktų žvejyba, auginimu, perdirbimu ir prekyba užsiimančių atokiausių regionų veiklos vykdytojų patiriamų papildomų išlaidų apskaičiavimo kriterijus (OL L 402, 2021 11 15,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D183" w14:textId="77777777" w:rsidR="00606C2D" w:rsidRDefault="00606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09204" w14:textId="77777777" w:rsidR="00606C2D" w:rsidRDefault="00606C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3C07E" w14:textId="77777777" w:rsidR="00606C2D" w:rsidRDefault="00606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06C2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06C2D"/>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B8B0CAE"/>
  <w15:chartTrackingRefBased/>
  <w15:docId w15:val="{EA513AE1-F014-420A-84F8-D97EDCD8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C2D"/>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06C2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6C2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06C2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06C2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06C2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C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C2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C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C2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6C2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06C2D"/>
    <w:rPr>
      <w:i/>
      <w:iCs/>
      <w:color w:val="365F91" w:themeColor="accent1" w:themeShade="BF"/>
    </w:rPr>
  </w:style>
  <w:style w:type="paragraph" w:styleId="IntenseQuote">
    <w:name w:val="Intense Quote"/>
    <w:basedOn w:val="Normal"/>
    <w:next w:val="Normal"/>
    <w:link w:val="IntenseQuoteChar"/>
    <w:uiPriority w:val="30"/>
    <w:qFormat/>
    <w:rsid w:val="00606C2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06C2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06C2D"/>
    <w:rPr>
      <w:b/>
      <w:bCs/>
      <w:smallCaps/>
      <w:color w:val="365F91" w:themeColor="accent1" w:themeShade="BF"/>
      <w:spacing w:val="5"/>
    </w:rPr>
  </w:style>
  <w:style w:type="paragraph" w:styleId="Signature">
    <w:name w:val="Signature"/>
    <w:basedOn w:val="Normal"/>
    <w:link w:val="FootnoteReference"/>
    <w:uiPriority w:val="99"/>
    <w:rsid w:val="00606C2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06C2D"/>
    <w:rPr>
      <w:rFonts w:ascii="Times New Roman" w:hAnsi="Times New Roman" w:cs="Times New Roman"/>
      <w:kern w:val="0"/>
      <w:sz w:val="24"/>
      <w:lang w:val="lt-LT"/>
      <w14:ligatures w14:val="none"/>
    </w:rPr>
  </w:style>
  <w:style w:type="paragraph" w:customStyle="1" w:styleId="Text1">
    <w:name w:val="Text 1"/>
    <w:basedOn w:val="Normal"/>
    <w:rsid w:val="00606C2D"/>
    <w:pPr>
      <w:ind w:left="850"/>
    </w:pPr>
  </w:style>
  <w:style w:type="paragraph" w:customStyle="1" w:styleId="Point0number">
    <w:name w:val="Point 0 (number)"/>
    <w:basedOn w:val="Normal"/>
    <w:rsid w:val="00606C2D"/>
    <w:pPr>
      <w:numPr>
        <w:numId w:val="45"/>
      </w:numPr>
    </w:pPr>
  </w:style>
  <w:style w:type="paragraph" w:customStyle="1" w:styleId="Point1number">
    <w:name w:val="Point 1 (number)"/>
    <w:basedOn w:val="Normal"/>
    <w:rsid w:val="00606C2D"/>
    <w:pPr>
      <w:numPr>
        <w:ilvl w:val="2"/>
        <w:numId w:val="45"/>
      </w:numPr>
    </w:pPr>
  </w:style>
  <w:style w:type="paragraph" w:customStyle="1" w:styleId="Point2number">
    <w:name w:val="Point 2 (number)"/>
    <w:basedOn w:val="Normal"/>
    <w:rsid w:val="00606C2D"/>
    <w:pPr>
      <w:numPr>
        <w:ilvl w:val="4"/>
        <w:numId w:val="45"/>
      </w:numPr>
    </w:pPr>
  </w:style>
  <w:style w:type="paragraph" w:customStyle="1" w:styleId="Point3number">
    <w:name w:val="Point 3 (number)"/>
    <w:basedOn w:val="Normal"/>
    <w:rsid w:val="00606C2D"/>
    <w:pPr>
      <w:numPr>
        <w:ilvl w:val="6"/>
        <w:numId w:val="45"/>
      </w:numPr>
    </w:pPr>
  </w:style>
  <w:style w:type="paragraph" w:customStyle="1" w:styleId="Point0letter">
    <w:name w:val="Point 0 (letter)"/>
    <w:basedOn w:val="Normal"/>
    <w:rsid w:val="00606C2D"/>
    <w:pPr>
      <w:numPr>
        <w:ilvl w:val="1"/>
        <w:numId w:val="45"/>
      </w:numPr>
    </w:pPr>
  </w:style>
  <w:style w:type="paragraph" w:customStyle="1" w:styleId="Point1letter">
    <w:name w:val="Point 1 (letter)"/>
    <w:basedOn w:val="Normal"/>
    <w:rsid w:val="00606C2D"/>
    <w:pPr>
      <w:numPr>
        <w:ilvl w:val="3"/>
        <w:numId w:val="45"/>
      </w:numPr>
    </w:pPr>
  </w:style>
  <w:style w:type="paragraph" w:customStyle="1" w:styleId="Point2letter">
    <w:name w:val="Point 2 (letter)"/>
    <w:basedOn w:val="Normal"/>
    <w:rsid w:val="00606C2D"/>
    <w:pPr>
      <w:numPr>
        <w:ilvl w:val="5"/>
        <w:numId w:val="45"/>
      </w:numPr>
    </w:pPr>
  </w:style>
  <w:style w:type="paragraph" w:customStyle="1" w:styleId="Point3letter">
    <w:name w:val="Point 3 (letter)"/>
    <w:basedOn w:val="Normal"/>
    <w:rsid w:val="00606C2D"/>
    <w:pPr>
      <w:numPr>
        <w:ilvl w:val="7"/>
        <w:numId w:val="45"/>
      </w:numPr>
    </w:pPr>
  </w:style>
  <w:style w:type="paragraph" w:customStyle="1" w:styleId="Point4letter">
    <w:name w:val="Point 4 (letter)"/>
    <w:basedOn w:val="Normal"/>
    <w:rsid w:val="00606C2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3096</Characters>
  <DocSecurity>0</DocSecurity>
  <Lines>58</Lines>
  <Paragraphs>35</Paragraphs>
  <ScaleCrop>false</ScaleCrop>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2025-05-26T07:23:00Z</dcterms:created>
  <dcterms:modified xsi:type="dcterms:W3CDTF">2025-05-26T07:23:00Z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2025-05-26T07:23:46Z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5a1e36d1-3b3d-4fce-aa50-10b71ba6534c</vt:lpwstr>
  </property>
  <property fmtid="{D5CDD505-2E9C-101B-9397-08002B2CF9AE}" pid="8" name="MSIP_Label_6bd9ddd1-4d20-43f6-abfa-fc3c07406f94_ContentBits">
    <vt:lpwstr>0</vt:lpwstr>
  </property>
</Properties>
</file>