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327AC" w14:textId="77777777" w:rsidR="00E60300" w:rsidRPr="00E966D8" w:rsidRDefault="00E60300" w:rsidP="00E60300">
      <w:pPr>
        <w:pStyle w:val="ManualHeading1"/>
        <w:rPr>
          <w:noProof/>
        </w:rPr>
      </w:pPr>
      <w:r w:rsidRPr="00E966D8">
        <w:rPr>
          <w:noProof/>
        </w:rPr>
        <w:t>2.3. LISÄTIETOLOMAKE – TUKI TURVALLISUUTTA LISÄÄVIIN LAITTEISIIN TEHTÄVIIN INVESTOINTEIHIN, MUKAAN LUKIEN LAITTEET, JOIDEN AVULLA ALUKSET VOIVAT LAAJENTAA SYRJÄISIMMILLÄ ALUEILLA PIENIMUOTOISEN RANNIKKOKALASTUKSEN KALASTUSALUETTAAN</w:t>
      </w:r>
    </w:p>
    <w:p w14:paraId="0735D9DD" w14:textId="77777777" w:rsidR="00E60300" w:rsidRPr="00E966D8" w:rsidRDefault="00E60300" w:rsidP="00E60300">
      <w:pPr>
        <w:spacing w:before="360" w:after="0"/>
        <w:rPr>
          <w:rFonts w:eastAsia="Times New Roman"/>
          <w:i/>
          <w:noProof/>
          <w:szCs w:val="24"/>
        </w:rPr>
      </w:pPr>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szCs w:val="24"/>
          <w:lang w:eastAsia="en-GB"/>
        </w:rPr>
        <w:footnoteReference w:id="1"/>
      </w:r>
      <w:r w:rsidRPr="00E966D8">
        <w:rPr>
          <w:i/>
          <w:noProof/>
        </w:rPr>
        <w:t xml:space="preserve"> II osan 2 luvun 2.3 jaksossa kuvatusta tuesta, joka myönnetään turvallisuutta lisääviin laitteisiin tehtäviin investointeihin, mukaan lukien laitteet, joiden avulla alukset voivat laajentaa syrjäisimmillä alueilla pienimuotoisen rannikkokalastuksen kalastusaluettaan.</w:t>
      </w:r>
    </w:p>
    <w:p w14:paraId="37F3A7BC" w14:textId="77777777" w:rsidR="00E60300" w:rsidRPr="00E966D8" w:rsidRDefault="00E60300" w:rsidP="00E60300">
      <w:pPr>
        <w:pStyle w:val="ManualNumPar1"/>
        <w:rPr>
          <w:rFonts w:eastAsia="Times New Roman"/>
          <w:noProof/>
          <w:szCs w:val="24"/>
        </w:rPr>
      </w:pPr>
      <w:r w:rsidRPr="0009343E">
        <w:rPr>
          <w:noProof/>
        </w:rPr>
        <w:t>1.</w:t>
      </w:r>
      <w:r w:rsidRPr="0009343E">
        <w:rPr>
          <w:noProof/>
        </w:rPr>
        <w:tab/>
      </w:r>
      <w:r w:rsidRPr="00E966D8">
        <w:rPr>
          <w:noProof/>
        </w:rPr>
        <w:t>Mitä perussopimuksen 349 artiklassa tarkoitetuista syrjäisimmistä alueista toimenpide koskee?</w:t>
      </w:r>
    </w:p>
    <w:p w14:paraId="1976B6D5" w14:textId="77777777" w:rsidR="00E60300" w:rsidRPr="00E966D8" w:rsidRDefault="00E60300" w:rsidP="00E60300">
      <w:pPr>
        <w:pStyle w:val="Text1"/>
        <w:rPr>
          <w:noProof/>
        </w:rPr>
      </w:pPr>
      <w:r w:rsidRPr="00E966D8">
        <w:rPr>
          <w:noProof/>
        </w:rPr>
        <w:t>…………………………………………………………………………………….</w:t>
      </w:r>
    </w:p>
    <w:p w14:paraId="7A50D38E" w14:textId="77777777" w:rsidR="00E60300" w:rsidRPr="00E966D8" w:rsidRDefault="00E60300" w:rsidP="00E60300">
      <w:pPr>
        <w:pStyle w:val="ManualNumPar1"/>
        <w:rPr>
          <w:rFonts w:eastAsia="Times New Roman"/>
          <w:noProof/>
          <w:szCs w:val="24"/>
        </w:rPr>
      </w:pPr>
      <w:r w:rsidRPr="0009343E">
        <w:rPr>
          <w:noProof/>
        </w:rPr>
        <w:t>2.</w:t>
      </w:r>
      <w:r w:rsidRPr="0009343E">
        <w:rPr>
          <w:noProof/>
        </w:rPr>
        <w:tab/>
      </w:r>
      <w:r w:rsidRPr="00E966D8">
        <w:rPr>
          <w:noProof/>
        </w:rPr>
        <w:t>Selittäkää, miten toimenpide edistää taloudellisesti, sosiaalisesti ja ympäristön kannalta kestävän kalastustoiminnan vahvistamista, turvallisuuden ja työolojen parantamista aluksilla ja tapauksen mukaan sitä, että kalastusalukset voivat laajentaa pienimuotoisessa rannikkokalastuksessa kalastusalueitaan aina 20 mailin etäisyydelle rannikosta.</w:t>
      </w:r>
    </w:p>
    <w:p w14:paraId="09D0E80C" w14:textId="77777777" w:rsidR="00E60300" w:rsidRPr="00E966D8" w:rsidRDefault="00E60300" w:rsidP="00E60300">
      <w:pPr>
        <w:pStyle w:val="Text1"/>
        <w:rPr>
          <w:noProof/>
        </w:rPr>
      </w:pPr>
      <w:r w:rsidRPr="00E966D8">
        <w:rPr>
          <w:noProof/>
        </w:rPr>
        <w:t>……………………………………………………………………………………….</w:t>
      </w:r>
    </w:p>
    <w:p w14:paraId="2E62D8C5" w14:textId="77777777" w:rsidR="00E60300" w:rsidRPr="00E966D8" w:rsidRDefault="00E60300" w:rsidP="00E60300">
      <w:pPr>
        <w:pStyle w:val="ManualNumPar1"/>
        <w:rPr>
          <w:noProof/>
        </w:rPr>
      </w:pPr>
      <w:r w:rsidRPr="0009343E">
        <w:rPr>
          <w:noProof/>
        </w:rPr>
        <w:t>3.</w:t>
      </w:r>
      <w:r w:rsidRPr="0009343E">
        <w:rPr>
          <w:noProof/>
        </w:rPr>
        <w:tab/>
      </w:r>
      <w:r w:rsidRPr="00E966D8">
        <w:rPr>
          <w:noProof/>
        </w:rPr>
        <w:t>Voidaanko tukea suuntaviivojen 47 kohdasta poiketen myöntää pakollisten unionin tai kansallisten vaatimusten täyttämiseksi?</w:t>
      </w:r>
    </w:p>
    <w:p w14:paraId="2122D130" w14:textId="77777777" w:rsidR="00E60300" w:rsidRPr="00E966D8" w:rsidRDefault="00E60300" w:rsidP="00E60300">
      <w:pPr>
        <w:pStyle w:val="Text1"/>
        <w:rPr>
          <w:noProof/>
        </w:rPr>
      </w:pPr>
      <w:sdt>
        <w:sdtPr>
          <w:rPr>
            <w:noProof/>
          </w:rPr>
          <w:id w:val="-148161133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72089585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FBFED30" w14:textId="77777777" w:rsidR="00E60300" w:rsidRPr="00E966D8" w:rsidRDefault="00E60300" w:rsidP="00E60300">
      <w:pPr>
        <w:pStyle w:val="ManualNumPar2"/>
        <w:rPr>
          <w:noProof/>
        </w:rPr>
      </w:pPr>
      <w:r w:rsidRPr="0009343E">
        <w:rPr>
          <w:noProof/>
        </w:rPr>
        <w:t>3.1.</w:t>
      </w:r>
      <w:r w:rsidRPr="0009343E">
        <w:rPr>
          <w:noProof/>
        </w:rPr>
        <w:tab/>
      </w:r>
      <w:r w:rsidRPr="00E966D8">
        <w:rPr>
          <w:noProof/>
        </w:rPr>
        <w:t>Kuvatkaa asiaan liittyviä pakollisia unionin tai kansallisia vaatimuksia ja perustelkaa, miksi tällainen poikkeus on tarpeen.</w:t>
      </w:r>
    </w:p>
    <w:p w14:paraId="10FB209C" w14:textId="77777777" w:rsidR="00E60300" w:rsidRPr="00E966D8" w:rsidRDefault="00E60300" w:rsidP="00E60300">
      <w:pPr>
        <w:pStyle w:val="Text1"/>
        <w:rPr>
          <w:noProof/>
        </w:rPr>
      </w:pPr>
      <w:r w:rsidRPr="00E966D8">
        <w:rPr>
          <w:noProof/>
        </w:rPr>
        <w:t>……………………………………………………………………………………….</w:t>
      </w:r>
    </w:p>
    <w:p w14:paraId="0D1EAFCE" w14:textId="77777777" w:rsidR="00E60300" w:rsidRPr="00E966D8" w:rsidRDefault="00E60300" w:rsidP="00E60300">
      <w:pPr>
        <w:pStyle w:val="ManualNumPar1"/>
        <w:rPr>
          <w:noProof/>
        </w:rPr>
      </w:pPr>
      <w:r w:rsidRPr="0009343E">
        <w:rPr>
          <w:noProof/>
        </w:rPr>
        <w:t>4.</w:t>
      </w:r>
      <w:r w:rsidRPr="0009343E">
        <w:rPr>
          <w:noProof/>
        </w:rPr>
        <w:tab/>
      </w:r>
      <w:r w:rsidRPr="00E966D8">
        <w:rPr>
          <w:noProof/>
        </w:rPr>
        <w:t xml:space="preserve">Voitteko vahvistaa, että toimenpide </w:t>
      </w:r>
      <w:r w:rsidRPr="00E966D8">
        <w:rPr>
          <w:i/>
          <w:noProof/>
        </w:rPr>
        <w:t>ei</w:t>
      </w:r>
      <w:r w:rsidRPr="00E966D8">
        <w:rPr>
          <w:noProof/>
        </w:rPr>
        <w:t xml:space="preserve"> sisällä</w:t>
      </w:r>
    </w:p>
    <w:p w14:paraId="6D4B2EFA" w14:textId="77777777" w:rsidR="00E60300" w:rsidRPr="00E966D8" w:rsidRDefault="00E60300" w:rsidP="00E60300">
      <w:pPr>
        <w:pStyle w:val="Tiret1"/>
        <w:rPr>
          <w:noProof/>
        </w:rPr>
      </w:pPr>
      <w:sdt>
        <w:sdtPr>
          <w:rPr>
            <w:rFonts w:ascii="MS Gothic" w:eastAsia="MS Gothic" w:hAnsi="MS Gothic"/>
            <w:noProof/>
          </w:rPr>
          <w:id w:val="87712290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kalastusaluksen päämoottorin tai apumoottorin korvaamista tai nykyaikaistamista</w:t>
      </w:r>
    </w:p>
    <w:p w14:paraId="78560F0C" w14:textId="77777777" w:rsidR="00E60300" w:rsidRPr="00E966D8" w:rsidRDefault="00E60300" w:rsidP="00E60300">
      <w:pPr>
        <w:pStyle w:val="Tiret1"/>
        <w:rPr>
          <w:noProof/>
        </w:rPr>
      </w:pPr>
      <w:sdt>
        <w:sdtPr>
          <w:rPr>
            <w:rFonts w:ascii="MS Gothic" w:eastAsia="MS Gothic" w:hAnsi="MS Gothic"/>
            <w:noProof/>
          </w:rPr>
          <w:id w:val="-181733560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kalastusaluksen kalastuskapasiteetin lisäystä.</w:t>
      </w:r>
    </w:p>
    <w:p w14:paraId="188C44A9" w14:textId="77777777" w:rsidR="00E60300" w:rsidRPr="00E966D8" w:rsidRDefault="00E60300" w:rsidP="00E60300">
      <w:pPr>
        <w:pStyle w:val="Text2"/>
        <w:rPr>
          <w:rFonts w:eastAsia="Times New Roman"/>
          <w:noProof/>
          <w:szCs w:val="24"/>
        </w:rPr>
      </w:pPr>
      <w:r w:rsidRPr="00E966D8">
        <w:rPr>
          <w:noProof/>
        </w:rPr>
        <w:t xml:space="preserve">Huomioikaa, että suuntaviivojen 235 ja 236 kohdan mukaan tuki investointeihin, jotka liittyvät kalastusaluksen päämoottorin tai apumoottorin korvaamiseen tai nykyaikaistamiseen, on tukikelpoista ainoastaan asetuksen (EU) 2021/1139 18 artiklan tai suuntaviivojen II osan 3 luvun 3.2 jakson nojalla. Tuki investointeihin, jotka lisäävät kalastusaluksen bruttovetoisuutta, on tukikelpoista ainoastaan asetuksen (EU) 2021/1139 19 artiklan tai suuntaviivojen II osan 3 luvun 3.3 jakson nojalla. </w:t>
      </w:r>
    </w:p>
    <w:p w14:paraId="5832C044" w14:textId="77777777" w:rsidR="00E60300" w:rsidRPr="00E966D8" w:rsidRDefault="00E60300" w:rsidP="00E60300">
      <w:pPr>
        <w:pStyle w:val="ManualNumPar1"/>
        <w:rPr>
          <w:rFonts w:eastAsia="Times New Roman"/>
          <w:noProof/>
          <w:szCs w:val="24"/>
        </w:rPr>
      </w:pPr>
      <w:r w:rsidRPr="0009343E">
        <w:rPr>
          <w:noProof/>
        </w:rPr>
        <w:t>5.</w:t>
      </w:r>
      <w:r w:rsidRPr="0009343E">
        <w:rPr>
          <w:noProof/>
        </w:rPr>
        <w:tab/>
      </w:r>
      <w:r w:rsidRPr="00E966D8">
        <w:rPr>
          <w:noProof/>
        </w:rPr>
        <w:t>Esittäkää yksityiskohtainen kuvaus kustannuksista, jotka ovat toimenpiteessä tukikelpoisia.</w:t>
      </w:r>
    </w:p>
    <w:p w14:paraId="2E06C560" w14:textId="77777777" w:rsidR="00E60300" w:rsidRPr="00E966D8" w:rsidRDefault="00E60300" w:rsidP="00E60300">
      <w:pPr>
        <w:pStyle w:val="Text1"/>
        <w:rPr>
          <w:noProof/>
        </w:rPr>
      </w:pPr>
      <w:r w:rsidRPr="00E966D8">
        <w:rPr>
          <w:noProof/>
        </w:rPr>
        <w:t>………………………………………………………………………………….</w:t>
      </w:r>
    </w:p>
    <w:p w14:paraId="54CEB117" w14:textId="77777777" w:rsidR="00E60300" w:rsidRPr="00E966D8" w:rsidRDefault="00E60300" w:rsidP="00E60300">
      <w:pPr>
        <w:pStyle w:val="ManualNumPar1"/>
        <w:rPr>
          <w:noProof/>
        </w:rPr>
      </w:pPr>
      <w:r w:rsidRPr="0009343E">
        <w:rPr>
          <w:noProof/>
        </w:rPr>
        <w:lastRenderedPageBreak/>
        <w:t>6.</w:t>
      </w:r>
      <w:r w:rsidRPr="0009343E">
        <w:rPr>
          <w:noProof/>
        </w:rPr>
        <w:tab/>
      </w:r>
      <w:r w:rsidRPr="00E966D8">
        <w:rPr>
          <w:noProof/>
        </w:rPr>
        <w:t>Edellytetäänkö toimenpiteessä, että enimmäistuki-intensiteetti on 100 prosenttia tukikelpoisista kustannuksista?</w:t>
      </w:r>
    </w:p>
    <w:p w14:paraId="186CA88F" w14:textId="77777777" w:rsidR="00E60300" w:rsidRPr="00E966D8" w:rsidRDefault="00E60300" w:rsidP="00E60300">
      <w:pPr>
        <w:pStyle w:val="Text1"/>
        <w:rPr>
          <w:noProof/>
        </w:rPr>
      </w:pPr>
      <w:r w:rsidRPr="00E966D8">
        <w:rPr>
          <w:noProof/>
        </w:rPr>
        <w:t>………………………………………………………………………………….</w:t>
      </w:r>
    </w:p>
    <w:p w14:paraId="1B8B2A54" w14:textId="77777777" w:rsidR="00E60300" w:rsidRPr="00E966D8" w:rsidRDefault="00E60300" w:rsidP="00E60300">
      <w:pPr>
        <w:pStyle w:val="ManualNumPar2"/>
        <w:rPr>
          <w:rFonts w:eastAsia="Times New Roman"/>
          <w:noProof/>
          <w:szCs w:val="24"/>
        </w:rPr>
      </w:pPr>
      <w:r w:rsidRPr="0009343E">
        <w:rPr>
          <w:noProof/>
        </w:rPr>
        <w:t>6.1.</w:t>
      </w:r>
      <w:r w:rsidRPr="0009343E">
        <w:rPr>
          <w:noProof/>
        </w:rPr>
        <w:tab/>
      </w:r>
      <w:r w:rsidRPr="00E966D8">
        <w:rPr>
          <w:noProof/>
        </w:rPr>
        <w:t>Mainitkaa toimenpiteessä sovellettavat enimmäistuki-intensiteetit.</w:t>
      </w:r>
    </w:p>
    <w:p w14:paraId="44E38AB8" w14:textId="77777777" w:rsidR="00E60300" w:rsidRPr="00E966D8" w:rsidRDefault="00E60300" w:rsidP="00E60300">
      <w:pPr>
        <w:pStyle w:val="Text1"/>
        <w:rPr>
          <w:noProof/>
        </w:rPr>
      </w:pPr>
      <w:r w:rsidRPr="00E966D8">
        <w:rPr>
          <w:noProof/>
        </w:rPr>
        <w:t>………………………………………………………………………………….</w:t>
      </w:r>
    </w:p>
    <w:p w14:paraId="684D8324" w14:textId="77777777" w:rsidR="00E60300" w:rsidRPr="00E966D8" w:rsidRDefault="00E60300" w:rsidP="00E60300">
      <w:pPr>
        <w:pStyle w:val="ManualNumPar2"/>
        <w:rPr>
          <w:noProof/>
        </w:rPr>
      </w:pPr>
      <w:r w:rsidRPr="0009343E">
        <w:rPr>
          <w:noProof/>
        </w:rPr>
        <w:t>6.2.</w:t>
      </w:r>
      <w:r w:rsidRPr="0009343E">
        <w:rPr>
          <w:noProof/>
        </w:rPr>
        <w:tab/>
      </w:r>
      <w:r w:rsidRPr="00E966D8">
        <w:rPr>
          <w:noProof/>
        </w:rPr>
        <w:t>Mainitkaa oikeusperustan säännökset, joissa toimenpiteen enimmäistuki-intensiteetti vahvistetaan.</w:t>
      </w:r>
    </w:p>
    <w:p w14:paraId="00ACF52B" w14:textId="77777777" w:rsidR="00E60300" w:rsidRPr="00E966D8" w:rsidRDefault="00E60300" w:rsidP="00E60300">
      <w:pPr>
        <w:pStyle w:val="Text1"/>
        <w:rPr>
          <w:noProof/>
        </w:rPr>
      </w:pPr>
      <w:r w:rsidRPr="00E966D8">
        <w:rPr>
          <w:noProof/>
        </w:rPr>
        <w:t>…………………………………………………………………………………….</w:t>
      </w:r>
    </w:p>
    <w:p w14:paraId="0646141E" w14:textId="77777777" w:rsidR="00E60300" w:rsidRPr="00E966D8" w:rsidRDefault="00E60300" w:rsidP="00E60300">
      <w:pPr>
        <w:pStyle w:val="ManualHeading4"/>
        <w:rPr>
          <w:noProof/>
        </w:rPr>
      </w:pPr>
      <w:r w:rsidRPr="00E966D8">
        <w:rPr>
          <w:noProof/>
        </w:rPr>
        <w:t>MUUT TIEDOT</w:t>
      </w:r>
    </w:p>
    <w:p w14:paraId="497E7DCB" w14:textId="77777777" w:rsidR="00E60300" w:rsidRPr="00E966D8" w:rsidRDefault="00E60300" w:rsidP="00E60300">
      <w:pPr>
        <w:pStyle w:val="ManualNumPar1"/>
        <w:rPr>
          <w:noProof/>
        </w:rPr>
      </w:pPr>
      <w:r w:rsidRPr="0009343E">
        <w:rPr>
          <w:noProof/>
        </w:rPr>
        <w:t>7.</w:t>
      </w:r>
      <w:r w:rsidRPr="0009343E">
        <w:rPr>
          <w:noProof/>
        </w:rPr>
        <w:tab/>
      </w:r>
      <w:r w:rsidRPr="00E966D8">
        <w:rPr>
          <w:noProof/>
        </w:rPr>
        <w:t>Esittäkää kaikki muut tiedot, jotka katsotte olennaisiksi asianomaisen toimenpiteen suuntaviivojen tämän jakson nojalla tehtävän arvioinnin kannalta.</w:t>
      </w:r>
    </w:p>
    <w:p w14:paraId="14ACB13E" w14:textId="77777777" w:rsidR="00E60300" w:rsidRPr="00E966D8" w:rsidRDefault="00E60300" w:rsidP="00E60300">
      <w:pPr>
        <w:pStyle w:val="Text1"/>
        <w:rPr>
          <w:noProof/>
        </w:rPr>
      </w:pPr>
      <w:r w:rsidRPr="00E966D8">
        <w:rPr>
          <w:noProof/>
        </w:rPr>
        <w:t>…………………………………………………………………………………….</w:t>
      </w:r>
    </w:p>
    <w:p w14:paraId="04AE1E9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FED24" w14:textId="77777777" w:rsidR="00E60300" w:rsidRDefault="00E60300" w:rsidP="00E60300">
      <w:pPr>
        <w:spacing w:before="0" w:after="0"/>
      </w:pPr>
      <w:r>
        <w:separator/>
      </w:r>
    </w:p>
  </w:endnote>
  <w:endnote w:type="continuationSeparator" w:id="0">
    <w:p w14:paraId="40E288B4" w14:textId="77777777" w:rsidR="00E60300" w:rsidRDefault="00E60300" w:rsidP="00E6030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C9375" w14:textId="77777777" w:rsidR="00E60300" w:rsidRDefault="00E603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1638" w14:textId="7190E510" w:rsidR="00E60300" w:rsidRDefault="00E60300" w:rsidP="00E6030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77CCB" w14:textId="77777777" w:rsidR="00E60300" w:rsidRDefault="00E60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4CC4D" w14:textId="77777777" w:rsidR="00E60300" w:rsidRDefault="00E60300" w:rsidP="00E60300">
      <w:pPr>
        <w:spacing w:before="0" w:after="0"/>
      </w:pPr>
      <w:r>
        <w:separator/>
      </w:r>
    </w:p>
  </w:footnote>
  <w:footnote w:type="continuationSeparator" w:id="0">
    <w:p w14:paraId="429DAA7B" w14:textId="77777777" w:rsidR="00E60300" w:rsidRDefault="00E60300" w:rsidP="00E60300">
      <w:pPr>
        <w:spacing w:before="0" w:after="0"/>
      </w:pPr>
      <w:r>
        <w:continuationSeparator/>
      </w:r>
    </w:p>
  </w:footnote>
  <w:footnote w:id="1">
    <w:p w14:paraId="40185F9B" w14:textId="77777777" w:rsidR="00E60300" w:rsidRPr="00E966D8" w:rsidRDefault="00E60300" w:rsidP="00E60300">
      <w:pPr>
        <w:pStyle w:val="FootnoteText"/>
        <w:rPr>
          <w:lang w:val="fr-BE"/>
        </w:rPr>
      </w:pPr>
      <w:r>
        <w:rPr>
          <w:rStyle w:val="FootnoteReference"/>
        </w:rPr>
        <w:footnoteRef/>
      </w:r>
      <w:r w:rsidRPr="00E966D8">
        <w:rPr>
          <w:lang w:val="fr-BE"/>
        </w:rPr>
        <w:tab/>
        <w:t>EUVL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A909B" w14:textId="77777777" w:rsidR="00E60300" w:rsidRDefault="00E603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4CAC" w14:textId="77777777" w:rsidR="00E60300" w:rsidRDefault="00E603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93F1" w14:textId="77777777" w:rsidR="00E60300" w:rsidRDefault="00E603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671544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059532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6030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0300"/>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204FEE"/>
  <w15:chartTrackingRefBased/>
  <w15:docId w15:val="{3ED35C45-35D5-4855-9F26-665EFD8F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300"/>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6030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6030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6030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6030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603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03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030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03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030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6030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60300"/>
    <w:rPr>
      <w:i/>
      <w:iCs/>
      <w:color w:val="365F91" w:themeColor="accent1" w:themeShade="BF"/>
    </w:rPr>
  </w:style>
  <w:style w:type="paragraph" w:styleId="IntenseQuote">
    <w:name w:val="Intense Quote"/>
    <w:basedOn w:val="Normal"/>
    <w:next w:val="Normal"/>
    <w:link w:val="IntenseQuoteChar"/>
    <w:uiPriority w:val="30"/>
    <w:qFormat/>
    <w:rsid w:val="00E6030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6030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60300"/>
    <w:rPr>
      <w:b/>
      <w:bCs/>
      <w:smallCaps/>
      <w:color w:val="365F91" w:themeColor="accent1" w:themeShade="BF"/>
      <w:spacing w:val="5"/>
    </w:rPr>
  </w:style>
  <w:style w:type="paragraph" w:styleId="Signature">
    <w:name w:val="Signature"/>
    <w:basedOn w:val="Normal"/>
    <w:link w:val="FootnoteReference"/>
    <w:uiPriority w:val="99"/>
    <w:rsid w:val="00E60300"/>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E60300"/>
    <w:rPr>
      <w:rFonts w:ascii="Times New Roman" w:hAnsi="Times New Roman" w:cs="Times New Roman"/>
      <w:kern w:val="0"/>
      <w:sz w:val="24"/>
      <w:lang w:val="fi-FI"/>
      <w14:ligatures w14:val="none"/>
    </w:rPr>
  </w:style>
  <w:style w:type="paragraph" w:customStyle="1" w:styleId="Text1">
    <w:name w:val="Text 1"/>
    <w:basedOn w:val="Normal"/>
    <w:rsid w:val="00E60300"/>
    <w:pPr>
      <w:ind w:left="850"/>
    </w:pPr>
  </w:style>
  <w:style w:type="paragraph" w:customStyle="1" w:styleId="Text2">
    <w:name w:val="Text 2"/>
    <w:basedOn w:val="Normal"/>
    <w:rsid w:val="00E60300"/>
    <w:pPr>
      <w:ind w:left="1417"/>
    </w:pPr>
  </w:style>
  <w:style w:type="paragraph" w:customStyle="1" w:styleId="Tiret1">
    <w:name w:val="Tiret 1"/>
    <w:basedOn w:val="Normal"/>
    <w:rsid w:val="00E60300"/>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2549</Characters>
  <DocSecurity>0</DocSecurity>
  <Lines>44</Lines>
  <Paragraphs>22</Paragraphs>
  <ScaleCrop>false</ScaleCrop>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2025-05-25T15:12:00Z</dcterms:created>
  <dcterms:modified xsi:type="dcterms:W3CDTF">2025-05-25T15:13:00Z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2025-05-25T15:13:00Z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1231469c-172a-44a7-9c68-4260eea2a4a7</vt:lpwstr>
  </property>
  <property fmtid="{D5CDD505-2E9C-101B-9397-08002B2CF9AE}" pid="8" name="MSIP_Label_6bd9ddd1-4d20-43f6-abfa-fc3c07406f94_ContentBits">
    <vt:lpwstr>0</vt:lpwstr>
  </property>
</Properties>
</file>