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t xml:space="preserve"> </w:t>
      </w:r>
      <w:r>
        <w:br/>
      </w:r>
      <w:r>
        <w:rPr>
          <w:rFonts w:ascii="Times New Roman" w:hAnsi="Times New Roman"/>
          <w:b/>
          <w:smallCaps/>
          <w:sz w:val="24"/>
        </w:rPr>
        <w:t>steun voor de vernieuwing van de vissersvloot in ultraperifere gebieden</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steun voor de vernieuwing van de vissersvloot in ultraperifere gebieden zoals omschreven in deel II, hoofdstuk 2, afdeling 2.2,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Vermeld op welk ultraperifeer gebied of welke ultraperifere gebieden als genoemd in artikel 349 VWEU, de maatregel betrekking heeft.</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nieuwe vissersvaartuigen die met de steun worden verworven, moeten voldoen aan de nationale en Unievoorschriften voor de hygiëne, gezondheid, veiligheid en arbeidsomstandigheden aan boord van vissersvaartuigen en voor de kenmerken van vissersvaartuigen.</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begunstigde onderneming op de datum waarop de steun wordt aangevraagd, haar hoofdregistratie moet hebben in het ultraperifere gebied waar het nieuwe vaartuig wordt ingeschreven.</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color w:val="000000"/>
          <w:sz w:val="24"/>
        </w:rPr>
        <w:t>Zo ja, vermeld de plaats van de hoofdregistratie:</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Op grond van punt (223) van de richtsnoeren moet op de datum van toekenning van de steun uit het verslag dat vóór die datum overeenkomstig artikel 22, leden 2 en 3, van Verordening (EU)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is opgesteld (het “nationaal verslag”), blijken dat de vangstcapaciteit en de vangstmogelijkheden van het vlootsegment van het ultraperifere gebied waarvan het nieuwe vaartuig deel zal uitmaken, in evenwicht zijn. Beantwoord in dit verband de volgende vragen:</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C349B3">
      <w:pPr>
        <w:keepNext/>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Wanneer is het meest recente nationaal verslag van vóór de datum van toekenning van de steun opgesteld?</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Geef de link naar het meest recente nationaal verslag of voeg deze bij de aanmelding.</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t>Geef op grond van punt (225) van de richtsnoeren aan of voor alle te verlenen steun is voldaan aan de volgende voorwaarden:</w:t>
      </w:r>
      <w:r>
        <w:rPr>
          <w:rFonts w:ascii="Times New Roman" w:hAnsi="Times New Roman"/>
          <w:color w:val="000000"/>
          <w:sz w:val="23"/>
        </w:rPr>
        <w:t xml:space="preserve"> </w:t>
      </w:r>
    </w:p>
    <w:p w14:paraId="7C1350B0" w14:textId="77777777" w:rsidR="009A3E77" w:rsidRPr="00C349B3"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Is het nationaal verslag uiterlijk op 31 mei van jaar N ingediend</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het nationaal verslag van jaar N, en met name de beoordeling van het evenwicht in dat verslag, is opgesteld op basis van de biologische en economische indicatoren en indicatoren voor het vaartuiggebruik die zijn vermeld in de gemeenschappelijke richtsnoeren</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als bedoeld in artikel 22, lid 2, van Verordening (EU) nr.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 xml:space="preserve">Op grond van punt (224) van de richtsnoeren mag geen steun worden verleend indien het nationaal verslag, en met name de beoordeling van het evenwicht in dat verslag, niet is opgesteld op basis van de biologische en economische indicatoren en indicatoren voor het vaartuiggebruik die zijn vermeld in de gemeenschappelijke richtsnoeren als bedoeld in artikel 22, lid 2, van Verordening (EU) nr. 1380/2013.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Blijkt uit het nationaal verslag van jaar N dat de vangstcapaciteit en de vangstmogelijkheden van het vlootsegment waarvan het nieuwe vaartuig deel zal uitmaken, in evenwicht zijn?</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Leg uit hoe bij het ontwerpen van de maatregel rekening is gehouden met het nationaal verslag en hoe het evenwicht wordt bereikt.</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op grond van punt (226) van de richtsnoeren aan dat de Commissie uiterlijk op 31 maart van jaar N+1 geen vraagtekens mag hebben geplaatst bij:</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349B3">
        <w:rPr>
          <w:rFonts w:ascii="Times New Roman" w:eastAsia="Times New Roman" w:hAnsi="Times New Roman"/>
          <w:sz w:val="24"/>
        </w:rPr>
      </w:r>
      <w:r w:rsidR="00C349B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de conclusie van het nationaal verslag van jaar N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C349B3">
        <w:rPr>
          <w:rFonts w:ascii="Times New Roman" w:eastAsia="Times New Roman" w:hAnsi="Times New Roman"/>
          <w:sz w:val="24"/>
        </w:rPr>
      </w:r>
      <w:r w:rsidR="00C349B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b) de beoordeling van het in het nationaal verslag van jaar N vervatte evenwicht</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steun op basis van het nationaal verslag van jaar N slechts mag worden toegekend tot en met 31 december van jaar N+1, d.w.z. het jaar volgend op het jaar van indiening van het verslag.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in bijlage II bij Verordening (EU) nr. 1380/2013 vermelde vangstcapaciteitsmaxima van elke lidstaat en van elk vlootsegment van de ultraperifere gebieden op geen enkel moment worden overschreden, rekening houdend met een mogelijke verlaging van die maxima uit hoofde van artikel 22, lid 6, van die verordening.</w:t>
      </w:r>
      <w: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Leg uit hoe aan deze voorwaarde wordt voldaan.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Bij de uitbreiding van de vloot met nieuwe, met steun verworven capaciteit moeten deze capaciteitsmaxima onverkort in acht worden genomen en mag er geen situatie ontstaan waarin deze maxima worden overschreden.</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aan de steun niet de voorwaarde mag worden verbonden dat het nieuwe vaartuig bij een bepaalde scheepswerf moet worden verworven.</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Zo ja, vermeld dan de desbetreffende bepaling(en) van de rechtsgrondslag.</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nadere beschrijving van de kosten die in het kader van de maatregel in aanmerking komen.</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maximale steunintensiteit voor de vaartuigen niet hoger mag zijn dan:</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60 % van de totale in aanmerking komende kosten bij vaartuigen met een lengte over alles van minder dan 12 meter</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lastRenderedPageBreak/>
        <w:t>50 % van de totale in aanmerking komende kosten bij vaartuigen met een lengte over alles van 12 tot 24 meter</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25 % van de totale in aanmerking komende kosten bij vaartuigen met een lengte over alles van ten minste 24 meter</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5FF8B2DB"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 xml:space="preserve">Geef aan in welke bepaling(en) van de rechtsgrondslag de maximale steunintensiteit(en) in het kader van de maatregel is (zijn) vermeld.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het met steun verworven vaartuig vanaf de datum van toekenning van de steun ten minste 15 jaar geregistreerd moet blijven in het ultraperifere gebied en in die periode al zijn vangsten moet aanlanden in een ultraperifeer gebied: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Geef aan of de begunstigde onderneming, indien niet aan die voorwaarde is voldaan, de steun moet terugbetalen in verhouding tot de periode of mate van niet-naleving.</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349B3">
        <w:rPr>
          <w:rFonts w:ascii="Times New Roman" w:eastAsia="Times New Roman" w:hAnsi="Times New Roman"/>
          <w:b/>
          <w:sz w:val="24"/>
        </w:rPr>
      </w:r>
      <w:r w:rsidR="00C349B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PB C 107 van 23.3.2023, blz. 1.</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Zie de punten (225), (226) en (227) van de richtsnoeren, waarin de opeenvolgende elementen worden beschreven van het nationaal verslag van jaar N en de door de Commissie uiterlijk op 31 maart van jaar N+1 te ondernemen actie en de periode van de steunverlening.</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Mededeling van de Commissie aan het Europees Parlement en de Raad — Richtsnoeren voor de analyse van het evenwicht tussen vangstcapaciteit en vangstmogelijkheden volgens artikel 22 van Verordening (EU) nr. 1380/2013 van het Europees Parlement en de Raad inzake het gemeenschappelijk visserijbeleid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349B3"/>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4</Pages>
  <Words>1166</Words>
  <Characters>6034</Characters>
  <Application>Microsoft Office Word</Application>
  <DocSecurity>0</DocSecurity>
  <Lines>167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IDZERDA Renee (DGT)</cp:lastModifiedBy>
  <cp:revision>160</cp:revision>
  <dcterms:created xsi:type="dcterms:W3CDTF">2023-01-05T14:31:00Z</dcterms:created>
  <dcterms:modified xsi:type="dcterms:W3CDTF">2024-08-07T12:33:00Z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