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Doplňkový informační list</w:t>
      </w:r>
      <w:r>
        <w:rPr>
          <w:b/>
          <w:smallCaps/>
          <w:sz w:val="24"/>
          <w:rFonts w:ascii="Times New Roman" w:hAnsi="Times New Roman"/>
        </w:rPr>
        <w:br/>
      </w:r>
      <w:r>
        <w:rPr>
          <w:b/>
          <w:smallCaps/>
          <w:sz w:val="24"/>
          <w:rFonts w:ascii="Times New Roman" w:hAnsi="Times New Roman"/>
        </w:rPr>
        <w:t xml:space="preserve">o podpoře na trvalé zastavení rybolovných činností</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i/>
          <w:sz w:val="24"/>
          <w:szCs w:val="24"/>
          <w:rFonts w:ascii="Times New Roman" w:eastAsia="Times New Roman" w:hAnsi="Times New Roman"/>
        </w:rPr>
      </w:pPr>
      <w:r>
        <w:rPr>
          <w:i/>
          <w:sz w:val="24"/>
          <w:rFonts w:ascii="Times New Roman" w:hAnsi="Times New Roman"/>
        </w:rPr>
        <w:t xml:space="preserve">Tento formulář musí členské státy používat pro oznamování případné státní podpory na trvalé zastavení rybolovných činností, jak je popsáno v oddíle 3.4 kapitoly 3 části II pokynů ke státní podpoře v odvětví rybolovu a akvakultury</w:t>
      </w:r>
      <w:r w:rsidR="002F32FD">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(dále jen „pokyny“).</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rybářská plavidla Unie, pro která je podpora poskytnuta, nesmí být převedena ani změnit vlajku mimo Unii po dobu nejméně pěti let od poslední platby podpory.</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31CC4F12"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3C410C0" w14:textId="0355EC79" w:rsidR="009D3BF2" w:rsidRPr="007B3E6C" w:rsidRDefault="009D3BF2" w:rsidP="009D3BF2">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Pokud se opatření týká pouze vrakování rybářských plavidel, tato otázka se nepoužije.</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zastavení je plánováno jako nástroj akčního plánu podle čl. 22 odst. 4 nařízení (EU) č.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Pokud má opatření důvody hospodářské povahy nebo jiné důvody související se zachováním biologických mořských zdrojů podle bodu 277 pokynů, tato otázka se nepoužije.</w:t>
      </w:r>
      <w:r>
        <w:rPr>
          <w:i/>
          <w:sz w:val="24"/>
          <w:rFonts w:ascii="Times New Roman" w:hAnsi="Times New Roman"/>
        </w:rPr>
        <w:t xml:space="preserve"> </w:t>
      </w:r>
      <w:r>
        <w:rPr>
          <w:i/>
          <w:sz w:val="24"/>
          <w:rFonts w:ascii="Times New Roman" w:hAnsi="Times New Roman"/>
        </w:rPr>
        <w:t xml:space="preserve">Tato otázka se rovněž nepoužije, pokud se opatření týká vnitrozemského rybolovu.</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trvalého zastavení rybolovných činností bude dosaženo:</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vrakováním rybářského plavidla;</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vyřazením rybářského plavidla z provozu a dodatečným vybavením pro jiné činnosti, než je komerční rybolov;</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obojím, tj. trvalého zastavení bude dosaženo vrakováním a vyřazením rybářského plavidla z provozu a jeho dodatečným vybavením</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Uveďte ustanovení právního základu, které odpovídá (která odpovídají) vašemu výběru.</w:t>
      </w:r>
    </w:p>
    <w:p w14:paraId="2CD28190" w14:textId="77777777" w:rsidR="00C25FCA" w:rsidRDefault="00C25FCA" w:rsidP="00C25FCA">
      <w:pPr>
        <w:rPr>
          <w:sz w:val="24"/>
          <w:szCs w:val="24"/>
          <w:rFonts w:ascii="Times New Roman" w:eastAsia="Times New Roman" w:hAnsi="Times New Roman"/>
        </w:rPr>
      </w:pPr>
      <w:r>
        <w:rPr>
          <w:sz w:val="24"/>
          <w:rFonts w:ascii="Times New Roman" w:hAnsi="Times New Roman"/>
        </w:rPr>
        <w:t xml:space="preserve">………………………………………………………………………………………………….</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rybářská plavidla musí být registrována jako aktivní plavidla a prováděla rybolovnou činnost po dobu nejméně 90 dnů za rok během posledních dvou kalendářních let předcházejících datu podání žádosti o podporu.</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69CB2E03" w14:textId="41B58B64" w:rsidR="00114BDD" w:rsidRPr="001E103F" w:rsidRDefault="00693BB6" w:rsidP="009D3BF2">
      <w:pPr>
        <w:rPr>
          <w:sz w:val="24"/>
          <w:szCs w:val="24"/>
          <w:rFonts w:ascii="Times New Roman" w:eastAsia="Times New Roman" w:hAnsi="Times New Roman"/>
        </w:rPr>
      </w:pPr>
      <w:r>
        <w:rPr>
          <w:sz w:val="24"/>
          <w:rFonts w:ascii="Times New Roman" w:hAnsi="Times New Roman"/>
        </w:rPr>
        <w:t xml:space="preserve">………………………………………………………………………………………………….</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sz w:val="24"/>
          <w:szCs w:val="24"/>
          <w:rFonts w:ascii="Times New Roman" w:eastAsia="Times New Roman" w:hAnsi="Times New Roman"/>
        </w:rPr>
      </w:pPr>
      <w:bookmarkStart w:id="0" w:name="_Hlk125376374"/>
      <w:r>
        <w:rPr>
          <w:sz w:val="24"/>
          <w:rFonts w:ascii="Times New Roman" w:hAnsi="Times New Roman"/>
        </w:rPr>
        <w:t xml:space="preserve">Je-li dotčená rybolovná činnost takové povahy, že ji nelze provozovat po celý kalendářní rok, minimální požadavek na rybolovnou činnost stanovený v bodě 275 písm. c) lze snížit za předpokladu, že poměr mezi počtem dnů činnosti a počtem dnů rybolovu je stejný jako poměr mezi počtem dnů činnosti a počtem kalendářních dnů v roce u přijímajících podniků, které loví ryby celoročně.</w:t>
      </w:r>
      <w:r>
        <w:rPr>
          <w:sz w:val="24"/>
          <w:rFonts w:ascii="Times New Roman" w:hAnsi="Times New Roman"/>
        </w:rPr>
        <w:t xml:space="preserve">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takovém případě podrobně popište povahu rybolovné činnosti, které se opatření týká, vysvětlete, jak byl vypočten minimální požadavek na rybolovnou činnost, a uveďte příslušné ustanovení (příslušná ustanovení) právního základu.</w:t>
      </w:r>
    </w:p>
    <w:p w14:paraId="18D4D02B" w14:textId="13F19FEE" w:rsidR="00114BDD" w:rsidRDefault="003F6C33" w:rsidP="009D3BF2">
      <w:pPr>
        <w:rPr>
          <w:sz w:val="24"/>
          <w:szCs w:val="24"/>
          <w:rFonts w:ascii="Times New Roman" w:eastAsia="Times New Roman" w:hAnsi="Times New Roman"/>
        </w:rPr>
      </w:pPr>
      <w:r>
        <w:rPr>
          <w:sz w:val="24"/>
          <w:rFonts w:ascii="Times New Roman" w:hAnsi="Times New Roman"/>
        </w:rPr>
        <w:t xml:space="preserve">………………………………………………………………………………………………….</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sz w:val="24"/>
          <w:szCs w:val="24"/>
          <w:rFonts w:ascii="Times New Roman" w:hAnsi="Times New Roman"/>
        </w:rPr>
      </w:pPr>
      <w:r>
        <w:rPr>
          <w:sz w:val="24"/>
          <w:rFonts w:ascii="Times New Roman" w:hAnsi="Times New Roman"/>
        </w:rPr>
        <w:t xml:space="preserve">Pokud se opatření týká vnitrozemského rybolovu a rybářská plavidla jsou činná v odlovu několika druhů, u nichž je ve vnitrozemských vodách povolen různý počet dnů rybolovu, je počet dnů rybolovu pro výpočet poměru uvedeného v bodě 276 pokynů roven průměru počtu dnů rybolovu povolených pro odlovy prováděné tímto plavidlem.</w:t>
      </w:r>
      <w:r>
        <w:rPr>
          <w:sz w:val="24"/>
          <w:rFonts w:ascii="Times New Roman" w:hAnsi="Times New Roman"/>
        </w:rPr>
        <w:t xml:space="preserve"> </w:t>
      </w:r>
      <w:r>
        <w:rPr>
          <w:sz w:val="24"/>
          <w:rFonts w:ascii="Times New Roman" w:hAnsi="Times New Roman"/>
        </w:rPr>
        <w:t xml:space="preserve">Minimální počet dnů rybolovných činností vyplývající z takové úpravy však nesmí být v žádném případě nižší než 30 dnů nebo vyšší než 90 dnů.</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sz w:val="24"/>
          <w:szCs w:val="24"/>
          <w:rFonts w:ascii="Times New Roman" w:hAnsi="Times New Roman"/>
        </w:rPr>
      </w:pPr>
      <w:bookmarkStart w:id="1" w:name="_Hlk125377419"/>
      <w:r>
        <w:rPr>
          <w:sz w:val="24"/>
          <w:rFonts w:ascii="Times New Roman" w:hAnsi="Times New Roman"/>
        </w:rPr>
        <w:t xml:space="preserve">V takovém případě podrobně popište právní a/nebo správní rámec, který se na daný vnitrozemský rybolov vztahuje, vysvětlete, jak byl vypočten minimální požadavek na rybolovnou činnost, a uveďte příslušné ustanovení (příslušná ustanovení) právního základu.</w:t>
      </w:r>
    </w:p>
    <w:p w14:paraId="6D993831" w14:textId="26E10A97" w:rsidR="0092025C" w:rsidRPr="001E103F" w:rsidRDefault="001E103F" w:rsidP="009D3BF2">
      <w:pPr>
        <w:rPr>
          <w:sz w:val="24"/>
          <w:szCs w:val="24"/>
          <w:rFonts w:ascii="Times New Roman" w:eastAsia="Times New Roman" w:hAnsi="Times New Roman"/>
        </w:rPr>
      </w:pPr>
      <w:r>
        <w:rPr>
          <w:sz w:val="24"/>
          <w:rFonts w:ascii="Times New Roman" w:hAnsi="Times New Roman"/>
        </w:rPr>
        <w:t xml:space="preserve">………………………………………………………………………………………………….</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rovnocenná rybolovná kapacita bude trvale vyřazena z rejstříku rybářského loďstva Unie a že tato kapacita nebude nahrazena.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se opatření týká vnitrozemského rybolovu, potvrďte, že se podmínka použije ve vztahu k příslušnému rejstříku vnitrostátního loďstva, je-li podle vnitrostátního práva k dispozici, a nikoli ve vztahu k rejstříku loďstva Unie.</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je odpověď na otázky 5 nebo 5.1 kladná, uveďte příslušné ustanovení (příslušná ustanovení) v právním základu.</w:t>
      </w:r>
    </w:p>
    <w:p w14:paraId="5AA82C37"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příslušné licence k rybolovu a oprávnění k rybolovu budou trvale odebrány.</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37D67B49" w14:textId="03B64879"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přijímající podniky nezaregistrují žádné rybářské plavidlo po dobu pěti let od obdržení podpory.</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se opatření týká vnitrozemského rybolovu, potvrďte, že se podmínka použije ve vztahu k příslušnému rejstříku vnitrostátního loďstva, je-li podle vnitrostátního práva k dispozici, a nikoli ve vztahu k rejstříku loďstva Unie.</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je odpověď na otázku 7 nebo 7.1 kladná, uveďte příslušné ustanovení (příslušná ustanovení) v právním základu.</w:t>
      </w:r>
    </w:p>
    <w:p w14:paraId="34906596" w14:textId="052294FA" w:rsidR="00693BB6" w:rsidRPr="001E103F" w:rsidRDefault="00693BB6" w:rsidP="00814101">
      <w:pPr>
        <w:rPr>
          <w:sz w:val="24"/>
          <w:szCs w:val="24"/>
          <w:rFonts w:ascii="Times New Roman" w:eastAsia="Times New Roman" w:hAnsi="Times New Roman"/>
        </w:rPr>
      </w:pPr>
      <w:r>
        <w:rPr>
          <w:sz w:val="24"/>
          <w:rFonts w:ascii="Times New Roman" w:hAnsi="Times New Roman"/>
        </w:rPr>
        <w:t xml:space="preserve">………………………………………………………………………………………………….</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má opatření důvody hospodářské povahy nebo jiné důvody související se zachováním biologických mořských zdrojů podle bodu 277 pokynů, nebo pokud se opatření týká vnitrozemského rybolovu podle bodu 280 pokynů, zaměřte se na následující otázky:</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 w:name="_Ref125107693"/>
      <w:r>
        <w:rPr>
          <w:sz w:val="24"/>
          <w:rFonts w:ascii="Times New Roman" w:hAnsi="Times New Roman"/>
        </w:rPr>
        <w:t xml:space="preserve">Podrobně vysvětlete okolnosti, které odůvodňují trvalé zastavení</w:t>
      </w:r>
      <w:bookmarkEnd w:id="2"/>
      <w:r>
        <w:t xml:space="preserve">, </w:t>
      </w:r>
      <w:r>
        <w:rPr>
          <w:sz w:val="24"/>
          <w:rFonts w:ascii="Times New Roman" w:hAnsi="Times New Roman"/>
        </w:rPr>
        <w:t xml:space="preserve">a uveďte například hospodářské nebo ekologické důvody.</w:t>
      </w:r>
    </w:p>
    <w:p w14:paraId="728C6C06"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76717"/>
      <w:r>
        <w:rPr>
          <w:sz w:val="24"/>
          <w:rFonts w:ascii="Times New Roman" w:hAnsi="Times New Roman"/>
        </w:rPr>
        <w:t xml:space="preserve">Uveďte cíl opatření:</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 opatření pro zachování zdrojů podložená vědeckými důkazy</w:t>
      </w:r>
      <w:r>
        <w:t xml:space="preserve">,</w:t>
      </w:r>
    </w:p>
    <w:p w14:paraId="0633FD28" w14:textId="5BFEAC87" w:rsidR="003E1E24" w:rsidRPr="001E103F" w:rsidRDefault="003E1E24" w:rsidP="003E1E24">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 důvody hospodářské povahy.</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5377676"/>
      <w:r>
        <w:rPr>
          <w:sz w:val="24"/>
          <w:rFonts w:ascii="Times New Roman" w:hAnsi="Times New Roman"/>
        </w:rPr>
        <w:t xml:space="preserve">V případě opatření pro zachování zdrojů uveďte souhrn vědeckých důkazů, které opatření podporují.</w:t>
      </w:r>
      <w:r>
        <w:rPr>
          <w:sz w:val="24"/>
          <w:rFonts w:ascii="Times New Roman" w:hAnsi="Times New Roman"/>
        </w:rPr>
        <w:t xml:space="preserve"> </w:t>
      </w:r>
    </w:p>
    <w:p w14:paraId="4504903E"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případě důvodů hospodářské povahy podrobně vysvětlete ekonomické zdůvodnění trvalého zastavení (pokud již nebylo popsáno v odpovědi na otázku č. </w:t>
      </w:r>
      <w:r w:rsidRPr="001E103F">
        <w:rPr>
          <w:sz w:val="24"/>
          <w:rFonts w:ascii="Times New Roman" w:eastAsia="Times New Roman" w:hAnsi="Times New Roman"/>
        </w:rPr>
        <w:fldChar w:fldCharType="begin" w:dirty="true"/>
      </w:r>
      <w:r w:rsidRPr="001E103F">
        <w:rPr>
          <w:sz w:val="24"/>
          <w:rFonts w:ascii="Times New Roman" w:eastAsia="Times New Roman" w:hAnsi="Times New Roman"/>
        </w:rPr>
        <w:instrText xml:space="preserve"> REF _Ref125107693 \r \h  \* MERGEFORMAT </w:instrText>
      </w:r>
      <w:r w:rsidRPr="001E103F">
        <w:rPr>
          <w:sz w:val="24"/>
          <w:rFonts w:ascii="Times New Roman" w:eastAsia="Times New Roman" w:hAnsi="Times New Roman"/>
        </w:rPr>
      </w:r>
      <w:r w:rsidRPr="001E103F">
        <w:rPr>
          <w:sz w:val="24"/>
          <w:rFonts w:ascii="Times New Roman" w:eastAsia="Times New Roman" w:hAnsi="Times New Roman"/>
        </w:rPr>
        <w:fldChar w:fldCharType="separate"/>
      </w:r>
      <w:r w:rsidR="00814101">
        <w:rPr>
          <w:sz w:val="24"/>
          <w:rFonts w:ascii="Times New Roman" w:eastAsia="Times New Roman" w:hAnsi="Times New Roman"/>
        </w:rPr>
        <w:t>8</w:t>
      </w:r>
      <w:r w:rsidR="001E50D6">
        <w:rPr>
          <w:sz w:val="24"/>
          <w:rFonts w:ascii="Times New Roman" w:eastAsia="Times New Roman" w:hAnsi="Times New Roman"/>
        </w:rPr>
        <w:t>.1</w:t>
      </w:r>
      <w:r w:rsidRPr="001E103F">
        <w:rPr>
          <w:sz w:val="24"/>
          <w:rFonts w:ascii="Times New Roman" w:eastAsia="Times New Roman" w:hAnsi="Times New Roman"/>
        </w:rPr>
        <w:fldChar w:fldCharType="end"/>
      </w:r>
      <w:r>
        <w:rPr>
          <w:sz w:val="24"/>
          <w:rFonts w:ascii="Times New Roman" w:hAnsi="Times New Roman"/>
        </w:rPr>
        <w:t xml:space="preserve">).</w:t>
      </w:r>
      <w:r>
        <w:rPr>
          <w:sz w:val="24"/>
          <w:rFonts w:ascii="Times New Roman" w:hAnsi="Times New Roman"/>
        </w:rPr>
        <w:t xml:space="preserve"> </w:t>
      </w:r>
    </w:p>
    <w:p w14:paraId="32822158" w14:textId="77777777" w:rsidR="003E1E24" w:rsidRPr="001E103F" w:rsidRDefault="003E1E24" w:rsidP="003E1E24">
      <w:pPr>
        <w:rPr>
          <w:sz w:val="24"/>
          <w:szCs w:val="24"/>
          <w:rFonts w:ascii="Times New Roman" w:eastAsia="Times New Roman" w:hAnsi="Times New Roman"/>
        </w:rPr>
      </w:pPr>
      <w:r>
        <w:rPr>
          <w:sz w:val="24"/>
          <w:rFonts w:ascii="Times New Roman" w:hAnsi="Times New Roman"/>
        </w:rPr>
        <w:t xml:space="preserve">………………………………………………………………………………………………….</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76523"/>
      <w:r>
        <w:rPr>
          <w:sz w:val="24"/>
          <w:rFonts w:ascii="Times New Roman" w:hAnsi="Times New Roman"/>
        </w:rPr>
        <w:t xml:space="preserve">Pokud jde o vnitrozemský rybolov, potvrďte, že podporu v rámci opatření lze poskytnout pouze přijímajícím podnikům, které působí výhradně ve vnitrozemských vodách.</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bookmarkEnd w:id="5"/>
    <w:p w14:paraId="144A3792" w14:textId="77777777" w:rsidR="00693BB6" w:rsidRDefault="00693BB6" w:rsidP="00693BB6">
      <w:pPr>
        <w:rPr>
          <w:sz w:val="24"/>
          <w:szCs w:val="24"/>
          <w:rFonts w:ascii="Times New Roman" w:eastAsia="Times New Roman" w:hAnsi="Times New Roman"/>
        </w:rPr>
      </w:pPr>
      <w:r>
        <w:rPr>
          <w:sz w:val="24"/>
          <w:rFonts w:ascii="Times New Roman" w:hAnsi="Times New Roman"/>
        </w:rPr>
        <w:t xml:space="preserve">………………………………………………………………………………………………….</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Potvrďte, že opatření stanoví, že přijímající podniky se zavážou, že od okamžiku podání žádosti o podporu do uplynutí pěti let po vyplacení podpory nezvýší svou aktivní rybolovnou kapacitu.</w:t>
      </w:r>
      <w:r>
        <w:rPr>
          <w:sz w:val="24"/>
          <w:rFonts w:ascii="Times New Roman" w:hAnsi="Times New Roman"/>
        </w:rPr>
        <w:t xml:space="preserve">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5B778D2A"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Potvrďte, že opatření stanoví, že přijímající podniky se rovněž zavážou, že podporu nevyužijí k výměně nebo modernizaci svých motorů, pokud nejsou splněny podmínky stanovené v článku 18 nařízení (EU) 2021/1139</w:t>
      </w:r>
      <w:r w:rsidR="00814101">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37998593" w14:textId="77777777" w:rsidR="006741CF" w:rsidRDefault="006741CF" w:rsidP="006741CF">
      <w:pPr>
        <w:rPr>
          <w:sz w:val="24"/>
          <w:szCs w:val="24"/>
          <w:rFonts w:ascii="Times New Roman" w:eastAsia="Times New Roman" w:hAnsi="Times New Roman"/>
        </w:rPr>
      </w:pPr>
      <w:r>
        <w:rPr>
          <w:sz w:val="24"/>
          <w:rFonts w:ascii="Times New Roman" w:hAnsi="Times New Roman"/>
        </w:rPr>
        <w:t xml:space="preserve">………………………………………………………………………………………………….</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jeden rok před oznámením oznamující členský stát poskytl podporu nebo provedl operace v rámci Evropského námořního a rybářského fondu (ENRF) nebo Evropského námořního, rybářského a akvakulturního fondu (ENRAF) vedoucí ke zvýšení rybolovné kapacity v mořské oblasti nebo pokud zahrnul tyto operace do vnitrostátního programu ENRAF, podrobně vysvětlete, do jaké míry je podpora na trvalé zastavení rybolovných činností v téže mořské oblasti slučitelná s takovým zvýšením rybolovné kapacity, a doložte opodstatněnost podpory a její nezbytnost.</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sz w:val="24"/>
          <w:szCs w:val="24"/>
          <w:rFonts w:ascii="Times New Roman" w:eastAsia="Times New Roman" w:hAnsi="Times New Roman"/>
        </w:rPr>
      </w:pPr>
      <w:r>
        <w:rPr>
          <w:sz w:val="24"/>
          <w:rFonts w:ascii="Times New Roman" w:hAnsi="Times New Roman"/>
        </w:rPr>
        <w:t xml:space="preserve">………………………………………………………………………………………………….</w:t>
      </w:r>
    </w:p>
    <w:p w14:paraId="264242A7" w14:textId="469B24A9" w:rsidR="00814101" w:rsidRPr="003E1E24" w:rsidRDefault="00814101" w:rsidP="00814101">
      <w:pPr>
        <w:autoSpaceDE w:val="0"/>
        <w:autoSpaceDN w:val="0"/>
        <w:adjustRightInd w:val="0"/>
        <w:spacing w:after="0" w:line="240" w:lineRule="auto"/>
        <w:jc w:val="both"/>
        <w:rPr>
          <w:i/>
          <w:iCs/>
          <w:sz w:val="24"/>
          <w:szCs w:val="24"/>
          <w:rFonts w:ascii="Times New Roman" w:eastAsia="Times New Roman" w:hAnsi="Times New Roman"/>
        </w:rPr>
      </w:pPr>
      <w:r>
        <w:rPr>
          <w:i/>
          <w:sz w:val="24"/>
          <w:rFonts w:ascii="Times New Roman" w:hAnsi="Times New Roman"/>
        </w:rPr>
        <w:t xml:space="preserve">Pokud se opatření týká vnitrozemského rybolovu, tato otázka se nepoužije.</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příjemce podpory:</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majitelé rybářských plavidel Unie, na které se trvalé zastavení rybolovných činností vztahuje;</w:t>
      </w:r>
    </w:p>
    <w:p w14:paraId="0F36EBF0" w14:textId="4572D9E1" w:rsidR="00683B68" w:rsidRPr="001E103F" w:rsidRDefault="00683B68" w:rsidP="001E50D6">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rybáři, kteří pracovali na palubě rybářského plavidla Unie, jehož se trvalé zastavení týká, nejméně 90 dnů za rok během posledních dvou kalendářních let předcházejících datu podání žádosti o podporu;</w:t>
      </w:r>
    </w:p>
    <w:p w14:paraId="3E8C9E38" w14:textId="66FB2E8C" w:rsidR="00683B68" w:rsidRPr="001E103F" w:rsidRDefault="00683B68" w:rsidP="00683B68">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obojí, tj. kategorie příjemců zahrnují písmena a) i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Uveďte ustanovení právního základu, které odpovídá (která odpovídají) vašemu výběru.</w:t>
      </w:r>
    </w:p>
    <w:p w14:paraId="552A79DF" w14:textId="77777777" w:rsidR="0026001A" w:rsidRDefault="0026001A" w:rsidP="0026001A">
      <w:pPr>
        <w:rPr>
          <w:sz w:val="24"/>
          <w:szCs w:val="24"/>
          <w:rFonts w:ascii="Times New Roman" w:eastAsia="Times New Roman" w:hAnsi="Times New Roman"/>
        </w:rPr>
      </w:pPr>
      <w:r>
        <w:rPr>
          <w:sz w:val="24"/>
          <w:rFonts w:ascii="Times New Roman" w:hAnsi="Times New Roman"/>
        </w:rPr>
        <w:t xml:space="preserve">………………………………………………………………………………………………….</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Vysvětlete, jak byl výše uvedený minimální počet 90 dnů pro rybáře vypočten, pokud se na příslušná rybářská plavidla vztahují případné úpravy, s přihlédnutím k bodům 283, 276 a 281 pokynů.</w:t>
      </w:r>
    </w:p>
    <w:p w14:paraId="7A69CAEE" w14:textId="77777777" w:rsidR="006D57B3" w:rsidRPr="001E103F" w:rsidRDefault="006D57B3" w:rsidP="006D57B3">
      <w:pPr>
        <w:rPr>
          <w:sz w:val="24"/>
          <w:szCs w:val="24"/>
          <w:rFonts w:ascii="Times New Roman" w:eastAsia="Times New Roman" w:hAnsi="Times New Roman"/>
        </w:rPr>
      </w:pPr>
      <w:r>
        <w:rPr>
          <w:sz w:val="24"/>
          <w:rFonts w:ascii="Times New Roman" w:hAnsi="Times New Roman"/>
        </w:rPr>
        <w:t xml:space="preserve">………………………………………………………………………………………………….</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rybáři zastaví veškeré rybolovné činnosti na dobu pěti let od obdržení podpory a že – pokud rybář opět zahájí rybolovné činnosti v tomto období – musí vrátit částky neoprávněně vyplacené v souvislosti s touto podporou ve výši úměrné období, během něhož nebyla splněna uvedená podmínka.</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2364EB6E" w14:textId="51ED5699" w:rsidR="000E6ABB" w:rsidRDefault="000E6ABB" w:rsidP="00E0325E">
      <w:pPr>
        <w:rPr>
          <w:sz w:val="24"/>
          <w:szCs w:val="24"/>
          <w:rFonts w:ascii="Times New Roman" w:eastAsia="Times New Roman" w:hAnsi="Times New Roman"/>
        </w:rPr>
      </w:pPr>
      <w:r>
        <w:rPr>
          <w:sz w:val="24"/>
          <w:rFonts w:ascii="Times New Roman" w:hAnsi="Times New Roman"/>
        </w:rPr>
        <w:t xml:space="preserve">………………………………………………………………………………………………….</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Podrobně popište zavedené kontrolní a donucovací mechanismy, které zaručují dodržení podmínek spojených s trvalým zastavením, včetně zajištění trvalého stažení kapacity a zastavení veškerých rybolovných činností dotčeného plavidla nebo rybářů v návaznosti na toto opatření.</w:t>
      </w:r>
      <w:r>
        <w:rPr>
          <w:sz w:val="24"/>
          <w:rFonts w:ascii="Times New Roman" w:hAnsi="Times New Roman"/>
        </w:rPr>
        <w:t xml:space="preserve"> </w:t>
      </w:r>
      <w:r>
        <w:rPr>
          <w:sz w:val="24"/>
          <w:rFonts w:ascii="Times New Roman" w:hAnsi="Times New Roman"/>
        </w:rPr>
        <w:t xml:space="preserve">Při neexistenci rejstříku vnitrostátního loďstva použitelného pro vnitrozemské vody musí členské státy rovněž prokázat, že uvedené kontrolní a donucovací mechanismy zajišťují řízení kapacity srovnatelné s tím, které se uplatňuje u mořského rybolovu.</w:t>
      </w:r>
    </w:p>
    <w:p w14:paraId="1B3938AE" w14:textId="77777777" w:rsidR="006D57B3" w:rsidRPr="001E103F" w:rsidRDefault="006D57B3" w:rsidP="00F117EF">
      <w:pPr>
        <w:rPr>
          <w:sz w:val="24"/>
          <w:szCs w:val="24"/>
          <w:rFonts w:ascii="Times New Roman" w:eastAsia="Times New Roman" w:hAnsi="Times New Roman"/>
        </w:rPr>
      </w:pPr>
      <w:r>
        <w:rPr>
          <w:sz w:val="24"/>
          <w:rFonts w:ascii="Times New Roman" w:hAnsi="Times New Roman"/>
        </w:rPr>
        <w:t xml:space="preserve">………………………………………………………………………………………………….</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způsobilé náklady se musí vypočítat na úrovni jednotlivého příjemce.</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4E57826E" w14:textId="7B4EFF7B" w:rsidR="00F117EF" w:rsidRDefault="00F117EF" w:rsidP="00E0325E">
      <w:pPr>
        <w:rPr>
          <w:sz w:val="24"/>
          <w:szCs w:val="24"/>
          <w:rFonts w:ascii="Times New Roman" w:eastAsia="Times New Roman" w:hAnsi="Times New Roman"/>
        </w:rPr>
      </w:pPr>
      <w:r>
        <w:rPr>
          <w:sz w:val="24"/>
          <w:rFonts w:ascii="Times New Roman" w:hAnsi="Times New Roman"/>
        </w:rPr>
        <w:t xml:space="preserve">………………………………………………………………………………………………….</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způsobilé náklady:</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v případě vrakování rybářských plavidel:</w:t>
      </w:r>
    </w:p>
    <w:p w14:paraId="33430DB0" w14:textId="77777777" w:rsidR="00E0325E"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náklady na vrakování rybářských plavidel,</w:t>
      </w:r>
      <w:r>
        <w:rPr>
          <w:sz w:val="24"/>
          <w:rFonts w:ascii="Times New Roman" w:hAnsi="Times New Roman"/>
        </w:rPr>
        <w:t xml:space="preserve"> </w:t>
      </w:r>
    </w:p>
    <w:p w14:paraId="459E0D44" w14:textId="2E70EA29" w:rsidR="006C0203" w:rsidRPr="001E103F" w:rsidRDefault="00E0325E" w:rsidP="00E0325E">
      <w:pPr>
        <w:spacing w:after="120" w:line="240" w:lineRule="auto"/>
        <w:ind w:left="144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 xml:space="preserve"> </w:t>
      </w:r>
      <w:r>
        <w:rPr>
          <w:sz w:val="24"/>
          <w:rFonts w:ascii="Times New Roman" w:hAnsi="Times New Roman"/>
        </w:rPr>
        <w:t xml:space="preserve">náhradu ztrát hodnoty vrakovaného rybářského plavidla, měřené jako jeho aktuální prodejní hodnota,</w:t>
      </w:r>
    </w:p>
    <w:p w14:paraId="7391D27F" w14:textId="1D8E8659" w:rsidR="006C0203" w:rsidRPr="001E103F" w:rsidRDefault="006C0203" w:rsidP="00091B7A">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v případě vyřazení z provozu a dodatečného vybavení pro jiné činnosti, než je komerční rybolov:</w:t>
      </w:r>
      <w:r>
        <w:rPr>
          <w:sz w:val="24"/>
          <w:rFonts w:ascii="Times New Roman" w:hAnsi="Times New Roman"/>
        </w:rPr>
        <w:t xml:space="preserve"> </w:t>
      </w:r>
      <w:r>
        <w:rPr>
          <w:sz w:val="24"/>
          <w:rFonts w:ascii="Times New Roman" w:hAnsi="Times New Roman"/>
        </w:rPr>
        <w:t xml:space="preserve">investiční náklady související s přestavbou rybářského plavidla pro účely jiných hospodářských činností,</w:t>
      </w:r>
    </w:p>
    <w:p w14:paraId="4DD79CB5" w14:textId="303F1DD8" w:rsidR="006C0203" w:rsidRPr="001E103F" w:rsidRDefault="006C0203" w:rsidP="006C0203">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náklady související s rybáři, které mohou zahrnovat i povinné sociální náklady odvíjející se od provádění trvalého zastavení, pokud tyto náklady nejsou pokryty jinými vnitrostátními předpisy pro případ zastavení podnikatelské činnosti</w:t>
      </w:r>
      <w:r>
        <w:t xml:space="preserve">.</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6" w:name="_Hlk125378825"/>
      <w:r>
        <w:rPr>
          <w:sz w:val="24"/>
          <w:rFonts w:ascii="Times New Roman" w:hAnsi="Times New Roman"/>
        </w:rPr>
        <w:t xml:space="preserve">Uveďte ustanovení právního základu, které odpovídá (která odpovídají) vašemu výběru.</w:t>
      </w:r>
    </w:p>
    <w:p w14:paraId="3ED215EA" w14:textId="6ADF8198" w:rsidR="00F117EF" w:rsidRDefault="00F117EF" w:rsidP="00F117EF">
      <w:pPr>
        <w:rPr>
          <w:sz w:val="24"/>
          <w:szCs w:val="24"/>
          <w:rFonts w:ascii="Times New Roman" w:eastAsia="Times New Roman" w:hAnsi="Times New Roman"/>
        </w:rPr>
      </w:pPr>
      <w:r>
        <w:rPr>
          <w:sz w:val="24"/>
          <w:rFonts w:ascii="Times New Roman" w:hAnsi="Times New Roman"/>
        </w:rPr>
        <w:t xml:space="preserve">………………………………………………………………………………………………….</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Podrobně popište způsobilé náklady.</w:t>
      </w:r>
    </w:p>
    <w:p w14:paraId="54256244" w14:textId="77777777" w:rsidR="00E0325E" w:rsidRDefault="00E0325E" w:rsidP="00E0325E">
      <w:pPr>
        <w:rPr>
          <w:sz w:val="24"/>
          <w:szCs w:val="24"/>
          <w:rFonts w:ascii="Times New Roman" w:eastAsia="Times New Roman" w:hAnsi="Times New Roman"/>
        </w:rPr>
      </w:pPr>
      <w:r>
        <w:rPr>
          <w:sz w:val="24"/>
          <w:rFonts w:ascii="Times New Roman" w:hAnsi="Times New Roman"/>
        </w:rPr>
        <w:t xml:space="preserve">………………………………………………………………………………………………….</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Ref127293339"/>
      <w:r>
        <w:rPr>
          <w:sz w:val="24"/>
          <w:rFonts w:ascii="Times New Roman" w:hAnsi="Times New Roman"/>
        </w:rPr>
        <w:t xml:space="preserve">Potvrďte, že způsobilé náklady se musí snížit o veškeré náklady, které nevznikly v důsledku trvalého zastavení rybolovných činností a které by jinak přijímajícímu podniku vznikly.</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765FFB">
        <w:rPr>
          <w:sz w:val="24"/>
          <w:rFonts w:ascii="Times New Roman" w:eastAsia="Times New Roman" w:hAnsi="Times New Roman"/>
        </w:rPr>
      </w:r>
      <w:r w:rsidR="00765FFB">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náklady.</w:t>
      </w:r>
      <w:r>
        <w:rPr>
          <w:sz w:val="24"/>
          <w:rFonts w:ascii="Times New Roman" w:hAnsi="Times New Roman"/>
        </w:rPr>
        <w:t xml:space="preserve"> </w:t>
      </w:r>
    </w:p>
    <w:p w14:paraId="146C2BB4" w14:textId="77777777" w:rsidR="00091B7A" w:rsidRPr="001C6F78" w:rsidRDefault="00091B7A" w:rsidP="00091B7A">
      <w:pPr>
        <w:rPr>
          <w:sz w:val="24"/>
          <w:szCs w:val="24"/>
          <w:rFonts w:ascii="Times New Roman" w:eastAsia="Times New Roman" w:hAnsi="Times New Roman"/>
        </w:rPr>
      </w:pPr>
      <w:r>
        <w:rPr>
          <w:sz w:val="24"/>
          <w:rFonts w:ascii="Times New Roman" w:hAnsi="Times New Roman"/>
        </w:rPr>
        <w:t xml:space="preserve">………………………………………………………………………………………………….</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5449E5F4" w14:textId="77777777" w:rsidR="00091B7A" w:rsidRDefault="00091B7A" w:rsidP="00091B7A">
      <w:pPr>
        <w:rPr>
          <w:sz w:val="24"/>
          <w:szCs w:val="24"/>
          <w:rFonts w:ascii="Times New Roman" w:eastAsia="Times New Roman" w:hAnsi="Times New Roman"/>
        </w:rPr>
      </w:pPr>
      <w:r>
        <w:rPr>
          <w:sz w:val="24"/>
          <w:rFonts w:ascii="Times New Roman" w:hAnsi="Times New Roman"/>
        </w:rPr>
        <w:t xml:space="preserve">………………………………………………………………………………………………….</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sz w:val="24"/>
          <w:szCs w:val="24"/>
          <w:rFonts w:ascii="Times New Roman" w:eastAsia="Times New Roman" w:hAnsi="Times New Roman"/>
        </w:rPr>
      </w:pPr>
      <w:bookmarkStart w:id="8" w:name="_Hlk125379591"/>
      <w:r>
        <w:rPr>
          <w:sz w:val="24"/>
          <w:rFonts w:ascii="Times New Roman" w:hAnsi="Times New Roman"/>
        </w:rPr>
        <w:t xml:space="preserve">Potvrďte, že opatření stanoví, že maximální intenzita podpory nepřekračuje 100 % způsobilých nákladů.</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765FFB">
        <w:rPr>
          <w:b/>
          <w:sz w:val="24"/>
          <w:rFonts w:ascii="Times New Roman" w:eastAsia="Times New Roman" w:hAnsi="Times New Roman"/>
        </w:rPr>
      </w:r>
      <w:r w:rsidR="00765FFB">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Uveďte maximální intenzity podpory použitelné v rámci opatření.</w:t>
      </w:r>
    </w:p>
    <w:p w14:paraId="28CCB5A0" w14:textId="77777777" w:rsidR="008074E7" w:rsidRDefault="008074E7" w:rsidP="008074E7">
      <w:pPr>
        <w:rPr>
          <w:sz w:val="24"/>
          <w:szCs w:val="24"/>
          <w:rFonts w:ascii="Times New Roman" w:eastAsia="Times New Roman" w:hAnsi="Times New Roman"/>
        </w:rPr>
      </w:pPr>
      <w:r>
        <w:rPr>
          <w:sz w:val="24"/>
          <w:rFonts w:ascii="Times New Roman" w:hAnsi="Times New Roman"/>
        </w:rPr>
        <w:t xml:space="preserve">………………………………………………………………………………………………….</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5368675"/>
      <w:bookmarkEnd w:id="8"/>
      <w:r>
        <w:rPr>
          <w:sz w:val="24"/>
          <w:rFonts w:ascii="Times New Roman" w:hAnsi="Times New Roman"/>
        </w:rPr>
        <w:t xml:space="preserve">Uveďte ustanovení právního základu, které (která) stanoví maximální intenzity podpory v rámci opatření.</w:t>
      </w:r>
    </w:p>
    <w:p w14:paraId="3FFC45D8" w14:textId="4CE99097" w:rsidR="00A9369A" w:rsidRDefault="00A9369A" w:rsidP="00A9369A">
      <w:pPr>
        <w:rPr>
          <w:sz w:val="24"/>
          <w:szCs w:val="24"/>
          <w:rFonts w:ascii="Times New Roman" w:eastAsia="Times New Roman" w:hAnsi="Times New Roman"/>
        </w:rPr>
      </w:pPr>
      <w:r>
        <w:rPr>
          <w:sz w:val="24"/>
          <w:rFonts w:ascii="Times New Roman" w:hAnsi="Times New Roman"/>
        </w:rPr>
        <w:t xml:space="preserve">………………………………………………………………………………………………….</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Komise může uznat i jiné metody výpočtu, pokud dojde k uspokojivému závěru, že se zakládají na objektivních kritériích a nevedou k nadměrné náhradě pro žádný přijímající podnik.</w:t>
      </w:r>
      <w:r>
        <w:rPr>
          <w:sz w:val="24"/>
          <w:rFonts w:ascii="Times New Roman" w:hAnsi="Times New Roman"/>
        </w:rPr>
        <w:t xml:space="preserv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Pokud oznamující členský stát hodlá navrhnout jinou metodu výpočtu, uveďte důvody, proč metoda stanovená v pokynech není v daném případě vhodná, a vysvětlete, jak tato jiná metoda výpočtu lépe řeší zjištěné potřeby.</w:t>
      </w:r>
    </w:p>
    <w:p w14:paraId="146BD0BE" w14:textId="77777777" w:rsidR="00DB7B42" w:rsidRDefault="00DB7B42" w:rsidP="00DB7B42">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i/>
          <w:iCs/>
          <w:sz w:val="24"/>
          <w:szCs w:val="24"/>
          <w:rFonts w:ascii="Times New Roman" w:eastAsia="Times New Roman" w:hAnsi="Times New Roman"/>
        </w:rPr>
      </w:pPr>
      <w:bookmarkStart w:id="10" w:name="_Hlk126835995"/>
      <w:r>
        <w:rPr>
          <w:i/>
          <w:sz w:val="24"/>
          <w:rFonts w:ascii="Times New Roman" w:hAnsi="Times New Roman"/>
        </w:rPr>
        <w:t xml:space="preserve">Tuto jinou navrhovanou metodu předložte jako přílohu k oznámení společně s důkazem, že je založena na objektivních kritériích a nevede k nadměrné náhradě pro žádného příjemce.</w:t>
      </w:r>
      <w:r>
        <w:rPr>
          <w:i/>
          <w:sz w:val="24"/>
          <w:rFonts w:ascii="Times New Roman" w:hAnsi="Times New Roman"/>
        </w:rPr>
        <w:t xml:space="preserve"> </w:t>
      </w:r>
    </w:p>
    <w:bookmarkEnd w:id="10"/>
    <w:p w14:paraId="375CCEAB" w14:textId="462E4F3D" w:rsidR="00DB7B42" w:rsidRDefault="00DB7B42" w:rsidP="00A9369A">
      <w:pPr>
        <w:rPr>
          <w:sz w:val="24"/>
          <w:szCs w:val="24"/>
          <w:rFonts w:ascii="Times New Roman" w:eastAsia="Times New Roman" w:hAnsi="Times New Roman"/>
        </w:rPr>
      </w:pPr>
      <w:r>
        <w:rPr>
          <w:sz w:val="24"/>
          <w:rFonts w:ascii="Times New Roman" w:hAnsi="Times New Roman"/>
        </w:rPr>
        <w:t xml:space="preserve">…………………………………………………………………………………………………</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DALŠÍ INFORMACE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Uveďte jakékoli další informace, které považujete za důležité k posouzení opatření podle tohoto oddílu pokynů.</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 xml:space="preserve">Úř. věst. C 107, 23.3.2023, s. 1.</w:t>
      </w:r>
    </w:p>
  </w:footnote>
  <w:footnote w:id="2">
    <w:p w14:paraId="502011EF" w14:textId="780B8633"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t xml:space="preserve"> </w:t>
      </w:r>
      <w:r>
        <w:rPr>
          <w:color w:val="000000" w:themeColor="text1"/>
          <w:rFonts w:ascii="Times New Roman" w:hAnsi="Times New Roman"/>
        </w:rPr>
        <w:t xml:space="preserve">Nařízení Evropského parlamentu a Rady (EU) 2021/1139 ze dne 7. července 2021, kterým se zřizuje Evropský námořní, rybářský a akvakulturní fond a mění nařízení (EU) 2017/1004 (Úř. věst. L 247, 13.7.2021, s. 1).</w:t>
      </w:r>
      <w:r>
        <w:rPr>
          <w:color w:val="000000" w:themeColor="text1"/>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cs-CZ"/>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cs-CZ"/>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cs-CZ"/>
    </w:rPr>
  </w:style>
  <w:style w:type="paragraph" w:styleId="Revision">
    <w:name w:val="Revision"/>
    <w:hidden/>
    <w:uiPriority w:val="99"/>
    <w:semiHidden/>
    <w:rsid w:val="00136501"/>
    <w:rPr>
      <w:sz w:val="22"/>
      <w:szCs w:val="22"/>
      <w:lang w:val="cs-CZ"/>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