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Papildu informācijas lapa par </w:t>
      </w:r>
      <w:r>
        <w:rPr>
          <w:rFonts w:ascii="Times New Roman" w:hAnsi="Times New Roman"/>
          <w:b/>
          <w:smallCaps/>
          <w:sz w:val="24"/>
        </w:rPr>
        <w:br/>
        <w:t>atbalstu zvejas kuģa bruto tilpības palielināšanai drošības, darba apstākļu vai energoefektivitātes uzlabošanas nolūkos</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atbalstu, kas paredzēts zvejas kuģa bruto tilpības palielināšanai drošības, darba apstākļu vai energoefektivitātes uzlabošanas nolūkos un aprakstīts Pamatnostādņu par valsts atbalstu zvejniecības un akvakultūras nozarē</w:t>
      </w:r>
      <w:r w:rsidR="00794B67">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3. nodaļas 3.3. iedaļā.</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Savienības zvejas kuģus, attiecībā uz kuriem atbalsts piešķirts, vismaz piecus gadus pēc atbalsta galīgā maksājuma nedrīkst nodot vai mainīt to karogu ārpus Savienības.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Saskaņā ar Pamatnostādņu 265. punkta a) apakšpunktu zvejas kuģiem ir jāietilpst flotes segmentā, par kuru Regulas (ES) Nr. 1380/2013 22. panta 2. punktā minētajā jaunākajā zvejas kapacitātes ziņojumā </w:t>
      </w:r>
      <w:bookmarkStart w:id="1" w:name="_Hlk127291610"/>
      <w:r>
        <w:rPr>
          <w:rFonts w:ascii="Times New Roman" w:hAnsi="Times New Roman"/>
          <w:sz w:val="24"/>
        </w:rPr>
        <w:t>(turpmāk “valsts ziņojums”)</w:t>
      </w:r>
      <w:bookmarkEnd w:id="1"/>
      <w:r>
        <w:rPr>
          <w:rFonts w:ascii="Times New Roman" w:hAnsi="Times New Roman"/>
          <w:sz w:val="24"/>
        </w:rPr>
        <w:t xml:space="preserve"> norādīts, ka minētais segments ir līdzsvarā ar tam pieejamajām zvejas iespējām.</w:t>
      </w:r>
      <w:bookmarkEnd w:id="0"/>
      <w:r>
        <w:rPr>
          <w:rFonts w:ascii="Times New Roman" w:hAnsi="Times New Roman"/>
          <w:sz w:val="24"/>
        </w:rPr>
        <w:t xml:space="preserve"> Saskaņā ar Pamatnostādņu 266. punktu to 265. punkta a) apakšpunkta vajadzībām piemēro procedūru un nosacījumus, kas izklāstīti II daļas 2. nodaļas 2.2. iedaļas 225.–227. punktā. Ņemot vērā iepriekš minēto, apstipriniet šādu informāciju.</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Kad sagatavots jaunākais valsts ziņojums pirms atbalsta piešķiršanas dienas?</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saiti uz jaunāko valsts ziņojumu vai pievienojiet to paziņojumam.</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attiecībā uz visu piešķiramo atbalstu ir izpildīti šādi nosacījumi.</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valsts ziņojums tika iesniegts līdz N gada</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31. maijam?</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sz w:val="23"/>
        </w:rPr>
        <w:t xml:space="preserve">Ņemiet vērā, ka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N gadā iesniegtajā valsts ziņojumā ir pierādīts, ka flotes segmentā, pie kura kuģis pieder, pastāv līdzsvars starp zvejas kapacitāti un zvejas iespējām?</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Paskaidrojiet, kā pasākuma izstrādē tika ņemts vērā valsts ziņojums un kā tika panākts līdzsvars.</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Komisija līdz N+1 gada 31. martam nav apšaubījusi:</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87F3E">
        <w:rPr>
          <w:rFonts w:ascii="Times New Roman" w:eastAsia="Times New Roman" w:hAnsi="Times New Roman"/>
          <w:sz w:val="24"/>
        </w:rPr>
      </w:r>
      <w:r w:rsidR="00887F3E">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N gadā iesniegtā valsts ziņojuma secinājumus;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887F3E">
        <w:rPr>
          <w:rFonts w:ascii="Times New Roman" w:eastAsia="Times New Roman" w:hAnsi="Times New Roman"/>
          <w:sz w:val="24"/>
        </w:rPr>
      </w:r>
      <w:r w:rsidR="00887F3E">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līdzsvara novērtējumu, kas ietverts N gadā iesniegtajā valsts ziņojumā.</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uz N gadā iesniegtā valsts ziņojuma pamata atbalstu var piešķirt tikai līdz N+1 gada 31. decembrim, t. i., nākamajam gadam pēc ziņojuma iesniegšanas gada.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Ja pasākums attiecas uz zveju iekšējos ūdeņos, uz 2.1.–2.2.6.1. jautājumu nav jāatbild.</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Apstipriniet, ka pasākums noteic, ka zvejas kuģu lielākais garums nedrīkst pārsniegt 24 metrus.</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lastRenderedPageBreak/>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paredz, ka zvejas kuģiem Savienības zvejas flotes reģistrā jābūt bijušiem reģistrētiem vismaz 10 kalendāros gadus pirms atbalsta pieteikuma iesniegšanas gada.</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5BE5C5AD"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pasākums attiecas uz zveju iekšējos ūdeņos, apstipriniet, ka pasākums noteic, ka atbalstu var piešķirt tikai attiecībā uz zvejas kuģi, kura izmantošana saskaņā ar valsts tiesību aktiem sākta vismaz 10</w:t>
      </w:r>
      <w:r w:rsidR="00887F3E">
        <w:rPr>
          <w:rFonts w:ascii="Times New Roman" w:hAnsi="Times New Roman"/>
          <w:sz w:val="24"/>
        </w:rPr>
        <w:t> </w:t>
      </w:r>
      <w:r>
        <w:rPr>
          <w:rFonts w:ascii="Times New Roman" w:hAnsi="Times New Roman"/>
          <w:sz w:val="24"/>
        </w:rPr>
        <w:t>kalendāros gadus pirms atbalsta pieteikuma iesniegšanas gada.</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4. vai 4.1. jautājumu ir “jā”, norādiet relevanto juridiskā pamata noteikumu (noteikumus).</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darbības rezultātā radušās jaunās zvejas kapacitātes iekļaušanu zvejas flotē kompensē, iepriekš vismaz tāda paša apjoma zvejas kapacitāti bez publiskā atbalsta izslēdzot no tā paša flotes segmenta vai no flotes segmenta, par kuru Regulas (ES) Nr. 1380/2013 22. panta 2. punktā minētajā jaunākajā valsts ziņojumā norādīts, ka minētā segmenta zvejas kapacitāte nav līdzsvarā ar tam pieejamajām zvejas iespējām.</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iepriekšējo jautājumu ir “jā”, norādiet relevanto juridiskā pamata noteikumu (noteikumus).</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Ja pasākums attiecas uz zveju iekšējos ūdeņos, uz šo jautājumu nav jāatbild.</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attiecināmās izmaksas:</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bruto tilpības palielināšana, kas nepieciešama, lai pēc tam ierīkotu vai renovētu izmitināšanas telpas, kuras paredzētas vienīgi apkalpes vajadzībām, arī sanitārās labierīcības, koplietošanas telpas, kambīzes un segtas klāja konstrukcijas;</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bruto tilpības palielināšana, kas nepieciešama, lai pēc tam uzlabotu vai uzstādītu uz kuģa esošas ugunsgrēku novēršanas sistēmas, drošības un trauksmes sistēmas vai trokšņa samazināšanas sistēmas;</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bruto tilpības palielināšana, kas nepieciešama, lai pēc tam uzstādītu integrētas tiltiņa sistēmas nolūkā uzlabot navigāciju vai dzinēja vadību;</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 xml:space="preserve">d) bruto tilpības palielināšana, kas nepieciešama, lai pēc tam uzstādītu vai atjaunotu tādu dzinēju vai piedziņas sistēmu, kas uzrāda labāku energoefektivitāti vai zemākas CO₂ emisijas salīdzinājumā ar iepriekšējo </w:t>
      </w:r>
      <w:r>
        <w:rPr>
          <w:rFonts w:ascii="Times New Roman" w:hAnsi="Times New Roman"/>
          <w:sz w:val="24"/>
        </w:rPr>
        <w:lastRenderedPageBreak/>
        <w:t>situāciju un kuras jauda saskaņā ar Padomes Regulas (EK) Nr. 1224/2009</w:t>
      </w:r>
      <w:r w:rsidR="001D7707">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40. panta 1. punktu nepārsniedz iepriekš sertificēto zvejas kuģa dzinēja jaudu, un kuras maksimālo jaudu šim dzinēja vai piedziņas sistēmas modelim sertificējis ražotājs;</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 bulba priekšgala nomaiņa vai atjaunošana ar noteikumu, ka tas uzlabo zvejas kuģa vispārējo energoefektivitāti.</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ietver tikai tiešās un netiešās izmaksas, kas saistītas ar atbalstu investīcijām, kuru mērķis ir uzlabot drošību, darba apstākļus vai energoefektivitāti un kuras noved pie zvejas kuģa bruto tilpības palielinājuma.</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Detalizēti aprakstiet izmaksas, kas ir attiecināmas saskaņā ar šo pasākumu. Aprakstiet izmaksas, kas attiecīgi saistītas ar drošības, darba apstākļu vai energoefektivitātes uzlabošanu.</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kontroles un izpildes panākšanas mehānismus, kas ieviesti, lai garantētu Pamatnostādņu II daļas 3. nodaļas 3.3. iedaļā izklāstīto nosacījumu izpildi.</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pasākuma iezīmes, turklāt norādiet palielinātās zvejas kapacitātes apjomu un minētās palielināšanas mērķi.</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Ja atbilde jau ir sniegta uz kādu no iepriekšējiem jautājumiem vai iedaļām, norādiet šo atbildi.</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atbalsta maksimālā intensitāte nepārsniedz 40 % no attiecināmajām izmaksām.</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887F3E">
        <w:rPr>
          <w:rFonts w:ascii="Times New Roman" w:eastAsia="Times New Roman" w:hAnsi="Times New Roman"/>
          <w:b/>
          <w:sz w:val="24"/>
        </w:rPr>
      </w:r>
      <w:r w:rsidR="00887F3E">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Norādiet juridiskā pamata noteikumu (noteikumus), kas nosaka maksimālo atbalsta intensitāti, kas piemērojama saskaņā ar pasākumu.</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OV C 107, 23.3.2023., 1. lpp.</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Sk. Pamatnostādņu 225. un 226. punktu, kuros aprakstīta N gadā iesniegtā valsts ziņojuma sagatavošanas un Komisijas rīcības secība līdz N+1 gada 31. martam.</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Komisijas paziņojums Eiropas Parlamentam un Padomei “Zvejas kapacitātes un zvejas iespēju līdzsvara analīzes pamatnostādnes saskaņā ar 22. pantu Eiropas Parlamenta un Padomes Regulā (ES) Nr. 1380/2013 par kopējo zivsaimniecības politiku” (COM(2014) 545 final).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ab/>
      </w:r>
      <w:r>
        <w:rPr>
          <w:rFonts w:ascii="Times New Roman" w:hAnsi="Times New Roman"/>
        </w:rPr>
        <w:t>Padomes Regula (EK) Nr. 1224/2009 (2009. gada 20. novembris), ar ko izveido Kopienas kontroles sistēmu, lai nodrošinātu atbilstību kopējās zivsaimniecības politikas noteikumiem, un groza Regulas (EK) Nr. 847/96, (EK) Nr. 2371/2002, (EK) Nr. 811/2004, (EK) Nr. 768/2005, (EK) Nr. 2115/2005, (EK) Nr. 2166/2005, (EK) Nr. 388/2006, (EK) Nr. 509/2007, (EK) Nr. 676/2007, (EK) Nr. 1098/2007, (EK) Nr. 1300/2008 un (EK) Nr. 1342/2008, un atceļ Regulas (EEK) Nr. 2847/93, (EK) Nr. 1627/94 un (EK) Nr. 1966/2006 (OV L 343, 22.12.2009.,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87F3E"/>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1068</Words>
  <Characters>7259</Characters>
  <Application>Microsoft Office Word</Application>
  <DocSecurity>0</DocSecurity>
  <Lines>196</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8</cp:revision>
  <dcterms:created xsi:type="dcterms:W3CDTF">2024-09-05T15:06:00Z</dcterms:created>
  <dcterms:modified xsi:type="dcterms:W3CDTF">2024-09-12T07:30:00Z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