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Formulär för kompletterande information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till ökning av ett fiskefartygs bruttodräktighet i syfte att förbättra säkerheten, arbetsförhållandena eller energieffektiviteten</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något stöd för ökning av ett fiskefartygs bruttodräktighet i syfte att förbättra säkerheten, arbetsförhållandena eller energieffektiviteten på det sätt som beskrivs i del II kapitel 3 avsnitt 3.3 i riktlinjerna för statligt stöd inom fiskeri- och vattenbrukssektorn</w:t>
      </w:r>
      <w:r w:rsidR="00794B67">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r>
        <w:rPr>
          <w:sz w:val="24"/>
          <w:rFonts w:ascii="Times New Roman" w:hAnsi="Times New Roman"/>
        </w:rPr>
        <w:t xml:space="preserv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0A2963C" w14:textId="77777777"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Enligt punkt 265 a i riktlinjerna ska fartyget tillhöra ett flottsegment för vilket den senaste rapporten om fiskekapacitet enligt artikel 22.2 i förordning (EU) nr 1380/2013 har visat att det råder balans med de fiskemöjligheter som är tillgängliga för det segmentet</w:t>
      </w:r>
      <w:bookmarkStart w:id="1" w:name="_Hlk127291610"/>
      <w:r>
        <w:rPr>
          <w:sz w:val="24"/>
          <w:rFonts w:ascii="Times New Roman" w:hAnsi="Times New Roman"/>
        </w:rPr>
        <w:t xml:space="preserve">(härefter ”nationell rapport”)</w:t>
      </w:r>
      <w:bookmarkEnd w:id="1"/>
      <w:r>
        <w:rPr>
          <w:sz w:val="24"/>
          <w:rFonts w:ascii="Times New Roman" w:hAnsi="Times New Roman"/>
        </w:rPr>
        <w:t xml:space="preserve">.</w:t>
      </w:r>
      <w:bookmarkEnd w:id="0"/>
      <w:r>
        <w:rPr>
          <w:sz w:val="24"/>
          <w:rFonts w:ascii="Times New Roman" w:hAnsi="Times New Roman"/>
        </w:rPr>
        <w:t xml:space="preserve"> </w:t>
      </w:r>
      <w:r>
        <w:rPr>
          <w:sz w:val="24"/>
          <w:rFonts w:ascii="Times New Roman" w:hAnsi="Times New Roman"/>
        </w:rPr>
        <w:t xml:space="preserve">Enligt punkt 266 i riktlinjerna är det förfarande och de villkor som anges i punkterna 225–227 i del II kapitel 2 avsnitt 2.2 som gäller vid tillämpningen av punkt 265 a.</w:t>
      </w:r>
      <w:r>
        <w:rPr>
          <w:sz w:val="24"/>
          <w:rFonts w:ascii="Times New Roman" w:hAnsi="Times New Roman"/>
        </w:rPr>
        <w:t xml:space="preserve"> </w:t>
      </w:r>
      <w:r>
        <w:rPr>
          <w:sz w:val="24"/>
          <w:rFonts w:ascii="Times New Roman" w:hAnsi="Times New Roman"/>
        </w:rPr>
        <w:t xml:space="preserve">Ange, mot bakgrund av detta, följande:</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När utarbetades den senaste nationella rapporten före dagen för beviljandet av stödet?</w:t>
      </w:r>
    </w:p>
    <w:p w14:paraId="370CE4BD"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04AFEFB8"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länk till den senaste nationella rapporten eller bifoga den till anmälan.</w:t>
      </w:r>
    </w:p>
    <w:p w14:paraId="6C8C1D23" w14:textId="77777777" w:rsidR="009B38E1" w:rsidRDefault="009B38E1" w:rsidP="009B38E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följande villkor är uppfyllda för allt stöd som ska beviljas:</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Lämnades den nationella rapporten in till kommissionen senast den 31 maj år N</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den nationella rapport som som lämnades in år N, och särskilt bedömningen av balansen i den, har utarbetats på grundval av de biologiska, ekonomiska och fartygsbruksrelaterade indikatorer som anges i de gemensamma riktlinjer</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 som avses i artikel 22.2 i förordning (EU) nr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rPr>
        <w:t xml:space="preserve">Notera att stöd inte får beviljas om den nationella rapporten, och särskilt bedömningen av balansen i den, inte har utarbetats på grundval av de biologiska, ekonomiska och fartygsbruksrelaterade indikatorer som anges i de gemensamma riktlinjer som avses i artikel 22.2 i förordning (EU) nr 1380/2013.</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Visar den nationella rapport som lämnats in år N att det råder balans mellan fiskekapaciteten och fiskemöjligheterna i det flottsegment som fartyget tillhör?</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Förklara på vilket sätt den nationella rapporten beaktades när åtgärden planerades och hur balansen uppnås.</w:t>
      </w:r>
    </w:p>
    <w:p w14:paraId="1A3175A9"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767B8E2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kommissionen inte har ifrågasatt saldot senast den 31 mars år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BD362C">
        <w:rPr>
          <w:sz w:val="24"/>
          <w:rFonts w:ascii="Times New Roman" w:eastAsia="Times New Roman" w:hAnsi="Times New Roman"/>
        </w:rPr>
      </w:r>
      <w:r w:rsidR="00BD362C">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Slutsatsen i den nationella rapporten för år N</w:t>
      </w:r>
      <w:r>
        <w:rPr>
          <w:sz w:val="24"/>
          <w:rFonts w:ascii="Times New Roman" w:hAnsi="Times New Roman"/>
        </w:rPr>
        <w:t xml:space="preserve">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BD362C">
        <w:rPr>
          <w:sz w:val="24"/>
          <w:rFonts w:ascii="Times New Roman" w:eastAsia="Times New Roman" w:hAnsi="Times New Roman"/>
        </w:rPr>
      </w:r>
      <w:r w:rsidR="00BD362C">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b) Bedömningen av balansen i den nationella rapporten för år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får beviljas på grundval av den nationella rapport som lämnats in år N endast till den 31 december år N+1, dvs. det år som följer på det år då rapporten lämnades in.</w:t>
      </w:r>
      <w:r>
        <w:rPr>
          <w:sz w:val="24"/>
          <w:rFonts w:ascii="Times New Roman" w:hAnsi="Times New Roman"/>
        </w:rPr>
        <w:t xml:space="preserve">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309B67B"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46AA49C0" w14:textId="490C4410" w:rsidR="009B38E1" w:rsidRPr="0053598F" w:rsidRDefault="009B38E1" w:rsidP="009B38E1">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Om åtgärden gäller inlandsfiske, behöver frågorna 2.1–2.2.6.1 inte besvaras.</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Bekräfta att det enligt åtgärden föreskrivs att fiskefartyg får ha en totallängd på högst 24 meter. </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B51EE41" w14:textId="55E2563B" w:rsidR="004C4105" w:rsidRPr="005615D7" w:rsidRDefault="004C4105" w:rsidP="006E20F3">
      <w:pPr>
        <w:rPr>
          <w:sz w:val="24"/>
          <w:szCs w:val="24"/>
          <w:rFonts w:ascii="Times New Roman" w:eastAsia="Times New Roman" w:hAnsi="Times New Roman"/>
        </w:rPr>
      </w:pPr>
      <w:r>
        <w:rPr>
          <w:sz w:val="24"/>
          <w:rFonts w:ascii="Times New Roman" w:hAnsi="Times New Roman"/>
        </w:rPr>
        <w:t xml:space="preserve">………………………………………………………………………………………………….</w:t>
      </w:r>
    </w:p>
    <w:p w14:paraId="52BF3818" w14:textId="5BC8254A"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fiskefartygen måste ha varit uppfört i registret över unionens fiskeflotta under minst de tio kalenderår som föregår det år då ansökan om stöd lämnas in.</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föreskrivs att stöd, om åtgärden gäller inlandsfiske, får beviljas endast med avseende på ett fiskefartyg som har tagits i drift i enlighet med nationell lag under minst de tio kalenderår som föregår det år då ansökan om stöd lämnas in.</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fråga 4 eller 4.1 besvaras med ”Ja”, ange då den eller de relevanta bestämmelserna i den rättsliga grunden.</w:t>
      </w:r>
    </w:p>
    <w:p w14:paraId="686389B7" w14:textId="2EEAAC6E" w:rsidR="00256D84" w:rsidRDefault="006E20F3" w:rsidP="000209D0">
      <w:pPr>
        <w:rPr>
          <w:sz w:val="24"/>
          <w:szCs w:val="24"/>
          <w:rFonts w:ascii="Times New Roman" w:eastAsia="Times New Roman" w:hAnsi="Times New Roman"/>
        </w:rPr>
      </w:pPr>
      <w:r>
        <w:rPr>
          <w:sz w:val="24"/>
          <w:rFonts w:ascii="Times New Roman" w:hAnsi="Times New Roman"/>
        </w:rPr>
        <w:t xml:space="preserve">………………………………………………………………………………………………….</w:t>
      </w:r>
    </w:p>
    <w:p w14:paraId="171C0A97" w14:textId="328D9E1D"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ny fiskekapacitet som kommer in i fiskeflottan till följd av insatsen kompenseras genom att åtminstone motsvarande fiskekapacitet först dras tillbaka utan offentligt stöd från samma flottsegment eller från ett flottsegment för vilket den senaste nationella rapporten enligt artikel 22.2 i förordning (EU) nr 1380/2013 har visat att fiskekapaciteten inte är i balans med de fiskemöjligheter som är tillgängliga för det segmentet.</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5E14B9B" w14:textId="1E1092E3"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3095BB69" w14:textId="4656F992" w:rsidR="000209D0" w:rsidRPr="004629F3" w:rsidRDefault="000209D0" w:rsidP="000209D0">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Om åtgärden gäller inlandsfiske, utgår denna fråga.</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de stödberättigande kostnaderna:</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a) En ökning av bruttodräktigheten som är nödvändig för att därefter uppföra eller renovera logianläggningar som endast är avsedda för besättningen, inklusive sanitära anläggningar, gemensamma utrymmen, kökslokaler och skyddande strukturer på däck.</w:t>
      </w:r>
    </w:p>
    <w:p w14:paraId="09A89D83" w14:textId="4476B369"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b) En ökning av bruttodräktigheten som är nödvändig för att därefter förbättra eller installera brandförebyggande system, säkerhets- och alarmsystem eller bullerminskningssystem ombord.</w:t>
      </w:r>
    </w:p>
    <w:p w14:paraId="24AF6DCD" w14:textId="18CDAC6C"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c) En ökning av bruttodräktigheten som är nödvändig för att därefter installera integrerade bryggsystem för att förbättra navigeringen eller motorkontrollen.</w:t>
      </w:r>
    </w:p>
    <w:p w14:paraId="791428B0" w14:textId="44B87944"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d) Ökning av bruttodräktigheten som är nödvändig för att därefter installera eller renovera en motor eller ett framdrivningssystem som uppvisar bättre energieffektivitet eller lägre koldioxidutsläpp jämfört med den föregående situationen, vars styrka inte överstiger fiskefartygets tidigare certifierade maskinstyrka i enlighet med artikel 40.1 i rådets förordning (EG) nr 1224/2009</w:t>
      </w:r>
      <w:r w:rsidR="001D7707">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och vars maximala uteffekt intygas av tillverkaren för den typen av motor eller framdrivningssystem.</w:t>
      </w:r>
    </w:p>
    <w:p w14:paraId="3E27BC3F" w14:textId="03A813A5" w:rsidR="00F3649F" w:rsidRDefault="001D7707" w:rsidP="001D7707">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e) Byte eller renovering av bulbstäven, förutsatt att det förbättrar fiskefartygets övergripande energieffektivitet.</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15BC5AA7" w14:textId="1089BD9D" w:rsidR="004C4105" w:rsidRDefault="004C4105" w:rsidP="000209D0">
      <w:pPr>
        <w:rPr>
          <w:sz w:val="24"/>
          <w:szCs w:val="24"/>
          <w:rFonts w:ascii="Times New Roman" w:eastAsia="Times New Roman" w:hAnsi="Times New Roman"/>
        </w:rPr>
      </w:pPr>
      <w:r>
        <w:rPr>
          <w:sz w:val="24"/>
          <w:rFonts w:ascii="Times New Roman" w:hAnsi="Times New Roman"/>
        </w:rPr>
        <w:t xml:space="preserve">………………………………………………………………………………………………….</w:t>
      </w:r>
    </w:p>
    <w:p w14:paraId="5A8F375A" w14:textId="77777777"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endast omfattar direkta och indirekta kostnader med koppling till investeringsstödet för förbättring av säkerheten, arbetsförhållandena eller energieffektiviteten som leder till en ökning av ett fiskefartygs bruttodräktighet.</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A111807" w14:textId="3EB9D5D4"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34023979"/>
      <w:r>
        <w:rPr>
          <w:sz w:val="24"/>
          <w:rFonts w:ascii="Times New Roman" w:hAnsi="Times New Roman"/>
        </w:rPr>
        <w:t xml:space="preserve">Lämna en ingående redogörelse för de kostnader som är stödberättigande inom ramen för åtgärden.</w:t>
      </w:r>
      <w:r>
        <w:rPr>
          <w:sz w:val="24"/>
          <w:rFonts w:ascii="Times New Roman" w:hAnsi="Times New Roman"/>
        </w:rPr>
        <w:t xml:space="preserve"> </w:t>
      </w:r>
      <w:r>
        <w:rPr>
          <w:sz w:val="24"/>
          <w:rFonts w:ascii="Times New Roman" w:hAnsi="Times New Roman"/>
        </w:rPr>
        <w:t xml:space="preserve">Beskriv vilka kostnader som har koppling till förbättring av säkerheten, arbetsförhållandena respektive energieffektiviteten</w:t>
      </w:r>
    </w:p>
    <w:bookmarkEnd w:id="3"/>
    <w:p w14:paraId="500DDBE6" w14:textId="77777777"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beskrivning av de kontroll- och tillsynsmekanismer för att garantera att de villkor som fastställs i avsnitt 3.3 i kapitel 3 i del II i riktlinjerna uppfylls.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sz w:val="24"/>
          <w:szCs w:val="24"/>
          <w:rFonts w:ascii="Times New Roman" w:eastAsia="Times New Roman" w:hAnsi="Times New Roman"/>
        </w:rPr>
      </w:pPr>
      <w:r>
        <w:rPr>
          <w:sz w:val="24"/>
          <w:rFonts w:ascii="Times New Roman" w:hAnsi="Times New Roman"/>
        </w:rPr>
        <w:t xml:space="preserve">………………………………………………………………………………………………….</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ingående åtgärdens egenskaper, inbegripet den ökade fiskekapaciteten och syftet med denna ökning.</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sz w:val="24"/>
          <w:szCs w:val="24"/>
          <w:rFonts w:ascii="Times New Roman" w:eastAsia="Times New Roman" w:hAnsi="Times New Roman"/>
        </w:rPr>
      </w:pPr>
      <w:r>
        <w:rPr>
          <w:sz w:val="24"/>
          <w:rFonts w:ascii="Times New Roman" w:hAnsi="Times New Roman"/>
        </w:rPr>
        <w:t xml:space="preserve">………………………………………………………………………………………………….</w:t>
      </w:r>
    </w:p>
    <w:p w14:paraId="73469BF8" w14:textId="6C951CD2" w:rsidR="005B1262" w:rsidRDefault="000209D0" w:rsidP="004C4105">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Om svaret redan lämnats som svar på en tidigare fråga, hänvisa då till det svaret.</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den maximala stödnivån inte överstiger 40 % av de stödberättigande kostnaderna.</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0733FC72" w14:textId="77777777" w:rsidR="00F13816" w:rsidRDefault="00F13816" w:rsidP="00F13816">
      <w:pPr>
        <w:rPr>
          <w:sz w:val="24"/>
          <w:szCs w:val="24"/>
          <w:rFonts w:ascii="Times New Roman" w:eastAsia="Times New Roman" w:hAnsi="Times New Roman"/>
        </w:rPr>
      </w:pPr>
      <w:r>
        <w:rPr>
          <w:sz w:val="24"/>
          <w:rFonts w:ascii="Times New Roman" w:hAnsi="Times New Roman"/>
        </w:rPr>
        <w:t xml:space="preserve">………………………………………………………………………………………………….</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4" w:name="_Hlk125368675"/>
      <w:r>
        <w:rPr>
          <w:sz w:val="24"/>
          <w:rFonts w:ascii="Times New Roman" w:hAnsi="Times New Roman"/>
        </w:rPr>
        <w:t xml:space="preserve">Ange i vilken eller vilka bestämmelser i den rättsliga grunden som stödåtgärdens maximala stödnivå/er fastställs.</w:t>
      </w:r>
    </w:p>
    <w:p w14:paraId="2F5ED9DD" w14:textId="77777777" w:rsidR="007D4B84" w:rsidRDefault="007D4B84" w:rsidP="007D4B84">
      <w:pPr>
        <w:rPr>
          <w:sz w:val="24"/>
          <w:szCs w:val="24"/>
          <w:rFonts w:ascii="Times New Roman" w:eastAsia="Times New Roman" w:hAnsi="Times New Roman"/>
        </w:rPr>
      </w:pPr>
      <w:r>
        <w:rPr>
          <w:sz w:val="24"/>
          <w:rFonts w:ascii="Times New Roman" w:hAnsi="Times New Roman"/>
        </w:rPr>
        <w:t xml:space="preserve">………………………………………………………………………………………………….</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 xml:space="preserve">EUT L 107, 23.3.2023, s.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Hänvisa till punkterna 225 och 226 i riktlinjerna, vilka innehåller en beskrivning av de olika stegen i den nationella rapport som lämnades in år N och kommissionens åtgärd den 31 mars år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Meddelande från kommissionen till Europaparlamentet och rådet:</w:t>
      </w:r>
      <w:r>
        <w:rPr>
          <w:rFonts w:ascii="Times New Roman" w:hAnsi="Times New Roman"/>
        </w:rPr>
        <w:t xml:space="preserve"> </w:t>
      </w:r>
      <w:r>
        <w:rPr>
          <w:rFonts w:ascii="Times New Roman" w:hAnsi="Times New Roman"/>
        </w:rPr>
        <w:t xml:space="preserve">Riktlinjer för analys av balansen mellan fiskekapacitet och fiskemöjligheter enligt artikel 22 i Europaparlamentets och rådets förordning (EU) nr 1380/2013 om den gemensamma fiskeripolitiken (COM(2014) 545 final).</w:t>
      </w:r>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Rådets förordning (EG) nr 1224/2009 av den 20 november 2009 om införande av ett kontrollsystem i unionen för att säkerställa att bestämmelserna i den gemensamma fiskeripolitiken efterlevs, om ändring av förordningarna (EG) nr 847/96, (EG) nr 2371/2002, (EG) nr 811/2004, (EG) nr 768/2005, (EG) nr 2115/2005, (EG) nr 2166/2005, (EG) nr 388/2006, (EG) nr 509/2007, (EG) nr 676/2007, (EG) nr 1098/2007, (EG) nr 1300/2008, (EG) nr 1342/2008 och upphävande av förordningarna (EEG) nr 2847/93, (EG) nr 1627/94 och (EG) nr 1966/2006 (EUT L 343,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 w:type="paragraph" w:customStyle="1" w:styleId="Default">
    <w:name w:val="Default"/>
    <w:rsid w:val="009B38E1"/>
    <w:pPr>
      <w:autoSpaceDE w:val="0"/>
      <w:autoSpaceDN w:val="0"/>
      <w:adjustRightInd w:val="0"/>
    </w:pPr>
    <w:rPr>
      <w:rFonts w:ascii="Times New Roman" w:hAnsi="Times New Roman"/>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1378</Words>
  <Characters>7487</Characters>
  <Application>Microsoft Office Word</Application>
  <DocSecurity>0</DocSecurity>
  <Lines>202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7</cp:revision>
  <dcterms:created xsi:type="dcterms:W3CDTF">2024-09-05T15:06:00Z</dcterms:created>
  <dcterms:modified xsi:type="dcterms:W3CDTF">2024-09-10T09:48:00Z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