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A52AE4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4B7235D9" w14:textId="4445B0A7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b/>
          <w:smallCaps/>
          <w:sz w:val="24"/>
        </w:rPr>
        <w:t>2.2</w:t>
      </w:r>
    </w:p>
    <w:p w14:paraId="7788A656" w14:textId="61D07F8C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</w:rPr>
      </w:pPr>
      <w:r>
        <w:rPr>
          <w:rFonts w:ascii="Times New Roman" w:hAnsi="Times New Roman"/>
          <w:b/>
          <w:smallCaps/>
          <w:sz w:val="24"/>
        </w:rPr>
        <w:t>Scheda di informazioni supplementari sugli</w:t>
      </w:r>
      <w:r>
        <w:t xml:space="preserve"> </w:t>
      </w:r>
      <w:r>
        <w:br/>
      </w:r>
      <w:r>
        <w:rPr>
          <w:rFonts w:ascii="Times New Roman" w:hAnsi="Times New Roman"/>
          <w:b/>
          <w:smallCaps/>
          <w:sz w:val="24"/>
        </w:rPr>
        <w:t>aiuti per il rinnovo della flotta peschereccia nelle regioni ultraperiferiche</w:t>
      </w:r>
    </w:p>
    <w:p w14:paraId="50622FA5" w14:textId="241292A4" w:rsidR="005615D7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77905C5D" w14:textId="77777777" w:rsidR="00A52AE4" w:rsidRPr="001E103F" w:rsidRDefault="00A52AE4" w:rsidP="00A52AE4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61CAB743" w14:textId="28F3E5A1" w:rsidR="005615D7" w:rsidRPr="001E103F" w:rsidRDefault="000D36C1" w:rsidP="00A52AE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Questo modulo deve essere utilizzato dagli Stati membri per la notifica degli aiuti per il rinnovo della flotta peschereccia nelle regioni ultraperiferiche, come descritto nella parte II, capitolo</w:t>
      </w:r>
      <w:r w:rsidR="00D50A3E">
        <w:rPr>
          <w:rFonts w:ascii="Times New Roman" w:hAnsi="Times New Roman"/>
          <w:i/>
          <w:sz w:val="24"/>
        </w:rPr>
        <w:t> </w:t>
      </w:r>
      <w:r>
        <w:rPr>
          <w:rFonts w:ascii="Times New Roman" w:hAnsi="Times New Roman"/>
          <w:i/>
          <w:sz w:val="24"/>
        </w:rPr>
        <w:t>2, sezione</w:t>
      </w:r>
      <w:r w:rsidR="00D50A3E">
        <w:rPr>
          <w:rFonts w:ascii="Times New Roman" w:hAnsi="Times New Roman"/>
          <w:i/>
          <w:sz w:val="24"/>
        </w:rPr>
        <w:t> </w:t>
      </w:r>
      <w:r>
        <w:rPr>
          <w:rFonts w:ascii="Times New Roman" w:hAnsi="Times New Roman"/>
          <w:i/>
          <w:sz w:val="24"/>
        </w:rPr>
        <w:t>2.2, degli orientamenti per gli aiuti di Stato nel settore della pesca e dell</w:t>
      </w:r>
      <w:r w:rsidR="00D50A3E">
        <w:rPr>
          <w:rFonts w:ascii="Times New Roman" w:hAnsi="Times New Roman"/>
          <w:i/>
          <w:sz w:val="24"/>
        </w:rPr>
        <w:t>'</w:t>
      </w:r>
      <w:r>
        <w:rPr>
          <w:rFonts w:ascii="Times New Roman" w:hAnsi="Times New Roman"/>
          <w:i/>
          <w:sz w:val="24"/>
        </w:rPr>
        <w:t>acquacoltura</w:t>
      </w:r>
      <w:r w:rsidR="00CB5F65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</w:t>
      </w:r>
      <w:r w:rsidR="00D50A3E">
        <w:rPr>
          <w:rFonts w:ascii="Times New Roman" w:hAnsi="Times New Roman"/>
          <w:i/>
          <w:sz w:val="24"/>
        </w:rPr>
        <w:t>"</w:t>
      </w:r>
      <w:r>
        <w:rPr>
          <w:rFonts w:ascii="Times New Roman" w:hAnsi="Times New Roman"/>
          <w:i/>
          <w:sz w:val="24"/>
        </w:rPr>
        <w:t>gli orientamenti</w:t>
      </w:r>
      <w:r w:rsidR="00D50A3E">
        <w:rPr>
          <w:rFonts w:ascii="Times New Roman" w:hAnsi="Times New Roman"/>
          <w:i/>
          <w:sz w:val="24"/>
        </w:rPr>
        <w:t>"</w:t>
      </w:r>
      <w:r>
        <w:rPr>
          <w:rFonts w:ascii="Times New Roman" w:hAnsi="Times New Roman"/>
          <w:i/>
          <w:sz w:val="24"/>
        </w:rPr>
        <w:t>).</w:t>
      </w:r>
    </w:p>
    <w:p w14:paraId="265C4F2D" w14:textId="16CF0877" w:rsidR="00E934EF" w:rsidRDefault="00E934EF" w:rsidP="005615D7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66876CC5" w14:textId="56190703" w:rsidR="00A52AE4" w:rsidRDefault="00A52AE4" w:rsidP="002256A7">
      <w:pPr>
        <w:pStyle w:val="Default"/>
      </w:pPr>
      <w:r>
        <w:t xml:space="preserve">Indicare le regioni ultraperiferiche </w:t>
      </w:r>
      <w:r>
        <w:rPr>
          <w:sz w:val="23"/>
        </w:rPr>
        <w:t>di cui all</w:t>
      </w:r>
      <w:r w:rsidR="00D50A3E">
        <w:rPr>
          <w:sz w:val="23"/>
        </w:rPr>
        <w:t>'</w:t>
      </w:r>
      <w:r>
        <w:rPr>
          <w:sz w:val="23"/>
        </w:rPr>
        <w:t>articolo 349 TFUE</w:t>
      </w:r>
      <w:r>
        <w:t xml:space="preserve"> interessate dalla misura.</w:t>
      </w:r>
    </w:p>
    <w:p w14:paraId="28E14E59" w14:textId="2BBB07BE" w:rsidR="00A52AE4" w:rsidRPr="001E103F" w:rsidRDefault="00A52AE4" w:rsidP="000D36C1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1F40601" w14:textId="74D15170" w:rsidR="00E934EF" w:rsidRDefault="00E934EF" w:rsidP="00B873A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Confermare che la misura prevede che i nuovi pescherecci acquisiti grazie agli aiuti rispettino le norme dell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UE e nazionali sull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igiene, la salute, la sicurezza, le condizioni di lavoro a bordo e le caratteristiche dei pescherecci:</w:t>
      </w:r>
    </w:p>
    <w:p w14:paraId="5267DC1F" w14:textId="75747510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2E870A1E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0D9BE7C9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3117B70D" w14:textId="4F7FD14C" w:rsidR="00E934EF" w:rsidRDefault="00E934EF" w:rsidP="00E934EF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4A362DF2" w14:textId="758D29D9" w:rsidR="00E934EF" w:rsidRDefault="00E934EF" w:rsidP="006177B3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EE346D6" w14:textId="1206EFDF" w:rsidR="00E934EF" w:rsidRPr="00E934EF" w:rsidRDefault="00E934EF" w:rsidP="00E934E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Confermare che la misura prevede che alla data della presentazione della domanda di aiuto 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impresa beneficiaria abbia il luogo principale di registrazione nella regione ultraperiferica in cui il nuovo peschereccio sarà registrato:</w:t>
      </w:r>
    </w:p>
    <w:p w14:paraId="4D18E03E" w14:textId="02CC1F2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75B5B2D6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569AA16B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1830E5F2" w14:textId="4518B9A7" w:rsidR="00766F2B" w:rsidRPr="00766F2B" w:rsidRDefault="00E934EF" w:rsidP="003A1EAC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negativa, specificare il luogo principale di registrazione:</w:t>
      </w:r>
    </w:p>
    <w:p w14:paraId="1B2867AB" w14:textId="2CC93EA0" w:rsidR="00E934EF" w:rsidRDefault="00E934EF" w:rsidP="00845C0D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8B2607B" w14:textId="605BC02C" w:rsidR="009C1330" w:rsidRDefault="009C1330" w:rsidP="009C133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A norma del punto (223) degli orientamenti, alla data di concessione degli aiuti la relazione, stilata conformemente all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articolo</w:t>
      </w:r>
      <w:r w:rsidR="00D50A3E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22, paragrafi 2 e 3, del regolamento (UE) n. 1380/2013</w:t>
      </w:r>
      <w:r>
        <w:rPr>
          <w:rStyle w:val="FootnoteReference"/>
          <w:rFonts w:ascii="Times New Roman" w:eastAsia="Times New Roman" w:hAnsi="Times New Roman"/>
          <w:sz w:val="24"/>
        </w:rPr>
        <w:footnoteReference w:id="2"/>
      </w:r>
      <w:r>
        <w:rPr>
          <w:rFonts w:ascii="Times New Roman" w:hAnsi="Times New Roman"/>
          <w:sz w:val="24"/>
        </w:rPr>
        <w:t xml:space="preserve"> prima di tale data, deve dimostrare che vi è equilibrio tra capacità di pesca e possibilità di pesca nel segmento di flotta della regione ultraperiferica cui il nuovo peschereccio apparterrà (</w:t>
      </w:r>
      <w:r w:rsidR="00D50A3E">
        <w:rPr>
          <w:rFonts w:ascii="Times New Roman" w:hAnsi="Times New Roman"/>
          <w:sz w:val="24"/>
        </w:rPr>
        <w:t>"</w:t>
      </w:r>
      <w:r>
        <w:rPr>
          <w:rFonts w:ascii="Times New Roman" w:hAnsi="Times New Roman"/>
          <w:sz w:val="24"/>
        </w:rPr>
        <w:t>relazione nazionale</w:t>
      </w:r>
      <w:r w:rsidR="00D50A3E">
        <w:rPr>
          <w:rFonts w:ascii="Times New Roman" w:hAnsi="Times New Roman"/>
          <w:sz w:val="24"/>
        </w:rPr>
        <w:t>"</w:t>
      </w:r>
      <w:r>
        <w:rPr>
          <w:rFonts w:ascii="Times New Roman" w:hAnsi="Times New Roman"/>
          <w:sz w:val="24"/>
        </w:rPr>
        <w:t>). In tale contesto, rispondere alle domande indicate di seguito.</w:t>
      </w:r>
    </w:p>
    <w:p w14:paraId="05A2545C" w14:textId="3F8B0000" w:rsidR="00A52AE4" w:rsidRDefault="00A52A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28BCAC7" w14:textId="56A7D489" w:rsidR="00A52AE4" w:rsidRPr="009C1330" w:rsidRDefault="00A52AE4" w:rsidP="005C06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Quando è stata stilata 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ultima relazione nazionale prima della data di concessione degli aiuti?</w:t>
      </w:r>
    </w:p>
    <w:p w14:paraId="64815BBF" w14:textId="6B6D4444" w:rsidR="00E51CD7" w:rsidRDefault="00A52AE4" w:rsidP="00845C0D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Start w:id="0" w:name="_Ref124951182"/>
    </w:p>
    <w:p w14:paraId="3D92824C" w14:textId="06EE4F1E" w:rsidR="00C17C0E" w:rsidRDefault="00C17C0E" w:rsidP="00AA562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1" w:name="_Hlk129253679"/>
      <w:r>
        <w:rPr>
          <w:rFonts w:ascii="Times New Roman" w:hAnsi="Times New Roman"/>
          <w:sz w:val="24"/>
        </w:rPr>
        <w:lastRenderedPageBreak/>
        <w:t>Fornire il link dell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ultima relazione nazionale o allegarla alla notifica.</w:t>
      </w:r>
    </w:p>
    <w:p w14:paraId="6D417808" w14:textId="4A0E0713" w:rsidR="00C17C0E" w:rsidRDefault="00C17C0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"/>
    <w:p w14:paraId="1732489C" w14:textId="77777777" w:rsidR="00903A9E" w:rsidRDefault="00903A9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1C8316FE" w14:textId="70AB4931" w:rsidR="009A3E77" w:rsidRDefault="009A3E77" w:rsidP="009A3E7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4"/>
        </w:rPr>
        <w:t xml:space="preserve">A norma del punto (225) degli orientamenti confermare che, </w:t>
      </w:r>
      <w:r>
        <w:rPr>
          <w:rFonts w:ascii="Times New Roman" w:hAnsi="Times New Roman"/>
          <w:sz w:val="23"/>
        </w:rPr>
        <w:t xml:space="preserve">affinché siano concessi tutti gli aiuti, sono rispettate le </w:t>
      </w:r>
      <w:r w:rsidR="00D50A3E">
        <w:rPr>
          <w:rFonts w:ascii="Times New Roman" w:hAnsi="Times New Roman"/>
          <w:sz w:val="23"/>
        </w:rPr>
        <w:t>condizioni indicate di seguito.</w:t>
      </w:r>
    </w:p>
    <w:p w14:paraId="7C1350B0" w14:textId="77777777" w:rsidR="009A3E77" w:rsidRPr="009A3E77" w:rsidRDefault="009A3E77" w:rsidP="009A3E77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hAnsi="Times New Roman"/>
          <w:sz w:val="23"/>
        </w:rPr>
      </w:pPr>
    </w:p>
    <w:p w14:paraId="46A0EA18" w14:textId="4EDC7511" w:rsid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La relazione nazionale è stata presentata entro il 31 maggio dell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anno N</w:t>
      </w:r>
      <w:r>
        <w:rPr>
          <w:rStyle w:val="FootnoteReference"/>
          <w:rFonts w:ascii="Times New Roman" w:eastAsia="Times New Roman" w:hAnsi="Times New Roman"/>
          <w:sz w:val="24"/>
        </w:rPr>
        <w:footnoteReference w:id="3"/>
      </w:r>
      <w:r>
        <w:rPr>
          <w:rFonts w:ascii="Times New Roman" w:hAnsi="Times New Roman"/>
          <w:sz w:val="24"/>
        </w:rPr>
        <w:t>?</w:t>
      </w:r>
    </w:p>
    <w:p w14:paraId="2641717D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37AB88ED" w14:textId="77777777" w:rsidR="005C06D1" w:rsidRPr="005615D7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3A00AAB0" w14:textId="77777777" w:rsidR="005C06D1" w:rsidRDefault="005C06D1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0AC88B97" w14:textId="3E78C13B" w:rsidR="009C1330" w:rsidRP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Confermare che la relazione nazionale presentata nell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anno N e, in particolare, la valutazione dell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equilibrio contenuta nella stessa, è stata elaborata sulla base degli indicatori biologici, economici e di utilizzo del peschereccio definiti negli orientamenti comuni</w:t>
      </w:r>
      <w:r>
        <w:rPr>
          <w:rStyle w:val="FootnoteReference"/>
          <w:rFonts w:ascii="Times New Roman" w:eastAsia="Times New Roman" w:hAnsi="Times New Roman"/>
          <w:sz w:val="24"/>
        </w:rPr>
        <w:footnoteReference w:id="4"/>
      </w:r>
      <w:r>
        <w:rPr>
          <w:rFonts w:ascii="Times New Roman" w:hAnsi="Times New Roman"/>
          <w:sz w:val="24"/>
        </w:rPr>
        <w:t xml:space="preserve"> di cui all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articolo 22, paragrafo 2, del regolamento (UE) n. 1380/2013:</w:t>
      </w:r>
    </w:p>
    <w:p w14:paraId="7E015FB6" w14:textId="2B66DE40" w:rsidR="009C1330" w:rsidRDefault="009C1330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4B3A9A85" w14:textId="48F9CF95" w:rsidR="005C06D1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329D6E9B" w14:textId="77777777" w:rsidR="00C14894" w:rsidRDefault="00C14894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</w:rPr>
      </w:pPr>
    </w:p>
    <w:p w14:paraId="6F6D238D" w14:textId="47E2EF60" w:rsidR="00C14894" w:rsidRPr="005C3488" w:rsidRDefault="00C14894" w:rsidP="00C14894">
      <w:pPr>
        <w:pStyle w:val="Default"/>
        <w:ind w:left="567"/>
        <w:jc w:val="both"/>
        <w:rPr>
          <w:i/>
          <w:sz w:val="23"/>
        </w:rPr>
      </w:pPr>
      <w:r>
        <w:rPr>
          <w:i/>
          <w:sz w:val="23"/>
        </w:rPr>
        <w:t>Si fa presente che, a norma del punto (224) degli orientamenti, l</w:t>
      </w:r>
      <w:r w:rsidR="00D50A3E">
        <w:rPr>
          <w:i/>
          <w:sz w:val="23"/>
        </w:rPr>
        <w:t>'</w:t>
      </w:r>
      <w:r>
        <w:rPr>
          <w:i/>
          <w:sz w:val="23"/>
        </w:rPr>
        <w:t>aiuto non può essere concesso se la relazione nazionale e, in particolare, la valutazione dell</w:t>
      </w:r>
      <w:r w:rsidR="00D50A3E">
        <w:rPr>
          <w:i/>
          <w:sz w:val="23"/>
        </w:rPr>
        <w:t>'</w:t>
      </w:r>
      <w:r>
        <w:rPr>
          <w:i/>
          <w:sz w:val="23"/>
        </w:rPr>
        <w:t>equilibrio contenuta nella stessa, non è stata elaborata sulla base degli indicatori biologici, economici e di utilizzo del peschereccio definiti negli orientamenti comuni di cui</w:t>
      </w:r>
      <w:r>
        <w:rPr>
          <w:i/>
          <w:color w:val="040004"/>
          <w:sz w:val="16"/>
        </w:rPr>
        <w:t xml:space="preserve"> </w:t>
      </w:r>
      <w:r>
        <w:rPr>
          <w:i/>
          <w:sz w:val="23"/>
        </w:rPr>
        <w:t>all</w:t>
      </w:r>
      <w:r w:rsidR="00D50A3E">
        <w:rPr>
          <w:i/>
          <w:sz w:val="23"/>
        </w:rPr>
        <w:t>'</w:t>
      </w:r>
      <w:r>
        <w:rPr>
          <w:i/>
          <w:sz w:val="23"/>
        </w:rPr>
        <w:t>articolo 22, paragrafo</w:t>
      </w:r>
      <w:r w:rsidR="00C079D4">
        <w:rPr>
          <w:i/>
          <w:sz w:val="23"/>
        </w:rPr>
        <w:t> </w:t>
      </w:r>
      <w:r>
        <w:rPr>
          <w:i/>
          <w:sz w:val="23"/>
        </w:rPr>
        <w:t xml:space="preserve">2, del regolamento (UE) n. 1380/2013. </w:t>
      </w:r>
    </w:p>
    <w:p w14:paraId="2246B643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bookmarkEnd w:id="0"/>
    <w:p w14:paraId="4CF8F1BD" w14:textId="5725E142" w:rsidR="00E934EF" w:rsidRDefault="00E934EF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La relazione nazionale presentata nell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anno</w:t>
      </w:r>
      <w:r w:rsidR="00D50A3E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N dimostra la presenza di un equilibrio tra capacità di pesca e possibilità di pesca nel segmento di flotta cui il nuovo peschereccio apparterrà?</w:t>
      </w:r>
    </w:p>
    <w:p w14:paraId="687B7BAC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644453D1" w14:textId="77777777" w:rsidR="00E934EF" w:rsidRPr="005615D7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2474ED7C" w14:textId="64F83FBD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1D247038" w14:textId="5E24C73F" w:rsidR="009C1330" w:rsidRDefault="00914F8E" w:rsidP="00B85E1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Spiegare in che modo si è tenuto conto della relazione nazionale nell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elaborazione della misura e come è raggiunto 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equilibrio.</w:t>
      </w:r>
    </w:p>
    <w:p w14:paraId="7BEBB8FB" w14:textId="222F2DAD" w:rsidR="009C1330" w:rsidRDefault="009C1330" w:rsidP="00C8226F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4C76C63" w14:textId="4CD7C8EE" w:rsidR="00E934EF" w:rsidRDefault="00AE0161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A norma del punto (226) degli orientamenti confermare che la Commissione non ha messo in discussione entro il 31 marzo dell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anno N+1:</w:t>
      </w:r>
    </w:p>
    <w:p w14:paraId="3AA53C11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6FFE3250" w14:textId="1109C6D2" w:rsidR="00920E82" w:rsidRDefault="00920E82" w:rsidP="00920E82">
      <w:p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sz w:val="24"/>
        </w:rPr>
      </w:r>
      <w:r w:rsidR="00C079D4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a) la conclusione della relazione nazionale presentata nell</w:t>
      </w:r>
      <w:r w:rsidR="00D50A3E">
        <w:rPr>
          <w:rFonts w:ascii="Times New Roman" w:hAnsi="Times New Roman"/>
          <w:sz w:val="24"/>
        </w:rPr>
        <w:t>'anno N;</w:t>
      </w:r>
    </w:p>
    <w:p w14:paraId="05DD149D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</w:rPr>
      </w:pPr>
    </w:p>
    <w:p w14:paraId="0D6C6DBB" w14:textId="77777777" w:rsidR="00920E82" w:rsidRPr="005E495C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</w:rPr>
      </w:pPr>
    </w:p>
    <w:p w14:paraId="13BA563C" w14:textId="1AAB5637" w:rsidR="00920E82" w:rsidRPr="005615D7" w:rsidRDefault="00920E82" w:rsidP="00D50A3E">
      <w:pPr>
        <w:autoSpaceDE w:val="0"/>
        <w:autoSpaceDN w:val="0"/>
        <w:adjustRightInd w:val="0"/>
        <w:spacing w:after="0" w:line="240" w:lineRule="auto"/>
        <w:ind w:left="1526" w:hanging="60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sz w:val="24"/>
        </w:rPr>
      </w:r>
      <w:r w:rsidR="00C079D4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 w:rsidRPr="00D50A3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b) la valutazione dell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equilibrio contenuta nella relazione nazionale presentata nell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anno N.</w:t>
      </w:r>
    </w:p>
    <w:p w14:paraId="3BB81E4E" w14:textId="77777777" w:rsidR="003D4919" w:rsidRPr="00920E82" w:rsidRDefault="003D4919" w:rsidP="003D49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3071BFA7" w14:textId="0BABEB61" w:rsidR="00E934EF" w:rsidRDefault="00E51CD7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Confermare che la misura prevede che gli aiuti possano essere concessi sulla base della relazione nazionale presentata nell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anno N solo fino al 31 dicembre dell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anno N+1, ossia 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anno successivo a quello di</w:t>
      </w:r>
      <w:r w:rsidR="00D50A3E">
        <w:rPr>
          <w:rFonts w:ascii="Times New Roman" w:hAnsi="Times New Roman"/>
          <w:sz w:val="24"/>
        </w:rPr>
        <w:t xml:space="preserve"> presentazione della relazione:</w:t>
      </w:r>
    </w:p>
    <w:p w14:paraId="65054479" w14:textId="1620B0B3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3E52413" w14:textId="77777777" w:rsidR="00E51CD7" w:rsidRPr="001E103F" w:rsidRDefault="00E51CD7" w:rsidP="00E51C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8A5C77E" w14:textId="77777777" w:rsidR="00E51CD7" w:rsidRDefault="00E51CD7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2AE2F767" w14:textId="3586469F" w:rsidR="00E51CD7" w:rsidRDefault="00E51CD7" w:rsidP="00977F8E">
      <w:pPr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590473FA" w14:textId="0C49617E" w:rsidR="003F1D62" w:rsidRDefault="00E51CD7" w:rsidP="00705639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157943DC" w14:textId="49D4F3AA" w:rsidR="003F1D62" w:rsidRP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Confermare che i limiti di capacità di pesca di ciascuno Stato membro e di ciascun segmento di flotta delle regioni ultraperiferiche di cui all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allegato II del regolamento (UE) n. 1380/2013, tenendo conto di ogni eventuale riduzione di tali limiti ai sensi dell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articolo</w:t>
      </w:r>
      <w:r w:rsidR="00C079D4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22, paragrafo 6, di detto regolamento, non saranno mai superati:</w:t>
      </w:r>
    </w:p>
    <w:p w14:paraId="624C1B24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1CBA211A" w14:textId="4540C2F6" w:rsidR="003F1D62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2B94A0F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7FEEDD64" w14:textId="5C7AD955" w:rsidR="003F1D62" w:rsidRDefault="00CD7D8E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Spiegare in che modo </w:t>
      </w:r>
      <w:r w:rsidR="00D50A3E">
        <w:rPr>
          <w:rFonts w:ascii="Times New Roman" w:hAnsi="Times New Roman"/>
          <w:sz w:val="24"/>
        </w:rPr>
        <w:t>sarà garantita tale condizione.</w:t>
      </w:r>
    </w:p>
    <w:p w14:paraId="09B04D1A" w14:textId="77777777" w:rsidR="003F1D62" w:rsidRDefault="003F1D62" w:rsidP="003F1D62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21C1842" w14:textId="34650CB4" w:rsidR="00AB4AD5" w:rsidRPr="00AB4AD5" w:rsidRDefault="00AB4AD5" w:rsidP="00AB4AD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Si fa presente che l</w:t>
      </w:r>
      <w:r w:rsidR="00D50A3E">
        <w:rPr>
          <w:rFonts w:ascii="Times New Roman" w:hAnsi="Times New Roman"/>
          <w:i/>
          <w:sz w:val="24"/>
        </w:rPr>
        <w:t>'</w:t>
      </w:r>
      <w:r>
        <w:rPr>
          <w:rFonts w:ascii="Times New Roman" w:hAnsi="Times New Roman"/>
          <w:i/>
          <w:sz w:val="24"/>
        </w:rPr>
        <w:t>ingresso nella flotta di una nuova capacità acquisita grazie all</w:t>
      </w:r>
      <w:r w:rsidR="00D50A3E">
        <w:rPr>
          <w:rFonts w:ascii="Times New Roman" w:hAnsi="Times New Roman"/>
          <w:i/>
          <w:sz w:val="24"/>
        </w:rPr>
        <w:t>'</w:t>
      </w:r>
      <w:r>
        <w:rPr>
          <w:rFonts w:ascii="Times New Roman" w:hAnsi="Times New Roman"/>
          <w:i/>
          <w:sz w:val="24"/>
        </w:rPr>
        <w:t>aiuto deve avvenire nel pieno rispetto dei limiti di capacità e non deve comportare un superamento dei limiti.</w:t>
      </w:r>
    </w:p>
    <w:p w14:paraId="63FCF060" w14:textId="77777777" w:rsidR="003F1D62" w:rsidRDefault="003F1D62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2460D092" w14:textId="1AA284A4" w:rsidR="00E51CD7" w:rsidRPr="00E934EF" w:rsidRDefault="00E51C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Confermare che la misura prevede che 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aiuto non sia subordinato all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acquisizione del nuovo peschereccio presso un cantiere particolare:</w:t>
      </w:r>
    </w:p>
    <w:p w14:paraId="6ADFCD17" w14:textId="792C75A2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6211C055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5E0C603B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1BD4B218" w14:textId="68108EB9" w:rsidR="003F1D62" w:rsidRDefault="00C97073" w:rsidP="00C079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5.1. In caso di risposta affermativa, indicare le disposizioni pertinenti della base giuridica.</w:t>
      </w:r>
    </w:p>
    <w:p w14:paraId="7AF3615F" w14:textId="406B2F67" w:rsidR="005C06D1" w:rsidRDefault="003F1D62" w:rsidP="00181BD8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5648B70" w14:textId="6236EDFD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Fornire una descrizione dettagliata dei costi ammissibili nell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ambito della misura.</w:t>
      </w:r>
    </w:p>
    <w:p w14:paraId="386BAB56" w14:textId="75133C02" w:rsidR="003F1D62" w:rsidRDefault="003F1D62" w:rsidP="00E9142F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ADE3A15" w14:textId="56CEC2E9" w:rsidR="003F1D62" w:rsidRDefault="00A91C65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Confermare che</w:t>
      </w:r>
      <w:r w:rsidR="00CB5F65">
        <w:rPr>
          <w:rFonts w:ascii="Times New Roman" w:hAnsi="Times New Roman"/>
          <w:sz w:val="24"/>
        </w:rPr>
        <w:t xml:space="preserve"> la misura sancisce che </w:t>
      </w:r>
      <w:r>
        <w:rPr>
          <w:rFonts w:ascii="Times New Roman" w:hAnsi="Times New Roman"/>
          <w:sz w:val="24"/>
        </w:rPr>
        <w:t>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intensità massima d</w:t>
      </w:r>
      <w:r w:rsidR="00CB5F65">
        <w:rPr>
          <w:rFonts w:ascii="Times New Roman" w:hAnsi="Times New Roman"/>
          <w:sz w:val="24"/>
        </w:rPr>
        <w:t xml:space="preserve">i </w:t>
      </w:r>
      <w:r>
        <w:rPr>
          <w:rFonts w:ascii="Times New Roman" w:hAnsi="Times New Roman"/>
          <w:sz w:val="24"/>
        </w:rPr>
        <w:t xml:space="preserve">aiuto per </w:t>
      </w:r>
      <w:r w:rsidR="00CB5F65">
        <w:rPr>
          <w:rFonts w:ascii="Times New Roman" w:hAnsi="Times New Roman"/>
          <w:sz w:val="24"/>
        </w:rPr>
        <w:t xml:space="preserve">i </w:t>
      </w:r>
      <w:r>
        <w:rPr>
          <w:rFonts w:ascii="Times New Roman" w:hAnsi="Times New Roman"/>
          <w:sz w:val="24"/>
        </w:rPr>
        <w:t xml:space="preserve">pescherecci non </w:t>
      </w:r>
      <w:r w:rsidR="00CB5F65">
        <w:rPr>
          <w:rFonts w:ascii="Times New Roman" w:hAnsi="Times New Roman"/>
          <w:sz w:val="24"/>
        </w:rPr>
        <w:t xml:space="preserve">deve </w:t>
      </w:r>
      <w:r>
        <w:rPr>
          <w:rFonts w:ascii="Times New Roman" w:hAnsi="Times New Roman"/>
          <w:sz w:val="24"/>
        </w:rPr>
        <w:t>superare:</w:t>
      </w:r>
    </w:p>
    <w:p w14:paraId="4A19B3B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</w:p>
    <w:p w14:paraId="48A806B6" w14:textId="510F879C" w:rsidR="00CD7D8E" w:rsidRPr="00CD7D8E" w:rsidRDefault="003F1D62" w:rsidP="00CD7D8E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il 60 % dei costi totali ammissibili per i pescherecci di lunghezza fuori tutto inferiore a 12 metri</w:t>
      </w:r>
    </w:p>
    <w:p w14:paraId="0C9D19A3" w14:textId="03516310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64521E60" w14:textId="77777777" w:rsidR="00CD7D8E" w:rsidRPr="001E103F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</w:rPr>
      </w:pPr>
    </w:p>
    <w:p w14:paraId="4527C0FE" w14:textId="2FC6C179" w:rsidR="003F1D62" w:rsidRDefault="003F1D62" w:rsidP="005C06D1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il 50 % dei costi totali ammissibili per i pescherecci di lunghezza fuori tutto pari o superiore a 12 metri e inferiore a 24 metri</w:t>
      </w:r>
    </w:p>
    <w:p w14:paraId="76F91C51" w14:textId="5F93B0FC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3FF9957A" w14:textId="77777777" w:rsidR="00CD7D8E" w:rsidRDefault="00CD7D8E" w:rsidP="00CD7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1963CAF8" w14:textId="1AFF38AB" w:rsidR="00A91C65" w:rsidRDefault="003F1D62" w:rsidP="00D50A3E">
      <w:pPr>
        <w:keepNext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077" w:hanging="35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il 25 % dei costi totali ammissibili per i pescherecci di lunghezza fuori tutto pari o superiore a 24 metri</w:t>
      </w:r>
    </w:p>
    <w:p w14:paraId="42CE96EF" w14:textId="77777777" w:rsidR="00A91C65" w:rsidRDefault="00A91C65" w:rsidP="00D50A3E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21EE1873" w14:textId="77777777" w:rsidR="00CB5F65" w:rsidRDefault="00CB5F65" w:rsidP="00CB5F65">
      <w:pPr>
        <w:numPr>
          <w:ilvl w:val="1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Indicare le intensità massime di aiuto applicabili nell'ambito della misura.</w:t>
      </w:r>
    </w:p>
    <w:p w14:paraId="3D0A1467" w14:textId="6F29226F" w:rsidR="00006827" w:rsidRDefault="00006827" w:rsidP="00006827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3D6986C" w14:textId="304810E3" w:rsidR="00006827" w:rsidRDefault="00CB5F65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2" w:name="_Hlk125368675"/>
      <w:r>
        <w:rPr>
          <w:rFonts w:ascii="Times New Roman" w:hAnsi="Times New Roman"/>
          <w:sz w:val="24"/>
          <w:szCs w:val="24"/>
        </w:rPr>
        <w:t>Indicare le disposizioni della base giuridica che stabiliscono le intensità massime di aiuto nell'ambito della misura</w:t>
      </w:r>
      <w:r w:rsidR="00006827">
        <w:rPr>
          <w:rFonts w:ascii="Times New Roman" w:hAnsi="Times New Roman"/>
          <w:sz w:val="24"/>
        </w:rPr>
        <w:t>.</w:t>
      </w:r>
    </w:p>
    <w:p w14:paraId="361A0D8D" w14:textId="181AE66D" w:rsidR="003F1D62" w:rsidRDefault="00006827" w:rsidP="00006827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"/>
    </w:p>
    <w:p w14:paraId="6B717313" w14:textId="7345A1DE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Confermare che il peschereccio acquisito grazie agli aiuti deve rimanere registrato nella regione ultraperiferica per almeno 15 anni dalla data di concessione degli aiuti e durante tale periodo deve sbarcare la totalità delle sue catture </w:t>
      </w:r>
      <w:r w:rsidR="00D50A3E">
        <w:rPr>
          <w:rFonts w:ascii="Times New Roman" w:hAnsi="Times New Roman"/>
          <w:sz w:val="24"/>
        </w:rPr>
        <w:t>in una regione ultraperiferica:</w:t>
      </w:r>
    </w:p>
    <w:p w14:paraId="180A297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8E46668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4D3990E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4F3F2F40" w14:textId="6607A728" w:rsidR="00834527" w:rsidRDefault="00834527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Confermare che, se la suddetta condizione non è rispettata, 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aiuto deve essere rimborsato dall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impresa beneficiaria con importo proporzionale al periodo o all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entità dell</w:t>
      </w:r>
      <w:r w:rsidR="00D50A3E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inosservanza:</w:t>
      </w:r>
    </w:p>
    <w:p w14:paraId="5BBA4B95" w14:textId="77777777" w:rsidR="00834527" w:rsidRDefault="00834527" w:rsidP="008345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</w:p>
    <w:p w14:paraId="14F27E6E" w14:textId="77777777" w:rsidR="00834527" w:rsidRPr="001E103F" w:rsidRDefault="00834527" w:rsidP="00834527">
      <w:pPr>
        <w:autoSpaceDE w:val="0"/>
        <w:autoSpaceDN w:val="0"/>
        <w:adjustRightInd w:val="0"/>
        <w:spacing w:after="0" w:line="240" w:lineRule="auto"/>
        <w:ind w:left="360" w:firstLine="20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079D4">
        <w:rPr>
          <w:rFonts w:ascii="Times New Roman" w:eastAsia="Times New Roman" w:hAnsi="Times New Roman"/>
          <w:b/>
          <w:sz w:val="24"/>
        </w:rPr>
      </w:r>
      <w:r w:rsidR="00C079D4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2D34C019" w14:textId="77777777" w:rsidR="00834527" w:rsidRPr="00834527" w:rsidRDefault="00834527" w:rsidP="00834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3477CD33" w14:textId="35E8F9A2" w:rsidR="003F1D62" w:rsidRDefault="003F1D62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0E1683EF" w14:textId="210BB523" w:rsidR="003F1D62" w:rsidRPr="001E103F" w:rsidRDefault="003F1D62" w:rsidP="00D2507A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ALTRE INFORMAZIONI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</w:rPr>
      </w:pPr>
    </w:p>
    <w:p w14:paraId="4382E10D" w14:textId="0E24CCEE" w:rsidR="005615D7" w:rsidRPr="001E103F" w:rsidRDefault="005615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Indicare eventuali altre informazioni ritenute pertinenti per la valutazione della misura a</w:t>
      </w:r>
      <w:r w:rsidR="00D50A3E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norma di questa sezione degli orientamenti.</w:t>
      </w:r>
    </w:p>
    <w:p w14:paraId="227C2D0E" w14:textId="77777777" w:rsidR="005615D7" w:rsidRPr="001E103F" w:rsidRDefault="005615D7" w:rsidP="005615D7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3DECC67C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0A3E">
      <w:rPr>
        <w:noProof/>
      </w:rPr>
      <w:t>4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2FBD1467" w14:textId="68C26FAF" w:rsidR="00CB5F65" w:rsidRPr="00504ACF" w:rsidRDefault="00CB5F65" w:rsidP="00CB5F65">
      <w:pPr>
        <w:pStyle w:val="FootnoteText"/>
      </w:pPr>
      <w:r w:rsidRPr="00C079D4">
        <w:rPr>
          <w:rStyle w:val="FootnoteReference"/>
        </w:rPr>
        <w:footnoteRef/>
      </w:r>
      <w:r w:rsidR="00C079D4">
        <w:tab/>
      </w:r>
      <w:r w:rsidRPr="00C079D4">
        <w:rPr>
          <w:rFonts w:ascii="Times New Roman" w:hAnsi="Times New Roman"/>
        </w:rPr>
        <w:t>GU</w:t>
      </w:r>
      <w:r w:rsidRPr="007F681A">
        <w:rPr>
          <w:rFonts w:ascii="Times New Roman" w:hAnsi="Times New Roman"/>
        </w:rPr>
        <w:t xml:space="preserve"> C 107</w:t>
      </w:r>
      <w:r>
        <w:rPr>
          <w:rFonts w:ascii="Times New Roman" w:hAnsi="Times New Roman"/>
        </w:rPr>
        <w:t xml:space="preserve"> del </w:t>
      </w:r>
      <w:r w:rsidRPr="007F681A">
        <w:rPr>
          <w:rFonts w:ascii="Times New Roman" w:hAnsi="Times New Roman"/>
        </w:rPr>
        <w:t>23.3.2023, p</w:t>
      </w:r>
      <w:r>
        <w:rPr>
          <w:rFonts w:ascii="Times New Roman" w:hAnsi="Times New Roman"/>
        </w:rPr>
        <w:t>ag.</w:t>
      </w:r>
      <w:r w:rsidRPr="007F681A">
        <w:rPr>
          <w:rFonts w:ascii="Times New Roman" w:hAnsi="Times New Roman"/>
        </w:rPr>
        <w:t xml:space="preserve"> 1</w:t>
      </w:r>
      <w:r>
        <w:rPr>
          <w:rFonts w:ascii="Times New Roman" w:hAnsi="Times New Roman"/>
        </w:rPr>
        <w:t>.</w:t>
      </w:r>
    </w:p>
  </w:footnote>
  <w:footnote w:id="2">
    <w:p w14:paraId="20426074" w14:textId="6599C133" w:rsidR="00376F0F" w:rsidRPr="00376F0F" w:rsidRDefault="00376F0F" w:rsidP="00376F0F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 w:rsidR="00C079D4">
        <w:rPr>
          <w:rFonts w:ascii="Times New Roman" w:hAnsi="Times New Roman"/>
        </w:rPr>
        <w:tab/>
      </w:r>
      <w:r>
        <w:rPr>
          <w:rFonts w:ascii="Times New Roman" w:hAnsi="Times New Roman"/>
        </w:rPr>
        <w:t>Regolamento (UE) n. 1380/2013 del Parlamento europeo e del Consiglio, dell</w:t>
      </w:r>
      <w:r w:rsidR="00D50A3E">
        <w:rPr>
          <w:rFonts w:ascii="Times New Roman" w:hAnsi="Times New Roman"/>
        </w:rPr>
        <w:t>'</w:t>
      </w:r>
      <w:r>
        <w:rPr>
          <w:rFonts w:ascii="Times New Roman" w:hAnsi="Times New Roman"/>
        </w:rPr>
        <w:t>11 dicembre 2013, relativo alla politica comune della pesca, che modifica i regolamenti (CE) n. 1954/2003 e (CE) n. 1224/2009 del Consiglio e che abroga i regolamenti (CE) n. 2371/2002 e (CE) n. 639/2004 del Consiglio, nonché la decisione 2004/585/CE del Consiglio (GU L</w:t>
      </w:r>
      <w:r w:rsidR="00D50A3E">
        <w:rPr>
          <w:rFonts w:ascii="Times New Roman" w:hAnsi="Times New Roman"/>
        </w:rPr>
        <w:t> </w:t>
      </w:r>
      <w:r>
        <w:rPr>
          <w:rFonts w:ascii="Times New Roman" w:hAnsi="Times New Roman"/>
        </w:rPr>
        <w:t>354 del 28.12.2013, pag. 22).</w:t>
      </w:r>
    </w:p>
  </w:footnote>
  <w:footnote w:id="3">
    <w:p w14:paraId="7847149D" w14:textId="1DAF897F" w:rsidR="000345FA" w:rsidRPr="000345FA" w:rsidRDefault="000345FA" w:rsidP="000345FA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 w:rsidR="00C079D4">
        <w:rPr>
          <w:rFonts w:ascii="Times New Roman" w:hAnsi="Times New Roman"/>
        </w:rPr>
        <w:tab/>
      </w:r>
      <w:r>
        <w:rPr>
          <w:rFonts w:ascii="Times New Roman" w:hAnsi="Times New Roman"/>
        </w:rPr>
        <w:t>Fare riferimento ai punti (225)-(227) degli orientamenti che descrivono le sequenze della relazione nazionale dell</w:t>
      </w:r>
      <w:r w:rsidR="00D50A3E">
        <w:rPr>
          <w:rFonts w:ascii="Times New Roman" w:hAnsi="Times New Roman"/>
        </w:rPr>
        <w:t>'</w:t>
      </w:r>
      <w:r>
        <w:rPr>
          <w:rFonts w:ascii="Times New Roman" w:hAnsi="Times New Roman"/>
        </w:rPr>
        <w:t>anno N e l</w:t>
      </w:r>
      <w:r w:rsidR="00D50A3E">
        <w:rPr>
          <w:rFonts w:ascii="Times New Roman" w:hAnsi="Times New Roman"/>
        </w:rPr>
        <w:t>'</w:t>
      </w:r>
      <w:r>
        <w:rPr>
          <w:rFonts w:ascii="Times New Roman" w:hAnsi="Times New Roman"/>
        </w:rPr>
        <w:t>azione della Commissione entro il 31 marzo dell</w:t>
      </w:r>
      <w:r w:rsidR="00D50A3E">
        <w:rPr>
          <w:rFonts w:ascii="Times New Roman" w:hAnsi="Times New Roman"/>
        </w:rPr>
        <w:t>'</w:t>
      </w:r>
      <w:r>
        <w:rPr>
          <w:rFonts w:ascii="Times New Roman" w:hAnsi="Times New Roman"/>
        </w:rPr>
        <w:t>anno N+1 e il periodo di concessione degli aiuti.</w:t>
      </w:r>
    </w:p>
  </w:footnote>
  <w:footnote w:id="4">
    <w:p w14:paraId="47CB3F50" w14:textId="525B8FFC" w:rsidR="001A2686" w:rsidRPr="001A2686" w:rsidRDefault="001A2686" w:rsidP="000345FA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 w:rsidR="00C079D4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Comunicazione della Commissione al Parlamento europeo e al Consiglio </w:t>
      </w:r>
      <w:r w:rsidR="00D50A3E">
        <w:rPr>
          <w:rFonts w:ascii="Times New Roman" w:hAnsi="Times New Roman"/>
        </w:rPr>
        <w:t>"</w:t>
      </w:r>
      <w:r>
        <w:rPr>
          <w:rFonts w:ascii="Times New Roman" w:hAnsi="Times New Roman"/>
        </w:rPr>
        <w:t>Orientamenti per l</w:t>
      </w:r>
      <w:r w:rsidR="00D50A3E">
        <w:rPr>
          <w:rFonts w:ascii="Times New Roman" w:hAnsi="Times New Roman"/>
        </w:rPr>
        <w:t>'</w:t>
      </w:r>
      <w:r>
        <w:rPr>
          <w:rFonts w:ascii="Times New Roman" w:hAnsi="Times New Roman"/>
        </w:rPr>
        <w:t>analisi dell</w:t>
      </w:r>
      <w:r w:rsidR="00D50A3E">
        <w:rPr>
          <w:rFonts w:ascii="Times New Roman" w:hAnsi="Times New Roman"/>
        </w:rPr>
        <w:t>'</w:t>
      </w:r>
      <w:r>
        <w:rPr>
          <w:rFonts w:ascii="Times New Roman" w:hAnsi="Times New Roman"/>
        </w:rPr>
        <w:t>equilibrio tra la capacità di pesca e le possibilità di pesca, conformemente all</w:t>
      </w:r>
      <w:r w:rsidR="00D50A3E">
        <w:rPr>
          <w:rFonts w:ascii="Times New Roman" w:hAnsi="Times New Roman"/>
        </w:rPr>
        <w:t>'</w:t>
      </w:r>
      <w:r>
        <w:rPr>
          <w:rFonts w:ascii="Times New Roman" w:hAnsi="Times New Roman"/>
        </w:rPr>
        <w:t>articolo 22 del regolamento (UE) n. 1380/2013 del Parlamento europeo e del Consiglio relativo alla politica comune della pesca</w:t>
      </w:r>
      <w:r w:rsidR="00D50A3E">
        <w:rPr>
          <w:rFonts w:ascii="Times New Roman" w:hAnsi="Times New Roman"/>
        </w:rPr>
        <w:t>"</w:t>
      </w:r>
      <w:r>
        <w:rPr>
          <w:rFonts w:ascii="Times New Roman" w:hAnsi="Times New Roman"/>
        </w:rPr>
        <w:t xml:space="preserve"> (COM(2014) 545 final).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6EFB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74047A"/>
    <w:multiLevelType w:val="multilevel"/>
    <w:tmpl w:val="F798167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" w15:restartNumberingAfterBreak="0">
    <w:nsid w:val="09DE39B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9" w15:restartNumberingAfterBreak="0">
    <w:nsid w:val="2BFD4FD8"/>
    <w:multiLevelType w:val="hybridMultilevel"/>
    <w:tmpl w:val="59CAF8A2"/>
    <w:lvl w:ilvl="0" w:tplc="0FF0A686">
      <w:start w:val="1"/>
      <w:numFmt w:val="lowerLetter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4C232996"/>
    <w:multiLevelType w:val="multilevel"/>
    <w:tmpl w:val="19A6771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1DB069D"/>
    <w:multiLevelType w:val="multilevel"/>
    <w:tmpl w:val="AC7818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0" w15:restartNumberingAfterBreak="0">
    <w:nsid w:val="6C641100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01884609">
    <w:abstractNumId w:val="6"/>
  </w:num>
  <w:num w:numId="2" w16cid:durableId="1517963718">
    <w:abstractNumId w:val="22"/>
  </w:num>
  <w:num w:numId="3" w16cid:durableId="1440879363">
    <w:abstractNumId w:val="7"/>
  </w:num>
  <w:num w:numId="4" w16cid:durableId="1397048942">
    <w:abstractNumId w:val="13"/>
  </w:num>
  <w:num w:numId="5" w16cid:durableId="1573587442">
    <w:abstractNumId w:val="8"/>
  </w:num>
  <w:num w:numId="6" w16cid:durableId="765619691">
    <w:abstractNumId w:val="17"/>
  </w:num>
  <w:num w:numId="7" w16cid:durableId="1704668500">
    <w:abstractNumId w:val="14"/>
  </w:num>
  <w:num w:numId="8" w16cid:durableId="332340326">
    <w:abstractNumId w:val="21"/>
  </w:num>
  <w:num w:numId="9" w16cid:durableId="14239928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5999818">
    <w:abstractNumId w:val="4"/>
  </w:num>
  <w:num w:numId="11" w16cid:durableId="554317141">
    <w:abstractNumId w:val="11"/>
  </w:num>
  <w:num w:numId="12" w16cid:durableId="510148613">
    <w:abstractNumId w:val="3"/>
  </w:num>
  <w:num w:numId="13" w16cid:durableId="324165811">
    <w:abstractNumId w:val="5"/>
  </w:num>
  <w:num w:numId="14" w16cid:durableId="791438449">
    <w:abstractNumId w:val="19"/>
  </w:num>
  <w:num w:numId="15" w16cid:durableId="740372876">
    <w:abstractNumId w:val="10"/>
  </w:num>
  <w:num w:numId="16" w16cid:durableId="28770654">
    <w:abstractNumId w:val="18"/>
  </w:num>
  <w:num w:numId="17" w16cid:durableId="553273293">
    <w:abstractNumId w:val="12"/>
  </w:num>
  <w:num w:numId="18" w16cid:durableId="1884488199">
    <w:abstractNumId w:val="9"/>
  </w:num>
  <w:num w:numId="19" w16cid:durableId="469133616">
    <w:abstractNumId w:val="0"/>
  </w:num>
  <w:num w:numId="20" w16cid:durableId="332808140">
    <w:abstractNumId w:val="24"/>
  </w:num>
  <w:num w:numId="21" w16cid:durableId="2039895380">
    <w:abstractNumId w:val="20"/>
  </w:num>
  <w:num w:numId="22" w16cid:durableId="408309770">
    <w:abstractNumId w:val="16"/>
  </w:num>
  <w:num w:numId="23" w16cid:durableId="807824568">
    <w:abstractNumId w:val="2"/>
  </w:num>
  <w:num w:numId="24" w16cid:durableId="478838270">
    <w:abstractNumId w:val="15"/>
  </w:num>
  <w:num w:numId="25" w16cid:durableId="838883449">
    <w:abstractNumId w:val="1"/>
  </w:num>
  <w:num w:numId="26" w16cid:durableId="7121177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06827"/>
    <w:rsid w:val="00006C38"/>
    <w:rsid w:val="00015284"/>
    <w:rsid w:val="00016C19"/>
    <w:rsid w:val="000345FA"/>
    <w:rsid w:val="00034AF3"/>
    <w:rsid w:val="00047C56"/>
    <w:rsid w:val="0008347B"/>
    <w:rsid w:val="000A5405"/>
    <w:rsid w:val="000D36C1"/>
    <w:rsid w:val="000E2F1C"/>
    <w:rsid w:val="000E6ABB"/>
    <w:rsid w:val="00105AD7"/>
    <w:rsid w:val="00114BDD"/>
    <w:rsid w:val="00136501"/>
    <w:rsid w:val="00181BD8"/>
    <w:rsid w:val="001832DE"/>
    <w:rsid w:val="001A2686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256A7"/>
    <w:rsid w:val="00236AD9"/>
    <w:rsid w:val="00247C79"/>
    <w:rsid w:val="00252DEE"/>
    <w:rsid w:val="00256D84"/>
    <w:rsid w:val="0026001A"/>
    <w:rsid w:val="002627EB"/>
    <w:rsid w:val="002C2F3E"/>
    <w:rsid w:val="002D413F"/>
    <w:rsid w:val="003027AD"/>
    <w:rsid w:val="003649C9"/>
    <w:rsid w:val="00376F0F"/>
    <w:rsid w:val="00385658"/>
    <w:rsid w:val="003C02AB"/>
    <w:rsid w:val="003D4919"/>
    <w:rsid w:val="003E0993"/>
    <w:rsid w:val="003E1E24"/>
    <w:rsid w:val="003F1D62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D22F3"/>
    <w:rsid w:val="004D7425"/>
    <w:rsid w:val="004F33BC"/>
    <w:rsid w:val="0050429C"/>
    <w:rsid w:val="005559FD"/>
    <w:rsid w:val="005615D7"/>
    <w:rsid w:val="00564755"/>
    <w:rsid w:val="005B1262"/>
    <w:rsid w:val="005C06D1"/>
    <w:rsid w:val="005C1C12"/>
    <w:rsid w:val="005C3488"/>
    <w:rsid w:val="005E495C"/>
    <w:rsid w:val="005E58E1"/>
    <w:rsid w:val="00610BCF"/>
    <w:rsid w:val="00615953"/>
    <w:rsid w:val="006177B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05639"/>
    <w:rsid w:val="00716026"/>
    <w:rsid w:val="007577B2"/>
    <w:rsid w:val="00764F86"/>
    <w:rsid w:val="00766F2B"/>
    <w:rsid w:val="00772CC2"/>
    <w:rsid w:val="00782244"/>
    <w:rsid w:val="00784417"/>
    <w:rsid w:val="007920FE"/>
    <w:rsid w:val="00792BE3"/>
    <w:rsid w:val="007A2A6D"/>
    <w:rsid w:val="007A3773"/>
    <w:rsid w:val="007B3E6C"/>
    <w:rsid w:val="007D193E"/>
    <w:rsid w:val="007E27BD"/>
    <w:rsid w:val="007F69E1"/>
    <w:rsid w:val="008004EF"/>
    <w:rsid w:val="00806E74"/>
    <w:rsid w:val="008131D2"/>
    <w:rsid w:val="00834527"/>
    <w:rsid w:val="00845C0D"/>
    <w:rsid w:val="00865AD5"/>
    <w:rsid w:val="008A02E0"/>
    <w:rsid w:val="008A3BF8"/>
    <w:rsid w:val="008C7C53"/>
    <w:rsid w:val="008E7385"/>
    <w:rsid w:val="00903A9E"/>
    <w:rsid w:val="00914F8E"/>
    <w:rsid w:val="0092025C"/>
    <w:rsid w:val="00920E82"/>
    <w:rsid w:val="009725CF"/>
    <w:rsid w:val="00977F8E"/>
    <w:rsid w:val="009A3E77"/>
    <w:rsid w:val="009C1330"/>
    <w:rsid w:val="009E1F93"/>
    <w:rsid w:val="00A003E4"/>
    <w:rsid w:val="00A02D5E"/>
    <w:rsid w:val="00A138AC"/>
    <w:rsid w:val="00A13FFA"/>
    <w:rsid w:val="00A52AE4"/>
    <w:rsid w:val="00A56179"/>
    <w:rsid w:val="00A5779C"/>
    <w:rsid w:val="00A634A8"/>
    <w:rsid w:val="00A737D2"/>
    <w:rsid w:val="00A91C65"/>
    <w:rsid w:val="00A9378D"/>
    <w:rsid w:val="00A93E41"/>
    <w:rsid w:val="00AA2F26"/>
    <w:rsid w:val="00AA562C"/>
    <w:rsid w:val="00AB4AD5"/>
    <w:rsid w:val="00AC1CE4"/>
    <w:rsid w:val="00AC55F1"/>
    <w:rsid w:val="00AE0161"/>
    <w:rsid w:val="00AE720A"/>
    <w:rsid w:val="00B05450"/>
    <w:rsid w:val="00B12B1E"/>
    <w:rsid w:val="00B235B8"/>
    <w:rsid w:val="00B30B7F"/>
    <w:rsid w:val="00B37296"/>
    <w:rsid w:val="00B41F35"/>
    <w:rsid w:val="00B4562D"/>
    <w:rsid w:val="00B56ACA"/>
    <w:rsid w:val="00B85E1C"/>
    <w:rsid w:val="00BA70E4"/>
    <w:rsid w:val="00BC1759"/>
    <w:rsid w:val="00BC48E2"/>
    <w:rsid w:val="00BD7CCD"/>
    <w:rsid w:val="00BF55C4"/>
    <w:rsid w:val="00C079D4"/>
    <w:rsid w:val="00C14894"/>
    <w:rsid w:val="00C17C0E"/>
    <w:rsid w:val="00C25FCA"/>
    <w:rsid w:val="00C300A7"/>
    <w:rsid w:val="00C303CF"/>
    <w:rsid w:val="00C800F0"/>
    <w:rsid w:val="00C81509"/>
    <w:rsid w:val="00C8226F"/>
    <w:rsid w:val="00C97073"/>
    <w:rsid w:val="00CB185C"/>
    <w:rsid w:val="00CB2D84"/>
    <w:rsid w:val="00CB5F65"/>
    <w:rsid w:val="00CC04F4"/>
    <w:rsid w:val="00CD7D8E"/>
    <w:rsid w:val="00CE214E"/>
    <w:rsid w:val="00D2507A"/>
    <w:rsid w:val="00D25398"/>
    <w:rsid w:val="00D4579E"/>
    <w:rsid w:val="00D50A3E"/>
    <w:rsid w:val="00D54834"/>
    <w:rsid w:val="00D7395D"/>
    <w:rsid w:val="00D75EF4"/>
    <w:rsid w:val="00D823CB"/>
    <w:rsid w:val="00DA52D8"/>
    <w:rsid w:val="00DF06B6"/>
    <w:rsid w:val="00DF0D4F"/>
    <w:rsid w:val="00DF43CD"/>
    <w:rsid w:val="00E20F79"/>
    <w:rsid w:val="00E51CD7"/>
    <w:rsid w:val="00E610A6"/>
    <w:rsid w:val="00E65A1F"/>
    <w:rsid w:val="00E9142F"/>
    <w:rsid w:val="00E934EF"/>
    <w:rsid w:val="00EB7F3A"/>
    <w:rsid w:val="00ED5E1A"/>
    <w:rsid w:val="00EE7462"/>
    <w:rsid w:val="00F06A07"/>
    <w:rsid w:val="00F117EF"/>
    <w:rsid w:val="00F22776"/>
    <w:rsid w:val="00F3649F"/>
    <w:rsid w:val="00F37EC5"/>
    <w:rsid w:val="00F50789"/>
    <w:rsid w:val="00F50DF3"/>
    <w:rsid w:val="00F56F54"/>
    <w:rsid w:val="00F91CDC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i/>
      <w:sz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i/>
      <w:sz w:val="28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b/>
      <w:sz w:val="28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</w:rPr>
  </w:style>
  <w:style w:type="character" w:styleId="Emphasis">
    <w:name w:val="Emphasis"/>
    <w:qFormat/>
    <w:rsid w:val="005615D7"/>
    <w:rPr>
      <w:rFonts w:cs="Times New Roman"/>
      <w:i/>
    </w:rPr>
  </w:style>
  <w:style w:type="character" w:styleId="CommentReference">
    <w:name w:val="annotation reference"/>
    <w:rsid w:val="005615D7"/>
    <w:rPr>
      <w:sz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i w:val="0"/>
      <w:sz w:val="24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sz w:val="24"/>
    </w:rPr>
  </w:style>
  <w:style w:type="paragraph" w:customStyle="1" w:styleId="CharCharChar">
    <w:name w:val="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sz w:val="20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136501"/>
    <w:rPr>
      <w:sz w:val="22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2256A7"/>
    <w:pPr>
      <w:autoSpaceDE w:val="0"/>
      <w:autoSpaceDN w:val="0"/>
      <w:adjustRightInd w:val="0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                        This value indicates the number of saves or revisions. The application is responsible for updating this value after each revision.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EB5574-8E9B-4049-9C6D-0DC7125B3E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4</Pages>
  <Words>1168</Words>
  <Characters>6042</Characters>
  <Application>Microsoft Office Word</Application>
  <DocSecurity>0</DocSecurity>
  <Lines>167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XXXXXXX</Company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XXXXXXX</dc:creator>
  <cp:keywords/>
  <dc:description/>
  <cp:lastModifiedBy>BARILE Arianna (DGT)</cp:lastModifiedBy>
  <cp:revision>159</cp:revision>
  <dcterms:created xsi:type="dcterms:W3CDTF">2023-01-05T14:31:00Z</dcterms:created>
  <dcterms:modified xsi:type="dcterms:W3CDTF">2024-08-19T15:16:00Z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