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Obrazec za dodatne informacije o pomoči za povrnitev škode, ki jo povzročijo zaščitene živali</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Ta obrazec morajo države članice uporabiti za priglasitev vsake pomoči za povrnitev škode, ki jo povzročijo zaščitene živali, kot je opisana v oddelku 1.4 poglavja 1 dela II Smernic o državni pomoči v sektorju ribištva in akvakulture</w:t>
      </w:r>
      <w:r w:rsidR="00680D7E">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(v nadaljnjem besedilu: smernice).</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Potrdite, da je „zaščitena žival“ opredeljena v skladu s točko (31)(w) smernic.</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ne</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zaščiteno žival in ustrezne določbe zakonodaje Unije ali nacionalne zakonodaje.</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34ACEF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Potrdite, da ukrep določa, da mora obstajati neposredna vzročna zveza med škodo, ki so jo utrpela podjetja, in vedenjem zaščitenih živali.</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 xml:space="preserve">Potrdite, da so upravičeni stroški </w:t>
      </w:r>
      <w:proofErr w:type="spellStart"/>
      <w:r>
        <w:rPr>
          <w:rFonts w:ascii="Times New Roman" w:hAnsi="Times New Roman"/>
          <w:sz w:val="24"/>
        </w:rPr>
        <w:t>stroški</w:t>
      </w:r>
      <w:proofErr w:type="spellEnd"/>
      <w:r>
        <w:rPr>
          <w:rFonts w:ascii="Times New Roman" w:hAnsi="Times New Roman"/>
          <w:sz w:val="24"/>
        </w:rPr>
        <w:t xml:space="preserve"> škode, ki je neposredna posledica vedenja zaščitenih živali.</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Potrdite, da bo škodo ocenil:</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javni organ</w:t>
      </w:r>
    </w:p>
    <w:p w14:paraId="3BF760A4"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neodvisni strokovnjak, ki ga priznava organ, ki dodeli pomoč</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zavarovalnica</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Pr>
          <w:rFonts w:ascii="Times New Roman" w:hAnsi="Times New Roman"/>
          <w:sz w:val="24"/>
        </w:rPr>
        <w:t>Navedite organe, ki ocenjujejo škodo.</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Če se ukrep nanaša na ribiški sektor, potrdite, da pomoč zadeva le škodo na ulovu, ne glede na vpliv zaščitenih živali na celotno prostoživečo populacijo.</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Potrdite, da je treba pomoč izplačati neposredno:</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zadevnemu podjetju</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skupini ali organizaciji proizvajalcev, katere član je zadevno podjetje</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se pomoč izplača skupini ali organizaciji proizvajalcev, potrdite, da znesek pomoči ne sme presegati zneska pomoči, do katerega je upravičeno podjetje.</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Pojasnite, kdaj je nastala škoda, vključno z datumoma njenega začetka in konca (kot je ustrezno).</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Pr>
          <w:rFonts w:ascii="Times New Roman" w:hAnsi="Times New Roman"/>
          <w:sz w:val="24"/>
        </w:rPr>
        <w:t>Potrdite, da je shema uvedena v treh letih po datumu nastanka škode.</w:t>
      </w:r>
      <w:bookmarkEnd w:id="5"/>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ne</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t>Potrdite, da ukrep določa, da bo pomoč izplačana v štirih letih po datumu nastanka škode.</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da</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Potrdite</w:t>
      </w:r>
      <w:bookmarkEnd w:id="8"/>
      <w:r>
        <w:rPr>
          <w:rFonts w:ascii="Times New Roman" w:hAnsi="Times New Roman"/>
          <w:sz w:val="24"/>
        </w:rPr>
        <w:t xml:space="preserve"> upravičene stroške:</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(a) tržna vrednost živali, ki so jih poškodovale ali pokončale zaščitene živali</w:t>
      </w:r>
    </w:p>
    <w:p w14:paraId="70AA815F" w14:textId="156E61FB"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(b) materialna škoda na naslednjih sredstvih: opremi, strojih in lastnini</w:t>
      </w:r>
    </w:p>
    <w:p w14:paraId="58320689" w14:textId="16275724"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(c) oboje, tj. upravičeni stroški vključujejo (a) in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Navedite določbe pravne podlage, ki odraža upravičene stroške</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9716C5">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Predložite čim natančnejšo oceno vrste in obsega škode, ki so jo utrpela podjetja.</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Če upravičeni stroški vključujejo tržno vrednost poškodovanih ali pokončanih živali, potrdite, da ukrep določa, da je treba tržno vrednost določiti na podlagi vrednosti živali tik pred nastalo škodo in kot če nanje ne bi vplivalo vedenje zaščitenih živali.</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da</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Če upravičeni stroški vključujejo materialno škodo na sredstvih, potrdite, da ukrep določa, da mora izračun materialne škode temeljiti na stroških popravila ali ekonomski vrednosti prizadetega sredstva pred nastalo škodo.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Če upravičeni stroški vključujejo materialno škodo na sredstvih, potrdite, da ukrep določa, da izračun materialne škode ne sme presegati stroškov popravila ali znižanja poštene tržne vrednosti, ki je posledica vedenja zaščitene živali, tj. razlike med vrednostjo sredstva neposredno preden je nastala škoda in neposredno po tem.</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Potrdite, ali se znesek nadomestila lahko poveča za druge stroške, ki jih ima podjetje, ki prejme pomoč, zaradi vedenja zaščitenih živali.</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w:t>
      </w:r>
      <w:r>
        <w:t>,</w:t>
      </w:r>
      <w:r>
        <w:rPr>
          <w:rFonts w:ascii="Times New Roman" w:hAnsi="Times New Roman"/>
          <w:sz w:val="24"/>
        </w:rPr>
        <w:t xml:space="preserve"> </w:t>
      </w:r>
      <w:bookmarkStart w:id="13" w:name="_Hlk126945164"/>
      <w:r>
        <w:rPr>
          <w:rFonts w:ascii="Times New Roman" w:hAnsi="Times New Roman"/>
          <w:sz w:val="24"/>
        </w:rPr>
        <w:t>opredelite ustrezne stroške</w:t>
      </w:r>
      <w:bookmarkEnd w:id="13"/>
      <w:r>
        <w:rPr>
          <w:rFonts w:ascii="Times New Roman" w:hAnsi="Times New Roman"/>
          <w:sz w:val="24"/>
        </w:rPr>
        <w:t xml:space="preserve">. </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Če je odgovor DA, navedite ustrezne določbe pravne podlage.</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lastRenderedPageBreak/>
        <w:t>Potrdite, da je treba od zneska nadomestila odšteti vse stroške, ki ne nastanejo neposredno zaradi vedenja zaščitenih živali, in bi jih podjetje, ki prejme pomoč, imelo tudi sicer.</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Če je odgovor DA, opredelite ustrezne stroške.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Potrdite, da ukrep določa, da je treba znesek nadomestila zmanjšati za vse prihodke od prodaje proizvodov, povezanih s poškodovanimi ali pokončanimi živalmi.</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77777777"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Upoštevajte, da lahko Komisija sprejme druge načine izračuna, če so reprezentativni in ne temeljijo na neobičajno visokih ulovih ali donosih ter ne povzročajo izplačila čezmernega nadomestila nobenemu podjetju, ki prejme pomoč.</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7C43058C"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18.1 Če namerava država članica </w:t>
      </w:r>
      <w:proofErr w:type="spellStart"/>
      <w:r>
        <w:rPr>
          <w:rFonts w:ascii="Times New Roman" w:hAnsi="Times New Roman"/>
          <w:sz w:val="24"/>
        </w:rPr>
        <w:t>priglasiteljica</w:t>
      </w:r>
      <w:proofErr w:type="spellEnd"/>
      <w:r>
        <w:rPr>
          <w:rFonts w:ascii="Times New Roman" w:hAnsi="Times New Roman"/>
          <w:sz w:val="24"/>
        </w:rPr>
        <w:t xml:space="preserve"> predlagati alternativno metodo izračuna, navedite razloge, zakaj metoda iz smernic v zadevnem primeru ni primerna, in pojasnite, kako alternativna metoda izračuna bolje obravnava ugotovljene potrebe:</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18.2 Kot prilogo k priglasitvi predložite predlagano alternativno metodologijo skupaj z dokazom, da je reprezentativna in ne temelji na neobičajno visokih ulovih ali donosih ter ne povzroča izplačila čezmernega nadomestila nobenemu podjetju, ki prejme pomoč. </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6338588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Pr>
          <w:rFonts w:ascii="Times New Roman" w:hAnsi="Times New Roman"/>
          <w:sz w:val="24"/>
        </w:rPr>
        <w:t>Potrdite, da ukrep pomoči določa, da je razen v primeru prvih napadov zaščitenih živali potreben razumen napor podjetja, ki prejme pomoč, v obliki preventivnih ukrepov, kot so varnostne ograje, ki so sorazmerni s tveganjem škode, ki jo povzročijo zaščitene živali na zadevnem območju.</w:t>
      </w:r>
      <w:bookmarkEnd w:id="17"/>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9716C5">
        <w:rPr>
          <w:rFonts w:ascii="Times New Roman" w:eastAsia="Times New Roman" w:hAnsi="Times New Roman"/>
          <w:sz w:val="24"/>
        </w:rPr>
      </w:r>
      <w:r w:rsidR="009716C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preventivne ukrepe, ki se zahtevajo/priporočajo na zadevnem področju.</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Če je odgovor DA, navedite ustrezne določbe pravne podlage.</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Če je odgovor NE, dokažite, zakaj preventivni ukrepi niso razumno mogoči, in predložite ustrezne dokaze.</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Potrdite, da ukrep določa, da morajo biti pomoč in vsa druga prejeta plačila za nadomestilo škode, vključno s plačili na podlagi zavarovalnih polic, omejeni na 100 % upravičenih stroškov.</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9716C5">
        <w:rPr>
          <w:rFonts w:ascii="Times New Roman" w:eastAsia="Times New Roman" w:hAnsi="Times New Roman"/>
          <w:b/>
          <w:sz w:val="24"/>
        </w:rPr>
      </w:r>
      <w:r w:rsidR="009716C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Navedite največje intenzivnosti pomoči, ki se uporabljajo v okviru ukrepa.</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t>Navedite določbe pravne podlage, v katerih so določene omejitev v višini 100 % in največje intenzivnosti pomoči ukrepa.</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DRUGE INFORMACIJE</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Navedite vse druge informacije, ki se vam zdijo pomembne za oceno ukrepa iz tega oddelka smernic.</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UL C 107, 23.3.2023,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716C5"/>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sl-SI"/>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5</Pages>
  <Words>1083</Words>
  <Characters>6859</Characters>
  <Application>Microsoft Office Word</Application>
  <DocSecurity>0</DocSecurity>
  <Lines>201</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PECNIK KRZIC Simona (DGT)</cp:lastModifiedBy>
  <cp:revision>79</cp:revision>
  <dcterms:created xsi:type="dcterms:W3CDTF">2023-01-18T14:35:00Z</dcterms:created>
  <dcterms:modified xsi:type="dcterms:W3CDTF">2024-07-15T06:59:00Z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