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Pr>
          <w:rFonts w:ascii="Times New Roman" w:hAnsi="Times New Roman"/>
          <w:b/>
          <w:smallCaps/>
          <w:sz w:val="24"/>
        </w:rPr>
        <w:t>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Pr>
          <w:rFonts w:ascii="Times New Roman" w:hAnsi="Times New Roman"/>
          <w:b/>
          <w:smallCaps/>
          <w:sz w:val="24"/>
        </w:rPr>
        <w:t xml:space="preserve">Συμπληρωματικό δελτίο πληροφοριών </w:t>
      </w:r>
      <w:r>
        <w:rPr>
          <w:rFonts w:ascii="Times New Roman" w:hAnsi="Times New Roman"/>
          <w:b/>
          <w:smallCaps/>
          <w:sz w:val="24"/>
        </w:rPr>
        <w:br/>
        <w:t>σχετικά με ενισχύσεις για την αύξηση της ολικής χωρητικότητας αλιευτικού σκάφους με σκοπό τη βελτίωση της ασφάλειας, των συνθηκών εργασίας ή της ενεργειακής απόδοσης</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rPr>
      </w:pPr>
      <w:r>
        <w:rPr>
          <w:rFonts w:ascii="Times New Roman" w:hAnsi="Times New Roman"/>
          <w:i/>
          <w:sz w:val="24"/>
        </w:rPr>
        <w:t>Το παρόν έντυπο πρέπει να χρησιμοποιείται από τα κράτη μέλη για την κοινοποίηση οποιασδήποτε ενίσχυσης για την αύξηση της ολικής χωρητικότητας αλιευτικού σκάφους με σκοπό τη βελτίωση της ασφάλειας, των συνθηκών εργασίας ή της ενεργειακής απόδοσης, όπως περιγράφεται στο μέρος ΙΙ κεφάλαιο 3 τμήμα 3.3 των κατευθυντήριων γραμμών σχετικά με τις κρατικές ενισχύσεις στον τομέα της αλιείας και της υδατοκαλλιέργειας</w:t>
      </w:r>
      <w:r w:rsidR="00794B67">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Παρακαλούμε επιβεβαιώστε ότι το μέτρο προβλέπει ότι τα </w:t>
      </w:r>
      <w:proofErr w:type="spellStart"/>
      <w:r>
        <w:rPr>
          <w:rFonts w:ascii="Times New Roman" w:hAnsi="Times New Roman"/>
          <w:sz w:val="24"/>
        </w:rPr>
        <w:t>ενωσιακά</w:t>
      </w:r>
      <w:proofErr w:type="spellEnd"/>
      <w:r>
        <w:rPr>
          <w:rFonts w:ascii="Times New Roman" w:hAnsi="Times New Roman"/>
          <w:sz w:val="24"/>
        </w:rPr>
        <w:t xml:space="preserve"> αλιευτικά σκάφη για τα οποία χορηγείται ενίσχυση δεν θα μεταβιβαστούν ούτε θα </w:t>
      </w:r>
      <w:proofErr w:type="spellStart"/>
      <w:r>
        <w:rPr>
          <w:rFonts w:ascii="Times New Roman" w:hAnsi="Times New Roman"/>
          <w:sz w:val="24"/>
        </w:rPr>
        <w:t>μετανηολογηθούν</w:t>
      </w:r>
      <w:proofErr w:type="spellEnd"/>
      <w:r>
        <w:rPr>
          <w:rFonts w:ascii="Times New Roman" w:hAnsi="Times New Roman"/>
          <w:sz w:val="24"/>
        </w:rPr>
        <w:t xml:space="preserve"> εκτός της Ένωσης για τουλάχιστον πέντε έτη από την τελική καταβολή της ενίσχυσης.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10A2963C" w14:textId="77777777" w:rsidR="004C4105" w:rsidRDefault="004C4105" w:rsidP="004C4105">
      <w:pPr>
        <w:rPr>
          <w:rFonts w:ascii="Times New Roman" w:eastAsia="Times New Roman" w:hAnsi="Times New Roman"/>
          <w:sz w:val="24"/>
          <w:szCs w:val="24"/>
        </w:rPr>
      </w:pPr>
      <w:r>
        <w:rPr>
          <w:rFonts w:ascii="Times New Roman" w:hAnsi="Times New Roman"/>
          <w:sz w:val="24"/>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Pr>
          <w:rFonts w:ascii="Times New Roman" w:hAnsi="Times New Roman"/>
          <w:sz w:val="24"/>
        </w:rPr>
        <w:t xml:space="preserve">Σύμφωνα με το σημείο 265 στοιχείο α) των κατευθυντήριων γραμμών, τα αλιευτικά σκάφη ανήκουν σε τμήμα στόλου για το οποίο η πλέον πρόσφατη έκθεση αλιευτικής ικανότητας που αναφέρεται στο άρθρο 22 παράγραφος 2 του κανονισμού (ΕΕ) αριθ. 1380/2013 έχει δείξει ότι υπάρχει ισορροπία με τις αλιευτικές δυνατότητες που είναι διαθέσιμες για το εν λόγω τμήμα </w:t>
      </w:r>
      <w:bookmarkStart w:id="1" w:name="_Hlk127291610"/>
      <w:r>
        <w:rPr>
          <w:rFonts w:ascii="Times New Roman" w:hAnsi="Times New Roman"/>
          <w:sz w:val="24"/>
        </w:rPr>
        <w:t>(στο εξής, «εθνική έκθεση»).</w:t>
      </w:r>
      <w:bookmarkEnd w:id="1"/>
      <w:r>
        <w:rPr>
          <w:rFonts w:ascii="Times New Roman" w:hAnsi="Times New Roman"/>
          <w:sz w:val="24"/>
        </w:rPr>
        <w:t>.</w:t>
      </w:r>
      <w:bookmarkEnd w:id="0"/>
      <w:r>
        <w:rPr>
          <w:rFonts w:ascii="Times New Roman" w:hAnsi="Times New Roman"/>
          <w:sz w:val="24"/>
        </w:rPr>
        <w:t xml:space="preserve"> Σύμφωνα με το σημείο 266 των κατευθυντήριων γραμμών, για τους σκοπούς του σημείου 265 στοιχείο α) εφαρμόζονται η διαδικασία και οι όροι που καθορίζονται στο μέρος ΙΙ κεφάλαιο 2 τμήμα 2.2 σημεία 225 έως 227. Στο πλαίσιο αυτό, παρακαλείσθε να επιβεβαιώσετε τα ακόλουθα:</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Πότε καταρτίστηκε η τελευταία εθνική έκθεση πριν από την ημερομηνία χορήγησης της ενίσχυσης;</w:t>
      </w:r>
    </w:p>
    <w:p w14:paraId="370CE4BD"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Συμπληρώστε τον σύνδεσμο προς την τελευταία εθνική έκθεση ή επισυνάψτε την στην κοινοποίηση.</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πληρούνται οι ακόλουθοι όροι για τη χορήγηση όλων των ενισχύσεων:</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Υποβλήθηκε η εθνική έκθεση έως την 31η Μαΐου του έτους Ν</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Παρακαλούμε επιβεβαιώστε ότι η εθνική έκθεση που υποβλήθηκε το έτος Ν, και ειδικότερα η αξιολόγηση της ισορροπίας που περιλαμβάνεται σε αυτήν, έχει εκπονηθεί με βάση βιολογικούς, οικονομικούς δείκτες και δείκτες χρήσης σκάφους οι οποίοι καθορίζονται στις κοινές κατευθυντήριες γραμμές</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που αναφέρονται στο άρθρο 22 παράγραφος 2 του κανονισμού (ΕΕ) αριθ.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rPr>
        <w:t>Επισημαίνεται ότι δεν επιτρέπεται η χορήγηση ενίσχυσης εάν η εθνική έκθεση, και ειδικότερα η αξιολόγηση της ισορροπίας που περιλαμβάνεται σε αυτήν, δεν έχει εκπονηθεί με βάση βιολογικούς, οικονομικούς δείκτες και δείκτες χρήσης σκάφους οι οποίοι καθορίζονται στις κοινές κατευθυντήριες γραμμές που αναφέρονται στο άρθρο 22 παράγραφος 2 του κανονισμού (ΕΕ) αριθ. 1380/2013.</w:t>
      </w:r>
      <w:r>
        <w:rPr>
          <w:i/>
          <w:sz w:val="23"/>
        </w:rPr>
        <w:t xml:space="preserve">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Η εθνική έκθεση που υποβλήθηκε το έτος Ν αποδεικνύει ότι υπάρχει ισορροπία μεταξύ της αλιευτικής ικανότητας και των αλιευτικών δυνατοτήτων στο τμήμα του στόλου στο οποίο ανήκει το σκάφος;</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Εξηγήστε πώς ελήφθη υπόψη η εθνική έκθεση κατά τον σχεδιασμό του μέτρου και πώς επιτυγχάνεται η ισορροπία.</w:t>
      </w:r>
    </w:p>
    <w:p w14:paraId="1A3175A9"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767B8E2A" w14:textId="6F8C0796"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η Επιτροπή δεν έχει θέσει υπό αμφισβήτηση έως την 31η Μαρτίου του έτους Ν</w:t>
      </w:r>
      <w:r w:rsidR="001E561B">
        <w:rPr>
          <w:rFonts w:ascii="Times New Roman" w:hAnsi="Times New Roman"/>
          <w:sz w:val="24"/>
          <w:lang w:val="en-US"/>
        </w:rPr>
        <w:t> </w:t>
      </w:r>
      <w:r>
        <w:rPr>
          <w:rFonts w:ascii="Times New Roman" w:hAnsi="Times New Roman"/>
          <w:sz w:val="24"/>
        </w:rPr>
        <w:t>+ 1: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1E561B">
        <w:rPr>
          <w:rFonts w:ascii="Times New Roman" w:eastAsia="Times New Roman" w:hAnsi="Times New Roman"/>
          <w:sz w:val="24"/>
        </w:rPr>
      </w:r>
      <w:r w:rsidR="001E561B">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α) την ολοκλήρωση της εθνικής έκθεσης που υποβλήθηκε το έτος Ν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1E561B">
        <w:rPr>
          <w:rFonts w:ascii="Times New Roman" w:eastAsia="Times New Roman" w:hAnsi="Times New Roman"/>
          <w:sz w:val="24"/>
        </w:rPr>
      </w:r>
      <w:r w:rsidR="001E561B">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β) την αξιολόγηση της ισορροπίας που περιέχεται στην εθνική έκθεση που υποβλήθηκε το έτος Ν</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672CD2E6"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ενίσχυση μπορεί να χορηγηθεί βάσει της εθνικής έκθεσης που υποβλήθηκε το έτος Ν μόνο έως την 31η Δεκεμβρίου του έτους N</w:t>
      </w:r>
      <w:r w:rsidR="001E561B">
        <w:rPr>
          <w:rFonts w:ascii="Times New Roman" w:hAnsi="Times New Roman"/>
          <w:sz w:val="24"/>
          <w:lang w:val="en-US"/>
        </w:rPr>
        <w:t> </w:t>
      </w:r>
      <w:r>
        <w:rPr>
          <w:rFonts w:ascii="Times New Roman" w:hAnsi="Times New Roman"/>
          <w:sz w:val="24"/>
        </w:rPr>
        <w:t xml:space="preserve">+ 1, δηλαδή το έτος που έπεται του έτους υποβολής της έκθεσης.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2309B67B" w14:textId="77777777" w:rsidR="009B38E1" w:rsidRDefault="009B38E1" w:rsidP="009B38E1">
      <w:pPr>
        <w:rPr>
          <w:rFonts w:ascii="Times New Roman" w:eastAsia="Times New Roman" w:hAnsi="Times New Roman"/>
          <w:sz w:val="24"/>
          <w:szCs w:val="24"/>
        </w:rPr>
      </w:pPr>
      <w:r>
        <w:rPr>
          <w:rFonts w:ascii="Times New Roman" w:hAnsi="Times New Roman"/>
          <w:sz w:val="24"/>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t>Εάν το μέτρο αφορά την αλιεία εσωτερικών υδάτων, δεν χρειάζεται να δοθεί απάντηση στις ερωτήσεις 2.1-2.2.6.1.</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Pr>
          <w:rFonts w:ascii="Times New Roman" w:hAnsi="Times New Roman"/>
          <w:sz w:val="24"/>
        </w:rPr>
        <w:t>Επιβεβαιώστε ότι το μέτρο προβλέπει ότι τα αλιευτικά σκάφη δεν πρέπει να υπερβαίνουν τα 24 μέτρα ολικού μήκους.</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4B51EE41" w14:textId="55E2563B" w:rsidR="004C4105" w:rsidRPr="005615D7" w:rsidRDefault="004C4105" w:rsidP="006E20F3">
      <w:pPr>
        <w:rPr>
          <w:rFonts w:ascii="Times New Roman" w:eastAsia="Times New Roman" w:hAnsi="Times New Roman"/>
          <w:sz w:val="24"/>
          <w:szCs w:val="24"/>
        </w:rPr>
      </w:pPr>
      <w:r>
        <w:rPr>
          <w:rFonts w:ascii="Times New Roman" w:hAnsi="Times New Roman"/>
          <w:sz w:val="24"/>
        </w:rPr>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τα αλιευτικά σκάφη πρέπει να είναι νηολογημένα στο μητρώο αλιευτικού στόλου της Ένωσης για τουλάχιστον 10 ημερολογιακά έτη πριν από το έτος υποβολής της αίτησης ενίσχυσης.</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Εάν το μέτρο αφορά την αλιεία εσωτερικών υδάτων, επιβεβαιώστε ότι το μέτρο προβλέπει ότι η ενίσχυση μπορεί να χορηγηθεί μόνο για αλιευτικό σκάφος που έχει τεθεί σε ενεργό υπηρεσία, σύμφωνα με την εθνική νομοθεσία, για τουλάχιστον 10 ημερολογιακά έτη πριν από το έτος υποβολής της αίτησης ενίσχυσης.</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στην ερώτηση 4 ή στην ερώτηση 4.1 είναι «ναι», προσδιορίστε την ή τις σχετικές διατάξεις της νομικής βάσης.</w:t>
      </w:r>
    </w:p>
    <w:p w14:paraId="686389B7" w14:textId="2EEAAC6E" w:rsidR="00256D84" w:rsidRDefault="006E20F3" w:rsidP="000209D0">
      <w:pPr>
        <w:rPr>
          <w:rFonts w:ascii="Times New Roman" w:eastAsia="Times New Roman" w:hAnsi="Times New Roman"/>
          <w:sz w:val="24"/>
          <w:szCs w:val="24"/>
        </w:rPr>
      </w:pPr>
      <w:r>
        <w:rPr>
          <w:rFonts w:ascii="Times New Roman" w:hAnsi="Times New Roman"/>
          <w:sz w:val="24"/>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η είσοδος νέας αλιευτικής ικανότητας στον στόλο συνεπεία της δράσης αντισταθμίζεται από την προηγούμενη απόσυρση τουλάχιστον ίσης αλιευτικής ικανότητας χωρίς δημόσια ενίσχυση από το ίδιο τμήμα στόλου ή από τμήμα στόλου για το οποίο η πλέον πρόσφατη εθνική έκθεση, που αναφέρεται στο άρθρο 22 παράγραφος 2 του κανονισμού (ΕΕ) αριθ. 1380/2013, κατέδειξε την έλλειψη ισορροπίας μεταξύ της αλιευτικής ικανότητάς του και των διαθέσιμων αλιευτικών δυνατοτήτων.</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στην προηγούμενη ερώτηση είναι «ναι», προσδιορίστε την ή τις σχετικές διατάξεις της νομικής βάσης.</w:t>
      </w:r>
    </w:p>
    <w:p w14:paraId="05E14B9B" w14:textId="1E1092E3" w:rsidR="004C4105" w:rsidRDefault="004C4105" w:rsidP="004C4105">
      <w:pPr>
        <w:rPr>
          <w:rFonts w:ascii="Times New Roman" w:eastAsia="Times New Roman" w:hAnsi="Times New Roman"/>
          <w:sz w:val="24"/>
          <w:szCs w:val="24"/>
        </w:rPr>
      </w:pPr>
      <w:r>
        <w:rPr>
          <w:rFonts w:ascii="Times New Roman" w:hAnsi="Times New Roman"/>
          <w:sz w:val="24"/>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rPr>
      </w:pPr>
      <w:r>
        <w:rPr>
          <w:rFonts w:ascii="Times New Roman" w:hAnsi="Times New Roman"/>
          <w:i/>
          <w:sz w:val="24"/>
        </w:rPr>
        <w:lastRenderedPageBreak/>
        <w:t>Εάν το μέτρο αφορά την αλιεία εσωτερικών υδάτων, δεν χρειάζεται να δοθεί απάντηση στην ερώτηση αυτή.</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Παρακαλούμε να επιβεβαιώσετε τις επιλέξιμες δαπάνες:</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α) αύξηση της ολικής χωρητικότητας που απαιτείται για την επακόλουθη εγκατάσταση ή ανακαίνιση των χώρων ενδιαίτησης που προορίζονται για αποκλειστική χρήση του πληρώματος, συμπεριλαμβανομένων των εγκαταστάσεων υγιεινής, των κοινόχρηστων χώρων, των μαγειρείων και των προστατευτικών καταστρωμάτων·</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β) αύξηση της ολικής χωρητικότητας που απαιτείται για την επακόλουθη βελτίωση ή εγκατάσταση συστημάτων πρόληψης πυρκαγιών, συστημάτων ασφάλειας και συναγερμού ή συστημάτων μείωσης του θορύβου επί του σκάφους·</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γ) αύξηση της ολικής χωρητικότητας που απαιτείται για την επακόλουθη εγκατάσταση ολοκληρωμένων συστημάτων γέφυρας για τη βελτίωση της ναυσιπλοΐας ή του ελέγχου του κινητήρα·</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 xml:space="preserve">δ) αύξηση της ολικής χωρητικότητας που απαιτείται για την επακόλουθη εγκατάσταση ή ανανέωση κινητήρα ή συστήματος πρόωσης που παρουσιάζει καλύτερη ενεργειακή απόδοση ή χαμηλότερες εκπομπές CO₂ σε σύγκριση με την προηγούμενη κατάσταση, διαθέτει ισχύ που δεν υπερβαίνει την προηγουμένως </w:t>
      </w:r>
      <w:proofErr w:type="spellStart"/>
      <w:r>
        <w:rPr>
          <w:rFonts w:ascii="Times New Roman" w:hAnsi="Times New Roman"/>
          <w:sz w:val="24"/>
        </w:rPr>
        <w:t>πιστοποιηθείσα</w:t>
      </w:r>
      <w:proofErr w:type="spellEnd"/>
      <w:r>
        <w:rPr>
          <w:rFonts w:ascii="Times New Roman" w:hAnsi="Times New Roman"/>
          <w:sz w:val="24"/>
        </w:rPr>
        <w:t xml:space="preserve"> ισχύ κινητήρα του αλιευτικού σκάφους δυνάμει του άρθρου 40 παράγραφος 1 του κανονισμού (ΕΚ) αριθ. 1224/2009 του Συμβουλίου</w:t>
      </w:r>
      <w:r w:rsidR="001D7707">
        <w:rPr>
          <w:rStyle w:val="FootnoteReference"/>
          <w:rFonts w:ascii="Times New Roman" w:eastAsia="Times New Roman" w:hAnsi="Times New Roman"/>
          <w:sz w:val="24"/>
          <w:szCs w:val="24"/>
          <w:lang w:eastAsia="en-GB"/>
        </w:rPr>
        <w:footnoteReference w:id="4"/>
      </w:r>
      <w:r>
        <w:rPr>
          <w:rFonts w:ascii="Times New Roman" w:hAnsi="Times New Roman"/>
          <w:sz w:val="24"/>
        </w:rPr>
        <w:t>, και του οποίου η μέγιστη ισχύς εξόδου πιστοποιείται από τον κατασκευαστή για το συγκεκριμένο μοντέλο κινητήρα ή συστήματος πρόωσης·</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tab/>
      </w:r>
      <w:r>
        <w:rPr>
          <w:rFonts w:ascii="Times New Roman" w:hAnsi="Times New Roman"/>
          <w:sz w:val="24"/>
        </w:rPr>
        <w:t>ε) αντικατάσταση ή ανανέωση του πρωραίου βολβού εφόσον βελτιώνει τη συνολική ενεργειακή απόδοση του αλιευτικού σκάφους.</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Προσδιορίστε την ή τις διατάξεις της νομικής βάσης που αντικατοπτρίζουν την επιλογή σας.</w:t>
      </w:r>
    </w:p>
    <w:p w14:paraId="15BC5AA7" w14:textId="1089BD9D" w:rsidR="004C4105" w:rsidRDefault="004C4105" w:rsidP="000209D0">
      <w:pPr>
        <w:rPr>
          <w:rFonts w:ascii="Times New Roman" w:eastAsia="Times New Roman" w:hAnsi="Times New Roman"/>
          <w:sz w:val="24"/>
          <w:szCs w:val="24"/>
        </w:rPr>
      </w:pPr>
      <w:r>
        <w:rPr>
          <w:rFonts w:ascii="Times New Roman" w:hAnsi="Times New Roman"/>
          <w:sz w:val="24"/>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οι επιλέξιμες δαπάνες περιλαμβάνουν μόνο τις άμεσες και έμμεσες δαπάνες που σχετίζονται με τις επενδυτικές ενισχύσεις για τη βελτίωση της ασφάλειας, των συνθηκών εργασίας ή της ενεργειακής απόδοσης, οι οποίες έχουν ως αποτέλεσμα την αύξηση της ολικής χωρητικότητας αλιευτικού σκάφους.</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την ή τις σχετικές διατάξεις της νομικής βάσης.</w:t>
      </w:r>
    </w:p>
    <w:p w14:paraId="7A111807" w14:textId="3EB9D5D4" w:rsidR="00E26EC9" w:rsidRDefault="00E26EC9" w:rsidP="00E26EC9">
      <w:pPr>
        <w:rPr>
          <w:rFonts w:ascii="Times New Roman" w:eastAsia="Times New Roman" w:hAnsi="Times New Roman"/>
          <w:sz w:val="24"/>
          <w:szCs w:val="24"/>
        </w:rPr>
      </w:pPr>
      <w:r>
        <w:rPr>
          <w:rFonts w:ascii="Times New Roman" w:hAnsi="Times New Roman"/>
          <w:sz w:val="24"/>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rPr>
      </w:pPr>
      <w:bookmarkStart w:id="3" w:name="_Hlk134023979"/>
      <w:r>
        <w:rPr>
          <w:rFonts w:ascii="Times New Roman" w:hAnsi="Times New Roman"/>
          <w:sz w:val="24"/>
        </w:rPr>
        <w:t>Περιγράψτε λεπτομερώς τις δαπάνες που είναι επιλέξιμες στο πλαίσιο του μέτρου. Παρακαλούμε να περιγράψετε τις αντίστοιχες δαπάνες για τη βελτίωση της ασφάλειας, των συνθηκών εργασίας ή της ενεργειακής απόδοσης.</w:t>
      </w:r>
    </w:p>
    <w:bookmarkEnd w:id="3"/>
    <w:p w14:paraId="500DDBE6" w14:textId="77777777" w:rsidR="00E26EC9" w:rsidRDefault="00E26EC9" w:rsidP="00E26EC9">
      <w:pPr>
        <w:rPr>
          <w:rFonts w:ascii="Times New Roman" w:eastAsia="Times New Roman" w:hAnsi="Times New Roman"/>
          <w:sz w:val="24"/>
          <w:szCs w:val="24"/>
        </w:rPr>
      </w:pPr>
      <w:r>
        <w:rPr>
          <w:rFonts w:ascii="Times New Roman" w:hAnsi="Times New Roman"/>
          <w:sz w:val="24"/>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τους μηχανισμούς ελέγχου και επιβολής που εφαρμόζονται για τη διασφάλιση της εκπλήρωσης των όρων που προβλέπονται στο μέρος II κεφάλαιο 3 τμήμα 3.3 των κατευθυντήριων γραμμών.</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rPr>
      </w:pPr>
      <w:r>
        <w:rPr>
          <w:rFonts w:ascii="Times New Roman" w:hAnsi="Times New Roman"/>
          <w:sz w:val="24"/>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Περιγράψτε λεπτομερώς τα χαρακτηριστικά του μέτρου, συμπεριλαμβανομένου του μεγέθους της αυξημένης αλιευτικής ικανότητας και του σκοπού που εξυπηρετεί η εν λόγω αύξηση της αλιευτικής ικανότητας.</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rPr>
      </w:pPr>
      <w:r>
        <w:rPr>
          <w:rFonts w:ascii="Times New Roman" w:hAnsi="Times New Roman"/>
          <w:sz w:val="24"/>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i/>
          <w:sz w:val="24"/>
        </w:rPr>
        <w:t>Εάν η απάντηση έχει ήδη δοθεί σε απάντηση προηγούμενης ερώτησης ή ενότητας, παρακαλείσθε να παραπέμψετε στην απάντηση αυτή.</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μέγιστη ένταση ενίσχυσης δεν υπερβαίνει το 40 % των επιλέξιμων δαπανών.</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E561B">
        <w:rPr>
          <w:rFonts w:ascii="Times New Roman" w:eastAsia="Times New Roman" w:hAnsi="Times New Roman"/>
          <w:b/>
          <w:sz w:val="24"/>
        </w:rPr>
      </w:r>
      <w:r w:rsidR="001E561B">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όχι</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0733FC72" w14:textId="77777777" w:rsidR="00F13816" w:rsidRDefault="00F13816" w:rsidP="00F13816">
      <w:pPr>
        <w:rPr>
          <w:rFonts w:ascii="Times New Roman" w:eastAsia="Times New Roman" w:hAnsi="Times New Roman"/>
          <w:sz w:val="24"/>
          <w:szCs w:val="24"/>
        </w:rPr>
      </w:pPr>
      <w:r>
        <w:rPr>
          <w:rFonts w:ascii="Times New Roman" w:hAnsi="Times New Roman"/>
          <w:sz w:val="24"/>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4" w:name="_Hlk125368675"/>
      <w:r>
        <w:rPr>
          <w:rFonts w:ascii="Times New Roman" w:hAnsi="Times New Roman"/>
          <w:sz w:val="24"/>
        </w:rPr>
        <w:t>Προσδιορίστε την ή τις διατάξεις της νομικής βάσης που καθορίζουν την ή τις μέγιστες εντάσεις ενίσχυσης βάσει του μέτρου.</w:t>
      </w:r>
    </w:p>
    <w:p w14:paraId="2F5ED9DD" w14:textId="77777777" w:rsidR="007D4B84" w:rsidRDefault="007D4B84" w:rsidP="007D4B84">
      <w:pPr>
        <w:rPr>
          <w:rFonts w:ascii="Times New Roman" w:eastAsia="Times New Roman" w:hAnsi="Times New Roman"/>
          <w:sz w:val="24"/>
          <w:szCs w:val="24"/>
        </w:rPr>
      </w:pPr>
      <w:r>
        <w:rPr>
          <w:rFonts w:ascii="Times New Roman" w:hAnsi="Times New Roman"/>
          <w:sz w:val="24"/>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ΑΛΛΕΣ ΠΛΗΡΟΦΟΡΙΕΣ</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μέτρου βάσει του παρόντος τμήματος των κατευθυντήριων γραμμών.</w:t>
      </w:r>
    </w:p>
    <w:p w14:paraId="227C2D0E" w14:textId="77777777" w:rsidR="005615D7"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ΕΕ C 107 της 23.3.2023, σ. 1.</w:t>
      </w:r>
    </w:p>
  </w:footnote>
  <w:footnote w:id="2">
    <w:p w14:paraId="51AB2412" w14:textId="4B984051"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 </w:t>
      </w:r>
      <w:r>
        <w:rPr>
          <w:rFonts w:ascii="Times New Roman" w:hAnsi="Times New Roman"/>
        </w:rPr>
        <w:t>Ανατρέξτε στα σημεία 225 και 226 των κατευθυντήριων γραμμών που περιγράφουν την αλληλουχία που περιλαμβάνει την εθνική έκθεση που υποβάλλεται το έτος Ν και τις ενέργειες της Επιτροπής έως την 31η Μαρτίου του έτους Ν</w:t>
      </w:r>
      <w:r w:rsidR="001E561B">
        <w:rPr>
          <w:rFonts w:ascii="Times New Roman" w:hAnsi="Times New Roman"/>
          <w:lang w:val="en-US"/>
        </w:rPr>
        <w:t> </w:t>
      </w:r>
      <w:r>
        <w:rPr>
          <w:rFonts w:ascii="Times New Roman" w:hAnsi="Times New Roman"/>
        </w:rPr>
        <w:t>+ 1.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Ανακοίνωση της Επιτροπής προς το Ευρωπαϊκό Κοινοβούλιο και το Συμβούλιο: Κατευθυντήριες γραμμές για την ανάλυση της ισορροπίας μεταξύ της αλιευτικής ικανότητας και των αλιευτικών δυνατοτήτων σύμφωνα με το άρθρο 22 του κανονισμού (ΕΕ) αριθ. 1380/2013 του Ευρωπαϊκού Κοινοβουλίου και του Συμβουλίου σχετικά με την Κοινή Αλιευτική Πολιτική [COM(2014) 545 </w:t>
      </w:r>
      <w:proofErr w:type="spellStart"/>
      <w:r>
        <w:rPr>
          <w:rFonts w:ascii="Times New Roman" w:hAnsi="Times New Roman"/>
        </w:rPr>
        <w:t>final</w:t>
      </w:r>
      <w:proofErr w:type="spellEnd"/>
      <w:r>
        <w:rPr>
          <w:rFonts w:ascii="Times New Roman" w:hAnsi="Times New Roman"/>
        </w:rPr>
        <w:t xml:space="preserve">].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Κανονισμός (ΕΚ) αριθ. 1224/2009 του Συμβουλίου, της 20ής Νοεμβρίου 2009, περί θεσπίσεως κοινοτικού συστήματος ελέγχου της τήρησης των κανόνων της κοινής αλιευτικής πολιτικής, τροποποιήσεως των κανονισμών (ΕΚ) αριθ. 847/96, (ΕΚ) αριθ. 2371/2002, (ΕΚ) αριθ. 811/2004, (ΕΚ) αριθ. 768/2005, (ΕΚ) αριθ. 2115/2005, (ΕΚ) αριθ. 2166/2005, (ΕΚ) αριθ. 388/2006, (ΕΚ) αριθ. 509/2007, (ΕΚ) αριθ. 676/2007, (ΕΚ) αριθ. 1098/2007, (ΕΚ) αριθ. 1300/2008, (ΕΚ) αριθ. 1342/2008 και καταργήσεως των κανονισμών (ΕΟΚ) αριθ. 2847/93, (ΕΚ) αριθ. 1627/94 και (ΕΚ) αριθ. 1966/2006 (ΕΕ L 343 της 22.12.2009,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E561B"/>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9B38E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1373</Words>
  <Characters>8253</Characters>
  <Application>Microsoft Office Word</Application>
  <DocSecurity>0</DocSecurity>
  <Lines>223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NOTTAS Athanasios (DGT)</cp:lastModifiedBy>
  <cp:revision>8</cp:revision>
  <dcterms:created xsi:type="dcterms:W3CDTF">2024-09-05T15:06:00Z</dcterms:created>
  <dcterms:modified xsi:type="dcterms:W3CDTF">2024-10-10T18:38:00Z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