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Допълнителен информационен лист относно </w:t>
      </w:r>
      <w:r>
        <w:rPr>
          <w:rFonts w:ascii="Times New Roman" w:hAnsi="Times New Roman"/>
          <w:b/>
          <w:smallCaps/>
          <w:sz w:val="24"/>
        </w:rPr>
        <w:br/>
        <w:t xml:space="preserve">помощи за възстановяване на щети, причинени от природни бедствия </w:t>
      </w:r>
      <w:r>
        <w:rPr>
          <w:rFonts w:ascii="Times New Roman" w:hAnsi="Times New Roman"/>
          <w:b/>
          <w:smallCaps/>
          <w:sz w:val="24"/>
        </w:rPr>
        <w:br/>
        <w:t>или извънредни събития</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Държавите членки трябва да използват настоящия формуляр за подаването на уведомление за всяка държавна помощ за възстановяване на щети, причинени от природни бедствия или други извънредни събития, както е описано в част II, глава 1, раздел 1.1 от Насоките за държавна помощ за рибарството и аквакултурите</w:t>
      </w:r>
      <w:r w:rsidR="003775B9">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(„Насоките“).</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Представлява ли мярката предварителна рамкова схема за компенсиране на щети, причинени от природни бедствия?</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Ако отговорът е „да“, моля пропуснете въпроси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_Ref126833665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10</w:t>
      </w:r>
      <w:r w:rsidR="00C10616">
        <w:rPr>
          <w:rFonts w:ascii="Times New Roman" w:eastAsia="Times New Roman" w:hAnsi="Times New Roman"/>
          <w:i/>
          <w:sz w:val="24"/>
        </w:rPr>
        <w:fldChar w:fldCharType="end"/>
      </w:r>
      <w:r>
        <w:rPr>
          <w:rFonts w:ascii="Times New Roman" w:hAnsi="Times New Roman"/>
          <w:i/>
          <w:sz w:val="24"/>
        </w:rPr>
        <w:t xml:space="preserve"> и </w:t>
      </w:r>
      <w:r w:rsidR="00C10616">
        <w:rPr>
          <w:rFonts w:ascii="Times New Roman" w:eastAsia="Times New Roman" w:hAnsi="Times New Roman"/>
          <w:i/>
          <w:sz w:val="24"/>
        </w:rPr>
        <w:fldChar w:fldCharType="begin"/>
      </w:r>
      <w:r w:rsidR="00C10616">
        <w:rPr>
          <w:rFonts w:ascii="Times New Roman" w:eastAsia="Times New Roman" w:hAnsi="Times New Roman"/>
          <w:i/>
          <w:sz w:val="24"/>
        </w:rPr>
        <w:instrText xml:space="preserve"> REF _Ref126833775 \r \h </w:instrText>
      </w:r>
      <w:r w:rsidR="00C10616">
        <w:rPr>
          <w:rFonts w:ascii="Times New Roman" w:eastAsia="Times New Roman" w:hAnsi="Times New Roman"/>
          <w:i/>
          <w:sz w:val="24"/>
        </w:rPr>
      </w:r>
      <w:r w:rsidR="00C10616">
        <w:rPr>
          <w:rFonts w:ascii="Times New Roman" w:eastAsia="Times New Roman" w:hAnsi="Times New Roman"/>
          <w:i/>
          <w:sz w:val="24"/>
        </w:rPr>
        <w:fldChar w:fldCharType="separate"/>
      </w:r>
      <w:r w:rsidR="002442BD">
        <w:rPr>
          <w:rFonts w:ascii="Times New Roman" w:eastAsia="Times New Roman" w:hAnsi="Times New Roman"/>
          <w:i/>
          <w:sz w:val="24"/>
        </w:rPr>
        <w:t>11</w:t>
      </w:r>
      <w:r w:rsidR="00C10616">
        <w:rPr>
          <w:rFonts w:ascii="Times New Roman" w:eastAsia="Times New Roman" w:hAnsi="Times New Roman"/>
          <w:i/>
          <w:sz w:val="24"/>
        </w:rPr>
        <w:fldChar w:fldCharType="end"/>
      </w:r>
      <w:r>
        <w:rPr>
          <w:rFonts w:ascii="Times New Roman" w:hAnsi="Times New Roman"/>
          <w:i/>
          <w:sz w:val="24"/>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C0F7B">
        <w:rPr>
          <w:rFonts w:ascii="Times New Roman" w:eastAsia="Times New Roman" w:hAnsi="Times New Roman"/>
          <w:sz w:val="24"/>
        </w:rPr>
        <w:fldChar w:fldCharType="begin">
          <w:ffData>
            <w:name w:val="Check1"/>
            <w:enabled/>
            <w:calcOnExit w:val="0"/>
            <w:checkBox>
              <w:sizeAuto/>
              <w:default w:val="0"/>
            </w:checkBox>
          </w:ffData>
        </w:fldChar>
      </w:r>
      <w:r w:rsidRPr="005C0F7B">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5C0F7B">
        <w:rPr>
          <w:rFonts w:ascii="Times New Roman" w:eastAsia="Times New Roman" w:hAnsi="Times New Roman"/>
          <w:sz w:val="24"/>
        </w:rPr>
        <w:fldChar w:fldCharType="end"/>
      </w:r>
      <w:r>
        <w:rPr>
          <w:rFonts w:ascii="Times New Roman" w:hAnsi="Times New Roman"/>
          <w:sz w:val="24"/>
        </w:rPr>
        <w:tab/>
        <w:t>не</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Моля, обърнете внимание, че за помощта, отпускана за компенсиране на щети, причинени от природни бедствия, различни от посочените в точка 141 от Насоките, и щети, причинени от извънредни събития, не може да се подава уведомление като част от предварителна рамка, а винаги се подава отделно уведомление до Комисията. Моля също така да обърнете внимание, че съгласно точка 147 от Насоките, за мерки, които представляват дерогация от общите правила относно момента на установяване на схемите и изплащането на помощта, трябва да се подаде отделно уведомление.</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При предварителни рамкови схеми, моля, потвърдете, че държавата членка ще спазва задължението за докладване, определено в точка 345 от Насоките.</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какъв вид природно бедствие или извънредно събитие е причинило или </w:t>
      </w:r>
      <w:bookmarkStart w:id="3" w:name="_Hlk126836996"/>
      <w:r>
        <w:rPr>
          <w:rFonts w:ascii="Times New Roman" w:hAnsi="Times New Roman"/>
          <w:sz w:val="24"/>
        </w:rPr>
        <w:t xml:space="preserve">— при предварителна рамкова схема за помощ — би могло да причини </w:t>
      </w:r>
      <w:bookmarkEnd w:id="3"/>
      <w:r>
        <w:rPr>
          <w:rFonts w:ascii="Times New Roman" w:hAnsi="Times New Roman"/>
          <w:sz w:val="24"/>
        </w:rPr>
        <w:t>щетите, за които се предвижда компенсация?</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природни бедствия:</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 тежки бури</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sidRPr="00AE03E6">
        <w:rPr>
          <w:rFonts w:ascii="Times New Roman" w:eastAsia="Times New Roman" w:hAnsi="Times New Roman"/>
          <w:sz w:val="24"/>
        </w:rPr>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 тежки наводнения</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E03E6">
        <w:rPr>
          <w:rFonts w:ascii="Times New Roman" w:eastAsia="Times New Roman" w:hAnsi="Times New Roman"/>
          <w:sz w:val="24"/>
        </w:rPr>
        <w:lastRenderedPageBreak/>
        <w:fldChar w:fldCharType="begin">
          <w:ffData>
            <w:name w:val="Check1"/>
            <w:enabled/>
            <w:calcOnExit w:val="0"/>
            <w:checkBox>
              <w:sizeAuto/>
              <w:default w:val="0"/>
            </w:checkBox>
          </w:ffData>
        </w:fldChar>
      </w:r>
      <w:r w:rsidRPr="00AE03E6">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AE03E6">
        <w:rPr>
          <w:rFonts w:ascii="Times New Roman" w:eastAsia="Times New Roman" w:hAnsi="Times New Roman"/>
          <w:sz w:val="24"/>
        </w:rPr>
        <w:fldChar w:fldCharType="end"/>
      </w:r>
      <w:r>
        <w:tab/>
      </w:r>
      <w:r>
        <w:rPr>
          <w:rFonts w:ascii="Times New Roman" w:hAnsi="Times New Roman"/>
          <w:sz w:val="24"/>
        </w:rPr>
        <w:t>iii) земетресения</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iv) лавини</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 свлачища</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 смерчове</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 урагани</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9F28B1">
        <w:rPr>
          <w:rFonts w:ascii="Times New Roman" w:eastAsia="Times New Roman" w:hAnsi="Times New Roman"/>
          <w:sz w:val="24"/>
        </w:rPr>
        <w:fldChar w:fldCharType="begin">
          <w:ffData>
            <w:name w:val="Check1"/>
            <w:enabled/>
            <w:calcOnExit w:val="0"/>
            <w:checkBox>
              <w:sizeAuto/>
              <w:default w:val="0"/>
            </w:checkBox>
          </w:ffData>
        </w:fldChar>
      </w:r>
      <w:r w:rsidRPr="009F28B1">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F28B1">
        <w:rPr>
          <w:rFonts w:ascii="Times New Roman" w:eastAsia="Times New Roman" w:hAnsi="Times New Roman"/>
          <w:sz w:val="24"/>
        </w:rPr>
        <w:fldChar w:fldCharType="end"/>
      </w:r>
      <w:r>
        <w:tab/>
      </w:r>
      <w:r>
        <w:rPr>
          <w:rFonts w:ascii="Times New Roman" w:hAnsi="Times New Roman"/>
          <w:sz w:val="24"/>
        </w:rPr>
        <w:t>viii) вулканични изригвания</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ix)</w:t>
      </w:r>
      <w:r>
        <w:rPr>
          <w:rFonts w:ascii="Times New Roman" w:hAnsi="Times New Roman"/>
          <w:b/>
          <w:sz w:val="24"/>
        </w:rPr>
        <w:t> </w:t>
      </w:r>
      <w:r>
        <w:rPr>
          <w:rFonts w:ascii="Times New Roman" w:hAnsi="Times New Roman"/>
          <w:sz w:val="24"/>
        </w:rPr>
        <w:t>естествено възникнали горски пожари</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други природни бедствия,</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извънредни събития:</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 война</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 вътрешни безредици</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iii) стачки</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iv) големи промишлени аварии</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големи ядрени аварии</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 пожари, нанесли мащабни щети</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vii) други извънредни събития.</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Моля, обърнете внимание, че избухването на епидемия по животните или появата на вредители по растенията не представляват по принцип извънредни събития.</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Моля, опишете подробно природното бедствие или извънредното събитие.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Моля, потвърдете, че компетентният(те) орган(и) на държавата членка е(са) признал(и) официално характера на събитието като природно бедствие или извънредно събитие.</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Ако подаващите уведомлението държави членки са определили предварително критерии, въз основа на които официалното признаване, посочено във въпрос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sidR="002442BD">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xml:space="preserve">, се смята </w:t>
      </w:r>
      <w:r>
        <w:rPr>
          <w:rFonts w:ascii="Times New Roman" w:hAnsi="Times New Roman"/>
          <w:sz w:val="24"/>
        </w:rPr>
        <w:lastRenderedPageBreak/>
        <w:t>за предоставено, моля, опишете тези критерии и посочете националното законодателство, в което те са предвидени.</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Моля, потвърдете, че мярката предвижда да е налице пряка причинно-следствена връзка между природното бедствие или извънредното събитие и щетите, понесени от предприятието.</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Моля, докажете пряката причинно-следствена връзка между природното бедствие или извънредното събитие и щетите, понесени от предприятието:</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Моля, потвърдете, че помощта трябва да се изплаща пряко на:</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w:t>
      </w:r>
      <w:r>
        <w:rPr>
          <w:rFonts w:ascii="Times New Roman" w:hAnsi="Times New Roman"/>
          <w:sz w:val="24"/>
        </w:rPr>
        <w:t xml:space="preserve">съответното предприятие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б)</w:t>
      </w:r>
      <w:r>
        <w:rPr>
          <w:rFonts w:ascii="Times New Roman" w:hAnsi="Times New Roman"/>
          <w:b/>
          <w:sz w:val="24"/>
        </w:rPr>
        <w:t> </w:t>
      </w:r>
      <w:r>
        <w:rPr>
          <w:rFonts w:ascii="Times New Roman" w:hAnsi="Times New Roman"/>
          <w:sz w:val="24"/>
        </w:rPr>
        <w:t>група или организация на производители, в която членува предприятието.</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помощта се изплаща на група или организация на производители, моля, потвърдете, че нейният размер не трябва да надвишава размера на помощта, на чиито критерии за отпускане отговаря въпросното предприятие.</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Моля, посочете кога е настъпило събитието, включително неговата начална и крайна дата (което е приложимо).</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 xml:space="preserve">Моля, потвърдете, че мярката е създадена до три години след датата на настъпването на </w:t>
      </w:r>
      <w:bookmarkEnd w:id="11"/>
      <w:r>
        <w:rPr>
          <w:rFonts w:ascii="Times New Roman" w:hAnsi="Times New Roman"/>
          <w:sz w:val="24"/>
        </w:rPr>
        <w:t>събитието.</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AC5E4A">
        <w:rPr>
          <w:rFonts w:ascii="Times New Roman" w:eastAsia="Times New Roman" w:hAnsi="Times New Roman"/>
          <w:sz w:val="24"/>
        </w:rPr>
        <w:fldChar w:fldCharType="begin">
          <w:ffData>
            <w:name w:val="Check1"/>
            <w:enabled/>
            <w:calcOnExit w:val="0"/>
            <w:checkBox>
              <w:sizeAuto/>
              <w:default w:val="0"/>
            </w:checkBox>
          </w:ffData>
        </w:fldChar>
      </w:r>
      <w:r w:rsidRPr="00AC5E4A">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AC5E4A">
        <w:rPr>
          <w:rFonts w:ascii="Times New Roman" w:eastAsia="Times New Roman" w:hAnsi="Times New Roman"/>
          <w:sz w:val="24"/>
        </w:rPr>
        <w:fldChar w:fldCharType="end"/>
      </w:r>
      <w:r>
        <w:rPr>
          <w:rFonts w:ascii="Times New Roman" w:hAnsi="Times New Roman"/>
          <w:sz w:val="24"/>
        </w:rPr>
        <w:tab/>
        <w:t>не</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Моля, потвърдете, че мярката предвижда, че помощта ще се изплаща в срок до четири години от датата на настъпването на събитието.</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не</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Моля, обърнете внимание, че за конкретно природно бедствие или извънредно събитие Комисията ще разрешава помощ, за която е подадено отделно уведомление и която представлява дерогация от правилото, предвидено в точка 147 от Насоките, в надлежно обосновани случаи (например поради характера и/или мащаба на събитието или забавеното или продължаващо въздействие на щетите).</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Ако случаят е такъв, моля, дайте подробна обосновка защо е предоставена дерогация от правилото относно момента на установяване на схемите и/или изплащането на</w:t>
      </w:r>
      <w:r>
        <w:rPr>
          <w:rFonts w:ascii="Times New Roman" w:hAnsi="Times New Roman"/>
          <w:i/>
          <w:sz w:val="24"/>
        </w:rPr>
        <w:t xml:space="preserve"> </w:t>
      </w:r>
      <w:r>
        <w:rPr>
          <w:rFonts w:ascii="Times New Roman" w:hAnsi="Times New Roman"/>
          <w:sz w:val="24"/>
        </w:rPr>
        <w:t>помощта.</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Моля, потвърдете, че допустими разходи са разходите за щети, възникнали като пряко следствие на природното бедствие или извънредното събитие.</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потвърдете, че щетите ще бъдат оценявани от:</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публичен орган</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б) независим експерт, признат от предоставящия орган</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в) застрахователно предприятие</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посочете органа(</w:t>
      </w:r>
      <w:proofErr w:type="spellStart"/>
      <w:r>
        <w:rPr>
          <w:rFonts w:ascii="Times New Roman" w:hAnsi="Times New Roman"/>
          <w:sz w:val="24"/>
        </w:rPr>
        <w:t>ите</w:t>
      </w:r>
      <w:proofErr w:type="spellEnd"/>
      <w:r>
        <w:rPr>
          <w:rFonts w:ascii="Times New Roman" w:hAnsi="Times New Roman"/>
          <w:sz w:val="24"/>
        </w:rPr>
        <w:t>), който(които) извършва(т) оценка на щетите.</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 xml:space="preserve">Моля, потвърдете дали щетите </w:t>
      </w:r>
      <w:bookmarkEnd w:id="16"/>
      <w:r>
        <w:rPr>
          <w:rFonts w:ascii="Times New Roman" w:hAnsi="Times New Roman"/>
          <w:sz w:val="24"/>
        </w:rPr>
        <w:t>включват:</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5D14A9DA"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sidR="00776C43">
        <w:tab/>
      </w:r>
      <w:r>
        <w:rPr>
          <w:rFonts w:ascii="Times New Roman" w:hAnsi="Times New Roman"/>
          <w:sz w:val="24"/>
        </w:rPr>
        <w:t>а) материални щети на активи (като сгради, оборудване, машини, запаси и средства за производство)</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б) загуба на доход поради пълното или частично унищожаване на производството на продукти от риболов и аквакултури или на средствата за това производство</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tab/>
      </w:r>
      <w:r>
        <w:rPr>
          <w:rFonts w:ascii="Times New Roman" w:hAnsi="Times New Roman"/>
          <w:sz w:val="24"/>
        </w:rPr>
        <w:t>в) и двете, т.е. щетите включват посоченото по буква a) и буква б).</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са отразени щетите: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Моля, представете възможно най-точна оценка на вида и мащаба на щетите, които са понесени — или биха могли да бъдат понесени в случай на предварителна рамкова схема — от предприятието.</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че мярката предвижда, че щетата се изчислява на равнището на отделния бенефициер.</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В случай че допустимите разходи включват материални щети на активи, моля, потвърдете, че изчисляването на материалните щети се основава на разходите за ремонт или на икономическата стойност на засегнатия актив преди настъпването на природното бедствие или извънредното събитие.</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случай че допустимите разходи включват материални щети на активи, моля, потвърдете, че изчислените материални щети не трябва да надхвърлят причинените от природното бедствие или извънредното събитие разходи за ремонт или намаление в нормалната пазарна цена, т.е. разликата между стойността на имуществото непосредствено преди и веднага след природното бедствие или извънредното събитие.</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lastRenderedPageBreak/>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В случай че допустимите разходи включват загуба на доходи, моля, потвърдете, че тази загуба се изчислява в съответствие с точка 154 от Насоките, т.е. като се извади: a) резултатът от умножаването на количеството на продуктите от риболов и аквакултури, произведени през годината, когато е настъпило природното бедствие или извънредното събитие, или през всяка следваща година, в която производството е било засегнато от пълното или частично унищожаване на средствата за производство, по средната продажна цена, получена през същата година, от б) резултата от умножаването на средното годишно количество продукти от риболов и аквакултури, произведено през тригодишния период, предхождащ природното бедствие или извънредното събитие, или средното количество за три години, което се основава на петгодишния период, предхождащ природното бедствие или извънредното събитие, като от него се извадят най-високата и най-ниската стойност.</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Моля, потвърдете дали сумата на компенсацията може да бъде увеличена с други разходи, извършени от предприятието бенефициер в резултат от природното бедствие или извънредното събитие.</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Ако отговорът е „да“, моля, посочете съответните разходи.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Моля, потвърдете, че сумата на компенсацията трябва да се намали с всички разходи, които не са извършени поради природното бедствие или извънредното събитие, но които предприятието бенефициер е щяло да извърши при нормални условия.</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776C43">
        <w:rPr>
          <w:rFonts w:ascii="Times New Roman" w:eastAsia="Times New Roman" w:hAnsi="Times New Roman"/>
          <w:sz w:val="24"/>
        </w:rPr>
      </w:r>
      <w:r w:rsidR="00776C43">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Ако отговорът е „да“, моля, посочете съответните разходи.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обърнете внимание, че Комисията може да приеме други методи за изчисляване, при условие че</w:t>
      </w:r>
      <w:r>
        <w:t xml:space="preserve"> </w:t>
      </w:r>
      <w:r>
        <w:rPr>
          <w:rFonts w:ascii="Times New Roman" w:hAnsi="Times New Roman"/>
          <w:sz w:val="24"/>
        </w:rPr>
        <w:t>те са представителни, не се основават на необичайно голям улов или добив и не водят до свръхкомпенсиране на някое предприятие бенефициер.</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Ако подаващата уведомление държава членка възнамерява да предложи алтернативен метод за изчисляване, моля, посочете причините, поради които определеният в Насоките метод не е подходящ във въпросния случай, и обяснете как алтернативният метод за изчисляване отговаря по-добре на установените нужди……………………………………………………………………………………………</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Моля, представете като приложение към уведомлението предлагания алтернативен метод, заедно с доказателство, че той е представителен, не се основава на необичайно голям улов или добив и не води до свръхкомпенсиране на някой бенефициер.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потвърдете дали мярката, предвижда, че когато МСП е създадено преди по-малко от три години от датата на настъпване на събитието, позоваването на три- или петгодишните периоди в точка 154, буква б) трябва да се разбира като отнасящо се до количеството, произведено и продадено от средно предприятие със същия размер като заявителя, а именно микропредприятие или съответно малко или средно предприятие в националния или регионалния сектор, засегнат от природното бедствие или извънредното събитие.</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Моля, потвърдете, че мярката предвижда, че помощта и всички други плащания, получени за компенсиране на щетите, включително плащанията по застрахователни полици, трябва да са ограничени до 100 % от допустимите разходи.</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776C43">
        <w:rPr>
          <w:rFonts w:ascii="Times New Roman" w:eastAsia="Times New Roman" w:hAnsi="Times New Roman"/>
          <w:b/>
          <w:sz w:val="24"/>
        </w:rPr>
      </w:r>
      <w:r w:rsidR="00776C43">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максималния(</w:t>
      </w:r>
      <w:proofErr w:type="spellStart"/>
      <w:r>
        <w:rPr>
          <w:rFonts w:ascii="Times New Roman" w:hAnsi="Times New Roman"/>
          <w:sz w:val="24"/>
        </w:rPr>
        <w:t>ите</w:t>
      </w:r>
      <w:proofErr w:type="spellEnd"/>
      <w:r>
        <w:rPr>
          <w:rFonts w:ascii="Times New Roman" w:hAnsi="Times New Roman"/>
          <w:sz w:val="24"/>
        </w:rPr>
        <w:t>) интензитет(и) на помощта, приложим(и) по мярката.</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lastRenderedPageBreak/>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е(са) определен(и) ограничението от 100 % и максималният(</w:t>
      </w:r>
      <w:proofErr w:type="spellStart"/>
      <w:r>
        <w:rPr>
          <w:rFonts w:ascii="Times New Roman" w:hAnsi="Times New Roman"/>
          <w:sz w:val="24"/>
        </w:rPr>
        <w:t>ите</w:t>
      </w:r>
      <w:proofErr w:type="spellEnd"/>
      <w:r>
        <w:rPr>
          <w:rFonts w:ascii="Times New Roman" w:hAnsi="Times New Roman"/>
          <w:sz w:val="24"/>
        </w:rPr>
        <w:t>) интензитет(и) на помощта за мярката.</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t>ДРУГА ИНФОРМАЦИЯ</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всяка друга информация, която може да бъде от значение за оценката на мярката съгласно посочения раздел от Насоките.</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ОВ C 107, 23.3.2023 г., стр.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DE7AA20E"/>
    <w:lvl w:ilvl="0">
      <w:start w:val="1"/>
      <w:numFmt w:val="decimal"/>
      <w:lvlText w:val="%1."/>
      <w:lvlJc w:val="left"/>
      <w:pPr>
        <w:ind w:left="360" w:hanging="360"/>
      </w:pPr>
    </w:lvl>
    <w:lvl w:ilvl="1">
      <w:start w:val="1"/>
      <w:numFmt w:val="decimal"/>
      <w:lvlText w:val="%1.%2."/>
      <w:lvlJc w:val="left"/>
      <w:pPr>
        <w:ind w:left="792" w:hanging="432"/>
      </w:pPr>
    </w:lvl>
    <w:lvl w:ilvl="2">
      <w:start w:val="1"/>
      <mc:AlternateContent>
        <mc:Choice Requires="w14">
          <w:numFmt w:val="custom" w:format="а, й, к, ..."/>
        </mc:Choice>
        <mc:Fallback>
          <w:numFmt w:val="decimal"/>
        </mc:Fallback>
      </mc:AlternateContent>
      <w:lvlText w:val="%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76C43"/>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4789F"/>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bg-BG"/>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1731</Words>
  <Characters>11151</Characters>
  <Application>Microsoft Office Word</Application>
  <DocSecurity>0</DocSecurity>
  <Lines>318</Lines>
  <Paragraphs>157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KARAGYAUROVA Zhulieta (DGT)</cp:lastModifiedBy>
  <cp:revision>93</cp:revision>
  <cp:lastPrinted>2023-03-09T09:06:00Z</cp:lastPrinted>
  <dcterms:created xsi:type="dcterms:W3CDTF">2023-01-19T14:58:00Z</dcterms:created>
  <dcterms:modified xsi:type="dcterms:W3CDTF">2024-07-15T07:49:00Z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