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Papildomos informacijos apie pagalbą žvejybos laivo bendrajai talpai padidinti siekiant pagerinti saugą ar darbo sąlygas arba padidinti energijos vartojimo efektyvumą pateikimo forma</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i/>
          <w:sz w:val="24"/>
          <w:szCs w:val="24"/>
          <w:rFonts w:ascii="Times New Roman" w:eastAsia="Times New Roman" w:hAnsi="Times New Roman"/>
        </w:rPr>
      </w:pPr>
      <w:r>
        <w:rPr>
          <w:i/>
          <w:sz w:val="24"/>
          <w:rFonts w:ascii="Times New Roman" w:hAnsi="Times New Roman"/>
        </w:rPr>
        <w:t xml:space="preserve">Šią formą valstybės narės turi naudoti pranešdamos apie bet kokią pagalbą žvejybos laivo bendrajai talpai padidinti siekiant pagerinti saugą ar darbo sąlygas arba padidinti energijos vartojimo efektyvumą,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3 skyriaus 3.3 skirsnyje.</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w:t>
      </w:r>
      <w:r>
        <w:rPr>
          <w:sz w:val="24"/>
          <w:rFonts w:ascii="Times New Roman" w:hAnsi="Times New Roman"/>
        </w:rPr>
        <w:t xml:space="preserve">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10A2963C" w14:textId="77777777" w:rsidR="004C4105" w:rsidRDefault="004C4105" w:rsidP="004C4105">
      <w:pPr>
        <w:rPr>
          <w:sz w:val="24"/>
          <w:szCs w:val="24"/>
          <w:rFonts w:ascii="Times New Roman" w:eastAsia="Times New Roman" w:hAnsi="Times New Roman"/>
        </w:rPr>
      </w:pPr>
      <w:r>
        <w:rPr>
          <w:sz w:val="24"/>
          <w:rFonts w:ascii="Times New Roman" w:hAnsi="Times New Roman"/>
        </w:rPr>
        <w:t xml:space="preserve">………………………………………………………………………………………………….</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0" w:name="_Ref124951182"/>
      <w:r>
        <w:rPr>
          <w:sz w:val="24"/>
          <w:rFonts w:ascii="Times New Roman" w:hAnsi="Times New Roman"/>
        </w:rPr>
        <w:t xml:space="preserve">Pagal gairių 265 punkto a papunktį, žvejybos laivai turi priklausyti laivyno segmentui, kurio žvejybos pajėgumas, kaip rodo Reglamento (ES) Nr. 1380/2013 22 straipsnio 2 dalyje nurodyta naujausia žvejybos pajėgumo ataskaita, yra subalansuotas su to segmento turimomis žvejybos galimybėmis </w:t>
      </w:r>
      <w:bookmarkStart w:id="1" w:name="_Hlk127291610"/>
      <w:r>
        <w:rPr>
          <w:sz w:val="24"/>
          <w:rFonts w:ascii="Times New Roman" w:hAnsi="Times New Roman"/>
        </w:rPr>
        <w:t xml:space="preserve">(toliau – nacionalinė ataskaita)</w:t>
      </w:r>
      <w:bookmarkEnd w:id="1"/>
      <w:r>
        <w:rPr>
          <w:sz w:val="24"/>
          <w:rFonts w:ascii="Times New Roman" w:hAnsi="Times New Roman"/>
        </w:rPr>
        <w:t xml:space="preserve">.</w:t>
      </w:r>
      <w:bookmarkEnd w:id="0"/>
      <w:r>
        <w:rPr>
          <w:sz w:val="24"/>
          <w:rFonts w:ascii="Times New Roman" w:hAnsi="Times New Roman"/>
        </w:rPr>
        <w:t xml:space="preserve"> </w:t>
      </w:r>
      <w:r>
        <w:rPr>
          <w:sz w:val="24"/>
          <w:rFonts w:ascii="Times New Roman" w:hAnsi="Times New Roman"/>
        </w:rPr>
        <w:t xml:space="preserve">Pagal gairių 266 punktą, taikant 265 punkto a papunktį, vadovaujamasi II dalies 2 skyriaus 2.2 skirsnio 225–227 punktuose nustatyta procedūra ir sąlygomis.</w:t>
      </w:r>
      <w:r>
        <w:rPr>
          <w:sz w:val="24"/>
          <w:rFonts w:ascii="Times New Roman" w:hAnsi="Times New Roman"/>
        </w:rPr>
        <w:t xml:space="preserve"> </w:t>
      </w:r>
      <w:r>
        <w:rPr>
          <w:sz w:val="24"/>
          <w:rFonts w:ascii="Times New Roman" w:hAnsi="Times New Roman"/>
        </w:rPr>
        <w:t xml:space="preserve">Atsižvelgdami į tai, patvirtinkite:</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Kada buvo parengta naujausia nacionalinė ataskaita iki pagalbos suteikimo dienos?</w:t>
      </w:r>
    </w:p>
    <w:p w14:paraId="370CE4BD"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04AFEFB8"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nuorodą į naujausią nacionalinę ataskaitą arba pridėkite ją prie pranešimo.</w:t>
      </w:r>
    </w:p>
    <w:p w14:paraId="6C8C1D23" w14:textId="77777777" w:rsidR="009B38E1" w:rsidRDefault="009B38E1" w:rsidP="009B38E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visos teiktinos pagalbos atveju tenkinamos šios sąlygos:</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Ar nacionalinė ataskaita buvo pateikta iki N metų gegužės 31 d.</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N metais pateikta nacionalinė ataskaita ir visų pirma į ją įtrauktas pusiausvyros vertinimas buvo parengti pagal Reglamento (ES) Nr. 1380/2013 22 straipsnio 2 dalyje nurodytose bendrosiose gairėse</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 nustatytus biologinius, ekonominius ir laivo naudojimo rodiklius.</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rPr>
        <w:t xml:space="preserve">Atkreipkite dėmesį, kad pagalba negali būti teikiama, jeigu nacionalinė ataskaita, visų pirma joje pateiktas pusiausvyros vertinimas, buvo parengtas ne pagal Reglamento (ES) Nr. 1380/2013 22 straipsnio 2 dalyje nurodytose bendrosiose gairėse nustatytus biologinius, ekonominius ir laivo naudojimo rodiklius.</w:t>
      </w:r>
      <w:r>
        <w:rPr>
          <w:i/>
          <w:sz w:val="23"/>
        </w:rPr>
        <w:t xml:space="preserve">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Ar iš N metais pateiktos nacionalinės ataskaitos matyti, kad atokiausio regiono laivyno segmento, kuriam priklauso laivas, žvejybos pajėgumas atitinka žvejybos galimybes?</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Paaiškinkite, kaip rengiant priemonę buvo atsižvelgta į nacionalinę ataskaitą ir kaip pasiekta pusiausvyra.</w:t>
      </w:r>
    </w:p>
    <w:p w14:paraId="1A3175A9"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767B8E2A"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Komisija iki N+1 metų kovo 31 d. nesuabejojo:</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a) N metais pateiktos nacionalinės ataskaitos išvada;</w:t>
      </w:r>
      <w:r>
        <w:rPr>
          <w:sz w:val="24"/>
          <w:rFonts w:ascii="Times New Roman" w:hAnsi="Times New Roman"/>
        </w:rPr>
        <w:t xml:space="preserve">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b) į N metais pateiktą nacionalinę ataskaitą įtrauktu pusiausvyros vertinimu.</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gali būti teikiama remiantis N metais pateikta nacionaline ataskaita tik iki N+1 metų gruodžio 31 d., t. y. iki metų, einančių po ataskaitos pateikimo metų.</w:t>
      </w:r>
      <w:r>
        <w:rPr>
          <w:sz w:val="24"/>
          <w:rFonts w:ascii="Times New Roman" w:hAnsi="Times New Roman"/>
        </w:rPr>
        <w:t xml:space="preserve">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309B67B"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46AA49C0" w14:textId="490C4410" w:rsidR="009B38E1" w:rsidRPr="0053598F" w:rsidRDefault="009B38E1" w:rsidP="009B38E1">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Jei priemonė yra susijusi su žvejyba vidaus vandenyse, į 2.1–2.2.6.1 klausimus atsakyti nereikia.</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4951266"/>
      <w:r>
        <w:rPr>
          <w:sz w:val="24"/>
          <w:rFonts w:ascii="Times New Roman" w:hAnsi="Times New Roman"/>
        </w:rPr>
        <w:t xml:space="preserve">Patvirtinkite, kad pagal priemonę numatoma, jog žvejybos laivų bendrasis ilgis turi būti ne didesnis kaip 24 metrai.</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4B51EE41" w14:textId="55E2563B" w:rsidR="004C4105" w:rsidRPr="005615D7" w:rsidRDefault="004C4105" w:rsidP="006E20F3">
      <w:pPr>
        <w:rPr>
          <w:sz w:val="24"/>
          <w:szCs w:val="24"/>
          <w:rFonts w:ascii="Times New Roman" w:eastAsia="Times New Roman" w:hAnsi="Times New Roman"/>
        </w:rPr>
      </w:pPr>
      <w:r>
        <w:rPr>
          <w:sz w:val="24"/>
          <w:rFonts w:ascii="Times New Roman" w:hAnsi="Times New Roman"/>
        </w:rPr>
        <w:t xml:space="preserve">………………………………………………………………………………………………….</w:t>
      </w:r>
    </w:p>
    <w:p w14:paraId="52BF3818" w14:textId="5BC8254A" w:rsidR="00256D84" w:rsidRDefault="00256D84"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žvejybos laivai bent dešimt kalendorinių metų, einančių iki pagalbos paraiškos pateikimo metų, turėjo būti įregistruoti Sąjungos žvejybos laivyno registre.</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Jei priemonė yra susijusi su žvejyba vidaus vandenyse, patvirtinkite, kad pagal priemonę numatoma, jog pagalba gali būti skiriama tik žvejybos laivui, kuris yra eksploatuojamas pagal nacionalinę teisę bent dešimt kalendorinių metų, einančių iki paramos paraiškos pateikimo metų, įsigyti.</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į 4 ar 4.1 klausimą atsakėte teigiamai, nurodykite atitinkamą (-as) teisinio pagrindo nuostatą (-as).</w:t>
      </w:r>
    </w:p>
    <w:p w14:paraId="686389B7" w14:textId="2EEAAC6E" w:rsidR="00256D84" w:rsidRDefault="006E20F3" w:rsidP="000209D0">
      <w:pPr>
        <w:rPr>
          <w:sz w:val="24"/>
          <w:szCs w:val="24"/>
          <w:rFonts w:ascii="Times New Roman" w:eastAsia="Times New Roman" w:hAnsi="Times New Roman"/>
        </w:rPr>
      </w:pPr>
      <w:r>
        <w:rPr>
          <w:sz w:val="24"/>
          <w:rFonts w:ascii="Times New Roman" w:hAnsi="Times New Roman"/>
        </w:rPr>
        <w:t xml:space="preserve">………………………………………………………………………………………………….</w:t>
      </w:r>
    </w:p>
    <w:p w14:paraId="171C0A97" w14:textId="328D9E1D" w:rsidR="00256D84" w:rsidRDefault="00256D84"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dėl tokio veiksmo į žvejybos laivyną įtrauktas naujas žvejybos pajėgumas yra kompensuojamas prieš tai be viešosios pagalbos pašalinus bent tokios pat apimties žvejybos pajėgumą iš to paties laivyno segmento arba iš laivyno segmento, kurio žvejybos pajėgumas, kaip parodė Reglamento (ES) Nr. 1380/2013 22 straipsnio 2 dalyje nurodyta naujausia nacionalinė ataskaita, nėra subalansuotas su to segmento turimomis žvejybos galimybėmis.</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į ankstesnį klausimą atsakėte teigiamai, nurodykite atitinkamą (-as) teisinio pagrindo nuostatą (-as).</w:t>
      </w:r>
    </w:p>
    <w:p w14:paraId="05E14B9B" w14:textId="1E1092E3" w:rsidR="004C4105" w:rsidRDefault="004C4105" w:rsidP="004C4105">
      <w:pPr>
        <w:rPr>
          <w:sz w:val="24"/>
          <w:szCs w:val="24"/>
          <w:rFonts w:ascii="Times New Roman" w:eastAsia="Times New Roman" w:hAnsi="Times New Roman"/>
        </w:rPr>
      </w:pPr>
      <w:r>
        <w:rPr>
          <w:sz w:val="24"/>
          <w:rFonts w:ascii="Times New Roman" w:hAnsi="Times New Roman"/>
        </w:rPr>
        <w:t xml:space="preserve">………………………………………………………………………………………………….</w:t>
      </w:r>
    </w:p>
    <w:p w14:paraId="3095BB69" w14:textId="4656F992" w:rsidR="000209D0" w:rsidRPr="004629F3" w:rsidRDefault="000209D0" w:rsidP="000209D0">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Jei priemonė yra susijusi su žvejyba vidaus vandenyse, šis klausimas neaktualus.</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tinkamos finansuoti išlaidos apima:</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rFonts w:ascii="Times New Roman" w:hAnsi="Times New Roman"/>
        </w:rPr>
        <w:t xml:space="preserve">bendrosios talpos padidinimą siekiant vėliau įrengti ar renovuoti išskirtinai įgulos reikmėms skirtas gyvenamąsias patalpas, įskaitant sanitarines patalpas, bendrojo naudojimo patalpas, virtuves ir pastoges ant denio;</w:t>
      </w:r>
    </w:p>
    <w:p w14:paraId="09A89D83" w14:textId="4476B369" w:rsidR="00F3649F" w:rsidRPr="005615D7" w:rsidRDefault="00F3649F" w:rsidP="00F14E84">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w:t>
      </w:r>
      <w:r>
        <w:rPr>
          <w:sz w:val="24"/>
          <w:rFonts w:ascii="Times New Roman" w:hAnsi="Times New Roman"/>
        </w:rPr>
        <w:t xml:space="preserve">bendrosios talpos padidinimą siekiant vėliau pagerinti ar įrengti laivo priešgaisrinės sistemas, saugos ir signalizacijos sistemas ar triukšmo mažinimo sistemas;</w:t>
      </w:r>
    </w:p>
    <w:p w14:paraId="24AF6DCD" w14:textId="18CDAC6C" w:rsidR="00F3649F" w:rsidRPr="005615D7" w:rsidRDefault="00F3649F" w:rsidP="00F14E84">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w:t>
      </w:r>
      <w:r>
        <w:rPr>
          <w:sz w:val="24"/>
          <w:rFonts w:ascii="Times New Roman" w:hAnsi="Times New Roman"/>
        </w:rPr>
        <w:t xml:space="preserve">bendrosios talpos padidinimą siekiant vėliau įrengti kompleksines tiltelio sistemas, kad būtų pagerintas navigacijos ar variklio valdymas;</w:t>
      </w:r>
    </w:p>
    <w:p w14:paraId="791428B0" w14:textId="44B87944" w:rsidR="00F3649F" w:rsidRPr="005615D7" w:rsidRDefault="00F3649F" w:rsidP="00F14E84">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 bendrosios talpos padidinimą siekiant vėliau įrengti ar renovuoti variklį ar varymo sistemą, kuriais būtų užtikrintas didesnis energijos vartojimo efektyvumas ar mažesnis išmetamas CO</w:t>
      </w:r>
      <w:r>
        <w:rPr>
          <w:sz w:val="24"/>
          <w:vertAlign w:val="subscript"/>
          <w:rFonts w:ascii="Times New Roman" w:hAnsi="Times New Roman"/>
        </w:rPr>
        <w:t xml:space="preserve">2</w:t>
      </w:r>
      <w:r>
        <w:rPr>
          <w:sz w:val="24"/>
          <w:rFonts w:ascii="Times New Roman" w:hAnsi="Times New Roman"/>
        </w:rPr>
        <w:t xml:space="preserve"> kiekis, palyginti su ankstesne padėtimi, kurių galia neviršytų anksčiau sertifikuotos žvejybos laivo variklio galios pagal Tarybos reglamento (EB) Nr. 1224/2009</w:t>
      </w:r>
      <w:r>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40 straipsnio 1 dalį ir kurių didžiausioji atiduodamoji galia būtų gamintojo sertifikuota tam variklio ar varymo sistemos modeliui;</w:t>
      </w:r>
    </w:p>
    <w:p w14:paraId="3E27BC3F" w14:textId="03A813A5" w:rsidR="00F3649F" w:rsidRDefault="001D7707" w:rsidP="001D770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e) </w:t>
      </w:r>
      <w:r>
        <w:rPr>
          <w:sz w:val="24"/>
          <w:sz w:val="24"/>
          <w:rFonts w:ascii="Times New Roman" w:hAnsi="Times New Roman"/>
        </w:rPr>
        <w:t xml:space="preserve">gumbinio laivapriekio pakeitimą ar renovavimą su sąlyga, kad taip būtų padidintas bendras žvejybos laivo energijos vartojimo efektyvumas.</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Nurodykite teisinio pagrindo nuostatą (-as), kuri (-ios) atspindi jūsų pasirinktą variantą.</w:t>
      </w:r>
    </w:p>
    <w:p w14:paraId="15BC5AA7" w14:textId="1089BD9D" w:rsidR="004C4105" w:rsidRDefault="004C4105" w:rsidP="000209D0">
      <w:pPr>
        <w:rPr>
          <w:sz w:val="24"/>
          <w:szCs w:val="24"/>
          <w:rFonts w:ascii="Times New Roman" w:eastAsia="Times New Roman" w:hAnsi="Times New Roman"/>
        </w:rPr>
      </w:pPr>
      <w:r>
        <w:rPr>
          <w:sz w:val="24"/>
          <w:rFonts w:ascii="Times New Roman" w:hAnsi="Times New Roman"/>
        </w:rPr>
        <w:t xml:space="preserve">………………………………………………………………………………………………….</w:t>
      </w:r>
    </w:p>
    <w:p w14:paraId="5A8F375A" w14:textId="77777777" w:rsidR="00E26EC9" w:rsidRDefault="00E26EC9" w:rsidP="00E26EC9">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tinkamos finansuoti išlaidos apima tik tiesiogines ir netiesiogines išlaidas, susijusias su investicine pagalba saugai ar darbo sąlygoms gerinti arba energijos vartojimo efektyvumui didinti, dėl kurios padidėja žvejybos laivo bendroji talpa.</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A111807" w14:textId="3EB9D5D4" w:rsidR="00E26EC9" w:rsidRDefault="00E26EC9" w:rsidP="00E26EC9">
      <w:pPr>
        <w:rPr>
          <w:sz w:val="24"/>
          <w:szCs w:val="24"/>
          <w:rFonts w:ascii="Times New Roman" w:eastAsia="Times New Roman" w:hAnsi="Times New Roman"/>
        </w:rPr>
      </w:pPr>
      <w:r>
        <w:rPr>
          <w:sz w:val="24"/>
          <w:rFonts w:ascii="Times New Roman" w:hAnsi="Times New Roman"/>
        </w:rPr>
        <w:t xml:space="preserve">………………………………………………………………………………………………….</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3" w:name="_Hlk134023979"/>
      <w:r>
        <w:rPr>
          <w:sz w:val="24"/>
          <w:rFonts w:ascii="Times New Roman" w:hAnsi="Times New Roman"/>
        </w:rPr>
        <w:t xml:space="preserve">Pateikite išsamų išlaidų, kurios yra tinkamos finansuoti pagal priemonę, aprašymą.</w:t>
      </w:r>
      <w:r>
        <w:rPr>
          <w:sz w:val="24"/>
          <w:rFonts w:ascii="Times New Roman" w:hAnsi="Times New Roman"/>
        </w:rPr>
        <w:t xml:space="preserve"> </w:t>
      </w:r>
      <w:r>
        <w:rPr>
          <w:sz w:val="24"/>
          <w:rFonts w:ascii="Times New Roman" w:hAnsi="Times New Roman"/>
        </w:rPr>
        <w:t xml:space="preserve">Nurodykite, kokios išlaidos yra susijusios atitinkamai su saugos, darbo sąlygų gerinimu arba energijos vartojimo efektyvumo didinimu.</w:t>
      </w:r>
    </w:p>
    <w:bookmarkEnd w:id="3"/>
    <w:p w14:paraId="500DDBE6" w14:textId="77777777" w:rsidR="00E26EC9" w:rsidRDefault="00E26EC9" w:rsidP="00E26EC9">
      <w:pPr>
        <w:rPr>
          <w:sz w:val="24"/>
          <w:szCs w:val="24"/>
          <w:rFonts w:ascii="Times New Roman" w:eastAsia="Times New Roman" w:hAnsi="Times New Roman"/>
        </w:rPr>
      </w:pPr>
      <w:r>
        <w:rPr>
          <w:sz w:val="24"/>
          <w:rFonts w:ascii="Times New Roman" w:hAnsi="Times New Roman"/>
        </w:rPr>
        <w:t xml:space="preserve">………………………………………………………………………………………………….</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Išsamiai apibūdinkite nustatytus kontrolės ir vykdymo užtikrinimo mechanizmus, kuriais užtikrinama atitiktis su gairių II dalies 3 skyriaus 3.3 skirsnyje nustatytoms sąlygoms.</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sz w:val="24"/>
          <w:szCs w:val="24"/>
          <w:rFonts w:ascii="Times New Roman" w:eastAsia="Times New Roman" w:hAnsi="Times New Roman"/>
        </w:rPr>
      </w:pPr>
      <w:r>
        <w:rPr>
          <w:sz w:val="24"/>
          <w:rFonts w:ascii="Times New Roman" w:hAnsi="Times New Roman"/>
        </w:rPr>
        <w:t xml:space="preserve">………………………………………………………………………………………………….</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Išsamiai apibūdinkite priemonės charakteristikas, įskaitant padidinto žvejybos pajėgumo dydį ir šio padidinimo tikslą.</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sz w:val="24"/>
          <w:szCs w:val="24"/>
          <w:rFonts w:ascii="Times New Roman" w:eastAsia="Times New Roman" w:hAnsi="Times New Roman"/>
        </w:rPr>
      </w:pPr>
      <w:r>
        <w:rPr>
          <w:sz w:val="24"/>
          <w:rFonts w:ascii="Times New Roman" w:hAnsi="Times New Roman"/>
        </w:rPr>
        <w:t xml:space="preserve">………………………………………………………………………………………………….</w:t>
      </w:r>
    </w:p>
    <w:p w14:paraId="73469BF8" w14:textId="6C951CD2" w:rsidR="005B1262" w:rsidRDefault="000209D0" w:rsidP="004C4105">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Jei atsakymas į ankstesnį klausimą ar skirsnį jau pateiktas, žr. tą atsakymą.</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didžiausias pagalbos intensyvumas neviršija 40 % tinkamų finansuoti išlaidų.</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0733FC72" w14:textId="77777777" w:rsidR="00F13816" w:rsidRDefault="00F13816" w:rsidP="00F13816">
      <w:pPr>
        <w:rPr>
          <w:sz w:val="24"/>
          <w:szCs w:val="24"/>
          <w:rFonts w:ascii="Times New Roman" w:eastAsia="Times New Roman" w:hAnsi="Times New Roman"/>
        </w:rPr>
      </w:pPr>
      <w:r>
        <w:rPr>
          <w:sz w:val="24"/>
          <w:rFonts w:ascii="Times New Roman" w:hAnsi="Times New Roman"/>
        </w:rPr>
        <w:t xml:space="preserve">………………………………………………………………………………………………….</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4" w:name="_Hlk125368675"/>
      <w:r>
        <w:rPr>
          <w:sz w:val="24"/>
          <w:rFonts w:ascii="Times New Roman" w:hAnsi="Times New Roman"/>
        </w:rPr>
        <w:t xml:space="preserve">Nurodykite teisinio pagrindo nuostatą (-as), kuria (-iomis) nustatomas didžiausias pagal šią priemonę teikiamos pagalbos intensyvumas.</w:t>
      </w:r>
    </w:p>
    <w:p w14:paraId="2F5ED9DD" w14:textId="77777777" w:rsidR="007D4B84" w:rsidRDefault="007D4B84" w:rsidP="007D4B84">
      <w:pPr>
        <w:rPr>
          <w:sz w:val="24"/>
          <w:szCs w:val="24"/>
          <w:rFonts w:ascii="Times New Roman" w:eastAsia="Times New Roman" w:hAnsi="Times New Roman"/>
        </w:rPr>
      </w:pPr>
      <w:r>
        <w:rPr>
          <w:sz w:val="24"/>
          <w:rFonts w:ascii="Times New Roman" w:hAnsi="Times New Roman"/>
        </w:rPr>
        <w:t xml:space="preserve">………………………………………………………………………………………………….</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KITA INFORMACIJA</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227C2D0E" w14:textId="77777777" w:rsidR="005615D7"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 xml:space="preserve">OL C 107, 2023 3 23, p.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Žr. gairių 225 ir 226 punktus, kuriuose aprašoma procedūros eiga pradedant N metų nacionalinės ataskaitos teikimu ir baigiant Komisijos veiksmais iki N+1 metų kovo 31 d.</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Komisijos komunikatas Europos Parlamentui ir Tarybai</w:t>
      </w:r>
      <w:r>
        <w:rPr>
          <w:rFonts w:ascii="Times New Roman" w:hAnsi="Times New Roman"/>
        </w:rPr>
        <w:t xml:space="preserve"> </w:t>
      </w:r>
      <w:r>
        <w:rPr>
          <w:rFonts w:ascii="Times New Roman" w:hAnsi="Times New Roman"/>
        </w:rPr>
        <w:t xml:space="preserve">„Žvejybos pajėgumų ir žvejybos galimybių pusiausvyros analizės gairės pagal Europos Parlamento ir Tarybos reglamento (ES) Nr. 1380/2013 dėl bendros žuvininkystės politikos 22 straipsnį“ (COM(2014) 545 </w:t>
      </w:r>
      <w:r>
        <w:rPr>
          <w:i/>
          <w:rFonts w:ascii="Times New Roman" w:hAnsi="Times New Roman"/>
        </w:rPr>
        <w:t xml:space="preserve">final</w:t>
      </w:r>
      <w:r>
        <w:rPr>
          <w:rFonts w:ascii="Times New Roman" w:hAnsi="Times New Roman"/>
        </w:rPr>
        <w:t xml:space="preserve">).</w:t>
      </w:r>
      <w:r>
        <w:rPr>
          <w:rFonts w:ascii="Times New Roman" w:hAnsi="Times New Roman"/>
        </w:rPr>
        <w:t xml:space="preserve">  </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 xml:space="preserve">2009 m. lapkričio 20 d. Tarybos reglamentas (EB) Nr. 1224/2009, nustatantis Bendrijos kontrolės sistemą, kuria užtikrinamas bendrosios žuvininkystės politikos taisyklių laikymasis, iš dalies keičiantis reglamentus (EB) Nr. 847/96, (EB) Nr. 2371/2002, (EB) Nr. 811/2004, (EB) Nr. 768/2005, (EB) Nr. 2115/2005, (EB) Nr. 2166/2005, (EB) Nr. 388/2006, (EB) Nr. 509/2007, (EB) Nr. 676/2007, (EB) Nr. 1098/2007, (EB) Nr. 1300/2008, (EB) Nr. 1342/2008 ir panaikinantis reglamentus (EEB) Nr. 2847/93, (EB) Nr. 1627/94 ir (EB) Nr. 1966/2006 (OL L 343, 2009 12 22,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lt-LT"/>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lt-LT"/>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lt-LT"/>
    </w:rPr>
  </w:style>
  <w:style w:type="paragraph" w:styleId="Revision">
    <w:name w:val="Revision"/>
    <w:hidden/>
    <w:uiPriority w:val="99"/>
    <w:semiHidden/>
    <w:rsid w:val="00136501"/>
    <w:rPr>
      <w:sz w:val="22"/>
      <w:szCs w:val="22"/>
      <w:lang w:val="lt-LT"/>
    </w:rPr>
  </w:style>
  <w:style w:type="paragraph" w:customStyle="1" w:styleId="Default">
    <w:name w:val="Default"/>
    <w:rsid w:val="009B38E1"/>
    <w:pPr>
      <w:autoSpaceDE w:val="0"/>
      <w:autoSpaceDN w:val="0"/>
      <w:adjustRightInd w:val="0"/>
    </w:pPr>
    <w:rPr>
      <w:rFonts w:ascii="Times New Roman" w:hAnsi="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1378</Words>
  <Characters>7487</Characters>
  <Application>Microsoft Office Word</Application>
  <DocSecurity>0</DocSecurity>
  <Lines>202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LAJAUSKAITE Gintare (COMP)</cp:lastModifiedBy>
  <cp:revision>7</cp:revision>
  <dcterms:created xsi:type="dcterms:W3CDTF">2024-09-05T15:06:00Z</dcterms:created>
  <dcterms:modified xsi:type="dcterms:W3CDTF">2024-09-10T09:48:00Z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