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Fișă de informații suplimentare privind </w:t>
      </w:r>
      <w:r>
        <w:t xml:space="preserve"> </w:t>
      </w:r>
      <w:r>
        <w:rPr>
          <w:rFonts w:ascii="Times New Roman" w:hAnsi="Times New Roman"/>
          <w:b/>
          <w:smallCaps/>
          <w:sz w:val="24"/>
        </w:rPr>
        <w:t>ajutoarele pentru mărirea tonajului brut al unei nave de pescuit în scopul îmbunătățirii siguranței, a condițiilor de muncă sau a eficienței energetice</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acordate pentru mărirea tonajului brut al unei nave de pescuit în scopul îmbunătățirii siguranței, a condițiilor de muncă sau a eficienței energetice, astfel cum sunt descrise în partea II capitolul 3 secțiunea 3.3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navele de pescuit ale Uniunii pentru care se acordă ajutorul nu vor fi transferate în afara Uniunii și nu li se va schimba pavilionul cu pavilionul unui stat din afara Uniunii timp de cel puțin cinci ani de la plata finală a ajutorului.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5DC39BB0"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 xml:space="preserve">În conformitate cu punctul (265) litera (a) din orientări, navele de pescuit trebuie să aparțină unui segment de flotă pentru care cel mai recent raport privind capacitatea de pescuit, menționat la articolul 22 alineatul (2) din Regulamentul (UE) nr. 1380/2013, indică un echilibru cu posibilitățile de pescuit disponibile pentru segmentul respectiv </w:t>
      </w:r>
      <w:bookmarkStart w:id="1" w:name="_Hlk127291610"/>
      <w:r>
        <w:rPr>
          <w:rFonts w:ascii="Times New Roman" w:hAnsi="Times New Roman"/>
          <w:sz w:val="24"/>
        </w:rPr>
        <w:t>(denumit în continuare „raportul național”)</w:t>
      </w:r>
      <w:bookmarkEnd w:id="1"/>
      <w:r>
        <w:rPr>
          <w:rFonts w:ascii="Times New Roman" w:hAnsi="Times New Roman"/>
          <w:sz w:val="24"/>
        </w:rPr>
        <w:t>.</w:t>
      </w:r>
      <w:bookmarkEnd w:id="0"/>
      <w:r>
        <w:rPr>
          <w:rFonts w:ascii="Times New Roman" w:hAnsi="Times New Roman"/>
          <w:sz w:val="24"/>
        </w:rPr>
        <w:t xml:space="preserve"> În conformitate cu punctul (266) din orientări, procedura și condițiile stabilite la punctele (225)-(227) din partea II capitolul 2 secțiunea</w:t>
      </w:r>
      <w:r w:rsidR="00AF0887">
        <w:rPr>
          <w:rFonts w:ascii="Times New Roman" w:hAnsi="Times New Roman"/>
          <w:sz w:val="24"/>
        </w:rPr>
        <w:t> </w:t>
      </w:r>
      <w:r>
        <w:rPr>
          <w:rFonts w:ascii="Times New Roman" w:hAnsi="Times New Roman"/>
          <w:sz w:val="24"/>
        </w:rPr>
        <w:t>2.2 se aplică în sensul punctului (265) litera (a). În acest context, vă rugăm să precizați următoarele:</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Când a fost întocmit ultimul raport național înainte de data acordării ajutorului?</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linkul către cel mai recent raport național sau să îl anexați la notificare.</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sunt îndeplinite următoarele condiții pentru acordarea tuturor ajutoarelor:</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Raportul național a fost prezentat până la data de 31 mai a anului N</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raportul național prezentat în anul N, în special evaluarea echilibrului cuprinsă în acesta, a fost elaborat pe baza indicatorilor biologici, economici și de utilizare a navelor stabiliți în orientările comune</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menționate la articolul 22 alineatul (2) din Regulamentul (UE) nr.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sz w:val="23"/>
        </w:rPr>
        <w:t>Vă atragem atenția asupra faptului că nu se pot acorda ajutoare în cazul în care raportul național, în special evaluarea echilibrului cuprinsă în acesta, nu a fost elaborat pe baza indicatorilor biologici, economici și de utilizare a navelor stabiliți în orientările comune</w:t>
      </w:r>
      <w:r>
        <w:rPr>
          <w:i/>
          <w:color w:val="040004"/>
          <w:sz w:val="16"/>
        </w:rPr>
        <w:t xml:space="preserve"> </w:t>
      </w:r>
      <w:r>
        <w:rPr>
          <w:i/>
          <w:sz w:val="23"/>
        </w:rPr>
        <w:t xml:space="preserve">menționate la articolul 22 alineatul (2) din Regulamentul (UE) nr. 1380/2013.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Raportul național prezentat în anul N demonstrează că există un echilibru între capacitatea de pescuit și posibilitățile de pescuit ale segmentului de flotă căruia îi aparține nava de pescuit?</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explicați modul în care raportul național a fost luat în considerare la elaborarea măsurii și modul în care se obține echilibrul.</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până la data de 31 martie a anului N+1, Comisia nu a contestat:</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AF0887">
        <w:rPr>
          <w:rFonts w:ascii="Times New Roman" w:eastAsia="Times New Roman" w:hAnsi="Times New Roman"/>
          <w:sz w:val="24"/>
        </w:rPr>
      </w:r>
      <w:r w:rsidR="00AF0887">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concluzia raportului național prezentat în anul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AF0887">
        <w:rPr>
          <w:rFonts w:ascii="Times New Roman" w:eastAsia="Times New Roman" w:hAnsi="Times New Roman"/>
          <w:sz w:val="24"/>
        </w:rPr>
      </w:r>
      <w:r w:rsidR="00AF0887">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evaluarea echilibrului cuprinsă în raportul național prezentat în anul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ajutoarele pot fi acordate pe baza raportului național prezentat în anul N numai până la data de 31 decembrie a anului N+1, adică anul care urmează anului în care a fost prezentat raportul.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lastRenderedPageBreak/>
        <w:t>În cazul în care măsura se referă la pescuitul în apele interioare, nu este necesar să se răspundă la întrebările 2.1-2.2.6.1.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Vă rugăm să confirmați că măsura prevede că nava de pescuit trebuie să aibă o lungime totală de maximum 24 de metri.</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nava de pescuit trebuie să fi fost înregistrată în registrul flotei de pescuit al Uniunii timp de cel puțin 10 ani calendaristici anteriori anului în care este depusă cererea de ajutor.</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În cazul în care măsura se referă la pescuitul în apele interioare, vă rugăm să confirmați că măsura prevede că ajutoarele se pot acorda numai pentru o navă de pescuit care a fost pusă în circulație, în conformitate cu legislația națională, timp de cel puțin 10 ani calendaristici anteriori anului în care a fost depusă cererea de ajutor.</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4 sau 4.1 este „da”, vă rugăm să identificați dispoziția (dispozițiile) relevantă (relevante) din temeiul juridic.</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dobândirea de către flota de pescuit a unei noi capacități de pescuit ca urmare a operațiunii este compensată prin retragerea prealabilă, fără ajutor public, a unei capacități de pescuit cel puțin echivalente din același segment de flotă sau dintr-un segment de flotă pentru care cel mai recent raport național, menționat la articolul 22 alineatul (2) din Regulamentul (UE) nr. 1380/2013, a indicat un dezechilibru între capacitatea de pescuit și posibilitățile de pescuit disponibile pentru segmentul respectiv.</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anterioară este „da”, vă rugăm să identificați dispoziția (dispozițiile) relevantă (relevante) din temeiul juridic.</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În cazul în care măsura se referă la pescuitul în apele interioare, această întrebare nu se aplică.</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costurile eligibile:</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(a) mărirea tonajului brut necesară pentru instalarea sau renovarea ulterioară a unor spații de cazare destinate utilizării exclusive de către echipaj, inclusiv </w:t>
      </w:r>
      <w:r>
        <w:rPr>
          <w:rFonts w:ascii="Times New Roman" w:hAnsi="Times New Roman"/>
          <w:sz w:val="24"/>
        </w:rPr>
        <w:lastRenderedPageBreak/>
        <w:t>instalații sanitare, spații comune, spații de bucătărie și structuri de adăpost pe punte;</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mărirea tonajului brut necesară pentru instalarea ulterioară la bord a unor sisteme de prevenire a incendiilor, a unor sisteme de siguranță și de alarmă sau a unor sisteme de reducere a zgomotului ori pentru îmbunătățirea acestora;</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mărirea tonajului brut necesară pentru instalarea ulterioară pe puntea de comandă a unor sisteme integrate menite să îmbunătățească navigația sau controlul motoarelor;</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mărirea tonajului brut necesară pentru instalarea sau renovarea ulterioară a unui motor sau a unui sistem de propulsie care face dovada unei eficiențe energetice sporite sau a unor emisii de CO₂ mai reduse în comparație cu situația anterioară, a cărui putere nu depășește puterea motorului navei de pescuit certificată anterior în conformitate cu articolul 40 alineatul (1) din Regulamentul (CE) nr. 1224/2009</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al Consiliului și a cărui putere maximă de ieșire este certificată de producător pentru modelul motorului sau sistemul de propulsie respectiv;</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înlocuirea sau renovarea provei cu bulb, cu condiția ca aceasta să îmbunătățească eficiența energetică generală a navei de pescuit.</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identificați dispoziția (dispozițiile) din temeiul juridic care reflectă selecția dumneavoastră.</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costurile eligibile includ numai costurile directe și indirecte legate de ajutoarele pentru investiții vizând îmbunătățirea siguranței, a condițiilor de muncă sau a eficienței energetice care duc la mărirea tonajului brut al unei nave de pescuit.</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Vă rugăm să furnizați o descriere detaliată a costurilor eligibile în cadrul măsurii. Vă rugăm să descrieți costurile care se referă la îmbunătățirea siguranței, la îmbunătățirea condițiilor de muncă sau, respectiv, la îmbunătățirea eficienței energetice.</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descrieți în detaliu mecanismele de control și de asigurare a respectării legislației instituite pentru a asigura îndeplinirea condițiilor prevăzute în partea II capitolul 3 secțiunea 3.3 din orientări.</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o descriere detaliată a caracteristicilor măsurii, inclusiv să precizați cu cât a fost mărită capacitatea de pescuit și scopul acestei măriri.</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În cazul în care răspunsul a fost deja furnizat ca răspuns la o întrebare sau la o secțiune anterioară, vă rugăm să faceți referire la răspunsul respectiv.</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faptul că măsura prevede că intensitatea maximă a ajutorului nu depășește 40 % din costurile eligibile.</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AF0887">
        <w:rPr>
          <w:rFonts w:ascii="Times New Roman" w:eastAsia="Times New Roman" w:hAnsi="Times New Roman"/>
          <w:b/>
          <w:sz w:val="24"/>
        </w:rPr>
      </w:r>
      <w:r w:rsidR="00AF088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JO C 107, 23.3.2023, p.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A se vedea punctele (225) și (226) din orientări, care descriu succesiunea etapelor legate de raportul național prezentat în anul N și acțiunea întreprinsă de Comisie până la data de 31 martie a anului N+1.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Comunicarea Comisiei către Parlamentul European și Consiliu: Orientări pentru o analiză a echilibrului dintre capacitatea de pescuit și posibilitățile de pescuit în conformitate cu articolul 22 din Regulamentul (UE) nr. 1380/2013 al Parlamentului European și al Consiliului privind politica comună în domeniul pescuitului [COM(2014) 545 final].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Regulamentul (CE) nr. 1224/2009 al Consiliului din 20 noiembrie 2009 de stabilire a unui sistem comunitar de control pentru asigurarea respectării normelor politicii comune în domeniul pescuitului, de modificare a Regulamentelor (CE) nr. 847/96, (CE) nr. 2371/2002, (CE) nr. 811/2004, (CE) nr. 768/2005, (CE) nr. 2115/2005, (CE) nr. 2166/2005, (CE) nr. 388/2006, (CE) nr. 509/2007, (CE) nr. 676/2007, (CE) nr. 1098/2007, (CE) nr. 1300/2008, (CE) nr. 1342/2008 și de abrogare a Regulamentelor (CEE) nr. 2847/93, (CE) nr. 1627/94 și (CE) nr. 1966/2006 (JO L 343,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0887"/>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1467</Words>
  <Characters>8597</Characters>
  <Application>Microsoft Office Word</Application>
  <DocSecurity>0</DocSecurity>
  <Lines>214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8</cp:revision>
  <dcterms:created xsi:type="dcterms:W3CDTF">2024-09-05T15:06:00Z</dcterms:created>
  <dcterms:modified xsi:type="dcterms:W3CDTF">2024-09-19T06:44:00Z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