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3.3</w:t>
      </w:r>
    </w:p>
    <w:p w14:paraId="7788A656" w14:textId="31D7457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Obrazec za dodatne informacije o pomoči za povečanje bruto tonaže ribiškega plovila zaradi izboljšanja varnosti, delovnih pogojev ali energijske učinkovitosti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Ta obrazec morajo države članice uporabiti za priglasitev vsake pomoči za povečanje bruto tonaže ribiškega plovila zaradi izboljšanja varnosti, delovnih pogojev ali energijske učinkovitosti, kot je opisana v oddelku 3.3 poglavja 3 dela II Smernic o državni pomoči v sektorju ribištva in akvakulture</w:t>
      </w:r>
      <w:r w:rsidR="00794B67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(v nadaljnjem besedilu: smernice).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A0101A5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 ribiška plovila Unije, v zvezi s katerimi je dodeljena pomoč, ne bodo prenesena v državo zunaj Unije ali da njihova zastava ne bo zamenjana za zastavo države zunaj Unije najmanj pet let po končnem plačilu pomoči.</w:t>
      </w:r>
      <w:r>
        <w:rPr>
          <w:sz w:val="24"/>
          <w:rFonts w:ascii="Times New Roman" w:hAnsi="Times New Roman"/>
        </w:rPr>
        <w:t xml:space="preserve">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10A2963C" w14:textId="77777777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2900268B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r>
        <w:rPr>
          <w:sz w:val="24"/>
          <w:rFonts w:ascii="Times New Roman" w:hAnsi="Times New Roman"/>
        </w:rPr>
        <w:t xml:space="preserve">V skladu s točko (265)(a) smernic morajo ribiška plovila pripadati segmentu flote, za katerega je iz najnovejšega poročila o ribolovni zmogljivosti iz člena 22(2) Uredbe (EU) št. 1380/2013 razvidno ravnotežje z ribolovnimi možnostmi, ki so na voljo temu segmentu</w:t>
      </w:r>
      <w:r>
        <w:t xml:space="preserve"> </w:t>
      </w:r>
      <w:bookmarkStart w:id="1" w:name="_Hlk127291610"/>
      <w:r>
        <w:rPr>
          <w:sz w:val="24"/>
          <w:rFonts w:ascii="Times New Roman" w:hAnsi="Times New Roman"/>
        </w:rPr>
        <w:t xml:space="preserve">(v nadaljnjem besedilu: nacionalno poročilo)</w:t>
      </w:r>
      <w:bookmarkEnd w:id="1"/>
      <w:r>
        <w:rPr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 skladu s točko (266) smernic se za namene točke (265)(a) uporabljajo postopek in pogoji iz točk </w:t>
      </w:r>
      <w:r>
        <w:rPr>
          <w:sz w:val="24"/>
          <w:rFonts w:ascii="Times New Roman" w:hAnsi="Times New Roman"/>
        </w:rPr>
        <w:t xml:space="preserve">(225) do (227) dela II, poglavje 2, oddelek </w:t>
      </w:r>
      <w:r>
        <w:rPr>
          <w:sz w:val="24"/>
          <w:rFonts w:ascii="Times New Roman" w:hAnsi="Times New Roman"/>
        </w:rPr>
        <w:t xml:space="preserve">2.2.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Glede na navedeno potrdite naslednje: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Kdaj je bilo pripravljeno zadnje nacionalno poročilo pred datumom dodelitve pomoči?</w:t>
      </w:r>
    </w:p>
    <w:p w14:paraId="370CE4BD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povezavo na zadnje nacionalno poročilo ali ga priložite priglasitvi.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so za dodelitev vsake pomoči izpolnjeni naslednji pogoji: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Ali je bilo nacionalno poročilo predloženo do 31. maja leta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je bilo nacionalno poročilo, predloženo leta N, zlasti pa ocena ravnotežja v navedenem poročilu, pripravljeno na podlagi bioloških in gospodarskih kazalnikov ter kazalnikov uporabe plovila iz skupnih smernic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 iz člena 22(2) Uredbe (EU) št. 1380/2013.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Upoštevajte, da se pomoč ne odobri, če nacionalno poročilo, zlasti pa ocena ravnotežja v navedenem poročilu, ni bila pripravljena na podlagi bioloških in gospodarskih kazalnikov ter kazalnikov uporabe plovila iz skupnih smernic iz člena 22(2) Uredbe (EU) št. 1380/2013.</w:t>
      </w:r>
      <w:r>
        <w:rPr>
          <w:i/>
          <w:sz w:val="23"/>
        </w:rPr>
        <w:t xml:space="preserve">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Ali je v nacionalnem poročilu, predloženem leta N, prikazano, da obstaja ravnotežje med ribolovno zmogljivostjo in ribolovnimi možnostmi v segmentu flote, ki mu pripada plovilo?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Pojasnite, kako je bilo nacionalno poročilo upoštevano pri oblikovanju ukrepa in kako je doseženo ravnotežje.</w:t>
      </w:r>
    </w:p>
    <w:p w14:paraId="1A3175A9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Komisija do 31. marca leta N+1 ni postavila pod vprašaj: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sz w:val="24"/>
          <w:rFonts w:ascii="Times New Roman" w:eastAsia="Times New Roman" w:hAnsi="Times New Roman"/>
        </w:rPr>
      </w:r>
      <w:r w:rsidR="00BD362C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(a) sklepne ugotovitve nacionalnega poročila, predloženega v letu N</w:t>
      </w:r>
      <w:r>
        <w:rPr>
          <w:sz w:val="24"/>
          <w:rFonts w:ascii="Times New Roman" w:hAnsi="Times New Roman"/>
        </w:rPr>
        <w:t xml:space="preserve">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sz w:val="24"/>
          <w:rFonts w:ascii="Times New Roman" w:eastAsia="Times New Roman" w:hAnsi="Times New Roman"/>
        </w:rPr>
      </w:r>
      <w:r w:rsidR="00BD362C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(b) ocene ravnotežja v nacionalnem poročilu, predloženem v letu N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se pomoč lahko dodeli na podlagi nacionalnega poročila, predloženega leta N, samo do 31. decembra leta N+1, tj. do leta, ki sledi letu predložitve poročila.</w:t>
      </w:r>
      <w:r>
        <w:rPr>
          <w:sz w:val="24"/>
          <w:rFonts w:ascii="Times New Roman" w:hAnsi="Times New Roman"/>
        </w:rPr>
        <w:t xml:space="preserve">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2309B67B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Če ukrep zadeva ribolov v celinskih vodah, na vprašanja 2.1–2.2.6.1 ni treba odgovoriti.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Potrdite, da ukrep določa, da ribiška plovila ne smejo biti daljša od 24 metrov skupne dolžine.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4B51EE41" w14:textId="55E2563B" w:rsidR="004C4105" w:rsidRPr="005615D7" w:rsidRDefault="004C4105" w:rsidP="006E20F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so morala biti ribiška plovila registrirana v registru flote Unije vsaj deset koledarskih let pred letom vložitve vloge za pomoč.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ukrep zadeva ribolov v celinskih vodah, potrdite, da ukrep določa, da se pomoč lahko dodeli le za ribiško plovilo, ki je začelo obratovati v skladu z nacionalno zakonodajo, za največ 10 koledarskih let pred letom predložitve vloge za pomoč.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na vprašanje 4 ali 4.1 DA, navedite ustrezne določbe pravne podlage.</w:t>
      </w:r>
    </w:p>
    <w:p w14:paraId="686389B7" w14:textId="2EEAAC6E" w:rsidR="00256D84" w:rsidRDefault="006E20F3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se vstop nove ribolovne zmogljivosti, ustvarjene z operacijo, v ribiško floto nadomesti s predhodnim umikom vsaj enake količine ribolovne zmogljivosti brez javne pomoči iz istega segmenta flote ali segmenta flote, za katerega zadnje nacionalno poročilo o ribolovni zmogljivosti iz člena 22(2) Uredbe (EU) št. 1380/2013 kaže, da ribolovna zmogljivost ni v ravnotežju z ribolovnimi možnostmi, ki so na voljo temu segmentu.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na prejšnje vprašanje DA, opredelite ustrezne določbe pravne podlage.</w:t>
      </w:r>
    </w:p>
    <w:p w14:paraId="05E14B9B" w14:textId="1E1092E3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Če se ukrep nanaša na ribolov v celinskih vodah, se to vprašanje ne uporablja.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 upravičene stroške: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570DB8C8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povečanje bruto tonaže, potrebno za naknadno namestitev ali obnovo nastanitvenih objektov, namenjenih izključno posadki, vključno s sanitarnimi, skupnimi in kuhinjskimi prostori ter zatočišči na krovu</w:t>
      </w:r>
    </w:p>
    <w:p w14:paraId="09A89D83" w14:textId="4476B369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povečanje bruto tonaže, potrebno za naknadno izboljšanje ali namestitev protipožarnih sistemov, varnostnih in alarmnih sistemov ali sistemov za zmanjševanje hrupa na krovu</w:t>
      </w:r>
    </w:p>
    <w:p w14:paraId="24AF6DCD" w14:textId="18CDAC6C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povečanje bruto tonaže, potrebno za naknadno namestitev vgrajenih mostnih sistemov za izboljšanje navigacije ali krmiljenja motorja</w:t>
      </w:r>
    </w:p>
    <w:p w14:paraId="791428B0" w14:textId="44B87944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(d) povečanje bruto tonaže, potrebno za naknadno vgradnjo ali prenovo motorja ali pogonskega sistema, ki dokazuje boljšo energijsko učinkovitost ali nižje emisije CO₂ v primerjavi s prejšnjim stanjem, ima moč, ki ne presega prejšnje potrjene moči motorja ribiškega plovila na podlagi člena 40(1) Uredbe Sveta (ES) št. 1224/2009</w:t>
      </w:r>
      <w:r w:rsidR="001D770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, in katerega največjo izhodno moč je potrdil proizvajalec za ta motor ali model pogonskega sistema</w:t>
      </w:r>
    </w:p>
    <w:p w14:paraId="3E27BC3F" w14:textId="03A813A5" w:rsidR="00F3649F" w:rsidRDefault="001D7707" w:rsidP="001D770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(e) zamenjava ali prenova bulastega premca pod pogojem, da ta izboljša splošno energijsko učinkovitost ribiškega plovila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določbe pravne podlage, ki odražajo vašo izbiro.</w:t>
      </w:r>
    </w:p>
    <w:p w14:paraId="15BC5AA7" w14:textId="1089BD9D" w:rsidR="004C4105" w:rsidRDefault="004C4105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upravičeni stroški vključujejo samo neposredne in posredne stroške, povezane s pomočjo za naložbe za izboljšanje varnosti, delovnih pogojev ali energijske učinkovitosti, zaradi katerih se poveča bruto tonaža ribiškega plovila.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7A111807" w14:textId="3EB9D5D4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34023979"/>
      <w:r>
        <w:rPr>
          <w:sz w:val="24"/>
          <w:rFonts w:ascii="Times New Roman" w:hAnsi="Times New Roman"/>
        </w:rPr>
        <w:t xml:space="preserve">Podrobno opišite stroške, ki so upravičeni v okviru ukrepa.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Opišite, kateri stroški se nanašajo na izboljšanje varnosti, kateri na izboljšanje delovnih pogojev in kateri na izboljšanje energijske učinkovitosti.</w:t>
      </w:r>
    </w:p>
    <w:bookmarkEnd w:id="3"/>
    <w:p w14:paraId="500DDBE6" w14:textId="77777777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mehanizme nadzora in izvrševanja, vzpostavljene za zagotavljanje izpolnjevanja pogojev iz oddelka 3.3 poglavja 3 dela II smernic.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značilnosti ukrepa pomoči, vključno z obsegom povečane ribolovne zmogljivosti in namenom tega povečanja.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Če je bil odgovor že podan v odgovoru na prejšnje vprašanje ali oddelek, se sklicujte na ta odgovor.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največja intenzivnost pomoči ne presega 40 % upravičenih stroškov.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D362C">
        <w:rPr>
          <w:b/>
          <w:sz w:val="24"/>
          <w:rFonts w:ascii="Times New Roman" w:eastAsia="Times New Roman" w:hAnsi="Times New Roman"/>
        </w:rPr>
      </w:r>
      <w:r w:rsidR="00BD362C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največje intenzivnosti pomoči, ki se uporabljajo v okviru ukrepa.</w:t>
      </w:r>
    </w:p>
    <w:p w14:paraId="0733FC72" w14:textId="77777777" w:rsidR="00F13816" w:rsidRDefault="00F13816" w:rsidP="00F1381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68675"/>
      <w:r>
        <w:rPr>
          <w:sz w:val="24"/>
          <w:rFonts w:ascii="Times New Roman" w:hAnsi="Times New Roman"/>
        </w:rPr>
        <w:t xml:space="preserve">Navedite določbe pravne podlage, ki določajo največje intenzivnosti pomoči ukrepa.</w:t>
      </w:r>
    </w:p>
    <w:p w14:paraId="2F5ED9DD" w14:textId="77777777" w:rsidR="007D4B84" w:rsidRDefault="007D4B84" w:rsidP="007D4B8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DRUGE INFORMACIJE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vse druge informacije, ki se vam zdijo pomembne za oceno ukrepa iz tega oddelka smernic.</w:t>
      </w:r>
    </w:p>
    <w:p w14:paraId="227C2D0E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UL C 107, 23.03.2023, str. 1.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Glej točki 225 in 226 smernic, ki opisujeta zaporedja nacionalnega poročila, predloženega v letu N, in ukrepov Komisije do 31. marca leta N+1.</w:t>
      </w:r>
    </w:p>
  </w:footnote>
  <w:footnote w:id="3">
    <w:p w14:paraId="2D939E5B" w14:textId="77777777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Sporočilo Komisije Evropskemu parlamentu in Svetu: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Smernice za analizo ravnovesja med ribolovno zmogljivostjo in ribolovnimi možnostmi v skladu s členom 22 Uredbe (EU) št. 1380/2013 Evropskega parlamenta in Sveta o skupni ribiški politiki (COM(2014) 545 final).</w:t>
      </w:r>
      <w:r>
        <w:rPr>
          <w:rFonts w:ascii="Times New Roman" w:hAnsi="Times New Roman"/>
        </w:rPr>
        <w:t xml:space="preserve">  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Uredba Sveta (ES) št. 1224/2009 z dne 20. novembra 2009 o vzpostavitvi nadzornega sistema Skupnosti za zagotavljanje skladnosti s pravili skupne ribiške politike, o spremembi uredb (ES) št. 847/96, (ES) št. 2371/2002, (ES) št. 811/2004, (ES) št. 768/2005, (ES) št. 2115/2005, (ES) št. 2166/2005, (ES) št. 388/2006, (ES) št. 509/2007, (ES) št. 676/2007, (ES) št. 1098/2007, (ES) št. 1300/2008, (ES) št. 1342/2008 in razveljavitvi uredb (EGS) št. 2847/93, (ES) št. 1627/94 in (ES) št. 1966/2006 (UL L 343, 22.12.2009,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l-SI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sl-SI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sl-SI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sl-SI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1378</Words>
  <Characters>7487</Characters>
  <Application>Microsoft Office Word</Application>
  <DocSecurity>0</DocSecurity>
  <Lines>202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7</cp:revision>
  <dcterms:created xsi:type="dcterms:W3CDTF">2024-09-05T15:06:00Z</dcterms:created>
  <dcterms:modified xsi:type="dcterms:W3CDTF">2024-09-10T09:48:00Z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