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Papildomos informacijos apie pagalbą pagrindiniam arba pagalbiniam varikliui pakeisti arba modernizuoti pateikimo forma</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i/>
          <w:sz w:val="24"/>
          <w:szCs w:val="24"/>
          <w:rFonts w:ascii="Times New Roman" w:eastAsia="Times New Roman" w:hAnsi="Times New Roman"/>
        </w:rPr>
      </w:pPr>
      <w:r>
        <w:rPr>
          <w:i/>
          <w:sz w:val="24"/>
          <w:rFonts w:ascii="Times New Roman" w:hAnsi="Times New Roman"/>
        </w:rPr>
        <w:t xml:space="preserve">Šią formą valstybės narės turi naudoti pranešdamos apie bet kokią pagalbą žvejybos laivo pagrindiniam arba pagalbiniam varikliui pakeisti arba modernizuoti,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3 skyriaus 3.2 skirsnyje.</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w:t>
      </w:r>
      <w:r>
        <w:rPr>
          <w:sz w:val="24"/>
          <w:rFonts w:ascii="Times New Roman" w:hAnsi="Times New Roman"/>
        </w:rPr>
        <w:t xml:space="preserve">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1E9D84D9" w14:textId="469B67E8"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pagalba bus teikiama tik žvejybos laivo, kurio bendrasis ilgis neviršija 24 metrų, pagrindiniam arba pagalbiniam varikliui pakeisti arba modernizuoti.</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4F8DE03B" w14:textId="10879FF2"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0" w:name="_Ref124951182"/>
      <w:r>
        <w:rPr>
          <w:sz w:val="24"/>
          <w:rFonts w:ascii="Times New Roman" w:hAnsi="Times New Roman"/>
        </w:rPr>
        <w:t xml:space="preserve">Pagal gairių 253 punkto a papunktį, žvejybos laivai turi priklausyti laivyno segmentui, kurio žvejybos pajėgumas, kaip rodo Reglamento (ES) Nr. 1380/2013</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22 straipsnio 2 dalyje nurodyta naujausia žvejybos pajėgumo ataskaita, yra subalansuotas su to segmento turimomis žvejybos galimybėmis </w:t>
      </w:r>
      <w:bookmarkStart w:id="1" w:name="_Hlk127291610"/>
      <w:r>
        <w:rPr>
          <w:sz w:val="24"/>
          <w:rFonts w:ascii="Times New Roman" w:hAnsi="Times New Roman"/>
        </w:rPr>
        <w:t xml:space="preserve">(toliau – nacionalinė ataskaita)</w:t>
      </w:r>
      <w:bookmarkEnd w:id="1"/>
      <w:r>
        <w:rPr>
          <w:sz w:val="24"/>
          <w:rFonts w:ascii="Times New Roman" w:hAnsi="Times New Roman"/>
        </w:rPr>
        <w:t xml:space="preserve">.</w:t>
      </w:r>
      <w:bookmarkEnd w:id="0"/>
      <w:r>
        <w:rPr>
          <w:sz w:val="24"/>
          <w:rFonts w:ascii="Times New Roman" w:hAnsi="Times New Roman"/>
        </w:rPr>
        <w:t xml:space="preserve"> </w:t>
      </w:r>
      <w:r>
        <w:rPr>
          <w:rFonts w:ascii="Times New Roman" w:hAnsi="Times New Roman"/>
        </w:rPr>
        <w:t xml:space="preserve">Pagal gairių 254 punktą, taikant 253 punkto a papunktį, vadovaujamasi II dalies 2 skyriaus 2.2 skirsnio 225–227 punktuose nustatyta procedūra ir sąlygomis.</w:t>
      </w:r>
      <w:r>
        <w:rPr>
          <w:color w:val="000000"/>
          <w:sz w:val="23"/>
          <w:rFonts w:ascii="Times New Roman" w:hAnsi="Times New Roman"/>
        </w:rPr>
        <w:t xml:space="preserve"> </w:t>
      </w:r>
      <w:r>
        <w:rPr>
          <w:sz w:val="24"/>
          <w:rFonts w:ascii="Times New Roman" w:hAnsi="Times New Roman"/>
        </w:rPr>
        <w:t xml:space="preserve">Atsižvelgdami į tai, pateikite šią informaciją:</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Kada buvo parengta naujausia nacionalinė ataskaita iki pagalbos suteikimo dienos?</w:t>
      </w:r>
    </w:p>
    <w:p w14:paraId="3A01B69F"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EC7B62B"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nuorodą į naujausią nacionalinę ataskaitą arba pridėkite ją prie pranešimo.</w:t>
      </w:r>
    </w:p>
    <w:p w14:paraId="7EA4899A" w14:textId="77777777" w:rsidR="0053598F" w:rsidRDefault="0053598F" w:rsidP="0053598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visos teiktinos pagalbos atveju tenkinamos šios sąlygos:</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Ar nacionalinė ataskaita buvo pateikta iki N metų gegužės 31 d.</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N metais pateikta nacionalinė ataskaita ir visų pirma į ją įtrauktas pusiausvyros vertinimas buvo parengti pagal Reglamento (ES) Nr. 1380/2013 22 straipsnio 2 dalyje nurodytose bendrosiose gairėse</w:t>
      </w:r>
      <w:r>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nustatytus biologinius, ekonominius ir laivo naudojimo rodiklius.</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rPr>
        <w:t xml:space="preserve">Atkreipkite dėmesį, kad pagalba negali būti teikiama, jeigu nacionalinė ataskaita, visų pirma joje pateiktas pusiausvyros vertinimas, buvo parengtas ne pagal Reglamento (ES) Nr. 1380/2013 22 straipsnio 2 dalyje nurodytose bendrosiose gairėse nustatytus biologinius, ekonominius ir laivo naudojimo rodiklius.</w:t>
      </w:r>
      <w:r>
        <w:rPr>
          <w:i/>
          <w:sz w:val="23"/>
        </w:rPr>
        <w:t xml:space="preserve">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Ar iš N metais pateiktos nacionalinės ataskaitos matyti, kad atokiausio regiono laivyno segmento, kuriam priklauso laivas, žvejybos pajėgumas atitinka žvejybos galimybes?</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Paaiškinkite, kaip rengiant priemonę buvo atsižvelgta į nacionalinę ataskaitą ir kaip pasiekta pusiausvyra.</w:t>
      </w:r>
    </w:p>
    <w:p w14:paraId="2A834BE2"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00ED6C86" w14:textId="1437F106" w:rsidR="00F741C7"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Komisija iki N+1 metų kovo 31 d. nesuabejojo:</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a) N metais pateiktos nacionalinės ataskaitos išvada;</w:t>
      </w:r>
      <w:r>
        <w:rPr>
          <w:sz w:val="24"/>
          <w:rFonts w:ascii="Times New Roman" w:hAnsi="Times New Roman"/>
        </w:rPr>
        <w:t xml:space="preserve">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b) į N metais pateiktą nacionalinę ataskaitą įtrauktu pusiausvyros vertinimu.</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gali būti teikiama remiantis N metais pateikta nacionaline ataskaita tik iki N+1 metų gruodžio 31 d., t. y. iki metų, einančių po ataskaitos pateikimo metų.</w:t>
      </w:r>
      <w:r>
        <w:rPr>
          <w:sz w:val="24"/>
          <w:rFonts w:ascii="Times New Roman" w:hAnsi="Times New Roman"/>
        </w:rPr>
        <w:t xml:space="preserve">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8A0C9BD"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1F4C9EA" w14:textId="5C998E36" w:rsidR="0053598F" w:rsidRPr="0053598F" w:rsidRDefault="0053598F" w:rsidP="0053598F">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Jei priemonė yra susijusi su žvejyba vidaus vandenyse, į 3.1–3.2.6.1 klausimus atsakyti nereikia.</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4951266"/>
      <w:r>
        <w:rPr>
          <w:sz w:val="24"/>
          <w:rFonts w:ascii="Times New Roman" w:hAnsi="Times New Roman"/>
        </w:rPr>
        <w:t xml:space="preserve">Patvirtinkite, kad pagal priemonę numatoma, jog žvejybos laivai bent penkerius kalendorinius metus, einančius iki pagalbos paraiškos pateikimo metų, turėjo būti įregistruoti Sąjungos žvejybos laivyno registre.</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Jei priemonė yra susijusi su žvejyba vidaus vandenyse, patvirtinkite, kad pagal priemonę numatoma, jog pagalba gali būti skiriama tik žvejybos laivui, kuris yra eksploatuojamas pagal nacionalinę teisę bent penkerius kalendorinius metus, einančius iki paramos paraiškos pateikimo metų, įsigyti.</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į 4 ar 4.1 klausimą atsakėte teigiamai, nurodykite atitinkamą (-as) teisinio pagrindo nuostatą (-as).</w:t>
      </w:r>
    </w:p>
    <w:p w14:paraId="35CB1A30" w14:textId="7F4E7E68" w:rsidR="00A93E41" w:rsidRDefault="00C64658" w:rsidP="00F741C7">
      <w:pPr>
        <w:rPr>
          <w:sz w:val="24"/>
          <w:szCs w:val="24"/>
          <w:rFonts w:ascii="Times New Roman" w:eastAsia="Times New Roman" w:hAnsi="Times New Roman"/>
        </w:rPr>
      </w:pPr>
      <w:r>
        <w:rPr>
          <w:sz w:val="24"/>
          <w:rFonts w:ascii="Times New Roman" w:hAnsi="Times New Roman"/>
        </w:rPr>
        <w:t xml:space="preserve">………………………………………………………………………………………………….</w:t>
      </w:r>
    </w:p>
    <w:p w14:paraId="4BB86F31" w14:textId="2D3747F9"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3" w:name="_Ref124951474"/>
      <w:r>
        <w:rPr>
          <w:sz w:val="24"/>
          <w:rFonts w:ascii="Times New Roman" w:hAnsi="Times New Roman"/>
        </w:rPr>
        <w:t xml:space="preserve">Patvirtinkite, kad pagal priemonę numatoma, jog mažos apimties priekrantės žvejybos laivų ir žvejybai vidaus vandenyse naudojamų laivų naujo arba modernizuoto variklio galia (kW) nėra didesnė nei esamo variklio galia.</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42097A5" w14:textId="1C70A343" w:rsidR="00C64658" w:rsidRDefault="00C64658" w:rsidP="00F741C7">
      <w:pPr>
        <w:rPr>
          <w:sz w:val="24"/>
          <w:szCs w:val="24"/>
          <w:rFonts w:ascii="Times New Roman" w:eastAsia="Times New Roman" w:hAnsi="Times New Roman"/>
        </w:rPr>
      </w:pPr>
      <w:r>
        <w:rPr>
          <w:sz w:val="24"/>
          <w:rFonts w:ascii="Times New Roman" w:hAnsi="Times New Roman"/>
        </w:rPr>
        <w:t xml:space="preserve">………………………………………………………………………………………………….</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Ref124957319"/>
      <w:r>
        <w:rPr>
          <w:sz w:val="24"/>
          <w:rFonts w:ascii="Times New Roman" w:hAnsi="Times New Roman"/>
        </w:rPr>
        <w:t xml:space="preserve">Patvirtinkite, kad pagal priemonę numatoma, jog kitų laivų, kurių bendrasis ilgis neviršija 24 metrų, naujo ar modernizuoto variklio galia kW nėra didesnė nei esamo variklio galia ir šio variklio išmetamas CO</w:t>
      </w:r>
      <w:r>
        <w:rPr>
          <w:sz w:val="24"/>
          <w:vertAlign w:val="subscript"/>
          <w:rFonts w:ascii="Times New Roman" w:hAnsi="Times New Roman"/>
        </w:rPr>
        <w:t xml:space="preserve">2</w:t>
      </w:r>
      <w:r>
        <w:rPr>
          <w:sz w:val="24"/>
          <w:rFonts w:ascii="Times New Roman" w:hAnsi="Times New Roman"/>
        </w:rPr>
        <w:t xml:space="preserve"> kiekis yra bent 20 % mažesnis, palyginti su esamu varikliu.</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6F9349D1" w14:textId="568001A8"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dėl pagrindinio arba pagalbinio variklio pakeitimo arba modernizavimo pašalintas žvejybos pajėgumas kitu pajėgumu nekeičiamas.</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C8C2ABC" w14:textId="34A0C34F"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Išsamiai apibūdinkite nustatytus kontrolės ir vykdymo užtikrinimo mechanizmus, kuriais užtikrinama atitiktis su gairių II dalies 3 skyriaus 3.2 skirsnyje nustatytoms sąlygoms.</w:t>
      </w:r>
    </w:p>
    <w:p w14:paraId="4A0243A2" w14:textId="16716C44" w:rsidR="009E1F93" w:rsidRDefault="00651AE7" w:rsidP="0048102E">
      <w:pPr>
        <w:rPr>
          <w:sz w:val="24"/>
          <w:szCs w:val="24"/>
          <w:rFonts w:ascii="Times New Roman" w:eastAsia="Times New Roman" w:hAnsi="Times New Roman"/>
        </w:rPr>
      </w:pPr>
      <w:r>
        <w:rPr>
          <w:sz w:val="24"/>
          <w:rFonts w:ascii="Times New Roman" w:hAnsi="Times New Roman"/>
        </w:rPr>
        <w:t xml:space="preserve">………………………………………………………………………………………………….</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visi pakeisti ar modernizuoti varikliai turi būti fiziškai patikrinti.</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1E0A7F3C" w14:textId="79620B89" w:rsidR="00F6163F" w:rsidRDefault="0048102E" w:rsidP="005615D7">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kaip taikant šią priemonę bus pasiektas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t xml:space="preserve">6</w:t>
      </w:r>
      <w:r>
        <w:rPr>
          <w:sz w:val="24"/>
          <w:rFonts w:ascii="Times New Roman" w:eastAsia="Times New Roman" w:hAnsi="Times New Roman"/>
        </w:rPr>
        <w:fldChar w:fldCharType="end"/>
      </w:r>
      <w:r>
        <w:rPr>
          <w:sz w:val="24"/>
          <w:rFonts w:ascii="Times New Roman" w:hAnsi="Times New Roman"/>
        </w:rPr>
        <w:t xml:space="preserve"> klausime minėtas reikalavimas sumažinti išmetamą CO</w:t>
      </w:r>
      <w:r>
        <w:rPr>
          <w:sz w:val="24"/>
          <w:vertAlign w:val="subscript"/>
          <w:rFonts w:ascii="Times New Roman" w:hAnsi="Times New Roman"/>
        </w:rPr>
        <w:t xml:space="preserve">2</w:t>
      </w:r>
      <w:r>
        <w:rPr>
          <w:sz w:val="24"/>
          <w:rFonts w:ascii="Times New Roman" w:hAnsi="Times New Roman"/>
        </w:rPr>
        <w:t xml:space="preserve"> kiekį:</w:t>
      </w:r>
      <w:r>
        <w:rPr>
          <w:sz w:val="24"/>
          <w:rFonts w:ascii="Times New Roman" w:hAnsi="Times New Roman"/>
        </w:rPr>
        <w:t xml:space="preserve">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rFonts w:ascii="Times New Roman" w:hAnsi="Times New Roman"/>
        </w:rPr>
        <w:t xml:space="preserve">atsižvelgiant į atitinkamą informaciją, kurią atitinkamo variklio gamintojas yra patvirtinęs pagal tipo patvirtinimo ar gaminio pažymėjimo išdavimo procedūrą, kad naujasis variklis išmeta 20 % mažiau CO</w:t>
      </w:r>
      <w:r>
        <w:rPr>
          <w:sz w:val="24"/>
          <w:vertAlign w:val="subscript"/>
          <w:rFonts w:ascii="Times New Roman" w:hAnsi="Times New Roman"/>
        </w:rPr>
        <w:t xml:space="preserve">2</w:t>
      </w:r>
      <w:r>
        <w:rPr>
          <w:sz w:val="24"/>
          <w:rFonts w:ascii="Times New Roman" w:hAnsi="Times New Roman"/>
        </w:rPr>
        <w:t xml:space="preserve"> nei keičiamas variklis;</w:t>
      </w:r>
    </w:p>
    <w:p w14:paraId="0FF77229" w14:textId="7DF59EC2" w:rsidR="009725CF" w:rsidRDefault="00385658" w:rsidP="0048102E">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w:t>
      </w:r>
      <w:r>
        <w:rPr>
          <w:sz w:val="24"/>
          <w:sz w:val="24"/>
          <w:rFonts w:ascii="Times New Roman" w:hAnsi="Times New Roman"/>
        </w:rPr>
        <w:t xml:space="preserve">atsižvelgiant į atitinkamą informaciją</w:t>
      </w:r>
      <w:r>
        <w:rPr>
          <w:sz w:val="24"/>
          <w:rFonts w:ascii="Times New Roman" w:hAnsi="Times New Roman"/>
        </w:rPr>
        <w:t xml:space="preserve">, kurią atitinkamo variklio gamintojas yra patvirtinęs pagal tipo patvirtinimo ar gaminio pažymėjimo išdavimo procedūrą, kad naujasis variklis sunaudoja 20 % mažiau degalų nei keičiamas variklis.</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Išsamiai pagrįskite pasirinktą variantą.</w:t>
      </w:r>
      <w:r>
        <w:rPr>
          <w:sz w:val="24"/>
          <w:rFonts w:ascii="Times New Roman" w:hAnsi="Times New Roman"/>
        </w:rPr>
        <w:t xml:space="preserve"> </w:t>
      </w:r>
    </w:p>
    <w:p w14:paraId="5AAF16DC" w14:textId="43A993BD" w:rsidR="0048102E" w:rsidRDefault="0048102E" w:rsidP="0048102E">
      <w:pPr>
        <w:ind w:left="360"/>
        <w:rPr>
          <w:sz w:val="24"/>
          <w:szCs w:val="24"/>
          <w:rFonts w:ascii="Times New Roman" w:eastAsia="Times New Roman" w:hAnsi="Times New Roman"/>
        </w:rPr>
      </w:pPr>
      <w:r>
        <w:rPr>
          <w:sz w:val="24"/>
          <w:rFonts w:ascii="Times New Roman" w:hAnsi="Times New Roman"/>
        </w:rPr>
        <w:t xml:space="preserve">……………………………………………………………………………………………</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Nurodykite teisinio pagrindo nuostatą (-as), kuri (-ios) atspindi pasirinktą atsakymą į ankstesnį klausimą</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w:t>
      </w:r>
    </w:p>
    <w:p w14:paraId="3E509AAA" w14:textId="77777777" w:rsidR="007E64FE" w:rsidRDefault="007E64FE" w:rsidP="007E64FE">
      <w:pPr>
        <w:rPr>
          <w:sz w:val="24"/>
          <w:szCs w:val="24"/>
          <w:rFonts w:ascii="Times New Roman" w:eastAsia="Times New Roman" w:hAnsi="Times New Roman"/>
        </w:rPr>
      </w:pPr>
      <w:r>
        <w:rPr>
          <w:sz w:val="24"/>
          <w:rFonts w:ascii="Times New Roman" w:hAnsi="Times New Roman"/>
        </w:rPr>
        <w:t xml:space="preserve">………………………………………………………………………………………………….</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iš tam tikros informacijos, kurią atitinkamų variklių gamintojas yra patvirtinęs pagal tipo patvirtinimo ar gaminio pažymėjimo išdavimo procedūrą vieno arba abiejų variklių atžvilgiu, išmetamo CO</w:t>
      </w:r>
      <w:r>
        <w:rPr>
          <w:sz w:val="24"/>
          <w:vertAlign w:val="subscript"/>
          <w:rFonts w:ascii="Times New Roman" w:hAnsi="Times New Roman"/>
        </w:rPr>
        <w:t xml:space="preserve">2</w:t>
      </w:r>
      <w:r>
        <w:rPr>
          <w:sz w:val="24"/>
          <w:rFonts w:ascii="Times New Roman" w:hAnsi="Times New Roman"/>
        </w:rPr>
        <w:t xml:space="preserve"> kiekio arba degalų sąnaudų negalima palyginti, patvirtinkite, kaip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t xml:space="preserve">6</w:t>
      </w:r>
      <w:r>
        <w:rPr>
          <w:sz w:val="24"/>
          <w:rFonts w:ascii="Times New Roman" w:eastAsia="Times New Roman" w:hAnsi="Times New Roman"/>
        </w:rPr>
        <w:fldChar w:fldCharType="end"/>
      </w:r>
      <w:r>
        <w:rPr>
          <w:sz w:val="24"/>
          <w:rFonts w:ascii="Times New Roman" w:hAnsi="Times New Roman"/>
        </w:rPr>
        <w:t xml:space="preserve"> klausime nurodytas minėtas reikalavimas sumažinti išmetamą CO</w:t>
      </w:r>
      <w:r>
        <w:rPr>
          <w:sz w:val="24"/>
          <w:vertAlign w:val="subscript"/>
          <w:rFonts w:ascii="Times New Roman" w:hAnsi="Times New Roman"/>
        </w:rPr>
        <w:t xml:space="preserve">2</w:t>
      </w:r>
      <w:r>
        <w:rPr>
          <w:sz w:val="24"/>
          <w:rFonts w:ascii="Times New Roman" w:hAnsi="Times New Roman"/>
        </w:rPr>
        <w:t xml:space="preserve"> kiekį bus laikomas įvykdytu taikant priemonę:</w:t>
      </w:r>
      <w:r>
        <w:rPr>
          <w:sz w:val="24"/>
          <w:rFonts w:ascii="Times New Roman" w:hAnsi="Times New Roman"/>
        </w:rPr>
        <w:t xml:space="preserve">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sz w:val="24"/>
          <w:rFonts w:ascii="Times New Roman" w:hAnsi="Times New Roman"/>
        </w:rPr>
        <w:t xml:space="preserve">naujasis variklis naudoja efektyvaus energijos vartojimo technologiją, o naujojo variklio ir keičiamo variklio metų skirtumas yra bent septyneri metai;</w:t>
      </w:r>
    </w:p>
    <w:p w14:paraId="2B1EE759" w14:textId="5F99EEE5" w:rsidR="00385658" w:rsidRPr="005615D7" w:rsidRDefault="00385658" w:rsidP="00293FA0">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w:t>
      </w:r>
      <w:r>
        <w:rPr>
          <w:sz w:val="24"/>
          <w:rFonts w:ascii="Times New Roman" w:hAnsi="Times New Roman"/>
        </w:rPr>
        <w:t xml:space="preserve">naujasis variklis naudoja tokios rūšies degalus ar varymo sistemą, kurie laikomi išmetančiais mažiau CO</w:t>
      </w:r>
      <w:r>
        <w:rPr>
          <w:sz w:val="24"/>
          <w:vertAlign w:val="subscript"/>
          <w:rFonts w:ascii="Times New Roman" w:hAnsi="Times New Roman"/>
        </w:rPr>
        <w:t xml:space="preserve">2</w:t>
      </w:r>
      <w:r>
        <w:rPr>
          <w:sz w:val="24"/>
          <w:rFonts w:ascii="Times New Roman" w:hAnsi="Times New Roman"/>
        </w:rPr>
        <w:t xml:space="preserve"> nei keičiamas variklis;</w:t>
      </w:r>
    </w:p>
    <w:p w14:paraId="5BAA96F9" w14:textId="3314BEF7" w:rsidR="00385658" w:rsidRPr="005615D7" w:rsidRDefault="00385658" w:rsidP="00385658">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w:t>
      </w:r>
      <w:r>
        <w:rPr>
          <w:sz w:val="24"/>
          <w:rFonts w:ascii="Times New Roman" w:hAnsi="Times New Roman"/>
        </w:rPr>
        <w:t xml:space="preserve">atitinkama valstybė narė apskaičiuoja, kad naujasis variklis išmeta 20 % mažiau CO</w:t>
      </w:r>
      <w:r>
        <w:rPr>
          <w:sz w:val="24"/>
          <w:vertAlign w:val="subscript"/>
          <w:rFonts w:ascii="Times New Roman" w:hAnsi="Times New Roman"/>
        </w:rPr>
        <w:t xml:space="preserve">2</w:t>
      </w:r>
      <w:r>
        <w:rPr>
          <w:sz w:val="24"/>
          <w:rFonts w:ascii="Times New Roman" w:hAnsi="Times New Roman"/>
        </w:rPr>
        <w:t xml:space="preserve"> arba sunaudoja 20 % mažiau degalų nei keičiamas variklis įprastomis atitinkamo laivo žvejybos pastangomis.</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Nurodykite teisinio pagrindo nuostatą (-as), kuri (-ios) atspindi jūsų pasirinktą variantą.</w:t>
      </w:r>
    </w:p>
    <w:p w14:paraId="1AE44591"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Remdamiesi gairių 260 punktu, patvirtinkite, kad gairių 259 punkto a papunktyje nurodytoms efektyvaus energijos vartojimo technologijoms nustatyti ir 259 punkto c papunkčio įgyvendinimo metodikos elementams papildomai patikslinti taikote Įgyvendinimo reglamentą (ES) 2022/46</w:t>
      </w:r>
      <w:r>
        <w:rPr>
          <w:rStyle w:val="FootnoteReference"/>
          <w:rFonts w:ascii="Times New Roman" w:eastAsia="Times New Roman" w:hAnsi="Times New Roman"/>
          <w:sz w:val="24"/>
          <w:szCs w:val="24"/>
          <w:lang w:eastAsia="en-GB"/>
        </w:rPr>
        <w:footnoteReference w:id="5"/>
      </w:r>
      <w:r>
        <w:rPr>
          <w:sz w:val="24"/>
          <w:rFonts w:ascii="Times New Roman" w:hAnsi="Times New Roman"/>
        </w:rPr>
        <w:t xml:space="preserve">.</w:t>
      </w:r>
      <w:r>
        <w:rPr>
          <w:sz w:val="24"/>
          <w:rFonts w:ascii="Times New Roman" w:hAnsi="Times New Roman"/>
        </w:rPr>
        <w:t xml:space="preserve">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Aprašykite, kaip pagal priemonę taikomi tie reikalavimai.</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7B02216A" w14:textId="0F383CEC" w:rsidR="00385658"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į tinkamas finansuoti išlaidas įtraukiamos tik tiesioginės ir netiesioginės išlaidos, susijusios su pagrindinio arba pagalbinio variklio pakeitimu arba modernizavimu.</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639F4D3" w14:textId="77777777" w:rsidR="00C64658" w:rsidRDefault="00C64658" w:rsidP="00C64658">
      <w:pPr>
        <w:rPr>
          <w:sz w:val="24"/>
          <w:szCs w:val="24"/>
          <w:rFonts w:ascii="Times New Roman" w:eastAsia="Times New Roman" w:hAnsi="Times New Roman"/>
        </w:rPr>
      </w:pPr>
      <w:r>
        <w:rPr>
          <w:sz w:val="24"/>
          <w:rFonts w:ascii="Times New Roman" w:hAnsi="Times New Roman"/>
        </w:rPr>
        <w:t xml:space="preserve">………………………………………………………………………………………………….</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Pateikite išsamų išlaidų, kurios yra tinkamos finansuoti pagal priemonę, aprašymą.</w:t>
      </w:r>
    </w:p>
    <w:p w14:paraId="0F07D075" w14:textId="29331F1F" w:rsidR="005B1262" w:rsidRPr="005615D7" w:rsidRDefault="005E58E1" w:rsidP="004B20D4">
      <w:pPr>
        <w:rPr>
          <w:sz w:val="24"/>
          <w:szCs w:val="24"/>
          <w:rFonts w:ascii="Times New Roman" w:eastAsia="Times New Roman" w:hAnsi="Times New Roman"/>
        </w:rPr>
      </w:pPr>
      <w:r>
        <w:rPr>
          <w:sz w:val="24"/>
          <w:rFonts w:ascii="Times New Roman" w:hAnsi="Times New Roman"/>
        </w:rPr>
        <w:t xml:space="preserve">………………………………………………………………………………………………….</w:t>
      </w:r>
    </w:p>
    <w:p w14:paraId="1A94DC5A" w14:textId="58AD1D2E" w:rsidR="00680544" w:rsidRDefault="00680544"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didžiausias pagalbos intensyvumas neviršija 40 % tinkamų finansuoti išlaidų.</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1AFF5A04" w14:textId="77777777" w:rsidR="00A54529" w:rsidRDefault="00A54529" w:rsidP="00A54529">
      <w:pPr>
        <w:rPr>
          <w:sz w:val="24"/>
          <w:szCs w:val="24"/>
          <w:rFonts w:ascii="Times New Roman" w:eastAsia="Times New Roman" w:hAnsi="Times New Roman"/>
        </w:rPr>
      </w:pPr>
      <w:r>
        <w:rPr>
          <w:sz w:val="24"/>
          <w:rFonts w:ascii="Times New Roman" w:hAnsi="Times New Roman"/>
        </w:rPr>
        <w:t xml:space="preserve">………………………………………………………………………………………………….</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68675"/>
      <w:r>
        <w:rPr>
          <w:sz w:val="24"/>
          <w:rFonts w:ascii="Times New Roman" w:hAnsi="Times New Roman"/>
        </w:rPr>
        <w:t xml:space="preserve">Nurodykite teisinio pagrindo nuostatą (-as), kuria (-iomis) nustatomas didžiausias pagal šią priemonę teikiamos pagalbos intensyvumas.</w:t>
      </w:r>
    </w:p>
    <w:p w14:paraId="3248B8D5" w14:textId="293DB344" w:rsidR="005B1262" w:rsidRDefault="00680544" w:rsidP="004B20D4">
      <w:pPr>
        <w:rPr>
          <w:sz w:val="24"/>
          <w:szCs w:val="24"/>
          <w:rFonts w:ascii="Times New Roman" w:eastAsia="Times New Roman" w:hAnsi="Times New Roman"/>
        </w:rPr>
      </w:pPr>
      <w:r>
        <w:rPr>
          <w:sz w:val="24"/>
          <w:rFonts w:ascii="Times New Roman" w:hAnsi="Times New Roman"/>
        </w:rPr>
        <w:t xml:space="preserve">………………………………………………………………………………………………….</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KITA INFORMACIJA</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4E3CC61D" w14:textId="73F8C1E3" w:rsidR="001A718E" w:rsidRPr="00453ADA" w:rsidRDefault="005615D7" w:rsidP="004B20D4">
      <w:pPr>
        <w:rPr>
          <w:sz w:val="24"/>
          <w:szCs w:val="24"/>
          <w:rFonts w:ascii="Times New Roman" w:eastAsia="Times New Roman" w:hAnsi="Times New Roman"/>
        </w:rPr>
      </w:pPr>
      <w:r>
        <w:rPr>
          <w:sz w:val="24"/>
          <w:rFonts w:ascii="Times New Roman" w:hAnsi="Times New Roman"/>
        </w:rPr>
        <w:t xml:space="preserve">………………………………………………………………………………………………….</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 xml:space="preserve">OL C 107, 2023 3 23, p. 1.</w:t>
      </w:r>
    </w:p>
  </w:footnote>
  <w:footnote w:id="2">
    <w:p w14:paraId="047F30BE" w14:textId="77777777"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 xml:space="preserve">2013 m. gruodžio 11 d. Europos Parlamento ir Tarybos reglamentas (ES) Nr. 1380/2013 dėl bendros žuvininkystės politikos, kuriuo iš dalies keičiami Tarybos reglamentai (EB) Nr. 1954/2003 ir (EB) Nr. 1224/2009 bei panaikinami Tarybos reglamentai (EB) Nr. 2371/2002 ir (EB) Nr. 639/2004 bei Tarybos sprendimas 2004/585/EB (OL L 354, 2013 12 28, p. 22)</w:t>
      </w:r>
      <w:r>
        <w:t xml:space="preserve">.</w:t>
      </w:r>
      <w:r>
        <w:rPr>
          <w:rFonts w:ascii="Times New Roman" w:hAnsi="Times New Roman"/>
        </w:rPr>
        <w:t xml:space="preserve">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Žr. gairių 225 ir 226 punktus, kuriuose aprašoma procedūros eiga pradedant N metų nacionalinės ataskaitos teikimu ir baigiant Komisijos veiksmais iki N+1 metų kovo 31 d.</w:t>
      </w:r>
    </w:p>
  </w:footnote>
  <w:footnote w:id="4">
    <w:p w14:paraId="3523E437" w14:textId="77777777"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Komisijos komunikatas Europos Parlamentui ir Tarybai</w:t>
      </w:r>
      <w:r>
        <w:rPr>
          <w:rFonts w:ascii="Times New Roman" w:hAnsi="Times New Roman"/>
        </w:rPr>
        <w:t xml:space="preserve"> </w:t>
      </w:r>
      <w:r>
        <w:rPr>
          <w:rFonts w:ascii="Times New Roman" w:hAnsi="Times New Roman"/>
        </w:rPr>
        <w:t xml:space="preserve">„Žvejybos pajėgumų ir žvejybos galimybių pusiausvyros analizės gairės pagal Europos Parlamento ir Tarybos reglamento (ES) Nr. 1380/2013 dėl bendros žuvininkystės politikos 22 straipsnį“ (COM(2014) 545 </w:t>
      </w:r>
      <w:r>
        <w:rPr>
          <w:i/>
          <w:rFonts w:ascii="Times New Roman" w:hAnsi="Times New Roman"/>
        </w:rPr>
        <w:t xml:space="preserve">final</w:t>
      </w:r>
      <w:r>
        <w:rPr>
          <w:rFonts w:ascii="Times New Roman" w:hAnsi="Times New Roman"/>
        </w:rPr>
        <w:t xml:space="preserve">).</w:t>
      </w:r>
      <w:r>
        <w:rPr>
          <w:rFonts w:ascii="Times New Roman" w:hAnsi="Times New Roman"/>
        </w:rPr>
        <w:t xml:space="preserve">  </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 xml:space="preserve">2022 m. sausio 13 d. Komisijos įgyvendinimo reglamentas (ES) 2022/46, kuriuo įgyvendinant Europos Parlamento ir Tarybos reglamentą (ES) 2021/1139, kuriuo nustatomas Europos jūrų reikalų, žvejybos ir akvakultūros fondas ir iš dalies keičiamas Reglamentas (ES) 2017/1004, nurodomos efektyvaus energijos vartojimo technologijos ir metodikos elementai įprastoms žvejybos laivų žvejybos pastangoms nustatyti (OL L 9, 2022 1 14,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defaultTabStop w:val="720"/>
  <w:characterSpacingControl w:val="doNotCompress"/>
  <w:hdrShapeDefaults>
    <o:shapedefaults v:ext="edit" spidmax="286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lang w:val="lt-LT"/>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lt-LT"/>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lt-LT"/>
    </w:rPr>
  </w:style>
  <w:style w:type="paragraph" w:styleId="Revision">
    <w:name w:val="Revision"/>
    <w:hidden/>
    <w:uiPriority w:val="99"/>
    <w:semiHidden/>
    <w:rsid w:val="00136501"/>
    <w:rPr>
      <w:sz w:val="22"/>
      <w:szCs w:val="22"/>
      <w:lang w:val="lt-LT"/>
    </w:rPr>
  </w:style>
  <w:style w:type="paragraph" w:customStyle="1" w:styleId="Default">
    <w:name w:val="Default"/>
    <w:rsid w:val="0053598F"/>
    <w:pPr>
      <w:autoSpaceDE w:val="0"/>
      <w:autoSpaceDN w:val="0"/>
      <w:adjustRightInd w:val="0"/>
    </w:pPr>
    <w:rPr>
      <w:rFonts w:ascii="Times New Roman" w:hAnsi="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1565</Words>
  <Characters>8346</Characters>
  <Application>Microsoft Office Word</Application>
  <DocSecurity>0</DocSecurity>
  <Lines>225</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LAJAUSKAITE Gintare (COMP)</cp:lastModifiedBy>
  <cp:revision>5</cp:revision>
  <dcterms:created xsi:type="dcterms:W3CDTF">2024-09-05T15:20:00Z</dcterms:created>
  <dcterms:modified xsi:type="dcterms:W3CDTF">2024-09-10T10:09:00Z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