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CDF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FF3B1D" w14:textId="77777777" w:rsidR="005615D7" w:rsidRPr="00FA76B3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3.1</w:t>
      </w:r>
    </w:p>
    <w:p w14:paraId="4A8B8401" w14:textId="7DB07CA7" w:rsidR="005615D7" w:rsidRPr="00FA76B3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>Obrazec za dodatne informacije o pomoči za prvo pridobitev ribiškega plovila</w:t>
      </w:r>
    </w:p>
    <w:p w14:paraId="6553E43E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67FC1B" w14:textId="2CD7F016" w:rsidR="005615D7" w:rsidRPr="005615D7" w:rsidRDefault="00375EE9" w:rsidP="00E53FC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2135"/>
      <w:r>
        <w:rPr>
          <w:rFonts w:ascii="Times New Roman" w:hAnsi="Times New Roman"/>
          <w:i/>
          <w:sz w:val="24"/>
        </w:rPr>
        <w:t>Ta obrazec morajo države članice uporabiti za priglasitev vsake pomoči za prvo pridobitev ribiškega plovila, kot je opisana v oddelku 3.1 poglavja 3 dela II Smernic o državni pomoči v sektorju ribištva in akvakulture</w:t>
      </w:r>
      <w:r w:rsidR="00456174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(v nadaljnjem besedilu: smernice).</w:t>
      </w:r>
    </w:p>
    <w:bookmarkEnd w:id="0"/>
    <w:p w14:paraId="30AEE9AF" w14:textId="77777777" w:rsidR="000F66CA" w:rsidRDefault="000F66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AD8E13" w14:textId="06C19305" w:rsidR="007D193E" w:rsidRDefault="007D193E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67426"/>
      <w:bookmarkStart w:id="2" w:name="_Hlk126832721"/>
      <w:r>
        <w:rPr>
          <w:rFonts w:ascii="Times New Roman" w:hAnsi="Times New Roman"/>
          <w:sz w:val="24"/>
        </w:rPr>
        <w:t>Potrdite, da ukrep določa, da ribiška plovila Unije, v zvezi s katerimi je dodeljena pomoč, ne bodo prenesena v državo zunaj Unije ali da njihova zastava ne bo zamenjana za zastavo države zunaj Unije najmanj pet let po končnem plačilu pomoči.</w:t>
      </w:r>
      <w:bookmarkEnd w:id="1"/>
      <w:r>
        <w:rPr>
          <w:rFonts w:ascii="Times New Roman" w:hAnsi="Times New Roman"/>
          <w:sz w:val="24"/>
        </w:rPr>
        <w:t xml:space="preserve"> </w:t>
      </w:r>
    </w:p>
    <w:bookmarkEnd w:id="2"/>
    <w:p w14:paraId="2E30406D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4610E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6AAC0630" w14:textId="79F23B5C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DC297D" w14:textId="402FED21" w:rsidR="00FE057F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9018"/>
      <w:r>
        <w:rPr>
          <w:rFonts w:ascii="Times New Roman" w:hAnsi="Times New Roman"/>
          <w:sz w:val="24"/>
        </w:rPr>
        <w:t>Če je odgovor DA, navedite ustrezne določbe pravne podlage.</w:t>
      </w:r>
    </w:p>
    <w:p w14:paraId="647650CD" w14:textId="09A8F22B" w:rsidR="00252DEE" w:rsidRDefault="00FE057F" w:rsidP="0005304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2A06C1DC" w14:textId="2A46C92E" w:rsidR="007D193E" w:rsidRDefault="00B84712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5367725"/>
      <w:r>
        <w:rPr>
          <w:rFonts w:ascii="Times New Roman" w:hAnsi="Times New Roman"/>
          <w:sz w:val="24"/>
        </w:rPr>
        <w:t>Potrdite, komu se lahko dodeli pomoč v okviru ukrepa:</w:t>
      </w:r>
      <w:bookmarkEnd w:id="4"/>
    </w:p>
    <w:p w14:paraId="2669D0BA" w14:textId="77777777" w:rsidR="004D2CA0" w:rsidRDefault="004D2CA0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5B31A8" w14:textId="1C00FD90" w:rsidR="00A93E41" w:rsidRPr="005615D7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(a) fizični osebi, ki na dan vložitve vloge za pomoč ni starejša od 40 let in je vsaj pet let opravljala ribiško dejavnost ali je pridobila ustrezno kvalifikacijo</w:t>
      </w:r>
    </w:p>
    <w:p w14:paraId="4B8CCC87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F305B" w14:textId="6D0C47B7" w:rsidR="00A93E41" w:rsidRPr="005615D7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(b) pravnim osebam v popolni lasti ene ali več fizičnih oseb, od katerih vsaka izpolnjuje pogoje iz točke (a)</w:t>
      </w:r>
    </w:p>
    <w:p w14:paraId="573F00AD" w14:textId="77777777" w:rsidR="00A93E41" w:rsidRPr="005615D7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09E329" w14:textId="0909D6FA" w:rsidR="00A93E41" w:rsidRPr="005615D7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(c) v primeru skupne prve pridobitve ribiškega plovila več fizičnih oseb, od katerih vsaka izpolnjuje pogoje iz točke (a)</w:t>
      </w:r>
    </w:p>
    <w:p w14:paraId="415C6E7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06AB84" w14:textId="1D4C9005" w:rsidR="00A93E41" w:rsidRPr="005615D7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(d) v primeru pridobitve delnega lastništva ribiškega plovila fizični osebi, ki izpolnjuje pogoje iz točke (a) in za katero se šteje, da ima nadzorne pravice na tem plovilu z lastništvom vsaj 33 % plovila ali deležev plovila, ali pravni osebi, ki izpolnjuje pogoje iz točke (b) in za katero se šteje, da ima nadzorne pravice na tem plovilu z lastništvom vsaj 33 % plovila ali deležev plovila</w:t>
      </w:r>
    </w:p>
    <w:p w14:paraId="24EEAA17" w14:textId="77777777" w:rsidR="007D193E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BAD48" w14:textId="43993573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5368956"/>
      <w:r>
        <w:rPr>
          <w:rFonts w:ascii="Times New Roman" w:hAnsi="Times New Roman"/>
          <w:sz w:val="24"/>
        </w:rPr>
        <w:t>Navedite določbe pravne podlage, ki odražajo okence, izbrano v odgovor na prejšnje vprašanje</w:t>
      </w:r>
      <w:r w:rsidRPr="007E7B0C">
        <w:rPr>
          <w:rFonts w:ascii="Times New Roman" w:eastAsia="Times New Roman" w:hAnsi="Times New Roman"/>
          <w:sz w:val="24"/>
        </w:rPr>
        <w:fldChar w:fldCharType="begin"/>
      </w:r>
      <w:r w:rsidRPr="007E7B0C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7E7B0C">
        <w:rPr>
          <w:rFonts w:ascii="Times New Roman" w:eastAsia="Times New Roman" w:hAnsi="Times New Roman"/>
          <w:sz w:val="24"/>
        </w:rPr>
      </w:r>
      <w:r w:rsidR="0024227B">
        <w:rPr>
          <w:rFonts w:ascii="Times New Roman" w:eastAsia="Times New Roman" w:hAnsi="Times New Roman"/>
          <w:sz w:val="24"/>
        </w:rPr>
        <w:fldChar w:fldCharType="separate"/>
      </w:r>
      <w:r w:rsidRPr="007E7B0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194287F4" w14:textId="6CD25B91" w:rsidR="00FE057F" w:rsidRDefault="00FE057F" w:rsidP="004D2CA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62BD7663" w14:textId="1DF9A05A" w:rsidR="007D193E" w:rsidRPr="00345F64" w:rsidRDefault="00A93E41" w:rsidP="00A939E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Ref124951182"/>
      <w:r>
        <w:rPr>
          <w:rFonts w:ascii="Times New Roman" w:hAnsi="Times New Roman"/>
          <w:sz w:val="24"/>
        </w:rPr>
        <w:t>V skladu s točko (245)(a) smernic morajo ribiška plovila pripadati segmentu flote, za katerega je iz najnovejšega poročila o ribolovni zmogljivosti iz člena 22(2) Uredbe (EU) št. 1380/2013</w:t>
      </w:r>
      <w:r w:rsidR="003533B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razvidno ravnotežje z ribolovnimi možnostmi, ki so na voljo temu segmentu</w:t>
      </w:r>
      <w:r>
        <w:t xml:space="preserve"> </w:t>
      </w:r>
      <w:r>
        <w:rPr>
          <w:rFonts w:ascii="Times New Roman" w:hAnsi="Times New Roman"/>
          <w:sz w:val="24"/>
        </w:rPr>
        <w:t>(v nadaljnjem besedilu: nacionalno poročilo)</w:t>
      </w:r>
      <w:bookmarkEnd w:id="6"/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 xml:space="preserve">V skladu s točko (226) smernic se </w:t>
      </w:r>
      <w:r>
        <w:rPr>
          <w:rFonts w:ascii="Times New Roman" w:hAnsi="Times New Roman"/>
          <w:color w:val="000000"/>
          <w:sz w:val="24"/>
        </w:rPr>
        <w:lastRenderedPageBreak/>
        <w:t>za namene točke (245)(a) uporabljajo postopek in pogoji iz točk (225) do (227) dela II, poglavje 2, oddelek 2.2 smernic.</w:t>
      </w:r>
      <w:r>
        <w:rPr>
          <w:rFonts w:ascii="Times New Roman" w:hAnsi="Times New Roman"/>
          <w:color w:val="000000"/>
          <w:sz w:val="23"/>
        </w:rPr>
        <w:t xml:space="preserve"> </w:t>
      </w:r>
      <w:bookmarkStart w:id="7" w:name="_Hlk127291617"/>
      <w:r>
        <w:rPr>
          <w:rFonts w:ascii="Times New Roman" w:hAnsi="Times New Roman"/>
          <w:sz w:val="24"/>
        </w:rPr>
        <w:t>Glede na navedeno odgovorite na naslednja vprašanja:</w:t>
      </w:r>
      <w:bookmarkEnd w:id="7"/>
    </w:p>
    <w:p w14:paraId="3A04DDE8" w14:textId="67C1E459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F975D6" w14:textId="68E56CE6" w:rsidR="00EE3A31" w:rsidRPr="009C1330" w:rsidRDefault="00EE3A31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Kdaj je bilo pripravljeno zadnje nacionalno poročilo pred datumom dodelitve pomoči?</w:t>
      </w:r>
    </w:p>
    <w:p w14:paraId="40ECCFE7" w14:textId="3315DF93" w:rsidR="00EE3A31" w:rsidRDefault="00EE3A31" w:rsidP="008B4DD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3A9D638" w14:textId="77777777" w:rsidR="007368A4" w:rsidRDefault="007368A4" w:rsidP="007368A4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povezavo na zadnje nacionalno poročilo ali ga priložite priglasitvi.</w:t>
      </w:r>
    </w:p>
    <w:p w14:paraId="658BEBB2" w14:textId="2A1C0444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FDC606D" w14:textId="77777777" w:rsidR="007368A4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E0BA1" w14:textId="41425F2A" w:rsidR="00982E63" w:rsidRDefault="00982E63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so za dodelitev vsake pomoči izpolnjeni naslednji pogoji:</w:t>
      </w:r>
    </w:p>
    <w:p w14:paraId="723FF7E2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F0A25D" w14:textId="3C6042C3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Ali je bilo nacionalno poročilo predloženo do 31. maja leta N</w:t>
      </w:r>
      <w:r w:rsidR="00FE362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4591B4A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CB8572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77CB0AAD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658BC1" w14:textId="7A2970EE" w:rsidR="00EE3A31" w:rsidRPr="005C06D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je bilo nacionalno poročilo, predloženo leta N, zlasti pa ocena ravnotežja v navedenem poročilu, pripravljeno na podlagi bioloških in gospodarskih kazalnikov ter kazalnikov uporabe plovila iz skupnih smernic</w:t>
      </w:r>
      <w:r w:rsidR="00D57D3B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 xml:space="preserve"> iz člena 22(2) Uredbe (EU) št. 1380/2013.</w:t>
      </w:r>
    </w:p>
    <w:p w14:paraId="29AF5417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9BC30" w14:textId="18899375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70EAAF6A" w14:textId="77777777" w:rsidR="00C33E4C" w:rsidRDefault="00C33E4C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17B0C08" w14:textId="77777777" w:rsidR="00C33E4C" w:rsidRPr="005C3488" w:rsidRDefault="00C33E4C" w:rsidP="00C33E4C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Upoštevajte, da se pomoč ne odobri, če nacionalno poročilo, zlasti pa ocena ravnotežja v navedenem poročilu, ni bila pripravljena na podlagi bioloških in gospodarskih kazalnikov ter kazalnikov uporabe plovila iz skupnih smernic iz člena 22(2) Uredbe (EU) št. 1380/2013. </w:t>
      </w:r>
    </w:p>
    <w:p w14:paraId="2FF5625E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CB7D52" w14:textId="4D8418E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Ali je v nacionalnem poročilu, predloženem leta N, prikazano, da obstaja ravnotežje med ribolovno zmogljivostjo in ribolovnimi možnostmi v segmentu flote, ki mu bo pripadalo novo plovilo?</w:t>
      </w:r>
    </w:p>
    <w:p w14:paraId="6093B670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CAC613" w14:textId="77777777" w:rsidR="00EE3A31" w:rsidRPr="005615D7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071D8326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CFDC8" w14:textId="77777777" w:rsidR="00EE3A31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Pojasnite, kako je bilo nacionalno poročilo upoštevano pri oblikovanju ukrepa in kako je doseženo ravnotežje.</w:t>
      </w:r>
    </w:p>
    <w:p w14:paraId="6D300F37" w14:textId="406510B2" w:rsidR="00EE3A31" w:rsidRDefault="00EE3A31" w:rsidP="007D32D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47FEFF" w14:textId="4E7BA632" w:rsidR="00D57D3B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Komisija do 31. marca leta N+1 ni postavila pod vprašaj:</w:t>
      </w:r>
    </w:p>
    <w:p w14:paraId="1E0E416C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F09C56" w14:textId="0DD1EBD2" w:rsidR="00D57D3B" w:rsidRDefault="008542AA" w:rsidP="008542AA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sz w:val="24"/>
        </w:rPr>
      </w:r>
      <w:r w:rsidR="0024227B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 w:rsidR="0024227B">
        <w:tab/>
      </w:r>
      <w:r>
        <w:rPr>
          <w:rFonts w:ascii="Times New Roman" w:hAnsi="Times New Roman"/>
          <w:sz w:val="24"/>
        </w:rPr>
        <w:t xml:space="preserve">(a) sklepne ugotovitve nacionalnega poročila, predloženega v letu N </w:t>
      </w:r>
    </w:p>
    <w:p w14:paraId="60AA4963" w14:textId="77777777" w:rsidR="00D57D3B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87979D" w14:textId="77777777" w:rsidR="00D57D3B" w:rsidRPr="005E495C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02B65" w14:textId="2FD76AAC" w:rsidR="00D57D3B" w:rsidRPr="005615D7" w:rsidRDefault="008542AA" w:rsidP="008542AA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sz w:val="24"/>
        </w:rPr>
      </w:r>
      <w:r w:rsidR="0024227B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 w:rsidR="0024227B">
        <w:tab/>
      </w:r>
      <w:r>
        <w:rPr>
          <w:rFonts w:ascii="Times New Roman" w:hAnsi="Times New Roman"/>
          <w:sz w:val="24"/>
        </w:rPr>
        <w:t>(b) ocene ravnotežja v nacionalnem poročilu, predloženem v letu N</w:t>
      </w:r>
    </w:p>
    <w:p w14:paraId="71567CF1" w14:textId="77777777" w:rsidR="0081788B" w:rsidRDefault="0081788B" w:rsidP="00854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10F5D72" w14:textId="77777777" w:rsidR="00982E63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Potrdite, da ukrep določa, da se pomoč lahko dodeli na podlagi nacionalnega poročila, predloženega leta N, samo do 31. decembra leta N+1, tj. do leta, ki sledi letu predložitve poročila. </w:t>
      </w:r>
    </w:p>
    <w:p w14:paraId="5580B481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9ADC0" w14:textId="77777777" w:rsidR="00982E63" w:rsidRPr="001E103F" w:rsidRDefault="00982E63" w:rsidP="00982E6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3AB8660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4EF2BB" w14:textId="77777777" w:rsidR="00982E63" w:rsidRDefault="00982E63" w:rsidP="00982E63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2DC2D251" w14:textId="77777777" w:rsidR="00982E63" w:rsidRDefault="00982E63" w:rsidP="00982E6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62EA496A" w14:textId="77777777" w:rsidR="00982E63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0F25B9" w14:textId="02414F45" w:rsidR="002B4210" w:rsidRPr="004629F3" w:rsidRDefault="002B4210" w:rsidP="002B421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Če ukrep zadeva ribolov v celinskih vodah, ni treba odgovoriti na vprašanja 3.1–3.2.6.1.</w:t>
      </w:r>
    </w:p>
    <w:p w14:paraId="375287DB" w14:textId="77777777" w:rsidR="00BA70E4" w:rsidRDefault="00BA70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2AC48" w14:textId="6E0A4474" w:rsidR="00A93E41" w:rsidRP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Ref125367899"/>
      <w:r>
        <w:rPr>
          <w:rFonts w:ascii="Times New Roman" w:hAnsi="Times New Roman"/>
          <w:sz w:val="24"/>
        </w:rPr>
        <w:t>Potrdite, da ukrep določa, da morajo biti ribiška plovila opremljena za ribolovne dejavnosti in ne smejo biti daljša od 24 metrov skupne dolžine.</w:t>
      </w:r>
      <w:bookmarkEnd w:id="8"/>
    </w:p>
    <w:p w14:paraId="57082A2F" w14:textId="77777777" w:rsidR="00A93E41" w:rsidRDefault="00A93E4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739CB" w14:textId="77777777" w:rsidR="00A93E41" w:rsidRPr="005615D7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1A811018" w14:textId="179252D2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060121" w14:textId="3324968B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75804E51" w14:textId="64C6D08C" w:rsidR="00EE3A31" w:rsidRDefault="00FE057F" w:rsidP="00FA3BF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2FA8102" w14:textId="0374EE62" w:rsidR="007D193E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" w:name="_Ref124951266"/>
      <w:r>
        <w:rPr>
          <w:rFonts w:ascii="Times New Roman" w:hAnsi="Times New Roman"/>
          <w:sz w:val="24"/>
        </w:rPr>
        <w:t>Potrdite, da ukrep določa, da se lahko pomoč dodeli samo za ribiško plovilo, ki je bilo registrirano v registru flote Unije najmanj tri koledarska leta pred letom vložitve vloge za pomoč v primeru plovila za mali priobalni ribolov in najmanj pet koledarskih let v primeru druge vrste plovila.</w:t>
      </w:r>
      <w:bookmarkEnd w:id="9"/>
    </w:p>
    <w:p w14:paraId="3EA4CAC2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035309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419562F3" w14:textId="5A076B4F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4A09CA" w14:textId="62F681CD" w:rsidR="00BC500A" w:rsidRPr="00255D80" w:rsidRDefault="00BC500A" w:rsidP="00BC500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Če se ukrep nanaša na ribolov v celinskih vodah, potrdite, da ukrep določa, da se lahko pomoč dodeli samo za ribiško plovilo, ki se je začelo uporabljati v skladu z nacionalno zakonodajo najmanj tri koledarska leta pred letom vložitve vloge za pomoč v primeru plovila za mali priobalni ribolov in najmanj pet koledarskih let v primeru druge vrste plovila.</w:t>
      </w:r>
    </w:p>
    <w:p w14:paraId="1672D4EB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5F0C25" w14:textId="77777777" w:rsidR="00B7237B" w:rsidRDefault="00B7237B" w:rsidP="00B7237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52CC9E5" w14:textId="77777777" w:rsidR="00BC500A" w:rsidRDefault="00BC500A" w:rsidP="00255D80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C3FE0" w14:textId="270500A7" w:rsidR="00FE057F" w:rsidRPr="007E7B0C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na vprašanje 5 ali 5.1 DA, navedite ustrezne določbe pravne podlage.</w:t>
      </w:r>
    </w:p>
    <w:p w14:paraId="068B0967" w14:textId="37D8A890" w:rsidR="00BC500A" w:rsidRDefault="00FE057F" w:rsidP="000A0D3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10" w:name="_Ref124951474"/>
    </w:p>
    <w:p w14:paraId="32F7C7F5" w14:textId="25217290" w:rsidR="00A93E41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se lahko pomoč dodeli samo za ribiško plovilo, registrirano v registru flote Unije največ 30 koledarskih let pred letom vložitve vloge za pomoč.</w:t>
      </w:r>
      <w:bookmarkEnd w:id="10"/>
    </w:p>
    <w:p w14:paraId="412F5B6E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3749C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09710C36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7B5BC7" w14:textId="635B0AF9" w:rsidR="00B86D42" w:rsidRPr="00B86D42" w:rsidRDefault="00021091" w:rsidP="0002109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Če se ukrep nanaša na ribolov v celinskih vodah, potrdite, da ukrep določa, da se pomoč lahko dodeli le za ribiško plovilo, ki se je začelo uporabljati v skladu z nacionalno zakonodajo, največ 30 koledarskih let pred letom predložitve vloge za pomoč.</w:t>
      </w:r>
    </w:p>
    <w:p w14:paraId="583DF1F4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77FC93" w14:textId="77777777" w:rsidR="00021091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7538EAB3" w14:textId="06E3D2E9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DDC4" w14:textId="4C7E227C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na vprašanje 6 ali 6.1 DA, navedite ustrezne določbe pravne podlage.</w:t>
      </w:r>
    </w:p>
    <w:p w14:paraId="43EAD78F" w14:textId="06226908" w:rsidR="00EE3A31" w:rsidRDefault="00BD6945" w:rsidP="003509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7569E7E" w14:textId="5DA1329F" w:rsidR="00A93E41" w:rsidRDefault="004629F3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upravičeni stroški vključujejo samo neposredne in posredne stroške, povezane s prvo pridobitvijo ribiškega plovila.</w:t>
      </w:r>
    </w:p>
    <w:p w14:paraId="210AEAFE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E5D3F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1E024FDA" w14:textId="7E2033DE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E3492" w14:textId="71241352" w:rsidR="00BD6945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3472BD8A" w14:textId="10063291" w:rsidR="00BD6945" w:rsidRDefault="00BD6945" w:rsidP="003509A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9BE27D9" w14:textId="38E5F44B" w:rsidR="00252DEE" w:rsidRDefault="00252DEE" w:rsidP="003509A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Podrobno opišite stroške, ki so upravičeni v okviru ukrepa.</w:t>
      </w:r>
    </w:p>
    <w:p w14:paraId="3318D537" w14:textId="503DBEAC" w:rsidR="005B1262" w:rsidRPr="005615D7" w:rsidRDefault="005E58E1" w:rsidP="009E130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03F476" w14:textId="59E3908F" w:rsidR="00DD442C" w:rsidRDefault="00DD442C" w:rsidP="00DD44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največja intenzivnost pomoči ne presega 40 % upravičenih stroškov.</w:t>
      </w:r>
    </w:p>
    <w:p w14:paraId="2AAC763C" w14:textId="35409438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1948"/>
    <w:p w14:paraId="00AD059F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4227B">
        <w:rPr>
          <w:rFonts w:ascii="Times New Roman" w:eastAsia="Times New Roman" w:hAnsi="Times New Roman"/>
          <w:b/>
          <w:sz w:val="24"/>
        </w:rPr>
      </w:r>
      <w:r w:rsidR="0024227B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0982F992" w14:textId="77777777" w:rsidR="00EE3A31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CFDD8" w14:textId="77777777" w:rsidR="00727DA3" w:rsidRDefault="00727DA3" w:rsidP="00727DA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največje intenzivnosti pomoči, ki se uporabljajo v okviru ukrepa.</w:t>
      </w:r>
    </w:p>
    <w:p w14:paraId="56633C5B" w14:textId="77777777" w:rsidR="00727DA3" w:rsidRDefault="00727DA3" w:rsidP="00727DA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D539BF4" w14:textId="77777777" w:rsidR="00727DA3" w:rsidRDefault="00727DA3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3B979" w14:textId="757F98A6" w:rsidR="00DD442C" w:rsidRDefault="00DD442C" w:rsidP="00DD442C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2" w:name="_Hlk125368675"/>
      <w:bookmarkEnd w:id="11"/>
      <w:r>
        <w:rPr>
          <w:rFonts w:ascii="Times New Roman" w:hAnsi="Times New Roman"/>
          <w:sz w:val="24"/>
        </w:rPr>
        <w:t>Navedite določbe pravne podlage, ki določajo največje intenzivnosti pomoči ukrepa.</w:t>
      </w:r>
    </w:p>
    <w:p w14:paraId="0DE14AD2" w14:textId="6BC8AFC3" w:rsidR="007E7B0C" w:rsidRDefault="00DD442C" w:rsidP="009E130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B0B2269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33CF05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DRUGE INFORMACIJE</w:t>
      </w:r>
    </w:p>
    <w:p w14:paraId="7F99A11E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C705D7" w14:textId="0D0BBF88" w:rsidR="005615D7" w:rsidRPr="005615D7" w:rsidRDefault="005615D7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vse druge informacije, ki se vam zdijo pomembne za oceno ukrepa iz tega oddelka smernic.</w:t>
      </w:r>
    </w:p>
    <w:p w14:paraId="0E5A54F3" w14:textId="77777777" w:rsidR="005615D7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799C5C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704418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74B" w14:textId="77777777" w:rsidR="00BD78A1" w:rsidRDefault="00BD78A1" w:rsidP="005615D7">
      <w:pPr>
        <w:spacing w:after="0" w:line="240" w:lineRule="auto"/>
      </w:pPr>
      <w:r>
        <w:separator/>
      </w:r>
    </w:p>
  </w:endnote>
  <w:endnote w:type="continuationSeparator" w:id="0">
    <w:p w14:paraId="25D0AFC5" w14:textId="77777777" w:rsidR="00BD78A1" w:rsidRDefault="00BD78A1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02DB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429C">
      <w:t>1</w:t>
    </w:r>
    <w:r>
      <w:fldChar w:fldCharType="end"/>
    </w:r>
  </w:p>
  <w:p w14:paraId="5C4652AA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DBC" w14:textId="77777777" w:rsidR="00BD78A1" w:rsidRDefault="00BD78A1" w:rsidP="005615D7">
      <w:pPr>
        <w:spacing w:after="0" w:line="240" w:lineRule="auto"/>
      </w:pPr>
      <w:r>
        <w:separator/>
      </w:r>
    </w:p>
  </w:footnote>
  <w:footnote w:type="continuationSeparator" w:id="0">
    <w:p w14:paraId="010DD306" w14:textId="77777777" w:rsidR="00BD78A1" w:rsidRDefault="00BD78A1" w:rsidP="005615D7">
      <w:pPr>
        <w:spacing w:after="0" w:line="240" w:lineRule="auto"/>
      </w:pPr>
      <w:r>
        <w:continuationSeparator/>
      </w:r>
    </w:p>
  </w:footnote>
  <w:footnote w:id="1">
    <w:p w14:paraId="732248B7" w14:textId="427B0584" w:rsidR="00456174" w:rsidRPr="00456174" w:rsidRDefault="004561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4227B">
        <w:tab/>
      </w:r>
      <w:r>
        <w:rPr>
          <w:rFonts w:ascii="Times New Roman" w:hAnsi="Times New Roman"/>
        </w:rPr>
        <w:t>UL C 107, 23.3.2023, str. 1.</w:t>
      </w:r>
    </w:p>
  </w:footnote>
  <w:footnote w:id="2">
    <w:p w14:paraId="363078E0" w14:textId="3CFCC624" w:rsidR="003533B1" w:rsidRPr="003533B1" w:rsidRDefault="003533B1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rFonts w:ascii="Times New Roman" w:hAnsi="Times New Roman"/>
        </w:rPr>
        <w:t xml:space="preserve">Uredba (EU) št. 1380/2013 Evropskega parlamenta in Sveta z dne 11. decembra 2013 o skupni ribiški politiki in o spremembi uredb Sveta (ES) št. 1954/2003 in (ES) št. 1224/2009 ter razveljavitvi uredb Sveta (ES) št. 2371/2002 in (ES) št. 639/2004 ter Sklepa Sveta 2004/585/ES (UL L 354, 28.12.2013, str. 22).  </w:t>
      </w:r>
    </w:p>
  </w:footnote>
  <w:footnote w:id="3">
    <w:p w14:paraId="59F49748" w14:textId="33A42AF3" w:rsidR="00FE3627" w:rsidRPr="000345FA" w:rsidRDefault="00FE3627" w:rsidP="00666B78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>Glej točki 225 in 226 smernic, ki opisujeta zaporedja nacionalnega poročila, predloženega v letu N, in ukrepov Komisije do 31. marca leta N+1.</w:t>
      </w:r>
    </w:p>
  </w:footnote>
  <w:footnote w:id="4">
    <w:p w14:paraId="59433353" w14:textId="77777777" w:rsidR="00D57D3B" w:rsidRPr="001A2686" w:rsidRDefault="00D57D3B" w:rsidP="00666B78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Sporočilo Komisije Evropskemu parlamentu in Svetu: Smernice za analizo ravnovesja med ribolovno zmogljivostjo in ribolovnimi možnostmi v skladu s členom 22 Uredbe (EU) št. 1380/2013 Evropskega parlamenta in Sveta o skupni ribiški politiki (COM(2014)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A8C3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0998728">
    <w:abstractNumId w:val="0"/>
  </w:num>
  <w:num w:numId="2" w16cid:durableId="22948873">
    <w:abstractNumId w:val="7"/>
  </w:num>
  <w:num w:numId="3" w16cid:durableId="1968930764">
    <w:abstractNumId w:val="1"/>
  </w:num>
  <w:num w:numId="4" w16cid:durableId="1088965889">
    <w:abstractNumId w:val="4"/>
  </w:num>
  <w:num w:numId="5" w16cid:durableId="776800084">
    <w:abstractNumId w:val="2"/>
  </w:num>
  <w:num w:numId="6" w16cid:durableId="689919009">
    <w:abstractNumId w:val="6"/>
  </w:num>
  <w:num w:numId="7" w16cid:durableId="637952151">
    <w:abstractNumId w:val="5"/>
  </w:num>
  <w:num w:numId="8" w16cid:durableId="1742368574">
    <w:abstractNumId w:val="3"/>
  </w:num>
  <w:num w:numId="9" w16cid:durableId="5894556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4B77"/>
    <w:rsid w:val="00015284"/>
    <w:rsid w:val="00021091"/>
    <w:rsid w:val="00047C56"/>
    <w:rsid w:val="00053047"/>
    <w:rsid w:val="000A0D37"/>
    <w:rsid w:val="000A5405"/>
    <w:rsid w:val="000E2F1C"/>
    <w:rsid w:val="000E3242"/>
    <w:rsid w:val="000F66CA"/>
    <w:rsid w:val="0013008F"/>
    <w:rsid w:val="00136501"/>
    <w:rsid w:val="001461AE"/>
    <w:rsid w:val="00184201"/>
    <w:rsid w:val="001A718E"/>
    <w:rsid w:val="001C2AFD"/>
    <w:rsid w:val="001D409C"/>
    <w:rsid w:val="001E09E4"/>
    <w:rsid w:val="001F0558"/>
    <w:rsid w:val="00236AD9"/>
    <w:rsid w:val="0024227B"/>
    <w:rsid w:val="00246E5C"/>
    <w:rsid w:val="00251321"/>
    <w:rsid w:val="00252DEE"/>
    <w:rsid w:val="00255D80"/>
    <w:rsid w:val="00296720"/>
    <w:rsid w:val="00296871"/>
    <w:rsid w:val="002B4210"/>
    <w:rsid w:val="00345F64"/>
    <w:rsid w:val="003509A7"/>
    <w:rsid w:val="003533B1"/>
    <w:rsid w:val="003649C9"/>
    <w:rsid w:val="00375EE9"/>
    <w:rsid w:val="003E0993"/>
    <w:rsid w:val="00412A69"/>
    <w:rsid w:val="00453ADA"/>
    <w:rsid w:val="00456174"/>
    <w:rsid w:val="0046170F"/>
    <w:rsid w:val="004629F3"/>
    <w:rsid w:val="004668F6"/>
    <w:rsid w:val="004A04B5"/>
    <w:rsid w:val="004A1EA0"/>
    <w:rsid w:val="004D2CA0"/>
    <w:rsid w:val="0050429C"/>
    <w:rsid w:val="005615D7"/>
    <w:rsid w:val="005645C1"/>
    <w:rsid w:val="00585F3E"/>
    <w:rsid w:val="005B1262"/>
    <w:rsid w:val="005D14A0"/>
    <w:rsid w:val="005E58E1"/>
    <w:rsid w:val="00610BCF"/>
    <w:rsid w:val="00621831"/>
    <w:rsid w:val="0066443A"/>
    <w:rsid w:val="006663B8"/>
    <w:rsid w:val="00666B78"/>
    <w:rsid w:val="006914B0"/>
    <w:rsid w:val="006A5AF5"/>
    <w:rsid w:val="006C7549"/>
    <w:rsid w:val="006D64CF"/>
    <w:rsid w:val="00716026"/>
    <w:rsid w:val="00727DA3"/>
    <w:rsid w:val="007368A4"/>
    <w:rsid w:val="00764F86"/>
    <w:rsid w:val="00792BE3"/>
    <w:rsid w:val="007D193E"/>
    <w:rsid w:val="007D32DB"/>
    <w:rsid w:val="007E27BD"/>
    <w:rsid w:val="007E7B0C"/>
    <w:rsid w:val="007F69E1"/>
    <w:rsid w:val="008004EF"/>
    <w:rsid w:val="00806E74"/>
    <w:rsid w:val="008131D2"/>
    <w:rsid w:val="0081788B"/>
    <w:rsid w:val="00835A1B"/>
    <w:rsid w:val="00835C8C"/>
    <w:rsid w:val="008542AA"/>
    <w:rsid w:val="00865AD5"/>
    <w:rsid w:val="00897D46"/>
    <w:rsid w:val="008A2939"/>
    <w:rsid w:val="008B4DDE"/>
    <w:rsid w:val="00982E63"/>
    <w:rsid w:val="009A2069"/>
    <w:rsid w:val="009E130B"/>
    <w:rsid w:val="00A02D5E"/>
    <w:rsid w:val="00A56179"/>
    <w:rsid w:val="00A5779C"/>
    <w:rsid w:val="00A634A8"/>
    <w:rsid w:val="00A9378D"/>
    <w:rsid w:val="00A93E41"/>
    <w:rsid w:val="00A976E3"/>
    <w:rsid w:val="00AA2F26"/>
    <w:rsid w:val="00AC1CE4"/>
    <w:rsid w:val="00AC55F1"/>
    <w:rsid w:val="00B018CF"/>
    <w:rsid w:val="00B12B1E"/>
    <w:rsid w:val="00B30B7F"/>
    <w:rsid w:val="00B37296"/>
    <w:rsid w:val="00B7237B"/>
    <w:rsid w:val="00B84712"/>
    <w:rsid w:val="00B86D42"/>
    <w:rsid w:val="00BA4D68"/>
    <w:rsid w:val="00BA70E4"/>
    <w:rsid w:val="00BC3FA7"/>
    <w:rsid w:val="00BC48E2"/>
    <w:rsid w:val="00BC500A"/>
    <w:rsid w:val="00BD6945"/>
    <w:rsid w:val="00BD78A1"/>
    <w:rsid w:val="00BD7CCD"/>
    <w:rsid w:val="00BF6D9C"/>
    <w:rsid w:val="00C031C2"/>
    <w:rsid w:val="00C300A7"/>
    <w:rsid w:val="00C33E4C"/>
    <w:rsid w:val="00C43602"/>
    <w:rsid w:val="00C919CF"/>
    <w:rsid w:val="00CB185C"/>
    <w:rsid w:val="00CB2D84"/>
    <w:rsid w:val="00CC04F4"/>
    <w:rsid w:val="00CE214E"/>
    <w:rsid w:val="00D54834"/>
    <w:rsid w:val="00D57D3B"/>
    <w:rsid w:val="00D7395D"/>
    <w:rsid w:val="00D87E8B"/>
    <w:rsid w:val="00D95810"/>
    <w:rsid w:val="00DD442C"/>
    <w:rsid w:val="00E53FCD"/>
    <w:rsid w:val="00E610A6"/>
    <w:rsid w:val="00E65A1F"/>
    <w:rsid w:val="00E9157F"/>
    <w:rsid w:val="00EA5928"/>
    <w:rsid w:val="00EE3A31"/>
    <w:rsid w:val="00EE7462"/>
    <w:rsid w:val="00F33C7B"/>
    <w:rsid w:val="00F56F54"/>
    <w:rsid w:val="00F6097C"/>
    <w:rsid w:val="00FA3BF8"/>
    <w:rsid w:val="00FA76B3"/>
    <w:rsid w:val="00FD2FC9"/>
    <w:rsid w:val="00FE057F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6CEB9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817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2.xml><?xml version="1.0" encoding="utf-8"?>
<ds:datastoreItem xmlns:ds="http://schemas.openxmlformats.org/officeDocument/2006/customXml" ds:itemID="{C33CDA43-0EB0-4728-AEFE-6DFC911C8D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1070</Words>
  <Characters>6059</Characters>
  <Application>Microsoft Office Word</Application>
  <DocSecurity>0</DocSecurity>
  <Lines>173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PECNIK KRZIC Simona (DGT)</cp:lastModifiedBy>
  <cp:revision>6</cp:revision>
  <dcterms:created xsi:type="dcterms:W3CDTF">2023-05-03T14:30:00Z</dcterms:created>
  <dcterms:modified xsi:type="dcterms:W3CDTF">2024-07-15T07:10:00Z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2023-01-23T10:16:45Z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e59dcc2d-82c9-41aa-a077-802e135db230</vt:lpwstr>
  </property>
  <property fmtid="{D5CDD505-2E9C-101B-9397-08002B2CF9AE}" pid="13" name="MSIP_Label_6bd9ddd1-4d20-43f6-abfa-fc3c07406f94_ContentBits">
    <vt:lpwstr>0</vt:lpwstr>
  </property>
</Properties>
</file>