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5615D7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7A26F8AB" w:rsidR="005615D7" w:rsidRPr="00620B6E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/>
          <w:b/>
          <w:smallCaps/>
          <w:sz w:val="24"/>
        </w:rPr>
        <w:t>3.3</w:t>
      </w:r>
    </w:p>
    <w:p w14:paraId="7788A656" w14:textId="31D74571" w:rsidR="005615D7" w:rsidRPr="00620B6E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0"/>
        </w:rPr>
      </w:pPr>
      <w:r>
        <w:rPr>
          <w:rFonts w:ascii="Times New Roman" w:hAnsi="Times New Roman"/>
          <w:b/>
          <w:smallCaps/>
          <w:sz w:val="24"/>
        </w:rPr>
        <w:t xml:space="preserve">Lisätietolomake – </w:t>
      </w:r>
      <w:r>
        <w:rPr>
          <w:rFonts w:ascii="Times New Roman" w:hAnsi="Times New Roman"/>
          <w:b/>
          <w:smallCaps/>
          <w:sz w:val="24"/>
        </w:rPr>
        <w:br/>
        <w:t>Tuki kalastusaluksen bruttovetoisuuden lisäämiseen turvallisuuden, työolojen tai energiatehokkuuden parantamiseksi</w:t>
      </w:r>
    </w:p>
    <w:p w14:paraId="50622FA5" w14:textId="455F8483" w:rsidR="005615D7" w:rsidRDefault="005615D7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6B7472" w14:textId="77777777" w:rsidR="00A67609" w:rsidRPr="005615D7" w:rsidRDefault="00A67609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64574AD5" w:rsidR="005615D7" w:rsidRPr="005615D7" w:rsidRDefault="009B38E1" w:rsidP="00A6760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Jäsenvaltioiden on käytettävä tätä lomaketta ilmoittaessaan kalastus- ja vesiviljelyalan valtiontukea koskevien suuntaviivojen</w:t>
      </w:r>
      <w:r w:rsidR="00794B67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II osan 3 luvun 3.3 jaksossa kuvatusta tuesta, jota myönnetään kalastusaluksen bruttovetoisuuden lisäämiseen turvallisuuden, työolojen tai energiatehokkuuden parantamiseksi.</w:t>
      </w:r>
    </w:p>
    <w:p w14:paraId="38E57BE1" w14:textId="77777777" w:rsidR="005615D7" w:rsidRPr="005615D7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A67DB4" w14:textId="77777777" w:rsidR="00D45C38" w:rsidRDefault="00D45C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0A0101A5" w:rsidR="007D193E" w:rsidRDefault="007D193E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Edellytetäänkö toimenpiteessä, että tukea saanutta unionin kalastusalusta ei siirretä eikä sen lippuvaltiota vaihdeta unionin ulkopuolelle vähintään viiden vuoden aikana tuen loppumaksusta? </w:t>
      </w:r>
    </w:p>
    <w:p w14:paraId="1444BB95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Kyllä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56802EE5" w14:textId="445DC562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EA2537" w14:textId="7558ABC0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Jos vastaus on myöntävä, mainitkaa oikeusperustan asianomaiset säännökset:</w:t>
      </w:r>
    </w:p>
    <w:p w14:paraId="10A2963C" w14:textId="77777777" w:rsidR="004C4105" w:rsidRDefault="004C4105" w:rsidP="004C410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E93E3BB" w14:textId="5DB3403D" w:rsidR="00B235B8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AB28E5" w14:textId="6CF94040" w:rsidR="00A67609" w:rsidRPr="00D50412" w:rsidRDefault="00A93E41" w:rsidP="00A6760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GB" w:eastAsia="en-GB"/>
        </w:rPr>
      </w:pPr>
      <w:bookmarkStart w:id="0" w:name="_Hlk127291610"/>
      <w:bookmarkStart w:id="1" w:name="_Ref124951182"/>
      <w:r w:rsidRPr="00D50412">
        <w:rPr>
          <w:rFonts w:ascii="Times New Roman" w:eastAsia="Times New Roman" w:hAnsi="Times New Roman"/>
          <w:sz w:val="24"/>
          <w:szCs w:val="24"/>
          <w:lang w:eastAsia="en-GB"/>
        </w:rPr>
        <w:t>Suuntaviivojen 265 kohdan a alakohdan mukaan aluksen on kuuluttava sellaiseen laivastonosaan, jonka osalta viimeisimmässä asetuksen (EU) N:o 1380/2013 22 artiklan 2 kohdassa tarkoitetussa kalastuskapasiteettiselvityksessä (jäljempänä ’kansallinen selvitys’) on osoitettu, että kapasiteetti ja kyseisen osan käytettävissä olevat kalastusmahdollisuudet ovat tasapainossa.</w:t>
      </w:r>
      <w:bookmarkEnd w:id="0"/>
      <w:bookmarkEnd w:id="1"/>
      <w:r w:rsidRPr="00D50412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D50412">
        <w:rPr>
          <w:rFonts w:ascii="Times New Roman" w:eastAsia="Times New Roman" w:hAnsi="Times New Roman"/>
          <w:sz w:val="24"/>
          <w:szCs w:val="24"/>
          <w:lang w:val="en-GB" w:eastAsia="en-GB"/>
        </w:rPr>
        <w:t>Suuntaviivojen</w:t>
      </w:r>
      <w:proofErr w:type="spellEnd"/>
      <w:r w:rsidRPr="00D504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 266 </w:t>
      </w:r>
      <w:proofErr w:type="spellStart"/>
      <w:r w:rsidRPr="00D50412">
        <w:rPr>
          <w:rFonts w:ascii="Times New Roman" w:eastAsia="Times New Roman" w:hAnsi="Times New Roman"/>
          <w:sz w:val="24"/>
          <w:szCs w:val="24"/>
          <w:lang w:val="en-GB" w:eastAsia="en-GB"/>
        </w:rPr>
        <w:t>kohdan</w:t>
      </w:r>
      <w:proofErr w:type="spellEnd"/>
      <w:r w:rsidRPr="00D504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 </w:t>
      </w:r>
      <w:proofErr w:type="spellStart"/>
      <w:r w:rsidRPr="00D50412">
        <w:rPr>
          <w:rFonts w:ascii="Times New Roman" w:eastAsia="Times New Roman" w:hAnsi="Times New Roman"/>
          <w:sz w:val="24"/>
          <w:szCs w:val="24"/>
          <w:lang w:val="en-GB" w:eastAsia="en-GB"/>
        </w:rPr>
        <w:t>mukaan</w:t>
      </w:r>
      <w:proofErr w:type="spellEnd"/>
      <w:r w:rsidRPr="00D504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 II osan 2 luvun 2.2. jaksossa olevassa 225–227 kohdassa vahvistettuja edellytyksiä sovelletaan 265 kohdan a alakohdan soveltamiseksi. Vastatkaa seuraaviin kysymyksiin edellä esitetty huomioon ottaen:</w:t>
      </w:r>
    </w:p>
    <w:p w14:paraId="093E2297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C1C0C4" w14:textId="77777777" w:rsidR="009B38E1" w:rsidRPr="009C1330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Milloin viimeisin tuen myöntämispäivää edeltävä kansallinen selvitys on laadittu?</w:t>
      </w:r>
    </w:p>
    <w:p w14:paraId="370CE4BD" w14:textId="77777777" w:rsidR="009B38E1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4AFEFB8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Antakaa linkki viimeisimpään kansalliseen selvitykseen tai liittäkää se ilmoitukseen.</w:t>
      </w:r>
    </w:p>
    <w:p w14:paraId="6C8C1D23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646C9DD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BB10C1" w14:textId="77777777" w:rsidR="009B38E1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Täyttävätkö kaikki myönnettävät tuet seuraavat edellytykset?</w:t>
      </w:r>
    </w:p>
    <w:p w14:paraId="477EA46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764A5A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Toimitettiinko kansallinen selvitys viimeistään 31. toukokuuta vuonna 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>?</w:t>
      </w:r>
    </w:p>
    <w:p w14:paraId="350F425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714080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Kyllä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04C4451F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9C68D6" w14:textId="77777777" w:rsidR="009B38E1" w:rsidRPr="005C06D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Onko vuonna N toimitettu kansallinen selvitys ja erityisesti siihen sisältyvä tasapainoa koskeva arviointi laadittu asetuksen (EU) N:o 1380/2013 22 artiklan 2 kohdassa tarkoitetuissa yhteisissä suuntaviivoissa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hAnsi="Times New Roman"/>
          <w:sz w:val="24"/>
        </w:rPr>
        <w:t xml:space="preserve"> vahvistettujen biologisten, taloudellisten ja aluksen käyttöön liittyvien indikaattoreiden perusteella?</w:t>
      </w:r>
    </w:p>
    <w:p w14:paraId="236ECAE3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6A24B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Kyllä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3F0FF19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1B46880" w14:textId="77777777" w:rsidR="009B38E1" w:rsidRPr="005C3488" w:rsidRDefault="009B38E1" w:rsidP="009B38E1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</w:rPr>
        <w:t>Tukea ei saa myöntää, jos kansallista selvitystä ja erityisesti siihen sisältyvää tasapainoa koskevaa arviointia ei ole laadittu asetuksen (EU) N:o 1380/2013 22 artiklan 2 kohdassa tarkoitetuissa yhteisissä suuntaviivoissa vahvistettujen biologisten, taloudellisten ja aluksen käyttöön liittyvien indikaattoreiden perusteella.</w:t>
      </w:r>
      <w:r>
        <w:rPr>
          <w:i/>
          <w:sz w:val="23"/>
        </w:rPr>
        <w:t xml:space="preserve"> </w:t>
      </w:r>
    </w:p>
    <w:p w14:paraId="6119E23F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096C5F" w14:textId="7576A63F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Osoitetaanko vuoden N kansallisessa selvityksessä, että kalastuskapasiteetti ja kalastusmahdollisuudet ovat tasapainossa siinä syrjäisimmän alueen laivastonosassa, johon alus kuuluu?</w:t>
      </w:r>
    </w:p>
    <w:p w14:paraId="398F380D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6625C3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Kyllä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57C377E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DC3031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Selittäkää, miten kansallinen selvitys on otettu huomioon toimenpidettä laadittaessa ja miten tasapaino on saavutettu.</w:t>
      </w:r>
    </w:p>
    <w:p w14:paraId="1A3175A9" w14:textId="77777777" w:rsidR="009B38E1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67B8E2A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Voitteko vahvistaa, että komissio ei ole kyseenalaistanut seuraavia vuoden N+1 31. maaliskuuta mennessä?</w:t>
      </w:r>
    </w:p>
    <w:p w14:paraId="7D09C851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56D8F6" w14:textId="31704E0F" w:rsidR="009B38E1" w:rsidRDefault="009B38E1" w:rsidP="009B38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sz w:val="24"/>
        </w:rPr>
      </w:r>
      <w:r w:rsidR="00D50412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(a)</w:t>
      </w:r>
      <w:r w:rsidR="00A9560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vuoden N kansallisen selvityksen päätelmät </w:t>
      </w:r>
    </w:p>
    <w:p w14:paraId="4DCE5A37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67CBC6" w14:textId="77777777" w:rsidR="009B38E1" w:rsidRPr="005E495C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010B9A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sz w:val="24"/>
        </w:rPr>
      </w:r>
      <w:r w:rsidR="00D50412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(b) vuoden N kansalliseen selvitykseen sisältyvä tasapainoa koskeva arviointi.</w:t>
      </w:r>
    </w:p>
    <w:p w14:paraId="2826CDEB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3B6705B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Edellytetäänkö toimenpiteessä, että tukea voidaan myöntää vuonna N toimitetun kansallisen selvityksen perusteella ainoastaan vuoden N+1 (eli selvityksen toimittamisvuotta seuraavan vuoden) 31. joulukuuta asti? </w:t>
      </w:r>
    </w:p>
    <w:p w14:paraId="390157E8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63B13" w14:textId="77777777" w:rsidR="009B38E1" w:rsidRPr="001E103F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Kyllä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3564E892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3B0A5E" w14:textId="77777777" w:rsidR="009B38E1" w:rsidRDefault="009B38E1" w:rsidP="009B38E1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Jos vastaus on myöntävä, mainitkaa oikeusperustan asianomaiset säännökset:</w:t>
      </w:r>
    </w:p>
    <w:p w14:paraId="2309B67B" w14:textId="77777777" w:rsidR="009B38E1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46AA49C0" w14:textId="490C4410" w:rsidR="009B38E1" w:rsidRPr="0053598F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Jos toimenpide koskee sisävesikalastusta, kysymyksiin 2.1–2.2.6.1 ei tarvitse vastata.</w:t>
      </w:r>
    </w:p>
    <w:p w14:paraId="6E6CD017" w14:textId="5F78076D" w:rsidR="00A67609" w:rsidRDefault="00A67609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4FCB2D" w14:textId="62C5EE02" w:rsidR="007D193E" w:rsidRDefault="00A93E41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4951266"/>
      <w:r>
        <w:rPr>
          <w:rFonts w:ascii="Times New Roman" w:hAnsi="Times New Roman"/>
          <w:sz w:val="24"/>
        </w:rPr>
        <w:t>Edellytetäänkö toimenpiteessä, että kalastusaluksen suurin pituus on 24 metriä?</w:t>
      </w:r>
      <w:bookmarkEnd w:id="2"/>
    </w:p>
    <w:p w14:paraId="0CF74CB3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6461D90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Kyllä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4AE8C912" w14:textId="401A483C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2DFFE4" w14:textId="769BE663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Jos vastaus on myöntävä, mainitkaa oikeusperustan asianomaiset säännökset:</w:t>
      </w:r>
    </w:p>
    <w:p w14:paraId="4B51EE41" w14:textId="55E2563B" w:rsidR="004C4105" w:rsidRPr="005615D7" w:rsidRDefault="004C4105" w:rsidP="006E20F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2BF3818" w14:textId="5BC8254A" w:rsidR="00256D84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Edellytetäänkö toimenpiteessä, että kalastusaluksen on pitänyt olla kirjattuna unionin laivastorekisteriin vähintään tukihakemuksen jättämisvuotta edeltävien kymmenen kalenterivuoden ajan?</w:t>
      </w:r>
    </w:p>
    <w:p w14:paraId="5911DFE4" w14:textId="77777777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6B4F7E" w14:textId="77777777" w:rsidR="00256D84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Kyllä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03BF33E4" w14:textId="75B4BE28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0C6267" w14:textId="06C0D652" w:rsidR="006E20F3" w:rsidRPr="00255D80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Jos toimenpide koskee sisävesikalastusta, edellytetäänkö toimenpiteessä, että tukea voidaan myöntää ainoastaan sellaiselle kalastusalukselle, joka on otettu kansallisen lainsäädännön mukaisesti käyttöön vähintään tukihakemuksen jättämisvuotta edeltävien kymmenen kalenterivuoden ajaksi?</w:t>
      </w:r>
    </w:p>
    <w:p w14:paraId="2227C9C9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74D89E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Kyllä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7CA712DE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308BB706" w14:textId="77777777" w:rsidR="006E20F3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Jos vastaus kysymykseen 4 tai 4.1 on myöntävä, mainitkaa oikeusperustan asianomaiset säännökset:</w:t>
      </w:r>
    </w:p>
    <w:p w14:paraId="686389B7" w14:textId="2EEAAC6E" w:rsidR="00256D84" w:rsidRDefault="006E20F3" w:rsidP="000209D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71C0A97" w14:textId="328D9E1D" w:rsidR="00256D84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Voitteko vahvistaa, että toimen aiheuttaman uuden kalastuskapasiteetin lisääminen kalastuslaivastoon kompensoidaan poistamalla ennakolta vähintään sama määrä ilman julkista tukea käyttöönotettua kalastuskapasiteettia samasta laivastonosasta tai sellaisesta laivastonosasta, jonka osalta viimeisimmässä asetuksen (EU) N:o 1380/2013 22 artiklan 2 kohdassa tarkoitetussa kansallisessa selvityksessä on osoitettu, että kalastuskapasiteetti ei ole tasapainossa kyseisen osan käytettävissä olevien kalastusmahdollisuuksien kanssa.</w:t>
      </w:r>
    </w:p>
    <w:p w14:paraId="73161F52" w14:textId="77777777" w:rsidR="001D7707" w:rsidRDefault="001D77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139CB9" w14:textId="77777777" w:rsidR="00256D84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Kyllä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1639638E" w14:textId="50C9B19B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31A059" w14:textId="77777777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Jos vastaus edelliseen kysymykseen on myöntävä, mainitkaa oikeusperustan asianomaiset säännökset:</w:t>
      </w:r>
    </w:p>
    <w:p w14:paraId="05E14B9B" w14:textId="1E1092E3" w:rsidR="004C4105" w:rsidRDefault="004C4105" w:rsidP="004C410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095BB69" w14:textId="4656F992" w:rsidR="000209D0" w:rsidRPr="004629F3" w:rsidRDefault="000209D0" w:rsidP="00020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Jos toimenpide koskee sisävesikalastusta, tämän kysymyksen voi jättää huomiotta.</w:t>
      </w:r>
    </w:p>
    <w:p w14:paraId="1977F44B" w14:textId="06702978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F3A648" w14:textId="1C1E6888" w:rsidR="00256D84" w:rsidRDefault="00F3649F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Vahvistakaa tukikelpoiset kustannukset:</w:t>
      </w:r>
    </w:p>
    <w:p w14:paraId="25723D78" w14:textId="2AACE974" w:rsidR="00F3649F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632100" w14:textId="570DB8C8" w:rsidR="00F3649F" w:rsidRPr="005615D7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tab/>
        <w:t>(a) bruttovetoisuuden lisäys, joka on tarpeen laivaväen yksinomaiseen käyttöön tarkoitettujen majoitustilojen tulevaa asentamista tai kunnostamista varten, mukaan lukien saniteettitilat, yhteiset tilat, keittiötilat ja suojakansirakenteet</w:t>
      </w:r>
    </w:p>
    <w:p w14:paraId="09A89D83" w14:textId="4476B369" w:rsidR="00F3649F" w:rsidRPr="005615D7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tab/>
        <w:t>(b) bruttovetoisuuden lisäys, joka on tarpeen aluksen palontorjuntajärjestelmien, turva- ja hälytysjärjestelmien tai äänenvaimennusjärjestelmien tulevaa parantamista tai asentamista varten</w:t>
      </w:r>
    </w:p>
    <w:p w14:paraId="24AF6DCD" w14:textId="18CDAC6C" w:rsidR="00F3649F" w:rsidRPr="005615D7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tab/>
        <w:t>(c) bruttovetoisuuden lisäys, joka on tarpeen yhdistettyjen komentosiltajärjestelmien tulevaa asentamista varten navigoinnin tai moottorin ohjauksen parantamiseksi</w:t>
      </w:r>
    </w:p>
    <w:p w14:paraId="791428B0" w14:textId="44B87944" w:rsidR="00F3649F" w:rsidRPr="005615D7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tab/>
        <w:t xml:space="preserve">(d) bruttovetoisuuden lisäys, joka on tarpeen sellaisen moottorin tai käyttövoimajärjestelmän tulevaa asentamista tai kunnostamista varten, jonka energiatehokkuus on parempi tai jonka hiilidioksidipäästöt ovat alhaisemmat </w:t>
      </w:r>
      <w:r>
        <w:lastRenderedPageBreak/>
        <w:t>aiempaan tilanteeseen verrattuna, jonka teho ei ylitä kalastusaluksen neuvoston asetuksen (EY) N:o 1224/2009</w:t>
      </w:r>
      <w:r w:rsidR="001D7707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t xml:space="preserve"> 40 artiklan 1 kohdan nojalla aiemmin varmennettua konetehoa ja jonka suurimman lähtötehon kyseisen moottori- tai käyttövoimajärjestelmämallin valmistaja on varmentanut</w:t>
      </w:r>
    </w:p>
    <w:p w14:paraId="3E27BC3F" w14:textId="03A813A5" w:rsidR="00F3649F" w:rsidRDefault="001D7707" w:rsidP="001D7707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tab/>
        <w:t>(e) bulbikeulan korvaaminen tai kunnostaminen edellyttäen, että se parantaa kalastusaluksen kokonaisenergiatehokkuutta.</w:t>
      </w:r>
    </w:p>
    <w:p w14:paraId="27AC75B6" w14:textId="380AE9E9" w:rsidR="00F3649F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7222F3" w14:textId="21CFF8E6" w:rsidR="004C4105" w:rsidRPr="007E7B0C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Mainitkaa valintaa vastaavat oikeusperustan säännökset:</w:t>
      </w:r>
    </w:p>
    <w:p w14:paraId="15BC5AA7" w14:textId="1089BD9D" w:rsidR="004C4105" w:rsidRDefault="004C4105" w:rsidP="000209D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A8F375A" w14:textId="77777777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Ovatko tukikelpoisia kustannuksia ainoastaan sellaiset suorat ja välilliset kustannukset, jotka liittyvät turvallisuuden, työolojen tai energiatehokkuuden parantamiseen tarkoitettuun investointitukeen ja johtavat kalastusaluksen bruttovetoisuuden lisäykseen?</w:t>
      </w:r>
    </w:p>
    <w:p w14:paraId="434B56C8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4CFD64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Kyllä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70A1AAC9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21C979" w14:textId="7A4D0698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Jos vastaus on myöntävä, mainitkaa oikeusperustan asianomaiset säännökset:</w:t>
      </w:r>
    </w:p>
    <w:p w14:paraId="7A111807" w14:textId="3EB9D5D4" w:rsidR="00E26EC9" w:rsidRDefault="00E26EC9" w:rsidP="00E26EC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CD3AD5D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AECD7B" w14:textId="5470C049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34023979"/>
      <w:r>
        <w:rPr>
          <w:rFonts w:ascii="Times New Roman" w:hAnsi="Times New Roman"/>
          <w:sz w:val="24"/>
        </w:rPr>
        <w:t>Esittäkää yksityiskohtainen kuvaus kustannuksista, jotka ovat toimenpiteessä tukikelpoisia. Kuvailkaa, mitkä kustannukset liittyvät turvallisuuden, työolojen tai energiatehokkuuden parantamiseen.</w:t>
      </w:r>
    </w:p>
    <w:bookmarkEnd w:id="3"/>
    <w:p w14:paraId="500DDBE6" w14:textId="77777777" w:rsidR="00E26EC9" w:rsidRDefault="00E26EC9" w:rsidP="00E26EC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0E46043" w14:textId="34AFDE23" w:rsidR="009E1F93" w:rsidRDefault="009E1F93" w:rsidP="00256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4DA7DA" w14:textId="70221BA9" w:rsidR="00651AE7" w:rsidRDefault="00651AE7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Esittäkää yksityiskohtainen kuvaus käyttöön otetuista valvonta- ja täytäntöönpanomekanismeista, jotka on otettu käyttöön suuntaviivojen II osan 3 luvun 3.3 jaksossa vahvistettujen edellytysten täyttymisen varmistamiseksi.</w:t>
      </w:r>
    </w:p>
    <w:p w14:paraId="622D5B44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3193DA" w14:textId="381C85A6" w:rsidR="009E1F93" w:rsidRDefault="00651AE7" w:rsidP="000209D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101F8C7" w14:textId="2656E1D0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21C2B3" w14:textId="284B785A" w:rsidR="004022E9" w:rsidRDefault="004022E9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Esittäkää yksityiskohtainen kuvaus toimenpiteen ominaispiirteistä, mukaan lukien lisätyn kalastuskapasiteetin määrä ja kyseisen lisäyksen tarkoitus.</w:t>
      </w:r>
    </w:p>
    <w:p w14:paraId="17288AC0" w14:textId="1665794B" w:rsidR="00F37EC5" w:rsidRDefault="00F37EC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CC5855" w14:textId="77777777" w:rsidR="004022E9" w:rsidRDefault="004022E9" w:rsidP="004022E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3469BF8" w14:textId="6C951CD2" w:rsidR="005B1262" w:rsidRDefault="000209D0" w:rsidP="004C4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Jos vastaus jo sisältyy johonkin edellisistä kysymyksistä annettuun vastaukseen, viitatkaa kyseiseen vastaukseen.</w:t>
      </w:r>
    </w:p>
    <w:p w14:paraId="76DA6870" w14:textId="77777777" w:rsidR="005B1262" w:rsidRPr="005615D7" w:rsidRDefault="005B1262" w:rsidP="004C4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E57E75" w14:textId="669F2C9C" w:rsidR="00252DEE" w:rsidRDefault="00252DEE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Edellytetäänkö toimenpiteessä, että enimmäistuki-intensiteetti on 40 prosenttia tukikelpoisista kustannuksista?</w:t>
      </w:r>
    </w:p>
    <w:p w14:paraId="11FB7220" w14:textId="7655E068" w:rsidR="009921D5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DEC920" w14:textId="77777777" w:rsidR="009921D5" w:rsidRDefault="009921D5" w:rsidP="009921D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Kyllä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50412">
        <w:rPr>
          <w:rFonts w:ascii="Times New Roman" w:eastAsia="Times New Roman" w:hAnsi="Times New Roman"/>
          <w:b/>
          <w:sz w:val="24"/>
        </w:rPr>
      </w:r>
      <w:r w:rsidR="00D5041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1DD68155" w14:textId="77777777" w:rsidR="009921D5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7F8592" w14:textId="212D1178" w:rsidR="00F13816" w:rsidRDefault="00F13816" w:rsidP="00F13816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Mainitkaa toimenpiteessä sovellettavat enimmäistuki-intensiteetit.</w:t>
      </w:r>
    </w:p>
    <w:p w14:paraId="0733FC72" w14:textId="77777777" w:rsidR="00F13816" w:rsidRDefault="00F13816" w:rsidP="00F1381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52F416A" w14:textId="77777777" w:rsidR="00F13816" w:rsidRDefault="00F13816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7151DF" w14:textId="4B2ACAC5" w:rsidR="007D4B84" w:rsidRDefault="007D4B84" w:rsidP="000209D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125368675"/>
      <w:r>
        <w:rPr>
          <w:rFonts w:ascii="Times New Roman" w:hAnsi="Times New Roman"/>
          <w:sz w:val="24"/>
        </w:rPr>
        <w:t>Mainitkaa oikeusperustan säännökset, joissa toimenpiteen enimmäistuki-intensiteetti vahvistetaan.</w:t>
      </w:r>
    </w:p>
    <w:p w14:paraId="2F5ED9DD" w14:textId="77777777" w:rsidR="007D4B84" w:rsidRDefault="007D4B84" w:rsidP="007D4B8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4"/>
    </w:p>
    <w:p w14:paraId="419E77DE" w14:textId="77777777" w:rsidR="004C4105" w:rsidRDefault="004C410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MUUT TIEDOT</w:t>
      </w:r>
    </w:p>
    <w:p w14:paraId="3BE10B7F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18470FFE" w:rsidR="005615D7" w:rsidRPr="005615D7" w:rsidRDefault="005615D7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Esittäkää kaikki muut tiedot, jotka katsotte olennaisiksi</w:t>
      </w:r>
      <w:r w:rsidR="00A9560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asianomaisen toimenpiteen suuntaviivojen tämän jakson nojalla tehtävän arvioinnin kannalta.</w:t>
      </w:r>
    </w:p>
    <w:p w14:paraId="227C2D0E" w14:textId="77777777" w:rsidR="005615D7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93682A" w14:textId="77777777" w:rsidR="001A718E" w:rsidRPr="00453ADA" w:rsidRDefault="001A718E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1A718E" w:rsidRPr="00453A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FECBB" w14:textId="77777777" w:rsidR="00AF6248" w:rsidRDefault="00AF6248" w:rsidP="005615D7">
      <w:pPr>
        <w:spacing w:after="0" w:line="240" w:lineRule="auto"/>
      </w:pPr>
      <w:r>
        <w:separator/>
      </w:r>
    </w:p>
  </w:endnote>
  <w:endnote w:type="continuationSeparator" w:id="0">
    <w:p w14:paraId="10B8D3D9" w14:textId="77777777" w:rsidR="00AF6248" w:rsidRDefault="00AF6248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73352" w14:textId="77777777" w:rsidR="004C4105" w:rsidRDefault="004C41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614D6" w14:textId="77777777" w:rsidR="004C4105" w:rsidRDefault="004C41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31D7D" w14:textId="77777777" w:rsidR="00AF6248" w:rsidRDefault="00AF6248" w:rsidP="005615D7">
      <w:pPr>
        <w:spacing w:after="0" w:line="240" w:lineRule="auto"/>
      </w:pPr>
      <w:r>
        <w:separator/>
      </w:r>
    </w:p>
  </w:footnote>
  <w:footnote w:type="continuationSeparator" w:id="0">
    <w:p w14:paraId="47ABE73C" w14:textId="77777777" w:rsidR="00AF6248" w:rsidRDefault="00AF6248" w:rsidP="005615D7">
      <w:pPr>
        <w:spacing w:after="0" w:line="240" w:lineRule="auto"/>
      </w:pPr>
      <w:r>
        <w:continuationSeparator/>
      </w:r>
    </w:p>
  </w:footnote>
  <w:footnote w:id="1">
    <w:p w14:paraId="03DEB263" w14:textId="22D2372E" w:rsidR="00794B67" w:rsidRPr="00794B67" w:rsidRDefault="00794B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EUVL C 107, 23.3.2023, s. 1.</w:t>
      </w:r>
    </w:p>
  </w:footnote>
  <w:footnote w:id="2">
    <w:p w14:paraId="51AB2412" w14:textId="77777777" w:rsidR="009B38E1" w:rsidRPr="000345FA" w:rsidRDefault="009B38E1" w:rsidP="00DC3F51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Ks. suuntaviivojen 225–226 kohta, joissa kuvataan vuoden N kansallisen selvityksen toimittaminen ja komission toiminta viimeistään 31. maaliskuuta vuonna N+1.</w:t>
      </w:r>
    </w:p>
  </w:footnote>
  <w:footnote w:id="3">
    <w:p w14:paraId="2D939E5B" w14:textId="60B3151C" w:rsidR="009B38E1" w:rsidRPr="001A2686" w:rsidRDefault="009B38E1" w:rsidP="009B38E1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 w:rsidR="00D50412">
        <w:t xml:space="preserve"> </w:t>
      </w:r>
      <w:r w:rsidRPr="00D50412">
        <w:rPr>
          <w:rFonts w:ascii="Times New Roman" w:hAnsi="Times New Roman"/>
        </w:rPr>
        <w:t>Komission tiedonanto Euroopan parlamentille ja neuvostolle: Suuntaviivat kalastuskapasiteetin ja kalastusmahdollisuuksien välisen tasapainon analysoimiseksi yhteisestä kalastuspolitiikasta annetun Euroopan parlamentin ja neuvoston asetuksen (EU) N:o 1380/2013 22 artiklan mukaisesti</w:t>
      </w:r>
      <w:r>
        <w:rPr>
          <w:rFonts w:ascii="Times New Roman" w:hAnsi="Times New Roman"/>
        </w:rPr>
        <w:t xml:space="preserve"> (</w:t>
      </w:r>
      <w:proofErr w:type="gramStart"/>
      <w:r>
        <w:rPr>
          <w:rFonts w:ascii="Times New Roman" w:hAnsi="Times New Roman"/>
        </w:rPr>
        <w:t>COM(</w:t>
      </w:r>
      <w:proofErr w:type="gramEnd"/>
      <w:r>
        <w:rPr>
          <w:rFonts w:ascii="Times New Roman" w:hAnsi="Times New Roman"/>
        </w:rPr>
        <w:t xml:space="preserve">2014) 545 final).  </w:t>
      </w:r>
    </w:p>
  </w:footnote>
  <w:footnote w:id="4">
    <w:p w14:paraId="7410FC78" w14:textId="0323165B" w:rsidR="001D7707" w:rsidRPr="001D7707" w:rsidRDefault="001D7707" w:rsidP="001D7707">
      <w:pPr>
        <w:pStyle w:val="FootnoteText"/>
        <w:ind w:left="567" w:hanging="425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tab/>
      </w:r>
      <w:r w:rsidRPr="00D50412">
        <w:rPr>
          <w:rFonts w:ascii="Times New Roman" w:hAnsi="Times New Roman"/>
        </w:rPr>
        <w:t>Neuvoston asetus (EY) N:o 1224/2009, annettu 20 päivänä marraskuuta 2009, yhteisön valvontajärjestelmästä, jonka tarkoituksena on varmistaa yhteisen kalastuspolitiikan sääntöjen noudattaminen, asetusten (EY) N:o 847/96, (EY) N:o 2371/2002, (EY) N:o 811/2004, (EY) N:o 768/2005, (EY) N:o 2115/2005, (EY) N:o 2166/2005, (EY) N:o 388/2006, (EY) N:o 509/2007, (EY) N:o 676/2007, (EY) N:o 1098/2007, (EY) N:o 1300/2008 ja (EY) N:o 1342/2008 muuttamisesta sekä asetusten (ETY) N:o 2847/93, (EY) N:o 1627/94 ja (EY) N:o 1966/2006 kumoamisesta (EUVL L 343, 22.12.2009,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FB2F" w14:textId="77777777" w:rsidR="004C4105" w:rsidRDefault="004C41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98DE0" w14:textId="77777777" w:rsidR="004C4105" w:rsidRDefault="004C41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7B32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1"/>
  </w:num>
  <w:num w:numId="2" w16cid:durableId="504127747">
    <w:abstractNumId w:val="8"/>
  </w:num>
  <w:num w:numId="3" w16cid:durableId="1146971053">
    <w:abstractNumId w:val="2"/>
  </w:num>
  <w:num w:numId="4" w16cid:durableId="2129348874">
    <w:abstractNumId w:val="5"/>
  </w:num>
  <w:num w:numId="5" w16cid:durableId="209802491">
    <w:abstractNumId w:val="3"/>
  </w:num>
  <w:num w:numId="6" w16cid:durableId="1414428307">
    <w:abstractNumId w:val="7"/>
  </w:num>
  <w:num w:numId="7" w16cid:durableId="847254142">
    <w:abstractNumId w:val="6"/>
  </w:num>
  <w:num w:numId="8" w16cid:durableId="1951278949">
    <w:abstractNumId w:val="4"/>
  </w:num>
  <w:num w:numId="9" w16cid:durableId="203013697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1000"/>
    <w:rsid w:val="00015284"/>
    <w:rsid w:val="000209D0"/>
    <w:rsid w:val="00047C56"/>
    <w:rsid w:val="000A5405"/>
    <w:rsid w:val="000E2F1C"/>
    <w:rsid w:val="00136501"/>
    <w:rsid w:val="001A718E"/>
    <w:rsid w:val="001D7707"/>
    <w:rsid w:val="001E09E4"/>
    <w:rsid w:val="001F0558"/>
    <w:rsid w:val="00236AD9"/>
    <w:rsid w:val="00252DEE"/>
    <w:rsid w:val="00256D84"/>
    <w:rsid w:val="002F7CEF"/>
    <w:rsid w:val="003649C9"/>
    <w:rsid w:val="00385658"/>
    <w:rsid w:val="00391B8E"/>
    <w:rsid w:val="003E0993"/>
    <w:rsid w:val="004022E9"/>
    <w:rsid w:val="00423C21"/>
    <w:rsid w:val="00453ADA"/>
    <w:rsid w:val="0046170F"/>
    <w:rsid w:val="004629F3"/>
    <w:rsid w:val="004668F6"/>
    <w:rsid w:val="004A1EA0"/>
    <w:rsid w:val="004C4105"/>
    <w:rsid w:val="0050429C"/>
    <w:rsid w:val="005615D7"/>
    <w:rsid w:val="005B1262"/>
    <w:rsid w:val="005E58E1"/>
    <w:rsid w:val="00610BCF"/>
    <w:rsid w:val="00620B6E"/>
    <w:rsid w:val="00651AE7"/>
    <w:rsid w:val="0066443A"/>
    <w:rsid w:val="006663B8"/>
    <w:rsid w:val="006914B0"/>
    <w:rsid w:val="006A5AF5"/>
    <w:rsid w:val="006C7549"/>
    <w:rsid w:val="006D64CF"/>
    <w:rsid w:val="006E20F3"/>
    <w:rsid w:val="006F0468"/>
    <w:rsid w:val="00716026"/>
    <w:rsid w:val="00762348"/>
    <w:rsid w:val="00764F86"/>
    <w:rsid w:val="00792BE3"/>
    <w:rsid w:val="00794B67"/>
    <w:rsid w:val="007D193E"/>
    <w:rsid w:val="007D4B84"/>
    <w:rsid w:val="007E27BD"/>
    <w:rsid w:val="007F69E1"/>
    <w:rsid w:val="008004EF"/>
    <w:rsid w:val="00806E74"/>
    <w:rsid w:val="008131D2"/>
    <w:rsid w:val="00865AD5"/>
    <w:rsid w:val="008C1AC0"/>
    <w:rsid w:val="008C60A0"/>
    <w:rsid w:val="009725CF"/>
    <w:rsid w:val="009921D5"/>
    <w:rsid w:val="009B173D"/>
    <w:rsid w:val="009B38E1"/>
    <w:rsid w:val="009E1F93"/>
    <w:rsid w:val="00A02D5E"/>
    <w:rsid w:val="00A56179"/>
    <w:rsid w:val="00A5779C"/>
    <w:rsid w:val="00A634A8"/>
    <w:rsid w:val="00A67609"/>
    <w:rsid w:val="00A9378D"/>
    <w:rsid w:val="00A93E41"/>
    <w:rsid w:val="00A95600"/>
    <w:rsid w:val="00AA2F26"/>
    <w:rsid w:val="00AC1CE4"/>
    <w:rsid w:val="00AC55F1"/>
    <w:rsid w:val="00AF6248"/>
    <w:rsid w:val="00B05450"/>
    <w:rsid w:val="00B12B1E"/>
    <w:rsid w:val="00B235B8"/>
    <w:rsid w:val="00B30B7F"/>
    <w:rsid w:val="00B37296"/>
    <w:rsid w:val="00B41F35"/>
    <w:rsid w:val="00B92518"/>
    <w:rsid w:val="00BA70E4"/>
    <w:rsid w:val="00BC48E2"/>
    <w:rsid w:val="00BD362C"/>
    <w:rsid w:val="00BD7CCD"/>
    <w:rsid w:val="00C03E01"/>
    <w:rsid w:val="00C300A7"/>
    <w:rsid w:val="00C824B3"/>
    <w:rsid w:val="00C87223"/>
    <w:rsid w:val="00CB185C"/>
    <w:rsid w:val="00CB2D84"/>
    <w:rsid w:val="00CC04F4"/>
    <w:rsid w:val="00CE214E"/>
    <w:rsid w:val="00D45C38"/>
    <w:rsid w:val="00D50412"/>
    <w:rsid w:val="00D54834"/>
    <w:rsid w:val="00D7395D"/>
    <w:rsid w:val="00DC3F51"/>
    <w:rsid w:val="00E26EC9"/>
    <w:rsid w:val="00E610A6"/>
    <w:rsid w:val="00E65A1F"/>
    <w:rsid w:val="00E9558A"/>
    <w:rsid w:val="00EE7462"/>
    <w:rsid w:val="00F13816"/>
    <w:rsid w:val="00F14E84"/>
    <w:rsid w:val="00F241D6"/>
    <w:rsid w:val="00F3649F"/>
    <w:rsid w:val="00F37EC5"/>
    <w:rsid w:val="00F56F54"/>
    <w:rsid w:val="00FD1E57"/>
    <w:rsid w:val="00FD2FC9"/>
    <w:rsid w:val="00FD7A44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customStyle="1" w:styleId="Default">
    <w:name w:val="Default"/>
    <w:rsid w:val="009B38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897</Words>
  <Characters>7817</Characters>
  <Application>Microsoft Office Word</Application>
  <DocSecurity>0</DocSecurity>
  <Lines>200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MERILAINEN Anne (DGT)</cp:lastModifiedBy>
  <cp:revision>8</cp:revision>
  <dcterms:created xsi:type="dcterms:W3CDTF">2024-09-05T15:06:00Z</dcterms:created>
  <dcterms:modified xsi:type="dcterms:W3CDTF">2024-10-10T12:52:00Z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