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t xml:space="preserve"> </w:t>
      </w:r>
      <w:r>
        <w:br/>
      </w:r>
      <w:r>
        <w:rPr>
          <w:rFonts w:ascii="Times New Roman" w:hAnsi="Times New Roman"/>
          <w:b/>
          <w:smallCaps/>
          <w:sz w:val="24"/>
        </w:rPr>
        <w:t>steun voor investeringen in veiligheidsbevorderende uitrusting, met inbegrip van uitrusting waarmee vaartuigen hun visserijzones kunnen uitbreiden, voor de kleinschalige kustvisserij in ultraperifere gebieden</w:t>
      </w:r>
    </w:p>
    <w:p w14:paraId="38E57BE1" w14:textId="3DDF483F" w:rsidR="005615D7" w:rsidRPr="00B41BB2" w:rsidRDefault="00B41BB2" w:rsidP="00B41BB2">
      <w:pPr>
        <w:spacing w:before="360" w:after="0" w:line="240" w:lineRule="auto"/>
        <w:jc w:val="both"/>
        <w:rPr>
          <w:rFonts w:ascii="Times New Roman" w:eastAsia="Times New Roman" w:hAnsi="Times New Roman"/>
          <w:i/>
          <w:sz w:val="24"/>
          <w:szCs w:val="24"/>
        </w:rPr>
      </w:pPr>
      <w:r>
        <w:rPr>
          <w:rFonts w:ascii="Times New Roman" w:hAnsi="Times New Roman"/>
          <w:i/>
          <w:sz w:val="24"/>
        </w:rPr>
        <w:t>De lidstaten moeten dit formulier gebruiken voor de aanmelding van steun voor investeringen in veiligheidsbevorderende uitrusting, met inbegrip van uitrusting waarmee vaartuigen hun visserijzones kunnen uitbreiden, voor de kleinschalige kustvisserij in ultraperifere gebieden zoals omschreven in deel II, hoofdstuk 2, afdeling 2.3,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Vermeld op welk ultraperifeer gebied of welke ultraperifere gebieden als genoemd in artikel 349 VWEU, de maatregel betrekking heeft.</w:t>
      </w:r>
    </w:p>
    <w:p w14:paraId="265C4F2D" w14:textId="338DE00F" w:rsidR="00E934EF" w:rsidRDefault="003F4946" w:rsidP="00B41BB2">
      <w:pPr>
        <w:rPr>
          <w:rFonts w:ascii="Times New Roman" w:eastAsia="Times New Roman" w:hAnsi="Times New Roman"/>
          <w:sz w:val="24"/>
          <w:szCs w:val="24"/>
        </w:rPr>
      </w:pPr>
      <w:r>
        <w:rPr>
          <w:rFonts w:ascii="Times New Roman" w:hAnsi="Times New Roman"/>
          <w:sz w:val="24"/>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Leg uit hoe de maatregel er in de kleinschalige visserij voor zorgt dat economisch, sociaal en ecologisch duurzame visserijactiviteiten worden versterkt, de veiligheid en de arbeidsomstandigheden aan boord worden verbeterd en, indien van toepassing, vissersvaartuigen hun visserijzones kunnen uitbreiden tot 20 mijl uit de kust.</w:t>
      </w:r>
    </w:p>
    <w:p w14:paraId="13824094" w14:textId="6F70CE6A" w:rsidR="0098313D" w:rsidRDefault="00DD59E4" w:rsidP="00D147BD">
      <w:pPr>
        <w:rPr>
          <w:rFonts w:ascii="Times New Roman" w:eastAsia="Times New Roman" w:hAnsi="Times New Roman"/>
          <w:sz w:val="24"/>
          <w:szCs w:val="24"/>
        </w:rPr>
      </w:pPr>
      <w:r>
        <w:rPr>
          <w:rFonts w:ascii="Times New Roman" w:hAnsi="Times New Roman"/>
          <w:sz w:val="24"/>
        </w:rPr>
        <w:t>………………………………………………………………………………………………….</w:t>
      </w:r>
    </w:p>
    <w:p w14:paraId="5BE06FEF" w14:textId="2F516B5C"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in afwijking van punt (47) van de richtsnoeren steun kan worden verleend in het kader van de naleving van verplichte nationale of Unievereisten:</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235C">
        <w:rPr>
          <w:rFonts w:ascii="Times New Roman" w:eastAsia="Times New Roman" w:hAnsi="Times New Roman"/>
          <w:b/>
          <w:sz w:val="24"/>
        </w:rPr>
      </w:r>
      <w:r w:rsidR="00EE235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235C">
        <w:rPr>
          <w:rFonts w:ascii="Times New Roman" w:eastAsia="Times New Roman" w:hAnsi="Times New Roman"/>
          <w:b/>
          <w:sz w:val="24"/>
        </w:rPr>
      </w:r>
      <w:r w:rsidR="00EE235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rFonts w:ascii="Times New Roman" w:eastAsia="Times New Roman" w:hAnsi="Times New Roman"/>
          <w:sz w:val="24"/>
          <w:szCs w:val="24"/>
        </w:rPr>
      </w:pPr>
      <w:r>
        <w:rPr>
          <w:rFonts w:ascii="Times New Roman" w:hAnsi="Times New Roman"/>
          <w:sz w:val="24"/>
        </w:rPr>
        <w:t>Beschrijf de verplichte nationale of Unievereisten en leg uit waarom een dergelijke afwijking noodzakelijk is.</w:t>
      </w:r>
    </w:p>
    <w:p w14:paraId="4C3A6625" w14:textId="77777777" w:rsidR="00D147BD" w:rsidRDefault="00D147BD" w:rsidP="00D147BD">
      <w:pPr>
        <w:rPr>
          <w:rFonts w:ascii="Times New Roman" w:eastAsia="Times New Roman" w:hAnsi="Times New Roman"/>
          <w:sz w:val="24"/>
          <w:szCs w:val="24"/>
        </w:rPr>
      </w:pPr>
      <w:r>
        <w:rPr>
          <w:rFonts w:ascii="Times New Roman" w:hAnsi="Times New Roman"/>
          <w:sz w:val="24"/>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w:t>
      </w:r>
      <w:r>
        <w:rPr>
          <w:rFonts w:ascii="Times New Roman" w:hAnsi="Times New Roman"/>
          <w:i/>
          <w:sz w:val="24"/>
        </w:rPr>
        <w:t>geen</w:t>
      </w:r>
      <w:r>
        <w:rPr>
          <w:rFonts w:ascii="Times New Roman" w:hAnsi="Times New Roman"/>
          <w:sz w:val="24"/>
        </w:rPr>
        <w:t xml:space="preserve"> betrekking heeft op:</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235C">
        <w:rPr>
          <w:rFonts w:ascii="Times New Roman" w:eastAsia="Times New Roman" w:hAnsi="Times New Roman"/>
          <w:b/>
          <w:sz w:val="24"/>
        </w:rPr>
      </w:r>
      <w:r w:rsidR="00EE235C">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de vervanging of modernisering van een hoofd- of hulpmotor van een vissersvaartuig</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235C">
        <w:rPr>
          <w:rFonts w:ascii="Times New Roman" w:eastAsia="Times New Roman" w:hAnsi="Times New Roman"/>
          <w:b/>
          <w:sz w:val="24"/>
        </w:rPr>
      </w:r>
      <w:r w:rsidR="00EE235C">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een verhoging van de brutotonnage van een vissersvaartuig.</w:t>
      </w:r>
    </w:p>
    <w:p w14:paraId="7D6C48C3" w14:textId="528D968F" w:rsidR="007B7FA6" w:rsidRPr="007B7FA6" w:rsidRDefault="007B7FA6" w:rsidP="007B7FA6">
      <w:pPr>
        <w:spacing w:after="0" w:line="240" w:lineRule="auto"/>
        <w:jc w:val="both"/>
        <w:rPr>
          <w:rFonts w:ascii="Times New Roman" w:eastAsia="Times New Roman" w:hAnsi="Times New Roman"/>
          <w:sz w:val="24"/>
          <w:szCs w:val="24"/>
        </w:rPr>
      </w:pPr>
      <w:r>
        <w:rPr>
          <w:rFonts w:ascii="Times New Roman" w:hAnsi="Times New Roman"/>
          <w:i/>
          <w:sz w:val="24"/>
        </w:rPr>
        <w:t>Op grond van de punten (235) en (236) van de richtsnoeren kan steun voor investeringen ter vervanging of modernisering van een hoofd- of hulpmotor van een vissersvaartuig alleen in aanmerking komen op grond van artikel 18 van Verordening (EU) 2021/1139 of op grond van deel II, hoofdstuk 3, afdeling 3.2, van deze richtsnoeren</w:t>
      </w:r>
      <w:r>
        <w:rPr>
          <w:rFonts w:ascii="Times New Roman" w:hAnsi="Times New Roman"/>
          <w:i/>
          <w:color w:val="000000"/>
          <w:sz w:val="23"/>
        </w:rPr>
        <w:t xml:space="preserve"> en kan steun voor investeringen die leiden tot een verhoging van de brutotonnage van een vissersvaartuig, alleen in aanmerking komen op grond van artikel 19 van Verordening (EU) 2021/1139 of op grond van deel II, hoofdstuk 3, afdeling 3.3, van de richtsnoeren.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Geef een nadere beschrijving van de kosten die in het kader van de maatregel in aanmerking komen.</w:t>
      </w:r>
    </w:p>
    <w:p w14:paraId="74434B5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maximale steunintensiteit niet hoger is dan 100 % van de in aanmerking komende kosten.</w:t>
      </w:r>
    </w:p>
    <w:p w14:paraId="183319C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74D79D94" w14:textId="77777777" w:rsidR="00AF6D28" w:rsidRDefault="00AF6D28" w:rsidP="00AF6D28">
      <w:pPr>
        <w:rPr>
          <w:rFonts w:ascii="Times New Roman" w:eastAsia="Times New Roman" w:hAnsi="Times New Roman"/>
          <w:sz w:val="24"/>
          <w:szCs w:val="24"/>
        </w:rPr>
      </w:pPr>
      <w:r>
        <w:rPr>
          <w:rFonts w:ascii="Times New Roman" w:hAnsi="Times New Roman"/>
          <w:sz w:val="24"/>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Pr>
          <w:rFonts w:ascii="Times New Roman" w:hAnsi="Times New Roman"/>
          <w:sz w:val="24"/>
        </w:rPr>
        <w:t>Geef aan in welke bepaling(en) van de rechtsgrondslag de maximale steunintensiteit(en) in het kader van de maatregel is (zijn) vermeld.</w:t>
      </w:r>
    </w:p>
    <w:p w14:paraId="0E1683EF" w14:textId="1CD5C68A" w:rsidR="003F1D62" w:rsidRPr="001E103F" w:rsidRDefault="0098313D" w:rsidP="007B7FA6">
      <w:pPr>
        <w:rPr>
          <w:rFonts w:ascii="Times New Roman" w:eastAsia="Times New Roman" w:hAnsi="Times New Roman"/>
          <w:sz w:val="24"/>
          <w:szCs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B749F"/>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235C"/>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2</Pages>
  <Words>442</Words>
  <Characters>2792</Characters>
  <Application>Microsoft Office Word</Application>
  <DocSecurity>0</DocSecurity>
  <Lines>63</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STOOP Peter (DGT)</cp:lastModifiedBy>
  <cp:revision>73</cp:revision>
  <dcterms:created xsi:type="dcterms:W3CDTF">2023-01-05T14:31:00Z</dcterms:created>
  <dcterms:modified xsi:type="dcterms:W3CDTF">2024-08-07T10:03:00Z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