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Obrazec za dodatne informacije o</w:t>
      </w:r>
      <w:r>
        <w:rPr>
          <w:rFonts w:ascii="Times New Roman" w:hAnsi="Times New Roman"/>
          <w:b/>
          <w:smallCaps/>
          <w:sz w:val="24"/>
        </w:rPr>
        <w:br/>
        <w:t>pomoči za trajno prenehanje ribolovnih dejavnosti</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Ta obrazec morajo države članice uporabiti za priglasitev vsake državne pomoči za trajno prenehanje ribolovnih dejavnosti, kot je opisana v oddelku 3.4 poglavja 3 dela II Smernic o državni pomoči v sektorju ribištva in akvakulture</w:t>
      </w:r>
      <w:r w:rsidR="002F32FD">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(v nadaljnjem besedilu: smernice).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Potrdite, da ukrep določa, da ribiška plovila Unije, v zvezi s katerimi je dodeljena pomoč, ne bodo prenesena v državo zunaj Unije ali da njihova zastava ne bo zamenjana za zastavo države zunaj Unije najmanj pet let po končnem plačilu pomoči.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Če ukrep zajema samo razrez ribiških plovil, se to vprašanje ne uporablja.</w:t>
      </w:r>
    </w:p>
    <w:p w14:paraId="36312EFD" w14:textId="77777777" w:rsidR="00114BDD" w:rsidRPr="00056050"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je prenehanje predvideno kot instrument akcijskega načrta iz člena 22(4) Uredbe (EU) št.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Če se ukrep nanaša na gospodarske vidike ali druge vidike v zvezi z ohranjanjem morskih bioloških virov v skladu s točko (277) Smernic, se to vprašanje ne uporablja. Prav tako se to vprašanje ne uporablja, če se ukrep nanaša na ribolov v celinskih vodah.</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bo trajno prenehanje ribolovnih dejavnosti doseženo z:</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(a) razrezom ribiškega plovila</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(b) umikom ribiških plovil iz obratovanja in njihovim naknadnim opremljanjem za dejavnosti, ki niso gospodarski ribolov</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(c) obojim, tj. trajno prenehanje dejavnosti bo doseženo z razrezom ribiškega plovila ter njegovim umikom iz obratovanja in naknadnim opremljanjem</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Navedite določbe pravne podlage, ki odražajo vašo izbiro.</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Potrdite, da ukrep določa, da morajo biti ribiška plovila registrirana kot aktivna in so vsaj 90 dni na leto v zadnjih dveh koledarskih letih pred datumom vložitve vloge za pomoč izvajala ribolovne dejavnosti na morju.</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 xml:space="preserve">Če je zadevna ribolovna dejavnost take narave, da je ni mogoče izvajati v celotnem koledarskem letu, se lahko minimalna zahteva glede ribolovne dejavnosti iz točke (275)(c) smernic zmanjša, če je razmerje med številom dni ribolovne dejavnosti in številom ribolovnih dni enako razmerju med številom dni ribolovne dejavnosti in številom koledarskih dni na leto za podjetja, ki prejmejo pomoč, ki izvajajo ribolov celo leto.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 takem primeru podrobno opišite naravo ribolovne dejavnosti, na katero se nanaša ukrep, pojasnite, kako je bila izračunana minimalna zahteva za ribolovno dejavnost, in opredelite ustrezne določbe v pravni podlagi.</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Če se ukrep nanaša na ribolov v celinskih vodah in ribiška plovila lovijo več vrst, za katere je dovoljeno različno število ribolovnih dni v celinskih vodah, je število ribolovnih dni za izračun razmerja, kot je določeno v točki (276) smernic, povprečje števila ribolovnih dni, ki se navedenemu plovilu dovolijo za ulov. Pri tem upoštevajte, da najmanjše število dni ribolovnih dejavnosti, ki izhajajo iz take prilagoditve, v nobenem primeru ne sme biti manjše od 30 dni ali večje od 90 dni.</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V takem primeru podrobno opišite pravni in/ali upravni okvir, ki se uporablja za zadevni ribolov v celinskih vodah, pojasnite, kako je bila izračunana minimalna zahteva za ribolovno dejavnost, in opredelite ustrezne določbe pravne podlage.</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ukrep določa, da bo enakovredna ribolovna zmogljivost trajno izbrisana iz registra ribiške flote Unije in da taka zmogljivost ne bo nadomeščena.</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se ukrep nanaša na ribolov v celinskih vodah, potrdite, da se pogoj uporablja s sklicevanjem na ustrezni nacionalni register flote, če je na voljo v skladu z nacionalnim pravom, namesto na register flote Unije.</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na vprašanje 5 ali 5.1 DA, navedite ustrezne določbe pravne podlage.</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ukrep določa, da se ustrezna dovoljenja za gospodarski ribolov in dovoljenja za ribolov trajno odvzamejo.</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Podjetja, ki prejmejo pomoč, pet let po prejemu pomoči ne smejo registrirati nobenega ribiškega plovila.</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se ukrep nanaša na ribolov v celinskih vodah, potrdite, da se pogoj uporablja s sklicevanjem na ustrezni nacionalni register flote, če je na voljo v skladu z nacionalnim pravom, namesto na register flote Unije.</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na vprašanje 7 ali 7.1 DA, navedite ustrezne določbe pravne podlage.</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se ukrep nanaša na gospodarske vidike ali druge vidike v zvezi z ohranjanjem morskih bioloških virov v skladu s točko (277) Smernic ali če se ukrep nanaša na ribolov v celinskih vodah v skladu s točko (280) smernic, izpolnite naslednje:</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Pr>
          <w:rFonts w:ascii="Times New Roman" w:hAnsi="Times New Roman"/>
          <w:sz w:val="24"/>
        </w:rPr>
        <w:t>Podrobno pojasnite okoliščine, ki utemeljujejo trajno prenehanje dejavnosti</w:t>
      </w:r>
      <w:bookmarkEnd w:id="2"/>
      <w:r>
        <w:rPr>
          <w:rFonts w:ascii="Times New Roman" w:hAnsi="Times New Roman"/>
          <w:sz w:val="24"/>
        </w:rPr>
        <w:t xml:space="preserve">, pri čemer na primer navedite zadevne gospodarske ali </w:t>
      </w:r>
      <w:proofErr w:type="spellStart"/>
      <w:r>
        <w:rPr>
          <w:rFonts w:ascii="Times New Roman" w:hAnsi="Times New Roman"/>
          <w:sz w:val="24"/>
        </w:rPr>
        <w:t>okoljske</w:t>
      </w:r>
      <w:proofErr w:type="spellEnd"/>
      <w:r>
        <w:rPr>
          <w:rFonts w:ascii="Times New Roman" w:hAnsi="Times New Roman"/>
          <w:sz w:val="24"/>
        </w:rPr>
        <w:t xml:space="preserve"> vidike.</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Navedite cilj ukrepa:</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ohranitveni ukrepi, podprti z znanstvenimi dokazi</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gospodarski vidiki</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t xml:space="preserve">V primeru ohranitvenih ukrepov predložite povzetek znanstvenih dokazov, ki podpirajo ukrep.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 primeru gospodarskih vidikov podrobno pojasnite ekonomsko utemeljitev trajnega prenehanja dejavnosti (razen če je to že opisano v odgovoru na vprašanje </w:t>
      </w:r>
      <w:r w:rsidRPr="001E103F">
        <w:rPr>
          <w:rFonts w:ascii="Times New Roman" w:eastAsia="Times New Roman" w:hAnsi="Times New Roman"/>
          <w:sz w:val="24"/>
        </w:rPr>
        <w:fldChar w:fldCharType="begin"/>
      </w:r>
      <w:r w:rsidRPr="001E103F">
        <w:rPr>
          <w:rFonts w:ascii="Times New Roman" w:eastAsia="Times New Roman" w:hAnsi="Times New Roman"/>
          <w:sz w:val="24"/>
        </w:rPr>
        <w:instrText xml:space="preserve"> REF _Ref125107693 \r \h  \* MERGEFORMAT </w:instrText>
      </w:r>
      <w:r w:rsidRPr="001E103F">
        <w:rPr>
          <w:rFonts w:ascii="Times New Roman" w:eastAsia="Times New Roman" w:hAnsi="Times New Roman"/>
          <w:sz w:val="24"/>
        </w:rPr>
      </w:r>
      <w:r w:rsidRPr="001E103F">
        <w:rPr>
          <w:rFonts w:ascii="Times New Roman" w:eastAsia="Times New Roman" w:hAnsi="Times New Roman"/>
          <w:sz w:val="24"/>
        </w:rPr>
        <w:fldChar w:fldCharType="separate"/>
      </w:r>
      <w:r w:rsidR="00814101">
        <w:rPr>
          <w:rFonts w:ascii="Times New Roman" w:eastAsia="Times New Roman" w:hAnsi="Times New Roman"/>
          <w:sz w:val="24"/>
        </w:rPr>
        <w:t>8</w:t>
      </w:r>
      <w:r w:rsidR="001E50D6">
        <w:rPr>
          <w:rFonts w:ascii="Times New Roman" w:eastAsia="Times New Roman" w:hAnsi="Times New Roman"/>
          <w:sz w:val="24"/>
        </w:rPr>
        <w:t>.1</w:t>
      </w:r>
      <w:r w:rsidRPr="001E103F">
        <w:rPr>
          <w:rFonts w:ascii="Times New Roman" w:eastAsia="Times New Roman" w:hAnsi="Times New Roman"/>
          <w:sz w:val="24"/>
        </w:rPr>
        <w:fldChar w:fldCharType="end"/>
      </w:r>
      <w:r>
        <w:rPr>
          <w:rFonts w:ascii="Times New Roman" w:hAnsi="Times New Roman"/>
          <w:sz w:val="24"/>
        </w:rPr>
        <w:t xml:space="preserve">).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V zvezi z ribolovom v celinskih vodah potrdite, da se pomoč v okviru ukrepa lahko dodeli samo upravičenim podjetjem, ki delujejo izključno v celinskih vodah.</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Potrdite, da ukrep določa, da se morajo podjetja, ki prejmejo pomoč, zavezati, da ne bodo povečala svoje aktivne ribolovne zmogljivosti od vložitve vloge za pomoč do pet let po izplačilu pomoči.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Potrdite, da ukrep določa, da se podjetja, ki prejmejo pomoč, tudi zavežejo, da pomoči ne bodo uporabila za zamenjavo ali posodobitev svojih motorjev, razen če so izpolnjeni pogoji iz člena 18 Uredbe (EU) 2021/1139</w:t>
      </w:r>
      <w:r w:rsidR="00814101">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Če je država članica </w:t>
      </w:r>
      <w:proofErr w:type="spellStart"/>
      <w:r>
        <w:rPr>
          <w:rFonts w:ascii="Times New Roman" w:hAnsi="Times New Roman"/>
          <w:sz w:val="24"/>
        </w:rPr>
        <w:t>priglasiteljica</w:t>
      </w:r>
      <w:proofErr w:type="spellEnd"/>
      <w:r>
        <w:rPr>
          <w:rFonts w:ascii="Times New Roman" w:hAnsi="Times New Roman"/>
          <w:sz w:val="24"/>
        </w:rPr>
        <w:t xml:space="preserve"> eno leto pred priglasitvijo dodelila kakršno koli pomoč ali v okviru Evropskega sklada za pomorstvo in ribištvo (ESPR) ali Evropskega sklada za pomorstvo, ribištvo in akvakulturo (ESPRA) izvedla operacije, ki so privedle do povečanja ribolovne zmogljivosti v morskem bazenu, ali kadar je take operacije vključila v nacionalni program ESPRA, podrobno pojasnite, v kolikšni meri je pomoč za trajno prenehanje dejavnosti v istem morskem bazenu združljiva s takim povečanjem ribolovne zmogljivosti, ter dokažite upravičenost in nujnost pomoči.</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Če se ukrep nanaša na ribolov v celinskih vodah, se to vprašanje ne uporablja.</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Potrdite, da so upravičenci do pomoči:</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(a) lastniki ribiških plovil Unije, na katere se nanaša trajno prenehanje ribolovnih dejavnosti</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(b) ribiči, ki so vsaj 90 dni na leto v zadnjih dveh koledarskih letih pred letom vložitve vloge za pomoč delali na krovu ribiškega plovila Unije, na katerega se nanaša trajno prenehanje ribolovnih dejavnosti</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(c) oboji, tj. kategoriji upravičencev vključujeta (a) in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Navedite določbe pravne podlage, ki odražajo vašo izbiro.</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Pojasnite, kako je bilo izračunano zgoraj določeno najmanjše število 90 dni za ribiče, če bi se za zadevna ribiška plovila uporabljale kakršne koli prilagoditve, ob upoštevanju točk (276), (281) in (283) smernic.</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ukrep določa, da morajo ribiči pet let po prejemu pomoči prenehati z vsemi ribolovnimi dejavnostmi in da se bodo neupravičeno izplačani zneski pomoči, če se ribič vrne k ribolovnim dejavnostim v tem obdobju, izterjali v znesku, sorazmernem z obdobjem, v katerem navedeni pogoj ni bil izpolnjen.</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Podrobno opišite vzpostavljene mehanizme nadzora in izvrševanja za zagotavljanje skladnosti s pogoji, povezanimi s trajnim prenehanjem dejavnosti, vključno z zagotavljanjem, da je zmogljivost trajno umaknjena, in da so zadevno plovilo ali zadevni ribiči prenehali izvajati kakršne koli ribolovne dejavnosti na podlagi ukrepa. Upoštevajte, da morajo države članice, če ni nacionalnega registra flote, ki se uporablja za celinske vode, tudi dokazati, da taki mehanizmi nadzora in izvrševanja zagotavljajo upravljanje zmogljivosti, ki je primerljivo z upravljanjem, ki se uporablja za morski ribolov.</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je treba upravičene stroške izračunati na ravni posameznega upravičenca.</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Potrdite upravičene stroške:</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v primeru razreza ribiškega plovila:</w:t>
      </w:r>
    </w:p>
    <w:p w14:paraId="33430DB0" w14:textId="3EC235E0" w:rsidR="00E0325E"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 xml:space="preserve"> </w:t>
      </w:r>
      <w:r w:rsidR="00056050">
        <w:tab/>
      </w:r>
      <w:r>
        <w:rPr>
          <w:rFonts w:ascii="Times New Roman" w:hAnsi="Times New Roman"/>
          <w:sz w:val="24"/>
        </w:rPr>
        <w:t xml:space="preserve">stroški razreza ribiškega plovila </w:t>
      </w:r>
    </w:p>
    <w:p w14:paraId="459E0D44" w14:textId="3B99B7FA" w:rsidR="006C0203" w:rsidRPr="001E103F"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w:t>
      </w:r>
      <w:r w:rsidR="00056050">
        <w:rPr>
          <w:rFonts w:ascii="Times New Roman" w:hAnsi="Times New Roman"/>
          <w:sz w:val="24"/>
        </w:rPr>
        <w:tab/>
      </w:r>
      <w:r>
        <w:rPr>
          <w:rFonts w:ascii="Times New Roman" w:hAnsi="Times New Roman"/>
          <w:sz w:val="24"/>
        </w:rPr>
        <w:t>nadomestilo za izgubo vrednosti razrezanih ribiških plovil, izmerjene kot njihova trenutna prodajna vrednost</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v primeru umika iz obratovanja in naknadnega opremljanja za dejavnosti, ki niso komercialni ribolov: stroški naložbe, povezani s predelavo ribiškega plovila za namene drugih gospodarskih dejavnosti</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stroški, povezani z ribiči, ki lahko vključujejo tudi obvezne socialne stroške, nastale zaradi  trajnega prenehanja dejavnosti, če niso zajeti v drugih nacionalnih določbah v primeru prenehanja poslovne dejavnosti</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Navedite določbe pravne podlage, ki odražajo vašo izbiro.</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Podrobno opišite upravičene stroške.</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Potrdite, da je treba od upravičenih stroškov odšteti vse stroške, ki ne nastanejo zaradi trajnega prenehanje ribolovnih dejavnosti, in bi jih podjetje, ki prejme pomoč, imelo tudi sicer.</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56050">
        <w:rPr>
          <w:rFonts w:ascii="Times New Roman" w:eastAsia="Times New Roman" w:hAnsi="Times New Roman"/>
          <w:sz w:val="24"/>
        </w:rPr>
      </w:r>
      <w:r w:rsidR="0005605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56050">
        <w:rPr>
          <w:rFonts w:ascii="Times New Roman" w:eastAsia="Times New Roman" w:hAnsi="Times New Roman"/>
          <w:sz w:val="24"/>
        </w:rPr>
      </w:r>
      <w:r w:rsidR="0005605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Če je odgovor DA, opredelite ustrezne stroške. </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Potrdite, da ukrep določa, da največja intenzivnost pomoči ne presega 100 % upravičenih stroškov.</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56050">
        <w:rPr>
          <w:rFonts w:ascii="Times New Roman" w:eastAsia="Times New Roman" w:hAnsi="Times New Roman"/>
          <w:b/>
          <w:sz w:val="24"/>
        </w:rPr>
      </w:r>
      <w:r w:rsidR="0005605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Navedite največje intenzivnosti pomoči, ki se uporabljajo v okviru ukrepa.</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Navedite določbe pravne podlage, ki določajo največje intenzivnosti pomoči ukrepa.</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Upoštevajte, da lahko Komisija sprejme druge načine izračuna, če je prepričana, da temeljijo na objektivnih merilih in ne povzročajo čezmernega nadomestila nobenemu podjetju, ki prejme pomoč.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Če namerava država članica </w:t>
      </w:r>
      <w:proofErr w:type="spellStart"/>
      <w:r>
        <w:rPr>
          <w:rFonts w:ascii="Times New Roman" w:hAnsi="Times New Roman"/>
          <w:sz w:val="24"/>
        </w:rPr>
        <w:t>priglasiteljica</w:t>
      </w:r>
      <w:proofErr w:type="spellEnd"/>
      <w:r>
        <w:rPr>
          <w:rFonts w:ascii="Times New Roman" w:hAnsi="Times New Roman"/>
          <w:sz w:val="24"/>
        </w:rPr>
        <w:t xml:space="preserve"> predlagati drugo metodo izračuna, navedite razloge, zakaj metoda iz smernic v zadevnem primeru ni primerna, in pojasnite, kako druga metoda izračuna bolje obravnava ugotovljene potrebe.</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t xml:space="preserve">Kot prilogo k priglasitvi predložite drugo predlagano metodologijo skupaj z dokazom, da temelji na objektivnih merilih in ne povzroča čezmernega nadomestila nobenemu upravičencu. </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DRUGE INFORMACIJE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Navedite vse druge informacije, ki se vam zdijo pomembne za oceno ukrepa iz tega oddelka smernic.</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1375491A" w:rsidR="002F32FD" w:rsidRPr="002F32FD" w:rsidRDefault="002F32FD">
      <w:pPr>
        <w:pStyle w:val="FootnoteText"/>
      </w:pPr>
      <w:r>
        <w:rPr>
          <w:rStyle w:val="FootnoteReference"/>
        </w:rPr>
        <w:footnoteRef/>
      </w:r>
      <w:r>
        <w:t xml:space="preserve"> </w:t>
      </w:r>
      <w:r w:rsidR="00056050">
        <w:tab/>
      </w:r>
      <w:r>
        <w:rPr>
          <w:rFonts w:ascii="Times New Roman" w:hAnsi="Times New Roman"/>
        </w:rPr>
        <w:t>UL C 107, 23.3.2023, str. 1.</w:t>
      </w:r>
    </w:p>
  </w:footnote>
  <w:footnote w:id="2">
    <w:p w14:paraId="502011EF" w14:textId="158231EE"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t xml:space="preserve"> </w:t>
      </w:r>
      <w:r w:rsidR="00056050">
        <w:tab/>
      </w:r>
      <w:r>
        <w:rPr>
          <w:rFonts w:ascii="Times New Roman" w:hAnsi="Times New Roman"/>
          <w:color w:val="000000" w:themeColor="text1"/>
        </w:rPr>
        <w:t xml:space="preserve">Uredba (EU) 2021/1139 Evropskega parlamenta in Sveta z dne 7. julija 2021 o vzpostavitvi Evropskega sklada za pomorstvo, ribištvo in akvakulturo ter spremembi Uredbe (EU) 2017/1004 (UL L 247, 13.7.2021, str.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56050"/>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7</Pages>
  <Words>1729</Words>
  <Characters>10602</Characters>
  <Application>Microsoft Office Word</Application>
  <DocSecurity>0</DocSecurity>
  <Lines>302</Lines>
  <Paragraphs>141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PECNIK KRZIC Simona (DGT)</cp:lastModifiedBy>
  <cp:revision>66</cp:revision>
  <dcterms:created xsi:type="dcterms:W3CDTF">2023-01-05T14:31:00Z</dcterms:created>
  <dcterms:modified xsi:type="dcterms:W3CDTF">2024-07-15T07:15:00Z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