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Допълнителен информационен лист относно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помощта за инвестиции в оборудване, което допринася за повишаване на безопасността, включително оборудване, даващо възможност на корабите да разширяват риболовните си зони за дребномащабен крайбрежен риболов в най-отдалечените региони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Държавите членки трябва да използват настоящия формуляр за подаването на уведомление за всяка помощ за инвестиции в оборудване, което допринася за повишаване на безопасността, включително оборудване, което дава възможност на риболовните кораби да разширяват риболовните си зони за дребномащабен крайбрежен риболов в най-отдалечените региони, както е описано в част II, глава 2, раздел 2.3 от Насоките за държавна помощ за рибарството и аквакултурите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(„Насоките“).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уточнете най-отдалечения(те) регион(и), посочен(и) в член 349 от ДФЕС, засегнат(и) от мярката.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обяснете как мярката допринася за укрепване на устойчивите в икономическо, социално и екологично отношение риболовни дейности, за подобряване на безопасността и условията на труд на борда, и когато е приложимо, дава възможност на риболовните кораби да разширят риболовните си зони до 20 мили от брега за дребномащабен крайбрежен риболов.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потвърдете дали чрез дерогация от точка 47 от насоките помощ може да бъде предоставена за изпълнение на задължителни изисквания на Съюза или национални изисквания: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да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не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опишете съответните задължителни изисквания на Съюза или национални изисквания и дайте обосновка защо е необходима такава дерогация.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потвърдете, че мярката </w:t>
      </w:r>
      <w:r>
        <w:rPr>
          <w:sz w:val="24"/>
          <w:i/>
          <w:rFonts w:ascii="Times New Roman" w:hAnsi="Times New Roman"/>
        </w:rPr>
        <w:t xml:space="preserve">не</w:t>
      </w:r>
      <w:r>
        <w:rPr>
          <w:sz w:val="24"/>
          <w:rFonts w:ascii="Times New Roman" w:hAnsi="Times New Roman"/>
        </w:rPr>
        <w:t xml:space="preserve"> е свързана със: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замяна или модернизация на основен или спомагателен двигател на риболовен кораб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увеличение в брутния тонаж на риболовен кораб.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Моля, обърнете внимание, че съгласно точки 235 и 236 от Насоките </w:t>
      </w:r>
      <w:r>
        <w:rPr>
          <w:i/>
          <w:color w:val="000000"/>
          <w:sz w:val="23"/>
          <w:rFonts w:ascii="Times New Roman" w:hAnsi="Times New Roman"/>
        </w:rPr>
        <w:t xml:space="preserve">помощта за инвестиции, свързани със замяна или модернизация на основен или спомагателен двигател на риболовен кораб, може да бъде допустима само съгласно член 18 от Регламент (ЕС) 2021/1139 или съгласно част II, глава 3, раздел 3.2 от Насоките;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и че помощ за инвестиции, водещи до увеличение в брутния тонаж на риболовен кораб, може да бъде допустима само съгласно член 19 от Регламент (ЕС) 2021/1139 или съгласно част II, глава 3, раздел 3.3 от Насоките.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 да предоставите подробно описание на разходите, които са допустими съгласно мярката.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потвърдете, че мярката предвижда, че максималният интензитет на помощта не надхвърля 100 % от допустимите разходи.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посочете максималния(ите) интензитет(и) на помощта, приложим(и) по мярката.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Моля, посочете разпоредбата(ите) от правното основание, в която(които) е(са) определен(и) максималният(ите) интензитет(и) на помощта за мярката.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ДРУГА ИНФОРМАЦИЯ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ОВ C 107, 23.3.2023 г., стр.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bg-BG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bg-BG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bg-BG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