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2.2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o podpoře na obnovu rybářského loďstva v nejvzdálenějších regionech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Tento formulář musí členské státy používat pro oznamování podpory na obnovu rybářského loďstva v nejvzdálenějších regionech, jak je popsáno v oddíle 2.2 kapitoly 2 části II pokynů ke státní podpoře v odvětví rybolovu a akvakultury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(dále jen „pokyny“).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Uveďte nejvzdálenější region uvedený (nejvzdálenější regiony uvedené) v článku 349 SFEU, kterého (kterých) se opatření týká.</w:t>
      </w:r>
    </w:p>
    <w:p w14:paraId="28E14E59" w14:textId="2BBB07BE" w:rsidR="00A52AE4" w:rsidRPr="001E103F" w:rsidRDefault="00A52AE4" w:rsidP="000D36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nová rybářská plavidla splňují předpisy Unie a vnitrostátní předpisy o hygienických, zdravotních, bezpečnostních a pracovních podmínkách pro práci na palubě rybářských plavidel a mají parametry rybářských plavidel.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4A362DF2" w14:textId="758D29D9" w:rsidR="00E934EF" w:rsidRDefault="00E934EF" w:rsidP="00617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v den podání žádosti o podporu musí mít přijímající podnik hlavní místo své registrace v nejvzdálenějším regionu, kde bude nové plavidlo registrováno.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</w:t>
      </w:r>
      <w:r>
        <w:rPr>
          <w:sz w:val="24"/>
          <w:color w:val="000000"/>
          <w:rFonts w:ascii="Times New Roman" w:hAnsi="Times New Roman"/>
        </w:rPr>
        <w:t xml:space="preserve">uveďte hlavní místo registrace:</w:t>
      </w:r>
    </w:p>
    <w:p w14:paraId="1B2867AB" w14:textId="2CC93EA0" w:rsidR="00E934EF" w:rsidRDefault="00E934EF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Podle bodu 223 pokynů musí v den poskytnutí podpory zpráva vypracovaná před tímto dnem v souladu s čl. 22 odst. 2 a 3 nařízení (EU) č. 1380/2013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prokázat, že ve skupině loďstva nejvzdálenějšího regionu, do něhož bude nové plavidlo patřit, existuje vyváženost mezi jeho rybolovnou kapacitou a jeho rybolovnými právy (dále jen „vnitrostátní zpráva“).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 této souvislosti odpovězte na následující otázky: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Kdy byla vypracována nejnovější vnitrostátní zpráva před datem poskytnutí podpory?</w:t>
      </w:r>
    </w:p>
    <w:p w14:paraId="64815BBF" w14:textId="6B6D4444" w:rsidR="00E51CD7" w:rsidRDefault="00A52AE4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9253679"/>
      <w:r>
        <w:rPr>
          <w:sz w:val="24"/>
          <w:rFonts w:ascii="Times New Roman" w:hAnsi="Times New Roman"/>
        </w:rPr>
        <w:t xml:space="preserve">Uveďte odkaz na nejnovější vnitrostátní zprávu nebo ji přiložte k oznámení.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3"/>
          <w:szCs w:val="23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Podle bodu 225 pokynů potvrďte, že </w:t>
      </w:r>
      <w:r>
        <w:rPr>
          <w:color w:val="000000"/>
          <w:sz w:val="23"/>
          <w:rFonts w:ascii="Times New Roman" w:hAnsi="Times New Roman"/>
        </w:rPr>
        <w:t xml:space="preserve">jsou splněny následující podmínky pro poskytnutí jakékoli podpory:</w:t>
      </w:r>
      <w:r>
        <w:rPr>
          <w:color w:val="000000"/>
          <w:sz w:val="23"/>
          <w:rFonts w:ascii="Times New Roman" w:hAnsi="Times New Roman"/>
        </w:rPr>
        <w:t xml:space="preserve"> </w:t>
      </w:r>
    </w:p>
    <w:p w14:paraId="7C1350B0" w14:textId="77777777" w:rsidR="009A3E77" w:rsidRPr="009A3E77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  <w:lang w:val="en-IE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Byla vnitrostátní zpráva předložena do 31. května roku N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národní zpráva předložená v roce N, a zejména posouzení vyváženosti v ní obsažené, byla vypracována na základě biologických a hospodářských ukazatelů a ukazatelů využívání plavidel podle společných pokynů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uvedených v čl. 22 odst. 2 nařízení (EU) č. 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Podle bodu 224 pokynů nelze podporu poskytnout, pokud vnitrostátní zpráva, a zejména posouzení vyváženosti v ní obsažené, nebyla vypracována na základě biologických a hospodářských ukazatelů a ukazatelů využívání plavidel podle společných pokynů uvedených v čl. 22 odst. 2 nařízení (EU) č. 1380/2013.</w:t>
      </w:r>
      <w:r>
        <w:rPr>
          <w:i/>
          <w:sz w:val="23"/>
        </w:rPr>
        <w:t xml:space="preserve">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Prokazuje uvedená vnitrostátní zpráva předložená v roce N, že ve skupině loďstva, do níž bude nové plavidlo patřit, existuje vyváženost mezi rybolovnou kapacitou a rybolovnými právy?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Vysvětlete, jak byla vnitrostátní zpráva při navrhování opatření zohledněna a jak je dosaženo vyváženosti.</w:t>
      </w:r>
    </w:p>
    <w:p w14:paraId="7BEBB8FB" w14:textId="222F2DAD" w:rsidR="009C1330" w:rsidRDefault="009C1330" w:rsidP="00C8226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Podle bodu 226 pokynů potvrďte, že Komise do 31. března roku N+1 nezpochybnila: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sz w:val="24"/>
          <w:rFonts w:ascii="Times New Roman" w:eastAsia="Times New Roman" w:hAnsi="Times New Roman"/>
        </w:rPr>
      </w:r>
      <w:r w:rsidR="00DE0181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závěr národní zprávy předložené v roce N;</w:t>
      </w:r>
      <w:r>
        <w:rPr>
          <w:sz w:val="24"/>
          <w:rFonts w:ascii="Times New Roman" w:hAnsi="Times New Roman"/>
        </w:rPr>
        <w:t xml:space="preserve">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sz w:val="24"/>
          <w:rFonts w:ascii="Times New Roman" w:eastAsia="Times New Roman" w:hAnsi="Times New Roman"/>
        </w:rPr>
      </w:r>
      <w:r w:rsidR="00DE0181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(b) posouzení vyváženosti obsažené ve vnitrostátní zprávě předložené v roce N.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může být poskytnuta na základě vnitrostátní zprávy předložené v roce N pouze do 31. prosince roku N+1, tj. roku následujícího po roce předložení zprávy.</w:t>
      </w:r>
      <w:r>
        <w:rPr>
          <w:sz w:val="24"/>
          <w:rFonts w:ascii="Times New Roman" w:hAnsi="Times New Roman"/>
        </w:rPr>
        <w:t xml:space="preserve">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90473FA" w14:textId="0C49617E" w:rsidR="003F1D62" w:rsidRDefault="00E51CD7" w:rsidP="007056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stropy rybolovné kapacity každého členského státu a každé skupiny loďstva nejvzdálenějších regionů stanovené v příloze II nařízení (EU) č. 1380/2013, se zohledněním jakéhokoli možného snížení těchto stropů podle čl. 22 odst. 6 uvedeného nařízení, nebudou v žádném okamžiku překročeny.</w:t>
      </w:r>
      <w:r>
        <w:rPr>
          <w:sz w:val="24"/>
          <w:rFonts w:ascii="Times New Roman" w:hAnsi="Times New Roman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Vysvětlete, jak bude tato podmínka zajištěna.</w:t>
      </w:r>
      <w:r>
        <w:rPr>
          <w:sz w:val="24"/>
          <w:rFonts w:ascii="Times New Roman" w:hAnsi="Times New Roman"/>
        </w:rPr>
        <w:t xml:space="preserve"> </w:t>
      </w:r>
    </w:p>
    <w:p w14:paraId="09B04D1A" w14:textId="77777777" w:rsidR="003F1D62" w:rsidRDefault="003F1D62" w:rsidP="003F1D6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Vstup nové kapacity pořízené s pomocí podpory do loďstva musí být proveden při plném respektování těchto stropů kapacity a nesmí vést k situaci, kdy dojde k překročení těchto stropů.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nesmí být podmíněna pořízením nového plavidla z konkrétní loděnice.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5.1.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AF3615F" w14:textId="406B2F67" w:rsidR="005C06D1" w:rsidRDefault="003F1D62" w:rsidP="00181B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podrobný popis nákladů, které jsou v rámci opatření způsobilé.</w:t>
      </w:r>
    </w:p>
    <w:p w14:paraId="386BAB56" w14:textId="75133C02" w:rsidR="003F1D62" w:rsidRDefault="003F1D62" w:rsidP="00E9142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maximální intenzita podpory pro plavidla nesmí být: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vyšší než 60 % celkových způsobilých nákladů v případě plavidel o celkové délce méně než 12 metrů;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vyšší než 50 % celkových způsobilých nákladů v případě plavidel o celkové délce 12 metrů nebo více a méně než 24 metrů;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vyšší než 25 % celkových způsobilých nákladů v případě plavidel o celkové délce 24 metrů a více.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3D0A1467" w14:textId="6F29226F" w:rsidR="00006827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675"/>
      <w:r>
        <w:rPr>
          <w:sz w:val="24"/>
          <w:rFonts w:ascii="Times New Roman" w:hAnsi="Times New Roman"/>
        </w:rPr>
        <w:t xml:space="preserve">Uveďte ustanovení právního základu, které (která) stanoví maximální intenzity podpory v rámci opatření.</w:t>
      </w:r>
      <w:r>
        <w:rPr>
          <w:sz w:val="24"/>
          <w:rFonts w:ascii="Times New Roman" w:hAnsi="Times New Roman"/>
        </w:rPr>
        <w:t xml:space="preserve">  </w:t>
      </w:r>
    </w:p>
    <w:p w14:paraId="361A0D8D" w14:textId="181AE66D" w:rsidR="003F1D62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plavidlo pořízené s pomocí podpory musí zůstat registrované v nejvzdálenějším regionu po dobu alespoň 15 let ode dne poskytnutí podpory a během této doby musí vykládat všechny své úlovky v nejvzdálenějším regionu.</w:t>
      </w:r>
      <w:r>
        <w:rPr>
          <w:sz w:val="24"/>
          <w:rFonts w:ascii="Times New Roman" w:hAnsi="Times New Roman"/>
        </w:rPr>
        <w:t xml:space="preserve">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v případě, že tato podmínka není splněna, musí být podpora přijímajícím podnikem vrácena ve výši úměrné období nebo rozsahu nesplnění pravidel.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0E1683EF" w14:textId="210BB523" w:rsidR="003F1D62" w:rsidRPr="001E103F" w:rsidRDefault="003F1D62" w:rsidP="00D250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Úř. věst. C 107, 23.3.2023, s. 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Nařízení Evropského parlamentu a Rady (EU) č. 1380/2013 ze dne 11. prosince 2013 o společné rybářské politice, o změně nařízení Rady (ES) č. 1954/2003 a (ES) č. 1224/2009 a o zrušení nařízení Rady (ES) č. 2371/2002 a (ES) č. 639/2004 a rozhodnutí Rady 2004/585/ES (Úř. věst. L 354, 28.12.2013, s. 22).</w:t>
      </w:r>
      <w:r>
        <w:rPr>
          <w:rFonts w:ascii="Times New Roman" w:hAnsi="Times New Roman"/>
        </w:rPr>
        <w:t xml:space="preserve">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Viz body 225 až 227 pokynů, které popisují sled podání vnitrostátní zprávy za rok N, kroky Komise do 31. března roku N+1 a období pro poskytnutí podpory.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Sdělení Komise Evropskému parlamentu a Radě: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Pokyny k analýze vyváženosti rybolovné kapacity a rybolovných práv podle článku 22 nařízení Evropského parlamentu a Rady (EU) č. 1380/2013 o společné rybářské politice (COM(2014) 545 final).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cs-CZ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cs-CZ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cs-CZ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1127</Words>
  <Characters>5830</Characters>
  <Application>Microsoft Office Word</Application>
  <DocSecurity>0</DocSecurity>
  <Lines>161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159</cp:revision>
  <dcterms:created xsi:type="dcterms:W3CDTF">2023-01-05T14:31:00Z</dcterms:created>
  <dcterms:modified xsi:type="dcterms:W3CDTF">2024-05-31T08:02:00Z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