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Supplerende informationsskema om</w:t>
      </w:r>
      <w:r>
        <w:rPr>
          <w:rFonts w:ascii="Times New Roman" w:hAnsi="Times New Roman"/>
          <w:b/>
          <w:smallCaps/>
          <w:sz w:val="24"/>
        </w:rPr>
        <w:br/>
        <w:t>støtte til endeligt ophør med fiskeriaktiviteter</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Medlemsstaterne anvender dette informationsskema ved anmeldelse af statsstøtte til endeligt ophør med fiskeri som beskrevet i del II, kapitel 3, afsnit 3.4, i retningslinjerne for statsstøtte til fiskeri- og akvakultursektoren</w:t>
      </w:r>
      <w:r w:rsidR="002F32FD">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("retningslinjerne").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Bekræft, at foranstaltningen indeholder bestemmelser om, at det EU-fiskerfartøj, der ydes støtte til, ikke vil blive overført eller omflaget uden for Unionen i mindst fem år efter den endelige betaling af støtte: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Hvis foranstaltningen kun vedrører ophugning af fiskerfartøjer, skal dette spørgsmål ikke besvares.</w:t>
      </w:r>
    </w:p>
    <w:p w14:paraId="36312EFD" w14:textId="77777777" w:rsidR="00114BDD" w:rsidRPr="008D3CE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ophøret er bestemt som et værktøj i en handlingsplan, der er omhandlet i artikel 22, stk. 4, i forordning (EU) nr.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Hvis foranstaltningen vedrører økonomiske hensyn eller andre hensyn relateret til bevarelse af havets biologiske ressourcer som omhandlet i punkt (277) i retningslinjerne, er dette spørgsmål ikke relevant. Det samme gælder, hvis foranstaltningen vedrører indlandsfiskeri.</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det endelige ophør med fiskeriaktivitet opnås ved:</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ophugning af fiskerfartøjer</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oplægning og ombygning til andre aktiviteter end erhvervsfiskeri</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begge dele, dvs. det endelige ophør opnås ved ophugning og oplægning og ombygning af fiskerfartøjet</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henvisning til de bestemmelser i retsgrundlaget, der afspejler den valgte støttemodtager:</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fiskerfartøjet skal være registreret som aktivt og have udført fiskeriaktiviteter til havs i mindst 90 dage om året i de to kalenderår, der går forud for det år, hvor støtteansøgningen indgives</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 xml:space="preserve">Hvis den pågældende fiskeriaktivitet er af en sådan art, at den ikke kan udøves i hele kalenderåret, kan det minimumskrav vedrørende fiskeriaktivitet, der er fastlagt i punkt (275) i retningslinjerne, nedsættes, forudsat at forholdet mellem antallet af dage med aktivitet og antallet af fiskedage svarer til forholdet mellem antallet af dage med aktivitet og antallet af kalenderdage per år for støttemodtagende virksomheder, som kan fiske hele året.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givet fald gives en detaljeret beskrivelse af arten af den fiskeriaktivitet, der er omfattet af foranstaltningen, der redegøres for, hvordan minimumskravet vedrørende fiskeriaktivitet er beregnet, og der gives en henvisning til de relevante bestemmelser i retsgrundlaget:</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Hvis foranstaltningen vedrører indlandsfiskeri, og fiskerfartøjerne fisker aktivt efter flere arter, for hvilke der gælder forskellige antal fiskedage i indre farvande, er det antal fiskedage, der indgår i beregningen af det i punkt (276) i retningslinjerne nævnte forhold, gennemsnittet af det antal fiskedage, som det pågældende fartøj har fået tildelt. Bemærk dog, at det minimale antal dages fiskeriaktivitet, der følger af en justering, under ingen omstændigheder må være mindre end 30 dage eller mere end 90 dage.</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I givet fald gives en detaljeret beskrivelse af den retlige og/eller administrative ramme, der gælder for den pågældende type af indlandsfiskeri, der redegøres for, hvordan minimumskravet vedrørende fiskeriaktivitet er beregnet, og der gives en henvisning til de relevante bestemmelser i retsgrundlaget:</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den tilsvarende fiskeriaktivitet fjernes permanent fra EU-fiskerflåderegistret og ikke vil blive erstattet:</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foranstaltningen vedrører indlandsfiskeri, bekræftes det, at betingelsen finder anvendelse med henvisning til det relevante nationale flåderegister, hvis der findes et sådant efter national lovgivning, i stedet for EU-flåderegistret.</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på spørgsmål 5 eller 5.1 er ja, anføres de relevante bestemmelser i retsgrundlaget:</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 respektive fiskerilicenser og -tilladelser trækkes tilbage.</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den støttemodtagende virksomhed ikke må registrere et fiskerfartøj inden for fem år efter modtagelsen af støtte.</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foranstaltningen vedrører indlandsfiskeri, bekræftes det, at betingelsen finder anvendelse med henvisning til det relevante nationale flåderegister, hvis der findes et sådant efter national lovgivning, i stedet for EU-flåderegistret.</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på spørgsmål 7 eller 7.1 er ja, anføres de relevante bestemmelser i retsgrundlaget:</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foranstaltningen vedrører økonomiske hensyn eller andre hensyn relateret til bevarelse af havets biologiske ressourcer som omhandlet i punkt (277) i retningslinjerne, eller hvis foranstaltningen vedrører indlandsfiskeri som omhandlet i punkt (280), besvares følgende spørgsmål:</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Giv en detaljeret beskrivelse af de omstændigheder, der ligger til grund for det endelige ophør</w:t>
      </w:r>
      <w:bookmarkEnd w:id="2"/>
      <w:r>
        <w:rPr>
          <w:rFonts w:ascii="Times New Roman" w:hAnsi="Times New Roman"/>
          <w:sz w:val="24"/>
        </w:rPr>
        <w:t>, f.eks. med angivelse af de økonomiske eller miljømæssige hensyn.</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Angiv foranstaltningens mål:</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bevarelsesforanstaltninger, som er videnskabeligt dokumenteret</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økonomiske hensyn</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lastRenderedPageBreak/>
        <w:t xml:space="preserve">Ved bevarelsesforanstaltninger forelægges en sammenfatning af den videnskabelige dokumentation: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Ved økonomiske hensyn gives en detaljeret beskrivelse af den økonomiske baggrund for det endelige ophør (medmindre det allerede er beskrevet under spørgsmål </w:t>
      </w:r>
      <w:r w:rsidRPr="001E103F">
        <w:rPr>
          <w:rFonts w:ascii="Times New Roman" w:eastAsia="Times New Roman" w:hAnsi="Times New Roman"/>
          <w:sz w:val="24"/>
        </w:rPr>
        <w:fldChar w:fldCharType="begin"/>
      </w:r>
      <w:r w:rsidRPr="001E103F">
        <w:rPr>
          <w:rFonts w:ascii="Times New Roman" w:eastAsia="Times New Roman" w:hAnsi="Times New Roman"/>
          <w:sz w:val="24"/>
        </w:rPr>
        <w:instrText xml:space="preserve"> REF _Ref125107693 \r \h  \* MERGEFORMAT </w:instrText>
      </w:r>
      <w:r w:rsidRPr="001E103F">
        <w:rPr>
          <w:rFonts w:ascii="Times New Roman" w:eastAsia="Times New Roman" w:hAnsi="Times New Roman"/>
          <w:sz w:val="24"/>
        </w:rPr>
      </w:r>
      <w:r w:rsidRPr="001E103F">
        <w:rPr>
          <w:rFonts w:ascii="Times New Roman" w:eastAsia="Times New Roman" w:hAnsi="Times New Roman"/>
          <w:sz w:val="24"/>
        </w:rPr>
        <w:fldChar w:fldCharType="separate"/>
      </w:r>
      <w:r w:rsidR="00814101">
        <w:rPr>
          <w:rFonts w:ascii="Times New Roman" w:eastAsia="Times New Roman" w:hAnsi="Times New Roman"/>
          <w:sz w:val="24"/>
        </w:rPr>
        <w:t>8</w:t>
      </w:r>
      <w:r w:rsidR="001E50D6">
        <w:rPr>
          <w:rFonts w:ascii="Times New Roman" w:eastAsia="Times New Roman" w:hAnsi="Times New Roman"/>
          <w:sz w:val="24"/>
        </w:rPr>
        <w:t>.1</w:t>
      </w:r>
      <w:r w:rsidRPr="001E103F">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Ved indlandsfisker bekræftes det, at der kun kan ydes støtte under foranstaltningen til støttemodtagende virksomheder, der udelukkende fisker i indre farvande:</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Bekræft, at foranstaltningen indeholder bestemmelser om, at den støttemodtagende virksomhed skal afgive tilsagn om, at den ikke vil øge sin aktive fiskerikapacitet fra tidspunktet for indgivelse af støtteansøgningen og indtil fem år efter udbetalingen af støtten.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Bekræft, at foranstaltningen indeholder bestemmelser om, at den støttemodtagende virksomhed også skal afgive tilsagn om ikke at bruge støtten til at udskifte eller modernisere sine motorer, medmindre betingelserne i artikel 18 i forordning (EU) 2021/1139</w:t>
      </w:r>
      <w:r w:rsidR="00814101">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er opfyldt.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Hvis en medlemsstat et år inden indgivelsen af støtteansøgningen har ydet støtte eller gennemført operationer inden for rammerne af Den Europæiske Hav- og Fiskerifond (EHFF) eller Den Europæiske Hav-, Fiskeri- og Akvakulturfond </w:t>
      </w:r>
      <w:r>
        <w:rPr>
          <w:rFonts w:ascii="Times New Roman" w:hAnsi="Times New Roman"/>
          <w:sz w:val="24"/>
        </w:rPr>
        <w:lastRenderedPageBreak/>
        <w:t>(EHFAF), som har ført til en forøgelse af fiskerikapaciteten i et havområde, eller hvis den har medtaget sådanne operationer i det nationale EHFAF-program, redegøres der detaljeret for, i hvilket omfang støtte til endeligt ophør i samme havområde er forenelig med en sådan forøgelse af fiskerikapaciteten, og godtgøre, at støtten er nødvendig.</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Hvis foranstaltningen vedrører indlandsfiskeri, er dette spørgsmål ikke relevant.</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støttemodtagerne:</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ejere af EU-fiskerfartøjer, der er berørt af det endelige ophør</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fiskere, der har arbejdet om bord på et EU-fiskerfartøj, som er berørt af det endelige ophør, i mindst 90 dage om året i løbet af de to kalenderår, der går forud for det år, hvor støtteansøgningen blev indgivet</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begge dele, dvs. støttemodtagerne kan være både a) og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Angiv henvisning til de bestemmelser i retsgrundlaget, der afspejler den valgte støttemodtager:</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Beskriv, hvordan ovennævnte minimumsperiode på 90 dage for fiskere er blevet opgjort, hvis der er foretaget justeringer for det pågældende fiskerfartøj under hensyn til punkt (283), (276) og (281) i retningslinjerne:</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fiskerne skal indstille alle fiskeriaktiviteter i fem år efter modtagelsen af støtte, og at beløb, der er uretmæssigt udbetalt i forbindelse med støtten – i tilfælde af at fiskeren genoptager fiskeriaktiviteter inden for denne periode – inddrives for et beløb, der står i forhold til den periode, hvor betingelsen ikke er opfyldt.</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Giv en detaljeret beskrivelse af de kontrol- og håndhævelsesmekanismer, der skal sikre, at de betingelser, der knytter sig til det endelige ophør, overholdes, herunder til at sikre, at kapaciteten trækkes permanent tilbage, og at de berørte fartøjer eller fiskere er ophørt med enhver fiskeriaktivitet efter foranstaltningen. Bemærk, at hvis medlemsstaten ikke fører et nationalt flåderegister for indre farvande, skal den ligeledes påvise, at disse kontrol- og håndhævelsesmekanismer sikrer en kapacitetsforvaltning svarende til den, der gælder for havfiskeri.</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lastRenderedPageBreak/>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 støtteberettigede omkostninger beregnes for hver individuel støttemodtager:</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om de støtteberettigede omkostninger omfatter:</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ved ophugning af fiskerfartøjer:</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omkostningerne ved ophugning af fiskerfartøjer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kompensation for tabet af fiskerfartøjets værdi målt på basis af dets aktive salgsværdi</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ved oplægning og ombygning til andre aktiviteter end erhvervsfiskeri: investeringsomkostningerne i forbindelse med ombygningen af fiskerfartøjet til andre økonomiske aktiviteter</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udgifter i forbindelse med fiskerne, som også kan omfatte obligatoriske sociale udgifter som følge af gennemførelsen af det endelige ophør, for så vidt som de ikke er dækket af andre nationale bestemmelser vedrørende ophør af en erhvervsaktivitet.</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Angiv henvisning til de bestemmelser i retsgrundlaget, der afspejler den valgte støttemodtager:</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Beskriv de støtteberettigede omkostninger nærmere:</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Bekræft, at de støtteberettigede omkostninger fratrækkes alle udgifter, som den støttemodtagende virksomhed ikke har afholdt på grund af det endelige ophør med fiskeriaktiviteter, men ellers skulle have afholdt.</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D3CEB">
        <w:rPr>
          <w:rFonts w:ascii="Times New Roman" w:eastAsia="Times New Roman" w:hAnsi="Times New Roman"/>
          <w:sz w:val="24"/>
        </w:rPr>
      </w:r>
      <w:r w:rsidR="008D3CE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D3CEB">
        <w:rPr>
          <w:rFonts w:ascii="Times New Roman" w:eastAsia="Times New Roman" w:hAnsi="Times New Roman"/>
          <w:sz w:val="24"/>
        </w:rPr>
      </w:r>
      <w:r w:rsidR="008D3CE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Hvis svaret er ja, angives de relevante omkostninger: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lastRenderedPageBreak/>
        <w:t>Bekræft, at foranstaltningen indeholder en bestemmelse om, at den maksimale støtteintensitet ikke må overstige 100 % af de tilskudsberettigede omkostninger.</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D3CEB">
        <w:rPr>
          <w:rFonts w:ascii="Times New Roman" w:eastAsia="Times New Roman" w:hAnsi="Times New Roman"/>
          <w:b/>
          <w:sz w:val="24"/>
        </w:rPr>
      </w:r>
      <w:r w:rsidR="008D3CE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Angiv de maksimale støtteintensiteter, der gælder for foranstaltningen:</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Angiv henvisning til de bestemmelser i retsgrundlaget, der fastsætter de maksimale støtteintensiteter under foranstaltningen:</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Bemærk, at Kommissionen kan acceptere andre beregningsmetoder, forudsat at der er sikkerhed for, at disse er baseret på objektive kriterier og ikke fører til overkompensation af nogen støttemodtagende virksomhed.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Hvis den anmeldende medlemsstat har til hensigt at foreslå en anden beregningsmetode, angives årsagen til, at den metode, der er fastsat i retningslinjerne ikke er hensigtsmæssig i det pågældende tilfælde, og der redegøres for, hvordan den anden beregningsmetode bedre kan imødekomme det konstaterede behov:</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 xml:space="preserve">Vedlæg den anden metode som bilag til anmeldelsen sammen med dokumentation for, at den er baseret på objektive kriterier og ikke fører til overkompensation af nogen støttemodtager. </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ANDRE OPLYSNINGER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eventuelle andre oplysninger, der kan være relevante for vurderingen af den foranstaltning, der er omfattet af dette afsnit i retningslinjerne.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rPr>
          <w:rFonts w:ascii="Times New Roman" w:hAnsi="Times New Roman"/>
        </w:rPr>
        <w:t xml:space="preserve"> EUT C 107 af 23.3.2023, s. 1.</w:t>
      </w:r>
    </w:p>
  </w:footnote>
  <w:footnote w:id="2">
    <w:p w14:paraId="502011EF" w14:textId="4DB4AEE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Europa-Parlamentets og Rådets forordning (EU) 2021/1139 af 7. juli 2021 om oprettelse af Den Europæiske Hav-, Fiskeri- og Akvakulturfond og om ændring af forordning (EU) 2017/1004 (EUT L 247 af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D3CEB"/>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7</Pages>
  <Words>2000</Words>
  <Characters>11383</Characters>
  <Application>Microsoft Office Word</Application>
  <DocSecurity>0</DocSecurity>
  <Lines>307</Lines>
  <Paragraphs>142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JENSEN Patricia Langvad (DGT)</cp:lastModifiedBy>
  <cp:revision>66</cp:revision>
  <dcterms:created xsi:type="dcterms:W3CDTF">2023-01-05T14:31:00Z</dcterms:created>
  <dcterms:modified xsi:type="dcterms:W3CDTF">2024-08-19T09:26:00Z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