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inormation om</w:t>
      </w:r>
      <w:r>
        <w:rPr>
          <w:b/>
          <w:smallCaps/>
          <w:sz w:val="24"/>
          <w:rFonts w:ascii="Times New Roman" w:hAnsi="Times New Roman"/>
        </w:rPr>
        <w:br/>
      </w:r>
      <w:r>
        <w:rPr>
          <w:b/>
          <w:smallCaps/>
          <w:sz w:val="24"/>
          <w:rFonts w:ascii="Times New Roman" w:hAnsi="Times New Roman"/>
        </w:rPr>
        <w:t xml:space="preserve">likviditetsstöd till fiskare</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Detta formulär ska användas av medlemsstaterna vid anmälan av likviditetsstöd till fiskare på det sätt som beskrivs i del II kapitel 3 avsnitt 3.6 i riktlinjerna för statligt stöd inom fiskeri- och vattenbrukssektorn</w:t>
      </w:r>
      <w:r w:rsidR="00C03E87">
        <w:rPr>
          <w:rStyle w:val="FootnoteReference"/>
          <w:rFonts w:eastAsia="Times New Roman"/>
          <w:i/>
          <w:lang w:eastAsia="en-GB"/>
        </w:rPr>
        <w:footnoteReference w:id="1"/>
      </w:r>
      <w:r>
        <w:rPr>
          <w:i/>
        </w:rPr>
        <w:t xml:space="preserve"> (”riktlinjerna”)</w:t>
      </w:r>
      <w:r>
        <w:rPr>
          <w:i/>
        </w:rPr>
        <w:t xml:space="preserve"> </w:t>
      </w:r>
      <w:r>
        <w:rPr>
          <w:i/>
        </w:rPr>
        <w:t xml:space="preserve">Stöd enligt detta avsnitt får också beviljas företag som är verksamma inom inlandsfiske.</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beskrivning av vilka omständigheter som motiverar likviditetsstödet och beskriv de yttre händelser som leder till en tillfällig begränsning av fiskeverksamheten.</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Ange när den yttre händelsen inträffade, i tillämpliga fall också de datum då den började respektive slutade.</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åtgärden inte avser något av följande:</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a) De fall av tillfälligt upphörande av fiskeverksamhet som förtecknas i avsnitt 3.5 i kapitel 3 i del II i riktlinjerna.</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b) Bevarandeåtgärder som vidtas i enlighet med partnerskapsavtal om hållbart fiske och avtal om utbyte eller gemensam förvaltning.</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c) Minskning eller förlust av fiskemöjligheter i EU-vatten inom ramen för genomförandet av den gemensamma fiskeripolitiken.</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d) Minskning eller förlust av fiskemöjligheter när det gäller vatten utanför EU, t.ex. på grund av att ett partnerskapsavtal om hållbart fiske och avtal om utbyte eller gemensam förvaltning eller åtgärder för fastställande och fördelning av fiskemöjligheter som vidtagits i enlighet med sådana avtal eller inom ramen för en regional fiskeriförvaltningsorganisation inte förlängs, tillfälligt upphävs, avslutas eller omförhandlas.</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 endast får beviljas om det finns ett direkt orsakssamband mellan de yttre händelserna och inkomstförlusten.</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ingående de kontroll- och tillsynsmekanismer som finns på plats för att garantera efterlevnaden av villkoren knutna till likviditetsstödet till fiskare.</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stödberättigande kostnaderna enbart täcker inkomstbortfall på grund av yttre händelser.</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måste beräknas för den enskilda stödmottagaren.</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Bekräfta att inkomstbortfallet måste beräknas enligt punkt 319 i riktlinjerna, dvs. genom att dra ifrån följande: </w:t>
      </w:r>
      <w:r>
        <w:rPr>
          <w:sz w:val="24"/>
          <w:rFonts w:ascii="Times New Roman" w:hAnsi="Times New Roman"/>
        </w:rPr>
        <w:t xml:space="preserve"> </w:t>
      </w:r>
      <w:r>
        <w:rPr>
          <w:sz w:val="24"/>
          <w:rFonts w:ascii="Times New Roman" w:hAnsi="Times New Roman"/>
        </w:rPr>
        <w:t xml:space="preserve">a) Resultatet av multiplikationen av den genomsnittliga årliga producerade mängden fiskeriprodukter under året för de yttre händelsen, med det genomsnittliga försäljningspriset under det året från b) resultatet av multiplikationen av den genomsnittliga årliga producerade mängden fiskeriprodukter under den treårsperiod som föregick den yttre händelsen eller genomsnittet under tre år inom den femårsperiod som föregick den yttre händelsen, varvid de högsta och de lägsta värdena inte ska medräknas, med det genomsnittliga försäljningspriset.</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Förklara huruvida de stödberättigande kostnaderna får omfatta andra kostnader som det stödmottagande företaget haft till följd av de yttre händelserna.</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w:t>
      </w:r>
      <w:bookmarkStart w:id="3" w:name="_Hlk126945164"/>
      <w:r>
        <w:rPr>
          <w:sz w:val="24"/>
          <w:rFonts w:ascii="Times New Roman" w:hAnsi="Times New Roman"/>
        </w:rPr>
        <w:t xml:space="preserve">ange då de relevanta kostnaderna</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Om svaret är ”Ja”, ange då den eller de relevanta bestämmelserna i den rättsliga grunden.</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Bekräfta att de stödberättigande kostnaderna måste minskas med eventuella kostnader som inte uppstått på grund av yttre händelser, vilka det stödmottagande företaget annars skulle ha haft.</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om ett fartyg används till annan verksamhet än kommersiellt fiske under de yttre händelserna ska alla intäkter deklareras och dras av från det stöd som beviljas enligt detta avsnitt.</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kommissionen kan godta andra beräkningsmetoder, under förutsättning att de grundar sig på objektiva kriterier och inte leder till att något stödmottagande företag överkompenseras.</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Om den anmälande medlemsstaten avser att föreslå någon annan beräkningsmetod, ange då skälen till varför metoden i riktlinjerna inte kan tillämpas i det aktuella fallet och förklara varför den andra beräkningsmetoden bättre möter de berörda behoven.</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Bifoga i form av en bilaga till anmälan en beskrivning av den andra föreslagna metoden tillsammans med bevis på att den bygger på objektiva kriterier och inte leder till överkompensation av någon stödmottagare.</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åtgärden omfattar följande villkor: Om ett litet eller medelstort företag grundades inom tre år från dagen för den yttre händelsen, ska hänvisningen till tre- eller femårsperioderna i punkt 319 b i riktlinjerna förstås som en hänvisning till den kvantitet som hade producerats och sålts av ett genomsnittligt företag av samma storlek som det sökande, nämligen ett mikroföretag, ett litet företag eller ett medelstort företag inom den nationella eller regionala sektor som drabbats av den yttre händelsen.</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och andra betalningar, inbegripet ersättningar från försäkringar, måste begränsas till 100 % av de stödberättigande kostnaderna.</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Ange i vilken eller vilka bestämmelser i den rättsliga grunden som 100 %-gränsen och stödåtgärdens maximala stödnivå.</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 xml:space="preserve">EUT L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