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Συμπληρωματικό δελτίο πληροφοριών </w:t>
      </w:r>
      <w:r>
        <w:rPr>
          <w:rFonts w:ascii="Times New Roman" w:hAnsi="Times New Roman"/>
          <w:b/>
          <w:smallCaps/>
          <w:sz w:val="24"/>
        </w:rPr>
        <w:br/>
        <w:t>σχετικά με ενισχύσεις για τις δαπάνες πρόληψης, καταπολέμησης και εξάλειψης ασθενειών των ζώων στην υδατοκαλλιέργεια και περιπτώσεων προσβολής από χωροκατακτητικά ξένα είδη και ενισχύσεις για την αποκατάσταση ζημιών που προκλήθηκαν από τις εν λόγω νόσους των ζώων και περιπτώσεις προσβολής</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Το παρόν έντυπο πρέπει να χρησιμοποιείται από τα κράτη μέλη για την κοινοποίηση ενισχύσεων αναφορικά με τις δαπάνες πρόληψης, ελέγχου και εξάλειψης ασθενειών των ζώων στην υδατοκαλλιέργεια και περιπτώσεων προσβολής από χωροκατακτητικά ξένα είδη, καθώς και ενισχύσεων για την αποκατάσταση ζημιών που προκλήθηκαν από τις εν λόγω νόσους των ζώων και περιπτώσεις προσβολής όπως περιγράφεται στο μέρος ΙΙ κεφάλαιο 1 τμήμα 1.3 των κατευθυντήριων γραμμών για τις κρατικές ενισχύσεις στον τομέα της αλιείας και της υδατοκαλλιέργειας</w:t>
      </w:r>
      <w:r w:rsidR="00C312B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(«κατευθυντήριες γραμμές»).</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Αποτελεί το μέτρο εκ των προτέρων καθεστώς-πλαίσιο για τη στήριξη των δαπανών που σχετίζονται με την πρόληψη, τον έλεγχο και την εξάλειψη ασθενειών των ζώων στην υδατοκαλλιέργεια και προσβολών από χωροκατακτητικά ξένα είδη;</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807C4B">
        <w:rPr>
          <w:rFonts w:ascii="Times New Roman" w:eastAsia="Times New Roman" w:hAnsi="Times New Roman"/>
          <w:b/>
          <w:sz w:val="24"/>
        </w:rPr>
      </w:r>
      <w:r w:rsidR="00807C4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ναι</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807C4B">
        <w:rPr>
          <w:rFonts w:ascii="Times New Roman" w:eastAsia="Times New Roman" w:hAnsi="Times New Roman"/>
          <w:b/>
          <w:sz w:val="24"/>
        </w:rPr>
      </w:r>
      <w:r w:rsidR="00807C4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t>όχι</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Εάν η απάντηση στην προηγούμενη ερώτηση είναι «ναι», αγνοήστε τις ερωτήσεις</w:t>
      </w:r>
      <w:r w:rsidR="00006334">
        <w:rPr>
          <w:rFonts w:ascii="Times New Roman" w:eastAsia="Times New Roman" w:hAnsi="Times New Roman"/>
          <w:i/>
          <w:sz w:val="24"/>
        </w:rPr>
        <w:fldChar w:fldCharType="begin"/>
      </w:r>
      <w:r w:rsidR="00006334">
        <w:rPr>
          <w:rFonts w:ascii="Times New Roman" w:eastAsia="Times New Roman" w:hAnsi="Times New Roman"/>
          <w:i/>
          <w:sz w:val="24"/>
        </w:rPr>
        <w:instrText xml:space="preserve"> REF _Ref126833665 \r \h </w:instrText>
      </w:r>
      <w:r w:rsidR="00006334">
        <w:rPr>
          <w:rFonts w:ascii="Times New Roman" w:eastAsia="Times New Roman" w:hAnsi="Times New Roman"/>
          <w:i/>
          <w:sz w:val="24"/>
        </w:rPr>
      </w:r>
      <w:r w:rsidR="00006334">
        <w:rPr>
          <w:rFonts w:ascii="Times New Roman" w:eastAsia="Times New Roman" w:hAnsi="Times New Roman"/>
          <w:i/>
          <w:sz w:val="24"/>
        </w:rPr>
        <w:fldChar w:fldCharType="separate"/>
      </w:r>
      <w:r w:rsidR="007506E4">
        <w:rPr>
          <w:rFonts w:ascii="Times New Roman" w:eastAsia="Times New Roman" w:hAnsi="Times New Roman"/>
          <w:i/>
          <w:sz w:val="24"/>
        </w:rPr>
        <w:t>11</w:t>
      </w:r>
      <w:r w:rsidR="00006334">
        <w:rPr>
          <w:rFonts w:ascii="Times New Roman" w:eastAsia="Times New Roman" w:hAnsi="Times New Roman"/>
          <w:i/>
          <w:sz w:val="24"/>
        </w:rPr>
        <w:fldChar w:fldCharType="end"/>
      </w:r>
      <w:r>
        <w:rPr>
          <w:rFonts w:ascii="Times New Roman" w:hAnsi="Times New Roman"/>
          <w:i/>
          <w:sz w:val="24"/>
        </w:rPr>
        <w:t xml:space="preserve"> και</w:t>
      </w:r>
      <w:r w:rsidR="00A9765F" w:rsidRPr="00A9765F">
        <w:rPr>
          <w:rFonts w:ascii="Times New Roman" w:eastAsia="Times New Roman" w:hAnsi="Times New Roman"/>
          <w:i/>
          <w:sz w:val="24"/>
        </w:rPr>
        <w:fldChar w:fldCharType="begin"/>
      </w:r>
      <w:r w:rsidR="00A9765F" w:rsidRPr="00A9765F">
        <w:rPr>
          <w:rFonts w:ascii="Times New Roman" w:eastAsia="Times New Roman" w:hAnsi="Times New Roman"/>
          <w:i/>
          <w:sz w:val="24"/>
        </w:rPr>
        <w:instrText xml:space="preserve"> REF _Ref126941550 \r \h </w:instrText>
      </w:r>
      <w:r w:rsidR="00A9765F">
        <w:rPr>
          <w:rFonts w:ascii="Times New Roman" w:eastAsia="Times New Roman" w:hAnsi="Times New Roman"/>
          <w:i/>
          <w:sz w:val="24"/>
        </w:rPr>
        <w:instrText xml:space="preserve"> \* MERGEFORMAT </w:instrText>
      </w:r>
      <w:r w:rsidR="00A9765F" w:rsidRPr="00A9765F">
        <w:rPr>
          <w:rFonts w:ascii="Times New Roman" w:eastAsia="Times New Roman" w:hAnsi="Times New Roman"/>
          <w:i/>
          <w:sz w:val="24"/>
        </w:rPr>
      </w:r>
      <w:r w:rsidR="00A9765F" w:rsidRPr="00A9765F">
        <w:rPr>
          <w:rFonts w:ascii="Times New Roman" w:eastAsia="Times New Roman" w:hAnsi="Times New Roman"/>
          <w:i/>
          <w:sz w:val="24"/>
        </w:rPr>
        <w:fldChar w:fldCharType="separate"/>
      </w:r>
      <w:r w:rsidR="007506E4">
        <w:rPr>
          <w:rFonts w:ascii="Times New Roman" w:eastAsia="Times New Roman" w:hAnsi="Times New Roman"/>
          <w:i/>
          <w:sz w:val="24"/>
        </w:rPr>
        <w:t>12</w:t>
      </w:r>
      <w:r w:rsidR="00A9765F" w:rsidRPr="00A9765F">
        <w:rPr>
          <w:rFonts w:ascii="Times New Roman" w:eastAsia="Times New Roman" w:hAnsi="Times New Roman"/>
          <w:i/>
          <w:sz w:val="24"/>
        </w:rPr>
        <w:fldChar w:fldCharType="end"/>
      </w:r>
      <w:r>
        <w:rPr>
          <w:rFonts w:ascii="Times New Roman" w:hAnsi="Times New Roman"/>
          <w:i/>
          <w:sz w:val="24"/>
        </w:rPr>
        <w: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Στην περίπτωση εκ των προτέρων καθεστώτων-πλαισίων, επιβεβαιώστε ότι το κράτος μέλος θα συμμορφωθεί με την υποχρέωση υποβολής εκθέσεων που αναφέρεται στο σημείο 345 των κατευθυντήριων γραμμών.</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όχι</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Επιβεβαιώστε ότι η ενίσχυση χορηγείται για ασθένειες των ζώων και/ή περιπτώσεις προσβολής από χωροκατακτητικά ξένα είδη για τις οποίες υπάρχουν ενωσιακοί ή εθνικοί κανόνες, που προβλέπονται από νομοθετικές, κανονιστικές ή διοικητικές διατάξεις.</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όχι</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τους σχετικούς ενωσιακούς ή εθνικούς κανόνες.</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νόσους και τις περιπτώσεις προσβολής τις οποίες στοχεύει το μέτρο και παραθέστε λεπτομερή περιγραφή των αιτίων και της εξάπλωσης της νόσου ή της προσβολής.</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η ενίσχυση χορηγείται στο πλαίσιο:</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807C4B">
        <w:rPr>
          <w:rFonts w:ascii="Times New Roman" w:eastAsia="Times New Roman" w:hAnsi="Times New Roman"/>
          <w:b/>
          <w:sz w:val="24"/>
        </w:rPr>
      </w:r>
      <w:r w:rsidR="00807C4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ενός δημόσιου προγράμματος σε ενωσιακό, εθνικό ή περιφερειακό επίπεδο για την πρόληψη, την καταπολέμηση ή την εξάλειψη ασθενειών των ζώων</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tab/>
      </w:r>
      <w:r>
        <w:rPr>
          <w:rFonts w:ascii="Times New Roman" w:hAnsi="Times New Roman"/>
          <w:sz w:val="24"/>
        </w:rPr>
        <w:t>των μέτρων έκτακτης ανάγκης που επιβάλλονται από την αρμόδια εθνική αρχή</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tab/>
      </w:r>
      <w:r>
        <w:rPr>
          <w:rFonts w:ascii="Times New Roman" w:hAnsi="Times New Roman"/>
          <w:sz w:val="24"/>
        </w:rPr>
        <w:t xml:space="preserve">των μέτρων για την εξάλειψη ή τον περιορισμό </w:t>
      </w:r>
      <w:proofErr w:type="spellStart"/>
      <w:r>
        <w:rPr>
          <w:rFonts w:ascii="Times New Roman" w:hAnsi="Times New Roman"/>
          <w:sz w:val="24"/>
        </w:rPr>
        <w:t>χωροκατακτητικού</w:t>
      </w:r>
      <w:proofErr w:type="spellEnd"/>
      <w:r>
        <w:rPr>
          <w:rFonts w:ascii="Times New Roman" w:hAnsi="Times New Roman"/>
          <w:sz w:val="24"/>
        </w:rPr>
        <w:t xml:space="preserve"> ξένου είδους που εφαρμόζονται σύμφωνα με τον κανονισμό (ΕΕ) αριθ.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Προσδιορίστε τα σχετικά μέτρα του προγράμματος που αντικατοπτρίζει το τετραγωνίδιο που επιλέχτηκε ως απάντηση σε αυτή την ερώτηση.</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τα σχετικά προγράμματα ή μέτρα που περιέχουν περιγραφή των σχετικών μέτρων πρόληψης, ελέγχου και εξάλειψης.</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όχι</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Προσδιορίστε τις σχετικές διατάξεις του ή των προγραμμάτων και των μέτρων.</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Επιβεβαιώστε ότι η ενίσχυση δεν πρέπει να συνδέεται με μέτρα για τα οποία η ενωσιακή νομοθεσία προβλέπει ότι το κόστος τους επιβαρύνει την δικαιούχο επιχείρηση, εκτός εάν το κόστος των εν λόγω μέτρων ενίσχυσης καλύπτεται εξ ολοκλήρου από υποχρεωτικές εισφορές των δικαιούχων επιχειρήσεων.</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όχι</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η ενίσχυση πρέπει να καταβληθεί απευθείας:</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807C4B">
        <w:rPr>
          <w:rFonts w:ascii="Times New Roman" w:eastAsia="Times New Roman" w:hAnsi="Times New Roman"/>
          <w:b/>
          <w:sz w:val="24"/>
        </w:rPr>
      </w:r>
      <w:r w:rsidR="00807C4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α)</w:t>
      </w:r>
      <w:r>
        <w:rPr>
          <w:rFonts w:ascii="Times New Roman" w:hAnsi="Times New Roman"/>
          <w:b/>
          <w:sz w:val="24"/>
        </w:rPr>
        <w:t xml:space="preserve"> </w:t>
      </w:r>
      <w:r>
        <w:rPr>
          <w:rFonts w:ascii="Times New Roman" w:hAnsi="Times New Roman"/>
          <w:sz w:val="24"/>
        </w:rPr>
        <w:t xml:space="preserve">στην οικεία επιχείρηση,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807C4B">
        <w:rPr>
          <w:rFonts w:ascii="Times New Roman" w:eastAsia="Times New Roman" w:hAnsi="Times New Roman"/>
          <w:b/>
          <w:sz w:val="24"/>
        </w:rPr>
      </w:r>
      <w:r w:rsidR="00807C4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β)</w:t>
      </w:r>
      <w:r>
        <w:rPr>
          <w:rFonts w:ascii="Times New Roman" w:hAnsi="Times New Roman"/>
          <w:b/>
          <w:sz w:val="24"/>
        </w:rPr>
        <w:t xml:space="preserve"> </w:t>
      </w:r>
      <w:r>
        <w:rPr>
          <w:rFonts w:ascii="Times New Roman" w:hAnsi="Times New Roman"/>
          <w:sz w:val="24"/>
        </w:rPr>
        <w:t>στην ομάδα ή οργάνωση παραγωγών της οποίας είναι μέλος η εν λόγω επιχείρηση.</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Όταν η ενίσχυση καταβάλλεται σε ομάδα και οργάνωση παραγωγών, επιβεβαιώστε ότι το ποσό της ενίσχυσης δεν πρέπει να υπερβαίνει το ποσό της ενίσχυσης για το οποίο είναι επιλέξιμη η επιχείρηση.</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Επιβεβαιώστε ότι το μέτρο προβλέπει ότι δεν θα χορηγείται καμία μεμονωμένη ενίσχυση, όταν διαπιστώνεται ότι η ασθένεια των ζώων ή η προσβολή από χωροκατακτητικά ξένα είδη προκλήθηκε εσκεμμένα ή από αμέλεια της δικαιούχου επιχείρησης.</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Προσδιορίστε την ή τις κατάλληλες κατηγορίες για τις οποίες μπορεί να χορηγηθεί η ενίσχυση:</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807C4B">
        <w:rPr>
          <w:rFonts w:ascii="Times New Roman" w:eastAsia="Times New Roman" w:hAnsi="Times New Roman"/>
          <w:b/>
          <w:sz w:val="24"/>
        </w:rPr>
      </w:r>
      <w:r w:rsidR="00807C4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α)</w:t>
      </w:r>
      <w:r>
        <w:rPr>
          <w:rFonts w:ascii="Times New Roman" w:hAnsi="Times New Roman"/>
          <w:b/>
          <w:sz w:val="24"/>
        </w:rPr>
        <w:t xml:space="preserve"> </w:t>
      </w:r>
      <w:r>
        <w:rPr>
          <w:rFonts w:ascii="Times New Roman" w:hAnsi="Times New Roman"/>
          <w:sz w:val="24"/>
        </w:rPr>
        <w:t>νόσους υδρόβιων ζώων που απαριθμούνται στο άρθρο 5 παράγραφος 1 του κανονισμού (ΕΕ) 2016/429 του Ευρωπαϊκού Κοινοβουλίου και του Συμβουλίου</w:t>
      </w:r>
      <w:r w:rsidR="00C90688">
        <w:rPr>
          <w:rStyle w:val="FootnoteReference"/>
          <w:rFonts w:ascii="Times New Roman" w:eastAsia="Times New Roman" w:hAnsi="Times New Roman"/>
          <w:bCs/>
          <w:sz w:val="24"/>
          <w:szCs w:val="24"/>
          <w:lang w:eastAsia="en-GB"/>
        </w:rPr>
        <w:footnoteReference w:id="2"/>
      </w:r>
      <w:r>
        <w:rPr>
          <w:rFonts w:ascii="Times New Roman" w:hAnsi="Times New Roman"/>
          <w:sz w:val="24"/>
        </w:rPr>
        <w:t>, ή περιλαμβάνονται στον κατάλογο νόσων των ζώων του κώδικα υγείας υδρόβιων οργανισμών του Παγκόσμιου Οργανισμού για την Υγεία των Ζώων</w:t>
      </w:r>
      <w:r w:rsidR="00C90688">
        <w:rPr>
          <w:rStyle w:val="FootnoteReference"/>
          <w:rFonts w:ascii="Times New Roman" w:eastAsia="Times New Roman" w:hAnsi="Times New Roman"/>
          <w:bCs/>
          <w:sz w:val="24"/>
          <w:szCs w:val="24"/>
          <w:lang w:eastAsia="en-GB"/>
        </w:rPr>
        <w:footnoteReference w:id="3"/>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807C4B">
        <w:rPr>
          <w:rFonts w:ascii="Times New Roman" w:eastAsia="Times New Roman" w:hAnsi="Times New Roman"/>
          <w:b/>
          <w:sz w:val="24"/>
        </w:rPr>
      </w:r>
      <w:r w:rsidR="00807C4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β)</w:t>
      </w:r>
      <w:r>
        <w:rPr>
          <w:rFonts w:ascii="Times New Roman" w:hAnsi="Times New Roman"/>
          <w:b/>
          <w:sz w:val="24"/>
        </w:rPr>
        <w:t xml:space="preserve"> </w:t>
      </w:r>
      <w:proofErr w:type="spellStart"/>
      <w:r>
        <w:rPr>
          <w:rFonts w:ascii="Times New Roman" w:hAnsi="Times New Roman"/>
          <w:sz w:val="24"/>
        </w:rPr>
        <w:t>ζωονόσους</w:t>
      </w:r>
      <w:proofErr w:type="spellEnd"/>
      <w:r>
        <w:rPr>
          <w:rFonts w:ascii="Times New Roman" w:hAnsi="Times New Roman"/>
          <w:sz w:val="24"/>
        </w:rPr>
        <w:t xml:space="preserve"> υδρόβιων ζώων που περιλαμβάνονται στο παράρτημα III σημείο 2 του κανονισμού (ΕΕ) 2021/690 του Ευρωπαϊκού Κοινοβουλίου και του Συμβουλίου</w:t>
      </w:r>
      <w:r w:rsidR="00C90688">
        <w:rPr>
          <w:rStyle w:val="FootnoteReference"/>
          <w:rFonts w:ascii="Times New Roman" w:eastAsia="Times New Roman" w:hAnsi="Times New Roman"/>
          <w:bCs/>
          <w:sz w:val="24"/>
          <w:szCs w:val="24"/>
          <w:lang w:eastAsia="en-GB"/>
        </w:rPr>
        <w:footnoteReference w:id="4"/>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807C4B">
        <w:rPr>
          <w:rFonts w:ascii="Times New Roman" w:eastAsia="Times New Roman" w:hAnsi="Times New Roman"/>
          <w:b/>
          <w:sz w:val="24"/>
        </w:rPr>
      </w:r>
      <w:r w:rsidR="00807C4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γ)</w:t>
      </w:r>
      <w:r>
        <w:rPr>
          <w:rFonts w:ascii="Times New Roman" w:hAnsi="Times New Roman"/>
          <w:b/>
          <w:sz w:val="24"/>
        </w:rPr>
        <w:t xml:space="preserve"> </w:t>
      </w:r>
      <w:r>
        <w:rPr>
          <w:rFonts w:ascii="Times New Roman" w:hAnsi="Times New Roman"/>
          <w:sz w:val="24"/>
        </w:rPr>
        <w:t>αναδυόμενες νόσους, οι οποίες πληρούν τους όρους του άρθρου 6 παράγραφος 2 του κανονισμού (ΕΕ) 2016/429</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807C4B">
        <w:rPr>
          <w:rFonts w:ascii="Times New Roman" w:eastAsia="Times New Roman" w:hAnsi="Times New Roman"/>
          <w:b/>
          <w:sz w:val="24"/>
        </w:rPr>
      </w:r>
      <w:r w:rsidR="00807C4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b/>
          <w:sz w:val="24"/>
        </w:rPr>
        <w:t xml:space="preserve"> </w:t>
      </w:r>
      <w:r>
        <w:rPr>
          <w:rFonts w:ascii="Times New Roman" w:hAnsi="Times New Roman"/>
          <w:sz w:val="24"/>
        </w:rPr>
        <w:t>δ)</w:t>
      </w:r>
      <w:r>
        <w:rPr>
          <w:rFonts w:ascii="Times New Roman" w:hAnsi="Times New Roman"/>
          <w:b/>
          <w:sz w:val="24"/>
        </w:rPr>
        <w:t xml:space="preserve"> </w:t>
      </w:r>
      <w:r>
        <w:rPr>
          <w:rFonts w:ascii="Times New Roman" w:hAnsi="Times New Roman"/>
          <w:sz w:val="24"/>
        </w:rPr>
        <w:t>άλλες νόσους εκτός των καταγεγραμμένων νόσων που αναφέρονται στο άρθρο 9 παράγραφος 1 στοιχείο δ) του κανονισμού (ΕΕ) 2016/429 και οι οποίες πληρούν τα κριτήρια που ορίζονται στο άρθρο 226 του εν λόγω κανονισμού.</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Προσδιορίστε τη σχετική κατηγορία νόσου/</w:t>
      </w:r>
      <w:proofErr w:type="spellStart"/>
      <w:r>
        <w:rPr>
          <w:rFonts w:ascii="Times New Roman" w:hAnsi="Times New Roman"/>
          <w:sz w:val="24"/>
        </w:rPr>
        <w:t>ζωονόσου</w:t>
      </w:r>
      <w:proofErr w:type="spellEnd"/>
      <w:r>
        <w:rPr>
          <w:rFonts w:ascii="Times New Roman" w:hAnsi="Times New Roman"/>
          <w:sz w:val="24"/>
        </w:rPr>
        <w:t>.</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Εξηγήστε πότε συνέβη η νόσος των ζώων ή η προσβολή, συμπεριλαμβανομένων, κατά περίπτωση, των ημερομηνιών έναρξης και λήξης της.</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Εάν το μέτρο έχει προληπτικούς σκοπούς, το ερώτημα δεν έχει εφαρμογή.</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Επιβεβαιώστε ότι το πλαίσιο του καθεστώτος ενισχύσεων θεσπίζεται εντός τριών ετών από την ημερομηνία πραγματοποίησης των δαπανών ή την πρόκληση της ζημίας από την ασθένεια των ζώων ή την προσβολή από χωροκατακτητικά ξένα είδη.</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όχι</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Επισημαίνεται ότι ο όρος αυτός δεν ισχύει για τις δαπάνες που πραγματοποιούνται για προληπτικούς σκοπούς, όπως αναφέρεται στο σημείο 188 των κατευθυντήριων γραμμών.</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Επιβεβαιώστε ότι το μέτρο προβλέπει ότι οι ενισχύσεις πρέπει να καταβάλλονται εντός τεσσάρων ετών από την ημερομηνία πραγματοποίησης των δαπανών ή την πρόκληση της ζημίας από την ασθένεια των ζώων ή την προσβολή από χωροκατακτητικά ξένα είδη.</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όχι</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Επισημαίνεται ότι ο όρος αυτός δεν ισχύει για τις δαπάνες που πραγματοποιούνται για προληπτικούς σκοπούς, όπως αναφέρεται στο σημείο 188 των κατευθυντήριων γραμμών.</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Υποβάλετε όσο το δυνατόν ακριβέστερη εκτίμηση του είδους και της έκτασης της ζημίας που υπέστησαν —ή που ενδέχεται να υποστούν σε περίπτωση εκ των προτέρων καθεστώτων-πλαισίων– οι επιχειρήσεις.</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Προσδιορίστε τις επιλέξιμες δαπάνες που καλύπτονται από το μέτρο:</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α) υγειονομικούς ελέγχους, αναλύσεις, δοκιμές και άλλα μέτρα ανίχνευσης</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 xml:space="preserve">β) τη βελτίωση των μέτρων </w:t>
      </w:r>
      <w:proofErr w:type="spellStart"/>
      <w:r>
        <w:rPr>
          <w:rFonts w:ascii="Times New Roman" w:hAnsi="Times New Roman"/>
          <w:sz w:val="24"/>
        </w:rPr>
        <w:t>βιοασφάλειας</w:t>
      </w:r>
      <w:proofErr w:type="spellEnd"/>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γ) την αγορά, αποθήκευση, διαχείριση ή διανομή εμβολίων, φαρμάκων και θεραπευτικών ουσιών για ζώα</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δ) την αγορά, αποθήκευση, τοποθέτηση και διανομή προϊόντων ή εξοπλισμού προστασίας για την αντιμετώπιση περιπτώσεων προσβολής από χωροκατακτητικά ξένα είδη</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ε) τη σφαγή, θανάτωση και καταστροφή των ζώων</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στ) την καταστροφή ζωικών προϊόντων και προϊόντων που συνδέονται με ζώα</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ζ) τον καθαρισμό και την απολύμανση της εκμετάλλευσης ή του εξοπλισμού</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η) τις ζημίες που προκλήθηκαν λόγω της σφαγής, της θανάτωσης και της καταστροφής των ζώων, των ζωικών προϊόντων και των προϊόντων που συνδέονται με ζώα</w:t>
      </w:r>
    </w:p>
    <w:p w14:paraId="48BFF45E" w14:textId="266A6592" w:rsidR="00C412BA" w:rsidRDefault="00C412BA"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θ) άλλες δαπάνες που προκύπτουν λόγω ασθενειών των ζώων στην υδατοκαλλιέργεια ή προσβολής από χωροκατακτητικά ξένα είδη. Διευκρινίστε:...........................................................................</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Προσδιορίστε τις διατάξεις της νομικής βάσης που αντικατοπτρίζουν τις επιλέξιμες δαπάνες:</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807C4B">
        <w:rPr>
          <w:rFonts w:ascii="Times New Roman" w:eastAsia="Times New Roman" w:hAnsi="Times New Roman"/>
          <w:sz w:val="24"/>
        </w:rPr>
        <w:fldChar w:fldCharType="separate"/>
      </w:r>
      <w:r w:rsidRPr="007E7B0C">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Επιβεβαιώστε ότι οι ενισχύσεις σε σχέση με υγειονομικούς ελέγχους, αναλύσεις, εξετάσεις και άλλα μέτρα ανίχνευσης χορηγούνται σε είδος και καταβάλλονται στους παρόχους υπηρεσιών:</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όχι</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Εάν η απάντηση είναι «όχι», επιβεβαιώστε ότι το μέτρο ορίζει ότι οι δικαιούχοι επιχειρήσεις διαθέτουν ήδη εσωτερικές ικανότητες κατάλληλες για τους σκοπούς αυτούς.</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όχι</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στην ερώτηση 16.1 είναι «ναι», προσδιορίστε τις σχετικές διατάξεις της νομικής βάσης.</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6F3EE8D1"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Στην περίπτωση που οι επιλέξιμες δαπάνες περιλαμβάνουν ενισχύσεις για την αντιστάθμιση των ζημιών που προκλήθηκαν από ασθένειες των ζώων ή περιπτώσεις προσβολής από χωροκατακτητικά ξένα είδη που αναφέρονται στο σημείο 188 στοιχείο η),</w:t>
      </w:r>
      <w:r w:rsidR="00807C4B">
        <w:rPr>
          <w:rFonts w:ascii="Times New Roman" w:hAnsi="Times New Roman"/>
          <w:sz w:val="24"/>
        </w:rPr>
        <w:t xml:space="preserve"> </w:t>
      </w:r>
      <w:r>
        <w:rPr>
          <w:rFonts w:ascii="Times New Roman" w:hAnsi="Times New Roman"/>
          <w:sz w:val="24"/>
        </w:rPr>
        <w:t>επιβεβαιώστε ότι το μέτρο προβλέπει ότι η αποζημίωση πρέπει να υπολογίζεται μόνο σε σχέση με τα ακόλουθα:</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 xml:space="preserve">α) την αγοραία αξία των ζώων που </w:t>
      </w:r>
      <w:proofErr w:type="spellStart"/>
      <w:r>
        <w:rPr>
          <w:rFonts w:ascii="Times New Roman" w:hAnsi="Times New Roman"/>
          <w:sz w:val="24"/>
        </w:rPr>
        <w:t>εσφάγησαν</w:t>
      </w:r>
      <w:proofErr w:type="spellEnd"/>
      <w:r>
        <w:rPr>
          <w:rFonts w:ascii="Times New Roman" w:hAnsi="Times New Roman"/>
          <w:sz w:val="24"/>
        </w:rPr>
        <w:t xml:space="preserve"> ή θανατώθηκαν, ή πέθαναν, ή των προϊόντων που καταστράφηκαν:</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tab/>
      </w:r>
      <w:r>
        <w:rPr>
          <w:rFonts w:ascii="Times New Roman" w:hAnsi="Times New Roman"/>
          <w:sz w:val="24"/>
        </w:rPr>
        <w:t xml:space="preserve">από την ασθένεια των ζώων ή από την προσβολή από χωροκατακτητικά ξένα είδη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tab/>
      </w:r>
      <w:r>
        <w:rPr>
          <w:rFonts w:ascii="Times New Roman" w:hAnsi="Times New Roman"/>
          <w:sz w:val="24"/>
        </w:rPr>
        <w:t xml:space="preserve">στο πλαίσιο δημόσιου προγράμματος ή μέτρου που αναφέρεται στο σημείο 180 στοιχείο β) των κατευθυντήριων γραμμών· </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β) την απώλεια εισοδήματος λόγω υποχρέωσης απομόνωσης και των δυσχερειών ανασύστασης του αποθέματος.</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Προσδιορίστε τις σχετικές διατάξεις της νομικής βάσης.………………………………………………………………………………….</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Εάν επιλέξατε το στοιχείο α) για να απαντήσετε στην ερώτηση</w:t>
      </w:r>
      <w:r w:rsidR="00664AB9">
        <w:rPr>
          <w:rFonts w:ascii="Times New Roman" w:eastAsia="Times New Roman" w:hAnsi="Times New Roman"/>
          <w:sz w:val="24"/>
        </w:rPr>
        <w:fldChar w:fldCharType="begin"/>
      </w:r>
      <w:r w:rsidR="00664AB9">
        <w:rPr>
          <w:rFonts w:ascii="Times New Roman" w:eastAsia="Times New Roman" w:hAnsi="Times New Roman"/>
          <w:sz w:val="24"/>
        </w:rPr>
        <w:instrText xml:space="preserve"> REF _Ref127267544 \r \h </w:instrText>
      </w:r>
      <w:r w:rsidR="00664AB9">
        <w:rPr>
          <w:rFonts w:ascii="Times New Roman" w:eastAsia="Times New Roman" w:hAnsi="Times New Roman"/>
          <w:sz w:val="24"/>
        </w:rPr>
      </w:r>
      <w:r w:rsidR="00664AB9">
        <w:rPr>
          <w:rFonts w:ascii="Times New Roman" w:eastAsia="Times New Roman" w:hAnsi="Times New Roman"/>
          <w:sz w:val="24"/>
        </w:rPr>
        <w:fldChar w:fldCharType="separate"/>
      </w:r>
      <w:r w:rsidR="00664AB9">
        <w:rPr>
          <w:rFonts w:ascii="Times New Roman" w:eastAsia="Times New Roman" w:hAnsi="Times New Roman"/>
          <w:sz w:val="24"/>
        </w:rPr>
        <w:t>17</w:t>
      </w:r>
      <w:r w:rsidR="00664AB9">
        <w:rPr>
          <w:rFonts w:ascii="Times New Roman" w:eastAsia="Times New Roman" w:hAnsi="Times New Roman"/>
          <w:sz w:val="24"/>
        </w:rPr>
        <w:fldChar w:fldCharType="end"/>
      </w:r>
      <w:r>
        <w:rPr>
          <w:rFonts w:ascii="Times New Roman" w:hAnsi="Times New Roman"/>
          <w:sz w:val="24"/>
        </w:rPr>
        <w:t>, επιβεβαιώστε ότι το μέτρο προβλέπει ότι η αγοραία αξία πρέπει να καθορίζεται με βάση την αξία των ζώων αμέσως πριν προκύψει ή επιβεβαιωθεί οποιαδήποτε υπόνοια ασθένειας των ζώων ή προσβολής από χωροκατακτητικά ξένα είδη, και ως εάν να μην είχαν επηρεαστεί από την ασθένεια ή την προσβολή.</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όχι</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Επιβεβαιώστε ότι το ποσό της αποζημίωσης πρέπει να αφαιρούνται οι δαπάνες που δεν πραγματοποιήθηκαν άμεσα λόγω της νόσου των ζώων ή της προσβολής από χωροκατακτητικά ξένα είδη, οι οποίες διαφορετικά θα είχαν πραγματοποιηθεί από τη δικαιούχο επιχείρηση.</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807C4B">
        <w:rPr>
          <w:rFonts w:ascii="Times New Roman" w:eastAsia="Times New Roman" w:hAnsi="Times New Roman"/>
          <w:b/>
          <w:sz w:val="24"/>
        </w:rPr>
      </w:r>
      <w:r w:rsidR="00807C4B">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E0C5C">
        <w:rPr>
          <w:rFonts w:ascii="Times New Roman" w:eastAsia="Times New Roman" w:hAnsi="Times New Roman"/>
          <w:sz w:val="24"/>
        </w:rPr>
        <w:fldChar w:fldCharType="begin">
          <w:ffData>
            <w:name w:val="Check1"/>
            <w:enabled/>
            <w:calcOnExit w:val="0"/>
            <w:checkBox>
              <w:sizeAuto/>
              <w:default w:val="0"/>
            </w:checkBox>
          </w:ffData>
        </w:fldChar>
      </w:r>
      <w:r w:rsidRPr="00FE0C5C">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FE0C5C">
        <w:rPr>
          <w:rFonts w:ascii="Times New Roman" w:eastAsia="Times New Roman" w:hAnsi="Times New Roman"/>
          <w:sz w:val="24"/>
        </w:rPr>
        <w:fldChar w:fldCharType="end"/>
      </w:r>
      <w:r>
        <w:rPr>
          <w:rFonts w:ascii="Times New Roman" w:hAnsi="Times New Roman"/>
          <w:sz w:val="24"/>
        </w:rPr>
        <w:tab/>
        <w:t>όχι</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δαπάνες.</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Εάν η απάντηση είναι «ναι», προσδιορίστε τις σχετικές διατάξεις της νομικής βάσης.</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Επιβεβαιώστε ότι από το ποσό της αποζημίωσης πρέπει να αφαιρούνται τα έσοδα από την πώληση προϊόντων που συνδέονται με τα ζώα που </w:t>
      </w:r>
      <w:proofErr w:type="spellStart"/>
      <w:r>
        <w:rPr>
          <w:rFonts w:ascii="Times New Roman" w:hAnsi="Times New Roman"/>
          <w:sz w:val="24"/>
        </w:rPr>
        <w:t>εσφάγησαν</w:t>
      </w:r>
      <w:proofErr w:type="spellEnd"/>
      <w:r>
        <w:rPr>
          <w:rFonts w:ascii="Times New Roman" w:hAnsi="Times New Roman"/>
          <w:sz w:val="24"/>
        </w:rPr>
        <w:t>, θανατώθηκαν ή καταστράφηκαν για λόγους πρόληψης ή εξάλειψης.</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όχι</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Εάν το κοινοποιούν κράτος μέλος επέλεξε το σημείο i) στην ερώτηση</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sidR="00664AB9">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παραθέστε λεπτομερή αιτιολόγηση των λόγων για τους οποίους οι εν λόγω άλλες δαπάνες θα πρέπει να είναι επιλέξιμες.</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οι ενισχύσεις και τυχόν άλλες πληρωμές που λαμβάνει η δικαιούχος επιχείρηση, συμπεριλαμβανομένων των πληρωμών στο πλαίσιο άλλων εθνικών ή ενωσιακών μέτρων ή βάσει ασφαλιστικών συμβάσεων ή από ταμεία αλληλοβοήθειας για τις ίδιες επιλέξιμες δαπάνες, δεν πρέπει να υπερβαίνουν το 100 % των επιλέξιμων δαπανών.</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807C4B">
        <w:rPr>
          <w:rFonts w:ascii="Times New Roman" w:eastAsia="Times New Roman" w:hAnsi="Times New Roman"/>
          <w:sz w:val="24"/>
        </w:rPr>
      </w:r>
      <w:r w:rsidR="00807C4B">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όχι</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Αναφέρετε την ή τις μέγιστες εντάσεις ενίσχυσης που ισχύουν στο πλαίσιο του μέτρου.</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 xml:space="preserve">Προσδιορίστε την ή τις διατάξεις της νομικής βάσης που θέτουν </w:t>
      </w:r>
      <w:bookmarkEnd w:id="13"/>
      <w:r>
        <w:rPr>
          <w:rFonts w:ascii="Times New Roman" w:hAnsi="Times New Roman"/>
          <w:sz w:val="24"/>
        </w:rPr>
        <w:t>το όριο του 100 % και την ή τις μέγιστες εντάσεις ενίσχυσης βάσει του μέτρου.</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ΑΛΛΕΣ ΠΛΗΡΟΦΟΡΙΕΣ</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Αναφέρετε κάθε άλλη πληροφορία που θεωρείται χρήσιμη για την αξιολόγηση του υπόψη μέτρου βάσει του εν λόγω τμήματος των κατευθυντήριων γραμμών.</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ΕΕ C 107 της 23.3.2023, σ. 1</w:t>
      </w:r>
      <w:r>
        <w:t>.</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Κανονισμός (ΕΕ) 2016/429 του Ευρωπαϊκού Κοινοβουλίου και του Συμβουλίου, της 9ης Μαρτίου 2016, σχετικά με τις μεταδοτικές νόσους των ζώων και για την τροποποίηση και την κατάργηση ορισμένων πράξεων στον τομέα της υγείας των ζώων («νόμος για την υγεία των ζώων») (ΕΕ L 84 της 31.3.2016, σ.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Βλ.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Κανονισμός (ΕΕ) 2021/690 του Ευρωπαϊκού Κοινοβουλίου και του Συμβουλίου, της 28ης Απριλίου 2021, για τη θέσπιση προγράμματος για την εσωτερική αγορά, την ανταγωνιστικότητα των επιχειρήσεων, συμπεριλαμβανομένων των μικρομεσαίων, τον τομέα των φυτών, των ζώων, των τροφίμων και των ζωοτροφών, και τις ευρωπαϊκές στατιστικές (Πρόγραμμα για την ενιαία αγορά) και για την κατάργηση των κανονισμών (ΕΕ) αριθ. 99/2013, (ΕΕ) αριθ. 1287/2013, (ΕΕ) αριθ. 254/2014 και (ΕΕ) αριθ. 652/2014 (ΕΕ L 153 της 3.5.2021, σ.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07C4B"/>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el-GR"/>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899</TotalTime>
  <Pages>7</Pages>
  <Words>1775</Words>
  <Characters>10758</Characters>
  <Application>Microsoft Office Word</Application>
  <DocSecurity>0</DocSecurity>
  <Lines>283</Lines>
  <Paragraphs>136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MEINTANOPOULOS Efstratios (DGT)</cp:lastModifiedBy>
  <cp:revision>101</cp:revision>
  <dcterms:created xsi:type="dcterms:W3CDTF">2023-01-18T09:25:00Z</dcterms:created>
  <dcterms:modified xsi:type="dcterms:W3CDTF">2024-08-21T18:24:00Z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