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Supplerende informationsskema om </w:t>
      </w:r>
      <w:r>
        <w:rPr>
          <w:rFonts w:ascii="Times New Roman" w:hAnsi="Times New Roman"/>
          <w:b/>
          <w:smallCaps/>
          <w:sz w:val="24"/>
        </w:rPr>
        <w:br/>
        <w:t>Støtte til dækning af omkostningerne ved forebyggelse, bekæmpelse og udryddelse af dyresygdomme i akvakultur og af invasive ikkehjemmehørende arter samt støtte til at råde bod på skader forårsaget af disse dyresygdomme og angreb</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Medlemsstaterne anvender dette informationsskema ved anmeldelse af statsstøtte til dækning af omkostningerne ved forebyggelse, bekæmpelse og udryddelse af dyresygdomme i akvakultur og af invasive ikkehjemmehørende arter samt støtte til at råde bod på skader forårsaget af disse dyresygdomme og angreb som beskrevet i del II, kapitel 1, afsnit 1.3, i retningslinjerne for statsstøtte til fiskeri- og akvakultursektoren</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Udgør foranstaltningen en på forhånd indført rammestøtteordning, som tager sigte på at dække omkostningerne ved forebyggelse, bekæmpelse og udryddelse af dyresygdomme i akvakultur og af invasive ikkehjemmehørende arter?</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Hvis svaret er ja, kan spørgsmål 10 og 11 udelades.</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Ved en på forhånd indført rammestøtteordning bekræftes det, at medlemsstaten vil opfylde sin rapporteringsforpligtelse som fastsat i punkt (345) i retningslinjerne.</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nej</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Angiv, om støtten ydes i forbindelse med dyresygdomme og/eller invasive ikkehjemmehørende arter, for hvilke der er fastsat EU-bestemmelser eller nationale forskrifter, det være sig i form af love eller administrative bestemmelser:</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nej</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angives de relevante EU-bestemmelser eller nationale forskrifter:</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angives de sygdomme og/eller angreb, som foranstaltningen er rettet mod, og der gives en detaljeret beskrivelse af årsagerne til og spredningen af dyresygdommen eller angrebet:</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lastRenderedPageBreak/>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om støtten ydes som led i:</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et offentligt program på EU-plan, nationalt plan eller lokalt plan for forebyggelse, bekæmpelse eller udryddelse af dyresygdomme</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nødforanstaltninger iværksat af de kompetente myndigheder</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foranstaltninger til udryddelse eller indeslutning af invasive ikkehjemmehørende arter, der gennemføres i henhold til forordning (EU) nr.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757B8FFD"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Angiv det/de relevante programmer eller foranstaltni</w:t>
      </w:r>
      <w:r w:rsidR="00CD0FA9">
        <w:rPr>
          <w:rFonts w:ascii="Times New Roman" w:hAnsi="Times New Roman"/>
          <w:sz w:val="24"/>
        </w:rPr>
        <w:t>n</w:t>
      </w:r>
      <w:r>
        <w:rPr>
          <w:rFonts w:ascii="Times New Roman" w:hAnsi="Times New Roman"/>
          <w:sz w:val="24"/>
        </w:rPr>
        <w:t>ger:</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det/de relevante programmer eller foranstaltninger indeholder en beskrivelse af den pågældende forebyggelses-, bekæmpelses- og udryddelsesforanstaltning:</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nej</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Angiv de relevante bestemmelser i programmerne og foranstaltningerne:</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Bekræft, at der ikke ydes støtte til foranstaltninger, for hvilke det i EU-lovgivningen er fastsat, at omkostningerne ved sådanne foranstaltninger skal bæres af den støttemodtagende virksomhed, medmindre omkostningerne ved sådanne foranstaltninger helt dækkes af obligatoriske afgifter, som påhviler de støttemodtagende virksomheder:</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nej</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støtten skal ydes direkte til:</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den pågældende virksomhed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en producentsammenslutning eller -organisation, som virksomheden er medlem af.</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støtten udbetales til en producentsammenslutning eller -organisation, bekræftes det, at støttebeløbet ikke overstiger det støttebeløb, virksomheden er berettiget til.</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lastRenderedPageBreak/>
        <w:t>Bekræft, at foranstaltningen indeholder bestemmelser om, at der ikke ydes individuel støtte, hvis det er godtgjort, at den støttemodtagende virksomhed med forsætlige eller uagtsomme handlinger var skyld i dyresygdommen eller angrebet af invasive ikkehjemmehørende arter:</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Angiv, hvilke(n) kategori(er), der kan ydes støtte til:</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sygdomme hos akvatiske dyr, der er anført i artikel 5, stk. 1, i Europa-Parlamentets og Rådets forordning (EU) 2016/429</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eller som er opført på listen over dyresygdomme i sundhedskodeksen for akvatiske dyr opstillet af Verdensorganisationen for Dyresundhed</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zoonoser hos akvatiske dyr, som er oplistet i bilag III, punkt 2, til Europa-Parlamentets og Rådets forordning (EU) 2021/690</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c)</w:t>
      </w:r>
      <w:r>
        <w:rPr>
          <w:rFonts w:ascii="Times New Roman" w:hAnsi="Times New Roman"/>
          <w:b/>
          <w:sz w:val="24"/>
        </w:rPr>
        <w:t xml:space="preserve"> </w:t>
      </w:r>
      <w:r>
        <w:rPr>
          <w:rFonts w:ascii="Times New Roman" w:hAnsi="Times New Roman"/>
          <w:sz w:val="24"/>
        </w:rPr>
        <w:t>nye sygdomme, som opfylder betingelserne i artikel 6, stk. 2, i forordning (EU)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w:t>
      </w:r>
      <w:r>
        <w:rPr>
          <w:rFonts w:ascii="Times New Roman" w:hAnsi="Times New Roman"/>
          <w:b/>
          <w:sz w:val="24"/>
        </w:rPr>
        <w:t xml:space="preserve"> </w:t>
      </w:r>
      <w:r>
        <w:rPr>
          <w:rFonts w:ascii="Times New Roman" w:hAnsi="Times New Roman"/>
          <w:sz w:val="24"/>
        </w:rPr>
        <w:t>andre sygdomme end en listeopført sygdom, jf. artikel 9, stk. 1, litra d), i forordning (EU) 2016/429, som opfylder kriterierne i samme forordnings artikel 226.</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Angiv den relevante kategori af sygdom/zoonose:</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Angiv tidspunktet for sygdommen eller zoonosen, herunder start- og slutdato (alt efter omstændighederne):</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Hvis foranstaltningen har forebyggende karakter, besvares spørgsmålet ikke.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Bekræft, at støtteordningerne er indført senest tre år efter, at de omkostninger eller det tab, som dyresygdommen eller de invasive ikkehjemmehørende arter har forårsaget, opstod:</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nej</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Bemærk, at denne betingelse ikke gælder for omkostningerne til forebyggende formål som anført i punkt (188) i retningslinjerne.</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Bekræft, at foranstaltningen indeholder bestemmelser om, at støtten skal udbetales senest fire år efter, at de omkostninger eller det tab, som dyresygdommen eller de invasive ikkehjemmehørende arter har forårsaget, opstod:</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nej</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Bemærk, at denne betingelse ikke gælder for omkostningerne til forebyggende formål som anført i punkt (188) i retningslinjerne.</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Giv så præcis en vurdering som muligt af typen og omfanget af den skade, som virksomheden har lidt, eller – ved en på forhånd indført rammestøtteordning – kan forventes at lide:</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Angiv, hvilke støtteberettigede omkostninger der er dækket af foranstaltningen:</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udgifter til sundhedsundersøgelser, analyser, test og andre screeningmetoder</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udgifter til forbedring af biosikring</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c)udgifter til indkøb, opbevaring, anvendelse eller distribution af vacciner, medicin, dyrebehandlingspræparater</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d) udgifter til indkøb, opbevaring, anvendelse og distribution af beskyttelsesprodukter eller beskyttelsesudstyr til at håndtere invasive ikkehjemmehørende arter</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e) udgifter til slagtning, aflivning og destruktion af dyr</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f) udgifter til destruktion af animalske produkter og produkter knyttet til dyr</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g) udgifter til rengøring, desinfektion og skadedyrsbekæmpelse af bedrifter eller udstyr</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h) udgifter i forbindelse med skader opstået som følge af slagtning, aflivning eller destruktion af dyr, animalske produkter og produkter knyttet til dyr</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i) andre omkostninger som følge af sygdomme i akvakultur eller invasive ikkehjemmehørende arter. Angiv nærmere:………………………………………………………</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Angiv henvisning til de bestemmelser i retsgrundlaget, der afspejler de støtteberettigede omkostninger:</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CD0FA9">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Bekræft, at støtten ydet til sundhedsundersøgelser, analyser, test og andre screeningmetoder ydes i naturalier og betales til tjenesteyderen:</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nej</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Hvis svaret er nej, bekræftes det, at foranstaltningen indeholder bestemmelser om, at de støttemodtagende virksomheder allerede selv besidder den fornødne kapacitet til at varetage opgaverne:</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nej</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på spørgsmål 16.1 er ja, anføres de relevante bestemmelser i retsgrundlaget:</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Hvis de støtteberettigede omkostninger omfatter støtte til at råde bod på skader forårsaget af dyresygdomme eller invasive ikkehjemmehørende arter som omhandlet i punkt (188), litra h), i retningslinjerne, bekræftes det, at kompensationen kun beregnes i forhold til:</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markedsværdien af de dyr, der er slagtet eller aflivet eller er døde, eller af de produkter, der er destrueret:</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 xml:space="preserve">som følge af dyresygdommen eller de invasive ikkehjemmehørende arter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som led i et offentligt program eller en offentlig foranstaltning, jf. punkt (180), litra b) i retningslinjerne</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indkomsttab som følge af karantæneforpligtelser og vanskeligheder i forbindelse med genopretning af bestanden.</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relevante bestemmelser i retsgrundlaget:.………………………………………………………………………………….</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Hvis der er sat kryds i a) under spørgsmål </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bekræftes det, at foranstaltningen indeholder bestemmelser om, at markedsværdien skal opgøres på grundlag af dyrenes værdi umiddelbart før enhver mistanke om dyresygdommen eller angrebet opstod eller blev bekræftet, som hvis de ikke var blevet berørt af dyresygdommen eller angrebet af invasive ikkehjemmehørende arter.</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nej</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Bekræft, at kompensationsbeløbet reduceres med eventuelle udgifter, som den støttemodtagende virksomhed ikke har afholdt direkte som følge af dyresygdommen eller de invasive ikkehjemmehørende arter:</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CD0FA9">
        <w:rPr>
          <w:rFonts w:ascii="Times New Roman" w:eastAsia="Times New Roman" w:hAnsi="Times New Roman"/>
          <w:b/>
          <w:sz w:val="24"/>
        </w:rPr>
      </w:r>
      <w:r w:rsidR="00CD0FA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nej</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angives de relevante omkostninger:</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Hvis svaret er ja anføres de relevante bestemmelser i retsgrundlaget:</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Bekræft, at kompensationsbeløbet reduceres med eventuelle indtægter fra salg af produkter knyttet til de dyr, der er blevet slagtet, aflivet eller destrueret af forebyggelses- eller udryddelseshensyn:</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nej</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Hvis der er sat kryds i i) under spørgsmål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xml:space="preserve"> , gives en detaljeret beskrivelse begrundelse for de andre omkostningers støtteberettigelse:</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støtten sammen med andre betalinger, som støttemodtageren har modtaget til de samme støtteberettigede omkostninger, herunder betalinger i forbindelse med andre nationale foranstaltninger eller EU-foranstaltninger eller forsikringsydelser eller gensidige fonde, ikke må overstige 100 % af de støtteberettigede omkostninger:</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CD0FA9">
        <w:rPr>
          <w:rFonts w:ascii="Times New Roman" w:eastAsia="Times New Roman" w:hAnsi="Times New Roman"/>
          <w:sz w:val="24"/>
        </w:rPr>
      </w:r>
      <w:r w:rsidR="00CD0FA9">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nej</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Angiv henvisning til de bestemmelser i retsgrundlaget, der fastsætter grænsen på 100 % og de maksimale støtteintensiteter under foranstaltningen:</w:t>
      </w:r>
      <w:bookmarkEnd w:id="13"/>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rPr>
          <w:rFonts w:ascii="Times New Roman" w:hAnsi="Times New Roman"/>
        </w:rPr>
        <w:t xml:space="preserve"> EUT C 107 af 23.3.2023, s.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Europa-Parlamentets og Rådets forordning (EU) 2016/429 af 9. marts 2016 om overførbare dyresygdomme og om ændring og ophævelse af visse retsakter på området for dyresundhed ("dyresundhedsloven") (EUT L 84 af 31.3.2016, s.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Se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Europa-Parlamentets og Rådets forordning (EU) 2021/690 af 28. april 2021 om oprettelse af et program for det indre marked, virksomheders, herunder små og mellemstore virksomheders, konkurrenceevne, plante-, dyre-, fødevare- og foderområdet og europæiske statistikker (programmet for det indre marked) og om ophævelse af forordning (EU) nr. 99/2013, (EU) nr. 1287/2013, (EU) nr. 254/2014 og (EU) nr. 652/2014 (EUT L 153 af 3.5.2021,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D0FA9"/>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da-DK"/>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7</Pages>
  <Words>1533</Words>
  <Characters>10103</Characters>
  <Application>Microsoft Office Word</Application>
  <DocSecurity>0</DocSecurity>
  <Lines>273</Lines>
  <Paragraphs>133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HARMENS Maria (DGT)</cp:lastModifiedBy>
  <cp:revision>101</cp:revision>
  <dcterms:created xsi:type="dcterms:W3CDTF">2023-01-18T09:25:00Z</dcterms:created>
  <dcterms:modified xsi:type="dcterms:W3CDTF">2024-08-16T11:50:00Z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