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Papildomos informacijos apie pagalbą akvakultūros gyvūnų ligų prevencijos, kontrolės ir likvidavimo išlaidoms ir su invazinių svetimų rūšių plitimu susijusioms išlaidoms padengti ir pagalbą gyvūnų ligų ir invazinių svetimų rūšių plitimo padarytai žalai atitaisyti pateikimo forma</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Šią formą valstybės narės turi naudoti pranešdamos apie bet kokią pagalbą akvakultūros gyvūnų ligų prevencijos, kontrolės ir likvidavimo išlaidoms ir su invazinių svetimų rūšių plitimu susijusioms išlaidoms padengti ir pagalbą gyvūnų ligų ir invazinių svetimų rūšių plitimo padarytai žalai atitaisyti, aprašytas Valstybės pagalbos žvejybos ir akvakultūros sektoriuje gairių</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(toliau – gairės) II dalies 1 skyriaus 1.3 skirsnyje.</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Ar priemonė yra </w:t>
      </w:r>
      <w:r>
        <w:rPr>
          <w:rFonts w:ascii="Times New Roman" w:hAnsi="Times New Roman"/>
          <w:i/>
          <w:sz w:val="24"/>
        </w:rPr>
        <w:t>ex ante</w:t>
      </w:r>
      <w:r>
        <w:rPr>
          <w:rFonts w:ascii="Times New Roman" w:hAnsi="Times New Roman"/>
          <w:sz w:val="24"/>
        </w:rPr>
        <w:t xml:space="preserve"> pagrindinė schema, skirta akvakultūros gyvūnų ligų prevencijos, kontrolės ir likvidavimo išlaidoms ir su invazinių svetimų rūšių plitimu susijusioms išlaidoms padengti?</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taip</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Jei atsakėte teigiamai,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ir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_Ref126941550 \r \h  \* MERGEFORMAT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12</w:t>
      </w:r>
      <w:r>
        <w:rPr>
          <w:rFonts w:ascii="Times New Roman" w:eastAsia="Times New Roman" w:hAnsi="Times New Roman"/>
          <w:i/>
          <w:sz w:val="24"/>
        </w:rPr>
        <w:fldChar w:fldCharType="end"/>
      </w:r>
      <w:r>
        <w:rPr>
          <w:rFonts w:ascii="Times New Roman" w:hAnsi="Times New Roman"/>
          <w:i/>
          <w:sz w:val="24"/>
        </w:rPr>
        <w:t xml:space="preserve"> klausimus praleiskite.</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Ex ante</w:t>
      </w:r>
      <w:r>
        <w:rPr>
          <w:rFonts w:ascii="Times New Roman" w:hAnsi="Times New Roman"/>
          <w:sz w:val="24"/>
        </w:rPr>
        <w:t xml:space="preserve"> pagrindinių schemų atveju patvirtinkite, kad valstybė narė laikysis gairių 345 punkte nustatytos pareigos teikti ataskaitas.</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Patvirtinkite, kad pagalba teikiama, jei ji susijusi su gyvūnų ligomis ir (arba) invazinių svetimų rūšių plitimu, nurodytais galiojančiose Sąjungos arba nacionalinėse taisyklėse, nustatytose įstatymais ar kitais teisės aktais.</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Jei atsakėte teigiamai, nurodykite atitinkamas Sąjungos arba nacionalines taisykles.</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Jei atsakėte teigiamai, nurodykite ligą (-as) ir (arba) invazinių svetimų rūšių plitimo atvejį (-us), kuriam (-iems) taikoma ši priemonė, ir išsamiai paaiškinkite ligos atsiradimo ir plitimo priežastis ar invazinių svetimų rūšių plitimo priežastis.</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Patvirtinkite, kad pagalba teikiama pagal:</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Sąjungos, nacionaliniu arba regioniniu mastu taikomą viešąją gyvūnų ligų prevencijos, kontrolės arba likvidavimo programą,</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kompetentingos nacionalinės institucijos taikomas neatidėliotinas priemones,</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pagal Reglamentą (ES) Nr. 1143/2014 įgyvendinamomis invazinių svetimų rūšių išnaikinimo arba plitimo sustabdymo priemonėmis.</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Nurodykite atitinkamą (-as) programą (-as) arba priemonę (-es), kuri (-ios) atspindi pasirinktą atsakymą.</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Patvirtinkite, kad atitinkamoje (-ose) programoje (-ose) arba priemonėje (-ėse) aprašytos atitinkamos prevencijos, kontrolės ir likvidavimo arba išnaikinimo priemonės.</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Nurodykite atitinkamas programos (-ų) ir priemonės (-ių) nuostatas.</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Patvirtinkite, kad pagalba nėra susijusi su priemonėmis, dėl kurių patirtas išlaidas pagal Sąjungos teisės aktus padengia pagalbą gaunanti įmonė, nebent tokių pagalbos priemonių taikymo išlaidos yra visiškai padengiamos privalomomis pagalbą gaunančioms įmonėms nustatytomis rinkliavomis.</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Patvirtinkite, kad pagalba turi būti išmokėta tiesiogiai:</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atitinkamai įmonei,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gamintojų grupei ar organizacijai, kuriai ta įmonė priklauso.</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Jei pagalba mokama gamintojų grupei ir organizacijai, patvirtinkite, kad pagalbos suma neturi viršyti pagalbos sumos, kuri galėtų būti mokama tai įmonei.</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atsakėte teigiamai, nurodykite atitinkamą (-as) teisinio pagrindo nuostatą (-as).</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lastRenderedPageBreak/>
        <w:t>Patvirtinkite, kad pagal priemonę numatoma, jog tuo atveju, kai gyvūnų ligą ar invazinių svetimų rūšių plitimą lėmė tyčiniai pagalbą gaunančios įmonės veiksmai arba jos aplaidumas, individuali pagalba nebus teikiama.</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atsakėte teigiamai, nurodykite atitinkamą (-as) teisinio pagrindo nuostatą (-as).</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Nurodykite atitinkamą (-as) kategoriją (-as), pagal kurią (-ias) gali būti teikiama pagalba:</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vandens gyvūnų ligų, kurios nurodytos Europos Parlamento ir Tarybos reglamento (ES) 2016/429</w:t>
      </w:r>
      <w:r>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5 straipsnio 1 dalyje arba įtrauktos į Pasaulinės gyvūnų sveikatos organizacijos vandens gyvūnų sveikatos kodekse pateiktą gyvūnų ligų sąrašą, atveju</w:t>
      </w:r>
      <w:r>
        <w:rPr>
          <w:rStyle w:val="FootnoteReference"/>
          <w:rFonts w:ascii="Times New Roman" w:eastAsia="Times New Roman" w:hAnsi="Times New Roman"/>
          <w:bCs/>
          <w:sz w:val="24"/>
          <w:szCs w:val="24"/>
          <w:lang w:eastAsia="en-GB"/>
        </w:rPr>
        <w:footnoteReference w:id="3"/>
      </w:r>
      <w:r>
        <w:rPr>
          <w:rFonts w:ascii="Times New Roman" w:hAnsi="Times New Roman"/>
          <w:sz w:val="24"/>
        </w:rPr>
        <w:t>;</w:t>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vandens gyvūnų zoonozių, išvardytų Europos Parlamento ir Tarybos reglamento (ES) 2021/690 III priedo 2 punkte, atveju</w:t>
      </w:r>
      <w:r>
        <w:rPr>
          <w:rStyle w:val="FootnoteReference"/>
          <w:rFonts w:ascii="Times New Roman" w:eastAsia="Times New Roman" w:hAnsi="Times New Roman"/>
          <w:bCs/>
          <w:sz w:val="24"/>
          <w:szCs w:val="24"/>
          <w:lang w:eastAsia="en-GB"/>
        </w:rPr>
        <w:footnoteReference w:id="4"/>
      </w:r>
      <w:r>
        <w:rPr>
          <w:rFonts w:ascii="Times New Roman" w:hAnsi="Times New Roman"/>
          <w:sz w:val="24"/>
        </w:rPr>
        <w:t>;</w:t>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w:t>
      </w:r>
      <w:r>
        <w:rPr>
          <w:rFonts w:ascii="Times New Roman" w:hAnsi="Times New Roman"/>
          <w:b/>
          <w:sz w:val="24"/>
        </w:rPr>
        <w:t xml:space="preserve"> </w:t>
      </w:r>
      <w:r>
        <w:rPr>
          <w:rFonts w:ascii="Times New Roman" w:hAnsi="Times New Roman"/>
          <w:sz w:val="24"/>
        </w:rPr>
        <w:t>naujų ligų, kurios atitinka Reglamento (ES) 2016/429 6 straipsnio 2 dalyje nustatytas sąlygas, atveju;</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w:t>
      </w:r>
      <w:r>
        <w:rPr>
          <w:rFonts w:ascii="Times New Roman" w:hAnsi="Times New Roman"/>
          <w:b/>
          <w:sz w:val="24"/>
        </w:rPr>
        <w:t xml:space="preserve"> </w:t>
      </w:r>
      <w:r>
        <w:rPr>
          <w:rFonts w:ascii="Times New Roman" w:hAnsi="Times New Roman"/>
          <w:sz w:val="24"/>
        </w:rPr>
        <w:t>ligų, kurios nėra Reglamento (ES) 2016/429 9 straipsnio 1 dalies d punkte nurodytos į sąrašą įtrauktos ligos ir kurios atitinka to reglamento 226 straipsnyje nustatytus kriterijus, atveju.</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Nurodykite atitinkamą ligos / zoonozės kategoriją.</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Paaiškinkite, kada gyvūnai susirgo arba paplito invazinės svetimos rūšys, įskaitant tokio įvykio pradžios ir pabaigos datas (jei taikoma).</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Jei priemonė skirta prevenciniams tikslams, klausimas neaktualus.</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Patvirtinkite, kad pagalbos schema pradedama taikyti per trejus metus nuo dienos, kurią dėl gyvūnų ligų arba invazinių svetimų rūšių plitimo buvo patirta išlaidų ar žalos.</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lastRenderedPageBreak/>
        <w:t>Atkreipkite dėmesį, kad ši sąlyga netaikoma išlaidoms, patirtoms prevencijos tikslais, kaip nurodyta gairių 188 punkte.</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atsakėte teigiamai, nurodykite atitinkamą (-as) teisinio pagrindo nuostatą (-as).</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Patvirtinkite, kad pagal priemonę numatoma, jog pagalba turi būti išmokėta per ketverius metus nuo dienos, kurią dėl gyvūnų ligų arba invazinių svetimų rūšių plitimo buvo patirta išlaidų ar žalos.</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atsakėte teigiamai, nurodykite atitinkamą (-as) teisinio pagrindo nuostatą (-as).</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Atkreipkite dėmesį, kad ši sąlyga netaikoma išlaidoms, patirtoms prevencijos tikslais, kaip nurodyta gairių 188 punkte.</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 xml:space="preserve">Pateikite kuo tikslesnį įmonių patirtos žalos arba, </w:t>
      </w:r>
      <w:r>
        <w:rPr>
          <w:rFonts w:ascii="Times New Roman" w:hAnsi="Times New Roman"/>
          <w:i/>
          <w:sz w:val="24"/>
        </w:rPr>
        <w:t>ex ante</w:t>
      </w:r>
      <w:r>
        <w:rPr>
          <w:rFonts w:ascii="Times New Roman" w:hAnsi="Times New Roman"/>
          <w:sz w:val="24"/>
        </w:rPr>
        <w:t xml:space="preserve"> pagrindinės schemos atveju, žalos, kuri gali būti patirta, rūšies ir masto vertinimą.</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Nurodykite tinkamas finansuoti išlaidas, kurioms taikoma ši priemonė:</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sveikatos patikrinimų, analizių, tyrimų ir kitų patikrinimo priemonių;</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biologinio saugumo priemonių tobulinimo;</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skiepų, vaistų ir gyvūnų sveikatos priežiūros medžiagų įsigijimo, laikymo, naudojimo ar platinimo;</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apsaugos produktų bei įrangos, skirtų spręsti invazinių svetimų rūšių plitimo problemą, įsigijimo, saugojimo, naudojimo ir platinimo;</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gyvūnų skerdimo, žudymo ir sunaikinimo;</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gyvūninių produktų ir su gyvūnais susijusių produktų sunaikinimo;</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valdos patalpų arba įrangos valymo, dezinfekavimo ar dezinfestacijos;</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žalos, patirtos dėl gyvūnų skerdimo, žudymo ar sunaikinimo ir dėl gyvūninių produktų bei su gyvūnais susijusių produktų sunaikinimo;</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kitos išlaidos, patirtos dėl akvakultūros gyvūnų ligų arba invazinių svetimų rūšių plitimo. Nurodykite jas:………………………………………………………</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lastRenderedPageBreak/>
        <w:t>Nurodykite teisinio pagrindo nuostatą (-as), kuri (-ios) atspindi tinkamas finansuoti išlaidas:</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Patvirtinkite, kad pagalba, susijusi su sveikatos patikrinimais, analizėmis, tyrimais ir kitomis patikrinimo priemonėmis, teikiama natūra ir mokama paslaugų teikėjams:</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Jei atsakėte neigiamai, patvirtinkite, kad pagal priemonę numatoma, jog pagalbą gaunančios įmonės savo valdose jau turi šioms reikmėms skirtus išteklius.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į 16.1 klausimą atsakėte teigiamai, nurodykite atitinkamą (-as) teisinio pagrindo nuostatą (-as).</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Jei tinkamos finansuoti išlaidos apima pagalbą, kuri skiriama gyvūnų ligų arba invazinių svetimų rūšių plitimo padarytai žalai, nurodytai gairių 188 punkto h papunktyje, atitaisyti, patvirtinkite, kad pagal priemonę numatoma, jog kompensacija turi būti apskaičiuojama tik pagal:</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rinkos vertę gyvūnų, kurie buvo paskersti, nužudyti ar nugaišo, arba produktų, kurie buvo sunaikinti:</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dėl gyvūnų ligos arba invazinių svetimų rūšių plitimo;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taikant šių gairių 180 punkto b papunktyje nurodytą viešąją programą arba priemonę;</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laikantis karantino įpareigojimų ir dėl sunkumų atkuriant išteklius.</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Nurodykite atitinkamą (-as) teisinio pagrindo nuostatą (-as): .………………………………………………………………………………….</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Jei atsakydami į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_Ref127267544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17</w:t>
      </w:r>
      <w:r>
        <w:rPr>
          <w:rFonts w:ascii="Times New Roman" w:eastAsia="Times New Roman" w:hAnsi="Times New Roman"/>
          <w:sz w:val="24"/>
        </w:rPr>
        <w:fldChar w:fldCharType="end"/>
      </w:r>
      <w:r>
        <w:rPr>
          <w:rFonts w:ascii="Times New Roman" w:hAnsi="Times New Roman"/>
          <w:sz w:val="24"/>
        </w:rPr>
        <w:t xml:space="preserve"> klausimą pasirinkote a punktą, patvirtinkite, kad pagal priemonę numatoma, jog rinkos vertė turi būti nustatoma remiantis gyvūnų verte prieš pat kylant įtarimui dėl gyvūnų ligos ar invazinių svetimų rūšių plitimo arba prieš pat tą įtarimą patvirtinant, tarsi jie nebūtų buvę paveikti tos ligos arba plitimo.</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atsakėte teigiamai, nurodykite atitinkamą (-as) teisinio pagrindo nuostatą (-as).</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lastRenderedPageBreak/>
        <w:t>Patvirtinkite, kad kompensacijos suma turi būti sumažinta atėmus iš jos visas išlaidas, kurios nebuvo tiesiogiai patirtos dėl gyvūnų ligos arba invazinių svetimų rūšių plitimo ir kurias pagalbą gaunanti įmonė vis tiek būtų patyrusi.</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70487">
        <w:rPr>
          <w:rFonts w:ascii="Times New Roman" w:eastAsia="Times New Roman" w:hAnsi="Times New Roman"/>
          <w:b/>
          <w:sz w:val="24"/>
        </w:rPr>
      </w:r>
      <w:r w:rsidR="008704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atsakėte teigiamai, nurodykite atitinkamas išlaidas.</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Jei atsakėte teigiamai, nurodykite atitinkamą (-as) teisinio pagrindo nuostatą (-as).</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Patvirtinkite, kad kompensacijos suma turi būti sumažinta atėmus iš jos bet kokias pajamas, gautas pardavus produktus, susijusius su prevencijos ar likvidavimo tikslais paskerstais, nužudytais ar sunaikintais gyvūnais.</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Jei atsakėte teigiamai, nurodykite atitinkamą (-as) teisinio pagrindo nuostatą (-as).</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Jei pranešančioji valstybė narė atsakydama į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xml:space="preserve"> klausimą pasirinko i punktą, išsamiai pagrįskite, kodėl tos kitos išlaidos turėtų būti tinkamos finansuoti.</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Patvirtinkite, kad pagal priemonę numatoma, jog pagalba ir bet kokios kitos pagalbą gaunančios įmonės gaunamos išmokos (įskaitant išmokas pagal kitą nacionalinę ar Sąjungos priemonę ar draudimo išmokas arba savitarpio pagalbos fondus, kuriomis kompensuojamos tokios pačios tinkamos finansuoti išlaidos) neturi viršyti 100 % tinkamų finansuoti išlaidų.</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taip</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70487">
        <w:rPr>
          <w:rFonts w:ascii="Times New Roman" w:eastAsia="Times New Roman" w:hAnsi="Times New Roman"/>
          <w:sz w:val="24"/>
        </w:rPr>
      </w:r>
      <w:r w:rsidR="0087048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Nurodykite pagal šią priemonę taikytiną didžiausią pagalbos intensyvumą.</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Nurodykite teisinio pagrindo nuostatą (-as), kuria (-iomis) nustatoma</w:t>
      </w:r>
      <w:bookmarkEnd w:id="13"/>
      <w:r>
        <w:rPr>
          <w:rFonts w:ascii="Times New Roman" w:hAnsi="Times New Roman"/>
          <w:sz w:val="24"/>
        </w:rPr>
        <w:t xml:space="preserve"> 100 % riba ir didžiausias pagal šią priemonę teikiamos pagalbos intensyvumas.</w:t>
      </w:r>
    </w:p>
    <w:p w14:paraId="6EF6F7DF" w14:textId="075DA207" w:rsidR="00594BAD" w:rsidRDefault="00EC0CF7" w:rsidP="00870487">
      <w:pPr>
        <w:rPr>
          <w:rFonts w:ascii="Times New Roman" w:eastAsia="Times New Roman" w:hAnsi="Times New Roman"/>
          <w:sz w:val="24"/>
          <w:szCs w:val="24"/>
        </w:rPr>
      </w:pPr>
      <w:r>
        <w:rPr>
          <w:rFonts w:ascii="Times New Roman" w:hAnsi="Times New Roman"/>
          <w:sz w:val="24"/>
        </w:rPr>
        <w:t>………………………………………………………………………………………………….</w:t>
      </w: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KITA INFORMACIJA</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Pateikite bet kokią kitą informaciją, kuri laikoma svarbia vertinant priemonę pagal šį gairių skirsnį.</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sectPr w:rsidR="00594BAD"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OL C 107, 2023 3 23, p.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2016 m. kovo 9 d. Europos Parlamento ir Tarybos reglamentas (ES) 2016/429 dėl užkrečiamųjų gyvūnų ligų, kuriuo iš dalies keičiami ir panaikinami tam tikri gyvūnų sveikatos srities aktai („Gyvūnų sveikatos teisės aktas“) (OL L 84, 2016 3 31, p.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Žr.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2021 m. balandžio 28 d. Europos Parlamento ir Tarybos reglamentas (ES) 2021/690, kuriuo nustatoma vidaus rinkos, įmonių, įskaitant mažąsias ir vidutines įmones, konkurencingumo, augalų, gyvūnų, maisto bei pašarų srities ir Europos statistikos programa (Bendrosios rinkos programa) ir panaikinami reglamentai (ES) Nr. 99/2013, (ES) Nr. 1287/2013, (ES) Nr. 254/2014 bei (ES) Nr. 652/2014 (OL L 153, 2021 5 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70487"/>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lt-LT"/>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762</TotalTime>
  <Pages>6</Pages>
  <Words>1773</Words>
  <Characters>9756</Characters>
  <Application>Microsoft Office Word</Application>
  <DocSecurity>0</DocSecurity>
  <Lines>263</Lines>
  <Paragraphs>137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LAZICKAITE Renata (DGT)</cp:lastModifiedBy>
  <cp:revision>101</cp:revision>
  <dcterms:created xsi:type="dcterms:W3CDTF">2023-01-18T09:25:00Z</dcterms:created>
  <dcterms:modified xsi:type="dcterms:W3CDTF">2024-08-22T13:01:00Z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