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Obrazec za dodatne informacije o</w:t>
      </w:r>
      <w:r>
        <w:rPr>
          <w:rFonts w:ascii="Times New Roman" w:hAnsi="Times New Roman"/>
          <w:b/>
          <w:smallCaps/>
          <w:sz w:val="24"/>
        </w:rPr>
        <w:br/>
        <w:t>likvidnostni pomoči ribičem</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Ta obrazec morajo države članice uporabiti za priglasitev vsake likvidnostne pomoči ribičem, kot je opisana v oddelku 3.6 poglavja 3 dela II Smernic o državni pomoči v sektorju ribištva in akvakulture</w:t>
      </w:r>
      <w:r w:rsidR="00C03E87">
        <w:rPr>
          <w:rStyle w:val="FootnoteReference"/>
          <w:rFonts w:eastAsia="Times New Roman"/>
          <w:i/>
          <w:lang w:eastAsia="en-GB"/>
        </w:rPr>
        <w:footnoteReference w:id="1"/>
      </w:r>
      <w:r>
        <w:rPr>
          <w:i/>
        </w:rPr>
        <w:t xml:space="preserve"> (v nadaljnjem besedilu: smernice). Pomoč iz tega oddelka se lahko dodeli tudi podjetjem, ki se ukvarjajo z ribolovom v celinskih vodah.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Potrdite, da ukrep določa, da ribiška plovila Unije, v zvezi s katerimi je dodeljena pomoč, ne bodo prenesena v državo zunaj Unije ali da njihova zastava ne bo zamenjana za zastavo države zunaj Unije najmanj pet let po končnem plačilu pomoči.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Podrobno pojasnite okoliščine, ki upravičujejo likvidnostno pomoč, in opišite zunanje dogodke, ki povzročajo začasno omejitev ribolovnih dejavnosti.</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Pojasnite, kdaj se je zunanji dogodek zgodil, vključno z datumoma njegovega začetka in konca, kjer je ustrezno.</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se ukrep ne nanaša na nobeno od naslednjega:</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primere začasnega prenehanja ribolovnih dejavnosti iz oddelka 3.5 dela II, poglavje 3, smernic</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ohranitvene ukrepe, sprejete v skladu s sporazumi o partnerstvu o trajnostnem ribištvu in sporazumi o izmenjavi ali skupnem upravljanju</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zmanjšanje ali izgubo ribolovnih možnosti v vodah EU v okviru izvajanja skupne ribiške politike</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t xml:space="preserve">(d) zmanjšanje ali izguba ribolovnih možnosti v vodah zunaj EU, npr. zaradi </w:t>
      </w:r>
      <w:proofErr w:type="spellStart"/>
      <w:r>
        <w:rPr>
          <w:rFonts w:ascii="Times New Roman" w:hAnsi="Times New Roman"/>
          <w:sz w:val="24"/>
        </w:rPr>
        <w:t>nepodaljšanja</w:t>
      </w:r>
      <w:proofErr w:type="spellEnd"/>
      <w:r>
        <w:rPr>
          <w:rFonts w:ascii="Times New Roman" w:hAnsi="Times New Roman"/>
          <w:sz w:val="24"/>
        </w:rPr>
        <w:t>, začasne prekinitve, odpovedi ali ponovnega pogajanja o sporazumu o partnerstvu o trajnostnem ribištvu in sporazumih o izmenjavi ali skupnem upravljanju ali ukrepih za določitev in dodelitev ribolovnih možnosti, sprejetih v skladu s takimi sporazumi ali v okviru pristojnosti regionalne organizacije za upravljanje ribištva</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se lahko pomoč na podlagi tega oddelka dodeli le, če obstaja neposredna vzročna zveza med zunanjimi dogodki in izgubo dohodka.</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Podrobno opišite mehanizme nadzora in izvrševanja, vzpostavljene za zagotavljanje izpolnjevanja pogojev, povezanih z likvidnostno pomočjo ribičem.</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upravičeni stroški pokrivajo samo izgubo dohodka zaradi zunanjih dogodkov.</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na prejšnje vprašanje DA, opredelite ustrezne določbe pravne podlage.</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je treba upravičene stroške izračunati na ravni posameznega upravičenca.</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Potrdite, da je treba izgubo dohodka izračunati v skladu s točko (319) smernic, tj. z odštetjem: (a) količine ribiških proizvodov, proizvedene v letu zunanjih dogodkov, pomnožene s povprečno prodajno ceno, dobljeno v navedenem letu, od (b) rezultata zmnožka povprečne letne količine ribiških proizvodov, proizvedenih v triletnem obdobju pred zunanjimi dogodki, ali triletnega povprečja, osnovanega na petletnem obdobju pred zunanjimi dogodki (brez najvišje in najnižje vrednoti), in povprečne dobljene prodajne cene.</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lastRenderedPageBreak/>
        <w:t>Pojasnite, ali lahko upravičeni stroški vključujejo druge stroške, ki jih ima podjetje, ki prejme pomoč, zaradi zunanjih dogodkov.</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w:t>
      </w:r>
      <w:r>
        <w:t>,</w:t>
      </w:r>
      <w:r>
        <w:rPr>
          <w:rFonts w:ascii="Times New Roman" w:hAnsi="Times New Roman"/>
          <w:sz w:val="24"/>
        </w:rPr>
        <w:t xml:space="preserve"> </w:t>
      </w:r>
      <w:bookmarkStart w:id="3" w:name="_Hlk126945164"/>
      <w:r>
        <w:rPr>
          <w:rFonts w:ascii="Times New Roman" w:hAnsi="Times New Roman"/>
          <w:sz w:val="24"/>
        </w:rPr>
        <w:t>opredelite ustrezne stroške</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Če je odgovor DA, navedite ustrezne določbe pravne podlage.</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Potrdite, da je treba od upravičenih stroškov odšteti vse stroške, ki ne nastanejo zaradi zunanjih dogodkov, in bi jih podjetje, ki prejme pomoč, imelo tudi sicer.</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Če je odgovor DA, opredelite ustrezne stroške.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Če je odgovor DA, navedite ustrezne določbe pravne podlage.</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je treba, kadar se plovilo med zunanjimi dogodki uporablja za dejavnosti, ki niso komercialni ribolov, prijaviti vsak prihodek in ga odšteti od pomoči, dodeljene na podlagi tega oddelka.</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Upoštevajte, da lahko Komisija sprejme druge načine izračuna, če je prepričana, da temeljijo na objektivnih merilih in ne povzročajo čezmernega nadomestila nobenemu podjetju, ki prejme pomoč.</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Če namerava država članica </w:t>
      </w:r>
      <w:proofErr w:type="spellStart"/>
      <w:r>
        <w:rPr>
          <w:rFonts w:ascii="Times New Roman" w:hAnsi="Times New Roman"/>
          <w:sz w:val="24"/>
        </w:rPr>
        <w:t>priglasiteljica</w:t>
      </w:r>
      <w:proofErr w:type="spellEnd"/>
      <w:r>
        <w:rPr>
          <w:rFonts w:ascii="Times New Roman" w:hAnsi="Times New Roman"/>
          <w:sz w:val="24"/>
        </w:rPr>
        <w:t xml:space="preserve"> predlagati drugo metodo izračuna, navedite razloge, zakaj metoda iz smernic v zadevnem primeru ni primerna, in pojasnite, kako druga metoda izračuna bolje obravnava ugotovljene potrebe.</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Kot prilogo k priglasitvi predložite drugo predlagano metodologijo skupaj z dokazom, da temelji na objektivnih merilih in ne povzroča čezmernega nadomestila nobenemu upravičencu.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Potrdite, ali ukrep določa, da je treba v primeru, ko je bilo MSP ustanovljeno manj kot tri leta od datuma zunanjega dogodka, sklicevanje na tri- ali petletna obdobja iz točke </w:t>
      </w:r>
      <w:r>
        <w:rPr>
          <w:rFonts w:ascii="Times New Roman" w:hAnsi="Times New Roman"/>
          <w:sz w:val="24"/>
        </w:rPr>
        <w:lastRenderedPageBreak/>
        <w:t xml:space="preserve">(319)(b) smernic razumeti tako, da se nanaša na količino, ki jo proizvede in proda povprečno podjetje enake velikosti kot vložnik, in sicer </w:t>
      </w:r>
      <w:proofErr w:type="spellStart"/>
      <w:r>
        <w:rPr>
          <w:rFonts w:ascii="Times New Roman" w:hAnsi="Times New Roman"/>
          <w:sz w:val="24"/>
        </w:rPr>
        <w:t>mikro</w:t>
      </w:r>
      <w:proofErr w:type="spellEnd"/>
      <w:r>
        <w:rPr>
          <w:rFonts w:ascii="Times New Roman" w:hAnsi="Times New Roman"/>
          <w:sz w:val="24"/>
        </w:rPr>
        <w:t xml:space="preserve"> podjetje ali malo podjetje oziroma srednje podjetje v nacionalnem ali regionalnem sektorju, ki so ga prizadeli zunanji dogodki.</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Potrdite, da ukrep določa, da morajo biti pomoč in vsa druga plačila, vključno s plačili na podlagi zavarovalnih polic, omejeni na 100 % upravičenih stroškov.</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56C45">
        <w:rPr>
          <w:rFonts w:ascii="Times New Roman" w:eastAsia="Times New Roman" w:hAnsi="Times New Roman"/>
          <w:b/>
          <w:sz w:val="24"/>
        </w:rPr>
      </w:r>
      <w:r w:rsidR="00856C4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največje intenzivnosti pomoči, ki se uporabljajo v okviru ukrepa.</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Navedite določbe pravne podlage, v katerih so določene omejitev v višini 100 % in največje intenzivnosti pomoči ukrepa.</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DRUGE INFORMACIJE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vse druge informacije, ki se vam zdijo pomembne za oceno ukrepa iz tega oddelka smernic.</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4A7380F5" w:rsidR="00C03E87" w:rsidRPr="00C03E87" w:rsidRDefault="00C03E87">
      <w:pPr>
        <w:pStyle w:val="FootnoteText"/>
      </w:pPr>
      <w:r>
        <w:rPr>
          <w:rStyle w:val="FootnoteReference"/>
        </w:rPr>
        <w:footnoteRef/>
      </w:r>
      <w:r>
        <w:t xml:space="preserve"> </w:t>
      </w:r>
      <w:r w:rsidR="00856C45">
        <w:tab/>
      </w:r>
      <w:r>
        <w:rPr>
          <w:rFonts w:ascii="Times New Roman" w:hAnsi="Times New Roman"/>
        </w:rPr>
        <w:t>UL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56C45"/>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906</Words>
  <Characters>5756</Characters>
  <Application>Microsoft Office Word</Application>
  <DocSecurity>0</DocSecurity>
  <Lines>169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PECNIK KRZIC Simona (DGT)</cp:lastModifiedBy>
  <cp:revision>9</cp:revision>
  <dcterms:created xsi:type="dcterms:W3CDTF">2023-05-03T14:29:00Z</dcterms:created>
  <dcterms:modified xsi:type="dcterms:W3CDTF">2024-07-15T07:08:00Z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