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sz w:val="24"/>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rPr>
      </w:pPr>
      <w:r>
        <w:rPr>
          <w:rFonts w:ascii="Times New Roman" w:hAnsi="Times New Roman"/>
          <w:b/>
          <w:smallCaps/>
          <w:sz w:val="24"/>
        </w:rPr>
        <w:t>2.1</w:t>
      </w:r>
    </w:p>
    <w:p w14:paraId="02506FBA" w14:textId="06034126" w:rsidR="004E5664" w:rsidRPr="001E103F" w:rsidRDefault="004E5664" w:rsidP="00960996">
      <w:pPr>
        <w:pBdr>
          <w:top w:val="single" w:sz="4" w:space="1" w:color="auto"/>
          <w:left w:val="single" w:sz="4" w:space="23" w:color="auto"/>
          <w:bottom w:val="single" w:sz="4" w:space="1" w:color="auto"/>
          <w:right w:val="single" w:sz="4" w:space="4" w:color="auto"/>
        </w:pBdr>
        <w:shd w:val="pct20" w:color="auto" w:fill="FFFFFF"/>
        <w:spacing w:after="0" w:line="240" w:lineRule="auto"/>
        <w:ind w:left="364" w:hanging="4"/>
        <w:jc w:val="center"/>
        <w:rPr>
          <w:rFonts w:ascii="Times New Roman" w:eastAsia="Times New Roman" w:hAnsi="Times New Roman"/>
          <w:b/>
          <w:smallCaps/>
          <w:sz w:val="24"/>
        </w:rPr>
      </w:pPr>
      <w:r>
        <w:rPr>
          <w:rFonts w:ascii="Times New Roman" w:hAnsi="Times New Roman"/>
          <w:b/>
          <w:smallCaps/>
          <w:sz w:val="24"/>
        </w:rPr>
        <w:t>Scheda di informazioni supplementari sugli</w:t>
      </w:r>
      <w:r>
        <w:br/>
      </w:r>
      <w:r>
        <w:rPr>
          <w:rFonts w:ascii="Times New Roman" w:hAnsi="Times New Roman"/>
          <w:b/>
          <w:smallCaps/>
          <w:sz w:val="24"/>
        </w:rPr>
        <w:t>aiuti al funzionamento nelle regioni ultraperiferiche</w:t>
      </w:r>
    </w:p>
    <w:p w14:paraId="0011CA8F" w14:textId="173498AD" w:rsidR="004E5664" w:rsidRDefault="004E5664" w:rsidP="004E5664">
      <w:pPr>
        <w:spacing w:after="0" w:line="240" w:lineRule="auto"/>
        <w:rPr>
          <w:rFonts w:ascii="Times New Roman" w:eastAsia="Times New Roman" w:hAnsi="Times New Roman"/>
          <w:sz w:val="24"/>
        </w:rPr>
      </w:pPr>
    </w:p>
    <w:p w14:paraId="1B910AFC" w14:textId="30A183B8" w:rsidR="005B7B62" w:rsidRDefault="00877154" w:rsidP="005B7B62">
      <w:pPr>
        <w:spacing w:after="0" w:line="240" w:lineRule="auto"/>
        <w:ind w:left="357"/>
        <w:jc w:val="both"/>
        <w:rPr>
          <w:rFonts w:ascii="Times New Roman" w:eastAsia="Times New Roman" w:hAnsi="Times New Roman" w:cs="Times New Roman"/>
          <w:i/>
          <w:sz w:val="24"/>
        </w:rPr>
      </w:pPr>
      <w:r>
        <w:rPr>
          <w:rFonts w:ascii="Times New Roman" w:hAnsi="Times New Roman"/>
          <w:i/>
          <w:sz w:val="24"/>
        </w:rPr>
        <w:t>Questo modulo deve essere utilizzato dagli Stati membri per la notifica degli aiuti al funzionamento nelle regioni ultraperiferiche, come descritto nella parte II, capitolo 2, sezione 2.1, degli orientamenti per gli aiuti di Stato nel settore della pesca e dell</w:t>
      </w:r>
      <w:r w:rsidR="00A779A8">
        <w:rPr>
          <w:rFonts w:ascii="Times New Roman" w:hAnsi="Times New Roman"/>
          <w:i/>
          <w:sz w:val="24"/>
        </w:rPr>
        <w:t>'</w:t>
      </w:r>
      <w:r>
        <w:rPr>
          <w:rFonts w:ascii="Times New Roman" w:hAnsi="Times New Roman"/>
          <w:i/>
          <w:sz w:val="24"/>
        </w:rPr>
        <w:t>acquacoltura</w:t>
      </w:r>
      <w:r w:rsidR="005E4AF1">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00A779A8">
        <w:rPr>
          <w:rFonts w:ascii="Times New Roman" w:hAnsi="Times New Roman"/>
          <w:i/>
          <w:sz w:val="24"/>
        </w:rPr>
        <w:t>"</w:t>
      </w:r>
      <w:r>
        <w:rPr>
          <w:rFonts w:ascii="Times New Roman" w:hAnsi="Times New Roman"/>
          <w:i/>
          <w:sz w:val="24"/>
        </w:rPr>
        <w:t>gli</w:t>
      </w:r>
      <w:r w:rsidR="00C62334">
        <w:rPr>
          <w:rFonts w:ascii="Times New Roman" w:hAnsi="Times New Roman"/>
          <w:i/>
          <w:sz w:val="24"/>
        </w:rPr>
        <w:t> </w:t>
      </w:r>
      <w:r>
        <w:rPr>
          <w:rFonts w:ascii="Times New Roman" w:hAnsi="Times New Roman"/>
          <w:i/>
          <w:sz w:val="24"/>
        </w:rPr>
        <w:t>orientamenti</w:t>
      </w:r>
      <w:r w:rsidR="00A779A8">
        <w:rPr>
          <w:rFonts w:ascii="Times New Roman" w:hAnsi="Times New Roman"/>
          <w:i/>
          <w:sz w:val="24"/>
        </w:rPr>
        <w:t>"</w:t>
      </w:r>
      <w:r>
        <w:rPr>
          <w:rFonts w:ascii="Times New Roman" w:hAnsi="Times New Roman"/>
          <w:i/>
          <w:sz w:val="24"/>
        </w:rPr>
        <w:t>). Si fa presente che, a norma del punto (216) degli orientamenti, gli aiuti non devono andare al di là di quanto necessario per ovviare alle difficoltà specifiche delle regioni ultraperiferiche dovute all</w:t>
      </w:r>
      <w:r w:rsidR="00A779A8">
        <w:rPr>
          <w:rFonts w:ascii="Times New Roman" w:hAnsi="Times New Roman"/>
          <w:i/>
          <w:sz w:val="24"/>
        </w:rPr>
        <w:t>'</w:t>
      </w:r>
      <w:r>
        <w:rPr>
          <w:rFonts w:ascii="Times New Roman" w:hAnsi="Times New Roman"/>
          <w:i/>
          <w:sz w:val="24"/>
        </w:rPr>
        <w:t>isolamento, all</w:t>
      </w:r>
      <w:r w:rsidR="00A779A8">
        <w:rPr>
          <w:rFonts w:ascii="Times New Roman" w:hAnsi="Times New Roman"/>
          <w:i/>
          <w:sz w:val="24"/>
        </w:rPr>
        <w:t>'</w:t>
      </w:r>
      <w:r>
        <w:rPr>
          <w:rFonts w:ascii="Times New Roman" w:hAnsi="Times New Roman"/>
          <w:i/>
          <w:sz w:val="24"/>
        </w:rPr>
        <w:t>insularità e all</w:t>
      </w:r>
      <w:r w:rsidR="00A779A8">
        <w:rPr>
          <w:rFonts w:ascii="Times New Roman" w:hAnsi="Times New Roman"/>
          <w:i/>
          <w:sz w:val="24"/>
        </w:rPr>
        <w:t>'</w:t>
      </w:r>
      <w:r>
        <w:rPr>
          <w:rFonts w:ascii="Times New Roman" w:hAnsi="Times New Roman"/>
          <w:i/>
          <w:sz w:val="24"/>
        </w:rPr>
        <w:t>ultraperifericità.</w:t>
      </w:r>
    </w:p>
    <w:p w14:paraId="44488588" w14:textId="77777777" w:rsidR="00512201" w:rsidRDefault="00512201" w:rsidP="004E5664">
      <w:pPr>
        <w:spacing w:after="0" w:line="240" w:lineRule="auto"/>
        <w:rPr>
          <w:rFonts w:ascii="Times New Roman" w:eastAsia="Times New Roman" w:hAnsi="Times New Roman"/>
          <w:sz w:val="24"/>
        </w:rPr>
      </w:pPr>
    </w:p>
    <w:p w14:paraId="11A3C556" w14:textId="5C4B09B4"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le regioni ultraperiferiche di cui all</w:t>
      </w:r>
      <w:r w:rsidR="00A779A8">
        <w:rPr>
          <w:rFonts w:ascii="Times New Roman" w:hAnsi="Times New Roman"/>
          <w:sz w:val="24"/>
        </w:rPr>
        <w:t>'</w:t>
      </w:r>
      <w:r>
        <w:rPr>
          <w:rFonts w:ascii="Times New Roman" w:hAnsi="Times New Roman"/>
          <w:sz w:val="24"/>
        </w:rPr>
        <w:t>articolo 349 TFUE interessate dalla misura.</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rPr>
      </w:pPr>
    </w:p>
    <w:p w14:paraId="050B3C78" w14:textId="2F602541" w:rsidR="004C6027" w:rsidRPr="00C62334" w:rsidRDefault="00512201" w:rsidP="007918D3">
      <w:pPr>
        <w:pStyle w:val="Default"/>
        <w:numPr>
          <w:ilvl w:val="0"/>
          <w:numId w:val="4"/>
        </w:numPr>
        <w:jc w:val="both"/>
      </w:pPr>
      <w:r>
        <w:t>Fornire una descrizione dettagliata delle difficoltà specifiche cui devono far fronte le regioni ultraperiferiche interessate (</w:t>
      </w:r>
      <w:r>
        <w:rPr>
          <w:color w:val="040004"/>
        </w:rPr>
        <w:t xml:space="preserve">isolamento, insularità, ultraperifericità) </w:t>
      </w:r>
      <w:r>
        <w:t>e spiegare in che modo la misura affronta tali difficoltà.</w:t>
      </w:r>
    </w:p>
    <w:p w14:paraId="2AC2C388" w14:textId="3373D55B" w:rsidR="006507DC" w:rsidRDefault="00512201" w:rsidP="00354AF1">
      <w:pPr>
        <w:rPr>
          <w:rFonts w:ascii="Times New Roman" w:eastAsia="Times New Roman" w:hAnsi="Times New Roman"/>
          <w:sz w:val="24"/>
        </w:rPr>
      </w:pPr>
      <w:r>
        <w:rPr>
          <w:rFonts w:ascii="Times New Roman" w:hAnsi="Times New Roman"/>
          <w:sz w:val="24"/>
        </w:rPr>
        <w:t>………………………………………………………………………………………………….</w:t>
      </w:r>
    </w:p>
    <w:p w14:paraId="3AA05B41" w14:textId="765A167F"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Fornire una descrizione dettagliata del tipo di aiuti al funzionamento previsti ed elencare i costi ammissibili nell</w:t>
      </w:r>
      <w:r w:rsidR="00A779A8">
        <w:rPr>
          <w:rFonts w:ascii="Times New Roman" w:hAnsi="Times New Roman"/>
          <w:sz w:val="24"/>
        </w:rPr>
        <w:t>'</w:t>
      </w:r>
      <w:r>
        <w:rPr>
          <w:rFonts w:ascii="Times New Roman" w:hAnsi="Times New Roman"/>
          <w:sz w:val="24"/>
        </w:rPr>
        <w:t>ambito della misura.</w:t>
      </w:r>
    </w:p>
    <w:p w14:paraId="5A3D2C80" w14:textId="7DCCE04B" w:rsidR="006507DC" w:rsidRDefault="006507DC" w:rsidP="00354AF1">
      <w:pPr>
        <w:rPr>
          <w:rFonts w:ascii="Times New Roman" w:eastAsia="Times New Roman" w:hAnsi="Times New Roman"/>
          <w:sz w:val="24"/>
        </w:rPr>
      </w:pPr>
      <w:r>
        <w:rPr>
          <w:rFonts w:ascii="Times New Roman" w:hAnsi="Times New Roman"/>
          <w:sz w:val="24"/>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i costi ammissibili derivino dalle difficoltà specifiche delle regioni ultraperiferiche interessate:</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rPr>
      </w:pPr>
    </w:p>
    <w:p w14:paraId="4B1CA44D" w14:textId="77777777" w:rsidR="006507DC" w:rsidRDefault="006507DC" w:rsidP="006507DC">
      <w:pPr>
        <w:spacing w:after="0" w:line="240" w:lineRule="auto"/>
        <w:ind w:left="641" w:firstLine="153"/>
        <w:rPr>
          <w:rFonts w:ascii="Times New Roman" w:eastAsia="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sì</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24D7FF3B" w14:textId="77777777" w:rsidR="006507DC" w:rsidRPr="00955A87" w:rsidRDefault="006507DC" w:rsidP="006507DC">
      <w:pPr>
        <w:spacing w:after="0" w:line="240" w:lineRule="auto"/>
        <w:rPr>
          <w:rFonts w:ascii="Times New Roman" w:eastAsia="Times New Roman" w:hAnsi="Times New Roman"/>
          <w:sz w:val="24"/>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0BF29037" w14:textId="5D6407EF" w:rsidR="006507DC" w:rsidRDefault="006507DC" w:rsidP="00483DD9">
      <w:pPr>
        <w:rPr>
          <w:rFonts w:ascii="Times New Roman" w:eastAsia="Times New Roman" w:hAnsi="Times New Roman"/>
          <w:sz w:val="24"/>
        </w:rPr>
      </w:pPr>
      <w:r>
        <w:rPr>
          <w:rFonts w:ascii="Times New Roman" w:hAnsi="Times New Roman"/>
          <w:sz w:val="24"/>
        </w:rPr>
        <w:t>………………………………………………………………………………………………….</w:t>
      </w:r>
    </w:p>
    <w:p w14:paraId="28FC38A3" w14:textId="4B3C48EE"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i costi ammissibili non vadano al di là di quanto necessario per ovviare alle difficoltà specifiche delle region</w:t>
      </w:r>
      <w:r w:rsidR="00A779A8">
        <w:rPr>
          <w:rFonts w:ascii="Times New Roman" w:hAnsi="Times New Roman"/>
          <w:sz w:val="24"/>
        </w:rPr>
        <w:t>i ultraperiferiche interessate:</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rPr>
      </w:pPr>
    </w:p>
    <w:p w14:paraId="0EE4E4A9" w14:textId="77777777" w:rsidR="006507DC" w:rsidRDefault="006507DC" w:rsidP="006507DC">
      <w:pPr>
        <w:spacing w:after="0" w:line="240" w:lineRule="auto"/>
        <w:ind w:left="641" w:firstLine="153"/>
        <w:rPr>
          <w:rFonts w:ascii="Times New Roman" w:eastAsia="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sì</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E24E189" w14:textId="77777777" w:rsidR="006507DC" w:rsidRPr="00955A87" w:rsidRDefault="006507DC" w:rsidP="006507DC">
      <w:pPr>
        <w:spacing w:after="0" w:line="240" w:lineRule="auto"/>
        <w:rPr>
          <w:rFonts w:ascii="Times New Roman" w:eastAsia="Times New Roman" w:hAnsi="Times New Roman"/>
          <w:sz w:val="24"/>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00B55F0C" w14:textId="66F2F593" w:rsidR="006507DC" w:rsidRDefault="006507DC" w:rsidP="00742176">
      <w:pPr>
        <w:rPr>
          <w:rFonts w:ascii="Times New Roman" w:eastAsia="Times New Roman" w:hAnsi="Times New Roman"/>
          <w:sz w:val="24"/>
        </w:rPr>
      </w:pPr>
      <w:r>
        <w:rPr>
          <w:rFonts w:ascii="Times New Roman" w:hAnsi="Times New Roman"/>
          <w:sz w:val="24"/>
        </w:rPr>
        <w:t>………………………………………………………………………………………………….</w:t>
      </w:r>
    </w:p>
    <w:p w14:paraId="6C5CE2D8" w14:textId="4E243668" w:rsidR="006507DC" w:rsidRDefault="004C6027" w:rsidP="00C62334">
      <w:pPr>
        <w:keepNext/>
        <w:numPr>
          <w:ilvl w:val="0"/>
          <w:numId w:val="4"/>
        </w:numPr>
        <w:autoSpaceDE w:val="0"/>
        <w:autoSpaceDN w:val="0"/>
        <w:adjustRightInd w:val="0"/>
        <w:spacing w:after="0" w:line="240" w:lineRule="auto"/>
        <w:ind w:left="357" w:hanging="357"/>
        <w:jc w:val="both"/>
        <w:rPr>
          <w:rFonts w:ascii="Times New Roman" w:eastAsia="Times New Roman" w:hAnsi="Times New Roman"/>
          <w:sz w:val="24"/>
        </w:rPr>
      </w:pPr>
      <w:r>
        <w:rPr>
          <w:rFonts w:ascii="Times New Roman" w:hAnsi="Times New Roman"/>
          <w:sz w:val="24"/>
        </w:rPr>
        <w:t>Confermare che la misura prevede che i costi ammissibili siano calcolati conformemente ai</w:t>
      </w:r>
      <w:r w:rsidR="00C62334">
        <w:rPr>
          <w:rFonts w:ascii="Times New Roman" w:hAnsi="Times New Roman"/>
          <w:sz w:val="24"/>
        </w:rPr>
        <w:t> </w:t>
      </w:r>
      <w:r>
        <w:rPr>
          <w:rFonts w:ascii="Times New Roman" w:hAnsi="Times New Roman"/>
          <w:sz w:val="24"/>
        </w:rPr>
        <w:t>criteri stabiliti nel regolamento delegato (UE) 2021/1972 della Commissione</w:t>
      </w:r>
      <w:r>
        <w:rPr>
          <w:rStyle w:val="FootnoteReference"/>
          <w:rFonts w:ascii="Times New Roman" w:eastAsia="Times New Roman" w:hAnsi="Times New Roman"/>
          <w:sz w:val="24"/>
        </w:rPr>
        <w:footnoteReference w:id="2"/>
      </w:r>
      <w:r>
        <w:rPr>
          <w:rFonts w:ascii="Times New Roman" w:hAnsi="Times New Roman"/>
          <w:sz w:val="24"/>
        </w:rPr>
        <w:t>:</w:t>
      </w:r>
    </w:p>
    <w:p w14:paraId="496AE335" w14:textId="249B465E" w:rsidR="00BA5179" w:rsidRDefault="00BA5179" w:rsidP="00C62334">
      <w:pPr>
        <w:keepNext/>
        <w:autoSpaceDE w:val="0"/>
        <w:autoSpaceDN w:val="0"/>
        <w:adjustRightInd w:val="0"/>
        <w:spacing w:after="0" w:line="240" w:lineRule="auto"/>
        <w:jc w:val="both"/>
        <w:rPr>
          <w:rFonts w:ascii="Times New Roman" w:eastAsia="Times New Roman" w:hAnsi="Times New Roman"/>
          <w:sz w:val="24"/>
        </w:rPr>
      </w:pPr>
    </w:p>
    <w:p w14:paraId="35B19100" w14:textId="77777777" w:rsidR="004C6027" w:rsidRDefault="004C6027" w:rsidP="00C62334">
      <w:pPr>
        <w:spacing w:after="0" w:line="240" w:lineRule="auto"/>
        <w:ind w:left="641" w:firstLine="153"/>
        <w:rPr>
          <w:rFonts w:ascii="Times New Roman" w:eastAsia="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sì</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814814B" w14:textId="77777777" w:rsidR="004C6027" w:rsidRPr="00955A87" w:rsidRDefault="004C6027" w:rsidP="004C6027">
      <w:pPr>
        <w:spacing w:after="0" w:line="240" w:lineRule="auto"/>
        <w:rPr>
          <w:rFonts w:ascii="Times New Roman" w:eastAsia="Times New Roman" w:hAnsi="Times New Roman"/>
          <w:sz w:val="24"/>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71803D89" w14:textId="1F91704A" w:rsidR="00534A1E" w:rsidRDefault="004C6027" w:rsidP="00F84BAB">
      <w:pPr>
        <w:rPr>
          <w:rFonts w:ascii="Times New Roman" w:eastAsia="Times New Roman" w:hAnsi="Times New Roman"/>
          <w:sz w:val="24"/>
        </w:rPr>
      </w:pPr>
      <w:r>
        <w:rPr>
          <w:rFonts w:ascii="Times New Roman" w:hAnsi="Times New Roman"/>
          <w:sz w:val="24"/>
        </w:rPr>
        <w:t>………………………………………………………………………………………………….</w:t>
      </w:r>
    </w:p>
    <w:p w14:paraId="6F027376" w14:textId="10EE7D75"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Descrivere in dettaglio il metodo di calcolo utilizzato nell</w:t>
      </w:r>
      <w:r w:rsidR="00A779A8">
        <w:rPr>
          <w:rFonts w:ascii="Times New Roman" w:hAnsi="Times New Roman"/>
          <w:sz w:val="24"/>
        </w:rPr>
        <w:t>'</w:t>
      </w:r>
      <w:r>
        <w:rPr>
          <w:rFonts w:ascii="Times New Roman" w:hAnsi="Times New Roman"/>
          <w:sz w:val="24"/>
        </w:rPr>
        <w:t>ambito della misura.</w:t>
      </w:r>
    </w:p>
    <w:p w14:paraId="59B6C5C9" w14:textId="298D8719" w:rsidR="004C6027" w:rsidRDefault="00534A1E" w:rsidP="00F84BAB">
      <w:pPr>
        <w:rPr>
          <w:rFonts w:ascii="Times New Roman" w:eastAsia="Times New Roman" w:hAnsi="Times New Roman"/>
          <w:sz w:val="24"/>
        </w:rPr>
      </w:pPr>
      <w:r>
        <w:rPr>
          <w:rFonts w:ascii="Times New Roman" w:hAnsi="Times New Roman"/>
          <w:sz w:val="24"/>
        </w:rPr>
        <w:t>………………………………………………………………………………………………….</w:t>
      </w:r>
    </w:p>
    <w:p w14:paraId="2E9E21C7" w14:textId="441BBB35"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rPr>
      </w:pPr>
      <w:bookmarkStart w:id="1" w:name="_Ref127286747"/>
      <w:r>
        <w:rPr>
          <w:rFonts w:ascii="Times New Roman" w:hAnsi="Times New Roman"/>
          <w:sz w:val="24"/>
        </w:rPr>
        <w:t>Confermare che, al fine di evitare una sovracompensazione, la misura tiene conto di altri tipi</w:t>
      </w:r>
      <w:r w:rsidR="00A779A8">
        <w:rPr>
          <w:rFonts w:ascii="Times New Roman" w:hAnsi="Times New Roman"/>
          <w:sz w:val="24"/>
        </w:rPr>
        <w:t> </w:t>
      </w:r>
      <w:r>
        <w:rPr>
          <w:rFonts w:ascii="Times New Roman" w:hAnsi="Times New Roman"/>
          <w:sz w:val="24"/>
        </w:rPr>
        <w:t>di</w:t>
      </w:r>
      <w:r w:rsidR="00A779A8">
        <w:rPr>
          <w:rFonts w:ascii="Times New Roman" w:hAnsi="Times New Roman"/>
          <w:sz w:val="24"/>
        </w:rPr>
        <w:t> </w:t>
      </w:r>
      <w:r>
        <w:rPr>
          <w:rFonts w:ascii="Times New Roman" w:hAnsi="Times New Roman"/>
          <w:sz w:val="24"/>
        </w:rPr>
        <w:t>intervento pubblico, compreso, se del caso, la compensazione dei costi supplementari che ricadono sugli operatori nelle attività di pesca, allevamento, trasformazione e commercializzazione di determinati prodotti della pesca e dell</w:t>
      </w:r>
      <w:r w:rsidR="00A779A8">
        <w:rPr>
          <w:rFonts w:ascii="Times New Roman" w:hAnsi="Times New Roman"/>
          <w:sz w:val="24"/>
        </w:rPr>
        <w:t>'</w:t>
      </w:r>
      <w:r>
        <w:rPr>
          <w:rFonts w:ascii="Times New Roman" w:hAnsi="Times New Roman"/>
          <w:sz w:val="24"/>
        </w:rPr>
        <w:t>acquacoltura originari delle regioni ultraperiferiche versata a norma dell</w:t>
      </w:r>
      <w:r w:rsidR="00A779A8">
        <w:rPr>
          <w:rFonts w:ascii="Times New Roman" w:hAnsi="Times New Roman"/>
          <w:sz w:val="24"/>
        </w:rPr>
        <w:t>'</w:t>
      </w:r>
      <w:r>
        <w:rPr>
          <w:rFonts w:ascii="Times New Roman" w:hAnsi="Times New Roman"/>
          <w:sz w:val="24"/>
        </w:rPr>
        <w:t>articolo</w:t>
      </w:r>
      <w:r w:rsidR="00A779A8">
        <w:rPr>
          <w:rFonts w:ascii="Times New Roman" w:hAnsi="Times New Roman"/>
          <w:sz w:val="24"/>
        </w:rPr>
        <w:t> </w:t>
      </w:r>
      <w:r>
        <w:rPr>
          <w:rFonts w:ascii="Times New Roman" w:hAnsi="Times New Roman"/>
          <w:sz w:val="24"/>
        </w:rPr>
        <w:t>24 e degli articoli da 35 a 37 del regolamento (UE) 2021/1139:</w:t>
      </w:r>
      <w:bookmarkEnd w:id="1"/>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rPr>
      </w:pPr>
    </w:p>
    <w:p w14:paraId="0D7F0B65" w14:textId="77777777" w:rsidR="004C6027" w:rsidRDefault="004C6027" w:rsidP="004C6027">
      <w:pPr>
        <w:spacing w:after="0" w:line="240" w:lineRule="auto"/>
        <w:ind w:left="641" w:firstLine="153"/>
        <w:rPr>
          <w:rFonts w:ascii="Times New Roman" w:eastAsia="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sì</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D511A">
        <w:rPr>
          <w:rFonts w:ascii="Times New Roman" w:eastAsia="Times New Roman" w:hAnsi="Times New Roman"/>
          <w:sz w:val="24"/>
        </w:rPr>
      </w:r>
      <w:r w:rsidR="005D51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5DE4CDBF" w14:textId="1B370C51" w:rsidR="004C6027" w:rsidRDefault="004C6027" w:rsidP="004C6027">
      <w:pPr>
        <w:spacing w:after="0" w:line="240" w:lineRule="auto"/>
        <w:rPr>
          <w:rFonts w:ascii="Times New Roman" w:eastAsia="Times New Roman" w:hAnsi="Times New Roman"/>
          <w:sz w:val="24"/>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descrivere i meccanismi di controllo volti a evitare la sovracompensazione.</w:t>
      </w:r>
    </w:p>
    <w:p w14:paraId="75DA5522" w14:textId="617822FD" w:rsidR="00534A1E" w:rsidRPr="00F84BAB" w:rsidRDefault="00534A1E" w:rsidP="00F84BAB">
      <w:pPr>
        <w:rPr>
          <w:rFonts w:ascii="Times New Roman" w:eastAsia="Times New Roman" w:hAnsi="Times New Roman"/>
          <w:sz w:val="24"/>
        </w:rPr>
      </w:pPr>
      <w:r>
        <w:rPr>
          <w:rFonts w:ascii="Times New Roman" w:hAnsi="Times New Roman"/>
          <w:sz w:val="24"/>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19C4FB56" w14:textId="58E33B0C" w:rsidR="004C6027" w:rsidRDefault="004C6027" w:rsidP="00F84BAB">
      <w:pPr>
        <w:rPr>
          <w:rFonts w:ascii="Times New Roman" w:eastAsia="Times New Roman" w:hAnsi="Times New Roman"/>
          <w:sz w:val="24"/>
        </w:rPr>
      </w:pPr>
      <w:r>
        <w:rPr>
          <w:rFonts w:ascii="Times New Roman" w:hAnsi="Times New Roman"/>
          <w:sz w:val="24"/>
        </w:rPr>
        <w:t>………………………………………………………………………………………………….</w:t>
      </w:r>
    </w:p>
    <w:p w14:paraId="45437EAC" w14:textId="5EDB5383"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gli aiuti e tutti gli altri pagamenti ricevuti dall</w:t>
      </w:r>
      <w:r w:rsidR="00A779A8">
        <w:rPr>
          <w:rFonts w:ascii="Times New Roman" w:hAnsi="Times New Roman"/>
          <w:sz w:val="24"/>
        </w:rPr>
        <w:t>'</w:t>
      </w:r>
      <w:r>
        <w:rPr>
          <w:rFonts w:ascii="Times New Roman" w:hAnsi="Times New Roman"/>
          <w:sz w:val="24"/>
        </w:rPr>
        <w:t>impresa beneficiaria per gli stessi costi ammissibili non superino il 100 % dei costi ammissibili.</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rPr>
      </w:pPr>
    </w:p>
    <w:p w14:paraId="48A49BC7" w14:textId="7A639A0F" w:rsidR="004C6027" w:rsidRDefault="005E4AF1"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bookmarkStart w:id="2" w:name="_Hlk125368675"/>
      <w:r>
        <w:rPr>
          <w:rFonts w:ascii="Times New Roman" w:hAnsi="Times New Roman" w:cs="Times New Roman"/>
          <w:sz w:val="24"/>
          <w:szCs w:val="24"/>
        </w:rPr>
        <w:t>Indicare le intensità massime di aiuto applicabili nell'ambito della misura</w:t>
      </w:r>
      <w:r w:rsidR="004C6027">
        <w:rPr>
          <w:rFonts w:ascii="Times New Roman" w:hAnsi="Times New Roman"/>
          <w:sz w:val="24"/>
        </w:rPr>
        <w:t>.</w:t>
      </w:r>
    </w:p>
    <w:p w14:paraId="6DF8ED7E" w14:textId="77777777" w:rsidR="004C6027" w:rsidRDefault="004C6027" w:rsidP="004C6027">
      <w:pPr>
        <w:rPr>
          <w:rFonts w:ascii="Times New Roman" w:eastAsia="Times New Roman" w:hAnsi="Times New Roman"/>
          <w:sz w:val="24"/>
        </w:rPr>
      </w:pPr>
      <w:r>
        <w:rPr>
          <w:rFonts w:ascii="Times New Roman" w:hAnsi="Times New Roman"/>
          <w:sz w:val="24"/>
        </w:rPr>
        <w:t>………………………………………………………………………………………………….</w:t>
      </w:r>
      <w:bookmarkEnd w:id="2"/>
    </w:p>
    <w:p w14:paraId="2059D785" w14:textId="4199E419" w:rsidR="005E4AF1" w:rsidRDefault="005E4AF1" w:rsidP="00C6233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cs="Times New Roman"/>
          <w:sz w:val="24"/>
          <w:szCs w:val="24"/>
        </w:rPr>
        <w:t>Indicare le disposizioni della base giuridica che stabiliscono il limite del 100% e le</w:t>
      </w:r>
      <w:r w:rsidR="00C62334">
        <w:rPr>
          <w:rFonts w:ascii="Times New Roman" w:hAnsi="Times New Roman" w:cs="Times New Roman"/>
          <w:sz w:val="24"/>
          <w:szCs w:val="24"/>
        </w:rPr>
        <w:t> </w:t>
      </w:r>
      <w:r>
        <w:rPr>
          <w:rFonts w:ascii="Times New Roman" w:hAnsi="Times New Roman" w:cs="Times New Roman"/>
          <w:sz w:val="24"/>
          <w:szCs w:val="24"/>
        </w:rPr>
        <w:t>intensità massime di aiuto previste nell'ambito della misura</w:t>
      </w:r>
      <w:r>
        <w:rPr>
          <w:rFonts w:ascii="Times New Roman" w:hAnsi="Times New Roman"/>
          <w:sz w:val="24"/>
        </w:rPr>
        <w:t>.</w:t>
      </w:r>
    </w:p>
    <w:p w14:paraId="31ADC077" w14:textId="77777777" w:rsidR="005E4AF1" w:rsidRDefault="005E4AF1" w:rsidP="005E4AF1">
      <w:pPr>
        <w:rPr>
          <w:rFonts w:ascii="Times New Roman" w:eastAsia="Times New Roman" w:hAnsi="Times New Roman"/>
          <w:sz w:val="24"/>
        </w:rPr>
      </w:pPr>
      <w:r>
        <w:rPr>
          <w:rFonts w:ascii="Times New Roman" w:hAnsi="Times New Roman"/>
          <w:sz w:val="24"/>
        </w:rPr>
        <w:t>………………………………………………………………………………………………….</w:t>
      </w:r>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rPr>
      </w:pPr>
      <w:r>
        <w:rPr>
          <w:rFonts w:ascii="Times New Roman" w:hAnsi="Times New Roman"/>
          <w:b/>
          <w:sz w:val="24"/>
        </w:rPr>
        <w:t>ALTRE INFORMAZIONI</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rPr>
      </w:pPr>
    </w:p>
    <w:p w14:paraId="632452CE" w14:textId="7FB0FB16" w:rsidR="004C6027" w:rsidRPr="001E103F" w:rsidRDefault="004C6027" w:rsidP="005E4AF1">
      <w:pPr>
        <w:numPr>
          <w:ilvl w:val="0"/>
          <w:numId w:val="4"/>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eventuali altre informazioni ritenute pertinenti per la valutazione della misura a norma di questa sezione degli orientamenti.</w:t>
      </w:r>
    </w:p>
    <w:p w14:paraId="5AFDA36E" w14:textId="2704934B" w:rsidR="00BA5179" w:rsidRPr="00BA5179" w:rsidRDefault="004C6027" w:rsidP="004C6027">
      <w:pPr>
        <w:rPr>
          <w:rFonts w:ascii="Times New Roman" w:eastAsia="Times New Roman" w:hAnsi="Times New Roman"/>
          <w:sz w:val="24"/>
        </w:rPr>
      </w:pPr>
      <w:r>
        <w:rPr>
          <w:rFonts w:ascii="Times New Roman" w:hAnsi="Times New Roman"/>
          <w:sz w:val="24"/>
        </w:rPr>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650B6608" w14:textId="61EFF88D" w:rsidR="005E4AF1" w:rsidRPr="00C62334" w:rsidRDefault="005E4AF1" w:rsidP="00C62334">
      <w:pPr>
        <w:pStyle w:val="FootnoteText"/>
        <w:ind w:left="426" w:hanging="284"/>
        <w:rPr>
          <w:rFonts w:ascii="Times New Roman" w:hAnsi="Times New Roman" w:cs="Times New Roman"/>
        </w:rPr>
      </w:pPr>
      <w:bookmarkStart w:id="0" w:name="_Hlk174974040"/>
      <w:r w:rsidRPr="00C62334">
        <w:rPr>
          <w:rStyle w:val="FootnoteReference"/>
          <w:rFonts w:ascii="Times New Roman" w:hAnsi="Times New Roman" w:cs="Times New Roman"/>
        </w:rPr>
        <w:footnoteRef/>
      </w:r>
      <w:r w:rsidR="00C62334" w:rsidRPr="00C62334">
        <w:rPr>
          <w:rFonts w:ascii="Times New Roman" w:hAnsi="Times New Roman" w:cs="Times New Roman"/>
        </w:rPr>
        <w:tab/>
      </w:r>
      <w:r w:rsidRPr="00C62334">
        <w:rPr>
          <w:rFonts w:ascii="Times New Roman" w:hAnsi="Times New Roman" w:cs="Times New Roman"/>
        </w:rPr>
        <w:t>GU C 107 del 23.3.2023, pag. 1.</w:t>
      </w:r>
      <w:bookmarkEnd w:id="0"/>
    </w:p>
  </w:footnote>
  <w:footnote w:id="2">
    <w:p w14:paraId="02CCCE95" w14:textId="4E1F11F0" w:rsidR="004C6027" w:rsidRPr="004C6027" w:rsidRDefault="004C6027" w:rsidP="004C6027">
      <w:pPr>
        <w:pStyle w:val="FootnoteText"/>
        <w:ind w:left="426" w:hanging="284"/>
        <w:rPr>
          <w:rFonts w:ascii="Times New Roman" w:hAnsi="Times New Roman" w:cs="Times New Roman"/>
        </w:rPr>
      </w:pPr>
      <w:r w:rsidRPr="00C62334">
        <w:rPr>
          <w:rStyle w:val="FootnoteReference"/>
          <w:rFonts w:ascii="Times New Roman" w:hAnsi="Times New Roman" w:cs="Times New Roman"/>
        </w:rPr>
        <w:footnoteRef/>
      </w:r>
      <w:r w:rsidRPr="00C62334">
        <w:rPr>
          <w:rFonts w:ascii="Times New Roman" w:hAnsi="Times New Roman" w:cs="Times New Roman"/>
        </w:rPr>
        <w:tab/>
        <w:t>Regolamento delegato (UE) 2021/1972 della Commissione, dell</w:t>
      </w:r>
      <w:r w:rsidR="00A779A8" w:rsidRPr="00C62334">
        <w:rPr>
          <w:rFonts w:ascii="Times New Roman" w:hAnsi="Times New Roman" w:cs="Times New Roman"/>
        </w:rPr>
        <w:t>'</w:t>
      </w:r>
      <w:r w:rsidRPr="00C62334">
        <w:rPr>
          <w:rFonts w:ascii="Times New Roman" w:hAnsi="Times New Roman" w:cs="Times New Roman"/>
        </w:rPr>
        <w:t>11 agosto 2021, che integra il regolamento (UE) 2021/1139 del Parlamento europeo e del Consiglio che istituisce il Fondo europeo per gli affari marittimi, la pesca e l</w:t>
      </w:r>
      <w:r w:rsidR="00A779A8" w:rsidRPr="00C62334">
        <w:rPr>
          <w:rFonts w:ascii="Times New Roman" w:hAnsi="Times New Roman" w:cs="Times New Roman"/>
        </w:rPr>
        <w:t>'</w:t>
      </w:r>
      <w:r w:rsidRPr="00C62334">
        <w:rPr>
          <w:rFonts w:ascii="Times New Roman" w:hAnsi="Times New Roman" w:cs="Times New Roman"/>
        </w:rPr>
        <w:t>acquacoltura e che modifica il regolamento (UE) 2017/1004, stabilendo i criteri per il calcolo</w:t>
      </w:r>
      <w:r>
        <w:rPr>
          <w:rFonts w:ascii="Times New Roman" w:hAnsi="Times New Roman"/>
        </w:rPr>
        <w:t xml:space="preserve"> dei</w:t>
      </w:r>
      <w:r w:rsidR="00A779A8">
        <w:rPr>
          <w:rFonts w:ascii="Times New Roman" w:hAnsi="Times New Roman"/>
        </w:rPr>
        <w:t> </w:t>
      </w:r>
      <w:r>
        <w:rPr>
          <w:rFonts w:ascii="Times New Roman" w:hAnsi="Times New Roman"/>
        </w:rPr>
        <w:t>costi aggiuntivi sostenuti dagli operatori nelle attività di pesca, allevamento, trasformazione e commercializzazione di determinati prodotti della pesca e dell</w:t>
      </w:r>
      <w:r w:rsidR="00A779A8">
        <w:rPr>
          <w:rFonts w:ascii="Times New Roman" w:hAnsi="Times New Roman"/>
        </w:rPr>
        <w:t>'</w:t>
      </w:r>
      <w:r>
        <w:rPr>
          <w:rFonts w:ascii="Times New Roman" w:hAnsi="Times New Roman"/>
        </w:rPr>
        <w:t>acquacoltura originari delle regioni ultraperiferiche (GU L</w:t>
      </w:r>
      <w:r w:rsidR="00A779A8">
        <w:rPr>
          <w:rFonts w:ascii="Times New Roman" w:hAnsi="Times New Roman"/>
        </w:rPr>
        <w:t> </w:t>
      </w:r>
      <w:r>
        <w:rPr>
          <w:rFonts w:ascii="Times New Roman" w:hAnsi="Times New Roman"/>
        </w:rPr>
        <w:t>402 del 15.11.2021, pag.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5D73954"/>
    <w:multiLevelType w:val="multilevel"/>
    <w:tmpl w:val="6E74DF5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068035A"/>
    <w:multiLevelType w:val="hybridMultilevel"/>
    <w:tmpl w:val="9DFEB7DE"/>
    <w:lvl w:ilvl="0" w:tplc="68ECC238">
      <w:start w:val="1"/>
      <w:numFmt w:val="decimal"/>
      <w:lvlText w:val="%1."/>
      <w:lvlJc w:val="left"/>
      <w:pPr>
        <w:ind w:left="502" w:hanging="360"/>
      </w:p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2362355">
    <w:abstractNumId w:val="4"/>
  </w:num>
  <w:num w:numId="2" w16cid:durableId="1406996739">
    <w:abstractNumId w:val="2"/>
  </w:num>
  <w:num w:numId="3" w16cid:durableId="831526704">
    <w:abstractNumId w:val="0"/>
  </w:num>
  <w:num w:numId="4" w16cid:durableId="571042857">
    <w:abstractNumId w:val="1"/>
  </w:num>
  <w:num w:numId="5" w16cid:durableId="72244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5E4AF1"/>
    <w:rsid w:val="006507DC"/>
    <w:rsid w:val="00663137"/>
    <w:rsid w:val="00742176"/>
    <w:rsid w:val="007918D3"/>
    <w:rsid w:val="00877154"/>
    <w:rsid w:val="00960996"/>
    <w:rsid w:val="00A07DCE"/>
    <w:rsid w:val="00A779A8"/>
    <w:rsid w:val="00AA3244"/>
    <w:rsid w:val="00BA5179"/>
    <w:rsid w:val="00BB6E34"/>
    <w:rsid w:val="00C62334"/>
    <w:rsid w:val="00C90ABD"/>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rPr>
  </w:style>
  <w:style w:type="character" w:customStyle="1" w:styleId="FootnoteTextChar">
    <w:name w:val="Footnote Text Char"/>
    <w:basedOn w:val="DefaultParagraphFont"/>
    <w:link w:val="FootnoteText"/>
    <w:uiPriority w:val="99"/>
    <w:semiHidden/>
    <w:rsid w:val="004C6027"/>
    <w:rPr>
      <w:sz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544</Words>
  <Characters>3327</Characters>
  <Application>Microsoft Office Word</Application>
  <DocSecurity>0</DocSecurity>
  <Lines>85</Lines>
  <Paragraphs>48</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FORNELLI Giuseppe (DGT)</cp:lastModifiedBy>
  <cp:revision>50</cp:revision>
  <dcterms:created xsi:type="dcterms:W3CDTF">2023-02-14T14:12:00Z</dcterms:created>
  <dcterms:modified xsi:type="dcterms:W3CDTF">2024-08-19T15:10:00Z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