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62715C"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62715C"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62715C">
        <w:rPr>
          <w:rFonts w:ascii="Times New Roman" w:hAnsi="Times New Roman"/>
          <w:b/>
          <w:smallCaps/>
          <w:sz w:val="24"/>
        </w:rPr>
        <w:t>3.4</w:t>
      </w:r>
    </w:p>
    <w:p w14:paraId="7788A656" w14:textId="5AA11F8A" w:rsidR="005615D7" w:rsidRPr="0062715C"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62715C">
        <w:rPr>
          <w:rFonts w:ascii="Times New Roman" w:hAnsi="Times New Roman"/>
          <w:b/>
          <w:smallCaps/>
          <w:sz w:val="24"/>
        </w:rPr>
        <w:t>Lisätietolomake –</w:t>
      </w:r>
      <w:r w:rsidRPr="0062715C">
        <w:rPr>
          <w:rFonts w:ascii="Times New Roman" w:hAnsi="Times New Roman"/>
          <w:b/>
          <w:smallCaps/>
          <w:sz w:val="24"/>
        </w:rPr>
        <w:br/>
        <w:t>Tuki kalastustoiminnan pysyvään lopettamiseen</w:t>
      </w:r>
    </w:p>
    <w:p w14:paraId="62847046" w14:textId="77777777" w:rsidR="002D0C08" w:rsidRPr="0062715C"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62715C" w:rsidRDefault="009D3BF2" w:rsidP="009D3BF2">
      <w:pPr>
        <w:spacing w:after="0" w:line="240" w:lineRule="auto"/>
        <w:rPr>
          <w:rFonts w:ascii="Times New Roman" w:eastAsia="Times New Roman" w:hAnsi="Times New Roman"/>
          <w:sz w:val="24"/>
          <w:szCs w:val="24"/>
          <w:lang w:eastAsia="en-GB"/>
        </w:rPr>
      </w:pPr>
    </w:p>
    <w:p w14:paraId="61CAB743" w14:textId="7A873D8D" w:rsidR="005615D7" w:rsidRPr="0062715C" w:rsidRDefault="009D3BF2" w:rsidP="009D3BF2">
      <w:pPr>
        <w:spacing w:after="0" w:line="240" w:lineRule="auto"/>
        <w:jc w:val="both"/>
        <w:rPr>
          <w:rFonts w:ascii="Times New Roman" w:eastAsia="Times New Roman" w:hAnsi="Times New Roman"/>
          <w:i/>
          <w:sz w:val="24"/>
          <w:szCs w:val="24"/>
        </w:rPr>
      </w:pPr>
      <w:r w:rsidRPr="0062715C">
        <w:rPr>
          <w:rFonts w:ascii="Times New Roman" w:hAnsi="Times New Roman"/>
          <w:i/>
          <w:sz w:val="24"/>
        </w:rPr>
        <w:t>Jäsenvaltioiden on käytettävä tätä lomaketta ilmoittaessaan kalastus- ja vesiviljelyalan valtiontukea koskevien suuntaviivojen</w:t>
      </w:r>
      <w:r w:rsidR="002F32FD" w:rsidRPr="0062715C">
        <w:rPr>
          <w:rStyle w:val="FootnoteReference"/>
          <w:rFonts w:ascii="Times New Roman" w:eastAsia="Times New Roman" w:hAnsi="Times New Roman"/>
          <w:i/>
          <w:sz w:val="24"/>
          <w:szCs w:val="24"/>
          <w:lang w:eastAsia="en-GB"/>
        </w:rPr>
        <w:footnoteReference w:id="1"/>
      </w:r>
      <w:r w:rsidRPr="0062715C">
        <w:rPr>
          <w:rFonts w:ascii="Times New Roman" w:hAnsi="Times New Roman"/>
          <w:i/>
          <w:sz w:val="24"/>
        </w:rPr>
        <w:t xml:space="preserve"> II osan 3 luvun 3.4 jaksossa kuvatusta valtiontuesta, joka myönnetään kalastustoiminnan pysyvään lopettamiseen.</w:t>
      </w:r>
    </w:p>
    <w:p w14:paraId="38E57BE1" w14:textId="77777777" w:rsidR="005615D7" w:rsidRPr="0062715C"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Pr="0062715C"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 xml:space="preserve">Edellytetäänkö toimenpiteessä, että tukea saanutta unionin kalastusalusta ei siirretä eikä sen lippuvaltiota vaihdeta unionin ulkopuolelle vähintään viiden vuoden aikana tuen loppumaksusta? </w:t>
      </w:r>
    </w:p>
    <w:p w14:paraId="7F4A8FD6" w14:textId="6ED5D19C" w:rsidR="007B3E6C" w:rsidRPr="0062715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62715C"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62715C"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56802EE5" w14:textId="1E6E4972" w:rsidR="007D193E" w:rsidRPr="0062715C"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Pr="0062715C"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31CC4F12" w14:textId="77777777" w:rsidR="00C25FCA" w:rsidRPr="0062715C" w:rsidRDefault="00C25FCA" w:rsidP="00C25FCA">
      <w:pPr>
        <w:rPr>
          <w:rFonts w:ascii="Times New Roman" w:eastAsia="Times New Roman" w:hAnsi="Times New Roman"/>
          <w:sz w:val="24"/>
          <w:szCs w:val="24"/>
        </w:rPr>
      </w:pPr>
      <w:r w:rsidRPr="0062715C">
        <w:rPr>
          <w:rFonts w:ascii="Times New Roman" w:hAnsi="Times New Roman"/>
          <w:sz w:val="24"/>
        </w:rPr>
        <w:t>………………………………………………………………………………………………….</w:t>
      </w:r>
    </w:p>
    <w:p w14:paraId="13C410C0" w14:textId="0355EC79" w:rsidR="009D3BF2" w:rsidRPr="0062715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sidRPr="0062715C">
        <w:rPr>
          <w:rFonts w:ascii="Times New Roman" w:hAnsi="Times New Roman"/>
          <w:i/>
          <w:sz w:val="24"/>
        </w:rPr>
        <w:t>Jos toimenpide koskee ainoastaan kalastusaluksen romuttamista, tämän kysymyksen voi jättää huomiotta.</w:t>
      </w:r>
    </w:p>
    <w:p w14:paraId="36312EFD" w14:textId="77777777" w:rsidR="00114BDD" w:rsidRPr="0062715C"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62715C"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Kuuluuko toiminnan lopettaminen asetuksen (EU) N:o 1380/2013 22 artiklan 4 kohdassa tarkoitetun toimintasuunnitelman välineisiin?</w:t>
      </w:r>
    </w:p>
    <w:p w14:paraId="1EDB6ADE" w14:textId="629F8703" w:rsidR="008A02E0" w:rsidRPr="0062715C"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62715C"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63BC3664" w14:textId="2D47827A" w:rsidR="006F53A8" w:rsidRPr="0062715C"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62715C"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sidRPr="0062715C">
        <w:rPr>
          <w:rFonts w:ascii="Times New Roman" w:hAnsi="Times New Roman"/>
          <w:i/>
          <w:sz w:val="24"/>
        </w:rPr>
        <w:t>Jos toimenpide toteutetaan suuntaviivojen 277 kohdan mukaisesti taloudellisten tai muiden näkökohtien vuoksi, jotka liittyvät meren elollisten luonnonvarojen säilyttämiseen, tämän kysymyksen voi jättää huomiotta. Jos toimenpide koskee sisävesikalastusta, tämän kysymyksen voi jättää huomiotta.</w:t>
      </w:r>
    </w:p>
    <w:p w14:paraId="2B86F57A" w14:textId="77777777" w:rsidR="008A02E0" w:rsidRPr="0062715C"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62715C"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Vahvistakaa, miten kalastustoiminnan pysyvä lopettaminen toteutetaan:</w:t>
      </w:r>
    </w:p>
    <w:p w14:paraId="350BC0A9" w14:textId="77777777" w:rsidR="006F53A8" w:rsidRPr="0062715C"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62715C" w:rsidRDefault="006F53A8" w:rsidP="00114BDD">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r>
      <w:r w:rsidRPr="0062715C">
        <w:rPr>
          <w:rFonts w:ascii="Times New Roman" w:hAnsi="Times New Roman"/>
          <w:sz w:val="24"/>
        </w:rPr>
        <w:t>(a) romuttamalla kalastusalus</w:t>
      </w:r>
    </w:p>
    <w:p w14:paraId="784E27A9" w14:textId="69546AAA" w:rsidR="006F53A8" w:rsidRPr="0062715C"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62715C" w:rsidRDefault="006F53A8" w:rsidP="00114BDD">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r>
      <w:r w:rsidRPr="0062715C">
        <w:rPr>
          <w:rFonts w:ascii="Times New Roman" w:hAnsi="Times New Roman"/>
          <w:sz w:val="24"/>
        </w:rPr>
        <w:t>(b) poistamalla kalastusalus käytöstä ja tekemällä jälkiasennukset muuta kuin kaupallista kalastustoimintaa varten</w:t>
      </w:r>
    </w:p>
    <w:p w14:paraId="57DFB028" w14:textId="3B75DE06" w:rsidR="006F53A8" w:rsidRPr="0062715C"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62715C" w:rsidRDefault="006F53A8" w:rsidP="00114BDD">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r>
      <w:r w:rsidRPr="0062715C">
        <w:rPr>
          <w:rFonts w:ascii="Times New Roman" w:hAnsi="Times New Roman"/>
          <w:sz w:val="24"/>
        </w:rPr>
        <w:t>(c) molemmat, eli pysyvä lopettaminen toteutetaan romuttamalla kalastusalus sekä poistamalla kalastusalus käytöstä ja tekemällä jälkiasennukset</w:t>
      </w:r>
      <w:r w:rsidRPr="0062715C">
        <w:rPr>
          <w:rFonts w:ascii="Times New Roman" w:hAnsi="Times New Roman"/>
        </w:rPr>
        <w:t>.</w:t>
      </w:r>
    </w:p>
    <w:p w14:paraId="0724B14A" w14:textId="4CB38FE4" w:rsidR="006F53A8" w:rsidRPr="0062715C"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Pr="0062715C"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Mainitkaa valintaa vastaavat oikeusperustan säännökset:</w:t>
      </w:r>
    </w:p>
    <w:p w14:paraId="2CD28190" w14:textId="77777777" w:rsidR="00C25FCA" w:rsidRPr="0062715C" w:rsidRDefault="00C25FCA" w:rsidP="00C25FCA">
      <w:pPr>
        <w:rPr>
          <w:rFonts w:ascii="Times New Roman" w:eastAsia="Times New Roman" w:hAnsi="Times New Roman"/>
          <w:sz w:val="24"/>
          <w:szCs w:val="24"/>
        </w:rPr>
      </w:pPr>
      <w:r w:rsidRPr="0062715C">
        <w:rPr>
          <w:rFonts w:ascii="Times New Roman" w:hAnsi="Times New Roman"/>
          <w:sz w:val="24"/>
        </w:rPr>
        <w:t>………………………………………………………………………………………………….</w:t>
      </w:r>
    </w:p>
    <w:p w14:paraId="1FA3F1AD" w14:textId="77777777" w:rsidR="00C25FCA" w:rsidRPr="0062715C"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62715C"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62715C"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Edellytetäänkö toimenpiteessä, että kalastusalus on rekisteröity aktiiviseksi, ja se on harjoittanut kalastustoimintaa vähintään 90 päivää vuodessa tukihakemuksen jättämispäivää edeltävinä viimeisinä kahtena kalenterivuotena?</w:t>
      </w:r>
    </w:p>
    <w:p w14:paraId="7403400D" w14:textId="3BBD3626" w:rsidR="006F53A8" w:rsidRPr="0062715C"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62715C"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03D5C7FC" w14:textId="65A5E1B2" w:rsidR="006F53A8" w:rsidRPr="0062715C"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Pr="0062715C"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69CB2E03" w14:textId="41B58B64" w:rsidR="00114BDD" w:rsidRPr="0062715C" w:rsidRDefault="00693BB6" w:rsidP="009D3BF2">
      <w:pPr>
        <w:rPr>
          <w:rFonts w:ascii="Times New Roman" w:eastAsia="Times New Roman" w:hAnsi="Times New Roman"/>
          <w:sz w:val="24"/>
          <w:szCs w:val="24"/>
        </w:rPr>
      </w:pPr>
      <w:r w:rsidRPr="0062715C">
        <w:rPr>
          <w:rFonts w:ascii="Times New Roman" w:hAnsi="Times New Roman"/>
          <w:sz w:val="24"/>
        </w:rPr>
        <w:t>………………………………………………………………………………………………….</w:t>
      </w:r>
    </w:p>
    <w:p w14:paraId="16A1D0B6" w14:textId="5F4C26EF" w:rsidR="00114BDD" w:rsidRPr="0062715C"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sidRPr="0062715C">
        <w:rPr>
          <w:rFonts w:ascii="Times New Roman" w:hAnsi="Times New Roman"/>
          <w:sz w:val="24"/>
        </w:rPr>
        <w:t xml:space="preserve">Jos kalastustoimintaa ei voida sen luonteen vuoksi harjoittaa koko kalenterivuoden ajan, suuntaviivojen 275 kohdan c alakohdassa tarkoitettua kalastustoiminnan vähimmäisvaatimusta voi keventää edellyttäen, että toimintapäivien ja kalastuskelpoisten päivien välinen suhde on sama kuin suhde, joka on koko vuoden ajan kalastavien tuensaajayritysten toimintapäivien lukumäärän ja vuotuisten kalenteripäivien lukumäärän välillä. </w:t>
      </w:r>
    </w:p>
    <w:p w14:paraId="4DE3BDF3" w14:textId="02125272" w:rsidR="00114BDD" w:rsidRPr="0062715C"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Tällöin kuvatkaa toimenpiteen kohteena olevaa kalastustoimintaa yksityiskohtaisesti, selittäkää, miten kalastustoiminnan vähimmäisvaatimus on laskettu, ja mainitkaa oikeusperustan asianomaiset säännökset.</w:t>
      </w:r>
    </w:p>
    <w:p w14:paraId="18D4D02B" w14:textId="13F19FEE" w:rsidR="00114BDD" w:rsidRPr="0062715C" w:rsidRDefault="003F6C33" w:rsidP="009D3BF2">
      <w:pPr>
        <w:rPr>
          <w:rFonts w:ascii="Times New Roman" w:eastAsia="Times New Roman" w:hAnsi="Times New Roman"/>
          <w:sz w:val="24"/>
          <w:szCs w:val="24"/>
        </w:rPr>
      </w:pPr>
      <w:r w:rsidRPr="0062715C">
        <w:rPr>
          <w:rFonts w:ascii="Times New Roman" w:hAnsi="Times New Roman"/>
          <w:sz w:val="24"/>
        </w:rPr>
        <w:t>………………………………………………………………………………………………….</w:t>
      </w:r>
      <w:bookmarkEnd w:id="0"/>
    </w:p>
    <w:p w14:paraId="78141983" w14:textId="77777777" w:rsidR="00693BB6" w:rsidRPr="0062715C"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Pr="006271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sidRPr="0062715C">
        <w:rPr>
          <w:rFonts w:ascii="Times New Roman" w:hAnsi="Times New Roman"/>
          <w:sz w:val="24"/>
        </w:rPr>
        <w:t>Jos toimenpide koskee sisävesikalastusta ja kalastusalus harjoittaa useiden sellaisten lajien pyyntiä, joille on sallittu sisävesillä eri määrä kalastuskelpoisia päiviä, kalastuskelpoisten päivien lukumäärä suuntaviivojen 276 kohdassa tarkoitetun suhteen laskemiseksi on kyseisen aluksen saaliille sallittujen kalastuskelpoisten päivien lukumäärän keskiarvo. Huomioikaa kuitenkin, että tällaisesta mukautuksesta johtuva kalastustoimintapäivien vähimmäismäärä ei saa koskaan olla alle 30 päivää eikä yli 90 päivää.</w:t>
      </w:r>
    </w:p>
    <w:p w14:paraId="26293B18" w14:textId="37E9FECF" w:rsidR="001E103F" w:rsidRPr="0062715C"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sidRPr="0062715C">
        <w:rPr>
          <w:rFonts w:ascii="Times New Roman" w:hAnsi="Times New Roman"/>
          <w:sz w:val="24"/>
        </w:rPr>
        <w:t>Tällöin kuvatkaa asianomaiseen sisävesikalastukseen sovellettavia oikeudellisia ja/tai hallinnollisia puitteita yksityiskohtaisesti, selittäkää, miten kalastustoiminnan vähimmäisvaatimus on laskettu, ja mainitkaa oikeusperustan asianomaiset säännökset.</w:t>
      </w:r>
    </w:p>
    <w:p w14:paraId="6D993831" w14:textId="26E10A97" w:rsidR="0092025C" w:rsidRPr="0062715C" w:rsidRDefault="001E103F" w:rsidP="009D3BF2">
      <w:pPr>
        <w:rPr>
          <w:rFonts w:ascii="Times New Roman" w:eastAsia="Times New Roman" w:hAnsi="Times New Roman"/>
          <w:sz w:val="24"/>
          <w:szCs w:val="24"/>
        </w:rPr>
      </w:pPr>
      <w:r w:rsidRPr="0062715C">
        <w:rPr>
          <w:rFonts w:ascii="Times New Roman" w:hAnsi="Times New Roman"/>
          <w:sz w:val="24"/>
        </w:rPr>
        <w:t>………………………………………………………………………………………………….</w:t>
      </w:r>
      <w:bookmarkEnd w:id="1"/>
    </w:p>
    <w:p w14:paraId="69D56BBB" w14:textId="77777777" w:rsidR="0092025C" w:rsidRPr="0062715C"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62715C"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Edellytetäänkö toimenpiteessä, että vastaava kalastuskapasiteetti poistetaan pysyvästi unionin kalastuslaivastorekisteristä eikä sitä korvata?</w:t>
      </w:r>
    </w:p>
    <w:p w14:paraId="40E27588" w14:textId="34086B5D" w:rsidR="006F53A8" w:rsidRPr="0062715C"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62715C"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51034BF3" w14:textId="62C45F83" w:rsidR="006F53A8" w:rsidRPr="0062715C"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Pr="0062715C"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toimenpide koskee sisävesikalastusta, sovelletaanko edellytystä unionin laivastorekisterin sijasta asiaankuuluvan kansallisen laivastorekisterin perusteella, jos sellainen on olemassa kansallisen lainsäädännön nojalla?</w:t>
      </w:r>
    </w:p>
    <w:p w14:paraId="661B816D" w14:textId="77777777" w:rsidR="00814101" w:rsidRPr="0062715C"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62715C"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3FADF404" w14:textId="77777777" w:rsidR="00814101" w:rsidRPr="0062715C"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62715C"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Pr="0062715C"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lastRenderedPageBreak/>
        <w:t>Jos vastaus kysymykseen 5 tai 5.1 on myöntävä, mainitkaa oikeusperustan asianomaiset säännökset:</w:t>
      </w:r>
    </w:p>
    <w:p w14:paraId="5AA82C37" w14:textId="77777777" w:rsidR="00693BB6" w:rsidRPr="0062715C" w:rsidRDefault="00693BB6" w:rsidP="00693BB6">
      <w:pPr>
        <w:rPr>
          <w:rFonts w:ascii="Times New Roman" w:eastAsia="Times New Roman" w:hAnsi="Times New Roman"/>
          <w:sz w:val="24"/>
          <w:szCs w:val="24"/>
        </w:rPr>
      </w:pPr>
      <w:r w:rsidRPr="0062715C">
        <w:rPr>
          <w:rFonts w:ascii="Times New Roman" w:hAnsi="Times New Roman"/>
          <w:sz w:val="24"/>
        </w:rPr>
        <w:t>………………………………………………………………………………………………….</w:t>
      </w:r>
    </w:p>
    <w:p w14:paraId="476B8351" w14:textId="3CFE0511" w:rsidR="006F53A8" w:rsidRPr="0062715C"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62715C"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Edellytetäänkö toimenpiteessä, että vastaavat kalastuslisenssit ja -luvat peruutetaan pysyvästi?</w:t>
      </w:r>
    </w:p>
    <w:p w14:paraId="5EB35BE0" w14:textId="3F8D1BD5"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62715C"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0A1FDDD0" w14:textId="6A6ECDB5"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Pr="0062715C"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37D67B49" w14:textId="03B64879" w:rsidR="00693BB6" w:rsidRPr="0062715C" w:rsidRDefault="00693BB6" w:rsidP="00814101">
      <w:pPr>
        <w:rPr>
          <w:rFonts w:ascii="Times New Roman" w:eastAsia="Times New Roman" w:hAnsi="Times New Roman"/>
          <w:sz w:val="24"/>
          <w:szCs w:val="24"/>
        </w:rPr>
      </w:pPr>
      <w:r w:rsidRPr="0062715C">
        <w:rPr>
          <w:rFonts w:ascii="Times New Roman" w:hAnsi="Times New Roman"/>
          <w:sz w:val="24"/>
        </w:rPr>
        <w:t>………………………………………………………………………………………………….</w:t>
      </w:r>
    </w:p>
    <w:p w14:paraId="5BE0BB4D" w14:textId="77777777"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62715C"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Edellytetäänkö toimenpiteessä, että tuensaajayritys ei rekisteröi minkäänlaista kalastusalusta viiden vuoden kuluessa tuen saamisesta?</w:t>
      </w:r>
    </w:p>
    <w:p w14:paraId="59144263" w14:textId="47D22ED6"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62715C"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62715C"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32F01FDB" w14:textId="33A0A2C0"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Pr="0062715C"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toimenpide koskee sisävesikalastusta, sovelletaanko edellytystä unionin laivastorekisterin sijasta asiaankuuluvan kansallisen laivastorekisterin perusteella, jos sellainen on olemassa kansallisen lainsäädännön nojalla?</w:t>
      </w:r>
    </w:p>
    <w:p w14:paraId="4A1DD355" w14:textId="77777777" w:rsidR="00814101" w:rsidRPr="0062715C"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Pr="0062715C"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58182456" w14:textId="77777777" w:rsidR="00814101" w:rsidRPr="0062715C"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Pr="0062715C"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kysymykseen 7 tai 7.1 on myöntävä, mainitkaa oikeusperustan asianomaiset säännökset:</w:t>
      </w:r>
    </w:p>
    <w:p w14:paraId="34906596" w14:textId="052294FA" w:rsidR="00693BB6" w:rsidRPr="0062715C" w:rsidRDefault="00693BB6" w:rsidP="00814101">
      <w:pPr>
        <w:rPr>
          <w:rFonts w:ascii="Times New Roman" w:eastAsia="Times New Roman" w:hAnsi="Times New Roman"/>
          <w:sz w:val="24"/>
          <w:szCs w:val="24"/>
        </w:rPr>
      </w:pPr>
      <w:r w:rsidRPr="0062715C">
        <w:rPr>
          <w:rFonts w:ascii="Times New Roman" w:hAnsi="Times New Roman"/>
          <w:sz w:val="24"/>
        </w:rPr>
        <w:t>………………………………………………………………………………………………….</w:t>
      </w:r>
    </w:p>
    <w:p w14:paraId="261F2C25" w14:textId="49DBD36D"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Pr="0062715C"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toimenpide toteutetaan suuntaviivojen 277 kohdan mukaisesti taloudellisten tai muiden näkökohtien vuoksi, jotka liittyvät meren elollisten luonnonvarojen säilyttämiseen, tai jos toimenpide koskee suuntaviivojen 280 mukaisesti sisävesikalastusta, vastatkaa seuraaviin:</w:t>
      </w:r>
    </w:p>
    <w:p w14:paraId="71D40ED7" w14:textId="5EDEF5C4"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62715C"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sidRPr="0062715C">
        <w:rPr>
          <w:rFonts w:ascii="Times New Roman" w:hAnsi="Times New Roman"/>
          <w:sz w:val="24"/>
        </w:rPr>
        <w:t>Kuvatkaa pysyvän lopettamisen perusteena olevia olosuhteita yksityiskohtaisesti</w:t>
      </w:r>
      <w:bookmarkEnd w:id="2"/>
      <w:r w:rsidRPr="0062715C">
        <w:rPr>
          <w:rFonts w:ascii="Times New Roman" w:hAnsi="Times New Roman"/>
          <w:sz w:val="24"/>
        </w:rPr>
        <w:t xml:space="preserve"> esimerkiksi taloudellisten tai ympäristöön liittyvien tavoitteiden kautta.</w:t>
      </w:r>
    </w:p>
    <w:p w14:paraId="728C6C06" w14:textId="77777777" w:rsidR="003E1E24" w:rsidRPr="0062715C" w:rsidRDefault="003E1E24" w:rsidP="003E1E24">
      <w:pPr>
        <w:rPr>
          <w:rFonts w:ascii="Times New Roman" w:eastAsia="Times New Roman" w:hAnsi="Times New Roman"/>
          <w:sz w:val="24"/>
          <w:szCs w:val="24"/>
        </w:rPr>
      </w:pPr>
      <w:r w:rsidRPr="0062715C">
        <w:rPr>
          <w:rFonts w:ascii="Times New Roman" w:hAnsi="Times New Roman"/>
          <w:sz w:val="24"/>
        </w:rPr>
        <w:t>………………………………………………………………………………………………….</w:t>
      </w:r>
    </w:p>
    <w:p w14:paraId="7C4E18C5" w14:textId="7F14B4A6"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62715C"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sidRPr="0062715C">
        <w:rPr>
          <w:rFonts w:ascii="Times New Roman" w:hAnsi="Times New Roman"/>
          <w:sz w:val="24"/>
        </w:rPr>
        <w:t>Mikä on toimenpiteen tavoite:</w:t>
      </w:r>
    </w:p>
    <w:p w14:paraId="78C0F76C" w14:textId="77777777"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62715C" w:rsidRDefault="003E1E24" w:rsidP="001E50D6">
      <w:pPr>
        <w:spacing w:after="12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säilyttämistoimenpiteet, joiden tueksi on tieteellistä näyttöä</w:t>
      </w:r>
    </w:p>
    <w:p w14:paraId="0633FD28" w14:textId="5BFEAC87" w:rsidR="003E1E24" w:rsidRPr="0062715C" w:rsidRDefault="003E1E24" w:rsidP="003E1E24">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taloudelliset näkökohdat</w:t>
      </w:r>
    </w:p>
    <w:bookmarkEnd w:id="3"/>
    <w:p w14:paraId="1383A5F3" w14:textId="77777777"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62715C"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sidRPr="0062715C">
        <w:rPr>
          <w:rFonts w:ascii="Times New Roman" w:hAnsi="Times New Roman"/>
          <w:sz w:val="24"/>
        </w:rPr>
        <w:t xml:space="preserve">Kun kyseessä ovat säilyttämistoimenpiteet, esittäkää tiivistelmä niiden tukena olevasta tieteellisestä näytöstä. </w:t>
      </w:r>
    </w:p>
    <w:p w14:paraId="4504903E" w14:textId="77777777" w:rsidR="003E1E24" w:rsidRPr="0062715C" w:rsidRDefault="003E1E24" w:rsidP="003E1E24">
      <w:pPr>
        <w:rPr>
          <w:rFonts w:ascii="Times New Roman" w:eastAsia="Times New Roman" w:hAnsi="Times New Roman"/>
          <w:sz w:val="24"/>
          <w:szCs w:val="24"/>
        </w:rPr>
      </w:pPr>
      <w:r w:rsidRPr="0062715C">
        <w:rPr>
          <w:rFonts w:ascii="Times New Roman" w:hAnsi="Times New Roman"/>
          <w:sz w:val="24"/>
        </w:rPr>
        <w:t>………………………………………………………………………………………………….</w:t>
      </w:r>
    </w:p>
    <w:bookmarkEnd w:id="4"/>
    <w:p w14:paraId="5B1E7D34" w14:textId="77777777"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77E39AE8" w:rsidR="003E1E24" w:rsidRPr="0062715C"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 xml:space="preserve">Kun kyseessä ovat taloudelliset näkökohdat, selittäkää yksityiskohtaisesti pysyvän lopettamisen taloudelliset perustelut (jollei selitys jo sisälly kysymykseen </w:t>
      </w:r>
      <w:r w:rsidRPr="0062715C">
        <w:rPr>
          <w:rFonts w:ascii="Times New Roman" w:eastAsia="Times New Roman" w:hAnsi="Times New Roman"/>
          <w:sz w:val="24"/>
        </w:rPr>
        <w:fldChar w:fldCharType="begin"/>
      </w:r>
      <w:r w:rsidRPr="0062715C">
        <w:rPr>
          <w:rFonts w:ascii="Times New Roman" w:eastAsia="Times New Roman" w:hAnsi="Times New Roman"/>
          <w:sz w:val="24"/>
        </w:rPr>
        <w:instrText xml:space="preserve"> REF _Ref125107693 \r \h  \* MERGEFORMAT </w:instrText>
      </w:r>
      <w:r w:rsidRPr="0062715C">
        <w:rPr>
          <w:rFonts w:ascii="Times New Roman" w:eastAsia="Times New Roman" w:hAnsi="Times New Roman"/>
          <w:sz w:val="24"/>
        </w:rPr>
      </w:r>
      <w:r w:rsidRPr="0062715C">
        <w:rPr>
          <w:rFonts w:ascii="Times New Roman" w:eastAsia="Times New Roman" w:hAnsi="Times New Roman"/>
          <w:sz w:val="24"/>
        </w:rPr>
        <w:fldChar w:fldCharType="separate"/>
      </w:r>
      <w:r w:rsidR="00814101" w:rsidRPr="0062715C">
        <w:rPr>
          <w:rFonts w:ascii="Times New Roman" w:eastAsia="Times New Roman" w:hAnsi="Times New Roman"/>
          <w:sz w:val="24"/>
        </w:rPr>
        <w:t>8</w:t>
      </w:r>
      <w:r w:rsidR="001E50D6" w:rsidRPr="0062715C">
        <w:rPr>
          <w:rFonts w:ascii="Times New Roman" w:eastAsia="Times New Roman" w:hAnsi="Times New Roman"/>
          <w:sz w:val="24"/>
        </w:rPr>
        <w:t>.1</w:t>
      </w:r>
      <w:r w:rsidRPr="0062715C">
        <w:rPr>
          <w:rFonts w:ascii="Times New Roman" w:eastAsia="Times New Roman" w:hAnsi="Times New Roman"/>
          <w:sz w:val="24"/>
        </w:rPr>
        <w:fldChar w:fldCharType="end"/>
      </w:r>
      <w:r w:rsidR="0062715C">
        <w:rPr>
          <w:rFonts w:ascii="Times New Roman" w:eastAsia="Times New Roman" w:hAnsi="Times New Roman"/>
          <w:sz w:val="24"/>
        </w:rPr>
        <w:t xml:space="preserve"> </w:t>
      </w:r>
      <w:r w:rsidRPr="0062715C">
        <w:rPr>
          <w:rFonts w:ascii="Times New Roman" w:hAnsi="Times New Roman"/>
          <w:sz w:val="24"/>
          <w:szCs w:val="24"/>
        </w:rPr>
        <w:t>annettuun vastaukseen</w:t>
      </w:r>
      <w:r w:rsidRPr="0062715C">
        <w:rPr>
          <w:rFonts w:ascii="Times New Roman" w:hAnsi="Times New Roman"/>
          <w:sz w:val="24"/>
        </w:rPr>
        <w:t xml:space="preserve">). </w:t>
      </w:r>
    </w:p>
    <w:p w14:paraId="32822158" w14:textId="77777777" w:rsidR="003E1E24" w:rsidRPr="0062715C" w:rsidRDefault="003E1E24" w:rsidP="003E1E24">
      <w:pPr>
        <w:rPr>
          <w:rFonts w:ascii="Times New Roman" w:eastAsia="Times New Roman" w:hAnsi="Times New Roman"/>
          <w:sz w:val="24"/>
          <w:szCs w:val="24"/>
        </w:rPr>
      </w:pPr>
      <w:r w:rsidRPr="0062715C">
        <w:rPr>
          <w:rFonts w:ascii="Times New Roman" w:hAnsi="Times New Roman"/>
          <w:sz w:val="24"/>
        </w:rPr>
        <w:t>………………………………………………………………………………………………….</w:t>
      </w:r>
    </w:p>
    <w:p w14:paraId="4F9B1CC6" w14:textId="77777777"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62715C"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sidRPr="0062715C">
        <w:rPr>
          <w:rFonts w:ascii="Times New Roman" w:hAnsi="Times New Roman"/>
          <w:sz w:val="24"/>
        </w:rPr>
        <w:t>Voitteko vahvistaa, että sisävesikalastuksen osalta toimenpiteessä voidaan myöntää tukea ainoastaan sellaisille tuensaajayrityksille, jotka toimivat yksinomaan sisävesillä?</w:t>
      </w:r>
    </w:p>
    <w:p w14:paraId="22BDBB14" w14:textId="77777777" w:rsidR="003E1E24" w:rsidRPr="0062715C"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Pr="0062715C"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7CEA6597" w14:textId="47485AC0" w:rsidR="00693BB6" w:rsidRPr="0062715C"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Pr="0062715C"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bookmarkEnd w:id="5"/>
    <w:p w14:paraId="144A3792" w14:textId="77777777" w:rsidR="00693BB6" w:rsidRPr="0062715C" w:rsidRDefault="00693BB6" w:rsidP="00693BB6">
      <w:pPr>
        <w:rPr>
          <w:rFonts w:ascii="Times New Roman" w:eastAsia="Times New Roman" w:hAnsi="Times New Roman"/>
          <w:sz w:val="24"/>
          <w:szCs w:val="24"/>
        </w:rPr>
      </w:pPr>
      <w:r w:rsidRPr="0062715C">
        <w:rPr>
          <w:rFonts w:ascii="Times New Roman" w:hAnsi="Times New Roman"/>
          <w:sz w:val="24"/>
        </w:rPr>
        <w:t>………………………………………………………………………………………………….</w:t>
      </w:r>
    </w:p>
    <w:p w14:paraId="705B289A" w14:textId="36BFDA9C"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62715C"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 xml:space="preserve">Edellytetäänkö toimenpiteessä, että tuensaajayritys sitoutuu olemaan lisäämättä aktiivista kalastuskapasiteettiaan tukihakemuksen jättöhetkestä lähtien siihen asti, kun tuen maksamisesta on kulunut viisi vuotta? </w:t>
      </w:r>
    </w:p>
    <w:p w14:paraId="33D7F95A" w14:textId="7F85BA99"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62715C"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73E8C7CC" w14:textId="7C63F5D6" w:rsidR="00247C79" w:rsidRPr="0062715C"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Pr="0062715C"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5B778D2A" w14:textId="77777777" w:rsidR="006741CF" w:rsidRPr="0062715C" w:rsidRDefault="006741CF" w:rsidP="006741CF">
      <w:pPr>
        <w:rPr>
          <w:rFonts w:ascii="Times New Roman" w:eastAsia="Times New Roman" w:hAnsi="Times New Roman"/>
          <w:sz w:val="24"/>
          <w:szCs w:val="24"/>
        </w:rPr>
      </w:pPr>
      <w:r w:rsidRPr="0062715C">
        <w:rPr>
          <w:rFonts w:ascii="Times New Roman" w:hAnsi="Times New Roman"/>
          <w:sz w:val="24"/>
        </w:rPr>
        <w:t>………………………………………………………………………………………………….</w:t>
      </w:r>
    </w:p>
    <w:p w14:paraId="00EAADF1" w14:textId="77777777" w:rsidR="006741CF" w:rsidRPr="0062715C"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62715C"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Edellytetäänkö toimenpiteessä, että tuensaajayritys sitoutuu myös olemaan käyttämättä tukea moottoriensa korvaamiseen tai nykyaikaistamiseen, jolleivät asetuksen (EU) 2021/1139</w:t>
      </w:r>
      <w:r w:rsidR="00814101" w:rsidRPr="0062715C">
        <w:rPr>
          <w:rStyle w:val="FootnoteReference"/>
          <w:rFonts w:ascii="Times New Roman" w:eastAsia="Times New Roman" w:hAnsi="Times New Roman"/>
          <w:sz w:val="24"/>
          <w:szCs w:val="24"/>
          <w:lang w:eastAsia="en-GB"/>
        </w:rPr>
        <w:footnoteReference w:id="2"/>
      </w:r>
      <w:r w:rsidRPr="0062715C">
        <w:rPr>
          <w:rFonts w:ascii="Times New Roman" w:hAnsi="Times New Roman"/>
          <w:sz w:val="24"/>
        </w:rPr>
        <w:t xml:space="preserve"> 18 artiklassa säädetyt edellytykset täyty?</w:t>
      </w:r>
    </w:p>
    <w:p w14:paraId="638EADB8" w14:textId="5E20CB4C" w:rsidR="00114BDD" w:rsidRPr="0062715C"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62715C"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2048A7EA" w14:textId="4737AAAB" w:rsidR="00247C79" w:rsidRPr="0062715C"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Pr="0062715C"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37998593" w14:textId="77777777" w:rsidR="006741CF" w:rsidRPr="0062715C" w:rsidRDefault="006741CF" w:rsidP="006741CF">
      <w:pPr>
        <w:rPr>
          <w:rFonts w:ascii="Times New Roman" w:eastAsia="Times New Roman" w:hAnsi="Times New Roman"/>
          <w:sz w:val="24"/>
          <w:szCs w:val="24"/>
        </w:rPr>
      </w:pPr>
      <w:r w:rsidRPr="0062715C">
        <w:rPr>
          <w:rFonts w:ascii="Times New Roman" w:hAnsi="Times New Roman"/>
          <w:sz w:val="24"/>
        </w:rPr>
        <w:t>………………………………………………………………………………………………….</w:t>
      </w:r>
    </w:p>
    <w:p w14:paraId="181A0280" w14:textId="77777777" w:rsidR="006741CF" w:rsidRPr="0062715C"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Pr="0062715C"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Jos vuosi ennen ilmoitusta ilmoittava jäsenvaltio on Euroopan meri- ja kalatalousrahaston (EMKR) tai Euroopan meri-, kalatalous- ja vesiviljelyrahaston (EMKVR) nojalla myöntänyt tukea tai toteuttanut toimia, jotka johtavat kalastuskapasiteetin lisääntymiseen merialueella, tai jos se on sisällyttänyt tällaisia toimia kansalliseen EMKVR:n ohjelmaan, selittäkää yksityiskohtaisesti, missä määrin tuki kalastuksen pysyvään lopettamiseen samalla merialueella on yhteensopiva kalastuskapasiteetin lisääntymisen kanssa, sekä perustelkaa tuki ja sen välttämättömyys.</w:t>
      </w:r>
    </w:p>
    <w:p w14:paraId="64B83106" w14:textId="567A8E3C" w:rsidR="003E1E24" w:rsidRPr="0062715C"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62715C" w:rsidRDefault="00247C79" w:rsidP="00247C79">
      <w:pPr>
        <w:rPr>
          <w:rFonts w:ascii="Times New Roman" w:eastAsia="Times New Roman" w:hAnsi="Times New Roman"/>
          <w:sz w:val="24"/>
          <w:szCs w:val="24"/>
        </w:rPr>
      </w:pPr>
      <w:r w:rsidRPr="0062715C">
        <w:rPr>
          <w:rFonts w:ascii="Times New Roman" w:hAnsi="Times New Roman"/>
          <w:sz w:val="24"/>
        </w:rPr>
        <w:t>………………………………………………………………………………………………….</w:t>
      </w:r>
    </w:p>
    <w:p w14:paraId="264242A7" w14:textId="469B24A9" w:rsidR="00814101" w:rsidRPr="0062715C"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sidRPr="0062715C">
        <w:rPr>
          <w:rFonts w:ascii="Times New Roman" w:hAnsi="Times New Roman"/>
          <w:i/>
          <w:sz w:val="24"/>
        </w:rPr>
        <w:t>Jos toimenpide koskee sisävesikalastusta, tämän kysymyksen voi jättää huomiotta.</w:t>
      </w:r>
    </w:p>
    <w:p w14:paraId="4696EF65" w14:textId="17C75B38" w:rsidR="00D25398" w:rsidRPr="0062715C"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62715C"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Pr="0062715C"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Kenelle tukea myönnetään?</w:t>
      </w:r>
    </w:p>
    <w:p w14:paraId="13125B66" w14:textId="5414CA6B" w:rsidR="00683B68" w:rsidRPr="0062715C"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62715C" w:rsidRDefault="00683B68" w:rsidP="001E50D6">
      <w:pPr>
        <w:spacing w:after="12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(a) niiden unionin kalastusalusten omistajille, joita pysyvä lopettaminen koskee</w:t>
      </w:r>
    </w:p>
    <w:p w14:paraId="0F36EBF0" w14:textId="4572D9E1" w:rsidR="00683B68" w:rsidRPr="0062715C" w:rsidRDefault="00683B68" w:rsidP="001E50D6">
      <w:pPr>
        <w:spacing w:after="12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(b) kalastajille, jotka ovat työskennelleet unionin kalastusaluksella, jota pysyvä lopettaminen koskee, vähintään 90 päivää vuodessa tukihakemuksen jättämisvuotta edeltävinä viimeisinä kahtena kalenterivuotena</w:t>
      </w:r>
    </w:p>
    <w:p w14:paraId="3E8C9E38" w14:textId="66FB2E8C" w:rsidR="00683B68" w:rsidRPr="0062715C" w:rsidRDefault="00683B68" w:rsidP="00683B68">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c) molemmille eli sekä a että b alakohdan tuensaajille.</w:t>
      </w:r>
    </w:p>
    <w:p w14:paraId="3BA0B28D" w14:textId="0376BA20" w:rsidR="00683B68" w:rsidRPr="0062715C"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Pr="0062715C"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Mainitkaa valintaa vastaavat oikeusperustan säännökset:</w:t>
      </w:r>
    </w:p>
    <w:p w14:paraId="552A79DF" w14:textId="77777777" w:rsidR="0026001A" w:rsidRPr="0062715C" w:rsidRDefault="0026001A" w:rsidP="0026001A">
      <w:pPr>
        <w:rPr>
          <w:rFonts w:ascii="Times New Roman" w:eastAsia="Times New Roman" w:hAnsi="Times New Roman"/>
          <w:sz w:val="24"/>
          <w:szCs w:val="24"/>
        </w:rPr>
      </w:pPr>
      <w:r w:rsidRPr="0062715C">
        <w:rPr>
          <w:rFonts w:ascii="Times New Roman" w:hAnsi="Times New Roman"/>
          <w:sz w:val="24"/>
        </w:rPr>
        <w:t>………………………………………………………………………………………………….</w:t>
      </w:r>
    </w:p>
    <w:p w14:paraId="5EE0720A" w14:textId="77777777" w:rsidR="0026001A" w:rsidRPr="0062715C"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Pr="0062715C"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Selittäkää, miten edellä mainittu 90 päivän vähimmäisaika on laskettu, jos asianomaisiin kalastusaluksiin on sovellettu mukautuksia, ottaen huomioon suuntaviivojen 283, 276 ja 281 kohta.</w:t>
      </w:r>
    </w:p>
    <w:p w14:paraId="7A69CAEE" w14:textId="77777777" w:rsidR="006D57B3" w:rsidRPr="0062715C" w:rsidRDefault="006D57B3" w:rsidP="006D57B3">
      <w:pPr>
        <w:rPr>
          <w:rFonts w:ascii="Times New Roman" w:eastAsia="Times New Roman" w:hAnsi="Times New Roman"/>
          <w:sz w:val="24"/>
          <w:szCs w:val="24"/>
        </w:rPr>
      </w:pPr>
      <w:r w:rsidRPr="0062715C">
        <w:rPr>
          <w:rFonts w:ascii="Times New Roman" w:hAnsi="Times New Roman"/>
          <w:sz w:val="24"/>
        </w:rPr>
        <w:t>………………………………………………………………………………………………….</w:t>
      </w:r>
    </w:p>
    <w:p w14:paraId="5A8C02AB" w14:textId="77777777" w:rsidR="000E6ABB" w:rsidRPr="0062715C"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62715C"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Edellytetäänkö toimenpiteessä, että kalastaja lopettaa kaiken kalastustoiminnan viideksi vuodeksi tuen saamisen jälkeen, ja että jos kalastaja palaa kalastustoimintaan kyseisellä ajanjaksolla, tukea koskevat aiheettomasti maksetut summat peritään takaisin määränä, joka on oikeassa suhteessa ajanjaksoon, jolla kyseistä edellytystä ei ollut täytetty?</w:t>
      </w:r>
    </w:p>
    <w:p w14:paraId="3B33B84C" w14:textId="033C14E6" w:rsidR="00247C79" w:rsidRPr="0062715C"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62715C"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1F831ADB" w14:textId="033F030E"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Pr="0062715C"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2364EB6E" w14:textId="51ED5699" w:rsidR="000E6ABB" w:rsidRPr="0062715C" w:rsidRDefault="000E6ABB" w:rsidP="00E0325E">
      <w:pPr>
        <w:rPr>
          <w:rFonts w:ascii="Times New Roman" w:eastAsia="Times New Roman" w:hAnsi="Times New Roman"/>
          <w:sz w:val="24"/>
          <w:szCs w:val="24"/>
        </w:rPr>
      </w:pPr>
      <w:r w:rsidRPr="0062715C">
        <w:rPr>
          <w:rFonts w:ascii="Times New Roman" w:hAnsi="Times New Roman"/>
          <w:sz w:val="24"/>
        </w:rPr>
        <w:t>………………………………………………………………………………………………….</w:t>
      </w:r>
    </w:p>
    <w:p w14:paraId="2D11C7F0" w14:textId="1E301E94"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Pr="0062715C"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Esittäkää yksityiskohtainen kuvaus käyttöön otetuista valvonta- ja täytäntöönpanomekanismeista, joilla varmistetaan, että kalastustoiminnan pysyvään lopettamiseen liittyviä edellytyksiä noudatetaan, mukaan lukien sen varmistaminen, että kapasiteetti peruutetaan pysyvästi ja että asianomainen alus on lopettanut tai asianomaiset kalastajat ovat lopettaneet kaiken kalastustoiminnan kyseisen toimenpiteen jälkeen. Huomioikaa, että jos sisävesiin sovellettavaa kansallista laivastorekisteriä ei ole, jäsenvaltion on myös osoitettava, että tällaisilla valvonta- ja täytäntöönpanomekanismeilla varmistetaan kapasiteetin hallinto vastaavalla tavalla kuin merikalastuksen osalta.</w:t>
      </w:r>
    </w:p>
    <w:p w14:paraId="1B3938AE" w14:textId="77777777" w:rsidR="006D57B3" w:rsidRPr="0062715C" w:rsidRDefault="006D57B3" w:rsidP="00F117EF">
      <w:pPr>
        <w:rPr>
          <w:rFonts w:ascii="Times New Roman" w:eastAsia="Times New Roman" w:hAnsi="Times New Roman"/>
          <w:sz w:val="24"/>
          <w:szCs w:val="24"/>
        </w:rPr>
      </w:pPr>
      <w:r w:rsidRPr="0062715C">
        <w:rPr>
          <w:rFonts w:ascii="Times New Roman" w:hAnsi="Times New Roman"/>
          <w:sz w:val="24"/>
        </w:rPr>
        <w:t>………………………………………………………………………………………………….</w:t>
      </w:r>
    </w:p>
    <w:p w14:paraId="60EAE6A1" w14:textId="3582C8BF"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Pr="0062715C"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Pr="0062715C"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Onko tukikelpoiset kustannukset laskettava erikseen kullekin yksittäiselle tuensaajalle?</w:t>
      </w:r>
    </w:p>
    <w:p w14:paraId="35981A8C" w14:textId="273F425B"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62715C"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73E44955" w14:textId="0E0E1C11"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Pr="0062715C"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4E57826E" w14:textId="7B4EFF7B" w:rsidR="00F117EF" w:rsidRPr="0062715C" w:rsidRDefault="00F117EF" w:rsidP="00E0325E">
      <w:pPr>
        <w:rPr>
          <w:rFonts w:ascii="Times New Roman" w:eastAsia="Times New Roman" w:hAnsi="Times New Roman"/>
          <w:sz w:val="24"/>
          <w:szCs w:val="24"/>
        </w:rPr>
      </w:pPr>
      <w:r w:rsidRPr="0062715C">
        <w:rPr>
          <w:rFonts w:ascii="Times New Roman" w:hAnsi="Times New Roman"/>
          <w:sz w:val="24"/>
        </w:rPr>
        <w:t>………………………………………………………………………………………………….</w:t>
      </w:r>
    </w:p>
    <w:p w14:paraId="76DA2220" w14:textId="295C14D2"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Pr="0062715C"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Vahvistakaa tukikelpoiset kustannukset:</w:t>
      </w:r>
    </w:p>
    <w:p w14:paraId="53987AB6" w14:textId="1BA88417" w:rsidR="006D57B3" w:rsidRPr="0062715C"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Pr="0062715C" w:rsidRDefault="006C0203" w:rsidP="00091B7A">
      <w:pPr>
        <w:spacing w:after="12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silloin kun kyseessä on kalastusaluksen romuttaminen:</w:t>
      </w:r>
    </w:p>
    <w:p w14:paraId="33430DB0" w14:textId="77777777" w:rsidR="00E0325E" w:rsidRPr="0062715C" w:rsidRDefault="00E0325E" w:rsidP="00E0325E">
      <w:pPr>
        <w:spacing w:after="120" w:line="240" w:lineRule="auto"/>
        <w:ind w:left="144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 xml:space="preserve"> </w:t>
      </w:r>
      <w:r w:rsidRPr="0062715C">
        <w:rPr>
          <w:rFonts w:ascii="Times New Roman" w:hAnsi="Times New Roman"/>
        </w:rPr>
        <w:tab/>
        <w:t>kalastusaluksen romuttamiskustannukset</w:t>
      </w:r>
      <w:r w:rsidRPr="0062715C">
        <w:rPr>
          <w:rFonts w:ascii="Times New Roman" w:hAnsi="Times New Roman"/>
          <w:sz w:val="24"/>
        </w:rPr>
        <w:t xml:space="preserve"> </w:t>
      </w:r>
    </w:p>
    <w:p w14:paraId="459E0D44" w14:textId="2E70EA29" w:rsidR="006C0203" w:rsidRPr="0062715C" w:rsidRDefault="00E0325E" w:rsidP="00E0325E">
      <w:pPr>
        <w:spacing w:after="120" w:line="240" w:lineRule="auto"/>
        <w:ind w:left="144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korvaukset romutetun kalastusaluksen arvonalennuksen vuoksi, mitattuna kalastusaluksen käyvällä myyntihinnalla</w:t>
      </w:r>
    </w:p>
    <w:p w14:paraId="7391D27F" w14:textId="1D8E8659" w:rsidR="006C0203" w:rsidRPr="0062715C" w:rsidRDefault="006C0203" w:rsidP="00091B7A">
      <w:pPr>
        <w:spacing w:after="12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silloin kun kyseessä on kalastusaluksen käytöstä poisto ja jälkiasennusten tekeminen muuta kuin kaupallista kalastustoimintaa varten:</w:t>
      </w:r>
      <w:r w:rsidRPr="0062715C">
        <w:rPr>
          <w:rFonts w:ascii="Times New Roman" w:hAnsi="Times New Roman"/>
          <w:sz w:val="24"/>
        </w:rPr>
        <w:t xml:space="preserve"> investointikustannukset, jotka liittyvät kalastusaluksen muuntamiseen muuta taloudellista toimintaa varten</w:t>
      </w:r>
    </w:p>
    <w:p w14:paraId="4DD79CB5" w14:textId="303F1DD8" w:rsidR="006C0203" w:rsidRPr="0062715C" w:rsidRDefault="006C0203" w:rsidP="006C0203">
      <w:pPr>
        <w:spacing w:after="0" w:line="240" w:lineRule="auto"/>
        <w:ind w:left="1440" w:hanging="720"/>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rPr>
        <w:tab/>
        <w:t>kustannukset, jotka liittyvät kalastajiin ja joihin voi sisältyä myös pysyvän lopettamisen täytäntöönpanosta johtuvia pakollisia sosiaalisia kustannuksia, jollei niitä kateta muilla liiketoiminnan lopettamista koskevilla kansallisilla säännöksillä.</w:t>
      </w:r>
    </w:p>
    <w:p w14:paraId="6C032D66" w14:textId="3B54EA65" w:rsidR="006C0203" w:rsidRPr="0062715C"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62715C"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78825"/>
      <w:r w:rsidRPr="0062715C">
        <w:rPr>
          <w:rFonts w:ascii="Times New Roman" w:hAnsi="Times New Roman"/>
          <w:sz w:val="24"/>
        </w:rPr>
        <w:t>Mainitkaa valintaa vastaavat oikeusperustan säännökset:</w:t>
      </w:r>
    </w:p>
    <w:p w14:paraId="3ED215EA" w14:textId="6ADF8198" w:rsidR="00F117EF" w:rsidRPr="0062715C" w:rsidRDefault="00F117EF" w:rsidP="00F117EF">
      <w:pPr>
        <w:rPr>
          <w:rFonts w:ascii="Times New Roman" w:eastAsia="Times New Roman" w:hAnsi="Times New Roman"/>
          <w:sz w:val="24"/>
          <w:szCs w:val="24"/>
        </w:rPr>
      </w:pPr>
      <w:r w:rsidRPr="0062715C">
        <w:rPr>
          <w:rFonts w:ascii="Times New Roman" w:hAnsi="Times New Roman"/>
          <w:sz w:val="24"/>
        </w:rPr>
        <w:t>………………………………………………………………………………………………….</w:t>
      </w:r>
    </w:p>
    <w:p w14:paraId="3ACFE232" w14:textId="34AA4D57" w:rsidR="00E0325E" w:rsidRPr="0062715C"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t>Kuvatkaa tukikelpoisia kustannuksia yksityiskohtaisesti:</w:t>
      </w:r>
    </w:p>
    <w:p w14:paraId="54256244" w14:textId="77777777" w:rsidR="00E0325E" w:rsidRPr="0062715C" w:rsidRDefault="00E0325E" w:rsidP="00E0325E">
      <w:pPr>
        <w:rPr>
          <w:rFonts w:ascii="Times New Roman" w:eastAsia="Times New Roman" w:hAnsi="Times New Roman"/>
          <w:sz w:val="24"/>
          <w:szCs w:val="24"/>
        </w:rPr>
      </w:pPr>
      <w:r w:rsidRPr="0062715C">
        <w:rPr>
          <w:rFonts w:ascii="Times New Roman" w:hAnsi="Times New Roman"/>
          <w:sz w:val="24"/>
        </w:rPr>
        <w:t>………………………………………………………………………………………………….</w:t>
      </w:r>
    </w:p>
    <w:bookmarkEnd w:id="7"/>
    <w:p w14:paraId="76DA6870" w14:textId="293A33D2" w:rsidR="005B1262" w:rsidRPr="0062715C"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Pr="0062715C"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8" w:name="_Ref127293339"/>
      <w:r w:rsidRPr="0062715C">
        <w:rPr>
          <w:rFonts w:ascii="Times New Roman" w:hAnsi="Times New Roman"/>
          <w:sz w:val="24"/>
        </w:rPr>
        <w:t>Onko tukikelpoisista kustannuksista vähennettävä kustannukset, jotka eivät ole aiheutuneet kalastustoiminnan pysyvästä lopettamisesta ja jotka olisivat muutoinkin aiheutuneet tuensaajayritykselle?</w:t>
      </w:r>
      <w:bookmarkEnd w:id="8"/>
    </w:p>
    <w:p w14:paraId="602E2E23" w14:textId="66ACCD5A" w:rsidR="00091B7A" w:rsidRPr="0062715C"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Pr="0062715C" w:rsidRDefault="00091B7A" w:rsidP="00091B7A">
      <w:pPr>
        <w:spacing w:after="0" w:line="240" w:lineRule="auto"/>
        <w:ind w:left="641" w:firstLine="153"/>
        <w:rPr>
          <w:rFonts w:ascii="Times New Roman" w:eastAsia="Times New Roman" w:hAnsi="Times New Roman"/>
          <w:bCs/>
          <w:sz w:val="24"/>
          <w:szCs w:val="24"/>
        </w:rPr>
      </w:pPr>
      <w:r w:rsidRPr="0062715C">
        <w:rPr>
          <w:rFonts w:ascii="Times New Roman" w:eastAsia="Times New Roman" w:hAnsi="Times New Roman"/>
          <w:sz w:val="24"/>
        </w:rPr>
        <w:fldChar w:fldCharType="begin">
          <w:ffData>
            <w:name w:val="Check1"/>
            <w:enabled/>
            <w:calcOnExit w:val="0"/>
            <w:checkBox>
              <w:sizeAuto/>
              <w:default w:val="0"/>
            </w:checkBox>
          </w:ffData>
        </w:fldChar>
      </w:r>
      <w:r w:rsidRPr="0062715C">
        <w:rPr>
          <w:rFonts w:ascii="Times New Roman" w:eastAsia="Times New Roman" w:hAnsi="Times New Roman"/>
          <w:sz w:val="24"/>
        </w:rPr>
        <w:instrText xml:space="preserve"> FORMCHECKBOX </w:instrText>
      </w:r>
      <w:r w:rsidR="00ED7289">
        <w:rPr>
          <w:rFonts w:ascii="Times New Roman" w:eastAsia="Times New Roman" w:hAnsi="Times New Roman"/>
          <w:sz w:val="24"/>
        </w:rPr>
      </w:r>
      <w:r w:rsidR="00ED7289">
        <w:rPr>
          <w:rFonts w:ascii="Times New Roman" w:eastAsia="Times New Roman" w:hAnsi="Times New Roman"/>
          <w:sz w:val="24"/>
        </w:rPr>
        <w:fldChar w:fldCharType="separate"/>
      </w:r>
      <w:r w:rsidRPr="0062715C">
        <w:rPr>
          <w:rFonts w:ascii="Times New Roman" w:eastAsia="Times New Roman" w:hAnsi="Times New Roman"/>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sz w:val="24"/>
        </w:rPr>
        <w:fldChar w:fldCharType="begin">
          <w:ffData>
            <w:name w:val="Check1"/>
            <w:enabled/>
            <w:calcOnExit w:val="0"/>
            <w:checkBox>
              <w:sizeAuto/>
              <w:default w:val="0"/>
            </w:checkBox>
          </w:ffData>
        </w:fldChar>
      </w:r>
      <w:r w:rsidRPr="0062715C">
        <w:rPr>
          <w:rFonts w:ascii="Times New Roman" w:eastAsia="Times New Roman" w:hAnsi="Times New Roman"/>
          <w:sz w:val="24"/>
        </w:rPr>
        <w:instrText xml:space="preserve"> FORMCHECKBOX </w:instrText>
      </w:r>
      <w:r w:rsidR="00ED7289">
        <w:rPr>
          <w:rFonts w:ascii="Times New Roman" w:eastAsia="Times New Roman" w:hAnsi="Times New Roman"/>
          <w:sz w:val="24"/>
        </w:rPr>
      </w:r>
      <w:r w:rsidR="00ED7289">
        <w:rPr>
          <w:rFonts w:ascii="Times New Roman" w:eastAsia="Times New Roman" w:hAnsi="Times New Roman"/>
          <w:sz w:val="24"/>
        </w:rPr>
        <w:fldChar w:fldCharType="separate"/>
      </w:r>
      <w:r w:rsidRPr="0062715C">
        <w:rPr>
          <w:rFonts w:ascii="Times New Roman" w:eastAsia="Times New Roman" w:hAnsi="Times New Roman"/>
          <w:sz w:val="24"/>
        </w:rPr>
        <w:fldChar w:fldCharType="end"/>
      </w:r>
      <w:r w:rsidRPr="0062715C">
        <w:rPr>
          <w:rFonts w:ascii="Times New Roman" w:hAnsi="Times New Roman"/>
          <w:sz w:val="24"/>
        </w:rPr>
        <w:tab/>
        <w:t>Ei</w:t>
      </w:r>
    </w:p>
    <w:p w14:paraId="45C99C20" w14:textId="77777777" w:rsidR="00091B7A" w:rsidRPr="0062715C"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Pr="0062715C"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 xml:space="preserve">Jos vastaus on myöntävä, mainitkaa asianomaiset kustannukset: </w:t>
      </w:r>
    </w:p>
    <w:p w14:paraId="146C2BB4" w14:textId="77777777" w:rsidR="00091B7A" w:rsidRPr="0062715C" w:rsidRDefault="00091B7A" w:rsidP="00091B7A">
      <w:pPr>
        <w:rPr>
          <w:rFonts w:ascii="Times New Roman" w:eastAsia="Times New Roman" w:hAnsi="Times New Roman"/>
          <w:sz w:val="24"/>
          <w:szCs w:val="24"/>
        </w:rPr>
      </w:pPr>
      <w:r w:rsidRPr="0062715C">
        <w:rPr>
          <w:rFonts w:ascii="Times New Roman" w:hAnsi="Times New Roman"/>
          <w:sz w:val="24"/>
        </w:rPr>
        <w:t>………………………………………………………………………………………………….</w:t>
      </w:r>
    </w:p>
    <w:p w14:paraId="14D5426E" w14:textId="77777777" w:rsidR="00091B7A" w:rsidRPr="0062715C"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Pr="0062715C"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Jos vastaus on myöntävä, mainitkaa oikeusperustan asianomaiset säännökset:</w:t>
      </w:r>
    </w:p>
    <w:p w14:paraId="5449E5F4" w14:textId="77777777" w:rsidR="00091B7A" w:rsidRPr="0062715C" w:rsidRDefault="00091B7A" w:rsidP="00091B7A">
      <w:pPr>
        <w:rPr>
          <w:rFonts w:ascii="Times New Roman" w:eastAsia="Times New Roman" w:hAnsi="Times New Roman"/>
          <w:sz w:val="24"/>
          <w:szCs w:val="24"/>
        </w:rPr>
      </w:pPr>
      <w:r w:rsidRPr="0062715C">
        <w:rPr>
          <w:rFonts w:ascii="Times New Roman" w:hAnsi="Times New Roman"/>
          <w:sz w:val="24"/>
        </w:rPr>
        <w:t>………………………………………………………………………………………………….</w:t>
      </w:r>
    </w:p>
    <w:p w14:paraId="31AF0784" w14:textId="77777777" w:rsidR="001E46DC" w:rsidRPr="0062715C"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62715C"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9" w:name="_Hlk125379591"/>
      <w:r w:rsidRPr="0062715C">
        <w:rPr>
          <w:rFonts w:ascii="Times New Roman" w:hAnsi="Times New Roman"/>
          <w:sz w:val="24"/>
        </w:rPr>
        <w:t>Edellytetäänkö toimenpiteessä, että enimmäistuki-intensiteetti on 100 prosenttia tukikelpoisista kustannuksista?</w:t>
      </w:r>
    </w:p>
    <w:p w14:paraId="3E4A4032" w14:textId="77777777" w:rsidR="008074E7" w:rsidRPr="0062715C"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62715C"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Kyllä</w:t>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hAnsi="Times New Roman"/>
          <w:sz w:val="24"/>
        </w:rPr>
        <w:tab/>
      </w:r>
      <w:r w:rsidRPr="0062715C">
        <w:rPr>
          <w:rFonts w:ascii="Times New Roman" w:eastAsia="Times New Roman" w:hAnsi="Times New Roman"/>
          <w:b/>
          <w:sz w:val="24"/>
        </w:rPr>
        <w:fldChar w:fldCharType="begin">
          <w:ffData>
            <w:name w:val="Check1"/>
            <w:enabled/>
            <w:calcOnExit w:val="0"/>
            <w:checkBox>
              <w:sizeAuto/>
              <w:default w:val="0"/>
            </w:checkBox>
          </w:ffData>
        </w:fldChar>
      </w:r>
      <w:r w:rsidRPr="0062715C">
        <w:rPr>
          <w:rFonts w:ascii="Times New Roman" w:eastAsia="Times New Roman" w:hAnsi="Times New Roman"/>
          <w:b/>
          <w:sz w:val="24"/>
        </w:rPr>
        <w:instrText xml:space="preserve"> FORMCHECKBOX </w:instrText>
      </w:r>
      <w:r w:rsidR="00ED7289">
        <w:rPr>
          <w:rFonts w:ascii="Times New Roman" w:eastAsia="Times New Roman" w:hAnsi="Times New Roman"/>
          <w:b/>
          <w:sz w:val="24"/>
        </w:rPr>
      </w:r>
      <w:r w:rsidR="00ED7289">
        <w:rPr>
          <w:rFonts w:ascii="Times New Roman" w:eastAsia="Times New Roman" w:hAnsi="Times New Roman"/>
          <w:b/>
          <w:sz w:val="24"/>
        </w:rPr>
        <w:fldChar w:fldCharType="separate"/>
      </w:r>
      <w:r w:rsidRPr="0062715C">
        <w:rPr>
          <w:rFonts w:ascii="Times New Roman" w:eastAsia="Times New Roman" w:hAnsi="Times New Roman"/>
          <w:b/>
          <w:sz w:val="24"/>
        </w:rPr>
        <w:fldChar w:fldCharType="end"/>
      </w:r>
      <w:r w:rsidRPr="0062715C">
        <w:rPr>
          <w:rFonts w:ascii="Times New Roman" w:hAnsi="Times New Roman"/>
          <w:sz w:val="24"/>
        </w:rPr>
        <w:tab/>
        <w:t>Ei</w:t>
      </w:r>
    </w:p>
    <w:p w14:paraId="6F7D7680" w14:textId="77777777" w:rsidR="008074E7" w:rsidRPr="0062715C" w:rsidRDefault="008074E7" w:rsidP="008074E7">
      <w:pPr>
        <w:rPr>
          <w:rFonts w:ascii="Times New Roman" w:eastAsia="Times New Roman" w:hAnsi="Times New Roman"/>
          <w:sz w:val="24"/>
          <w:szCs w:val="24"/>
          <w:lang w:eastAsia="en-GB"/>
        </w:rPr>
      </w:pPr>
    </w:p>
    <w:p w14:paraId="215DDBF9" w14:textId="463C0343" w:rsidR="008074E7" w:rsidRPr="0062715C"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62715C">
        <w:rPr>
          <w:rFonts w:ascii="Times New Roman" w:hAnsi="Times New Roman"/>
          <w:sz w:val="24"/>
        </w:rPr>
        <w:lastRenderedPageBreak/>
        <w:t>Mainitkaa toimenpiteessä sovellettavat enimmäistuki-intensiteetit.</w:t>
      </w:r>
    </w:p>
    <w:p w14:paraId="28CCB5A0" w14:textId="77777777" w:rsidR="008074E7" w:rsidRPr="0062715C" w:rsidRDefault="008074E7" w:rsidP="008074E7">
      <w:pPr>
        <w:rPr>
          <w:rFonts w:ascii="Times New Roman" w:eastAsia="Times New Roman" w:hAnsi="Times New Roman"/>
          <w:sz w:val="24"/>
          <w:szCs w:val="24"/>
        </w:rPr>
      </w:pPr>
      <w:r w:rsidRPr="0062715C">
        <w:rPr>
          <w:rFonts w:ascii="Times New Roman" w:hAnsi="Times New Roman"/>
          <w:sz w:val="24"/>
        </w:rPr>
        <w:t>………………………………………………………………………………………………….</w:t>
      </w:r>
    </w:p>
    <w:p w14:paraId="2780C2A9" w14:textId="4CC50B2B" w:rsidR="005B1262" w:rsidRPr="0062715C" w:rsidRDefault="005B1262" w:rsidP="008E7385">
      <w:pPr>
        <w:rPr>
          <w:rFonts w:ascii="Times New Roman" w:eastAsia="Times New Roman" w:hAnsi="Times New Roman"/>
          <w:sz w:val="24"/>
          <w:szCs w:val="24"/>
          <w:lang w:eastAsia="en-GB"/>
        </w:rPr>
      </w:pPr>
    </w:p>
    <w:p w14:paraId="5771B366" w14:textId="4B648B7D" w:rsidR="00A9369A" w:rsidRPr="0062715C"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675"/>
      <w:bookmarkEnd w:id="9"/>
      <w:r w:rsidRPr="0062715C">
        <w:rPr>
          <w:rFonts w:ascii="Times New Roman" w:hAnsi="Times New Roman"/>
          <w:sz w:val="24"/>
        </w:rPr>
        <w:t>Mainitkaa oikeusperustan säännökset, joissa toimenpiteen enimmäistuki-intensiteetti vahvistetaan.</w:t>
      </w:r>
    </w:p>
    <w:p w14:paraId="3FFC45D8" w14:textId="4CE99097" w:rsidR="00A9369A" w:rsidRPr="0062715C" w:rsidRDefault="00A9369A" w:rsidP="00A9369A">
      <w:pPr>
        <w:rPr>
          <w:rFonts w:ascii="Times New Roman" w:eastAsia="Times New Roman" w:hAnsi="Times New Roman"/>
          <w:sz w:val="24"/>
          <w:szCs w:val="24"/>
        </w:rPr>
      </w:pPr>
      <w:r w:rsidRPr="0062715C">
        <w:rPr>
          <w:rFonts w:ascii="Times New Roman" w:hAnsi="Times New Roman"/>
          <w:sz w:val="24"/>
        </w:rPr>
        <w:t>………………………………………………………………………………………………….</w:t>
      </w:r>
      <w:bookmarkEnd w:id="10"/>
    </w:p>
    <w:p w14:paraId="00DADBFA" w14:textId="77777777" w:rsidR="00DB7B42" w:rsidRPr="0062715C"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62715C"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 xml:space="preserve">Huomioikaa, että komissio voi hyväksyä muita laskentatapoja, jos se katsoo, että ne perustuvat objektiivisiin perusteisiin eivätkä johda liiallisiin korvauksiin yhdellekään tuensaajayritykselle. </w:t>
      </w:r>
    </w:p>
    <w:p w14:paraId="20F1E7B0" w14:textId="77777777" w:rsidR="00DB7B42" w:rsidRPr="0062715C"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Pr="0062715C"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62715C">
        <w:rPr>
          <w:rFonts w:ascii="Times New Roman" w:hAnsi="Times New Roman"/>
          <w:sz w:val="24"/>
        </w:rPr>
        <w:t>Jos ilmoittava jäsenvaltio aikoo ehdottaa muuta laskentatapaa, perustelkaa, miksi suuntaviivoissa vahvistettu menetelmä ei sovellu kyseiseen tapaukseen, ja selittäkää, miten muu laskentatapa ottaa määritellyt tarpeet paremmin huomioon.</w:t>
      </w:r>
    </w:p>
    <w:p w14:paraId="146BD0BE" w14:textId="77777777" w:rsidR="00DB7B42" w:rsidRPr="0062715C"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62715C">
        <w:rPr>
          <w:rFonts w:ascii="Times New Roman" w:hAnsi="Times New Roman"/>
          <w:sz w:val="24"/>
        </w:rPr>
        <w:t>………………………………………………………………………………..</w:t>
      </w:r>
    </w:p>
    <w:p w14:paraId="0733C233" w14:textId="77777777" w:rsidR="00DB7B42" w:rsidRPr="0062715C"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62715C"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1" w:name="_Hlk126835995"/>
      <w:r w:rsidRPr="0062715C">
        <w:rPr>
          <w:rFonts w:ascii="Times New Roman" w:hAnsi="Times New Roman"/>
          <w:i/>
          <w:sz w:val="24"/>
        </w:rPr>
        <w:t xml:space="preserve">Toimittakaa ilmoituksen liitteenä ehdotettu muu menetelmä sekä osoitus siitä, että se perustuu objektiivisiin perusteisiin eikä johda tuensaajayritysten saamiin liiallisiin korvauksiin. </w:t>
      </w:r>
    </w:p>
    <w:bookmarkEnd w:id="11"/>
    <w:p w14:paraId="375CCEAB" w14:textId="462E4F3D" w:rsidR="00DB7B42" w:rsidRPr="0062715C" w:rsidRDefault="00DB7B42" w:rsidP="00A9369A">
      <w:pPr>
        <w:rPr>
          <w:rFonts w:ascii="Times New Roman" w:eastAsia="Times New Roman" w:hAnsi="Times New Roman"/>
          <w:sz w:val="24"/>
          <w:szCs w:val="24"/>
        </w:rPr>
      </w:pPr>
      <w:r w:rsidRPr="0062715C">
        <w:rPr>
          <w:rFonts w:ascii="Times New Roman" w:hAnsi="Times New Roman"/>
          <w:sz w:val="24"/>
        </w:rPr>
        <w:t>…………………………………………………………………………………………………</w:t>
      </w:r>
    </w:p>
    <w:p w14:paraId="50C1AC7B" w14:textId="77777777" w:rsidR="00F50DF3" w:rsidRPr="0062715C"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62715C"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62715C"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62715C">
        <w:rPr>
          <w:rFonts w:ascii="Times New Roman" w:hAnsi="Times New Roman"/>
          <w:b/>
          <w:sz w:val="24"/>
        </w:rPr>
        <w:t>MUUT TIEDOT</w:t>
      </w:r>
    </w:p>
    <w:p w14:paraId="3BE10B7F" w14:textId="77777777" w:rsidR="005615D7" w:rsidRPr="0062715C"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244C8CF" w:rsidR="005615D7" w:rsidRPr="0062715C"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62715C">
        <w:rPr>
          <w:rFonts w:ascii="Times New Roman" w:hAnsi="Times New Roman"/>
          <w:sz w:val="24"/>
        </w:rPr>
        <w:t>Esittäkää kaikki muut tiedot, jotka katsotte olennaisiksi</w:t>
      </w:r>
      <w:r w:rsidR="00680578">
        <w:rPr>
          <w:rFonts w:ascii="Times New Roman" w:hAnsi="Times New Roman"/>
          <w:sz w:val="24"/>
        </w:rPr>
        <w:t xml:space="preserve"> </w:t>
      </w:r>
      <w:r w:rsidRPr="0062715C">
        <w:rPr>
          <w:rFonts w:ascii="Times New Roman" w:hAnsi="Times New Roman"/>
          <w:sz w:val="24"/>
        </w:rPr>
        <w:t>asianomaisen toimenpiteen suuntaviivojen tämän jakson nojalla tehtävän arvioinnin kannalta.</w:t>
      </w:r>
    </w:p>
    <w:p w14:paraId="227C2D0E" w14:textId="77777777" w:rsidR="005615D7" w:rsidRPr="0062715C" w:rsidRDefault="005615D7" w:rsidP="005615D7">
      <w:pPr>
        <w:rPr>
          <w:rFonts w:ascii="Times New Roman" w:eastAsia="Times New Roman" w:hAnsi="Times New Roman"/>
          <w:sz w:val="24"/>
          <w:szCs w:val="24"/>
        </w:rPr>
      </w:pPr>
      <w:r w:rsidRPr="0062715C">
        <w:rPr>
          <w:rFonts w:ascii="Times New Roman" w:hAnsi="Times New Roman"/>
          <w:sz w:val="24"/>
        </w:rPr>
        <w:t>………………………………………………………………………………………………….</w:t>
      </w:r>
    </w:p>
    <w:p w14:paraId="10D940B0" w14:textId="77777777" w:rsidR="00453ADA" w:rsidRPr="0062715C"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62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4BCF76C5" w:rsidR="002F32FD" w:rsidRPr="002F32FD" w:rsidRDefault="002F32FD">
      <w:pPr>
        <w:pStyle w:val="FootnoteText"/>
      </w:pPr>
      <w:r>
        <w:rPr>
          <w:rStyle w:val="FootnoteReference"/>
        </w:rPr>
        <w:footnoteRef/>
      </w:r>
      <w:r w:rsidR="008738C1">
        <w:tab/>
      </w:r>
      <w:r>
        <w:rPr>
          <w:rFonts w:ascii="Times New Roman" w:hAnsi="Times New Roman"/>
        </w:rPr>
        <w:t>EUVL C 107, 23.3.2023, s. 1.</w:t>
      </w:r>
    </w:p>
  </w:footnote>
  <w:footnote w:id="2">
    <w:p w14:paraId="502011EF" w14:textId="2255D7CE" w:rsidR="00814101" w:rsidRPr="0062715C" w:rsidRDefault="00814101">
      <w:pPr>
        <w:pStyle w:val="FootnoteText"/>
        <w:rPr>
          <w:rFonts w:ascii="Times New Roman" w:hAnsi="Times New Roman"/>
        </w:rPr>
      </w:pPr>
      <w:r>
        <w:rPr>
          <w:rStyle w:val="FootnoteReference"/>
          <w:rFonts w:ascii="Times New Roman" w:hAnsi="Times New Roman"/>
          <w:color w:val="000000" w:themeColor="text1"/>
        </w:rPr>
        <w:footnoteRef/>
      </w:r>
      <w:bookmarkStart w:id="6" w:name="_Hlk170141912"/>
      <w:r>
        <w:tab/>
      </w:r>
      <w:bookmarkEnd w:id="6"/>
      <w:r w:rsidRPr="0062715C">
        <w:rPr>
          <w:rFonts w:ascii="Times New Roman" w:hAnsi="Times New Roman"/>
        </w:rPr>
        <w:t>Euroopan parlamentin ja neuvoston asetus (EU) 2021/1139, annettu 7 päivänä heinäkuuta 2021, Euroopan meri-, kalatalous- ja vesiviljelyrahaston perustamisesta ja asetuksen (EU) 2017/1004 muuttamisesta (EUVL L 247, 13.7.2021, s. 1).</w:t>
      </w:r>
      <w:r w:rsidR="00680578">
        <w:rPr>
          <w:rFonts w:ascii="Times New Roman" w:hAnsi="Times New Roman"/>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2715C"/>
    <w:rsid w:val="00651AE7"/>
    <w:rsid w:val="0066443A"/>
    <w:rsid w:val="006663B8"/>
    <w:rsid w:val="006741CF"/>
    <w:rsid w:val="00680578"/>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38C1"/>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D7289"/>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7</Pages>
  <Words>1307</Words>
  <Characters>11692</Characters>
  <Application>Microsoft Office Word</Application>
  <DocSecurity>0</DocSecurity>
  <Lines>307</Lines>
  <Paragraphs>135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MERILAINEN Anne (DGT)</cp:lastModifiedBy>
  <cp:revision>67</cp:revision>
  <dcterms:created xsi:type="dcterms:W3CDTF">2023-01-05T14:31:00Z</dcterms:created>
  <dcterms:modified xsi:type="dcterms:W3CDTF">2024-06-24T15:23:00Z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