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Ficha de información suplementaria sobre </w:t>
      </w:r>
      <w:r>
        <w:t xml:space="preserve"> </w:t>
      </w:r>
      <w:r>
        <w:br/>
      </w:r>
      <w:r>
        <w:rPr>
          <w:rFonts w:ascii="Times New Roman" w:hAnsi="Times New Roman"/>
          <w:b/>
          <w:smallCaps/>
          <w:sz w:val="24"/>
        </w:rPr>
        <w:t>las ayudas para al aumento del arqueo bruto de un buque de pesca con el fin de mejorar la seguridad, las condiciones de trabajo o la eficiencia energética</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Este formulario debe ser utilizado por los Estados miembros para notificar cualquier ayuda para el aumento del arqueo bruto de un buque de pesca con el fin de mejorar la seguridad, las condiciones de trabajo o la eficiencia energética, según lo descrito en la sección 3.3 del capítulo 3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Pr>
          <w:rFonts w:ascii="Times New Roman" w:hAnsi="Times New Roman"/>
          <w:sz w:val="24"/>
        </w:rPr>
        <w:t>las Directrices</w:t>
      </w:r>
      <w:r>
        <w:rPr>
          <w:rFonts w:ascii="Times New Roman" w:hAnsi="Times New Roman"/>
          <w:i/>
          <w:sz w:val="24"/>
        </w:rPr>
        <w:t>»).</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prescribe que los buques de pesca de la Unión con respecto a los que se concede la ayuda no se transferirán ni reabanderarán con pabellón de fuera de la Unión durante al menos cinco años desde el pago final de la ayuda.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 xml:space="preserve">Con arreglo al punto 265, letra a) de las Directrices, los buques de pesca deben pertenecer a un segmento de la flota respecto del cual el último informe sobre capacidad de pesca a que se refiere el artículo 22, apartado 2, del Reglamento (UE) n.º 1380/2013, muestre equilibrio entre la capacidad pesquera y las posibilidades de pesca disponibles para dicho segmento </w:t>
      </w:r>
      <w:bookmarkStart w:id="1" w:name="_Hlk127291610"/>
      <w:r>
        <w:rPr>
          <w:rFonts w:ascii="Times New Roman" w:hAnsi="Times New Roman"/>
          <w:sz w:val="24"/>
        </w:rPr>
        <w:t>(en lo sucesivo, «informe nacional»)</w:t>
      </w:r>
      <w:bookmarkEnd w:id="1"/>
      <w:r>
        <w:rPr>
          <w:rFonts w:ascii="Times New Roman" w:hAnsi="Times New Roman"/>
          <w:sz w:val="24"/>
        </w:rPr>
        <w:t>.</w:t>
      </w:r>
      <w:bookmarkEnd w:id="0"/>
      <w:r>
        <w:rPr>
          <w:rFonts w:ascii="Times New Roman" w:hAnsi="Times New Roman"/>
          <w:sz w:val="24"/>
        </w:rPr>
        <w:t xml:space="preserve"> Con arreglo al punto 266 de las Directrices, el procedimiento y las condiciones que se establecen en los puntos 225 a 227, de la sección 2.2, del capítulo 2 de la parte II se aplican a efectos del punto 265, letra a). En este contexto, confirme las siguientes cuestiones:</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¿Cuándo se elaboró el informe nacional más reciente anterior a la fecha de concesión de la ayuda?</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Facilite el enlace al último informe nacional o adjúntelo a la notificación.</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se cumplen las condiciones siguientes para todas las ayudas que se concederán:</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¿El informe nacional se presentó el 31 de mayo del año N</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el informe nacional presentado en el año N, y en particular, su evaluación del equilibrio, ha sido elaborado sobre la base de los indicadores biológicos, económicos y de uso del buque establecidos en las directrices comunes</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a que se refiere el artículo 22, apartado 2, del Reglamento (UE) n.º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sz w:val="23"/>
        </w:rPr>
        <w:t xml:space="preserve">Tenga en cuenta que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presentado en el año N demuestra que existe un equilibrio entre la capacidad pesquera y las posibilidades de pesca en el segmento de la flota al que el buque pertenece?</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de qué forma se tuvo en cuenta el informe nacional al diseñar la medida y cómo se alcanza el equilibrio.</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Comisión no ha puesto en tela de juicio a 31 de marzo del año N+1: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303B3">
        <w:rPr>
          <w:rFonts w:ascii="Times New Roman" w:eastAsia="Times New Roman" w:hAnsi="Times New Roman"/>
          <w:sz w:val="24"/>
        </w:rPr>
      </w:r>
      <w:r w:rsidR="00E303B3">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la conclusión del informe nacional presentado en el año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303B3">
        <w:rPr>
          <w:rFonts w:ascii="Times New Roman" w:eastAsia="Times New Roman" w:hAnsi="Times New Roman"/>
          <w:sz w:val="24"/>
        </w:rPr>
      </w:r>
      <w:r w:rsidR="00E303B3">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la evaluación del equilibrio incluida en el informe nacional presentado en el año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establece que las ayudas podrán concederse sobre la base del informe nacional presentado en el año N solo hasta el 31 de diciembre del año N+1, es decir, el año posterior al año de presentación del informe.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lastRenderedPageBreak/>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Si la medida hace referencia a la pesca en aguas interiores, no es necesario responder a las preguntas 2.1-2.2.6.1.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Confirme que la medida establece que los buques de pesca no deben tener más de veinticuatro metros de eslora total.</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buques de pesca deben haber estado inscritos en el registro de la flota pesquera de la Unión durante, como mínimo, los diez años civiles anteriores al año de presentación de la solicitud de ayuda.</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la medida hace referencia a la pesca en aguas interiores, confirme que la medida establece que las ayudas solo podrán concederse en relación con un buque de pesca que haya estado en servicio, de conformidad con el Derecho nacional, durante al menos los diez años civiles anteriores al año de presentación de la solicitud de ayuda.</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4 o 4.1 es «sí», especifique las disposiciones pertinentes de la base jurídica.</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introducción en la flota pesquera de la nueva capacidad pesquera generada por la operación se compensa con la retirada previa de al menos la misma cantidad de capacidad pesquera sin ayuda pública del mismo segmento de la flota o de un segmento de la flota respecto del cual el último informe nacional, mencionado en el artículo 22, apartado 2, del Reglamento (UE) n.º 1380/2013, muestra que la capacidad de pesca no está equilibrada con las posibilidades de pesca disponibles para dicho segmento.</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anterior es «sí», especifique las disposiciones pertinentes de la base jurídica.</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Si la medida hace referencia a la pesca en aguas interiores, esta pregunta no es aplicable.</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los costes subvencionables:</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a) el aumento del arqueo bruto necesario para la posterior instalación o renovación de instalaciones de alojamiento dedicadas al uso exclusivo de la </w:t>
      </w:r>
      <w:r>
        <w:rPr>
          <w:rFonts w:ascii="Times New Roman" w:hAnsi="Times New Roman"/>
          <w:sz w:val="24"/>
        </w:rPr>
        <w:lastRenderedPageBreak/>
        <w:t>tripulación, en particular las instalaciones sanitarias, las zonas comunes, las instalaciones de cocina y las estructuras de cubierta de abrigo;</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el aumento del arqueo bruto necesario para la posterior mejora o instalación de sistemas de prevención de incendios a bordo, sistemas de seguridad y alarma o sistemas de reducción del ruido;</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el aumento del arqueo bruto necesario para la posterior instalación de sistemas integrados de puente para mejorar la navegación o el control del motor;</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el aumento del arqueo bruto necesario para la posterior instalación o renovación de un motor o sistema de propulsión que presente una mayor eficiencia energética o una reducción de las emisiones de CO₂ en comparación con la situación anterior, que no tenga una potencia superior a la potencia del motor previamente certificada del buque de pesca con arreglo al artículo 40, apartado 1, del Reglamento (CE) n.º 1224/2009 del Consejo</w:t>
      </w:r>
      <w:r>
        <w:rPr>
          <w:rStyle w:val="FootnoteReference"/>
          <w:rFonts w:ascii="Times New Roman" w:eastAsia="Times New Roman" w:hAnsi="Times New Roman"/>
          <w:sz w:val="24"/>
          <w:szCs w:val="24"/>
          <w:lang w:eastAsia="en-GB"/>
        </w:rPr>
        <w:footnoteReference w:id="4"/>
      </w:r>
      <w:r>
        <w:rPr>
          <w:rFonts w:ascii="Times New Roman" w:hAnsi="Times New Roman"/>
          <w:sz w:val="24"/>
        </w:rPr>
        <w:t>, y cuya potencia de salida máxima esté certificada por el fabricante para ese modelo de motor o de sistema de propulsión;</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la sustitución o renovación de la proa de bulbo, siempre que mejore la eficiencia energética global del buque de pesca.</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las disposiciones de la base jurídica que reflejen su selección.</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solo incluirán los costes directos e indirectos relacionados con las ayudas a la inversión para mejorar la seguridad, las condiciones de trabajo o la eficiencia energética que den lugar al aumento del arqueo bruto de un buque de pesca.</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Facilite una descripción detallada de los costes subvencionables con arreglo a la medida. Describa cuáles de estos costes hacen referencia a la mejora de la seguridad, las condiciones de trabajo o la eficiencia energética, respectivamente.</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Describa con detalle los mecanismos de control y observancia disponibles para garantizar el cumplimiento de las condiciones establecidas en la sección 3.3 del capítulo 3, parte II de las Directrices.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Describa con detalle las características de la medida, incluido el aumento del volumen de la capacidad pesquera y la finalidad de dicho aumento.</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Si la respuesta ya se ha facilitado en una pregunta o sección anteriores, haga referencia a dicha respuesta.</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prescribe que la intensidad máxima de la ayuda debe limitarse al 40 % de los costes subvencionables.</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303B3">
        <w:rPr>
          <w:rFonts w:ascii="Times New Roman" w:eastAsia="Times New Roman" w:hAnsi="Times New Roman"/>
          <w:b/>
          <w:sz w:val="24"/>
        </w:rPr>
      </w:r>
      <w:r w:rsidR="00E303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Especifique las disposiciones de la base jurídica que establecen las intensidades máximas de ayuda.</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se considere pertinente para la evaluación de la medida con arreglo a la presente sección de las Directrices.</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DO C 107 de 23.3.2023, p.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Consulte los puntos 225 y 226 de las Directrices que describen las secuencias del informe nacional presentado en el año N y la acción de la Comisión a 31 de marzo del año N+1.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Reglamento (CE) n.º 1224/2009 del Consejo, de 20 de noviembre de 2009, por el que se establece un régimen comunitario de control para garantizar el cumplimiento de las normas de la política pesquera común, se modifican los Reglamentos (CE) n.º 847/96, (CE) n.º 2371/2002, (CE) n.º 811/2004, (CE) n.º 768/2005, (CE) n.º 2115/2005, (CE) n.º 2166/2005, (CE) n.º 388/2006, (CE) n.º 509/2007, (CE) n.º 676/2007, (CE) n.º 1098/2007, (CE) n.º 1300/2008 y (CE) n.º 1342/2008 y se derogan los Reglamentos (CEE) n.º 2847/93, (CE) n.º 1627/94 y (CE) n.º 1966/2006 (DO L 343 de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303B3"/>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1476</Words>
  <Characters>8018</Characters>
  <Application>Microsoft Office Word</Application>
  <DocSecurity>0</DocSecurity>
  <Lines>216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VICENTE MARTINEZ Carmen (DGT)</cp:lastModifiedBy>
  <cp:revision>8</cp:revision>
  <dcterms:created xsi:type="dcterms:W3CDTF">2024-09-05T15:06:00Z</dcterms:created>
  <dcterms:modified xsi:type="dcterms:W3CDTF">2024-10-08T10:05:00Z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