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7A26F8AB" w:rsidR="005615D7" w:rsidRPr="00620B6E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3.3.</w:t>
      </w:r>
    </w:p>
    <w:p w14:paraId="7788A656" w14:textId="31D74571" w:rsidR="005615D7" w:rsidRPr="00620B6E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List s dopunskim podacima o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potporama za povećanje bruto tonaže ribarskog plovila radi poboljšanja sigurnosti, radnih uvjeta ili energetske učinkovitosti</w:t>
      </w:r>
    </w:p>
    <w:p w14:paraId="50622FA5" w14:textId="455F8483" w:rsidR="005615D7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5615D7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64574AD5" w:rsidR="005615D7" w:rsidRPr="005615D7" w:rsidRDefault="009B38E1" w:rsidP="00A6760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Države članice moraju upotrebljavati ovaj obrazac za prijavu svih potpora za povećanje bruto tonaže ribarskog plovila radi poboljšanja sigurnosti, radnih uvjeta ili energetske učinkovitosti kako su opisane u dijelu II. poglavlju 3. odjeljku 3.3. Smjernica o državnim potporama u sektoru ribarstva i akvakulture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(„Smjernice”).</w:t>
      </w:r>
    </w:p>
    <w:p w14:paraId="38E57BE1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0A0101A5" w:rsidR="007D193E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ribarska plovila Unije u pogledu kojih se dodjeljuje potpora ne smiju prenijeti izvan Unije niti im se smije zamijeniti zastava izvan Unije tijekom razdoblja od najmanje pet godina od završnog plaćanja potpore.</w:t>
      </w:r>
      <w:r>
        <w:rPr>
          <w:sz w:val="24"/>
          <w:rFonts w:ascii="Times New Roman" w:hAnsi="Times New Roman"/>
        </w:rPr>
        <w:t xml:space="preserve"> </w:t>
      </w:r>
    </w:p>
    <w:p w14:paraId="1444BB95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6802EE5" w14:textId="445DC56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7558ABC0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10A2963C" w14:textId="77777777" w:rsidR="004C4105" w:rsidRDefault="004C4105" w:rsidP="004C410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E93E3BB" w14:textId="5DB3403D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2900268B" w:rsidR="00A67609" w:rsidRPr="009B38E1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4951182"/>
      <w:bookmarkStart w:id="1" w:name="_Hlk127291610"/>
      <w:r>
        <w:rPr>
          <w:sz w:val="24"/>
          <w:rFonts w:ascii="Times New Roman" w:hAnsi="Times New Roman"/>
        </w:rPr>
        <w:t xml:space="preserve">U skladu s točkom (265) podtočkom (a) Smjernica ribarska plovila moraju pripadati segmentu flote za koji je u najnovijem izvješću o ribolovnom kapacitetu iz članka 22. stavka 2. Uredbe (EU) br. 1380/2013 utvrđeno da je uravnotežen s ribolovnim mogućnostima koje su dostupne tom segmentu (dalje u tekstu „nacionalno izvješće”)</w:t>
      </w:r>
      <w:bookmarkEnd w:id="1"/>
      <w:r>
        <w:rPr>
          <w:sz w:val="24"/>
          <w:sz w:val="24"/>
          <w:rFonts w:ascii="Times New Roman" w:hAnsi="Times New Roman"/>
        </w:rPr>
        <w:t xml:space="preserve">.</w:t>
      </w:r>
      <w:bookmarkEnd w:id="0"/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 skladu s točkom (266) Smjernica, za potrebe točke (265) podtočke (a) primjenjuju se postupak i uvjeti utvrđeni u dijelu II. poglavlju 2. odjeljku 2.2. točkama od (225) do (227).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Uzimajući to u obzir potvrdite sljedeće:</w:t>
      </w:r>
    </w:p>
    <w:p w14:paraId="093E229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7777777" w:rsidR="009B38E1" w:rsidRPr="009C1330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Kad je sastavljeno zadnje nacionalno izvješće prije datuma dodjele potpore?</w:t>
      </w:r>
    </w:p>
    <w:p w14:paraId="370CE4BD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FEFB8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poveznicu na zadnje nacionalno izvješće ili ga priložite prijavi.</w:t>
      </w:r>
    </w:p>
    <w:p w14:paraId="6C8C1D2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646C9D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su ispunjeni sljedeći uvjeti za dodjelu svih potpora:</w:t>
      </w:r>
    </w:p>
    <w:p w14:paraId="477EA46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 li nacionalno izvješće dostavljeno do 31. svibnja godine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?</w:t>
      </w:r>
    </w:p>
    <w:p w14:paraId="350F425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4C4451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9C68D6" w14:textId="77777777" w:rsidR="009B38E1" w:rsidRPr="005C06D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nacionalno izvješće dostavljeno u godini N, a posebno u njemu sadržana procjena ravnoteže, izrađeno na temelju bioloških i gospodarskih pokazatelja te pokazatelja o uporabi plovila utvrđenih u zajedničkim smjernicama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 iz članka 22. stavka 2. Uredbe (EU) br. 1380/2013.</w:t>
      </w:r>
    </w:p>
    <w:p w14:paraId="236ECAE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F0FF19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1B46880" w14:textId="77777777" w:rsidR="009B38E1" w:rsidRPr="005C3488" w:rsidRDefault="009B38E1" w:rsidP="009B38E1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Napominjemo da se potpora ne smije dodijeliti ako nacionalno izvješće, a posebno u njemu sadržana procjena ravnoteže, nije izrađeno na temelju bioloških i gospodarskih pokazatelja te pokazatelja o uporabi plovila utvrđenih u zajedničkim smjernicama iz članka 22. stavka 2. Uredbe (EU) br. 1380/2013.</w:t>
      </w:r>
      <w:r>
        <w:rPr>
          <w:i/>
          <w:sz w:val="23"/>
        </w:rPr>
        <w:t xml:space="preserve"> </w:t>
      </w:r>
    </w:p>
    <w:p w14:paraId="6119E23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7576A63F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Pokazuje li to nacionalno izvješće dostavljeno u godini N da postoji ravnoteža između ribolovnog kapaciteta i ribolovnih mogućnosti u segmentu flote kojem plovilo pripada?</w:t>
      </w:r>
    </w:p>
    <w:p w14:paraId="398F380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7C377E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Objasnite kako je nacionalno izvješće uzeto u obzir pri osmišljavanju mjere i kako se postiže ravnoteža.</w:t>
      </w:r>
    </w:p>
    <w:p w14:paraId="1A3175A9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67B8E2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Komisija do 31. ožujka godine N + 1 nije dovela u pitanje:</w:t>
      </w:r>
    </w:p>
    <w:p w14:paraId="7D09C851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6D8F6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zaključak nacionalnog izvješća dostavljenog u godini N</w:t>
      </w:r>
      <w:r>
        <w:rPr>
          <w:sz w:val="24"/>
          <w:rFonts w:ascii="Times New Roman" w:hAnsi="Times New Roman"/>
        </w:rPr>
        <w:t xml:space="preserve"> </w:t>
      </w:r>
    </w:p>
    <w:p w14:paraId="4DCE5A3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5E495C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(b) procjenu ravnoteže iz nacionalnog izvješća dostavljenog u godini N</w:t>
      </w:r>
    </w:p>
    <w:p w14:paraId="2826CDEB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B6705B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potpora može dodijeliti na temelju nacionalnog izvješća dostavljenog u godini N samo do 31. prosinca godine N + 1, tj. godine koja slijedi nakon godine dostave izvješća.</w:t>
      </w:r>
      <w:r>
        <w:rPr>
          <w:sz w:val="24"/>
          <w:rFonts w:ascii="Times New Roman" w:hAnsi="Times New Roman"/>
        </w:rPr>
        <w:t xml:space="preserve"> </w:t>
      </w:r>
    </w:p>
    <w:p w14:paraId="390157E8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1E103F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564E892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77777777" w:rsidR="009B38E1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2309B67B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46AA49C0" w14:textId="490C4410" w:rsidR="009B38E1" w:rsidRPr="0053598F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Ako se mjera odnosi na ribolov u unutarnjim vodama, nije potrebno odgovoriti na pitanja od 2.1. do 2.2.6.1.</w:t>
      </w:r>
    </w:p>
    <w:p w14:paraId="6E6CD017" w14:textId="5F78076D" w:rsidR="00A67609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62C5EE02" w:rsidR="007D193E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4951266"/>
      <w:r>
        <w:rPr>
          <w:sz w:val="24"/>
          <w:rFonts w:ascii="Times New Roman" w:hAnsi="Times New Roman"/>
        </w:rPr>
        <w:t xml:space="preserve">Potvrdite da je u mjeri predviđeno da duljina ribarskih plovila preko svega ne smije biti veća od 24 metra.</w:t>
      </w:r>
      <w:bookmarkEnd w:id="2"/>
    </w:p>
    <w:p w14:paraId="0CF74CB3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4AE8C912" w14:textId="401A483C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769BE663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4B51EE41" w14:textId="55E2563B" w:rsidR="004C4105" w:rsidRPr="005615D7" w:rsidRDefault="004C4105" w:rsidP="006E20F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2BF3818" w14:textId="5BC8254A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ribarska plovila moraju biti registrirana u registru flote Unije najmanje 10 kalendarskih godina koje su prethodile godini u kojoj je podnesen zahtjev za potporu.</w:t>
      </w:r>
    </w:p>
    <w:p w14:paraId="5911DFE4" w14:textId="77777777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3BF33E4" w14:textId="75B4BE2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06C0D652" w:rsidR="006E20F3" w:rsidRPr="00255D80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se mjera odnosi na ribolov u unutarnjim vodama, potvrdite da je u mjeri predviđeno da se potpora može dodijeliti samo za ribarsko plovilo koje je, u skladu s nacionalnim pravom, stupilo u službu najmanje 10 kalendarskih godina prije godine u kojoj je podnesen zahtjev za potporu.</w:t>
      </w:r>
    </w:p>
    <w:p w14:paraId="2227C9C9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CA712D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308BB706" w14:textId="77777777" w:rsidR="006E20F3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na pitanje 4. ili pitanje 4.1. potvrdan, navedite mjerodavne odredbe pravne osnove.</w:t>
      </w:r>
    </w:p>
    <w:p w14:paraId="686389B7" w14:textId="2EEAAC6E" w:rsidR="00256D84" w:rsidRDefault="006E20F3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71C0A97" w14:textId="328D9E1D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se ulazak u ribarsku flotu novog ribolovnog kapaciteta nastalog tom operacijom nadoknađuje prethodnim povlačenjem barem iste količine ribolovnog kapaciteta bez javne potpore iz istog segmenta flote ili segmenta flote za koji je u najnovijem nacionalnom izvješću iz članka 22. stavka 2. Uredbe (EU) br. 1380/2013 pokazano da ribolovni kapacitet nije u ravnoteži s ribolovnim mogućnostima koje su dostupne tom segmentu.</w:t>
      </w:r>
    </w:p>
    <w:p w14:paraId="73161F52" w14:textId="77777777" w:rsidR="001D7707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639638E" w14:textId="50C9B19B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77777777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na prethodno pitanje potvrdan, navedite mjerodavne odredbe pravne osnove.</w:t>
      </w:r>
    </w:p>
    <w:p w14:paraId="05E14B9B" w14:textId="1E1092E3" w:rsidR="004C4105" w:rsidRDefault="004C4105" w:rsidP="004C410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095BB69" w14:textId="4656F992" w:rsidR="000209D0" w:rsidRPr="004629F3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Ako se mjera odnosi na ribolov u unutarnjim vodama, ovo se pitanje ne primjenjuje</w:t>
      </w:r>
      <w:r>
        <w:rPr>
          <w:i/>
          <w:sz w:val="24"/>
          <w:rFonts w:ascii="Times New Roman" w:hAnsi="Times New Roman"/>
        </w:rPr>
        <w:t xml:space="preserve">.</w:t>
      </w:r>
    </w:p>
    <w:p w14:paraId="1977F44B" w14:textId="0670297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prihvatljive troškove:</w:t>
      </w:r>
    </w:p>
    <w:p w14:paraId="25723D78" w14:textId="2AACE974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570DB8C8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povećanje bruto tonaže potrebno za naknadno postavljanje ili obnovu smještajnih objekata namijenjenih isključivo za posadu, uključujući sanitarne objekte, zajedničke prostore, kuhinjske objekte i zaklone na palubi</w:t>
      </w:r>
    </w:p>
    <w:p w14:paraId="09A89D83" w14:textId="4476B369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povećanje bruto tonaže potrebno za naknadno poboljšanje ili ugradnju sustava za sprečavanje požara na brodu, sigurnosnih sustava i sustava za uzbunjivanje ili sustava za smanjenje buke</w:t>
      </w:r>
    </w:p>
    <w:p w14:paraId="24AF6DCD" w14:textId="18CDAC6C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povećanje bruto tonaže potrebno za naknadnu ugradnju integriranih sustava mostova radi poboljšanja navigacije ili kontrole motora</w:t>
      </w:r>
    </w:p>
    <w:p w14:paraId="791428B0" w14:textId="44B87944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(d) povećanje bruto tonaže potrebno za naknadnu ugradnju ili obnovu motora ili pogonskog sustava kojim se dokazuje bolja energetska učinkovitost ili niže emisije CO₂ u usporedbi s prethodnom situacijom, koja nema snagu veću od prethodno certificirane snage motora ribarskog plovila na temelju članka 40. stavka 1. Uredbe Vijeća (EZ) br. 1224/2009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i čiju najveću izlaznu snagu proizvođač certificira za taj model motora ili pogonskog sustava;</w:t>
      </w:r>
    </w:p>
    <w:p w14:paraId="3E27BC3F" w14:textId="03A813A5" w:rsidR="00F3649F" w:rsidRDefault="001D7707" w:rsidP="001D7707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(e) zamjena ili obnova pramčanog bulba pod uvjetom da se time poboljšava ukupna energetska učinkovitost ribarskog plovila.</w:t>
      </w:r>
    </w:p>
    <w:p w14:paraId="27AC75B6" w14:textId="380AE9E9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21CFF8E6" w:rsidR="004C4105" w:rsidRPr="007E7B0C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odredbe pravne osnove koje odražavaju označeni odgovor.</w:t>
      </w:r>
    </w:p>
    <w:p w14:paraId="15BC5AA7" w14:textId="1089BD9D" w:rsidR="004C4105" w:rsidRDefault="004C4105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8F375A" w14:textId="77777777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prihvatljivi troškovi uključuju samo potpore za ulaganje povezane s izravnim i neizravnim troškovima za poboljšanje sigurnosti, radnih uvjeta ili energetske učinkovitosti, što dovodi do povećanja bruto tonaže ribarskog plovila.</w:t>
      </w:r>
    </w:p>
    <w:p w14:paraId="434B56C8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0A1AAC9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7A4D0698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7A111807" w14:textId="3EB9D5D4" w:rsidR="00E26EC9" w:rsidRDefault="00E26EC9" w:rsidP="00E26E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CD3AD5D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5470C049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34023979"/>
      <w:r>
        <w:rPr>
          <w:sz w:val="24"/>
          <w:rFonts w:ascii="Times New Roman" w:hAnsi="Times New Roman"/>
        </w:rPr>
        <w:t xml:space="preserve">Detaljno opišite troškove koji su prihvatljivi u okviru mjere.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Navedite koji se troškovi odnose na poboljšanje sigurnosti, radnih uvjeta ili energetske učinkovitosti.</w:t>
      </w:r>
    </w:p>
    <w:bookmarkEnd w:id="3"/>
    <w:p w14:paraId="500DDBE6" w14:textId="77777777" w:rsidR="00E26EC9" w:rsidRDefault="00E26EC9" w:rsidP="00E26E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0E46043" w14:textId="34AFDE23" w:rsidR="009E1F93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70221BA9" w:rsidR="00651AE7" w:rsidRDefault="00651AE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postojeće mehanizme kontrole i provedbe kojima se jamči ispunjavanje uvjeta iz dijela II. poglavlja 3. odjeljka 3.3. Smjernica.</w:t>
      </w:r>
    </w:p>
    <w:p w14:paraId="622D5B4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Default="00651AE7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101F8C7" w14:textId="2656E1D0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284B785A" w:rsidR="004022E9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značajke mjere, uključujući količinu povećanog ribolovnog kapaciteta i svrhu tog povećanja.</w:t>
      </w:r>
    </w:p>
    <w:p w14:paraId="17288AC0" w14:textId="1665794B" w:rsidR="00F37EC5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Default="004022E9" w:rsidP="004022E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3469BF8" w14:textId="6C951CD2" w:rsidR="005B1262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Ako je odgovor već naveden u nekom prethodnom pitanju ili odjeljku, uputite na njega.</w:t>
      </w:r>
    </w:p>
    <w:p w14:paraId="76DA6870" w14:textId="77777777" w:rsidR="005B1262" w:rsidRPr="005615D7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669F2C9C" w:rsidR="00252DEE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maksimalni intenzitet potpore ne premašuje 40 % prihvatljivih troškova.</w:t>
      </w:r>
    </w:p>
    <w:p w14:paraId="11FB7220" w14:textId="7655E068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DD68155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F8592" w14:textId="212D1178" w:rsidR="00F13816" w:rsidRDefault="00F13816" w:rsidP="00F13816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maksimalne intenzitete potpore koji su primjenjivi za mjeru.</w:t>
      </w:r>
    </w:p>
    <w:p w14:paraId="0733FC72" w14:textId="77777777" w:rsidR="00F13816" w:rsidRDefault="00F13816" w:rsidP="00F1381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52F416A" w14:textId="77777777" w:rsidR="00F13816" w:rsidRDefault="00F13816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4B2ACAC5" w:rsidR="007D4B84" w:rsidRDefault="007D4B84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5368675"/>
      <w:r>
        <w:rPr>
          <w:sz w:val="24"/>
          <w:rFonts w:ascii="Times New Roman" w:hAnsi="Times New Roman"/>
        </w:rPr>
        <w:t xml:space="preserve">Navedite odredbe pravne osnove u kojima su utvrđeni maksimalni intenziteti potpore za mjeru.</w:t>
      </w:r>
    </w:p>
    <w:p w14:paraId="2F5ED9DD" w14:textId="77777777" w:rsidR="007D4B84" w:rsidRDefault="007D4B84" w:rsidP="007D4B8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4"/>
    </w:p>
    <w:p w14:paraId="419E77DE" w14:textId="77777777" w:rsidR="004C4105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OSTALI PODACI</w:t>
      </w:r>
    </w:p>
    <w:p w14:paraId="3BE10B7F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F7F9E80" w:rsidR="005615D7" w:rsidRPr="005615D7" w:rsidRDefault="005615D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sve ostale podatke koje smatrate relevantnima za ocjenu dotične mjere na temelju ovog odjeljka Smjernica.</w:t>
      </w:r>
    </w:p>
    <w:p w14:paraId="227C2D0E" w14:textId="77777777" w:rsidR="005615D7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ECBB" w14:textId="77777777" w:rsidR="00AF6248" w:rsidRDefault="00AF6248" w:rsidP="005615D7">
      <w:pPr>
        <w:spacing w:after="0" w:line="240" w:lineRule="auto"/>
      </w:pPr>
      <w:r>
        <w:separator/>
      </w:r>
    </w:p>
  </w:endnote>
  <w:endnote w:type="continuationSeparator" w:id="0">
    <w:p w14:paraId="10B8D3D9" w14:textId="77777777" w:rsidR="00AF6248" w:rsidRDefault="00AF6248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3352" w14:textId="77777777" w:rsidR="004C4105" w:rsidRDefault="004C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14D6" w14:textId="77777777" w:rsidR="004C4105" w:rsidRDefault="004C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1D7D" w14:textId="77777777" w:rsidR="00AF6248" w:rsidRDefault="00AF6248" w:rsidP="005615D7">
      <w:pPr>
        <w:spacing w:after="0" w:line="240" w:lineRule="auto"/>
      </w:pPr>
      <w:r>
        <w:separator/>
      </w:r>
    </w:p>
  </w:footnote>
  <w:footnote w:type="continuationSeparator" w:id="0">
    <w:p w14:paraId="47ABE73C" w14:textId="77777777" w:rsidR="00AF6248" w:rsidRDefault="00AF6248" w:rsidP="005615D7">
      <w:pPr>
        <w:spacing w:after="0" w:line="240" w:lineRule="auto"/>
      </w:pPr>
      <w:r>
        <w:continuationSeparator/>
      </w:r>
    </w:p>
  </w:footnote>
  <w:footnote w:id="1">
    <w:p w14:paraId="03DEB263" w14:textId="22D2372E" w:rsidR="00794B67" w:rsidRPr="00794B67" w:rsidRDefault="00794B67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SL C 107, 23.3.2023., str. 1.</w:t>
      </w:r>
    </w:p>
  </w:footnote>
  <w:footnote w:id="2">
    <w:p w14:paraId="51AB2412" w14:textId="77777777" w:rsidR="009B38E1" w:rsidRPr="000345FA" w:rsidRDefault="009B38E1" w:rsidP="00DC3F51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Vidjeti točke (225) i (226) Smjernica, u kojima je opisan razvoj događaja za nacionalno izvješće dostavljeno za godinu N i postupci Komisije do 31. ožujka godine N + 1.</w:t>
      </w:r>
    </w:p>
  </w:footnote>
  <w:footnote w:id="3">
    <w:p w14:paraId="2D939E5B" w14:textId="77777777" w:rsidR="009B38E1" w:rsidRPr="001A2686" w:rsidRDefault="009B38E1" w:rsidP="009B38E1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Komunikacija Komisije Europskom parlamentu i Vijeću: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Smjernice za analizu ravnoteže između ribolovnog kapaciteta i ribolovnih mogućnosti u skladu s člankom 22. Uredbe (EU) br. 1380/2013 Europskog parlamenta i Vijeća o zajedničkoj ribarstvenoj politici (COM(2014) 545 final).</w:t>
      </w:r>
      <w:r>
        <w:rPr>
          <w:rFonts w:ascii="Times New Roman" w:hAnsi="Times New Roman"/>
        </w:rPr>
        <w:t xml:space="preserve">  </w:t>
      </w:r>
    </w:p>
  </w:footnote>
  <w:footnote w:id="4">
    <w:p w14:paraId="7410FC78" w14:textId="0323165B" w:rsidR="001D7707" w:rsidRPr="001D7707" w:rsidRDefault="001D7707" w:rsidP="001D7707">
      <w:pPr>
        <w:pStyle w:val="FootnoteText"/>
        <w:ind w:left="567" w:hanging="425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 xml:space="preserve">Uredba Vijeća (EZ) br. 1224/2009 od 20. studenoga 2009. o uspostavi sustava kontrole Zajednice za osiguranje sukladnosti s pravilima zajedničke ribarstvene politike, o izmjeni uredbi (EZ) br. 847/96, (EZ) br. 2371/2002, (EZ) br. 811/2004, (EZ) br. 768/2005, (EZ) br. 2115/2005, (EZ) br. 2166/2005, (EZ) br. 388/2006, (EZ) br. 509/2007, (EZ) br. 676/2007, (EZ) br. 1098/2007, (EZ) br. 1300/2008, (EZ) br. 1342/2008 i o stavljanju izvan snage uredbi (EEZ) br. 2847/93, (EZ) br. 1627/94 i (EZ) br. 1966/2006 (SL L 343, 22.12.2009., str. 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FB2F" w14:textId="77777777" w:rsidR="004C4105" w:rsidRDefault="004C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DE0" w14:textId="77777777" w:rsidR="004C4105" w:rsidRDefault="004C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8"/>
  </w:num>
  <w:num w:numId="3" w16cid:durableId="1146971053">
    <w:abstractNumId w:val="2"/>
  </w:num>
  <w:num w:numId="4" w16cid:durableId="2129348874">
    <w:abstractNumId w:val="5"/>
  </w:num>
  <w:num w:numId="5" w16cid:durableId="209802491">
    <w:abstractNumId w:val="3"/>
  </w:num>
  <w:num w:numId="6" w16cid:durableId="1414428307">
    <w:abstractNumId w:val="7"/>
  </w:num>
  <w:num w:numId="7" w16cid:durableId="847254142">
    <w:abstractNumId w:val="6"/>
  </w:num>
  <w:num w:numId="8" w16cid:durableId="1951278949">
    <w:abstractNumId w:val="4"/>
  </w:num>
  <w:num w:numId="9" w16cid:durableId="20301369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A5405"/>
    <w:rsid w:val="000E2F1C"/>
    <w:rsid w:val="00136501"/>
    <w:rsid w:val="001A718E"/>
    <w:rsid w:val="001D7707"/>
    <w:rsid w:val="001E09E4"/>
    <w:rsid w:val="001F0558"/>
    <w:rsid w:val="00236AD9"/>
    <w:rsid w:val="00252DEE"/>
    <w:rsid w:val="00256D84"/>
    <w:rsid w:val="002F7CEF"/>
    <w:rsid w:val="003649C9"/>
    <w:rsid w:val="00385658"/>
    <w:rsid w:val="00391B8E"/>
    <w:rsid w:val="003E0993"/>
    <w:rsid w:val="004022E9"/>
    <w:rsid w:val="00423C21"/>
    <w:rsid w:val="00453ADA"/>
    <w:rsid w:val="0046170F"/>
    <w:rsid w:val="004629F3"/>
    <w:rsid w:val="004668F6"/>
    <w:rsid w:val="004A1EA0"/>
    <w:rsid w:val="004C4105"/>
    <w:rsid w:val="0050429C"/>
    <w:rsid w:val="005615D7"/>
    <w:rsid w:val="005B1262"/>
    <w:rsid w:val="005E58E1"/>
    <w:rsid w:val="00610BCF"/>
    <w:rsid w:val="00620B6E"/>
    <w:rsid w:val="00651AE7"/>
    <w:rsid w:val="0066443A"/>
    <w:rsid w:val="006663B8"/>
    <w:rsid w:val="006914B0"/>
    <w:rsid w:val="006A5AF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362C"/>
    <w:rsid w:val="00BD7CCD"/>
    <w:rsid w:val="00C03E01"/>
    <w:rsid w:val="00C300A7"/>
    <w:rsid w:val="00C824B3"/>
    <w:rsid w:val="00C87223"/>
    <w:rsid w:val="00CB185C"/>
    <w:rsid w:val="00CB2D84"/>
    <w:rsid w:val="00CC04F4"/>
    <w:rsid w:val="00CE214E"/>
    <w:rsid w:val="00D45C38"/>
    <w:rsid w:val="00D54834"/>
    <w:rsid w:val="00D7395D"/>
    <w:rsid w:val="00DC3F51"/>
    <w:rsid w:val="00E26EC9"/>
    <w:rsid w:val="00E610A6"/>
    <w:rsid w:val="00E65A1F"/>
    <w:rsid w:val="00E9558A"/>
    <w:rsid w:val="00EE7462"/>
    <w:rsid w:val="00F13816"/>
    <w:rsid w:val="00F14E84"/>
    <w:rsid w:val="00F241D6"/>
    <w:rsid w:val="00F3649F"/>
    <w:rsid w:val="00F37EC5"/>
    <w:rsid w:val="00F56F54"/>
    <w:rsid w:val="00FD1E57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r-HR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r-HR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1378</Words>
  <Characters>7487</Characters>
  <Application>Microsoft Office Word</Application>
  <DocSecurity>0</DocSecurity>
  <Lines>202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LAJAUSKAITE Gintare (COMP)</cp:lastModifiedBy>
  <cp:revision>7</cp:revision>
  <dcterms:created xsi:type="dcterms:W3CDTF">2024-09-05T15:06:00Z</dcterms:created>
  <dcterms:modified xsi:type="dcterms:W3CDTF">2024-09-10T09:48:00Z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