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ascii="Times New Roman" w:eastAsia="Times New Roman" w:hAnsi="Times New Roman"/>
          <w:i/>
          <w:sz w:val="24"/>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0"/>
          <w:szCs w:val="20"/>
          <w:rFonts w:ascii="Times New Roman" w:eastAsia="Times New Roman" w:hAnsi="Times New Roman"/>
        </w:rPr>
      </w:pPr>
      <w:r>
        <w:rPr>
          <w:b/>
          <w:smallCaps/>
          <w:sz w:val="24"/>
          <w:rFonts w:ascii="Times New Roman" w:hAnsi="Times New Roman"/>
        </w:rPr>
        <w:t xml:space="preserve">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0"/>
          <w:rFonts w:ascii="Times New Roman" w:eastAsia="Times New Roman" w:hAnsi="Times New Roman"/>
        </w:rPr>
      </w:pPr>
      <w:r>
        <w:rPr>
          <w:b/>
          <w:smallCaps/>
          <w:sz w:val="24"/>
          <w:rFonts w:ascii="Times New Roman" w:hAnsi="Times New Roman"/>
        </w:rPr>
        <w:t xml:space="preserve">Supplerende informationsskema om</w:t>
      </w:r>
      <w:r>
        <w:t xml:space="preserve"> </w:t>
      </w:r>
      <w:r>
        <w:br/>
      </w:r>
      <w:r>
        <w:rPr>
          <w:b/>
          <w:smallCaps/>
          <w:sz w:val="24"/>
          <w:rFonts w:ascii="Times New Roman" w:hAnsi="Times New Roman"/>
        </w:rPr>
        <w:t xml:space="preserve">støtte til udskiftning eller modernisering af en hoved- eller hjælpemotor</w:t>
      </w:r>
    </w:p>
    <w:p w14:paraId="5E91F15B"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5615D7" w:rsidRDefault="0053598F" w:rsidP="005615D7">
      <w:pPr>
        <w:spacing w:before="360" w:after="0" w:line="240" w:lineRule="auto"/>
        <w:jc w:val="both"/>
        <w:rPr>
          <w:i/>
          <w:sz w:val="24"/>
          <w:szCs w:val="24"/>
          <w:rFonts w:ascii="Times New Roman" w:eastAsia="Times New Roman" w:hAnsi="Times New Roman"/>
        </w:rPr>
      </w:pPr>
      <w:r>
        <w:rPr>
          <w:i/>
          <w:sz w:val="24"/>
          <w:rFonts w:ascii="Times New Roman" w:hAnsi="Times New Roman"/>
        </w:rPr>
        <w:t xml:space="preserve">Medlemsstaterne anvender dette informationsskema ved anmeldelse af statsstøtte til udskiftning eller modernisering af en hoved- eller hjælpemotor som beskrevet i del II, kapitel 3, afsnit 3.2, i retningslinjerne for statsstøtte til fiskeri- og akvakultursektoren</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("retningslinjerne").</w:t>
      </w:r>
    </w:p>
    <w:p w14:paraId="33E9E980"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0613715C" w:rsidR="007D193E" w:rsidRDefault="007D193E" w:rsidP="007E64FE">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det EU-fiskerfartøj, der ydes støtte til, ikke vil blive overført eller omflaget uden for Unionen i mindst fem år efter den endelige betaling af støtte:</w:t>
      </w:r>
      <w:r>
        <w:rPr>
          <w:sz w:val="24"/>
          <w:rFonts w:ascii="Times New Roman" w:hAnsi="Times New Roman"/>
        </w:rPr>
        <w:t xml:space="preserve"> </w:t>
      </w:r>
    </w:p>
    <w:p w14:paraId="09714071"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22751733" w14:textId="4033CF1E"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1E9D84D9" w14:textId="469B67E8" w:rsidR="00C64658" w:rsidRDefault="00C64658" w:rsidP="0053598F">
      <w:pPr>
        <w:rPr>
          <w:sz w:val="24"/>
          <w:szCs w:val="24"/>
          <w:rFonts w:ascii="Times New Roman" w:eastAsia="Times New Roman" w:hAnsi="Times New Roman"/>
        </w:rPr>
      </w:pPr>
      <w:r>
        <w:rPr>
          <w:sz w:val="24"/>
          <w:rFonts w:ascii="Times New Roman" w:hAnsi="Times New Roman"/>
        </w:rPr>
        <w:t xml:space="preserve">………………………………………………………………………………………………….</w:t>
      </w:r>
    </w:p>
    <w:p w14:paraId="0107B6C1" w14:textId="77777777"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der kun ydes støtte til udskiftning eller modernisering af hoved- eller hjælpemotoren på et fiskerfartøj med en længde overalt på op til 24 meter.</w:t>
      </w:r>
    </w:p>
    <w:p w14:paraId="70878431" w14:textId="77777777"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56662626" w14:textId="468DF8C8"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4F8DE03B" w14:textId="10879FF2" w:rsidR="00C64658" w:rsidRDefault="00C64658" w:rsidP="0053598F">
      <w:pPr>
        <w:rPr>
          <w:sz w:val="24"/>
          <w:szCs w:val="24"/>
          <w:rFonts w:ascii="Times New Roman" w:eastAsia="Times New Roman" w:hAnsi="Times New Roman"/>
        </w:rPr>
      </w:pPr>
      <w:r>
        <w:rPr>
          <w:sz w:val="24"/>
          <w:rFonts w:ascii="Times New Roman" w:hAnsi="Times New Roman"/>
        </w:rPr>
        <w:t xml:space="preserve">………………………………………………………………………………………………….</w:t>
      </w:r>
    </w:p>
    <w:p w14:paraId="27D26868" w14:textId="77777777" w:rsidR="00252DEE"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5628CE3E" w:rsidR="007D193E" w:rsidRPr="0053598F" w:rsidRDefault="00A93E41" w:rsidP="00C5352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0" w:name="_Ref124951182"/>
      <w:r>
        <w:rPr>
          <w:sz w:val="24"/>
          <w:rFonts w:ascii="Times New Roman" w:hAnsi="Times New Roman"/>
        </w:rPr>
        <w:t xml:space="preserve">I henhold til punkt (253), litra a) i retningslinjerne skal fiskerfartøjet tilhøre et flådesegment, hvor der ifølge den seneste fiskerikapacitetsrapport som omhandlet i artikel 22, stk. 2, i forordning (EU) nr. 1380/2013</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er balance i de fiskerimuligheder, der er til rådighed for det pågældende segment </w:t>
      </w:r>
      <w:bookmarkStart w:id="1" w:name="_Hlk127291610"/>
      <w:r>
        <w:rPr>
          <w:sz w:val="24"/>
          <w:rFonts w:ascii="Times New Roman" w:hAnsi="Times New Roman"/>
        </w:rPr>
        <w:t xml:space="preserve">("den nationale rapport")</w:t>
      </w:r>
      <w:bookmarkEnd w:id="1"/>
      <w:r>
        <w:rPr>
          <w:sz w:val="24"/>
          <w:rFonts w:ascii="Times New Roman" w:hAnsi="Times New Roman"/>
        </w:rPr>
        <w:t xml:space="preserve">.</w:t>
      </w:r>
      <w:bookmarkEnd w:id="0"/>
      <w:r>
        <w:rPr>
          <w:sz w:val="24"/>
          <w:rFonts w:ascii="Times New Roman" w:hAnsi="Times New Roman"/>
        </w:rPr>
        <w:t xml:space="preserve"> </w:t>
      </w:r>
      <w:r>
        <w:rPr>
          <w:rFonts w:ascii="Times New Roman" w:hAnsi="Times New Roman"/>
        </w:rPr>
        <w:t xml:space="preserve">I henhold til punkt (254) i retningslinjerne gælder den procedure og de betingelser, der er fastsat i punkt (225) til (227) i del II, kapitel 2, afsnit 2.2, i retningslinjerne, også i forbindelse med punkt (253), litra a).</w:t>
      </w:r>
      <w:r>
        <w:rPr>
          <w:color w:val="000000"/>
          <w:sz w:val="23"/>
          <w:rFonts w:ascii="Times New Roman" w:hAnsi="Times New Roman"/>
        </w:rPr>
        <w:t xml:space="preserve"> </w:t>
      </w:r>
      <w:r>
        <w:rPr>
          <w:sz w:val="24"/>
          <w:rFonts w:ascii="Times New Roman" w:hAnsi="Times New Roman"/>
        </w:rPr>
        <w:t xml:space="preserve">På denne baggrund besvares følgende spørgsmål:</w:t>
      </w:r>
    </w:p>
    <w:p w14:paraId="5E069D18" w14:textId="3BCBF3CD"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Hvornår blev den seneste rapport udarbejdet inden støttetildelingstidspunktet?</w:t>
      </w:r>
    </w:p>
    <w:p w14:paraId="3A01B69F"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6EC7B62B"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et link til den seneste nationale rapport eller vedlæg den anmeldelsen:</w:t>
      </w:r>
    </w:p>
    <w:p w14:paraId="7EA4899A" w14:textId="77777777" w:rsidR="0053598F" w:rsidRDefault="0053598F" w:rsidP="0053598F">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093FCE10"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følgende betingelser er opfyldt for al støtte, der skal ydes:</w:t>
      </w:r>
    </w:p>
    <w:p w14:paraId="3CEEC1C3" w14:textId="77777777" w:rsidR="0053598F"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Blev den nationale rapport indgivet senest den 31. maj i år N</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p>
    <w:p w14:paraId="53E86E0E"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333BE96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7777777" w:rsidR="0053598F" w:rsidRPr="005C06D1"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den nationale rapport, der er indgivet i år N, og især balancevurderingen, er udarbejdet på grundlag af de biologiske og økonomiske indikatorer og de indikatorer for fartøjsanvendelse, der er fastsat i de fælles retningslinjer</w:t>
      </w:r>
      <w:r>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som er omhandlet i artikel 22, stk. 2, i forordning (EU) nr. 1380/2013.</w:t>
      </w:r>
    </w:p>
    <w:p w14:paraId="7CC7BD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Default="0053598F" w:rsidP="0053598F">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6BCE1EE8"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77777777" w:rsidR="0053598F" w:rsidRPr="005C3488" w:rsidRDefault="0053598F" w:rsidP="0053598F">
      <w:pPr>
        <w:pStyle w:val="Default"/>
        <w:ind w:left="567"/>
        <w:jc w:val="both"/>
        <w:rPr>
          <w:i/>
          <w:iCs/>
          <w:sz w:val="23"/>
          <w:szCs w:val="23"/>
        </w:rPr>
      </w:pPr>
      <w:r>
        <w:rPr>
          <w:i/>
        </w:rPr>
        <w:t xml:space="preserve">Bemærk, at der ikke må ydes støtte, hvis den nationale rapport, og navnlig balancevurderingen deri, ikke er udarbejdet på grundlag af de biologiske og økonomiske indikatorer og de indikatorer for fartøjsanvendelse, der er fastsat i de fælles retningslinjer, som er omhandlet i artikel 22, stk. 2, i forordning (EU) nr. 1380/2013.</w:t>
      </w:r>
      <w:r>
        <w:rPr>
          <w:i/>
          <w:sz w:val="23"/>
        </w:rPr>
        <w:t xml:space="preserve"> </w:t>
      </w:r>
    </w:p>
    <w:p w14:paraId="45620AA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55617450"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Påvises det i den nationale rapport fra år N, at der er balance mellem fiskerikapaciteten og fiskerimulighederne for det flådesegmentet, som det nye fartøj tilhører:</w:t>
      </w:r>
    </w:p>
    <w:p w14:paraId="71B0BC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7CAAEE34"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Beskriv, hvordan der er taget hensyn til den nationale rapport ved tilrettelæggelsen af foranstaltningen, og hvordan der er opnået balance:</w:t>
      </w:r>
    </w:p>
    <w:p w14:paraId="2A834BE2"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00ED6C86" w14:textId="1437F106" w:rsidR="00F741C7" w:rsidRDefault="0053598F" w:rsidP="00F741C7">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Kommissionen senest den 31. marts i år N+1 ikke har draget tvivl om:</w:t>
      </w:r>
    </w:p>
    <w:p w14:paraId="2F690AAD"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77777777" w:rsidR="00F741C7" w:rsidRDefault="00F741C7" w:rsidP="00F741C7">
      <w:pPr>
        <w:autoSpaceDE w:val="0"/>
        <w:autoSpaceDN w:val="0"/>
        <w:adjustRightInd w:val="0"/>
        <w:spacing w:after="0" w:line="240" w:lineRule="auto"/>
        <w:ind w:firstLine="72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a) konklusionen i den nationale rapport fra år N</w:t>
      </w:r>
      <w:r>
        <w:rPr>
          <w:sz w:val="24"/>
          <w:rFonts w:ascii="Times New Roman" w:hAnsi="Times New Roman"/>
        </w:rPr>
        <w:t xml:space="preserve"> </w:t>
      </w:r>
    </w:p>
    <w:p w14:paraId="73206044"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77777777" w:rsidR="00F741C7" w:rsidRPr="005615D7" w:rsidRDefault="00F741C7" w:rsidP="00F741C7">
      <w:pPr>
        <w:autoSpaceDE w:val="0"/>
        <w:autoSpaceDN w:val="0"/>
        <w:adjustRightInd w:val="0"/>
        <w:spacing w:after="0" w:line="240" w:lineRule="auto"/>
        <w:ind w:left="72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b/>
          <w:rFonts w:ascii="Times New Roman" w:hAnsi="Times New Roman"/>
        </w:rPr>
        <w:t xml:space="preserve"> </w:t>
      </w:r>
      <w:r>
        <w:rPr>
          <w:sz w:val="24"/>
          <w:rFonts w:ascii="Times New Roman" w:hAnsi="Times New Roman"/>
        </w:rPr>
        <w:t xml:space="preserve">b) balancevurderingen i den nationale rapport fra år N</w:t>
      </w:r>
    </w:p>
    <w:p w14:paraId="1BD1938D" w14:textId="67FB16D6" w:rsidR="0053598F"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77777777" w:rsidR="0053598F" w:rsidRDefault="0053598F" w:rsidP="00F741C7">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der kun kan ydes støtte på grundlag af den nationale rapport fra år N indtil den 31. december i år N+1, dvs. året efter året for indgivelse af rapporten:</w:t>
      </w:r>
      <w:r>
        <w:rPr>
          <w:sz w:val="24"/>
          <w:rFonts w:ascii="Times New Roman" w:hAnsi="Times New Roman"/>
        </w:rPr>
        <w:t xml:space="preserve"> </w:t>
      </w:r>
    </w:p>
    <w:p w14:paraId="3E8C1F31"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22D0706C"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08A0C9BD"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61F4C9EA" w14:textId="5C998E36" w:rsidR="0053598F" w:rsidRPr="0053598F" w:rsidRDefault="0053598F" w:rsidP="0053598F">
      <w:pPr>
        <w:autoSpaceDE w:val="0"/>
        <w:autoSpaceDN w:val="0"/>
        <w:adjustRightInd w:val="0"/>
        <w:spacing w:after="0" w:line="240" w:lineRule="auto"/>
        <w:jc w:val="both"/>
        <w:rPr>
          <w:i/>
          <w:sz w:val="24"/>
          <w:szCs w:val="24"/>
          <w:rFonts w:ascii="Times New Roman" w:eastAsia="Times New Roman" w:hAnsi="Times New Roman"/>
        </w:rPr>
      </w:pPr>
      <w:r>
        <w:rPr>
          <w:i/>
          <w:sz w:val="24"/>
          <w:rFonts w:ascii="Times New Roman" w:hAnsi="Times New Roman"/>
        </w:rPr>
        <w:t xml:space="preserve">Hvis foranstaltningen vedrører indlandsfiskeri, skal spørgsmål 3.1 til 3.2.6.1 ikke besvares.</w:t>
      </w:r>
    </w:p>
    <w:p w14:paraId="679F63A5"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316B2CCB" w:rsidR="007D193E" w:rsidRDefault="00A93E41"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4951266"/>
      <w:r>
        <w:rPr>
          <w:sz w:val="24"/>
          <w:rFonts w:ascii="Times New Roman" w:hAnsi="Times New Roman"/>
        </w:rPr>
        <w:t xml:space="preserve">Bekræft, at foranstaltningen indeholder bestemmelser om, at fiskerfartøjet skal have været registreret i EU-fiskerflåderegistret i mindst fem kalenderår forud for det år, hvor støtteansøgningen blev indgivet:</w:t>
      </w:r>
      <w:bookmarkEnd w:id="2"/>
    </w:p>
    <w:p w14:paraId="5BEC161D"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Default="00A93E41" w:rsidP="00A93E41">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64E8106D" w14:textId="2D6E9174"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17E59A38" w:rsidR="00F741C7" w:rsidRPr="00255D80" w:rsidRDefault="00F741C7" w:rsidP="00F741C7">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Hvis foranstaltningen vedrører indlandsfiskeri, bekræftes det, at foranstaltningen indeholder bestemmelser om, at der kun må ydes støtte til et fiskerfartøj, der i henhold til national ret blev taget i brug mindst fem kalenderår forud for det år, hvor støtteansøgningen blev indgivet:</w:t>
      </w:r>
    </w:p>
    <w:p w14:paraId="08A8E70B"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Default="00F741C7" w:rsidP="00F741C7">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3EEFB232"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på spørgsmål 4 eller 4.1 er ja, anføres de relevante bestemmelser i retsgrundlaget:</w:t>
      </w:r>
    </w:p>
    <w:p w14:paraId="35CB1A30" w14:textId="7F4E7E68" w:rsidR="00A93E41" w:rsidRDefault="00C64658" w:rsidP="00F741C7">
      <w:pPr>
        <w:rPr>
          <w:sz w:val="24"/>
          <w:szCs w:val="24"/>
          <w:rFonts w:ascii="Times New Roman" w:eastAsia="Times New Roman" w:hAnsi="Times New Roman"/>
        </w:rPr>
      </w:pPr>
      <w:r>
        <w:rPr>
          <w:sz w:val="24"/>
          <w:rFonts w:ascii="Times New Roman" w:hAnsi="Times New Roman"/>
        </w:rPr>
        <w:t xml:space="preserve">………………………………………………………………………………………………….</w:t>
      </w:r>
    </w:p>
    <w:p w14:paraId="4BB86F31" w14:textId="2D3747F9" w:rsidR="00A93E41" w:rsidRDefault="009A6F32"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3" w:name="_Ref124951474"/>
      <w:r>
        <w:rPr>
          <w:sz w:val="24"/>
          <w:rFonts w:ascii="Times New Roman" w:hAnsi="Times New Roman"/>
        </w:rPr>
        <w:t xml:space="preserve">For fartøjer til kystfiskeri af mindre omfang og fartøjer til indlandsfiskeri bekræftes det, at foranstaltningen indeholder bestemmelser om, at den nye eller moderniserede motor ikke har mere effekt i kW end den nuværende motor:</w:t>
      </w:r>
      <w:bookmarkEnd w:id="3"/>
    </w:p>
    <w:p w14:paraId="7D8E76C6" w14:textId="77777777" w:rsidR="00A93E41"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1C213FF2" w14:textId="0FD89D8B"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042097A5" w14:textId="1C70A343" w:rsidR="00C64658" w:rsidRDefault="00C64658" w:rsidP="00F741C7">
      <w:pPr>
        <w:rPr>
          <w:sz w:val="24"/>
          <w:szCs w:val="24"/>
          <w:rFonts w:ascii="Times New Roman" w:eastAsia="Times New Roman" w:hAnsi="Times New Roman"/>
        </w:rPr>
      </w:pPr>
      <w:r>
        <w:rPr>
          <w:sz w:val="24"/>
          <w:rFonts w:ascii="Times New Roman" w:hAnsi="Times New Roman"/>
        </w:rPr>
        <w:t xml:space="preserve">………………………………………………………………………………………………….</w:t>
      </w:r>
    </w:p>
    <w:p w14:paraId="429EDD2A"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347B8D5F" w:rsidR="00A93E41" w:rsidRDefault="009A6F32"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Ref124957319"/>
      <w:r>
        <w:rPr>
          <w:sz w:val="24"/>
          <w:rFonts w:ascii="Times New Roman" w:hAnsi="Times New Roman"/>
        </w:rPr>
        <w:t xml:space="preserve">For andre fartøjer med en længde overalt på op til 24 meter bekræftes det, at foranstaltningen indeholder bestemmelser om, at den nye eller moderniserede motor ikke har mere effekt i kW end den nuværende motor og udleder mindst 20 % mindre CO₂ sammenlignet med den nuværende motor</w:t>
      </w:r>
      <w:bookmarkEnd w:id="4"/>
    </w:p>
    <w:p w14:paraId="40932758"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41A1F6FE" w14:textId="52610896"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6F9349D1" w14:textId="568001A8" w:rsidR="00C64658" w:rsidRDefault="00C64658" w:rsidP="0048102E">
      <w:pPr>
        <w:rPr>
          <w:sz w:val="24"/>
          <w:szCs w:val="24"/>
          <w:rFonts w:ascii="Times New Roman" w:eastAsia="Times New Roman" w:hAnsi="Times New Roman"/>
        </w:rPr>
      </w:pPr>
      <w:r>
        <w:rPr>
          <w:sz w:val="24"/>
          <w:rFonts w:ascii="Times New Roman" w:hAnsi="Times New Roman"/>
        </w:rPr>
        <w:t xml:space="preserve">………………………………………………………………………………………………….</w:t>
      </w:r>
    </w:p>
    <w:p w14:paraId="7D8D3F1E"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192A3DD3" w:rsidR="009E1F93" w:rsidRDefault="009E1F93"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den fiskerikapacitet, der fjernes som følge af udskiftning eller modernisering af en hoved- eller hjælpemotor, ikke må erstattes:</w:t>
      </w:r>
    </w:p>
    <w:p w14:paraId="65A0F1E9"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Default="009E1F93" w:rsidP="009E1F93">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03F7B8E1" w14:textId="39869EF0"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7C8C2ABC" w14:textId="34A0C34F" w:rsidR="00C64658" w:rsidRDefault="00C64658" w:rsidP="0048102E">
      <w:pPr>
        <w:rPr>
          <w:sz w:val="24"/>
          <w:szCs w:val="24"/>
          <w:rFonts w:ascii="Times New Roman" w:eastAsia="Times New Roman" w:hAnsi="Times New Roman"/>
        </w:rPr>
      </w:pPr>
      <w:r>
        <w:rPr>
          <w:sz w:val="24"/>
          <w:rFonts w:ascii="Times New Roman" w:hAnsi="Times New Roman"/>
        </w:rPr>
        <w:t xml:space="preserve">………………………………………………………………………………………………….</w:t>
      </w:r>
    </w:p>
    <w:p w14:paraId="517C477C"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Giv en detaljeret beskrivelse af de kontrol- og håndhævelsesmekanismer, der skal sikre, at betingelser i del II, kapitel 3, afsnit 3.2, i retningslinjerne overholdes:</w:t>
      </w:r>
    </w:p>
    <w:p w14:paraId="4A0243A2" w14:textId="16716C44" w:rsidR="009E1F93" w:rsidRDefault="00651AE7" w:rsidP="0048102E">
      <w:pPr>
        <w:rPr>
          <w:sz w:val="24"/>
          <w:szCs w:val="24"/>
          <w:rFonts w:ascii="Times New Roman" w:eastAsia="Times New Roman" w:hAnsi="Times New Roman"/>
        </w:rPr>
      </w:pPr>
      <w:r>
        <w:rPr>
          <w:sz w:val="24"/>
          <w:rFonts w:ascii="Times New Roman" w:hAnsi="Times New Roman"/>
        </w:rPr>
        <w:t xml:space="preserve">………………………………………………………………………………………………….</w:t>
      </w:r>
    </w:p>
    <w:p w14:paraId="53E97897"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AB39FF1" w:rsidR="00651AE7" w:rsidRDefault="00651AE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alle udskiftede eller moderniserede motorer skal kontrolleres fysisk:</w:t>
      </w:r>
    </w:p>
    <w:p w14:paraId="02DD2A8A"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Default="00651AE7" w:rsidP="00651AE7">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474155A2" w14:textId="1A09CDF5"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1E0A7F3C" w14:textId="79620B89" w:rsidR="00F6163F" w:rsidRDefault="0048102E" w:rsidP="005615D7">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307EF9C0"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690A1A08" w:rsidR="00651AE7" w:rsidRDefault="00385658"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hvordan foranstaltningen vil sikre en reduktion af CO₂-udledningen som nævnt i spørgsmål</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_Ref124957319 \r \h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t xml:space="preserve">6</w:t>
      </w:r>
      <w:r>
        <w:rPr>
          <w:sz w:val="24"/>
          <w:rFonts w:ascii="Times New Roman" w:eastAsia="Times New Roman" w:hAnsi="Times New Roman"/>
        </w:rPr>
        <w:fldChar w:fldCharType="end"/>
      </w:r>
      <w:r>
        <w:t xml:space="preserve">:</w:t>
      </w:r>
      <w:r>
        <w:rPr>
          <w:sz w:val="24"/>
          <w:rFonts w:ascii="Times New Roman" w:hAnsi="Times New Roman"/>
        </w:rPr>
        <w:t xml:space="preserve"> </w:t>
      </w:r>
    </w:p>
    <w:p w14:paraId="3CB3B570" w14:textId="77777777" w:rsidR="009725CF"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1DCBFD30" w:rsidR="009725CF" w:rsidRPr="005615D7" w:rsidRDefault="009725CF" w:rsidP="00293FA0">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gennem relevante oplysninger, som er certificeret af fabrikanten af de pågældende motorer som led i en typegodkendelse eller et produktcertifikat, viser, at den nye motor udleder 20 % mindre CO₂ end den motor, der udskiftes</w:t>
      </w:r>
    </w:p>
    <w:p w14:paraId="0FF77229" w14:textId="7DF59EC2" w:rsidR="009725CF" w:rsidRDefault="00385658" w:rsidP="0048102E">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relevante oplysninger, som er certificeret af fabrikanten af de pågældende motorer som led i en typegodkendelse eller et produktcertifikat, viser, at den nye motor forbruger 20 % mindre brændstof end den motor, der udskiftes</w:t>
      </w:r>
    </w:p>
    <w:p w14:paraId="56EACDC0" w14:textId="718DF7EF" w:rsidR="0048102E" w:rsidRDefault="0048102E"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Redegør nærmere for det valgte:</w:t>
      </w:r>
      <w:r>
        <w:rPr>
          <w:sz w:val="24"/>
          <w:rFonts w:ascii="Times New Roman" w:hAnsi="Times New Roman"/>
        </w:rPr>
        <w:t xml:space="preserve"> </w:t>
      </w:r>
    </w:p>
    <w:p w14:paraId="5AAF16DC" w14:textId="43A993BD" w:rsidR="0048102E" w:rsidRDefault="0048102E" w:rsidP="0048102E">
      <w:pPr>
        <w:ind w:left="360"/>
        <w:rPr>
          <w:sz w:val="24"/>
          <w:szCs w:val="24"/>
          <w:rFonts w:ascii="Times New Roman" w:eastAsia="Times New Roman" w:hAnsi="Times New Roman"/>
        </w:rPr>
      </w:pPr>
      <w:r>
        <w:rPr>
          <w:sz w:val="24"/>
          <w:rFonts w:ascii="Times New Roman" w:hAnsi="Times New Roman"/>
        </w:rPr>
        <w:t xml:space="preserve">……………………………………………………………………………………………</w:t>
      </w:r>
    </w:p>
    <w:p w14:paraId="237D3F90" w14:textId="52D88172"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Angiv henvisning til de bestemmelser i retsgrundlaget, der afspejler det valgte svar under spørgsmål</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_Ref125367725 \r \h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w:t>
      </w:r>
    </w:p>
    <w:p w14:paraId="3E509AAA" w14:textId="77777777" w:rsidR="007E64FE" w:rsidRDefault="007E64FE" w:rsidP="007E64FE">
      <w:pPr>
        <w:rPr>
          <w:sz w:val="24"/>
          <w:szCs w:val="24"/>
          <w:rFonts w:ascii="Times New Roman" w:eastAsia="Times New Roman" w:hAnsi="Times New Roman"/>
        </w:rPr>
      </w:pPr>
      <w:r>
        <w:rPr>
          <w:sz w:val="24"/>
          <w:rFonts w:ascii="Times New Roman" w:hAnsi="Times New Roman"/>
        </w:rPr>
        <w:t xml:space="preserve">………………………………………………………………………………………………….</w:t>
      </w:r>
    </w:p>
    <w:p w14:paraId="22E3561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08E422B9" w:rsidR="00385658" w:rsidRPr="00CA7417" w:rsidRDefault="00385658" w:rsidP="00CA741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de relevante oplysninger, der er certificeret af fabrikanten af de pågældende motorer som led i en typegodkendelse eller et produktcertifikat for en eller begge motorer, ikke muliggør sammenligning af CO₂-emissionerne eller brændstofforbruget, angives det, hvordan den reduktion af CO₂-emissionerne, der er nævnt i spørgsmål </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_Ref124957319 \r \h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t xml:space="preserve">6</w:t>
      </w:r>
      <w:r>
        <w:rPr>
          <w:sz w:val="24"/>
          <w:rFonts w:ascii="Times New Roman" w:eastAsia="Times New Roman" w:hAnsi="Times New Roman"/>
        </w:rPr>
        <w:fldChar w:fldCharType="end"/>
      </w:r>
      <w:r>
        <w:rPr>
          <w:sz w:val="24"/>
          <w:rFonts w:ascii="Times New Roman" w:hAnsi="Times New Roman"/>
        </w:rPr>
        <w:t xml:space="preserve">, anses for at være opfyldt under foranstaltningen:</w:t>
      </w:r>
      <w:r>
        <w:rPr>
          <w:sz w:val="24"/>
          <w:rFonts w:ascii="Times New Roman" w:hAnsi="Times New Roman"/>
        </w:rPr>
        <w:t xml:space="preserve"> </w:t>
      </w:r>
    </w:p>
    <w:p w14:paraId="7F6FD1D8" w14:textId="77777777" w:rsidR="009A6F32"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1702C05A" w:rsidR="00385658" w:rsidRPr="005615D7" w:rsidRDefault="00385658" w:rsidP="00293FA0">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den nye motor anvender en energieffektiv teknologi, og aldersforskellen mellem den nye motor og den motor, der udskiftes, er mindst syv år</w:t>
      </w:r>
    </w:p>
    <w:p w14:paraId="2B1EE759" w14:textId="5F99EEE5" w:rsidR="00385658" w:rsidRPr="005615D7" w:rsidRDefault="00385658" w:rsidP="00293FA0">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den nye motor anvender en type brændstof eller et fremdriftssystem, som anses at udlede mindre CO₂ end den motor, der udskiftes</w:t>
      </w:r>
    </w:p>
    <w:p w14:paraId="5BAA96F9" w14:textId="3314BEF7" w:rsidR="00385658" w:rsidRPr="005615D7" w:rsidRDefault="00385658" w:rsidP="00385658">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den berørte medlemsstat måler, at den nye motor udleder 20 % mindre CO₂ eller forbruger 20 % mindre brændstof end den motor, der udskiftes, under det pågældende fartøjs normale fiskeriindsats.</w:t>
      </w:r>
    </w:p>
    <w:p w14:paraId="3A6EBF00" w14:textId="76FC1C2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Angiv henvisning til de bestemmelser i retsgrundlaget, der afspejler den valgte støttemodtager:</w:t>
      </w:r>
    </w:p>
    <w:p w14:paraId="1AE44591" w14:textId="77777777" w:rsidR="00CA7417" w:rsidRDefault="00CA7417" w:rsidP="00CA7417">
      <w:pPr>
        <w:rPr>
          <w:sz w:val="24"/>
          <w:szCs w:val="24"/>
          <w:rFonts w:ascii="Times New Roman" w:eastAsia="Times New Roman" w:hAnsi="Times New Roman"/>
        </w:rPr>
      </w:pPr>
      <w:r>
        <w:rPr>
          <w:sz w:val="24"/>
          <w:rFonts w:ascii="Times New Roman" w:hAnsi="Times New Roman"/>
        </w:rPr>
        <w:t xml:space="preserve">………………………………………………………………………………………………….</w:t>
      </w:r>
    </w:p>
    <w:p w14:paraId="3D78A7BF" w14:textId="6E17A3A2" w:rsidR="0048102E" w:rsidRDefault="00CA7417" w:rsidP="00CA741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Bekræft, at gennemførelsesforordning (EU) 2022/46</w:t>
      </w:r>
      <w:r>
        <w:rPr>
          <w:rStyle w:val="FootnoteReference"/>
          <w:rFonts w:ascii="Times New Roman" w:eastAsia="Times New Roman" w:hAnsi="Times New Roman"/>
          <w:sz w:val="24"/>
          <w:szCs w:val="24"/>
          <w:lang w:eastAsia="en-GB"/>
        </w:rPr>
        <w:footnoteReference w:id="5"/>
      </w:r>
      <w:r>
        <w:rPr>
          <w:sz w:val="24"/>
          <w:rFonts w:ascii="Times New Roman" w:hAnsi="Times New Roman"/>
        </w:rPr>
        <w:t xml:space="preserve"> i overensstemmelse med retningslinjernes punkt (260) anvendes med henblik på at identificere de energieffektive teknologier, der er omhandlet i punkt (259), litra a), og til yderligere at præcisere de metodologiske elementer til gennemførelse af punkt (259), litra c).</w:t>
      </w:r>
      <w:r>
        <w:rPr>
          <w:sz w:val="24"/>
          <w:rFonts w:ascii="Times New Roman" w:hAnsi="Times New Roman"/>
        </w:rPr>
        <w:t xml:space="preserve"> </w:t>
      </w:r>
    </w:p>
    <w:p w14:paraId="1BED6435" w14:textId="77777777" w:rsid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Default="00CA7417" w:rsidP="00CA7417">
      <w:pPr>
        <w:autoSpaceDE w:val="0"/>
        <w:autoSpaceDN w:val="0"/>
        <w:adjustRightInd w:val="0"/>
        <w:spacing w:after="0" w:line="240" w:lineRule="auto"/>
        <w:ind w:left="993"/>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4EEFE754" w14:textId="77777777" w:rsidR="00CA7417" w:rsidRP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Beskriv, hvordan disse krav er opfyldt:</w:t>
      </w:r>
    </w:p>
    <w:p w14:paraId="40D0F203" w14:textId="77777777" w:rsidR="00C6465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Default="00CA7417" w:rsidP="00CA7417">
      <w:pPr>
        <w:rPr>
          <w:sz w:val="24"/>
          <w:szCs w:val="24"/>
          <w:rFonts w:ascii="Times New Roman" w:eastAsia="Times New Roman" w:hAnsi="Times New Roman"/>
        </w:rPr>
      </w:pPr>
      <w:r>
        <w:rPr>
          <w:sz w:val="24"/>
          <w:rFonts w:ascii="Times New Roman" w:hAnsi="Times New Roman"/>
        </w:rPr>
        <w:t xml:space="preserve">………………………………………………………………………………………………….</w:t>
      </w:r>
    </w:p>
    <w:p w14:paraId="7B02216A" w14:textId="0F383CEC" w:rsidR="00385658" w:rsidRDefault="00385658"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de støtteberettigede omkostninger kun omfatter de direkte og de indirekte omkostninger i forbindelse med udskiftningen eller moderniseringen af en hoved- eller hjælpemotor:</w:t>
      </w:r>
    </w:p>
    <w:p w14:paraId="1BC8D286" w14:textId="7777777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Default="00385658" w:rsidP="00385658">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1A19A3E4" w14:textId="065CD309"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2639F4D3" w14:textId="77777777" w:rsidR="00C64658" w:rsidRDefault="00C64658" w:rsidP="00C64658">
      <w:pPr>
        <w:rPr>
          <w:sz w:val="24"/>
          <w:szCs w:val="24"/>
          <w:rFonts w:ascii="Times New Roman" w:eastAsia="Times New Roman" w:hAnsi="Times New Roman"/>
        </w:rPr>
      </w:pPr>
      <w:r>
        <w:rPr>
          <w:sz w:val="24"/>
          <w:rFonts w:ascii="Times New Roman" w:hAnsi="Times New Roman"/>
        </w:rPr>
        <w:t xml:space="preserve">………………………………………………………………………………………………….</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Giv en detaljeret beskrivelse af de omkostninger, der er støtteberettigede under foranstaltningen:</w:t>
      </w:r>
    </w:p>
    <w:p w14:paraId="0F07D075" w14:textId="29331F1F" w:rsidR="005B1262" w:rsidRPr="005615D7" w:rsidRDefault="005E58E1" w:rsidP="004B20D4">
      <w:pPr>
        <w:rPr>
          <w:sz w:val="24"/>
          <w:szCs w:val="24"/>
          <w:rFonts w:ascii="Times New Roman" w:eastAsia="Times New Roman" w:hAnsi="Times New Roman"/>
        </w:rPr>
      </w:pPr>
      <w:r>
        <w:rPr>
          <w:sz w:val="24"/>
          <w:rFonts w:ascii="Times New Roman" w:hAnsi="Times New Roman"/>
        </w:rPr>
        <w:t xml:space="preserve">………………………………………………………………………………………………….</w:t>
      </w:r>
    </w:p>
    <w:p w14:paraId="1A94DC5A" w14:textId="58AD1D2E" w:rsidR="00680544" w:rsidRDefault="00680544"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en bestemmelse om, at den maksimale støtteintensitet ikke må overstige 40 % af de tilskudsberettigede omkostninger.</w:t>
      </w:r>
    </w:p>
    <w:p w14:paraId="3BA2ABAE" w14:textId="6AA0FAAA"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Default="00293FA0" w:rsidP="00293FA0">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3CBD3E66" w14:textId="77777777"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Angiv de maksimale støtteintensiteter, der gælder for foranstaltningen:</w:t>
      </w:r>
    </w:p>
    <w:p w14:paraId="1AFF5A04" w14:textId="77777777" w:rsidR="00A54529" w:rsidRDefault="00A54529" w:rsidP="00A54529">
      <w:pPr>
        <w:rPr>
          <w:sz w:val="24"/>
          <w:szCs w:val="24"/>
          <w:rFonts w:ascii="Times New Roman" w:eastAsia="Times New Roman" w:hAnsi="Times New Roman"/>
        </w:rPr>
      </w:pPr>
      <w:r>
        <w:rPr>
          <w:sz w:val="24"/>
          <w:rFonts w:ascii="Times New Roman" w:hAnsi="Times New Roman"/>
        </w:rPr>
        <w:t xml:space="preserve">………………………………………………………………………………………………….</w:t>
      </w:r>
    </w:p>
    <w:p w14:paraId="39EED52A" w14:textId="77777777" w:rsidR="00A54529"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5368675"/>
      <w:r>
        <w:rPr>
          <w:sz w:val="24"/>
          <w:rFonts w:ascii="Times New Roman" w:hAnsi="Times New Roman"/>
        </w:rPr>
        <w:t xml:space="preserve">Angiv henvisning til de bestemmelser i retsgrundlaget, der fastsætter de maksimale støtteintensiteter under foranstaltningen:</w:t>
      </w:r>
    </w:p>
    <w:p w14:paraId="3248B8D5" w14:textId="293DB344" w:rsidR="005B1262" w:rsidRDefault="00680544" w:rsidP="004B20D4">
      <w:pPr>
        <w:rPr>
          <w:sz w:val="24"/>
          <w:szCs w:val="24"/>
          <w:rFonts w:ascii="Times New Roman" w:eastAsia="Times New Roman" w:hAnsi="Times New Roman"/>
        </w:rPr>
      </w:pPr>
      <w:r>
        <w:rPr>
          <w:sz w:val="24"/>
          <w:rFonts w:ascii="Times New Roman" w:hAnsi="Times New Roman"/>
        </w:rPr>
        <w:t xml:space="preserve">………………………………………………………………………………………………….</w:t>
      </w:r>
      <w:bookmarkEnd w:id="5"/>
    </w:p>
    <w:p w14:paraId="2AE78697"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ANDRE OPLYSNINGER</w:t>
      </w:r>
    </w:p>
    <w:p w14:paraId="52786ADD"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25729BC7" w:rsidR="005615D7" w:rsidRPr="005615D7" w:rsidRDefault="005615D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eventuelle andre oplysninger, der kan være relevante for vurderingen af den foranstaltning, der er omfattet af dette afsnit i retningslinjerne.</w:t>
      </w:r>
    </w:p>
    <w:p w14:paraId="4E3CC61D" w14:textId="73F8C1E3" w:rsidR="001A718E" w:rsidRPr="00453ADA" w:rsidRDefault="005615D7" w:rsidP="004B20D4">
      <w:pPr>
        <w:rPr>
          <w:sz w:val="24"/>
          <w:szCs w:val="24"/>
          <w:rFonts w:ascii="Times New Roman" w:eastAsia="Times New Roman" w:hAnsi="Times New Roman"/>
        </w:rPr>
      </w:pPr>
      <w:r>
        <w:rPr>
          <w:sz w:val="24"/>
          <w:rFonts w:ascii="Times New Roman" w:hAnsi="Times New Roman"/>
        </w:rPr>
        <w:t xml:space="preserve">………………………………………………………………………………………………….</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57" w14:textId="77777777" w:rsidR="007D193E" w:rsidRDefault="007D193E" w:rsidP="005615D7">
      <w:pPr>
        <w:spacing w:after="0" w:line="240" w:lineRule="auto"/>
      </w:pPr>
      <w:r>
        <w:separator/>
      </w:r>
    </w:p>
  </w:endnote>
  <w:endnote w:type="continuationSeparator" w:id="0">
    <w:p w14:paraId="77F2C2F5"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t xml:space="preserve">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F8D2" w14:textId="77777777" w:rsidR="007D193E" w:rsidRDefault="007D193E" w:rsidP="005615D7">
      <w:pPr>
        <w:spacing w:after="0" w:line="240" w:lineRule="auto"/>
      </w:pPr>
      <w:r>
        <w:separator/>
      </w:r>
    </w:p>
  </w:footnote>
  <w:footnote w:type="continuationSeparator" w:id="0">
    <w:p w14:paraId="786F86C8" w14:textId="77777777" w:rsidR="007D193E" w:rsidRDefault="007D193E"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rPr>
          <w:rFonts w:ascii="Times New Roman" w:hAnsi="Times New Roman"/>
        </w:rPr>
        <w:t xml:space="preserve"> EUT C 107 af 23.3.2023, s. 1.</w:t>
      </w:r>
    </w:p>
  </w:footnote>
  <w:footnote w:id="2">
    <w:p w14:paraId="047F30BE" w14:textId="77777777" w:rsidR="0053598F" w:rsidRPr="003533B1" w:rsidRDefault="0053598F" w:rsidP="006A67ED">
      <w:pPr>
        <w:pStyle w:val="FootnoteText"/>
        <w:spacing w:after="0" w:line="240" w:lineRule="auto"/>
        <w:jc w:val="both"/>
      </w:pPr>
      <w:r>
        <w:rPr>
          <w:rStyle w:val="FootnoteReference"/>
        </w:rPr>
        <w:footnoteRef/>
      </w:r>
      <w:r>
        <w:rPr>
          <w:rFonts w:ascii="Times New Roman" w:hAnsi="Times New Roman"/>
        </w:rPr>
        <w:t xml:space="preserve"> Europa-Parlamentets og Rådets forordning (EU) nr. 1380/2013 af 11. december 2013 om den fælles fiskeripolitik, ændring af Rådets forordning (EF) nr. 1954/2003 og (EF) nr. 1224/2009 og ophævelse af Rådets forordning (EF) nr. 2371/2002 og (EF) nr. 639/2004 samt Rådets afgørelse 2004/585/EF (EUT L 354 af 28.12.2013, s. 22).</w:t>
      </w:r>
      <w:r>
        <w:rPr>
          <w:rFonts w:ascii="Times New Roman" w:hAnsi="Times New Roman"/>
        </w:rPr>
        <w:t xml:space="preserve">  </w:t>
      </w:r>
    </w:p>
  </w:footnote>
  <w:footnote w:id="3">
    <w:p w14:paraId="06F30C1A" w14:textId="77777777" w:rsidR="0053598F" w:rsidRPr="000345FA" w:rsidRDefault="0053598F" w:rsidP="006A67ED">
      <w:pPr>
        <w:pStyle w:val="FootnoteText"/>
        <w:spacing w:after="0" w:line="240" w:lineRule="auto"/>
        <w:jc w:val="both"/>
      </w:pPr>
      <w:r>
        <w:rPr>
          <w:rStyle w:val="FootnoteReference"/>
        </w:rPr>
        <w:footnoteRef/>
      </w:r>
      <w:r>
        <w:rPr>
          <w:rFonts w:ascii="Times New Roman" w:hAnsi="Times New Roman"/>
        </w:rPr>
        <w:t xml:space="preserve"> Der henvises til punkt (225) og (226) i retningslinjerne, der beskriver forløbet med indgivelse af rapporten i år N og Kommissionen tiltag inden den 31. marts i år N+1.</w:t>
      </w:r>
    </w:p>
  </w:footnote>
  <w:footnote w:id="4">
    <w:p w14:paraId="3523E437" w14:textId="77777777" w:rsidR="0053598F" w:rsidRPr="001A2686" w:rsidRDefault="0053598F" w:rsidP="006A67ED">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Meddelelse fra Kommissionen til Europa-Parlamentet og Rådet:</w:t>
      </w:r>
      <w:r>
        <w:rPr>
          <w:rFonts w:ascii="Times New Roman" w:hAnsi="Times New Roman"/>
        </w:rPr>
        <w:t xml:space="preserve"> </w:t>
      </w:r>
      <w:r>
        <w:rPr>
          <w:rFonts w:ascii="Times New Roman" w:hAnsi="Times New Roman"/>
        </w:rPr>
        <w:t xml:space="preserve">Retningslinjer for analyse af ligevægten mellem fiskekapacitet og fiskerimuligheder i henhold til artikel 22 i Europa-Parlamentets og Rådets forordning (EU) nr. 1380/2013 om den fælles fiskeripolitik (COM(2014) 545 final).</w:t>
      </w:r>
      <w:r>
        <w:rPr>
          <w:rFonts w:ascii="Times New Roman" w:hAnsi="Times New Roman"/>
        </w:rPr>
        <w:t xml:space="preserve">  </w:t>
      </w:r>
    </w:p>
  </w:footnote>
  <w:footnote w:id="5">
    <w:p w14:paraId="58C82DE4" w14:textId="77777777" w:rsidR="0048102E" w:rsidRPr="009A6F32" w:rsidRDefault="0048102E" w:rsidP="006A67ED">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 xml:space="preserve">Kommissionens gennemførelsesforordning (EU) 2022/46 af 13. januar 2022 om gennemførelse af Europa-Parlamentets og Rådets forordning (EU) 2021/1139 om oprettelse af Den Europæiske Hav-, Fiskeri- og Akvakulturfond og om ændring af forordning (EU) 2017/1004 for så vidt angår identifikation af energieffektive teknologier og præcisering af metodologiske elementer til bestemmelse af fiskerfartøjers normale fiskeriindsats (EUT L 9 af 14.1.2022, s.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defaultTabStop w:val="720"/>
  <w:characterSpacingControl w:val="doNotCompress"/>
  <w:hdrShapeDefaults>
    <o:shapedefaults v:ext="edit" spidmax="286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36BC"/>
    <w:rsid w:val="0012764E"/>
    <w:rsid w:val="00136501"/>
    <w:rsid w:val="001A718E"/>
    <w:rsid w:val="001E09E4"/>
    <w:rsid w:val="001F0558"/>
    <w:rsid w:val="00236AD9"/>
    <w:rsid w:val="00252DEE"/>
    <w:rsid w:val="00293FA0"/>
    <w:rsid w:val="003649C9"/>
    <w:rsid w:val="00385658"/>
    <w:rsid w:val="003E0993"/>
    <w:rsid w:val="004506B7"/>
    <w:rsid w:val="00453ADA"/>
    <w:rsid w:val="0046170F"/>
    <w:rsid w:val="004629F3"/>
    <w:rsid w:val="004668F6"/>
    <w:rsid w:val="0048102E"/>
    <w:rsid w:val="004A1EA0"/>
    <w:rsid w:val="004B20D4"/>
    <w:rsid w:val="004E4D44"/>
    <w:rsid w:val="0050429C"/>
    <w:rsid w:val="0053598F"/>
    <w:rsid w:val="005615D7"/>
    <w:rsid w:val="005B1262"/>
    <w:rsid w:val="005E58E1"/>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6E74"/>
    <w:rsid w:val="008131D2"/>
    <w:rsid w:val="00865AD5"/>
    <w:rsid w:val="008D41A8"/>
    <w:rsid w:val="00924346"/>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300A7"/>
    <w:rsid w:val="00C64658"/>
    <w:rsid w:val="00CA7417"/>
    <w:rsid w:val="00CB185C"/>
    <w:rsid w:val="00CB2D84"/>
    <w:rsid w:val="00CC04F4"/>
    <w:rsid w:val="00CE214E"/>
    <w:rsid w:val="00D01037"/>
    <w:rsid w:val="00D204B7"/>
    <w:rsid w:val="00D54834"/>
    <w:rsid w:val="00D7395D"/>
    <w:rsid w:val="00DB31EF"/>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a-D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lang w:val="da-DK"/>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da-DK"/>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da-DK"/>
    </w:rPr>
  </w:style>
  <w:style w:type="paragraph" w:styleId="Revision">
    <w:name w:val="Revision"/>
    <w:hidden/>
    <w:uiPriority w:val="99"/>
    <w:semiHidden/>
    <w:rsid w:val="00136501"/>
    <w:rPr>
      <w:sz w:val="22"/>
      <w:szCs w:val="22"/>
      <w:lang w:val="da-DK"/>
    </w:rPr>
  </w:style>
  <w:style w:type="paragraph" w:customStyle="1" w:styleId="Default">
    <w:name w:val="Default"/>
    <w:rsid w:val="0053598F"/>
    <w:pPr>
      <w:autoSpaceDE w:val="0"/>
      <w:autoSpaceDN w:val="0"/>
      <w:adjustRightInd w:val="0"/>
    </w:pPr>
    <w:rPr>
      <w:rFonts w:ascii="Times New Roman" w:hAnsi="Times New Roman"/>
      <w:color w:val="000000"/>
      <w:sz w:val="24"/>
      <w:szCs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1565</Words>
  <Characters>8346</Characters>
  <Application>Microsoft Office Word</Application>
  <DocSecurity>0</DocSecurity>
  <Lines>225</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LAJAUSKAITE Gintare (COMP)</cp:lastModifiedBy>
  <cp:revision>5</cp:revision>
  <dcterms:created xsi:type="dcterms:W3CDTF">2024-09-05T15:20:00Z</dcterms:created>
  <dcterms:modified xsi:type="dcterms:W3CDTF">2024-09-10T10:09:00Z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