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Συμπληρωματικό δελτίο πληροφοριών σχετικά με</w:t>
      </w:r>
      <w:r>
        <w:rPr>
          <w:rFonts w:ascii="Times New Roman" w:hAnsi="Times New Roman"/>
          <w:b/>
          <w:smallCaps/>
          <w:sz w:val="24"/>
        </w:rPr>
        <w:br/>
        <w:t>Ενισχύσεις για αντικατάσταση ή εκσυγχρονισμό κύριου ή βοηθητικού κινητήρα</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οποιασδήποτε ενίσχυσης για αντικατάσταση ή εκσυγχρονισμό κύριου ή βοηθητικού κινητήρα αλιευτικών σκαφών, όπως περιγράφεται στο μέρος ΙΙ κεφάλαιο 3 τμήμα 3.2 των κατευθυντήριων γραμμών για τις κρατικές ενισχύσεις στον τομέα της αλιείας και της υδατοκαλλιέργειας</w:t>
      </w:r>
      <w:r w:rsidR="00F877C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Παρακαλούμε επιβεβαιώστε ότι το μέτρο προβλέπει ότι τα </w:t>
      </w:r>
      <w:proofErr w:type="spellStart"/>
      <w:r>
        <w:rPr>
          <w:rFonts w:ascii="Times New Roman" w:hAnsi="Times New Roman"/>
          <w:sz w:val="24"/>
        </w:rPr>
        <w:t>ενωσιακά</w:t>
      </w:r>
      <w:proofErr w:type="spellEnd"/>
      <w:r>
        <w:rPr>
          <w:rFonts w:ascii="Times New Roman" w:hAnsi="Times New Roman"/>
          <w:sz w:val="24"/>
        </w:rPr>
        <w:t xml:space="preserve"> αλιευτικά σκάφη για τα οποία χορηγείται ενίσχυση δεν θα μεταβιβαστούν ούτε θα </w:t>
      </w:r>
      <w:proofErr w:type="spellStart"/>
      <w:r>
        <w:rPr>
          <w:rFonts w:ascii="Times New Roman" w:hAnsi="Times New Roman"/>
          <w:sz w:val="24"/>
        </w:rPr>
        <w:t>μετανηολογηθούν</w:t>
      </w:r>
      <w:proofErr w:type="spellEnd"/>
      <w:r>
        <w:rPr>
          <w:rFonts w:ascii="Times New Roman" w:hAnsi="Times New Roman"/>
          <w:sz w:val="24"/>
        </w:rPr>
        <w:t xml:space="preserve"> εκτός της Ένωσης για τουλάχιστον πέντε έτη από την τελική καταβολή της ενίσχυσης.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οι ενισχύσεις θα χορηγούνται μόνο για την αντικατάσταση ή τον εκσυγχρονισμό κύριου ή βοηθητικού κινητήρα αλιευτικού σκάφους συνολικού μήκους έως 24 μέτρα.</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Σύμφωνα με το σημείο 253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w:t>
      </w:r>
      <w:r w:rsidR="0053598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έχει δείξει ότι υπάρχει ισορροπία με τις αλιευτικές δυνατότητες που είναι διαθέσιμες για το εν λόγω τμήμα </w:t>
      </w:r>
      <w:bookmarkStart w:id="1" w:name="_Hlk127291610"/>
      <w:r>
        <w:rPr>
          <w:rFonts w:ascii="Times New Roman" w:hAnsi="Times New Roman"/>
          <w:sz w:val="24"/>
        </w:rPr>
        <w:t>(στο εξής, «εθνική έκθεση»)</w:t>
      </w:r>
      <w:bookmarkEnd w:id="1"/>
      <w:r>
        <w:rPr>
          <w:rFonts w:ascii="Times New Roman" w:hAnsi="Times New Roman"/>
          <w:sz w:val="24"/>
        </w:rPr>
        <w:t>.</w:t>
      </w:r>
      <w:bookmarkEnd w:id="0"/>
      <w:r>
        <w:rPr>
          <w:rFonts w:ascii="Times New Roman" w:hAnsi="Times New Roman"/>
          <w:sz w:val="24"/>
        </w:rPr>
        <w:t xml:space="preserve"> </w:t>
      </w:r>
      <w:r>
        <w:rPr>
          <w:rFonts w:ascii="Times New Roman" w:hAnsi="Times New Roman"/>
        </w:rPr>
        <w:t xml:space="preserve">Σύμφωνα με το σημείο </w:t>
      </w:r>
      <w:r>
        <w:rPr>
          <w:rFonts w:ascii="Times New Roman" w:hAnsi="Times New Roman"/>
        </w:rPr>
        <w:lastRenderedPageBreak/>
        <w:t>254 των κατευθυντήριων γραμμών, για τους σκοπούς του σημείου 253 στοιχείο α) εφαρμόζονται η διαδικασία και οι όροι που καθορίζονται στο μέρος ΙΙ κεφάλαιο 2 τμήμα 2.2 σημεία 225 έως 227.</w:t>
      </w:r>
      <w:r>
        <w:rPr>
          <w:rFonts w:ascii="Times New Roman" w:hAnsi="Times New Roman"/>
          <w:color w:val="000000"/>
          <w:sz w:val="23"/>
        </w:rPr>
        <w:t xml:space="preserve"> </w:t>
      </w:r>
      <w:r>
        <w:rPr>
          <w:rFonts w:ascii="Times New Roman" w:hAnsi="Times New Roman"/>
          <w:sz w:val="24"/>
        </w:rPr>
        <w:t>Στο πλαίσιο αυτό, παρακαλείσθε να αναφέρετε τα ακόλουθα:</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Πότε καταρτίστηκε η τελευταία εθνική έκθεση πριν από την ημερομηνία χορήγησης της ενίσχυσης;</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Συμπληρώστε τον σύνδεσμο προς την τελευταία εθνική έκθεση ή επισυνάψτε την στην κοινοποίηση.</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πληρούνται οι ακόλουθοι όροι για τη χορήγηση όλων των ενισχύσεων:</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Υποβλήθηκε η εθνική έκθεση έως την 31η Μαΐου του έτους Ν</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Παρακαλούμε 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που αναφέρονται στο άρθρο 22 παράγραφος 2 του κανονισμού (ΕΕ) αριθ.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Η εθνική έκθεση που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ανήκει το σκάφος;</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Εξηγήστε πώς ελήφθη υπόψη η εθνική έκθεση κατά τον σχεδιασμό του μέτρου και πώς επιτυγχάνεται η ισορροπία.</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796FAD5C"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Επιβεβαιώστε ότι η Επιτροπή δεν έχει θέσει υπό αμφισβήτηση έως την 31η Μαρτίου του έτους Ν</w:t>
      </w:r>
      <w:r w:rsidR="0083149D">
        <w:rPr>
          <w:rFonts w:ascii="Times New Roman" w:hAnsi="Times New Roman"/>
          <w:sz w:val="24"/>
          <w:lang w:val="en-US"/>
        </w:rPr>
        <w:t> </w:t>
      </w:r>
      <w:r>
        <w:rPr>
          <w:rFonts w:ascii="Times New Roman" w:hAnsi="Times New Roman"/>
          <w:sz w:val="24"/>
        </w:rPr>
        <w:t>+ 1:</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3149D">
        <w:rPr>
          <w:rFonts w:ascii="Times New Roman" w:eastAsia="Times New Roman" w:hAnsi="Times New Roman"/>
          <w:sz w:val="24"/>
        </w:rPr>
      </w:r>
      <w:r w:rsidR="0083149D">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α) την ολοκλήρωση της εθνικής έκθεσης που υποβλήθηκε το έτος Ν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3149D">
        <w:rPr>
          <w:rFonts w:ascii="Times New Roman" w:eastAsia="Times New Roman" w:hAnsi="Times New Roman"/>
          <w:sz w:val="24"/>
        </w:rPr>
      </w:r>
      <w:r w:rsidR="0083149D">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β) την αξιολόγηση της ισορροπίας που περιέχεται στην εθνική έκθεση που υποβλήθηκε το έτος Ν</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4CC73E51"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ενίσχυση μπορεί να χορηγηθεί βάσει της εθνικής έκθεσης που υποβλήθηκε το έτος Ν μόνο έως την 31η Δεκεμβρίου του έτους N</w:t>
      </w:r>
      <w:r w:rsidR="0083149D">
        <w:rPr>
          <w:rFonts w:ascii="Times New Roman" w:hAnsi="Times New Roman"/>
          <w:sz w:val="24"/>
          <w:lang w:val="en-US"/>
        </w:rPr>
        <w:t> </w:t>
      </w:r>
      <w:r>
        <w:rPr>
          <w:rFonts w:ascii="Times New Roman" w:hAnsi="Times New Roman"/>
          <w:sz w:val="24"/>
        </w:rPr>
        <w:t xml:space="preserve">+ 1, δηλαδή το έτος που έπεται του έτους υποβολής της έκθεσης.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Εάν το μέτρο αφορά την αλιεία εσωτερικών υδάτων, δεν χρειάζεται να δοθεί απάντηση στις ερωτήσεις 3.1-3.2.6.1.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Επιβεβαιώστε ότι το μέτρο προβλέπει ότι τα αλιευτικά σκάφη πρέπει να είναι νηολογημένα στο μητρώο αλιευτικού στόλου της Ένωσης για τουλάχιστον πέντε ημερολογιακά έτη πριν από το έτος υποβολής της αίτησης ενίσχυσης.</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πέντε ημερολογιακά έτη κατ’ ανώτατο όριο πριν από το έτος υποβολής της αίτησης ενίσχυσης.</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στην ερώτηση 4 ή στην ερώτηση 4.1 είναι «ναι», προσδιορίστε την ή τις σχετικές διατάξεις της νομικής βάσης.</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2D3747F9"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 xml:space="preserve">Για σκάφη παράκτιας αλιείας μικρής κλίμακας και σκάφη που χρησιμοποιούνται για την αλιεία εσωτερικών υδάτων, επιβεβαιώστε ότι το μέτρο προβλέπει ότι ο νέος ή εκσυγχρονισμένος κινητήρας δεν έχει μεγαλύτερη ισχύ σε </w:t>
      </w:r>
      <w:proofErr w:type="spellStart"/>
      <w:r>
        <w:rPr>
          <w:rFonts w:ascii="Times New Roman" w:hAnsi="Times New Roman"/>
          <w:sz w:val="24"/>
        </w:rPr>
        <w:t>kW</w:t>
      </w:r>
      <w:proofErr w:type="spellEnd"/>
      <w:r>
        <w:rPr>
          <w:rFonts w:ascii="Times New Roman" w:hAnsi="Times New Roman"/>
          <w:sz w:val="24"/>
        </w:rPr>
        <w:t xml:space="preserve"> από τον υπάρχοντα κινητήρα.</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Εάν η απάντηση είναι «ναι», προσδιορίστε την ή τις σχετικές διατάξεις της νομικής βάσης.</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t xml:space="preserve">Για άλλα σκάφη συνολικού μήκους έως 24 μέτρα, επιβεβαιώστε ότι το μέτρο προβλέπει ότι ο νέος ή εκσυγχρονισμένος κινητήρας δεν έχει μεγαλύτερη ισχύ σε </w:t>
      </w:r>
      <w:proofErr w:type="spellStart"/>
      <w:r>
        <w:rPr>
          <w:rFonts w:ascii="Times New Roman" w:hAnsi="Times New Roman"/>
          <w:sz w:val="24"/>
        </w:rPr>
        <w:t>kW</w:t>
      </w:r>
      <w:proofErr w:type="spellEnd"/>
      <w:r>
        <w:rPr>
          <w:rFonts w:ascii="Times New Roman" w:hAnsi="Times New Roman"/>
          <w:sz w:val="24"/>
        </w:rPr>
        <w:t xml:space="preserve"> από τον υπάρχοντα κινητήρα και εκπέμπει τουλάχιστον 20 % λιγότερο CO₂ σε σύγκριση με τον υπάρχοντα κινητήρα.</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αλιευτική ικανότητα που αποσύρεται λόγω της αντικατάστασης ή του εκσυγχρονισμού κύριου ή βοηθητικού κινητήρα δεν πρέπει να αναπληρώνεται.</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τους μηχανισμούς ελέγχου και επιβολής που εφαρμόζονται για τη διασφάλιση της εκπλήρωσης των όρων που προβλέπονται στο μέρος II κεφάλαιο 3 τμήμα 3.2 των κατευθυντήριων γραμμών.</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όλοι οι κινητήρες που αντικαθίστανται ή εκσυγχρονίζονται πρέπει να υπόκεινται σε φυσικό έλεγχο.</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Παρακαλούμε να επιβεβαιώσετε τον τρόπο με τον οποίο θα επιτευχθεί, στο πλαίσιο του μέτρου, η μείωση των εκπομπών CO₂ που αναφέρεται στην ερώτηση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t>:</w:t>
      </w:r>
      <w:r>
        <w:rPr>
          <w:rFonts w:ascii="Times New Roman" w:hAnsi="Times New Roman"/>
          <w:sz w:val="24"/>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α)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και αποδεικνύουν ότι ο νέος κινητήρας εκπέμπει 20 % λιγότερο CO₂ σε σχέση με τον κινητήρα που αντικαθίσταται</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β)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και αποδεικνύουν ότι ο νέος κινητήρας χρησιμοποιεί 20 % λιγότερο καύσιμο σε σχέση με τον κινητήρα που αντικαθίσταται</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Περιγράψτε λεπτομερώς την επιλογή σας. </w:t>
      </w:r>
    </w:p>
    <w:p w14:paraId="5AAF16DC" w14:textId="43A993BD" w:rsidR="0048102E" w:rsidRDefault="0048102E" w:rsidP="0048102E">
      <w:pPr>
        <w:ind w:left="360"/>
        <w:rPr>
          <w:rFonts w:ascii="Times New Roman" w:eastAsia="Times New Roman" w:hAnsi="Times New Roman"/>
          <w:sz w:val="24"/>
          <w:szCs w:val="24"/>
        </w:rPr>
      </w:pPr>
      <w:r>
        <w:rPr>
          <w:rFonts w:ascii="Times New Roman" w:hAnsi="Times New Roman"/>
          <w:sz w:val="24"/>
        </w:rPr>
        <w:t>……………………………………………………………………………………………</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Προσδιορίστε την ή τις διατάξεις της νομικής βάσης που αντιστοιχούν στο τετραγωνίδιο που επιλέξατε ως απάντηση στην ερώτηση</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83149D">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Εφόσον με βάση σχετικές πληροφορίες που πιστοποιούνται από τον κατασκευαστή των συγκεκριμένων κινητήρων στο πλαίσιο έγκρισης τύπου ή πιστοποιητικού προϊόντος για έναν ή αμφότερους τους κινητήρες δεν καθίσταται δυνατή η σύγκριση όσον αφορά την εκπομπή CO₂ ή την κατανάλωση καυσίμου, επιβεβαιώστε τον τρόπο με τον οποίο θα θεωρηθεί ότι επιτυγχάνεται η αναφερόμενη στην ερώτηση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sidR="00293FA0">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μείωση των εκπομπών CO₂ στο πλαίσιο του μέτρου: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α) ο νέος κινητήρας χρησιμοποιεί </w:t>
      </w:r>
      <w:proofErr w:type="spellStart"/>
      <w:r>
        <w:rPr>
          <w:rFonts w:ascii="Times New Roman" w:hAnsi="Times New Roman"/>
          <w:sz w:val="24"/>
        </w:rPr>
        <w:t>ενεργειακώς</w:t>
      </w:r>
      <w:proofErr w:type="spellEnd"/>
      <w:r>
        <w:rPr>
          <w:rFonts w:ascii="Times New Roman" w:hAnsi="Times New Roman"/>
          <w:sz w:val="24"/>
        </w:rPr>
        <w:t xml:space="preserve"> αποδοτικές τεχνολογίες και ο κινητήρας που αντικαθίσταται είναι τουλάχιστον κατά επτά έτη παλαιότερος σε σχέση με τον νέο κινητήρα·</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β) ο νέος κινητήρας χρησιμοποιεί τύπο καυσίμου ή σύστημα πρόωσης που θεωρείται ότι εκπέμπει λιγότερο CO₂ σε σχέση με τον κινητήρα που αντικαθίσταται· </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γ) ο νέος κινητήρας εκπέμπει, σύμφωνα με τις μετρήσεις του οικείου κράτους μέλους, 20 % λιγότερο CO₂ ή χρησιμοποιεί 20 % λιγότερα καύσιμα σε σχέση με τον κινητήρα που αντικαθίσταται με βάση τη συνήθη αλιευτική προσπάθεια του σχετικού σκάφους.</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Προσδιορίστε την ή τις διατάξεις της νομικής βάσης που αντικατοπτρίζουν την επιλογή σας.</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Σύμφωνα με το σημείο 260 των κατευθυντήριων γραμμών, επιβεβαιώστε ότι εφαρμόζετε τον εκτελεστικό κανονισμό (ΕΕ) 2022/46</w:t>
      </w:r>
      <w:r w:rsidR="0048102E" w:rsidRPr="00CA7417">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για τον προσδιορισμό των ενεργειακά αποδοτικών τεχνολογιών που αναφέρονται στο σημείο 259 στοιχείο α) των κατευθυντήριων γραμμών και για τον περαιτέρω προσδιορισμό των μεθοδολογικών στοιχείων για την εφαρμογή του σημείου 259 στοιχείο γ).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Περιγράψτε τον τρόπο με τον οποίο το μέτρο εφαρμόζει τις εν λόγω απαιτήσεις.</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0F383CEC"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οι επιλέξιμες δαπάνες περιλαμβάνουν μόνο τις άμεσες και έμμεσες δαπάνες που σχετίζονται με την αντικατάσταση ή τον εκσυγχρονισμό κύριου ή βοηθητικού κινητήρα.</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Περιγράψτε λεπτομερώς τις δαπάνες που είναι επιλέξιμες στο πλαίσιο του μέτρου.</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58AD1D2E"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μέγιστη ένταση ενίσχυσης δεν υπερβαίνει το 40 % των επιλέξιμων δαπανών.</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3149D">
        <w:rPr>
          <w:rFonts w:ascii="Times New Roman" w:eastAsia="Times New Roman" w:hAnsi="Times New Roman"/>
          <w:b/>
          <w:sz w:val="24"/>
        </w:rPr>
      </w:r>
      <w:r w:rsidR="0083149D">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Προσδιορίστε την ή τις διατάξεις της νομικής βάσης που καθορίζουν την ή τις μέγιστες εντάσεις ενίσχυσης βάσει του μέτρου.</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μέτρου βάσει του παρόντος τμήματος των κατευθυντήριων γραμμών.</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ΕΕ C 107 της 23.3.2023, σ. 1</w:t>
      </w:r>
      <w:r>
        <w:t>.</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 1224/2009 και την κατάργηση των κανονισμών του Συμβουλίου (ΕΚ) αριθ. 2371/2002 και (ΕΚ) αριθ. 639/2004 και της απόφασης 2004/585/ΕΚ του Συμβουλίου (ΕΕ L 354 της 28.12.2013, σ. 22).  </w:t>
      </w:r>
    </w:p>
  </w:footnote>
  <w:footnote w:id="3">
    <w:p w14:paraId="06F30C1A" w14:textId="6ADBF60D"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w:t>
      </w:r>
      <w:r w:rsidR="0083149D">
        <w:rPr>
          <w:rFonts w:ascii="Times New Roman" w:hAnsi="Times New Roman"/>
          <w:lang w:val="en-US"/>
        </w:rPr>
        <w:t> </w:t>
      </w:r>
      <w:r>
        <w:rPr>
          <w:rFonts w:ascii="Times New Roman" w:hAnsi="Times New Roman"/>
        </w:rPr>
        <w:t>+ 1.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w:t>
      </w:r>
      <w:proofErr w:type="spellStart"/>
      <w:r>
        <w:rPr>
          <w:rFonts w:ascii="Times New Roman" w:hAnsi="Times New Roman"/>
        </w:rPr>
        <w:t>final</w:t>
      </w:r>
      <w:proofErr w:type="spellEnd"/>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Εκτελεστικός κανονισμός (ΕΕ) 2022/46 της Επιτροπής, της 13ης Ιανουαρίου 2022, σχετικά με την εφαρμογή του κανονισμού (ΕΕ) 2021/1139 του Ευρωπαϊκού Κοινοβουλίου και του Συμβουλίου για τη σύσταση του Ευρωπαϊκού Ταμείου Θάλασσας, Αλιείας και Υδατοκαλλιέργειας και την τροποποίηση του κανονισμού (ΕΕ) 2017/1004 όσον αφορά τον προσδιορισμό ενεργειακά αποδοτικών τεχνολογιών και τον προσδιορισμό μεθοδολογικών στοιχείων για τον καθορισμό της συνήθους αλιευτικής προσπάθειας των αλιευτικών σκαφών (ΕΕ L 9 της 14.1.2022, σ.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3149D"/>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1564</Words>
  <Characters>9246</Characters>
  <Application>Microsoft Office Word</Application>
  <DocSecurity>0</DocSecurity>
  <Lines>256</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NOTTAS Athanasios (DGT)</cp:lastModifiedBy>
  <cp:revision>6</cp:revision>
  <dcterms:created xsi:type="dcterms:W3CDTF">2024-09-05T15:20:00Z</dcterms:created>
  <dcterms:modified xsi:type="dcterms:W3CDTF">2024-10-10T18:40:00Z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