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2.2.</w:t>
      </w:r>
    </w:p>
    <w:p w14:paraId="7788A656" w14:textId="61D07F8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Ficha de informações complementares sobre os</w:t>
      </w:r>
      <w:r>
        <w:rPr>
          <w:rFonts w:ascii="Times New Roman" w:hAnsi="Times New Roman"/>
          <w:b/>
          <w:smallCaps/>
          <w:sz w:val="24"/>
        </w:rPr>
        <w:br/>
        <w:t>auxílios à renovação das frotas de pesca nas regiões ultraperiféricas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1E103F" w:rsidRDefault="000D36C1" w:rsidP="00A52AE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O presente formulário deve ser utilizado pelos Estados-Membros para a notificação dos auxílios à renovação das frotas de pesca nas regiões ultraperiféricas, tal como descrito na parte II, capítulo 2, secção 2.2, das Orientações relativas aos auxílios estatais no setor das pescas e da aquicultura</w:t>
      </w:r>
      <w:r w:rsidR="00504ACF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(«Orientações»).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Default="00A52AE4" w:rsidP="002256A7">
      <w:pPr>
        <w:pStyle w:val="Default"/>
        <w:rPr>
          <w:rFonts w:eastAsia="Times New Roman"/>
        </w:rPr>
      </w:pPr>
      <w:r>
        <w:t xml:space="preserve">Queira identificar a(s) região(ões) ultraperiférica(s) </w:t>
      </w:r>
      <w:r>
        <w:rPr>
          <w:sz w:val="23"/>
        </w:rPr>
        <w:t>referida(s) no artigo 349.º do TFUE</w:t>
      </w:r>
      <w:r>
        <w:t xml:space="preserve"> abrangida(s) pela medida.</w:t>
      </w:r>
    </w:p>
    <w:p w14:paraId="28E14E59" w14:textId="2BBB07BE" w:rsidR="00A52AE4" w:rsidRPr="001E103F" w:rsidRDefault="00A52AE4" w:rsidP="000D36C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F40601" w14:textId="3331453D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a medida estabelece que novos navios de pesca adquiridos com auxílios devem estar em conformidade com as regras nacionais e da União relacionadas com higiene, saúde, segurança e condições de trabalho a bordo dos navios de pesca e as características dos navios de pesca.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Em caso de resposta afirmativa, queira indicar a(s) disposição(ões) relevante(s) na base jurídica.</w:t>
      </w:r>
    </w:p>
    <w:p w14:paraId="4A362DF2" w14:textId="758D29D9" w:rsidR="00E934EF" w:rsidRDefault="00E934EF" w:rsidP="006177B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EE346D6" w14:textId="6D3E1C2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a medida estabelece que, à data de apresentação do pedido de auxílio, o principal local de registo da empresa beneficiária deve estar situado na região ultraperiférica onde o novo navio será registado.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Em caso de resposta afirmativa, queira especificar o principal local de registo:</w:t>
      </w:r>
    </w:p>
    <w:p w14:paraId="1B2867AB" w14:textId="2CC93EA0" w:rsidR="00E934EF" w:rsidRDefault="00E934EF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8B2607B" w14:textId="13CF4D74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Em conformidade com o ponto 233 das Orientações, à data de concessão do auxílio, o relatório elaborado em conformidade com o artigo 22.º, </w:t>
      </w:r>
      <w:proofErr w:type="gramStart"/>
      <w:r>
        <w:rPr>
          <w:rFonts w:ascii="Times New Roman" w:hAnsi="Times New Roman"/>
          <w:sz w:val="24"/>
        </w:rPr>
        <w:t>n.</w:t>
      </w:r>
      <w:r>
        <w:rPr>
          <w:rFonts w:ascii="Times New Roman" w:hAnsi="Times New Roman"/>
          <w:sz w:val="24"/>
          <w:vertAlign w:val="superscript"/>
        </w:rPr>
        <w:t>os</w:t>
      </w:r>
      <w:proofErr w:type="gramEnd"/>
      <w:r>
        <w:rPr>
          <w:rFonts w:ascii="Times New Roman" w:hAnsi="Times New Roman"/>
          <w:sz w:val="24"/>
        </w:rPr>
        <w:t> 2 e 3, do Regulamento (UE)</w:t>
      </w:r>
      <w:r w:rsidR="00846142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n.º 1380/2013</w:t>
      </w:r>
      <w:r w:rsidR="00376F0F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 antes dessa data deve demonstrar que existe um equilíbrio entre a capacidade de pesca e as possibilidades de pesca no segmento da frota da região ultraperiférica a que pertencerá o novo navio («relatório nacional»). Neste contexto, queira responder às seguintes perguntas: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Quando foi elaborado o último relatório nacional antes da data de concessão do auxílio?</w:t>
      </w:r>
    </w:p>
    <w:p w14:paraId="64815BBF" w14:textId="6B6D4444" w:rsidR="00E51CD7" w:rsidRDefault="00A52AE4" w:rsidP="00845C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9253679"/>
      <w:r>
        <w:rPr>
          <w:rFonts w:ascii="Times New Roman" w:hAnsi="Times New Roman"/>
          <w:sz w:val="24"/>
        </w:rPr>
        <w:t>Queira fornecer a ligação para o último relatório nacional ou anexá-lo à notificação.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323FDD87" w:rsidR="009A3E77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sz w:val="24"/>
        </w:rPr>
        <w:t>Em conformidade com o ponto 225 das Orientações, queira confirmar que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z w:val="23"/>
        </w:rPr>
        <w:t xml:space="preserve">estão preenchidas as seguintes condições para a concessão dos auxílios: </w:t>
      </w:r>
    </w:p>
    <w:p w14:paraId="7C1350B0" w14:textId="77777777" w:rsidR="009A3E77" w:rsidRPr="00846142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</w:rPr>
      </w:pPr>
    </w:p>
    <w:p w14:paraId="46A0EA18" w14:textId="77114013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Foi o relatório nacional apresentado até 31 de maio do ano N</w:t>
      </w:r>
      <w:r w:rsidR="000345FA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78737914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o relatório nacional apresentado no ano N, especialmente a avaliação do equilíbrio nele apresentada, foi elaborado com base nos indicadores biológicos, económicos e de utilização dos navios definidos nas orientações comuns</w:t>
      </w:r>
      <w:r w:rsidR="001A2686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 xml:space="preserve"> a que se refere o artigo 22.º, n.º 2, do Regulamento (UE)</w:t>
      </w:r>
      <w:r w:rsidR="00846142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n.º 1380/2013.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F6D238D" w14:textId="79435BA7" w:rsidR="00C14894" w:rsidRPr="005C3488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</w:rPr>
        <w:t>Queira ter em conta que, em conformidade com o ponto 224 das Orientações, não pode ser concedido qualquer auxílio se o relatório nacional e, em especial, a avaliação do equilíbrio nele apresentada, não tiver sido elaborado com base nos indicadores biológicos, económicos e de utilização dos navios definidos nas orientações comuns a que se refere o artigo 22.º, n.º 2, do Regulamento (UE) n.º 1380/2013.</w:t>
      </w:r>
      <w:r>
        <w:rPr>
          <w:i/>
          <w:sz w:val="23"/>
        </w:rPr>
        <w:t xml:space="preserve">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O relatório nacional apresentado no ano N demonstra que existe um equilíbrio entre a capacidade de pesca e as possibilidades de pesca no segmento da frota a que o novo navio pertence?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explicar de que forma o relatório nacional foi tido em conta na conceção da medida e como é alcançado o equilíbrio.</w:t>
      </w:r>
    </w:p>
    <w:p w14:paraId="7BEBB8FB" w14:textId="222F2DAD" w:rsidR="009C1330" w:rsidRDefault="009C1330" w:rsidP="00C8226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C76C63" w14:textId="54C769D4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Em conformidade com o ponto 226 das Orientações, queira confirmar que a Comissão não pôs em causa, até 31 de março do ano N+1: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sz w:val="24"/>
        </w:rPr>
      </w:r>
      <w:r w:rsidR="00846142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a) A conclusão do relatório nacional apresentado no ano N; 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56734A6C" w:rsidR="00920E82" w:rsidRPr="005615D7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sz w:val="24"/>
        </w:rPr>
      </w:r>
      <w:r w:rsidR="00846142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b) A avaliação do equilíbrio constante do relatório nacional apresentado no ano</w:t>
      </w:r>
      <w:r w:rsidR="00846142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N.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Queira confirmar que a medida estabelece que o auxílio só pode ser concedido com base no relatório nacional apresentado no ano N até 31 de dezembro do ano N+1, ou seja, no ano seguinte ao ano de apresentação do relatório. 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3586469F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Em caso de resposta afirmativa, queira indicar a(s) disposição(ões) relevante(s) na base jurídica.</w:t>
      </w:r>
    </w:p>
    <w:p w14:paraId="590473FA" w14:textId="0C49617E" w:rsidR="003F1D62" w:rsidRDefault="00E51CD7" w:rsidP="007056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57943DC" w14:textId="6AE08E8E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os limites máximos da capacidade de pesca de cada Estado-Membro e de cada segmento da frota das regiões ultraperiféricas fixados no anexo II do Regulamento (UE) n.º 1380/2013, tendo em conta qualquer eventual redução desses limites máximos por força do artigo 22.º, n.º 6 do referido regulamento, não serão excedidos em momento algum.</w:t>
      </w:r>
      <w:r>
        <w:rPr>
          <w:rFonts w:ascii="Times New Roman" w:hAnsi="Times New Roman"/>
          <w:sz w:val="24"/>
        </w:rPr>
        <w:tab/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Queira explicar como será garantido o cumprimento desta condição. </w:t>
      </w:r>
    </w:p>
    <w:p w14:paraId="09B04D1A" w14:textId="77777777" w:rsidR="003F1D62" w:rsidRDefault="003F1D62" w:rsidP="003F1D6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1C1842" w14:textId="77777777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Queira ter em conta que a entrada na frota de nova capacidade adquirida com auxílios deve ser realizada no pleno respeito desses limites máximos de capacidade e não pode conduzir a uma situação em que os mesmos sejam ultrapassados.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a medida estabelece que o auxílio não pode ser condicionado à aquisição do novo navio num determinado estaleiro.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5.1. Em caso de resposta afirmativa, queira indicar a(s) disposição(ões) relevante(s) na base jurídica.</w:t>
      </w:r>
    </w:p>
    <w:p w14:paraId="7AF3615F" w14:textId="406B2F67" w:rsidR="005C06D1" w:rsidRDefault="003F1D62" w:rsidP="00181BD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5648B70" w14:textId="77777777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fornecer uma descrição pormenorizada dos custos elegíveis ao abrigo da medida.</w:t>
      </w:r>
    </w:p>
    <w:p w14:paraId="386BAB56" w14:textId="75133C02" w:rsidR="003F1D62" w:rsidRDefault="003F1D62" w:rsidP="00E9142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DE3A15" w14:textId="7262318A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a medida estabelece que a intensidade máxima do auxílio para os navios não pode exceder: 60 % do montante total dos custos elegíveis para os navios com um comprimento de fora a fora inferior a 12 metros;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4C2499E1" w:rsidR="00CD7D8E" w:rsidRPr="00CD7D8E" w:rsidRDefault="00CD7D8E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5972CB5E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50 % do montante total dos custos elegíveis para os navios com um comprimento de fora a fora igual ou superior a 12 metros, mas inferior a 24 metros;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963CAF8" w14:textId="65029FBC" w:rsidR="00A91C65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25 % do montante total dos custos elegíveis para os navios com um comprimento de fora a fora igual ou superior a 24 metros.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indicar a(s) intensidade(s) máxima(s) do auxílio aplicáveis ao abrigo da medida:</w:t>
      </w:r>
    </w:p>
    <w:p w14:paraId="3D0A1467" w14:textId="6F29226F" w:rsidR="00006827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3D6986C" w14:textId="5FF8B2DB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5368675"/>
      <w:r>
        <w:rPr>
          <w:rFonts w:ascii="Times New Roman" w:hAnsi="Times New Roman"/>
          <w:sz w:val="24"/>
        </w:rPr>
        <w:t xml:space="preserve">Queira identificar a(s) disposição(ões) da base jurídica que estabelece(m) a(s) intensidade(s) máxima(s) do auxílio ao abrigo da medida.  </w:t>
      </w:r>
    </w:p>
    <w:p w14:paraId="361A0D8D" w14:textId="181AE66D" w:rsidR="003F1D62" w:rsidRDefault="00006827" w:rsidP="000068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"/>
    </w:p>
    <w:p w14:paraId="6B717313" w14:textId="20BB174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Queira confirmar que o navio adquirido com auxílios deve permanecer registado na região ultraperiférica durante, pelo menos, 15 anos a contar da data de concessão do auxílio e, durante esse período, deve desembarcar todas as capturas numa região ultraperiférica. 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que, se esta condição não for cumprida, o auxílio deve ser reembolsado pela empresa beneficiária proporcionalmente ao período ou ao grau de incumprimento.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46142">
        <w:rPr>
          <w:rFonts w:ascii="Times New Roman" w:eastAsia="Times New Roman" w:hAnsi="Times New Roman"/>
          <w:b/>
          <w:sz w:val="24"/>
        </w:rPr>
      </w:r>
      <w:r w:rsidR="00846142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Em caso de resposta afirmativa, queira indicar a(s) disposição(ões) relevante(s) na base jurídica.</w:t>
      </w:r>
    </w:p>
    <w:p w14:paraId="0E1683EF" w14:textId="210BB523" w:rsidR="003F1D62" w:rsidRPr="001E103F" w:rsidRDefault="003F1D62" w:rsidP="00D2507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OUTRAS INFORMAÇÕES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indicar outras informações consideradas pertinentes para a apreciação da medida ao abrigo da secção correspondente das Orientações.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7AEFEE83" w14:textId="67F51916" w:rsidR="00504ACF" w:rsidRPr="00504ACF" w:rsidRDefault="00504A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JO C 107 de 23.3.2023, p. 1.</w:t>
      </w:r>
    </w:p>
  </w:footnote>
  <w:footnote w:id="2">
    <w:p w14:paraId="20426074" w14:textId="5C7F92DF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Regulamento (UE) n.º 1380/2013 do Parlamento Europeu e do Conselho, de 11 de dezembro de 2013, relativo à política comum das pescas, que altera os Regulamentos (CE) n.º 1954/2003 e (CE) n.º 1224/2009 do Conselho e revoga os Regulamentos (CE) n.º 2371/2002 e (CE) n.º 639/2004 do Conselho e a Decisão 2004/585/CE do Conselho (JO L 354 de 28.12.2013, p. 22).  </w:t>
      </w:r>
    </w:p>
  </w:footnote>
  <w:footnote w:id="3">
    <w:p w14:paraId="7847149D" w14:textId="1096B59C" w:rsidR="000345FA" w:rsidRPr="000345FA" w:rsidRDefault="000345FA" w:rsidP="000345FA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Queira consultar os pontos 225 a 227 das Orientações que descrevem as sequências do relatório nacional do ano N e a ação da Comissão até 31 de março do ano N+1 e o período de concessão do auxílio.</w:t>
      </w:r>
    </w:p>
  </w:footnote>
  <w:footnote w:id="4">
    <w:p w14:paraId="47CB3F50" w14:textId="65DC3E8C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Comunicação da Comissão ao Parlamento Europeu e ao Conselho intitulada: «Diretrizes para a análise do equilíbrio entre a capacidade de pesca e as possibilidades de pesca em virtude do artigo 22.º do Regulamento</w:t>
      </w:r>
      <w:r w:rsidR="00846142">
        <w:rPr>
          <w:rFonts w:ascii="Times New Roman" w:hAnsi="Times New Roman"/>
        </w:rPr>
        <w:t> </w:t>
      </w:r>
      <w:r>
        <w:rPr>
          <w:rFonts w:ascii="Times New Roman" w:hAnsi="Times New Roman"/>
        </w:rPr>
        <w:t>(UE) n.º 1380/2013 do Parlamento Europeu e do Conselho relativo à política comum das pescas» [</w:t>
      </w:r>
      <w:proofErr w:type="gramStart"/>
      <w:r>
        <w:rPr>
          <w:rFonts w:ascii="Times New Roman" w:hAnsi="Times New Roman"/>
        </w:rPr>
        <w:t>COM(</w:t>
      </w:r>
      <w:proofErr w:type="gramEnd"/>
      <w:r>
        <w:rPr>
          <w:rFonts w:ascii="Times New Roman" w:hAnsi="Times New Roman"/>
        </w:rPr>
        <w:t xml:space="preserve">2014) 545 final].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845C393A"/>
    <w:lvl w:ilvl="0" w:tplc="18090017">
      <w:start w:val="1"/>
      <w:numFmt w:val="lowerLetter"/>
      <w:lvlText w:val="%1)"/>
      <w:lvlJc w:val="left"/>
      <w:pPr>
        <w:ind w:left="1080" w:hanging="360"/>
      </w:p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46142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4</Pages>
  <Words>1117</Words>
  <Characters>6250</Characters>
  <Application>Microsoft Office Word</Application>
  <DocSecurity>0</DocSecurity>
  <Lines>173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CORREIA RIBEIRO Leonor (DGT)</cp:lastModifiedBy>
  <cp:revision>160</cp:revision>
  <dcterms:created xsi:type="dcterms:W3CDTF">2023-01-05T14:31:00Z</dcterms:created>
  <dcterms:modified xsi:type="dcterms:W3CDTF">2024-06-25T09:41:00Z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