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A52AE4" w:rsidRDefault="005615D7" w:rsidP="00A52AE4">
      <w:pPr>
        <w:spacing w:after="0" w:line="240" w:lineRule="auto"/>
        <w:rPr>
          <w:rFonts w:ascii="Times New Roman" w:eastAsia="Times New Roman" w:hAnsi="Times New Roman"/>
          <w:sz w:val="24"/>
          <w:szCs w:val="24"/>
          <w:lang w:eastAsia="en-GB"/>
        </w:rPr>
      </w:pPr>
    </w:p>
    <w:p w14:paraId="4B7235D9" w14:textId="4445B0A7"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2.2.</w:t>
      </w:r>
    </w:p>
    <w:p w14:paraId="7788A656" w14:textId="61D07F8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Papildu informācijas lapa par</w:t>
      </w:r>
      <w:r>
        <w:rPr>
          <w:rFonts w:ascii="Times New Roman" w:hAnsi="Times New Roman"/>
          <w:b/>
          <w:smallCaps/>
          <w:sz w:val="24"/>
        </w:rPr>
        <w:br/>
        <w:t>atbalstu zvejas flotes atjaunošanai tālākajos reģionos</w:t>
      </w:r>
    </w:p>
    <w:p w14:paraId="50622FA5" w14:textId="241292A4" w:rsidR="005615D7" w:rsidRDefault="005615D7" w:rsidP="00A52AE4">
      <w:pPr>
        <w:spacing w:after="0" w:line="240" w:lineRule="auto"/>
        <w:rPr>
          <w:rFonts w:ascii="Times New Roman" w:eastAsia="Times New Roman" w:hAnsi="Times New Roman"/>
          <w:sz w:val="24"/>
          <w:szCs w:val="24"/>
          <w:lang w:eastAsia="en-GB"/>
        </w:rPr>
      </w:pPr>
    </w:p>
    <w:p w14:paraId="77905C5D" w14:textId="77777777" w:rsidR="00A52AE4" w:rsidRPr="001E103F" w:rsidRDefault="00A52AE4" w:rsidP="00A52AE4">
      <w:pPr>
        <w:spacing w:after="0" w:line="240" w:lineRule="auto"/>
        <w:rPr>
          <w:rFonts w:ascii="Times New Roman" w:eastAsia="Times New Roman" w:hAnsi="Times New Roman"/>
          <w:sz w:val="24"/>
          <w:szCs w:val="24"/>
          <w:lang w:eastAsia="en-GB"/>
        </w:rPr>
      </w:pPr>
    </w:p>
    <w:p w14:paraId="61CAB743" w14:textId="24F6F197" w:rsidR="005615D7" w:rsidRPr="001E103F" w:rsidRDefault="000D36C1" w:rsidP="00A52AE4">
      <w:pPr>
        <w:spacing w:after="0" w:line="240" w:lineRule="auto"/>
        <w:jc w:val="both"/>
        <w:rPr>
          <w:rFonts w:ascii="Times New Roman" w:eastAsia="Times New Roman" w:hAnsi="Times New Roman"/>
          <w:i/>
          <w:sz w:val="24"/>
          <w:szCs w:val="24"/>
        </w:rPr>
      </w:pPr>
      <w:r>
        <w:rPr>
          <w:rFonts w:ascii="Times New Roman" w:hAnsi="Times New Roman"/>
          <w:i/>
          <w:sz w:val="24"/>
        </w:rPr>
        <w:t>Šī veidlapa dalībvalstīm jāizmanto, lai paziņotu par zvejas flotes atjaunošanai tālākajos reģionos paredzētu atbalstu, kas aprakstīts Pamatnostādņu par valsts atbalstu zvejniecības un akvakultūras nozarē</w:t>
      </w:r>
      <w:r w:rsidR="00504ACF">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2. nodaļas 2.2. iedaļā.</w:t>
      </w:r>
    </w:p>
    <w:p w14:paraId="265C4F2D" w14:textId="16CF0877" w:rsidR="00E934EF" w:rsidRDefault="00E934EF" w:rsidP="005615D7">
      <w:pPr>
        <w:spacing w:after="0" w:line="240" w:lineRule="auto"/>
        <w:rPr>
          <w:rFonts w:ascii="Times New Roman" w:eastAsia="Times New Roman" w:hAnsi="Times New Roman"/>
          <w:sz w:val="24"/>
          <w:szCs w:val="24"/>
          <w:lang w:eastAsia="en-GB"/>
        </w:rPr>
      </w:pPr>
    </w:p>
    <w:p w14:paraId="66876CC5" w14:textId="22D9CAE9" w:rsidR="00A52AE4" w:rsidRDefault="00A52AE4" w:rsidP="002256A7">
      <w:pPr>
        <w:pStyle w:val="Default"/>
        <w:rPr>
          <w:rFonts w:eastAsia="Times New Roman"/>
        </w:rPr>
      </w:pPr>
      <w:r>
        <w:t>Norādiet LESD 349. pantā minēto tālāko reģionu (reģionus), uz ko attiecas šis pasākums.</w:t>
      </w:r>
    </w:p>
    <w:p w14:paraId="28E14E59" w14:textId="2BBB07BE" w:rsidR="00A52AE4" w:rsidRPr="001E103F" w:rsidRDefault="00A52AE4" w:rsidP="000D36C1">
      <w:pPr>
        <w:rPr>
          <w:rFonts w:ascii="Times New Roman" w:eastAsia="Times New Roman" w:hAnsi="Times New Roman"/>
          <w:sz w:val="24"/>
          <w:szCs w:val="24"/>
        </w:rPr>
      </w:pPr>
      <w:r>
        <w:rPr>
          <w:rFonts w:ascii="Times New Roman" w:hAnsi="Times New Roman"/>
          <w:sz w:val="24"/>
        </w:rPr>
        <w:t>………………………………………………………………………………………………….</w:t>
      </w:r>
    </w:p>
    <w:p w14:paraId="51F40601" w14:textId="3331453D" w:rsidR="00E934EF" w:rsidRDefault="00E934EF" w:rsidP="00B873A1">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jauniem zvejas kuģiem, kas iegādāti ar atbalstu, jāatbilst Savienības un valsts noteikumiem par higiēnas, veselības, drošības un darba apstākļiem darbam uz zvejas kuģiem un zvejas kuģu parametriem.</w:t>
      </w:r>
    </w:p>
    <w:p w14:paraId="5267DC1F" w14:textId="75747510"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2E870A1E"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0D9BE7C9"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3117B70D" w14:textId="4F7FD14C" w:rsidR="00E934EF" w:rsidRDefault="00E934EF" w:rsidP="00E934EF">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4A362DF2" w14:textId="758D29D9" w:rsidR="00E934EF" w:rsidRDefault="00E934EF" w:rsidP="006177B3">
      <w:pPr>
        <w:rPr>
          <w:rFonts w:ascii="Times New Roman" w:eastAsia="Times New Roman" w:hAnsi="Times New Roman"/>
          <w:sz w:val="24"/>
          <w:szCs w:val="24"/>
        </w:rPr>
      </w:pPr>
      <w:r>
        <w:rPr>
          <w:rFonts w:ascii="Times New Roman" w:hAnsi="Times New Roman"/>
          <w:sz w:val="24"/>
        </w:rPr>
        <w:t>………………………………………………………………………………………………….</w:t>
      </w:r>
    </w:p>
    <w:p w14:paraId="1EE346D6" w14:textId="6D3E1C2F" w:rsidR="00E934EF" w:rsidRPr="00E934EF" w:rsidRDefault="00E934EF" w:rsidP="00E934EF">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atbalsta pieteikuma iesniegšanas dienā labuma guvēja uzņēmuma galvenajai reģistrācijas vietai ir jābūt tālākajā reģionā, kurā jaunais kuģis tiks reģistrēts.</w:t>
      </w:r>
    </w:p>
    <w:p w14:paraId="4D18E03E" w14:textId="02CC1F27" w:rsidR="00A003E4" w:rsidRDefault="00A003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5B5B2D6" w14:textId="77777777" w:rsidR="00E934EF" w:rsidRPr="001E103F"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569AA16B"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830E5F2" w14:textId="4518B9A7" w:rsidR="00766F2B" w:rsidRPr="00766F2B" w:rsidRDefault="00E934EF" w:rsidP="003A1EAC">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galveno reģistrācijas vietu.</w:t>
      </w:r>
    </w:p>
    <w:p w14:paraId="1B2867AB" w14:textId="2CC93EA0" w:rsidR="00E934EF" w:rsidRDefault="00E934EF" w:rsidP="00845C0D">
      <w:pPr>
        <w:rPr>
          <w:rFonts w:ascii="Times New Roman" w:eastAsia="Times New Roman" w:hAnsi="Times New Roman"/>
          <w:sz w:val="24"/>
          <w:szCs w:val="24"/>
        </w:rPr>
      </w:pPr>
      <w:r>
        <w:rPr>
          <w:rFonts w:ascii="Times New Roman" w:hAnsi="Times New Roman"/>
          <w:sz w:val="24"/>
        </w:rPr>
        <w:t>………………………………………………………………………………………………….</w:t>
      </w:r>
    </w:p>
    <w:p w14:paraId="18B2607B" w14:textId="7AF4E6AC" w:rsidR="009C1330" w:rsidRDefault="009C1330" w:rsidP="009C133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Saskaņā ar Pamatnostādņu 223. punktu atbalsta piešķiršanas dienā jaunākajā ziņojumā, kas pirms minētās dienas sagatavots saskaņā ar Regulas (ES) Nr. 1380/2013</w:t>
      </w:r>
      <w:r w:rsidR="00376F0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22. panta 2. un 3. punktu, jāpierāda līdzsvars starp zvejas kapacitāti un zvejas iespējām tā tālākā reģiona flotes segmentā, pie kura piederēs jaunais kuģis (“valsts ziņojums”). Ņemot vērā iepriekš minēto, atbildiet uz šādiem jautājumiem:</w:t>
      </w:r>
    </w:p>
    <w:p w14:paraId="05A2545C" w14:textId="3F8B0000" w:rsidR="00A52AE4" w:rsidRDefault="00A52AE4"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8BCAC7" w14:textId="2363CA14" w:rsidR="00A52AE4" w:rsidRPr="009C1330" w:rsidRDefault="00A52AE4" w:rsidP="005C06D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Kad sagatavots jaunākais valsts ziņojums pirms atbalsta piešķiršanas dienas?</w:t>
      </w:r>
    </w:p>
    <w:p w14:paraId="64815BBF" w14:textId="6B6D4444" w:rsidR="00E51CD7" w:rsidRDefault="00A52AE4" w:rsidP="00845C0D">
      <w:pPr>
        <w:rPr>
          <w:rFonts w:ascii="Times New Roman" w:eastAsia="Times New Roman" w:hAnsi="Times New Roman"/>
          <w:sz w:val="24"/>
          <w:szCs w:val="24"/>
        </w:rPr>
      </w:pPr>
      <w:r>
        <w:rPr>
          <w:rFonts w:ascii="Times New Roman" w:hAnsi="Times New Roman"/>
          <w:sz w:val="24"/>
        </w:rPr>
        <w:t>………………………………………………………………………………………………….</w:t>
      </w:r>
      <w:bookmarkStart w:id="0" w:name="_Ref124951182"/>
    </w:p>
    <w:p w14:paraId="3D92824C" w14:textId="65382C4B" w:rsidR="00C17C0E" w:rsidRDefault="00C17C0E" w:rsidP="00AA562C">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1" w:name="_Hlk129253679"/>
      <w:r>
        <w:rPr>
          <w:rFonts w:ascii="Times New Roman" w:hAnsi="Times New Roman"/>
          <w:sz w:val="24"/>
        </w:rPr>
        <w:t>Norādiet saiti uz jaunāko valsts ziņojumu vai pievienojiet to paziņojumam.</w:t>
      </w:r>
    </w:p>
    <w:p w14:paraId="6D417808" w14:textId="4A0E0713" w:rsidR="00C17C0E" w:rsidRDefault="00C17C0E" w:rsidP="00C17C0E">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
    <w:p w14:paraId="1732489C" w14:textId="77777777" w:rsidR="00903A9E" w:rsidRDefault="00903A9E" w:rsidP="00C17C0E">
      <w:pPr>
        <w:autoSpaceDE w:val="0"/>
        <w:autoSpaceDN w:val="0"/>
        <w:adjustRightInd w:val="0"/>
        <w:spacing w:after="0" w:line="240" w:lineRule="auto"/>
        <w:jc w:val="both"/>
        <w:rPr>
          <w:rFonts w:ascii="Times New Roman" w:eastAsia="Times New Roman" w:hAnsi="Times New Roman"/>
          <w:sz w:val="24"/>
          <w:szCs w:val="24"/>
          <w:lang w:eastAsia="en-GB"/>
        </w:rPr>
      </w:pPr>
    </w:p>
    <w:p w14:paraId="1C8316FE" w14:textId="323FDD87" w:rsidR="009A3E77" w:rsidRDefault="009A3E77" w:rsidP="009A3E77">
      <w:pPr>
        <w:numPr>
          <w:ilvl w:val="1"/>
          <w:numId w:val="15"/>
        </w:numPr>
        <w:autoSpaceDE w:val="0"/>
        <w:autoSpaceDN w:val="0"/>
        <w:adjustRightInd w:val="0"/>
        <w:spacing w:after="0" w:line="240" w:lineRule="auto"/>
        <w:jc w:val="both"/>
        <w:rPr>
          <w:rFonts w:ascii="Times New Roman" w:hAnsi="Times New Roman"/>
          <w:color w:val="000000"/>
          <w:sz w:val="23"/>
          <w:szCs w:val="23"/>
        </w:rPr>
      </w:pPr>
      <w:r>
        <w:rPr>
          <w:rFonts w:ascii="Times New Roman" w:hAnsi="Times New Roman"/>
          <w:sz w:val="24"/>
        </w:rPr>
        <w:lastRenderedPageBreak/>
        <w:t>Saskaņā ar Pamatnostādņu 225. punktu apstipriniet, ka attiecībā uz visu piešķiramo atbalstu ir izpildīti šādi nosacījumi.</w:t>
      </w:r>
      <w:r>
        <w:rPr>
          <w:rFonts w:ascii="Times New Roman" w:hAnsi="Times New Roman"/>
          <w:color w:val="000000"/>
          <w:sz w:val="23"/>
        </w:rPr>
        <w:t xml:space="preserve"> </w:t>
      </w:r>
    </w:p>
    <w:p w14:paraId="7C1350B0" w14:textId="77777777" w:rsidR="009A3E77" w:rsidRPr="00AC02EC" w:rsidRDefault="009A3E77" w:rsidP="009A3E77">
      <w:pPr>
        <w:autoSpaceDE w:val="0"/>
        <w:autoSpaceDN w:val="0"/>
        <w:adjustRightInd w:val="0"/>
        <w:spacing w:after="0" w:line="240" w:lineRule="auto"/>
        <w:ind w:left="792"/>
        <w:jc w:val="both"/>
        <w:rPr>
          <w:rFonts w:ascii="Times New Roman" w:hAnsi="Times New Roman"/>
          <w:color w:val="000000"/>
          <w:sz w:val="23"/>
          <w:szCs w:val="23"/>
        </w:rPr>
      </w:pPr>
    </w:p>
    <w:p w14:paraId="46A0EA18" w14:textId="77114013" w:rsid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valsts ziņojums tika iesniegts līdz N gada</w:t>
      </w:r>
      <w:r w:rsidR="000345FA">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31. maijam?</w:t>
      </w:r>
    </w:p>
    <w:p w14:paraId="2641717D"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p w14:paraId="37AB88ED" w14:textId="77777777" w:rsidR="005C06D1" w:rsidRPr="005615D7" w:rsidRDefault="005C06D1" w:rsidP="005C06D1">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3A00AAB0" w14:textId="77777777" w:rsidR="005C06D1" w:rsidRDefault="005C06D1"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0AC88B97" w14:textId="6C0E238C" w:rsidR="009C1330" w:rsidRPr="005C06D1" w:rsidRDefault="005C06D1"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N gadā iesniegtais valsts ziņojums, jo īpaši tajā ietvertais līdzsvara novērtējums, ir sagatavots, pamatojoties uz bioloģiskajiem, ekonomiskajiem un kuģu izmantojuma rādītājiem, kas noteikti Regulas (ES) Nr. 1380/2013 22. panta 2. punktā minētajās kopīgajās pamatnostādnēs</w:t>
      </w:r>
      <w:r w:rsidR="001A2686">
        <w:rPr>
          <w:rStyle w:val="FootnoteReference"/>
          <w:rFonts w:ascii="Times New Roman" w:eastAsia="Times New Roman" w:hAnsi="Times New Roman"/>
          <w:sz w:val="24"/>
          <w:szCs w:val="24"/>
          <w:lang w:eastAsia="en-GB"/>
        </w:rPr>
        <w:footnoteReference w:id="4"/>
      </w:r>
      <w:r>
        <w:rPr>
          <w:rFonts w:ascii="Times New Roman" w:hAnsi="Times New Roman"/>
          <w:sz w:val="24"/>
        </w:rPr>
        <w:t>.</w:t>
      </w:r>
    </w:p>
    <w:p w14:paraId="7E015FB6" w14:textId="2B66DE40" w:rsidR="009C1330" w:rsidRDefault="009C1330"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4B3A9A85" w14:textId="48F9CF95" w:rsidR="005C06D1" w:rsidRDefault="005C06D1" w:rsidP="005C06D1">
      <w:pPr>
        <w:autoSpaceDE w:val="0"/>
        <w:autoSpaceDN w:val="0"/>
        <w:adjustRightInd w:val="0"/>
        <w:spacing w:after="0" w:line="240" w:lineRule="auto"/>
        <w:ind w:left="567"/>
        <w:jc w:val="both"/>
        <w:rPr>
          <w:rFonts w:ascii="Times New Roman" w:eastAsia="Times New Roman" w:hAnsi="Times New Roman"/>
          <w:noProof/>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329D6E9B" w14:textId="77777777" w:rsidR="00C14894" w:rsidRDefault="00C14894" w:rsidP="005C06D1">
      <w:pPr>
        <w:autoSpaceDE w:val="0"/>
        <w:autoSpaceDN w:val="0"/>
        <w:adjustRightInd w:val="0"/>
        <w:spacing w:after="0" w:line="240" w:lineRule="auto"/>
        <w:ind w:left="567"/>
        <w:jc w:val="both"/>
        <w:rPr>
          <w:rFonts w:ascii="Times New Roman" w:eastAsia="Times New Roman" w:hAnsi="Times New Roman"/>
          <w:noProof/>
          <w:sz w:val="24"/>
          <w:szCs w:val="24"/>
          <w:lang w:eastAsia="en-GB"/>
        </w:rPr>
      </w:pPr>
    </w:p>
    <w:p w14:paraId="6F6D238D" w14:textId="79435BA7" w:rsidR="00C14894" w:rsidRPr="005C3488" w:rsidRDefault="00C14894" w:rsidP="00C14894">
      <w:pPr>
        <w:pStyle w:val="Default"/>
        <w:ind w:left="567"/>
        <w:jc w:val="both"/>
        <w:rPr>
          <w:i/>
          <w:iCs/>
          <w:sz w:val="23"/>
          <w:szCs w:val="23"/>
        </w:rPr>
      </w:pPr>
      <w:r>
        <w:rPr>
          <w:i/>
          <w:sz w:val="23"/>
        </w:rPr>
        <w:t xml:space="preserve">Ņemiet vērā, ka saskaņā ar Pamatnostādņu 224. punktu atbalstu nedrīkst piešķirt, ja valsts ziņojums, jo īpaši tajā ietvertais līdzsvara novērtējums, nav sagatavots, pamatojoties uz bioloģiskajiem, ekonomiskajiem un kuģu izmantojuma rādītājiem, kas noteikti Regulas (ES) Nr. 1380/2013 22. panta 2. punktā minētajās kopīgajās pamatnostādnēs. </w:t>
      </w:r>
    </w:p>
    <w:p w14:paraId="2246B643" w14:textId="77777777" w:rsidR="005C06D1" w:rsidRDefault="005C06D1" w:rsidP="005C06D1">
      <w:pPr>
        <w:autoSpaceDE w:val="0"/>
        <w:autoSpaceDN w:val="0"/>
        <w:adjustRightInd w:val="0"/>
        <w:spacing w:after="0" w:line="240" w:lineRule="auto"/>
        <w:jc w:val="both"/>
        <w:rPr>
          <w:rFonts w:ascii="Times New Roman" w:eastAsia="Times New Roman" w:hAnsi="Times New Roman"/>
          <w:sz w:val="24"/>
          <w:szCs w:val="24"/>
          <w:lang w:eastAsia="en-GB"/>
        </w:rPr>
      </w:pPr>
    </w:p>
    <w:bookmarkEnd w:id="0"/>
    <w:p w14:paraId="4CF8F1BD" w14:textId="7E1A917E" w:rsidR="00E934EF" w:rsidRDefault="00E934EF" w:rsidP="009A3E77">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N gadā iesniegtajā valsts ziņojumā ir pierādīts, ka flotes segmentā, pie kura piederēs jaunais kuģis, pastāv līdzsvars starp zvejas kapacitāti un zvejas iespējām?</w:t>
      </w:r>
    </w:p>
    <w:p w14:paraId="687B7BAC" w14:textId="77777777"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644453D1" w14:textId="77777777" w:rsidR="00E934EF" w:rsidRPr="005615D7" w:rsidRDefault="00E934EF" w:rsidP="00E934EF">
      <w:pPr>
        <w:autoSpaceDE w:val="0"/>
        <w:autoSpaceDN w:val="0"/>
        <w:adjustRightInd w:val="0"/>
        <w:spacing w:after="0" w:line="240" w:lineRule="auto"/>
        <w:ind w:left="567"/>
        <w:jc w:val="both"/>
        <w:rPr>
          <w:rFonts w:ascii="Times New Roman" w:eastAsia="Times New Roman" w:hAnsi="Times New Roman"/>
          <w:sz w:val="24"/>
          <w:szCs w:val="24"/>
        </w:rPr>
      </w:pP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615D7">
        <w:rPr>
          <w:rFonts w:ascii="Times New Roman" w:eastAsia="Times New Roman" w:hAnsi="Times New Roman"/>
          <w:b/>
          <w:sz w:val="24"/>
        </w:rPr>
        <w:fldChar w:fldCharType="begin">
          <w:ffData>
            <w:name w:val="Check1"/>
            <w:enabled/>
            <w:calcOnExit w:val="0"/>
            <w:checkBox>
              <w:sizeAuto/>
              <w:default w:val="0"/>
            </w:checkBox>
          </w:ffData>
        </w:fldChar>
      </w:r>
      <w:r w:rsidRPr="005615D7">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5615D7">
        <w:rPr>
          <w:rFonts w:ascii="Times New Roman" w:eastAsia="Times New Roman" w:hAnsi="Times New Roman"/>
          <w:b/>
          <w:sz w:val="24"/>
        </w:rPr>
        <w:fldChar w:fldCharType="end"/>
      </w:r>
      <w:r>
        <w:rPr>
          <w:rFonts w:ascii="Times New Roman" w:hAnsi="Times New Roman"/>
          <w:sz w:val="24"/>
        </w:rPr>
        <w:tab/>
        <w:t>nē</w:t>
      </w:r>
    </w:p>
    <w:p w14:paraId="2474ED7C" w14:textId="64F83FBD" w:rsidR="00E934EF" w:rsidRDefault="00E934EF" w:rsidP="00E934EF">
      <w:pPr>
        <w:autoSpaceDE w:val="0"/>
        <w:autoSpaceDN w:val="0"/>
        <w:adjustRightInd w:val="0"/>
        <w:spacing w:after="0" w:line="240" w:lineRule="auto"/>
        <w:jc w:val="both"/>
        <w:rPr>
          <w:rFonts w:ascii="Times New Roman" w:eastAsia="Times New Roman" w:hAnsi="Times New Roman"/>
          <w:sz w:val="24"/>
          <w:szCs w:val="24"/>
          <w:lang w:eastAsia="en-GB"/>
        </w:rPr>
      </w:pPr>
    </w:p>
    <w:p w14:paraId="1D247038" w14:textId="4951A6CA" w:rsidR="009C1330" w:rsidRDefault="00914F8E" w:rsidP="00B85E1C">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Paskaidrojiet, kā pasākuma izstrādē tika ņemts vērā valsts ziņojums un kā tika panākts līdzsvars.</w:t>
      </w:r>
    </w:p>
    <w:p w14:paraId="7BEBB8FB" w14:textId="222F2DAD" w:rsidR="009C1330" w:rsidRDefault="009C1330" w:rsidP="00C8226F">
      <w:pPr>
        <w:rPr>
          <w:rFonts w:ascii="Times New Roman" w:eastAsia="Times New Roman" w:hAnsi="Times New Roman"/>
          <w:sz w:val="24"/>
          <w:szCs w:val="24"/>
        </w:rPr>
      </w:pPr>
      <w:r>
        <w:rPr>
          <w:rFonts w:ascii="Times New Roman" w:hAnsi="Times New Roman"/>
          <w:sz w:val="24"/>
        </w:rPr>
        <w:t>………………………………………………………………………………………………….</w:t>
      </w:r>
    </w:p>
    <w:p w14:paraId="34C76C63" w14:textId="54C769D4" w:rsidR="00E934EF" w:rsidRDefault="00AE0161"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Saskaņā ar Pamatnostādņu 226. punktu apstipriniet, ka Komisija līdz N+1 gada 31. martam nav apšaubījusi:</w:t>
      </w:r>
    </w:p>
    <w:p w14:paraId="3AA53C11" w14:textId="77777777" w:rsidR="00920E82" w:rsidRDefault="00920E82" w:rsidP="00920E82">
      <w:pPr>
        <w:autoSpaceDE w:val="0"/>
        <w:autoSpaceDN w:val="0"/>
        <w:adjustRightInd w:val="0"/>
        <w:spacing w:after="0" w:line="240" w:lineRule="auto"/>
        <w:jc w:val="both"/>
        <w:rPr>
          <w:rFonts w:ascii="Times New Roman" w:eastAsia="Times New Roman" w:hAnsi="Times New Roman"/>
          <w:sz w:val="24"/>
          <w:szCs w:val="24"/>
          <w:lang w:eastAsia="en-GB"/>
        </w:rPr>
      </w:pPr>
    </w:p>
    <w:p w14:paraId="6FFE3250" w14:textId="77777777" w:rsidR="00920E82" w:rsidRDefault="00920E82" w:rsidP="00920E82">
      <w:pPr>
        <w:autoSpaceDE w:val="0"/>
        <w:autoSpaceDN w:val="0"/>
        <w:adjustRightInd w:val="0"/>
        <w:spacing w:after="0" w:line="240" w:lineRule="auto"/>
        <w:ind w:left="927"/>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AC02EC">
        <w:rPr>
          <w:rFonts w:ascii="Times New Roman" w:eastAsia="Times New Roman" w:hAnsi="Times New Roman"/>
          <w:sz w:val="24"/>
        </w:rPr>
      </w:r>
      <w:r w:rsidR="00AC02EC">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a) N gadā iesniegtā valsts ziņojuma secinājumus; </w:t>
      </w:r>
    </w:p>
    <w:p w14:paraId="05DD149D" w14:textId="77777777" w:rsidR="00920E82"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0D6C6DBB" w14:textId="77777777" w:rsidR="00920E82" w:rsidRPr="005E495C" w:rsidRDefault="00920E82" w:rsidP="00920E82">
      <w:pPr>
        <w:autoSpaceDE w:val="0"/>
        <w:autoSpaceDN w:val="0"/>
        <w:adjustRightInd w:val="0"/>
        <w:spacing w:after="0" w:line="240" w:lineRule="auto"/>
        <w:ind w:left="567"/>
        <w:jc w:val="both"/>
        <w:rPr>
          <w:rFonts w:ascii="Times New Roman" w:eastAsia="Times New Roman" w:hAnsi="Times New Roman"/>
          <w:sz w:val="24"/>
          <w:szCs w:val="24"/>
          <w:lang w:eastAsia="en-GB"/>
        </w:rPr>
      </w:pPr>
    </w:p>
    <w:p w14:paraId="13BA563C" w14:textId="77777777" w:rsidR="00920E82" w:rsidRPr="005615D7" w:rsidRDefault="00920E82" w:rsidP="00920E82">
      <w:pPr>
        <w:autoSpaceDE w:val="0"/>
        <w:autoSpaceDN w:val="0"/>
        <w:adjustRightInd w:val="0"/>
        <w:spacing w:after="0" w:line="240" w:lineRule="auto"/>
        <w:ind w:left="774" w:firstLine="153"/>
        <w:jc w:val="both"/>
        <w:rPr>
          <w:rFonts w:ascii="Times New Roman" w:eastAsia="Times New Roman" w:hAnsi="Times New Roman"/>
          <w:sz w:val="24"/>
          <w:szCs w:val="24"/>
        </w:rPr>
      </w:pPr>
      <w:r w:rsidRPr="00D823CB">
        <w:rPr>
          <w:rFonts w:ascii="Times New Roman" w:eastAsia="Times New Roman" w:hAnsi="Times New Roman"/>
          <w:sz w:val="24"/>
        </w:rPr>
        <w:fldChar w:fldCharType="begin">
          <w:ffData>
            <w:name w:val="Check1"/>
            <w:enabled/>
            <w:calcOnExit w:val="0"/>
            <w:checkBox>
              <w:sizeAuto/>
              <w:default w:val="0"/>
            </w:checkBox>
          </w:ffData>
        </w:fldChar>
      </w:r>
      <w:r w:rsidRPr="00D823CB">
        <w:rPr>
          <w:rFonts w:ascii="Times New Roman" w:eastAsia="Times New Roman" w:hAnsi="Times New Roman"/>
          <w:sz w:val="24"/>
        </w:rPr>
        <w:instrText xml:space="preserve"> FORMCHECKBOX </w:instrText>
      </w:r>
      <w:r w:rsidR="00AC02EC">
        <w:rPr>
          <w:rFonts w:ascii="Times New Roman" w:eastAsia="Times New Roman" w:hAnsi="Times New Roman"/>
          <w:sz w:val="24"/>
        </w:rPr>
      </w:r>
      <w:r w:rsidR="00AC02EC">
        <w:rPr>
          <w:rFonts w:ascii="Times New Roman" w:eastAsia="Times New Roman" w:hAnsi="Times New Roman"/>
          <w:sz w:val="24"/>
        </w:rPr>
        <w:fldChar w:fldCharType="separate"/>
      </w:r>
      <w:r w:rsidRPr="00D823CB">
        <w:rPr>
          <w:rFonts w:ascii="Times New Roman" w:eastAsia="Times New Roman" w:hAnsi="Times New Roman"/>
          <w:sz w:val="24"/>
        </w:rPr>
        <w:fldChar w:fldCharType="end"/>
      </w:r>
      <w:r>
        <w:rPr>
          <w:rFonts w:ascii="Times New Roman" w:hAnsi="Times New Roman"/>
          <w:sz w:val="24"/>
        </w:rPr>
        <w:t xml:space="preserve"> b) līdzsvara novērtējumu, kas ietverts N gadā iesniegtajā valsts ziņojumā.</w:t>
      </w:r>
    </w:p>
    <w:p w14:paraId="3BB81E4E" w14:textId="77777777" w:rsidR="003D4919" w:rsidRPr="00920E82" w:rsidRDefault="003D4919" w:rsidP="003D4919">
      <w:pPr>
        <w:autoSpaceDE w:val="0"/>
        <w:autoSpaceDN w:val="0"/>
        <w:adjustRightInd w:val="0"/>
        <w:spacing w:after="0" w:line="240" w:lineRule="auto"/>
        <w:rPr>
          <w:rFonts w:ascii="Times New Roman" w:hAnsi="Times New Roman"/>
          <w:color w:val="000000"/>
          <w:sz w:val="24"/>
          <w:szCs w:val="24"/>
        </w:rPr>
      </w:pPr>
    </w:p>
    <w:p w14:paraId="3071BFA7" w14:textId="16B99D03" w:rsidR="00E934EF" w:rsidRDefault="00E51CD7" w:rsidP="00977F8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Apstipriniet, ka pasākums noteic, ka uz N gadā iesniegtā valsts ziņojuma pamata atbalstu var piešķirt tikai līdz N+1 gada 31. decembrim, t. i., nākamajam gadam pēc ziņojuma iesniegšanas gada. </w:t>
      </w:r>
    </w:p>
    <w:p w14:paraId="65054479" w14:textId="1620B0B3"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3E52413" w14:textId="77777777" w:rsidR="00E51CD7" w:rsidRPr="001E103F" w:rsidRDefault="00E51CD7" w:rsidP="00E51CD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18A5C77E" w14:textId="77777777" w:rsidR="00E51CD7" w:rsidRDefault="00E51CD7" w:rsidP="00E51CD7">
      <w:pPr>
        <w:autoSpaceDE w:val="0"/>
        <w:autoSpaceDN w:val="0"/>
        <w:adjustRightInd w:val="0"/>
        <w:spacing w:after="0" w:line="240" w:lineRule="auto"/>
        <w:jc w:val="both"/>
        <w:rPr>
          <w:rFonts w:ascii="Times New Roman" w:eastAsia="Times New Roman" w:hAnsi="Times New Roman"/>
          <w:sz w:val="24"/>
          <w:szCs w:val="24"/>
          <w:lang w:eastAsia="en-GB"/>
        </w:rPr>
      </w:pPr>
    </w:p>
    <w:p w14:paraId="2AE2F767" w14:textId="3586469F" w:rsidR="00E51CD7" w:rsidRDefault="00E51CD7" w:rsidP="00977F8E">
      <w:pPr>
        <w:numPr>
          <w:ilvl w:val="3"/>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Ja atbilde ir “jā”, norādiet relevanto juridiskā pamata noteikumu (noteikumus).</w:t>
      </w:r>
    </w:p>
    <w:p w14:paraId="590473FA" w14:textId="0C49617E" w:rsidR="003F1D62" w:rsidRDefault="00E51CD7" w:rsidP="00705639">
      <w:pPr>
        <w:rPr>
          <w:rFonts w:ascii="Times New Roman" w:eastAsia="Times New Roman" w:hAnsi="Times New Roman"/>
          <w:sz w:val="24"/>
          <w:szCs w:val="24"/>
        </w:rPr>
      </w:pPr>
      <w:r>
        <w:rPr>
          <w:rFonts w:ascii="Times New Roman" w:hAnsi="Times New Roman"/>
          <w:sz w:val="24"/>
        </w:rPr>
        <w:t>…………………………………………………………………………………………………</w:t>
      </w:r>
    </w:p>
    <w:p w14:paraId="157943DC" w14:textId="6AE08E8E" w:rsidR="003F1D62" w:rsidRP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katras dalībvalsts un katra tālāko reģionu flotes segmenta maksimālā pieļaujamā zvejas kapacitāte, kas noteikta Regulas (ES) Nr. 1380/2013 II pielikumā, nevienā brīdī netiks pārsniegta, ņemot vērā jebkādu iespējamo minētās maksimālās pieļaujamās kapacitātes samazinājumu saskaņā ar minētās regulas 22. panta 6. punktu.</w:t>
      </w:r>
      <w:r>
        <w:rPr>
          <w:rFonts w:ascii="Times New Roman" w:hAnsi="Times New Roman"/>
          <w:sz w:val="24"/>
        </w:rPr>
        <w:tab/>
      </w:r>
    </w:p>
    <w:p w14:paraId="624C1B24"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CBA211A" w14:textId="4540C2F6" w:rsidR="003F1D62" w:rsidRDefault="003F1D62" w:rsidP="003F1D62">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B94A0F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7FEEDD64" w14:textId="7C397022" w:rsidR="003F1D62" w:rsidRDefault="00CD7D8E"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Paskaidrojiet, kā tiks panākta šā nosacījuma izpilde. </w:t>
      </w:r>
    </w:p>
    <w:p w14:paraId="09B04D1A" w14:textId="77777777" w:rsidR="003F1D62" w:rsidRDefault="003F1D62" w:rsidP="003F1D62">
      <w:pPr>
        <w:rPr>
          <w:rFonts w:ascii="Times New Roman" w:eastAsia="Times New Roman" w:hAnsi="Times New Roman"/>
          <w:sz w:val="24"/>
          <w:szCs w:val="24"/>
        </w:rPr>
      </w:pPr>
      <w:r>
        <w:rPr>
          <w:rFonts w:ascii="Times New Roman" w:hAnsi="Times New Roman"/>
          <w:sz w:val="24"/>
        </w:rPr>
        <w:t>………………………………………………………………………………………………….</w:t>
      </w:r>
    </w:p>
    <w:p w14:paraId="721C1842" w14:textId="77777777" w:rsidR="00AB4AD5" w:rsidRPr="00AB4AD5" w:rsidRDefault="00AB4AD5" w:rsidP="00AB4AD5">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Ņemiet vērā, ka jaunas, ar atbalstu iegūtas kapacitātes iekļaušana flotē jāveic, pilnībā ievērojot šo maksimālo pieļaujamo kapacitāti, un tā nedrīkst radīt situāciju, kurā šī kapacitāte ir pārsniegta.</w:t>
      </w:r>
    </w:p>
    <w:p w14:paraId="63FCF060" w14:textId="77777777" w:rsidR="003F1D62" w:rsidRDefault="003F1D6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460D092" w14:textId="6B2B4698" w:rsidR="00E51CD7" w:rsidRPr="00E934EF" w:rsidRDefault="00E51C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atbalsta nosacījums nedrīkst būt jaunā kuģa iegāde no konkrētas kuģu būvētavas.</w:t>
      </w:r>
    </w:p>
    <w:p w14:paraId="6ADFCD17" w14:textId="792C75A2" w:rsidR="00E51CD7" w:rsidRDefault="00E51C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211C055"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5E0C603B"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1BD4B218" w14:textId="68108EB9" w:rsidR="003F1D62" w:rsidRDefault="00C97073" w:rsidP="00C9707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5.1. Ja atbilde ir “jā”, norādiet relevanto juridiskā pamata noteikumu (noteikumus).</w:t>
      </w:r>
    </w:p>
    <w:p w14:paraId="7AF3615F" w14:textId="406B2F67" w:rsidR="005C06D1" w:rsidRDefault="003F1D62" w:rsidP="00181BD8">
      <w:pPr>
        <w:rPr>
          <w:rFonts w:ascii="Times New Roman" w:eastAsia="Times New Roman" w:hAnsi="Times New Roman"/>
          <w:sz w:val="24"/>
          <w:szCs w:val="24"/>
        </w:rPr>
      </w:pPr>
      <w:r>
        <w:rPr>
          <w:rFonts w:ascii="Times New Roman" w:hAnsi="Times New Roman"/>
          <w:sz w:val="24"/>
        </w:rPr>
        <w:t>………………………………………………………………………………………………….</w:t>
      </w:r>
    </w:p>
    <w:p w14:paraId="35648B70" w14:textId="77777777"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aprakstiet izmaksas, kas ir attiecināmas saskaņā ar šo pasākumu.</w:t>
      </w:r>
    </w:p>
    <w:p w14:paraId="386BAB56" w14:textId="75133C02" w:rsidR="003F1D62" w:rsidRDefault="003F1D62" w:rsidP="00E9142F">
      <w:pPr>
        <w:rPr>
          <w:rFonts w:ascii="Times New Roman" w:eastAsia="Times New Roman" w:hAnsi="Times New Roman"/>
          <w:sz w:val="24"/>
          <w:szCs w:val="24"/>
        </w:rPr>
      </w:pPr>
      <w:r>
        <w:rPr>
          <w:rFonts w:ascii="Times New Roman" w:hAnsi="Times New Roman"/>
          <w:sz w:val="24"/>
        </w:rPr>
        <w:t>………………………………………………………………………………………………….</w:t>
      </w:r>
    </w:p>
    <w:p w14:paraId="2ADE3A15" w14:textId="7262318A" w:rsidR="003F1D62" w:rsidRDefault="00A91C65"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varat apstiprināt, ka kuģiem piešķiramā atbalsta maksimālā intensitāte nedrīkst būt:</w:t>
      </w:r>
    </w:p>
    <w:p w14:paraId="4A19B3B0" w14:textId="77777777" w:rsidR="003F1D62" w:rsidRDefault="003F1D62" w:rsidP="003F1D6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A806B6" w14:textId="4C2499E1" w:rsidR="00CD7D8E" w:rsidRPr="00CD7D8E" w:rsidRDefault="003F1D62" w:rsidP="00CD7D8E">
      <w:pPr>
        <w:numPr>
          <w:ilvl w:val="0"/>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lielāka par 60 % no kopējām attiecināmajām izmaksām tādu kuģu gadījumā, kuru lielākais garums ir mazāks nekā 12 metri;</w:t>
      </w:r>
    </w:p>
    <w:p w14:paraId="0C9D19A3" w14:textId="03516310"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64521E60" w14:textId="77777777" w:rsidR="00CD7D8E" w:rsidRPr="001E103F" w:rsidRDefault="00CD7D8E" w:rsidP="00CD7D8E">
      <w:pPr>
        <w:autoSpaceDE w:val="0"/>
        <w:autoSpaceDN w:val="0"/>
        <w:adjustRightInd w:val="0"/>
        <w:spacing w:after="0" w:line="240" w:lineRule="auto"/>
        <w:ind w:left="1080"/>
        <w:jc w:val="both"/>
        <w:rPr>
          <w:rFonts w:ascii="Times New Roman" w:eastAsia="Times New Roman" w:hAnsi="Times New Roman"/>
          <w:sz w:val="24"/>
          <w:szCs w:val="24"/>
          <w:lang w:eastAsia="en-GB"/>
        </w:rPr>
      </w:pPr>
    </w:p>
    <w:p w14:paraId="4527C0FE" w14:textId="5972CB5E" w:rsidR="003F1D62" w:rsidRDefault="003F1D62" w:rsidP="005C06D1">
      <w:pPr>
        <w:numPr>
          <w:ilvl w:val="0"/>
          <w:numId w:val="18"/>
        </w:numPr>
        <w:autoSpaceDE w:val="0"/>
        <w:autoSpaceDN w:val="0"/>
        <w:adjustRightInd w:val="0"/>
        <w:spacing w:after="120" w:line="240" w:lineRule="auto"/>
        <w:ind w:left="1077" w:hanging="357"/>
        <w:jc w:val="both"/>
        <w:rPr>
          <w:rFonts w:ascii="Times New Roman" w:eastAsia="Times New Roman" w:hAnsi="Times New Roman"/>
          <w:sz w:val="24"/>
          <w:szCs w:val="24"/>
        </w:rPr>
      </w:pPr>
      <w:r>
        <w:rPr>
          <w:rFonts w:ascii="Times New Roman" w:hAnsi="Times New Roman"/>
          <w:sz w:val="24"/>
        </w:rPr>
        <w:t>lielāka par 50 % no kopējām attiecināmajām izmaksām tādu kuģu gadījumā, kuru lielākais garums ir 12 metri un vairāk, bet mazāk nekā 24 metri;</w:t>
      </w:r>
    </w:p>
    <w:p w14:paraId="76F91C51" w14:textId="5F93B0FC" w:rsidR="00CD7D8E" w:rsidRDefault="00CD7D8E" w:rsidP="00CD7D8E">
      <w:pPr>
        <w:autoSpaceDE w:val="0"/>
        <w:autoSpaceDN w:val="0"/>
        <w:adjustRightInd w:val="0"/>
        <w:spacing w:after="0" w:line="240" w:lineRule="auto"/>
        <w:ind w:left="1080"/>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3FF9957A" w14:textId="77777777" w:rsidR="00CD7D8E" w:rsidRDefault="00CD7D8E" w:rsidP="00CD7D8E">
      <w:pPr>
        <w:autoSpaceDE w:val="0"/>
        <w:autoSpaceDN w:val="0"/>
        <w:adjustRightInd w:val="0"/>
        <w:spacing w:after="0" w:line="240" w:lineRule="auto"/>
        <w:jc w:val="both"/>
        <w:rPr>
          <w:rFonts w:ascii="Times New Roman" w:eastAsia="Times New Roman" w:hAnsi="Times New Roman"/>
          <w:noProof/>
          <w:sz w:val="24"/>
          <w:szCs w:val="24"/>
          <w:lang w:eastAsia="en-GB"/>
        </w:rPr>
      </w:pPr>
    </w:p>
    <w:p w14:paraId="1963CAF8" w14:textId="65029FBC" w:rsidR="00A91C65" w:rsidRDefault="003F1D62" w:rsidP="003F1D6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lielāka par 25 % no kopējām attiecināmajām izmaksām tādu kuģu gadījumā, kuru lielākais garums ir 24 metri un vairāk.</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4D00212F" w14:textId="3E6CD7A7"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3D0A1467" w14:textId="6F29226F" w:rsidR="00006827" w:rsidRDefault="00006827" w:rsidP="00006827">
      <w:pPr>
        <w:rPr>
          <w:rFonts w:ascii="Times New Roman" w:eastAsia="Times New Roman" w:hAnsi="Times New Roman"/>
          <w:sz w:val="24"/>
          <w:szCs w:val="24"/>
        </w:rPr>
      </w:pPr>
      <w:r>
        <w:rPr>
          <w:rFonts w:ascii="Times New Roman" w:hAnsi="Times New Roman"/>
          <w:sz w:val="24"/>
        </w:rPr>
        <w:t>………………………………………………………………………………………………….</w:t>
      </w:r>
    </w:p>
    <w:p w14:paraId="03D6986C" w14:textId="5FF8B2DB" w:rsidR="00006827" w:rsidRDefault="00EC3D79" w:rsidP="00977F8E">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Hlk125368675"/>
      <w:r>
        <w:rPr>
          <w:rFonts w:ascii="Times New Roman" w:hAnsi="Times New Roman"/>
          <w:sz w:val="24"/>
        </w:rPr>
        <w:lastRenderedPageBreak/>
        <w:t xml:space="preserve">Norādiet juridiskā pamata noteikumu (noteikumus), kas nosaka maksimālo atbalsta intensitāti, kas piemērojama saskaņā ar šo pasākumu.  </w:t>
      </w:r>
    </w:p>
    <w:p w14:paraId="361A0D8D" w14:textId="181AE66D" w:rsidR="003F1D62" w:rsidRDefault="00006827" w:rsidP="00006827">
      <w:pPr>
        <w:rPr>
          <w:rFonts w:ascii="Times New Roman" w:eastAsia="Times New Roman" w:hAnsi="Times New Roman"/>
          <w:sz w:val="24"/>
          <w:szCs w:val="24"/>
        </w:rPr>
      </w:pPr>
      <w:r>
        <w:rPr>
          <w:rFonts w:ascii="Times New Roman" w:hAnsi="Times New Roman"/>
          <w:sz w:val="24"/>
        </w:rPr>
        <w:t>………………………………………………………………………………………………….</w:t>
      </w:r>
      <w:bookmarkEnd w:id="2"/>
    </w:p>
    <w:p w14:paraId="6B717313" w14:textId="5C3FDAC1" w:rsidR="003F1D62" w:rsidRDefault="003F1D62"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ar atbalsta palīdzību iegādātam kuģim jābūt reģistrētam tālākajā reģionā vismaz 15 gadus no atbalsta piešķiršanas dienas un minētajā laikā visas tā nozvejas jāizkrauj tālākajā reģionā.</w:t>
      </w:r>
    </w:p>
    <w:p w14:paraId="180A297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58E46668" w14:textId="77777777" w:rsidR="003F1D62" w:rsidRPr="001E103F" w:rsidRDefault="003F1D62" w:rsidP="003F1D62">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4D3990E0" w14:textId="77777777" w:rsidR="003F1D62" w:rsidRDefault="003F1D62" w:rsidP="003F1D62">
      <w:pPr>
        <w:autoSpaceDE w:val="0"/>
        <w:autoSpaceDN w:val="0"/>
        <w:adjustRightInd w:val="0"/>
        <w:spacing w:after="0" w:line="240" w:lineRule="auto"/>
        <w:jc w:val="both"/>
        <w:rPr>
          <w:rFonts w:ascii="Times New Roman" w:eastAsia="Times New Roman" w:hAnsi="Times New Roman"/>
          <w:sz w:val="24"/>
          <w:szCs w:val="24"/>
          <w:lang w:eastAsia="en-GB"/>
        </w:rPr>
      </w:pPr>
    </w:p>
    <w:p w14:paraId="4F3F2F40" w14:textId="434ACDA7" w:rsidR="00834527" w:rsidRDefault="00834527"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Apstipriniet, ka gadījumā, ja minētais nosacījums netiek izpildīts, atbalsts labuma guvējam uzņēmumam ir jāatmaksā tādā apjomā, kas ir samērīgs ar neatbilstības periodu vai apmēru.</w:t>
      </w:r>
    </w:p>
    <w:p w14:paraId="5BBA4B95" w14:textId="77777777" w:rsidR="00834527" w:rsidRDefault="00834527" w:rsidP="00834527">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14F27E6E" w14:textId="77777777" w:rsidR="00834527" w:rsidRPr="001E103F" w:rsidRDefault="00834527" w:rsidP="00834527">
      <w:pPr>
        <w:autoSpaceDE w:val="0"/>
        <w:autoSpaceDN w:val="0"/>
        <w:adjustRightInd w:val="0"/>
        <w:spacing w:after="0" w:line="240" w:lineRule="auto"/>
        <w:ind w:left="360" w:firstLine="20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AC02EC">
        <w:rPr>
          <w:rFonts w:ascii="Times New Roman" w:eastAsia="Times New Roman" w:hAnsi="Times New Roman"/>
          <w:b/>
          <w:sz w:val="24"/>
        </w:rPr>
      </w:r>
      <w:r w:rsidR="00AC02E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D34C019" w14:textId="77777777" w:rsidR="00834527" w:rsidRPr="00834527" w:rsidRDefault="00834527" w:rsidP="00834527">
      <w:pPr>
        <w:autoSpaceDE w:val="0"/>
        <w:autoSpaceDN w:val="0"/>
        <w:adjustRightInd w:val="0"/>
        <w:spacing w:after="0" w:line="240" w:lineRule="auto"/>
        <w:jc w:val="both"/>
        <w:rPr>
          <w:rFonts w:ascii="Times New Roman" w:eastAsia="Times New Roman" w:hAnsi="Times New Roman"/>
          <w:sz w:val="24"/>
          <w:szCs w:val="24"/>
          <w:lang w:eastAsia="en-GB"/>
        </w:rPr>
      </w:pPr>
    </w:p>
    <w:p w14:paraId="3477CD33" w14:textId="35E8F9A2" w:rsidR="003F1D62" w:rsidRDefault="003F1D62" w:rsidP="00977F8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E1683EF" w14:textId="210BB523" w:rsidR="003F1D62" w:rsidRPr="001E103F" w:rsidRDefault="003F1D62" w:rsidP="00D2507A">
      <w:pPr>
        <w:rPr>
          <w:rFonts w:ascii="Times New Roman" w:eastAsia="Times New Roman" w:hAnsi="Times New Roman"/>
          <w:sz w:val="24"/>
          <w:szCs w:val="24"/>
        </w:rPr>
      </w:pPr>
      <w:r>
        <w:rPr>
          <w:rFonts w:ascii="Times New Roman" w:hAnsi="Times New Roman"/>
          <w:sz w:val="24"/>
        </w:rPr>
        <w:t>………………………………………………………………………………………………….</w:t>
      </w: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CITA INFORMĀCIJA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930CDF0" w:rsidR="005615D7" w:rsidRPr="001E103F" w:rsidRDefault="005615D7" w:rsidP="00977F8E">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7AEFEE83" w14:textId="67F51916" w:rsidR="00504ACF" w:rsidRPr="00504ACF" w:rsidRDefault="00504ACF">
      <w:pPr>
        <w:pStyle w:val="FootnoteText"/>
      </w:pPr>
      <w:r>
        <w:rPr>
          <w:rStyle w:val="FootnoteReference"/>
        </w:rPr>
        <w:footnoteRef/>
      </w:r>
      <w:r>
        <w:t xml:space="preserve"> </w:t>
      </w:r>
      <w:r>
        <w:rPr>
          <w:rFonts w:ascii="Times New Roman" w:hAnsi="Times New Roman"/>
        </w:rPr>
        <w:t>OV C 107, 23.3.2023., 1. lpp.</w:t>
      </w:r>
    </w:p>
  </w:footnote>
  <w:footnote w:id="2">
    <w:p w14:paraId="20426074" w14:textId="5C7F92DF" w:rsidR="00376F0F" w:rsidRPr="00376F0F" w:rsidRDefault="00376F0F" w:rsidP="00376F0F">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Eiropas Parlamenta un Padomes Regula (ES) Nr. 1380/2013 (2013. gada 11. decembris) par kopējo zivsaimniecības politiku un ar ko groza Padomes Regulas (EK) Nr. 1954/2003 un (EK) Nr. 1224/2009 un atceļ Padomes Regulas (EK) Nr. 2371/2002 un (EK) Nr. 639/2004 un Padomes Lēmumu 2004/585/EK (OV L 354, 28.12.2013., 22. lpp.).  </w:t>
      </w:r>
    </w:p>
  </w:footnote>
  <w:footnote w:id="3">
    <w:p w14:paraId="7847149D" w14:textId="1096B59C" w:rsidR="000345FA" w:rsidRPr="000345FA" w:rsidRDefault="000345FA" w:rsidP="000345FA">
      <w:pPr>
        <w:pStyle w:val="FootnoteText"/>
        <w:spacing w:after="0" w:line="240" w:lineRule="auto"/>
        <w:jc w:val="both"/>
      </w:pPr>
      <w:r>
        <w:rPr>
          <w:rStyle w:val="FootnoteReference"/>
        </w:rPr>
        <w:footnoteRef/>
      </w:r>
      <w:r>
        <w:rPr>
          <w:rFonts w:ascii="Times New Roman" w:hAnsi="Times New Roman"/>
        </w:rPr>
        <w:t xml:space="preserve"> Sk. Pamatnostādņu 225.–227. punktu, kuros aprakstīta N gada valsts ziņojuma sagatavošanas un Komisijas rīcības secība līdz N+1 gada 31. martam, kā arī atbalsta piešķiršanas periods.</w:t>
      </w:r>
    </w:p>
  </w:footnote>
  <w:footnote w:id="4">
    <w:p w14:paraId="47CB3F50" w14:textId="5EC012B7" w:rsidR="001A2686" w:rsidRPr="001A2686" w:rsidRDefault="001A2686" w:rsidP="000345FA">
      <w:pPr>
        <w:pStyle w:val="FootnoteText"/>
        <w:spacing w:after="0"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Komisijas paziņojums Eiropas Parlamentam un Padomei: “Zvejas kapacitātes un zvejas iespēju līdzsvara analīzes pamatnostādnes saskaņā ar 22. pantu Eiropas Parlamenta un Padomes Regulā (ES) Nr. 1380/2013 par kopējo zivsaimniecības politiku” (COM(2014) 545 final).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6EFB"/>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4047A"/>
    <w:multiLevelType w:val="multilevel"/>
    <w:tmpl w:val="F798167C"/>
    <w:lvl w:ilvl="0">
      <w:start w:val="3"/>
      <w:numFmt w:val="decimal"/>
      <w:lvlText w:val="%1."/>
      <w:lvlJc w:val="left"/>
      <w:pPr>
        <w:ind w:left="540" w:hanging="540"/>
      </w:pPr>
      <w:rPr>
        <w:rFonts w:hint="default"/>
      </w:rPr>
    </w:lvl>
    <w:lvl w:ilvl="1">
      <w:start w:val="2"/>
      <w:numFmt w:val="decimal"/>
      <w:lvlText w:val="%1.%2."/>
      <w:lvlJc w:val="left"/>
      <w:pPr>
        <w:ind w:left="936" w:hanging="540"/>
      </w:pPr>
      <w:rPr>
        <w:rFonts w:hint="default"/>
      </w:rPr>
    </w:lvl>
    <w:lvl w:ilvl="2">
      <w:start w:val="3"/>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 w15:restartNumberingAfterBreak="0">
    <w:nsid w:val="09DE39B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9" w15:restartNumberingAfterBreak="0">
    <w:nsid w:val="2BFD4FD8"/>
    <w:multiLevelType w:val="hybridMultilevel"/>
    <w:tmpl w:val="59CAF8A2"/>
    <w:lvl w:ilvl="0" w:tplc="0FF0A686">
      <w:start w:val="1"/>
      <w:numFmt w:val="lowerLetter"/>
      <w:lvlText w:val="(%1)"/>
      <w:lvlJc w:val="left"/>
      <w:pPr>
        <w:ind w:left="1080" w:hanging="360"/>
      </w:pPr>
      <w:rPr>
        <w:rFonts w:ascii="Times New Roman" w:eastAsia="Times New Roman" w:hAnsi="Times New Roman" w:cs="Times New Roman"/>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4C232996"/>
    <w:multiLevelType w:val="multilevel"/>
    <w:tmpl w:val="19A6771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B069D"/>
    <w:multiLevelType w:val="multilevel"/>
    <w:tmpl w:val="AC7818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0" w15:restartNumberingAfterBreak="0">
    <w:nsid w:val="6C641100"/>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E5B4AEF"/>
    <w:multiLevelType w:val="hybridMultilevel"/>
    <w:tmpl w:val="3388622C"/>
    <w:lvl w:ilvl="0" w:tplc="CC487398">
      <w:start w:val="1"/>
      <w:numFmt w:val="lowerLetter"/>
      <w:lvlText w:val="(%1)"/>
      <w:lvlJc w:val="left"/>
      <w:pPr>
        <w:ind w:left="927" w:hanging="360"/>
      </w:pPr>
      <w:rPr>
        <w:rFonts w:hint="default"/>
        <w:b w:val="0"/>
        <w:bCs/>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16cid:durableId="1520847367">
    <w:abstractNumId w:val="6"/>
  </w:num>
  <w:num w:numId="2" w16cid:durableId="504127747">
    <w:abstractNumId w:val="22"/>
  </w:num>
  <w:num w:numId="3" w16cid:durableId="1146971053">
    <w:abstractNumId w:val="7"/>
  </w:num>
  <w:num w:numId="4" w16cid:durableId="2129348874">
    <w:abstractNumId w:val="13"/>
  </w:num>
  <w:num w:numId="5" w16cid:durableId="209802491">
    <w:abstractNumId w:val="8"/>
  </w:num>
  <w:num w:numId="6" w16cid:durableId="1414428307">
    <w:abstractNumId w:val="17"/>
  </w:num>
  <w:num w:numId="7" w16cid:durableId="847254142">
    <w:abstractNumId w:val="14"/>
  </w:num>
  <w:num w:numId="8" w16cid:durableId="652174394">
    <w:abstractNumId w:val="21"/>
  </w:num>
  <w:num w:numId="9" w16cid:durableId="483472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4"/>
  </w:num>
  <w:num w:numId="11" w16cid:durableId="566694116">
    <w:abstractNumId w:val="11"/>
  </w:num>
  <w:num w:numId="12" w16cid:durableId="363792905">
    <w:abstractNumId w:val="3"/>
  </w:num>
  <w:num w:numId="13" w16cid:durableId="312611056">
    <w:abstractNumId w:val="5"/>
  </w:num>
  <w:num w:numId="14" w16cid:durableId="1140073642">
    <w:abstractNumId w:val="19"/>
  </w:num>
  <w:num w:numId="15" w16cid:durableId="1060445496">
    <w:abstractNumId w:val="10"/>
  </w:num>
  <w:num w:numId="16" w16cid:durableId="814759880">
    <w:abstractNumId w:val="18"/>
  </w:num>
  <w:num w:numId="17" w16cid:durableId="1100642106">
    <w:abstractNumId w:val="12"/>
  </w:num>
  <w:num w:numId="18" w16cid:durableId="455803617">
    <w:abstractNumId w:val="9"/>
  </w:num>
  <w:num w:numId="19" w16cid:durableId="1464033138">
    <w:abstractNumId w:val="0"/>
  </w:num>
  <w:num w:numId="20" w16cid:durableId="2040549674">
    <w:abstractNumId w:val="24"/>
  </w:num>
  <w:num w:numId="21" w16cid:durableId="1802379027">
    <w:abstractNumId w:val="20"/>
  </w:num>
  <w:num w:numId="22" w16cid:durableId="1966497310">
    <w:abstractNumId w:val="16"/>
  </w:num>
  <w:num w:numId="23" w16cid:durableId="252517075">
    <w:abstractNumId w:val="2"/>
  </w:num>
  <w:num w:numId="24" w16cid:durableId="1668098038">
    <w:abstractNumId w:val="15"/>
  </w:num>
  <w:num w:numId="25" w16cid:durableId="15974140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defaultTabStop w:val="720"/>
  <w:characterSpacingControl w:val="doNotCompress"/>
  <w:hdrShapeDefaults>
    <o:shapedefaults v:ext="edit" spidmax="3891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06827"/>
    <w:rsid w:val="00006C38"/>
    <w:rsid w:val="00015284"/>
    <w:rsid w:val="00016C19"/>
    <w:rsid w:val="000345FA"/>
    <w:rsid w:val="00034AF3"/>
    <w:rsid w:val="00047C56"/>
    <w:rsid w:val="0008347B"/>
    <w:rsid w:val="000A5405"/>
    <w:rsid w:val="000D36C1"/>
    <w:rsid w:val="000E2F1C"/>
    <w:rsid w:val="000E6ABB"/>
    <w:rsid w:val="00105AD7"/>
    <w:rsid w:val="00114BDD"/>
    <w:rsid w:val="00136501"/>
    <w:rsid w:val="00181BD8"/>
    <w:rsid w:val="001832DE"/>
    <w:rsid w:val="001A2686"/>
    <w:rsid w:val="001A503C"/>
    <w:rsid w:val="001A718E"/>
    <w:rsid w:val="001B2BEF"/>
    <w:rsid w:val="001D7707"/>
    <w:rsid w:val="001E09E4"/>
    <w:rsid w:val="001E103F"/>
    <w:rsid w:val="001E46DC"/>
    <w:rsid w:val="001F0558"/>
    <w:rsid w:val="0020247E"/>
    <w:rsid w:val="002256A7"/>
    <w:rsid w:val="00236AD9"/>
    <w:rsid w:val="00247C79"/>
    <w:rsid w:val="00252DEE"/>
    <w:rsid w:val="00256D84"/>
    <w:rsid w:val="0026001A"/>
    <w:rsid w:val="002627EB"/>
    <w:rsid w:val="002C2F3E"/>
    <w:rsid w:val="002D413F"/>
    <w:rsid w:val="003027AD"/>
    <w:rsid w:val="003649C9"/>
    <w:rsid w:val="00376F0F"/>
    <w:rsid w:val="00385658"/>
    <w:rsid w:val="003C02AB"/>
    <w:rsid w:val="003D4919"/>
    <w:rsid w:val="003E0993"/>
    <w:rsid w:val="003E1E24"/>
    <w:rsid w:val="003F1D62"/>
    <w:rsid w:val="003F5366"/>
    <w:rsid w:val="003F6C33"/>
    <w:rsid w:val="004022E9"/>
    <w:rsid w:val="00413743"/>
    <w:rsid w:val="00453ADA"/>
    <w:rsid w:val="004565BB"/>
    <w:rsid w:val="0046170F"/>
    <w:rsid w:val="004629F3"/>
    <w:rsid w:val="004668F6"/>
    <w:rsid w:val="004A1EA0"/>
    <w:rsid w:val="004D22F3"/>
    <w:rsid w:val="004D7425"/>
    <w:rsid w:val="004F33BC"/>
    <w:rsid w:val="0050429C"/>
    <w:rsid w:val="00504ACF"/>
    <w:rsid w:val="005559FD"/>
    <w:rsid w:val="005615D7"/>
    <w:rsid w:val="00564755"/>
    <w:rsid w:val="005B1262"/>
    <w:rsid w:val="005C06D1"/>
    <w:rsid w:val="005C1C12"/>
    <w:rsid w:val="005C3488"/>
    <w:rsid w:val="005E495C"/>
    <w:rsid w:val="005E58E1"/>
    <w:rsid w:val="00610BCF"/>
    <w:rsid w:val="00615953"/>
    <w:rsid w:val="006177B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05639"/>
    <w:rsid w:val="00716026"/>
    <w:rsid w:val="007577B2"/>
    <w:rsid w:val="00764F86"/>
    <w:rsid w:val="00766F2B"/>
    <w:rsid w:val="00772CC2"/>
    <w:rsid w:val="00782244"/>
    <w:rsid w:val="00784417"/>
    <w:rsid w:val="007920FE"/>
    <w:rsid w:val="00792BE3"/>
    <w:rsid w:val="007A2A6D"/>
    <w:rsid w:val="007A3773"/>
    <w:rsid w:val="007B3E6C"/>
    <w:rsid w:val="007D193E"/>
    <w:rsid w:val="007E27BD"/>
    <w:rsid w:val="007F69E1"/>
    <w:rsid w:val="008004EF"/>
    <w:rsid w:val="00806E74"/>
    <w:rsid w:val="008131D2"/>
    <w:rsid w:val="00834527"/>
    <w:rsid w:val="00845C0D"/>
    <w:rsid w:val="00865AD5"/>
    <w:rsid w:val="008A02E0"/>
    <w:rsid w:val="008A3BF8"/>
    <w:rsid w:val="008C7C53"/>
    <w:rsid w:val="008E7385"/>
    <w:rsid w:val="00903A9E"/>
    <w:rsid w:val="00914F8E"/>
    <w:rsid w:val="0092025C"/>
    <w:rsid w:val="00920E82"/>
    <w:rsid w:val="009725CF"/>
    <w:rsid w:val="00977F8E"/>
    <w:rsid w:val="009A3E77"/>
    <w:rsid w:val="009C1330"/>
    <w:rsid w:val="009E1F93"/>
    <w:rsid w:val="00A003E4"/>
    <w:rsid w:val="00A02D5E"/>
    <w:rsid w:val="00A138AC"/>
    <w:rsid w:val="00A13FFA"/>
    <w:rsid w:val="00A52AE4"/>
    <w:rsid w:val="00A56179"/>
    <w:rsid w:val="00A5779C"/>
    <w:rsid w:val="00A634A8"/>
    <w:rsid w:val="00A737D2"/>
    <w:rsid w:val="00A91C65"/>
    <w:rsid w:val="00A9378D"/>
    <w:rsid w:val="00A93E41"/>
    <w:rsid w:val="00AA2F26"/>
    <w:rsid w:val="00AA562C"/>
    <w:rsid w:val="00AB4AD5"/>
    <w:rsid w:val="00AC02EC"/>
    <w:rsid w:val="00AC1CE4"/>
    <w:rsid w:val="00AC55F1"/>
    <w:rsid w:val="00AE0161"/>
    <w:rsid w:val="00AE720A"/>
    <w:rsid w:val="00B05450"/>
    <w:rsid w:val="00B12B1E"/>
    <w:rsid w:val="00B235B8"/>
    <w:rsid w:val="00B30B7F"/>
    <w:rsid w:val="00B37296"/>
    <w:rsid w:val="00B41F35"/>
    <w:rsid w:val="00B4562D"/>
    <w:rsid w:val="00B56ACA"/>
    <w:rsid w:val="00B85E1C"/>
    <w:rsid w:val="00BA70E4"/>
    <w:rsid w:val="00BC1759"/>
    <w:rsid w:val="00BC48E2"/>
    <w:rsid w:val="00BD7CCD"/>
    <w:rsid w:val="00BF55C4"/>
    <w:rsid w:val="00C14894"/>
    <w:rsid w:val="00C17C0E"/>
    <w:rsid w:val="00C25FCA"/>
    <w:rsid w:val="00C300A7"/>
    <w:rsid w:val="00C303CF"/>
    <w:rsid w:val="00C800F0"/>
    <w:rsid w:val="00C81509"/>
    <w:rsid w:val="00C8226F"/>
    <w:rsid w:val="00C97073"/>
    <w:rsid w:val="00CB185C"/>
    <w:rsid w:val="00CB2D84"/>
    <w:rsid w:val="00CC04F4"/>
    <w:rsid w:val="00CD7D8E"/>
    <w:rsid w:val="00CE214E"/>
    <w:rsid w:val="00D2507A"/>
    <w:rsid w:val="00D25398"/>
    <w:rsid w:val="00D4579E"/>
    <w:rsid w:val="00D54834"/>
    <w:rsid w:val="00D7395D"/>
    <w:rsid w:val="00D75EF4"/>
    <w:rsid w:val="00D823CB"/>
    <w:rsid w:val="00DA52D8"/>
    <w:rsid w:val="00DE0181"/>
    <w:rsid w:val="00DF06B6"/>
    <w:rsid w:val="00DF0D4F"/>
    <w:rsid w:val="00DF43CD"/>
    <w:rsid w:val="00E20F79"/>
    <w:rsid w:val="00E51CD7"/>
    <w:rsid w:val="00E610A6"/>
    <w:rsid w:val="00E65A1F"/>
    <w:rsid w:val="00E9142F"/>
    <w:rsid w:val="00E934EF"/>
    <w:rsid w:val="00EB7F3A"/>
    <w:rsid w:val="00EC3D79"/>
    <w:rsid w:val="00ED5E1A"/>
    <w:rsid w:val="00EE7462"/>
    <w:rsid w:val="00F06A07"/>
    <w:rsid w:val="00F117EF"/>
    <w:rsid w:val="00F22776"/>
    <w:rsid w:val="00F3649F"/>
    <w:rsid w:val="00F37EC5"/>
    <w:rsid w:val="00F50789"/>
    <w:rsid w:val="00F50DF3"/>
    <w:rsid w:val="00F56F54"/>
    <w:rsid w:val="00F91CDC"/>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2256A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4</Pages>
  <Words>860</Words>
  <Characters>5665</Characters>
  <Application>Microsoft Office Word</Application>
  <DocSecurity>0</DocSecurity>
  <Lines>157</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BLUSANOVICA Ilze (DGT)</cp:lastModifiedBy>
  <cp:revision>160</cp:revision>
  <dcterms:created xsi:type="dcterms:W3CDTF">2023-01-05T14:31:00Z</dcterms:created>
  <dcterms:modified xsi:type="dcterms:W3CDTF">2024-07-26T07:55:00Z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