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Papildu informācijas lapa par</w:t>
      </w:r>
      <w:r>
        <w:rPr>
          <w:rFonts w:ascii="Times New Roman" w:hAnsi="Times New Roman"/>
          <w:b/>
          <w:smallCaps/>
          <w:sz w:val="24"/>
        </w:rPr>
        <w:br/>
        <w:t>likviditātes atbalstu zvejniekiem</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5614EF92" w:rsidR="0004714A" w:rsidRPr="0004714A" w:rsidRDefault="0004714A" w:rsidP="00681261">
      <w:pPr>
        <w:pStyle w:val="Default"/>
        <w:jc w:val="both"/>
        <w:rPr>
          <w:i/>
          <w:iCs/>
        </w:rPr>
      </w:pPr>
      <w:r>
        <w:rPr>
          <w:i/>
        </w:rPr>
        <w:t>Šī veidlapa dalībvalstīm jāizmanto, lai paziņotu zvejniekiem paredzētu likviditātes atbalstu, kas aprakstīts Pamatnostādņu par valsts atbalstu zvejniecības un akvakultūras nozarē</w:t>
      </w:r>
      <w:r w:rsidR="00C03E87">
        <w:rPr>
          <w:rStyle w:val="FootnoteReference"/>
          <w:rFonts w:eastAsia="Times New Roman"/>
          <w:i/>
          <w:lang w:eastAsia="en-GB"/>
        </w:rPr>
        <w:footnoteReference w:id="1"/>
      </w:r>
      <w:r>
        <w:rPr>
          <w:i/>
        </w:rPr>
        <w:t xml:space="preserve"> (“Pamatnostādnes”) II daļas 3. nodaļas 3.6. iedaļā. Saskaņā ar šo iedaļu atbalstu drīkst piešķirt arī uzņēmumiem, kas nodarbojas ar zveju iekšējos ūdeņos.</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6B8DCA9A"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Savienības zvejas kuģus, attiecībā uz kuriem atbalsts piešķirts, vismaz piecus gadus pēc atbalsta galīgā maksājuma nedrīkst nodot vai mainīt to karogu ārpus Savienības.</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08045D2E" w14:textId="029DB811" w:rsidR="00C25FCA" w:rsidRDefault="00C25FCA" w:rsidP="0004714A">
      <w:pPr>
        <w:rPr>
          <w:rFonts w:ascii="Times New Roman" w:eastAsia="Times New Roman" w:hAnsi="Times New Roman"/>
          <w:sz w:val="24"/>
          <w:szCs w:val="24"/>
        </w:rPr>
      </w:pPr>
      <w:r>
        <w:rPr>
          <w:rFonts w:ascii="Times New Roman" w:hAnsi="Times New Roman"/>
          <w:sz w:val="24"/>
        </w:rPr>
        <w:t>………………………………………………………………………………………………….</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paskaidrojiet apstākļus, kas pamato likviditātes atbalstu, un aprakstiet ārējos notikumus, kuru dēļ zvejas darbības uz laiku ir ierobežotas.</w:t>
      </w:r>
    </w:p>
    <w:p w14:paraId="2D3C1C25" w14:textId="77AB0EF6" w:rsidR="00E20F79" w:rsidRDefault="004565BB" w:rsidP="0004714A">
      <w:pPr>
        <w:rPr>
          <w:rFonts w:ascii="Times New Roman" w:eastAsia="Times New Roman" w:hAnsi="Times New Roman"/>
          <w:sz w:val="24"/>
          <w:szCs w:val="24"/>
        </w:rPr>
      </w:pPr>
      <w:r>
        <w:rPr>
          <w:rFonts w:ascii="Times New Roman" w:hAnsi="Times New Roman"/>
          <w:sz w:val="24"/>
        </w:rPr>
        <w:t>………………………………………………………………………………………………….</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Pr>
          <w:rFonts w:ascii="Times New Roman" w:hAnsi="Times New Roman"/>
          <w:sz w:val="24"/>
        </w:rPr>
        <w:t>Paskaidrojiet, kad noticis ārējais notikums, un attiecīgā gadījumā norādiet tā sākuma un beigu datumu.</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Vai varat apstiprināt, ka pasākums neattiecas ne uz vienu no šiem gadījumiem:</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a) Pamatnostādņu II daļas 3. nodaļas 3.5. iedaļā uzskaitītie zvejas darbību pagaidu pārtraukšanas gadījumi;</w:t>
      </w:r>
    </w:p>
    <w:p w14:paraId="087E462E" w14:textId="0622E88C"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b) saskaņā ar ilgtspējīgas zivsaimniecības partnerattiecību nolīgumu un nolīgumu par apmaiņu vai kopīgu pārvaldību īstenoti saglabāšanas pasākumi;</w:t>
      </w:r>
    </w:p>
    <w:p w14:paraId="32AA4A08" w14:textId="47DEDC4B" w:rsidR="004565BB" w:rsidRPr="001E103F"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c) zvejas iespēju samazinājums vai zaudējums ES ūdeņos kopējās zivsaimniecības politikas īstenošanas satvarā;</w:t>
      </w:r>
    </w:p>
    <w:p w14:paraId="6395D295" w14:textId="270D7991" w:rsidR="004565BB" w:rsidRPr="001E103F" w:rsidRDefault="005F1738" w:rsidP="004565BB">
      <w:pPr>
        <w:numPr>
          <w:ilvl w:val="0"/>
          <w:numId w:val="17"/>
        </w:numPr>
        <w:spacing w:after="0" w:line="240" w:lineRule="auto"/>
        <w:jc w:val="both"/>
        <w:rPr>
          <w:rFonts w:ascii="Times New Roman" w:eastAsia="Times New Roman" w:hAnsi="Times New Roman"/>
          <w:sz w:val="24"/>
          <w:szCs w:val="24"/>
        </w:rPr>
      </w:pPr>
      <w:r>
        <w:rPr>
          <w:rFonts w:ascii="Times New Roman" w:hAnsi="Times New Roman"/>
          <w:sz w:val="24"/>
        </w:rPr>
        <w:t>d) zvejas iespēju samazinājums vai zaudējums ūdeņos, kas nav ES ūdeņi, piemēram, ilgtspējīgas zivsaimniecības partnerattiecību nolīguma vai nolīgumu par apmaiņu vai kopīgu pārvaldību neatjaunošanas, apturēšanas, izbeigšanas vai nosacījumu maiņas dēļ vai saskaņā ar šādu nolīgumu vai reģionālas zvejniecības pārvaldības organizācijas lēmumu īstenotu zvejas iespēju noteikšanas vai iedalīšanas dēļ.</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atbalstu drīkst piešķirt tikai tad, ja pastāv tieša cēloņsakarība starp ārējiem notikumiem un ienākumu zaudējumu.</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15CA76D4" w14:textId="238C930B" w:rsidR="00C800F0" w:rsidRDefault="00C800F0" w:rsidP="0004714A">
      <w:pPr>
        <w:rPr>
          <w:rFonts w:ascii="Times New Roman" w:eastAsia="Times New Roman" w:hAnsi="Times New Roman"/>
          <w:sz w:val="24"/>
          <w:szCs w:val="24"/>
        </w:rPr>
      </w:pPr>
      <w:r>
        <w:rPr>
          <w:rFonts w:ascii="Times New Roman" w:hAnsi="Times New Roman"/>
          <w:sz w:val="24"/>
        </w:rPr>
        <w:t>………………………………………………………………………………………………….</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Detalizēti aprakstiet kontroles un izpildes panākšanas mehānismus, kas ieviesti, lai garantētu ar zvejniekiem paredzēto likviditātes atbalstu saistīto nosacījumu izpildi.</w:t>
      </w:r>
    </w:p>
    <w:p w14:paraId="13459933" w14:textId="0F087389" w:rsidR="00C800F0" w:rsidRDefault="00C800F0" w:rsidP="0004714A">
      <w:pPr>
        <w:rPr>
          <w:rFonts w:ascii="Times New Roman" w:eastAsia="Times New Roman" w:hAnsi="Times New Roman"/>
          <w:sz w:val="24"/>
          <w:szCs w:val="24"/>
        </w:rPr>
      </w:pPr>
      <w:r>
        <w:rPr>
          <w:rFonts w:ascii="Times New Roman" w:hAnsi="Times New Roman"/>
          <w:sz w:val="24"/>
        </w:rPr>
        <w:t>………………………………………………………………………………………………….</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attiecināmās izmaksas ir tikai ārējo notikumu radītie ienākumu zaudējumi.</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uz iepriekšējo jautājumu ir “jā”, norādiet relevanto juridiskā pamata noteikumu (noteikumus).</w:t>
      </w:r>
    </w:p>
    <w:p w14:paraId="2BE2D14A" w14:textId="52450C0F" w:rsidR="007577B2" w:rsidRDefault="00C800F0" w:rsidP="0004714A">
      <w:pPr>
        <w:rPr>
          <w:rFonts w:ascii="Times New Roman" w:eastAsia="Times New Roman" w:hAnsi="Times New Roman"/>
          <w:sz w:val="24"/>
          <w:szCs w:val="24"/>
        </w:rPr>
      </w:pPr>
      <w:r>
        <w:rPr>
          <w:rFonts w:ascii="Times New Roman" w:hAnsi="Times New Roman"/>
          <w:sz w:val="24"/>
        </w:rPr>
        <w:t>………………………………………………………………………………………………….</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attiecināmās izmaksas jāaprēķina individuāla labuma guvēja līmenī.</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EAE056D"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Pr>
          <w:rFonts w:ascii="Times New Roman" w:hAnsi="Times New Roman"/>
          <w:sz w:val="24"/>
        </w:rPr>
        <w:t>Apstipriniet, ka zaudētie ienākumi jāaprēķina saskaņā ar Pamatnostādņu 319. punktu, t. i.: a) rezultātu, kas iegūts, zvejas produktu daudzumu, kurš saražots ārējo notikumu gadā, reizinot ar vidējo pārdošanas cenu attiecīgajā gadā, atņemot no b) rezultāta, kas iegūts, zvejas produktu gada vidējo daudzumu, kurš saražots trīs gadu periodā pirms ārējā notikuma, vai trīs gadu vidējo daudzumu, kas aprēķināts, pamatojoties uz piecu gadu periodu pirms ārējā notikuma un izslēdzot augstāko un zemāko rādītāju, reizinot ar vidējo pārdošanas cenu.</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6B1C53E"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Pr>
          <w:rFonts w:ascii="Times New Roman" w:hAnsi="Times New Roman"/>
          <w:sz w:val="24"/>
        </w:rPr>
        <w:lastRenderedPageBreak/>
        <w:t>Norādiet, vai attiecināmās izmaksas var ietvert citas izmaksas, kas labuma guvējam uzņēmumam radušās ārējo notikumu dēļ.</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Ja atbilde ir “jā”, </w:t>
      </w:r>
      <w:bookmarkStart w:id="3" w:name="_Hlk126945164"/>
      <w:r>
        <w:rPr>
          <w:rFonts w:ascii="Times New Roman" w:hAnsi="Times New Roman"/>
          <w:sz w:val="24"/>
        </w:rPr>
        <w:t>norādiet relevantās izmaksas</w:t>
      </w:r>
      <w:bookmarkEnd w:id="3"/>
      <w:r>
        <w:rPr>
          <w:rFonts w:ascii="Times New Roman" w:hAnsi="Times New Roman"/>
          <w:sz w:val="24"/>
        </w:rPr>
        <w:t xml:space="preserve">. </w:t>
      </w:r>
    </w:p>
    <w:p w14:paraId="23AD85AC"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Pr>
          <w:rFonts w:ascii="Times New Roman" w:hAnsi="Times New Roman"/>
          <w:sz w:val="24"/>
        </w:rPr>
        <w:t>Ja atbilde ir “jā”, norādiet relevanto juridiskā pamata noteikumu (noteikumus).</w:t>
      </w:r>
    </w:p>
    <w:p w14:paraId="34D28157"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Pr>
          <w:rFonts w:ascii="Times New Roman" w:hAnsi="Times New Roman"/>
          <w:sz w:val="24"/>
        </w:rPr>
        <w:t>Apstipriniet, ka attiecināmās izmaksas jāsamazina, no tām atskaitot visas izmaksas, kuras nav radušās ārējo notikumu dēļ un labuma guvējam uzņēmumam būtu radušās arī citā gadījumā.</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Ja atbilde ir “jā”, norādiet relevantās izmaksas. </w:t>
      </w:r>
    </w:p>
    <w:p w14:paraId="2ABC2C36"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Ja atbilde ir “jā”, norādiet relevanto juridiskā pamata noteikumu (noteikumus).</w:t>
      </w:r>
    </w:p>
    <w:p w14:paraId="5214223C"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gadījumā, ja ārējo notikumu laikā kuģis tiek izmantots citām darbībām, nevis komerciālai zvejai, gūtie ienākumi ir jādeklarē un jāatskaita no atbalsta, ko piešķir saskaņā ar šo iedaļu.</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445C4D72" w14:textId="5A2766B7" w:rsidR="00F06A07" w:rsidRDefault="0004714A" w:rsidP="0004714A">
      <w:pPr>
        <w:rPr>
          <w:rFonts w:ascii="Times New Roman" w:eastAsia="Times New Roman" w:hAnsi="Times New Roman"/>
          <w:sz w:val="24"/>
          <w:szCs w:val="24"/>
        </w:rPr>
      </w:pPr>
      <w:r>
        <w:rPr>
          <w:rFonts w:ascii="Times New Roman" w:hAnsi="Times New Roman"/>
          <w:sz w:val="24"/>
        </w:rPr>
        <w:t>………………………………………………………………………………………………….</w:t>
      </w:r>
    </w:p>
    <w:p w14:paraId="44C2AF57" w14:textId="77777777"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Ņemiet vērā, ka Komisija var akceptēt citas aprēķināšanas metodes, ja ir pārliecināta, ka tās ir pamatotas ar objektīviem kritērijiem un nevienam labuma guvējam uzņēmumam nerada pārmērīgu kompensāciju.</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Ja paziņotāja dalībvalsts plāno ierosināt citu aprēķināšanas metodi, norādiet iemeslus, kāpēc Pamatnostādnēs izklāstītā metode konkrētajā gadījumā nav piemērota, un paskaidrojiet, kā cita aprēķināšanas metode labāk atbilst konstatētajām vajadzībām.</w:t>
      </w:r>
    </w:p>
    <w:p w14:paraId="0CDD0ADD"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Pr>
          <w:rFonts w:ascii="Times New Roman" w:hAnsi="Times New Roman"/>
          <w:i/>
          <w:sz w:val="24"/>
        </w:rPr>
        <w:t xml:space="preserve">Kā pielikumu paziņojumam iesniedziet citas ierosinātās metodikas aprakstu, kā arī pierādījumus, ka tā ir balstīta uz objektīviem kritērijiem un nevienam labuma guvējam nerada pārmērīgu kompensāciju. </w:t>
      </w:r>
    </w:p>
    <w:bookmarkEnd w:id="6"/>
    <w:p w14:paraId="74C6F3A8" w14:textId="77777777" w:rsidR="0004714A" w:rsidRDefault="0004714A" w:rsidP="0004714A">
      <w:pPr>
        <w:rPr>
          <w:rFonts w:ascii="Times New Roman" w:eastAsia="Times New Roman" w:hAnsi="Times New Roman"/>
          <w:sz w:val="24"/>
          <w:szCs w:val="24"/>
        </w:rPr>
      </w:pPr>
      <w:r>
        <w:rPr>
          <w:rFonts w:ascii="Times New Roman" w:hAnsi="Times New Roman"/>
          <w:sz w:val="24"/>
        </w:rPr>
        <w:t>…………………………………………………………………………………………………</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Apstipriniet, ka pasākums noteic, ka gadījumā, ja MVU ticis izveidots mazāk nekā trīs gadus pirms ārējā notikuma dienas, atsauce uz trīs gadu vai piecu gadu periodu Pamatnostādņu 319. punkta b) apakšpunktā ir jāsaprot kā atsauce uz daudzumu, ko tāda paša lieluma uzņēmums kā pieteikuma iesniedzējs, proti, mikrouzņēmums, mazais uzņēmums vai vidējais uzņēmums, vidēji saražojis tajā valsts vai reģiona sektorā, kuru ietekmējuši ārējie notikumi.</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Ja atbilde ir “jā”, norādiet relevanto juridiskā pamata noteikumu (noteikumus).</w:t>
      </w:r>
    </w:p>
    <w:p w14:paraId="7E25936D" w14:textId="77777777" w:rsidR="00F06A07" w:rsidRDefault="00F06A07" w:rsidP="00F06A07">
      <w:pPr>
        <w:rPr>
          <w:rFonts w:ascii="Times New Roman" w:eastAsia="Times New Roman" w:hAnsi="Times New Roman"/>
          <w:sz w:val="24"/>
          <w:szCs w:val="24"/>
        </w:rPr>
      </w:pPr>
      <w:r>
        <w:rPr>
          <w:rFonts w:ascii="Times New Roman" w:hAnsi="Times New Roman"/>
          <w:sz w:val="24"/>
        </w:rPr>
        <w:t>………………………………………………………………………………………………….</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Apstipriniet, ka pasākums noteic, ka atbalsts un visi citi maksājumi, ieskaitot maksājumus saskaņā ar apdrošināšanas polisēm, nedrīkst pārsniegt 100 % no attiecināmajām izmaksām.</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jā</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EB49FA">
        <w:rPr>
          <w:rFonts w:ascii="Times New Roman" w:eastAsia="Times New Roman" w:hAnsi="Times New Roman"/>
          <w:b/>
          <w:sz w:val="24"/>
        </w:rPr>
      </w:r>
      <w:r w:rsidR="00EB49FA">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nē</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Norādiet maksimālo atbalsta intensitāti, kas piemērojama saskaņā ar šo pasākumu.</w:t>
      </w:r>
    </w:p>
    <w:p w14:paraId="3C34B1DF" w14:textId="77777777" w:rsidR="006D2511" w:rsidRDefault="006D2511" w:rsidP="006D2511">
      <w:pPr>
        <w:rPr>
          <w:rFonts w:ascii="Times New Roman" w:eastAsia="Times New Roman" w:hAnsi="Times New Roman"/>
          <w:sz w:val="24"/>
          <w:szCs w:val="24"/>
        </w:rPr>
      </w:pPr>
      <w:r>
        <w:rPr>
          <w:rFonts w:ascii="Times New Roman" w:hAnsi="Times New Roman"/>
          <w:sz w:val="24"/>
        </w:rPr>
        <w:t>………………………………………………………………………………………………….</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Pr>
          <w:rFonts w:ascii="Times New Roman" w:hAnsi="Times New Roman"/>
          <w:sz w:val="24"/>
        </w:rPr>
        <w:t>Norādiet juridiskā pamata noteikumu (noteikumus), kas nosaka 100 % limitu un maksimālo atbalsta intensitāti, kas piemērojama saskaņā ar šo pasākumu.</w:t>
      </w:r>
    </w:p>
    <w:p w14:paraId="270BF6FB" w14:textId="77777777" w:rsidR="00A91C65" w:rsidRDefault="00A91C65" w:rsidP="00A91C65">
      <w:pPr>
        <w:rPr>
          <w:rFonts w:ascii="Times New Roman" w:eastAsia="Times New Roman" w:hAnsi="Times New Roman"/>
          <w:sz w:val="24"/>
          <w:szCs w:val="24"/>
        </w:rPr>
      </w:pPr>
      <w:r>
        <w:rPr>
          <w:rFonts w:ascii="Times New Roman" w:hAnsi="Times New Roman"/>
          <w:sz w:val="24"/>
        </w:rPr>
        <w:t>………………………………………………………………………………………………….</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CITA INFORMĀCIJA</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Norādiet jebkādu citu informāciju, ko uzskatāt par šīs Pamatnostādņu iedaļas aptvertā pasākuma novērtēšanai relevantu.</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OV C 107, 23.3.2023.,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B49FA"/>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865</Words>
  <Characters>6143</Characters>
  <Application>Microsoft Office Word</Application>
  <DocSecurity>0</DocSecurity>
  <Lines>170</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BLUSANOVICA Ilze (DGT)</cp:lastModifiedBy>
  <cp:revision>9</cp:revision>
  <dcterms:created xsi:type="dcterms:W3CDTF">2023-05-03T14:29:00Z</dcterms:created>
  <dcterms:modified xsi:type="dcterms:W3CDTF">2024-07-26T10:03:00Z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