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5615D7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7A26F8AB" w:rsidR="005615D7" w:rsidRPr="00620B6E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b/>
          <w:smallCaps/>
          <w:sz w:val="24"/>
        </w:rPr>
        <w:t>3.3.</w:t>
      </w:r>
    </w:p>
    <w:p w14:paraId="7788A656" w14:textId="44F74F51" w:rsidR="005615D7" w:rsidRPr="00620B6E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>
        <w:rPr>
          <w:rFonts w:ascii="Times New Roman" w:hAnsi="Times New Roman"/>
          <w:b/>
          <w:smallCaps/>
          <w:sz w:val="24"/>
        </w:rPr>
        <w:t>Kiegészítő adatlap</w:t>
      </w:r>
      <w:r>
        <w:rPr>
          <w:rFonts w:ascii="Times New Roman" w:hAnsi="Times New Roman"/>
          <w:b/>
          <w:smallCaps/>
          <w:sz w:val="24"/>
        </w:rPr>
        <w:br/>
        <w:t>a halászhajók bruttó tonnatartalmának a biztonsági és munkakörülmények vagy az energiahatékonyság javítása céljából történő megnöveléséhez nyújtott támogatásról</w:t>
      </w:r>
    </w:p>
    <w:p w14:paraId="50622FA5" w14:textId="455F8483" w:rsidR="005615D7" w:rsidRDefault="005615D7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6B7472" w14:textId="77777777" w:rsidR="00A67609" w:rsidRPr="005615D7" w:rsidRDefault="00A67609" w:rsidP="00A676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64574AD5" w:rsidR="005615D7" w:rsidRPr="005615D7" w:rsidRDefault="009B38E1" w:rsidP="00A6760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A tagállamoknak ezt a formanyomtatványt kell használniuk a halászati és </w:t>
      </w:r>
      <w:proofErr w:type="spellStart"/>
      <w:r>
        <w:rPr>
          <w:rFonts w:ascii="Times New Roman" w:hAnsi="Times New Roman"/>
          <w:i/>
          <w:sz w:val="24"/>
        </w:rPr>
        <w:t>akvakultúra</w:t>
      </w:r>
      <w:proofErr w:type="spellEnd"/>
      <w:r>
        <w:rPr>
          <w:rFonts w:ascii="Times New Roman" w:hAnsi="Times New Roman"/>
          <w:i/>
          <w:sz w:val="24"/>
        </w:rPr>
        <w:t>-ágazat számára nyújtott állami támogatásokról szóló iránymutatás</w:t>
      </w:r>
      <w:r w:rsidR="00794B67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(a továbbiakban: iránymutatás) II. része 3. fejezetének 3.3. szakaszában leírt, a halászhajók bruttó tonnatartalmának a biztonsági és munkakörülmények vagy az energiahatékonyság javítása céljából történő megnöveléséhez nyújtott támogatások bejelentéséhez.</w:t>
      </w:r>
    </w:p>
    <w:p w14:paraId="38E57BE1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A67DB4" w14:textId="77777777" w:rsidR="00D45C38" w:rsidRDefault="00D45C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5EAAA65F" w:rsidR="007D193E" w:rsidRDefault="007D193E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Kérjük, erősítse meg, hogy az intézkedés előírja, hogy a támogatásban részesülő uniós halászhajókat a támogatás egyenlegkifizetésétől számított legalább öt évig nem szabad harmadik ország részére átadni vagy harmadik ország lobogójával </w:t>
      </w:r>
      <w:proofErr w:type="spellStart"/>
      <w:r>
        <w:rPr>
          <w:rFonts w:ascii="Times New Roman" w:hAnsi="Times New Roman"/>
          <w:sz w:val="24"/>
        </w:rPr>
        <w:t>átlobogózni</w:t>
      </w:r>
      <w:proofErr w:type="spellEnd"/>
      <w:r>
        <w:rPr>
          <w:rFonts w:ascii="Times New Roman" w:hAnsi="Times New Roman"/>
          <w:sz w:val="24"/>
        </w:rPr>
        <w:t>.</w:t>
      </w:r>
    </w:p>
    <w:p w14:paraId="1444BB95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56802EE5" w14:textId="445DC56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EA2537" w14:textId="7558ABC0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10A2963C" w14:textId="77777777" w:rsidR="004C4105" w:rsidRDefault="004C4105" w:rsidP="004C410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93E3BB" w14:textId="5DB3403D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AB28E5" w14:textId="2900268B" w:rsidR="00A67609" w:rsidRPr="009B38E1" w:rsidRDefault="00A93E41" w:rsidP="00A6760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4951182"/>
      <w:r>
        <w:rPr>
          <w:rFonts w:ascii="Times New Roman" w:hAnsi="Times New Roman"/>
          <w:sz w:val="24"/>
        </w:rPr>
        <w:t xml:space="preserve">Az iránymutatás (265) pontjának a) alpontja értelmében a halászhajónak olyan flottaszegmens részét kell képeznie, amelynek az esetében a halászati kapacitás az 1380/2013/EU rendelet 22. cikkének (2) bekezdésében említett, a halászati kapacitásra vonatkozó legfrissebb jelentés szerint </w:t>
      </w:r>
      <w:bookmarkStart w:id="1" w:name="_Hlk127291610"/>
      <w:r>
        <w:rPr>
          <w:rFonts w:ascii="Times New Roman" w:hAnsi="Times New Roman"/>
          <w:sz w:val="24"/>
        </w:rPr>
        <w:t>(a továbbiakban: nemzeti jelentés)</w:t>
      </w:r>
      <w:bookmarkEnd w:id="1"/>
      <w:r>
        <w:rPr>
          <w:rFonts w:ascii="Times New Roman" w:hAnsi="Times New Roman"/>
          <w:sz w:val="24"/>
        </w:rPr>
        <w:t xml:space="preserve"> egyensúlyban van az e szegmens számára rendelkezésre álló halászati lehetőségekkel</w:t>
      </w:r>
      <w:bookmarkEnd w:id="0"/>
      <w:r>
        <w:rPr>
          <w:rFonts w:ascii="Times New Roman" w:hAnsi="Times New Roman"/>
          <w:sz w:val="24"/>
        </w:rPr>
        <w:t xml:space="preserve"> Az iránymutatás (266) pontja értelmében a (265) pont a) alpontjának alkalmazásában az iránymutatás II. része 2. fejezete 2.2. szakaszának (225)–(227) pontjában meghatározott eljárás és feltételek érvényesek. Mindezek alapján kérjük, erősítse meg a következőket:</w:t>
      </w:r>
    </w:p>
    <w:p w14:paraId="093E229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C1C0C4" w14:textId="77777777" w:rsidR="009B38E1" w:rsidRPr="009C1330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Mikor készült a legutóbbi nemzeti jelentés a támogatás odaítélésének időpontját megelőzően?</w:t>
      </w:r>
    </w:p>
    <w:p w14:paraId="370CE4BD" w14:textId="77777777" w:rsidR="009B38E1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FEFB8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adja meg a linket, amelyen a legutóbbi nemzeti jelentés elérhető, vagy csatolja a bejelentéshez a nemzeti jelentést.</w:t>
      </w:r>
    </w:p>
    <w:p w14:paraId="6C8C1D2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646C9D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BB10C1" w14:textId="77777777" w:rsidR="009B38E1" w:rsidRDefault="009B38E1" w:rsidP="009B38E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valamennyi támogatás nyújtásához teljesülnek a következő feltételek:</w:t>
      </w:r>
    </w:p>
    <w:p w14:paraId="477EA46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764A5A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N. év május 31-ig benyújtották a nemzeti jelentést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?</w:t>
      </w:r>
    </w:p>
    <w:p w14:paraId="350F425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714080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04C4451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9C68D6" w14:textId="77777777" w:rsidR="009B38E1" w:rsidRPr="005C06D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az N. évben benyújtott nemzeti jelentés és különösen az egyensúly abban szereplő értékelése az 1380/2013/EU rendelet 22. cikkének (2) bekezdésében említett közös iránymutatásban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 xml:space="preserve"> meghatározott biológiai, gazdasági és hajóhasználati mutatók alapján készült.</w:t>
      </w:r>
    </w:p>
    <w:p w14:paraId="236ECAE3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6A24B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3F0FF19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1B46880" w14:textId="77777777" w:rsidR="009B38E1" w:rsidRPr="005C3488" w:rsidRDefault="009B38E1" w:rsidP="009B38E1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 xml:space="preserve">Kérjük, vegye figyelembe, hogy nem nyújtható támogatás, ha a nemzeti jelentés és különösen az egyensúly abban szereplő értékelése nem az 1380/2013/EU rendelet 22. cikkének (2) bekezdésében említett közös iránymutatásban meghatározott biológiai, gazdasági és hajóhasználati mutatók alapján készült. </w:t>
      </w:r>
    </w:p>
    <w:p w14:paraId="6119E23F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096C5F" w14:textId="7576A63F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Bizonyítja-e az N. évben benyújtott nemzeti jelentés, hogy a halászati kapacitás és a halászati lehetőségek egyensúlyban vannak azon flottaszegmensben, amelyhez a hajó tartozik?</w:t>
      </w:r>
    </w:p>
    <w:p w14:paraId="398F380D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6625C3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57C377EA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C3031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fejtse ki, hogyan vették figyelembe a nemzeti jelentést az intézkedés kialakításakor, és hogyan érik el az egyensúlyt.</w:t>
      </w:r>
    </w:p>
    <w:p w14:paraId="1A3175A9" w14:textId="77777777" w:rsidR="009B38E1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67B8E2A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 Bizottság az N+1. év március 31-ig nem vonta kétségbe:</w:t>
      </w:r>
    </w:p>
    <w:p w14:paraId="7D09C851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56D8F6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sz w:val="24"/>
        </w:rPr>
      </w:r>
      <w:r w:rsidR="00000000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 az N. évben benyújtott nemzeti jelentés következtetéseit </w:t>
      </w:r>
    </w:p>
    <w:p w14:paraId="4DCE5A37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7CBC6" w14:textId="77777777" w:rsidR="009B38E1" w:rsidRPr="005E495C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010B9A" w14:textId="77777777" w:rsidR="009B38E1" w:rsidRPr="005615D7" w:rsidRDefault="009B38E1" w:rsidP="009B38E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sz w:val="24"/>
        </w:rPr>
      </w:r>
      <w:r w:rsidR="00000000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b) az egyensúlynak az N. évben benyújtott nemzeti jelentésben szereplő értékelését</w:t>
      </w:r>
    </w:p>
    <w:p w14:paraId="2826CDEB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B6705B" w14:textId="77777777" w:rsidR="009B38E1" w:rsidRDefault="009B38E1" w:rsidP="009B38E1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Kérjük, erősítse meg, hogy az intézkedés előírja, hogy az N. évben benyújtott nemzeti jelentés alapján csak az N+1. év – azaz a jelentés benyújtásának évét követő év – december 31-ig nyújtható támogatás. </w:t>
      </w:r>
    </w:p>
    <w:p w14:paraId="390157E8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63B13" w14:textId="77777777" w:rsidR="009B38E1" w:rsidRPr="001E103F" w:rsidRDefault="009B38E1" w:rsidP="009B38E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3564E892" w14:textId="77777777" w:rsidR="009B38E1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3B0A5E" w14:textId="77777777" w:rsidR="009B38E1" w:rsidRDefault="009B38E1" w:rsidP="009B38E1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2309B67B" w14:textId="77777777" w:rsidR="009B38E1" w:rsidRDefault="009B38E1" w:rsidP="009B38E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46AA49C0" w14:textId="490C4410" w:rsidR="009B38E1" w:rsidRPr="0053598F" w:rsidRDefault="009B38E1" w:rsidP="009B3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lastRenderedPageBreak/>
        <w:t>Ha az intézkedés belvízi halászatra vonatkozik, a 2.1–2.2.6.1. kérdéseket nem kell megválaszolni.</w:t>
      </w:r>
    </w:p>
    <w:p w14:paraId="6E6CD017" w14:textId="5F78076D" w:rsidR="00A67609" w:rsidRDefault="00A67609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4FCB2D" w14:textId="62C5EE02" w:rsidR="007D193E" w:rsidRDefault="00A93E41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4951266"/>
      <w:r>
        <w:rPr>
          <w:rFonts w:ascii="Times New Roman" w:hAnsi="Times New Roman"/>
          <w:sz w:val="24"/>
        </w:rPr>
        <w:t>Kérjük, erősítse meg, hogy az intézkedés előírja, hogy a halászhajó teljes hossza nem lehet több 24 méternél.</w:t>
      </w:r>
      <w:bookmarkEnd w:id="2"/>
    </w:p>
    <w:p w14:paraId="0CF74CB3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461D90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4AE8C912" w14:textId="401A483C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2DFFE4" w14:textId="769BE663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4B51EE41" w14:textId="55E2563B" w:rsidR="004C4105" w:rsidRPr="005615D7" w:rsidRDefault="004C4105" w:rsidP="006E20F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BF3818" w14:textId="5BC8254A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az intézkedés előírja, hogy a halászhajónak a támogatási kérelem benyújtásának évét megelőzően legalább 10 naptári év óta szerepelnie kell az uniós halászflotta-nyilvántartásban.</w:t>
      </w:r>
    </w:p>
    <w:p w14:paraId="5911DFE4" w14:textId="77777777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6B4F7E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03BF33E4" w14:textId="75B4BE2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0C6267" w14:textId="06C0D652" w:rsidR="006E20F3" w:rsidRPr="00255D80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Ha az intézkedés belvízi halászatra vonatkozik, kérjük, erősítse meg, hogy az intézkedés előírja, hogy támogatás csak olyan halászhajóra nyújtható, amely a támogatási kérelem benyújtásának évét megelőzően legalább 10 naptári év óta forgalomba volt helyezve, összhangban a nemzeti joggal.</w:t>
      </w:r>
    </w:p>
    <w:p w14:paraId="2227C9C9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4D89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7CA712DE" w14:textId="77777777" w:rsidR="006E20F3" w:rsidRDefault="006E20F3" w:rsidP="006E20F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308BB706" w14:textId="77777777" w:rsidR="006E20F3" w:rsidRDefault="006E20F3" w:rsidP="006E20F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4. vagy a 4.1. kérdésre a válasz „igen”, kérjük, nevezze meg a jogalap vonatkozó rendelkezését/rendelkezéseit.</w:t>
      </w:r>
    </w:p>
    <w:p w14:paraId="686389B7" w14:textId="2EEAAC6E" w:rsidR="00256D84" w:rsidRDefault="006E20F3" w:rsidP="000209D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71C0A97" w14:textId="328D9E1D" w:rsidR="00256D84" w:rsidRDefault="00256D84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 művelet által generált új halászati kapacitásnak a halászflottába való belépését legalább ugyanolyan nagyságú halászati kapacitás állami támogatás nélküli korábbi kivonása ellensúlyozza, mely kivonásra ugyanazon flottaszegmensből vagy egy olyan flottaszegmensből került sor, amelyben az 1380/2013/EU rendelet 22. cikkének (2) bekezdésében említett legfrissebb nemzeti jelentés szerint a halászati kapacitás nincs egyensúlyban az e szegmens számára rendelkezésre álló halászati lehetőségekkel.</w:t>
      </w:r>
    </w:p>
    <w:p w14:paraId="73161F52" w14:textId="77777777" w:rsidR="001D7707" w:rsidRDefault="001D77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139CB9" w14:textId="77777777" w:rsidR="00256D84" w:rsidRDefault="00256D84" w:rsidP="00256D8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1639638E" w14:textId="50C9B19B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31A059" w14:textId="77777777" w:rsidR="004C4105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az előző kérdésre a válasz „igen”, kérjük, nevezze meg a jogalap vonatkozó rendelkezését/rendelkezéseit.</w:t>
      </w:r>
    </w:p>
    <w:p w14:paraId="05E14B9B" w14:textId="1E1092E3" w:rsidR="004C4105" w:rsidRDefault="004C4105" w:rsidP="004C410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95BB69" w14:textId="4656F992" w:rsidR="000209D0" w:rsidRPr="004629F3" w:rsidRDefault="000209D0" w:rsidP="0002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A kérdés nem vonatkozik a belvízi halászattal kapcsolatos intézkedésekre.</w:t>
      </w:r>
    </w:p>
    <w:p w14:paraId="1977F44B" w14:textId="06702978" w:rsidR="00256D84" w:rsidRDefault="00256D8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F3A648" w14:textId="1C1E6888" w:rsidR="00256D84" w:rsidRDefault="00F3649F" w:rsidP="00D45C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 az elszámolható költségeket:</w:t>
      </w:r>
    </w:p>
    <w:p w14:paraId="25723D78" w14:textId="2AACE974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632100" w14:textId="570DB8C8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 xml:space="preserve">a) a bruttó tonnatartalomnak a személyzet kizárólagos használatára szolgáló szálláshelyiségek későbbi kialakításához vagy felújításához szükséges </w:t>
      </w:r>
      <w:r>
        <w:rPr>
          <w:rFonts w:ascii="Times New Roman" w:hAnsi="Times New Roman"/>
          <w:sz w:val="24"/>
        </w:rPr>
        <w:lastRenderedPageBreak/>
        <w:t>növelése, a higiéniás létesítményeket, a közös tereket, a konyhát és a menedéket nyújtó fedélzeti szerkezeteket is beleértve</w:t>
      </w:r>
    </w:p>
    <w:p w14:paraId="09A89D83" w14:textId="4476B369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b) a bruttó tonnatartalomnak a fedélzeti tűzmegelőzési rendszerek, biztonsági és riasztórendszerek, valamint zajcsökkentő rendszerek későbbi fejlesztéséhez vagy telepítéséhez szükséges növelése</w:t>
      </w:r>
    </w:p>
    <w:p w14:paraId="24AF6DCD" w14:textId="18CDAC6C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c) a bruttó tonnatartalomnak a hajóhíd teljes felszerelésének későbbi beépítéséhez szükséges növelése, ami a navigáció vagy a hajtóművezérlés javítását célozza</w:t>
      </w:r>
    </w:p>
    <w:p w14:paraId="791428B0" w14:textId="44B87944" w:rsidR="00F3649F" w:rsidRPr="005615D7" w:rsidRDefault="00F3649F" w:rsidP="00F14E84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d) a bruttó tonnatartalomnak olyan hajtómű vagy hajtásrendszer későbbi beépítéséhez vagy felújításához szükséges növelése, amely a korábbi hajtóműhöz vagy hajtásrendszerhez képest nagyobb energiahatékonyságot vagy alacsonyabb szén-dioxid-kibocsátást képvisel, amelynek teljesítménye nem haladja meg a halászhajónak az 1224/2009/EK tanácsi rendelet</w:t>
      </w:r>
      <w:r w:rsidR="001D7707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 xml:space="preserve"> 40. cikkének (1) bekezdése szerinti, korábban hitelesített hajtóműteljesítményét, és amelynek legnagyobb leadott teljesítményét a gyártó a hajtómű vagy hajtásrendszer adott modellje tekintetében hitelesítette;</w:t>
      </w:r>
    </w:p>
    <w:p w14:paraId="3E27BC3F" w14:textId="03A813A5" w:rsidR="00F3649F" w:rsidRDefault="001D7707" w:rsidP="001D770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 xml:space="preserve">e) a </w:t>
      </w:r>
      <w:proofErr w:type="spellStart"/>
      <w:r>
        <w:rPr>
          <w:rFonts w:ascii="Times New Roman" w:hAnsi="Times New Roman"/>
          <w:sz w:val="24"/>
        </w:rPr>
        <w:t>bulbaorr</w:t>
      </w:r>
      <w:proofErr w:type="spellEnd"/>
      <w:r>
        <w:rPr>
          <w:rFonts w:ascii="Times New Roman" w:hAnsi="Times New Roman"/>
          <w:sz w:val="24"/>
        </w:rPr>
        <w:t xml:space="preserve"> cseréje vagy felújítása, feltéve, hogy az javítja a halászhajó általános energiahatékonyságát</w:t>
      </w:r>
    </w:p>
    <w:p w14:paraId="27AC75B6" w14:textId="380AE9E9" w:rsidR="00F3649F" w:rsidRDefault="00F3649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7222F3" w14:textId="21CFF8E6" w:rsidR="004C4105" w:rsidRPr="007E7B0C" w:rsidRDefault="004C4105" w:rsidP="00D45C3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nevezze meg a jogalap azon rendelkezését/rendelkezéseit, amely(</w:t>
      </w:r>
      <w:proofErr w:type="spellStart"/>
      <w:r>
        <w:rPr>
          <w:rFonts w:ascii="Times New Roman" w:hAnsi="Times New Roman"/>
          <w:sz w:val="24"/>
        </w:rPr>
        <w:t>ek</w:t>
      </w:r>
      <w:proofErr w:type="spellEnd"/>
      <w:r>
        <w:rPr>
          <w:rFonts w:ascii="Times New Roman" w:hAnsi="Times New Roman"/>
          <w:sz w:val="24"/>
        </w:rPr>
        <w:t>) tükrözi(k) a válaszát.</w:t>
      </w:r>
    </w:p>
    <w:p w14:paraId="15BC5AA7" w14:textId="1089BD9D" w:rsidR="004C4105" w:rsidRDefault="004C4105" w:rsidP="000209D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8F375A" w14:textId="77777777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az elszámolható költségek közé csak a halászhajók bruttó tonnatartalmának a biztonsági és munkakörülmények vagy az energiahatékonyság javítása céljából való megnövelésére irányuló beruházáshoz nyújtott támogatással kapcsolatos közvetlen és közvetett költségek tartozhatnak.</w:t>
      </w:r>
    </w:p>
    <w:p w14:paraId="434B56C8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4CFD64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70A1AAC9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21C979" w14:textId="7A4D0698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7A111807" w14:textId="3EB9D5D4" w:rsidR="00E26EC9" w:rsidRDefault="00E26EC9" w:rsidP="00E26E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CD3AD5D" w14:textId="77777777" w:rsidR="00E26EC9" w:rsidRDefault="00E26EC9" w:rsidP="00E26E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AECD7B" w14:textId="5470C049" w:rsidR="00E26EC9" w:rsidRDefault="00E26EC9" w:rsidP="00E26EC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34023979"/>
      <w:r>
        <w:rPr>
          <w:rFonts w:ascii="Times New Roman" w:hAnsi="Times New Roman"/>
          <w:sz w:val="24"/>
        </w:rPr>
        <w:t>Kérjük, adjon részletes leírást az intézkedés keretében elszámolható költségekről. Kérjük, ismertesse, melyik költség kapcsolódik a biztonság, a munkakörülmények, illetve az energiahatékonyság javításához.</w:t>
      </w:r>
    </w:p>
    <w:bookmarkEnd w:id="3"/>
    <w:p w14:paraId="500DDBE6" w14:textId="77777777" w:rsidR="00E26EC9" w:rsidRDefault="00E26EC9" w:rsidP="00E26E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0E46043" w14:textId="34AFDE23" w:rsidR="009E1F93" w:rsidRDefault="009E1F93" w:rsidP="00256D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DA7DA" w14:textId="70221BA9" w:rsidR="00651AE7" w:rsidRDefault="00651AE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ismertesse részletesen az iránymutatás II. része 3. fejezetének 3.3. szakaszában meghatározott feltételek teljesítésének garantálására szolgáló ellenőrzési és végrehajtási mechanizmusokat.</w:t>
      </w:r>
    </w:p>
    <w:p w14:paraId="622D5B4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3193DA" w14:textId="381C85A6" w:rsidR="009E1F93" w:rsidRDefault="00651AE7" w:rsidP="000209D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101F8C7" w14:textId="2656E1D0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21C2B3" w14:textId="284B785A" w:rsidR="004022E9" w:rsidRDefault="004022E9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írja le részletesen az intézkedés jellemzőit, beleértve a megnövelt halászati kapacitás értékét és az említett növelés célját.</w:t>
      </w:r>
    </w:p>
    <w:p w14:paraId="17288AC0" w14:textId="1665794B" w:rsidR="00F37EC5" w:rsidRDefault="00F37EC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CC5855" w14:textId="77777777" w:rsidR="004022E9" w:rsidRDefault="004022E9" w:rsidP="004022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3469BF8" w14:textId="6C951CD2" w:rsidR="005B1262" w:rsidRDefault="000209D0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Ha a választ egy korábbi kérdésnél vagy szakasznál már megadták, kérjük, hivatkozzon arra a válaszra.</w:t>
      </w:r>
    </w:p>
    <w:p w14:paraId="76DA6870" w14:textId="77777777" w:rsidR="005B1262" w:rsidRPr="005615D7" w:rsidRDefault="005B1262" w:rsidP="004C41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E57E75" w14:textId="669F2C9C" w:rsidR="00252DEE" w:rsidRDefault="00252DEE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az intézkedés előírja, hogy a maximális támogatási intenzitás nem haladhatja meg az elszámolható költségek 40 %-át.</w:t>
      </w:r>
    </w:p>
    <w:p w14:paraId="11FB7220" w14:textId="7655E068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DEC920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sz w:val="24"/>
        </w:rPr>
      </w:r>
      <w:r w:rsidR="0000000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1DD68155" w14:textId="77777777" w:rsidR="009921D5" w:rsidRDefault="009921D5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7F8592" w14:textId="212D1178" w:rsidR="00F13816" w:rsidRDefault="00F13816" w:rsidP="00F13816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adja meg az intézkedés keretében alkalmazandó maximális támogatási intenzitás(oka)t.</w:t>
      </w:r>
    </w:p>
    <w:p w14:paraId="0733FC72" w14:textId="77777777" w:rsidR="00F13816" w:rsidRDefault="00F13816" w:rsidP="00F1381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52F416A" w14:textId="77777777" w:rsidR="00F13816" w:rsidRDefault="00F13816" w:rsidP="00992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7151DF" w14:textId="4B2ACAC5" w:rsidR="007D4B84" w:rsidRDefault="007D4B84" w:rsidP="000209D0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5368675"/>
      <w:r>
        <w:rPr>
          <w:rFonts w:ascii="Times New Roman" w:hAnsi="Times New Roman"/>
          <w:sz w:val="24"/>
        </w:rPr>
        <w:t>Kérjük, nevezze meg az intézkedés tekintetében a jogalap maximális támogatási intenzitást meghatározó rendelkezését/rendelkezéseit.</w:t>
      </w:r>
    </w:p>
    <w:p w14:paraId="2F5ED9DD" w14:textId="77777777" w:rsidR="007D4B84" w:rsidRDefault="007D4B84" w:rsidP="007D4B8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4"/>
    </w:p>
    <w:p w14:paraId="419E77DE" w14:textId="77777777" w:rsidR="004C4105" w:rsidRDefault="004C410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EGYÉB INFORMÁCIÓK</w:t>
      </w:r>
    </w:p>
    <w:p w14:paraId="3BE10B7F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2F7F9E80" w:rsidR="005615D7" w:rsidRPr="005615D7" w:rsidRDefault="005615D7" w:rsidP="000209D0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van olyan egyéb információ, amelyet lényegesnek tart az intézkedésnek az iránymutatás e szakasza szerinti értékeléséhez, kérjük, adja meg.</w:t>
      </w:r>
    </w:p>
    <w:p w14:paraId="227C2D0E" w14:textId="77777777" w:rsidR="005615D7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93682A" w14:textId="77777777" w:rsidR="001A718E" w:rsidRPr="00453ADA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453A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26462" w14:textId="77777777" w:rsidR="00436CA4" w:rsidRDefault="00436CA4" w:rsidP="005615D7">
      <w:pPr>
        <w:spacing w:after="0" w:line="240" w:lineRule="auto"/>
      </w:pPr>
      <w:r>
        <w:separator/>
      </w:r>
    </w:p>
  </w:endnote>
  <w:endnote w:type="continuationSeparator" w:id="0">
    <w:p w14:paraId="05ACDC47" w14:textId="77777777" w:rsidR="00436CA4" w:rsidRDefault="00436CA4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3352" w14:textId="77777777" w:rsidR="004C4105" w:rsidRDefault="004C41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14D6" w14:textId="77777777" w:rsidR="004C4105" w:rsidRDefault="004C41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B8027" w14:textId="77777777" w:rsidR="00436CA4" w:rsidRDefault="00436CA4" w:rsidP="005615D7">
      <w:pPr>
        <w:spacing w:after="0" w:line="240" w:lineRule="auto"/>
      </w:pPr>
      <w:r>
        <w:separator/>
      </w:r>
    </w:p>
  </w:footnote>
  <w:footnote w:type="continuationSeparator" w:id="0">
    <w:p w14:paraId="2143DD9C" w14:textId="77777777" w:rsidR="00436CA4" w:rsidRDefault="00436CA4" w:rsidP="005615D7">
      <w:pPr>
        <w:spacing w:after="0" w:line="240" w:lineRule="auto"/>
      </w:pPr>
      <w:r>
        <w:continuationSeparator/>
      </w:r>
    </w:p>
  </w:footnote>
  <w:footnote w:id="1">
    <w:p w14:paraId="03DEB263" w14:textId="22D2372E" w:rsidR="00794B67" w:rsidRPr="00794B67" w:rsidRDefault="00794B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HL C 107., 2023.3.23., 1. o.</w:t>
      </w:r>
    </w:p>
  </w:footnote>
  <w:footnote w:id="2">
    <w:p w14:paraId="51AB2412" w14:textId="77777777" w:rsidR="009B38E1" w:rsidRPr="000345FA" w:rsidRDefault="009B38E1" w:rsidP="00DC3F51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Lásd az iránymutatás (225) és (226) pontját, amelyek ismertetik az N. évben benyújtott nemzeti jelentésnek és a Bizottság N+1. év március 31-ig történő eljárásának folyamatát.</w:t>
      </w:r>
    </w:p>
  </w:footnote>
  <w:footnote w:id="3">
    <w:p w14:paraId="2D939E5B" w14:textId="28688CB3" w:rsidR="009B38E1" w:rsidRPr="001A2686" w:rsidRDefault="009B38E1" w:rsidP="009B38E1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A Bizottság közleménye az Európai Parlamentnek és a Tanácsnak – A halászati kapacitás és a halászati lehetőségek közötti egyensúlynak a közös halászati politikáról szóló 1380/2013/EU európai parlamenti és tanácsi rendelet 22. cikke szerinti elemzésére vonatkozó iránymutatás, </w:t>
      </w:r>
      <w:proofErr w:type="gramStart"/>
      <w:r>
        <w:rPr>
          <w:rFonts w:ascii="Times New Roman" w:hAnsi="Times New Roman"/>
        </w:rPr>
        <w:t>COM(</w:t>
      </w:r>
      <w:proofErr w:type="gramEnd"/>
      <w:r>
        <w:rPr>
          <w:rFonts w:ascii="Times New Roman" w:hAnsi="Times New Roman"/>
        </w:rPr>
        <w:t xml:space="preserve">2014) 545 </w:t>
      </w:r>
      <w:proofErr w:type="spellStart"/>
      <w:r>
        <w:rPr>
          <w:rFonts w:ascii="Times New Roman" w:hAnsi="Times New Roman"/>
        </w:rPr>
        <w:t>final</w:t>
      </w:r>
      <w:proofErr w:type="spellEnd"/>
      <w:r>
        <w:rPr>
          <w:rFonts w:ascii="Times New Roman" w:hAnsi="Times New Roman"/>
        </w:rPr>
        <w:t>.</w:t>
      </w:r>
    </w:p>
  </w:footnote>
  <w:footnote w:id="4">
    <w:p w14:paraId="7410FC78" w14:textId="0323165B" w:rsidR="001D7707" w:rsidRPr="001D7707" w:rsidRDefault="001D7707" w:rsidP="001D7707">
      <w:pPr>
        <w:pStyle w:val="FootnoteText"/>
        <w:ind w:left="567" w:hanging="425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A Tanács 1224/2009/EK rendelete (2009. november 20.) a közös halászati politika szabályainak betartását biztosító közösségi ellenőrző rendszer létrehozásáról, a 847/96/EK, a 2371/2002/EK, a 811/2004/EK, a 768/2005/EK, a 2115/2005/EK, a 2166/2005/EK, a 388/2006/EK, az 509/2007/EK, a 676/2007/EK, az 1098/2007/EK, az 1300/2008/EK és az 1342/2008/EK rendelet módosításáról, valamint a 2847/93/EGK, az 1627/94/EK és az 1966/2006/EK rendelet hatályon kívül helyezéséről (HL L 343., 2009.12.22., 1. o.).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FB2F" w14:textId="77777777" w:rsidR="004C4105" w:rsidRDefault="004C41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8DE0" w14:textId="77777777" w:rsidR="004C4105" w:rsidRDefault="004C41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B32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1"/>
  </w:num>
  <w:num w:numId="2" w16cid:durableId="504127747">
    <w:abstractNumId w:val="8"/>
  </w:num>
  <w:num w:numId="3" w16cid:durableId="1146971053">
    <w:abstractNumId w:val="2"/>
  </w:num>
  <w:num w:numId="4" w16cid:durableId="2129348874">
    <w:abstractNumId w:val="5"/>
  </w:num>
  <w:num w:numId="5" w16cid:durableId="209802491">
    <w:abstractNumId w:val="3"/>
  </w:num>
  <w:num w:numId="6" w16cid:durableId="1414428307">
    <w:abstractNumId w:val="7"/>
  </w:num>
  <w:num w:numId="7" w16cid:durableId="847254142">
    <w:abstractNumId w:val="6"/>
  </w:num>
  <w:num w:numId="8" w16cid:durableId="1951278949">
    <w:abstractNumId w:val="4"/>
  </w:num>
  <w:num w:numId="9" w16cid:durableId="203013697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1000"/>
    <w:rsid w:val="00015284"/>
    <w:rsid w:val="000209D0"/>
    <w:rsid w:val="00047C56"/>
    <w:rsid w:val="000A5405"/>
    <w:rsid w:val="000E2F1C"/>
    <w:rsid w:val="00136501"/>
    <w:rsid w:val="001A718E"/>
    <w:rsid w:val="001D7707"/>
    <w:rsid w:val="001E09E4"/>
    <w:rsid w:val="001F0558"/>
    <w:rsid w:val="00236AD9"/>
    <w:rsid w:val="00252DEE"/>
    <w:rsid w:val="00256D84"/>
    <w:rsid w:val="002F7CEF"/>
    <w:rsid w:val="003649C9"/>
    <w:rsid w:val="00385658"/>
    <w:rsid w:val="00391B8E"/>
    <w:rsid w:val="003E0993"/>
    <w:rsid w:val="004022E9"/>
    <w:rsid w:val="00423C21"/>
    <w:rsid w:val="00436CA4"/>
    <w:rsid w:val="00453ADA"/>
    <w:rsid w:val="0046170F"/>
    <w:rsid w:val="004629F3"/>
    <w:rsid w:val="004668F6"/>
    <w:rsid w:val="004A1EA0"/>
    <w:rsid w:val="004C4105"/>
    <w:rsid w:val="0050429C"/>
    <w:rsid w:val="005615D7"/>
    <w:rsid w:val="005B1262"/>
    <w:rsid w:val="005E58E1"/>
    <w:rsid w:val="00610BCF"/>
    <w:rsid w:val="00620B6E"/>
    <w:rsid w:val="00651AE7"/>
    <w:rsid w:val="0066443A"/>
    <w:rsid w:val="006663B8"/>
    <w:rsid w:val="006914B0"/>
    <w:rsid w:val="006A5AF5"/>
    <w:rsid w:val="006C7549"/>
    <w:rsid w:val="006D64CF"/>
    <w:rsid w:val="006E20F3"/>
    <w:rsid w:val="006F0468"/>
    <w:rsid w:val="00716026"/>
    <w:rsid w:val="00762348"/>
    <w:rsid w:val="00764F86"/>
    <w:rsid w:val="00792BE3"/>
    <w:rsid w:val="00794B67"/>
    <w:rsid w:val="007D193E"/>
    <w:rsid w:val="007D4B84"/>
    <w:rsid w:val="007E27BD"/>
    <w:rsid w:val="007F69E1"/>
    <w:rsid w:val="008004EF"/>
    <w:rsid w:val="00806E74"/>
    <w:rsid w:val="008131D2"/>
    <w:rsid w:val="00865AD5"/>
    <w:rsid w:val="008C1AC0"/>
    <w:rsid w:val="008C60A0"/>
    <w:rsid w:val="009725CF"/>
    <w:rsid w:val="009921D5"/>
    <w:rsid w:val="009B173D"/>
    <w:rsid w:val="009B38E1"/>
    <w:rsid w:val="009E1F93"/>
    <w:rsid w:val="00A02D5E"/>
    <w:rsid w:val="00A56179"/>
    <w:rsid w:val="00A5779C"/>
    <w:rsid w:val="00A634A8"/>
    <w:rsid w:val="00A67609"/>
    <w:rsid w:val="00A9378D"/>
    <w:rsid w:val="00A93E41"/>
    <w:rsid w:val="00AA2F26"/>
    <w:rsid w:val="00AC1CE4"/>
    <w:rsid w:val="00AC55F1"/>
    <w:rsid w:val="00AF6248"/>
    <w:rsid w:val="00B05450"/>
    <w:rsid w:val="00B12B1E"/>
    <w:rsid w:val="00B235B8"/>
    <w:rsid w:val="00B30B7F"/>
    <w:rsid w:val="00B37296"/>
    <w:rsid w:val="00B41F35"/>
    <w:rsid w:val="00B92518"/>
    <w:rsid w:val="00BA70E4"/>
    <w:rsid w:val="00BC48E2"/>
    <w:rsid w:val="00BD362C"/>
    <w:rsid w:val="00BD7CCD"/>
    <w:rsid w:val="00C03E01"/>
    <w:rsid w:val="00C300A7"/>
    <w:rsid w:val="00C824B3"/>
    <w:rsid w:val="00C87223"/>
    <w:rsid w:val="00CB185C"/>
    <w:rsid w:val="00CB2D84"/>
    <w:rsid w:val="00CC04F4"/>
    <w:rsid w:val="00CE214E"/>
    <w:rsid w:val="00D45C38"/>
    <w:rsid w:val="00D54834"/>
    <w:rsid w:val="00D7395D"/>
    <w:rsid w:val="00DC3F51"/>
    <w:rsid w:val="00E26EC9"/>
    <w:rsid w:val="00E610A6"/>
    <w:rsid w:val="00E65A1F"/>
    <w:rsid w:val="00E9558A"/>
    <w:rsid w:val="00EE7462"/>
    <w:rsid w:val="00F13816"/>
    <w:rsid w:val="00F14E84"/>
    <w:rsid w:val="00F241D6"/>
    <w:rsid w:val="00F3649F"/>
    <w:rsid w:val="00F37EC5"/>
    <w:rsid w:val="00F56F54"/>
    <w:rsid w:val="00F91797"/>
    <w:rsid w:val="00FD1E57"/>
    <w:rsid w:val="00FD2FC9"/>
    <w:rsid w:val="00FD7A44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customStyle="1" w:styleId="Default">
    <w:name w:val="Default"/>
    <w:rsid w:val="009B38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1130</Words>
  <Characters>8211</Characters>
  <Application>Microsoft Office Word</Application>
  <DocSecurity>0</DocSecurity>
  <Lines>216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VAMOSI Krisztian (DGT)</cp:lastModifiedBy>
  <cp:revision>8</cp:revision>
  <dcterms:created xsi:type="dcterms:W3CDTF">2024-09-05T15:06:00Z</dcterms:created>
  <dcterms:modified xsi:type="dcterms:W3CDTF">2024-10-02T08:01:00Z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