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Допълнителен информационен лист относно</w:t>
      </w:r>
      <w:r>
        <w:rPr>
          <w:rFonts w:ascii="Times New Roman" w:hAnsi="Times New Roman"/>
          <w:b/>
          <w:smallCaps/>
          <w:sz w:val="24"/>
        </w:rPr>
        <w:br/>
        <w:t>помощта за окончателно преустановяване на риболовни дейности</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Държавите членки трябва да използват настоящия формуляр за подаването на уведомление за всяка държавна помощ за окончателно преустановяване на риболовните дейности, както е описано в част II, глава 3, раздел 3.4 от Насоките за държавна помощ за рибарството и аквакултурите</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когато помощта се предоставя за риболовен кораб на Съюза, в продължение на най-малко пет години след последното плащане на помощта не може да се извършва прехвърляне на този кораб или смяна на неговото знаме към държава извън Съюза.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Ако мярката включва само бракуването на риболовни кораби, този въпрос не е приложим.</w:t>
      </w:r>
    </w:p>
    <w:p w14:paraId="36312EFD" w14:textId="77777777" w:rsidR="00114BDD" w:rsidRPr="001E103F" w:rsidRDefault="00114BDD"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преустановяването е предвидено като инструмент в рамките на план за действие, посочен в член 22, параграф 4 от Регламент (ЕС) №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Ако по мярката се вземат под внимание съображения от икономически характер или други съображения, свързани с опазването на морските биологични ресурси, съгласно точка 277 от Насоките, този въпрос не е приложим. Също така, ако мярката засяга риболова във вътрешни водоеми, този въпрос не е приложим.</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окончателното преустановяване на риболовните дейности ще бъде постигнато чрез:</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бракуване на риболовния кораб;</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б) извеждането на риболовния кораб от експлоатация и преоборудването му за дейности, различни от търговския риболов;</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5AFA46F8"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в) и двете, т.е. окончателното преустановяване на риболовните дейности ще бъде постигнато чрез бракуването и извеждането на риболовния кораб от експлоатация и преоборудването му</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разпоредбата(ите) от правното основание, отразяваща(и) вашия избор.</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риболовният кораб трябва да е регистриран като действащ и да е извършвал риболовни дейности в морето в продължение на най-малко 90 дни на година през последните две календарни години, предхождащи датата на подаване на заявлението за помощ.</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5F4C26EF"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 xml:space="preserve">Ако въпросната риболовна дейност е от такова естество, че не може да бъде извършвана през цялата календарна година, минималното изискване за риболовна дейност, посочено в точка 275, буква в) от Насоките, може да бъде намалено, при условие че съотношението между броя на дните с дейност и броя на дните, подходящи за риболов, е същото като съотношението между броя на дните с дейност и броя на календарните дни в годината за предприятията бенефициери, които извършват риболов през цялата година.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такъв случай, моля, опишете подробно естеството на риболовната дейност, за която се отнася мярката, обяснете как е изчислено минималното изискване за риболовна дейност и посочете съответната(ите) разпоредба(и) от правното основание.</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Ако мярката засяга риболова във вътрешни водоеми и риболовен кораб извършва улов на няколко вида, за които е разрешен различен брой дни за риболов във вътрешни водоеми, броят на дните, позволяващи риболов, за да се изчисли съотношението, посочено в точка 276 от Насоките, е средният брой дни за риболов, разрешени за улова на този кораб. Моля, обърнете внимание, че независимо от това минималният брой дни риболовни дейности, произтичащи от такава корекция, в никакъв случай не трябва да бъде по-малък от 30 дни или по-голям от 90 дни.</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В такъв случай, моля, опишете подробно правната и/или административната рамка, приложима за съответния риболов във вътрешни водоеми, обяснете как е изчислено минималното изискване за риболовна дейност и посочете съответната(ите) разпоредба(и) от правното основание.</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Моля, потвърдете, че мярката предвижда, че еквивалентният риболовен капацитет ще бъде завинаги заличен от регистъра на риболовния флот на Съюза и няма да бъде заменен.</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мярката засяга риболова във вътрешни водоеми, моля, потвърдете, че условието се прилага чрез позоваване на съответния национален регистър на флота, ако има такъв съгласно националното законодателство, вместо на регистъра на флота на Съюза.</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на въпрос 5 или 5.1 е „да“, моля, посочете съответната(ите) разпоредба(и) от правното основание.</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съответните лицензи за риболов и разрешения за риболов ще бъдат окончателно отнети.</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предприятието бенефициер не може да регистрира риболовен кораб в рамките на пет години след получаването на помощта.</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мярката засяга риболова във вътрешни водоеми, моля, потвърдете, че условието се прилага чрез позоваване на съответния национален регистър на флота, ако има такъв съгласно националното законодателство, вместо на регистъра на флота на Съюза.</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на въпрос 7 или 7.1 е „да“, моля, посочете съответната(ите) разпоредба(и) от правното основание.</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Ако по мярката се вземат под внимание съображения от икономически характер или други съображения, свързани с опазването на морските биологични ресурси, </w:t>
      </w:r>
      <w:r>
        <w:rPr>
          <w:rFonts w:ascii="Times New Roman" w:hAnsi="Times New Roman"/>
          <w:sz w:val="24"/>
        </w:rPr>
        <w:lastRenderedPageBreak/>
        <w:t>съгласно точка 277 от Насоките, или ако мярката засяга риболова във вътрешни водоеми съгласно точка 280 от тях, моля, отговорете на следните точки:</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Моля, обяснете подробно обстоятелствата, обосноваващи окончателното преустановяване на риболовните дейности</w:t>
      </w:r>
      <w:bookmarkEnd w:id="2"/>
      <w:r>
        <w:rPr>
          <w:rFonts w:ascii="Times New Roman" w:hAnsi="Times New Roman"/>
          <w:sz w:val="24"/>
        </w:rPr>
        <w:t>, като посочите например взетите предвид икономически или екологични съображения.</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t>Моля, посочете целта на мярката:</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мерки за опазване, подкрепени с научни доказателства</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съображения от икономически характер</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В случай на мерки за опазване, моля да предоставите обобщение на научните доказателства в подкрепа на мярката.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на съображения от икономически характер, моля, обяснете подробно икономическата обосновка за окончателното преустановяване на риболовните дейности (освен ако тя вече не е описана в отговор на въпрос </w:t>
      </w:r>
      <w:r w:rsidRPr="001E103F">
        <w:rPr>
          <w:rFonts w:ascii="Times New Roman" w:eastAsia="Times New Roman" w:hAnsi="Times New Roman"/>
          <w:sz w:val="24"/>
        </w:rPr>
        <w:fldChar w:fldCharType="begin"/>
      </w:r>
      <w:r w:rsidRPr="001E103F">
        <w:rPr>
          <w:rFonts w:ascii="Times New Roman" w:eastAsia="Times New Roman" w:hAnsi="Times New Roman"/>
          <w:sz w:val="24"/>
        </w:rPr>
        <w:instrText xml:space="preserve"> REF _Ref125107693 \r \h  \* MERGEFORMAT </w:instrText>
      </w:r>
      <w:r w:rsidRPr="001E103F">
        <w:rPr>
          <w:rFonts w:ascii="Times New Roman" w:eastAsia="Times New Roman" w:hAnsi="Times New Roman"/>
          <w:sz w:val="24"/>
        </w:rPr>
      </w:r>
      <w:r w:rsidRPr="001E103F">
        <w:rPr>
          <w:rFonts w:ascii="Times New Roman" w:eastAsia="Times New Roman" w:hAnsi="Times New Roman"/>
          <w:sz w:val="24"/>
        </w:rPr>
        <w:fldChar w:fldCharType="separate"/>
      </w:r>
      <w:r w:rsidR="00814101">
        <w:rPr>
          <w:rFonts w:ascii="Times New Roman" w:eastAsia="Times New Roman" w:hAnsi="Times New Roman"/>
          <w:sz w:val="24"/>
        </w:rPr>
        <w:t>8</w:t>
      </w:r>
      <w:r w:rsidR="001E50D6">
        <w:rPr>
          <w:rFonts w:ascii="Times New Roman" w:eastAsia="Times New Roman" w:hAnsi="Times New Roman"/>
          <w:sz w:val="24"/>
        </w:rPr>
        <w:t>.1</w:t>
      </w:r>
      <w:r w:rsidRPr="001E103F">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По отношение на риболова във вътрешни водоеми, моля, потвърдете, че помощта по мярката може да се предоставя само на предприятия бенефициери, които извършват дейност изключително във вътрешни водоеми.</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Моля, потвърдете, че мярката предвижда, че предприятията бенефициери се ангажират да не увеличават активния си риболовен капацитет от момента на подаване на заявлението за помощ до пет години след плащането на помощта.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предприятията бенефициери също така се ангажират да не използват помощта за замяна или модернизиране на своите двигатели, освен ако са изпълнени условията, посочени в член 18 от Регламент (ЕС)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Когато една година преди уведомлението подаващата уведомлението държава членка е отпуснала помощ или е изпълнила операции по линия на Европейския фонд за морско дело и рибарство (ЕФМДР) или Европейския фонд за морско дело, рибарство и аквакултури (ЕФМДРА), водещи до увеличаване на риболовния капацитет в даден морски басейн, или когато е включила такива операции в националната програма по ЕФМДРА, моля, обяснете подробно до каква степен помощта за окончателно преустановяване в същия морски басейн е съвместима с такова увеличение на риболовния капацитет и докажете, че помощта е обоснована и необходима.</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Ако мярката засяга риболова във вътрешни водоеми, този въпрос не е приложим.</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бенефициерите на помощта са:</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a) собственици на риболовни кораби на Съюза, засегнати от окончателното преустановяване</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б) рибари, които са работили в морето на борда на риболовен кораб на ЕС, засегнат от окончателното преустановяване, в продължение на най-малко 90 дни на година през последните две календарни години, предхождащи годината на подаване на заявлението за помощ</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в) и двете, т.е. категориите бенефициери включват посочените по буква a) и буква б)</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разпоредбата(ите) от правното основание, отразяваща(и) вашия избор.</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обяснете как посоченият по-горе минимален брой от 90 дни е бил изчислен за рибарите, ако за съответния риболовен кораб са били приложими някакви корекции, като се вземат предвид точки 283, 276 и 281 от Насоките.</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рибарите трябва да преустановят всички риболовни дейности за период от пет години след получаването на помощта, както и че ако рибар възобнови риболовните си дейности в рамките на този срок, трябва да бъдат възстановени недължимо изплатените по отношение на помощта суми в размер, пропорционален на периода, през който не е било спазено това условие.</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опишете подробно въведените механизми за контрол и изпълнение, за да се гарантира спазването на условията за окончателното преустановяване, включително за да се гарантира, че капацитетът е окончателно изтеглен и че съответният кораб или рибари са преустановили всякакви риболовни дейности след мярката. Моля, обърнете внимание, че при липса на национален регистър на флота, приложим за вътрешните водоеми, държавите членки трябва също така да докажат, че механизмите за контрол и изпълнение осигуряват управление на капацитета, сравнимо с приложимото за морския риболов.</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допустимите разходи трябва да се изчисляват на равнището на отделния бенефициер.</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допустимите разходи:</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в случай на бракуване на риболовния кораб:</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разходите за бракуването на риболовния кораб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компенсация за загубата на стойност на бракувания риболовен кораб, измерена като текущата му продажна стойност</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в случай на извеждане от експлоатация и преоборудване за дейности, различни от търговския риболов: инвестиционните разходи, свързани с преустройството на риболовния кораб за целите на други икономически дейности</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tab/>
      </w:r>
      <w:r>
        <w:rPr>
          <w:rFonts w:ascii="Times New Roman" w:hAnsi="Times New Roman"/>
          <w:sz w:val="24"/>
        </w:rPr>
        <w:t>разходите, свързани с рибарите, които могат да включват и задължителните социални разходи, произтичащи от прилагането на окончателното преустановяване, доколкото те не са обхванати от други национални разпоредби в случай на преустановяване на стопанска дейност</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Моля, посочете разпоредбата(ите) от правното основание, отразяваща(и) вашия избор.</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опишете подробно допустимите разходи.</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Моля, потвърдете, че допустимите разходи трябва да бъдат намалени с всички разходи, които не са направени поради окончателното преустановяване на риболовните дейности и които иначе биха били направени от предприятието бенефициер.</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92AA2">
        <w:rPr>
          <w:rFonts w:ascii="Times New Roman" w:eastAsia="Times New Roman" w:hAnsi="Times New Roman"/>
          <w:sz w:val="24"/>
        </w:rPr>
      </w:r>
      <w:r w:rsidR="00392AA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92AA2">
        <w:rPr>
          <w:rFonts w:ascii="Times New Roman" w:eastAsia="Times New Roman" w:hAnsi="Times New Roman"/>
          <w:sz w:val="24"/>
        </w:rPr>
      </w:r>
      <w:r w:rsidR="00392AA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съответната(ите) разпоредба(и) от правното основание.</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Моля, потвърдете, че мярката предвижда, че максималният интензитет на помощта не надхвърля 100 % от допустимите разходи.</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92AA2">
        <w:rPr>
          <w:rFonts w:ascii="Times New Roman" w:eastAsia="Times New Roman" w:hAnsi="Times New Roman"/>
          <w:b/>
          <w:sz w:val="24"/>
        </w:rPr>
      </w:r>
      <w:r w:rsidR="00392AA2">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максималния(ите) интензитет(и) на помощта, приложим(и) по мярката.</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lastRenderedPageBreak/>
        <w:t>Моля, посочете разпоредбата(ите) от правното основание, в която(които) е(са) определен(и) максималният(ите) интензитет(и) на помощта за мярката.</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Моля, обърнете внимание, че Комисията може да приеме и други методи за изчисляване, при условие че </w:t>
      </w:r>
      <w:r>
        <w:rPr>
          <w:rFonts w:ascii="Times New Roman" w:hAnsi="Times New Roman"/>
          <w:color w:val="040004"/>
          <w:sz w:val="24"/>
        </w:rPr>
        <w:t>се увери</w:t>
      </w:r>
      <w:r>
        <w:rPr>
          <w:rFonts w:ascii="Times New Roman" w:hAnsi="Times New Roman"/>
          <w:sz w:val="24"/>
        </w:rPr>
        <w:t xml:space="preserve">, че те се основават на обективни критерии и не водят до свръхкомпенсация на нито едно предприятие бенефициер.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Ако подаващата уведомление държава членка възнамерява да предложи друг метод за изчисляване, моля, посочете причините, поради които определеният в Насоките метод не е подходящ във въпросния случай, и обяснете как другият метод за изчисляване отговаря по-добре на установените нужди.</w:t>
      </w:r>
    </w:p>
    <w:p w14:paraId="146BD0BE" w14:textId="435AC388"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r w:rsidR="00392AA2">
        <w:rPr>
          <w:rFonts w:ascii="Times New Roman" w:hAnsi="Times New Roman"/>
          <w:sz w:val="24"/>
          <w:lang w:val="en-US"/>
        </w:rPr>
        <w:t>…………..</w:t>
      </w:r>
      <w:r>
        <w:rPr>
          <w:rFonts w:ascii="Times New Roman" w:hAnsi="Times New Roman"/>
          <w:sz w:val="24"/>
        </w:rPr>
        <w:t>………………………………………………..</w:t>
      </w: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Моля, представете като приложение към уведомлението предлагания друг метод, заедно с доказателство, че той се основава на обективни критерии и не води до свръхкомпенсация на нито един бенефициер.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ДРУГА ИНФОРМАЦИЯ</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6B00FD4" w:rsidR="002F32FD" w:rsidRPr="00EC46CF" w:rsidRDefault="002F32FD">
      <w:pPr>
        <w:pStyle w:val="FootnoteText"/>
        <w:rPr>
          <w:lang w:val="en-US"/>
        </w:rPr>
      </w:pPr>
      <w:r>
        <w:rPr>
          <w:rStyle w:val="FootnoteReference"/>
        </w:rPr>
        <w:footnoteRef/>
      </w:r>
      <w:r w:rsidR="00EC46CF">
        <w:tab/>
      </w:r>
      <w:r>
        <w:rPr>
          <w:rFonts w:ascii="Times New Roman" w:hAnsi="Times New Roman"/>
        </w:rPr>
        <w:t>ОВ C 107, 23.3.2023 г., стр. 1</w:t>
      </w:r>
      <w:r w:rsidR="00EC46CF">
        <w:rPr>
          <w:rFonts w:ascii="Times New Roman" w:hAnsi="Times New Roman"/>
          <w:lang w:val="en-US"/>
        </w:rPr>
        <w:t>.</w:t>
      </w:r>
    </w:p>
  </w:footnote>
  <w:footnote w:id="2">
    <w:p w14:paraId="502011EF" w14:textId="0E74923D" w:rsidR="00814101" w:rsidRPr="00814101" w:rsidRDefault="00814101" w:rsidP="00EC46CF">
      <w:pPr>
        <w:pStyle w:val="FootnoteText"/>
        <w:ind w:left="720" w:hanging="720"/>
        <w:jc w:val="both"/>
        <w:rPr>
          <w:rFonts w:ascii="Times New Roman" w:hAnsi="Times New Roman"/>
        </w:rPr>
      </w:pPr>
      <w:r>
        <w:rPr>
          <w:rStyle w:val="FootnoteReference"/>
          <w:rFonts w:ascii="Times New Roman" w:hAnsi="Times New Roman"/>
          <w:color w:val="000000" w:themeColor="text1"/>
        </w:rPr>
        <w:footnoteRef/>
      </w:r>
      <w:r w:rsidR="00EC46CF">
        <w:rPr>
          <w:rFonts w:ascii="Times New Roman" w:hAnsi="Times New Roman"/>
          <w:color w:val="000000" w:themeColor="text1"/>
        </w:rPr>
        <w:tab/>
      </w:r>
      <w:r>
        <w:rPr>
          <w:rFonts w:ascii="Times New Roman" w:hAnsi="Times New Roman"/>
          <w:color w:val="000000" w:themeColor="text1"/>
        </w:rPr>
        <w:t xml:space="preserve">Регламент (ЕС) 2021/1139 на Европейския парламент и на Съвета от 7 юли 2021 г. за създаване на Европейския фонд за морско дело, рибарство и аквакултури и за изменение на Регламент (ЕС) 2017/1004 (OВ L 247, 13.7.2021 г., стр.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85658"/>
    <w:rsid w:val="00392AA2"/>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C46C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8</Pages>
  <Words>2122</Words>
  <Characters>12080</Characters>
  <Application>Microsoft Office Word</Application>
  <DocSecurity>0</DocSecurity>
  <Lines>326</Lines>
  <Paragraphs>151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ISKAROV Iskar (DGT)</cp:lastModifiedBy>
  <cp:revision>67</cp:revision>
  <dcterms:created xsi:type="dcterms:W3CDTF">2023-01-05T14:31:00Z</dcterms:created>
  <dcterms:modified xsi:type="dcterms:W3CDTF">2024-07-15T08:01:00Z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