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AF0FB" w14:textId="77777777" w:rsidR="005615D7" w:rsidRPr="006A67ED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E5B77E4" w14:textId="77777777" w:rsidR="005615D7" w:rsidRPr="00293FA0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0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3.2</w:t>
      </w:r>
    </w:p>
    <w:p w14:paraId="76135432" w14:textId="25678AE4" w:rsidR="005615D7" w:rsidRPr="00293FA0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Obrazec za dodatne informacije o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pomoči za zamenjavo ali posodobitev glavnega ali pomožnega motorja ribiškega plovila</w:t>
      </w:r>
    </w:p>
    <w:p w14:paraId="5E91F15B" w14:textId="77777777" w:rsidR="005615D7" w:rsidRPr="005615D7" w:rsidRDefault="005615D7" w:rsidP="005615D7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E51F2E" w14:textId="0C4517D1" w:rsidR="005615D7" w:rsidRPr="005615D7" w:rsidRDefault="0053598F" w:rsidP="005615D7">
      <w:pPr>
        <w:spacing w:before="360"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Ta obrazec morajo države članice uporabiti za priglasitev vsake pomoči za zamenjavo ali posodobitev glavnega ali pomožnega motorja ribiškega plovila, kot je opisana v oddelku 3.2 poglavja 3 dela II Smernic o državni pomoči v sektorju ribištva in akvakulture</w:t>
      </w:r>
      <w:r w:rsidR="00F877C4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(v nadaljnjem besedilu: smernice).</w:t>
      </w:r>
    </w:p>
    <w:p w14:paraId="33E9E980" w14:textId="77777777" w:rsidR="005615D7" w:rsidRPr="005615D7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95D2BB" w14:textId="77777777" w:rsidR="007E64FE" w:rsidRDefault="007E64F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7BDA44" w14:textId="0613715C" w:rsidR="007D193E" w:rsidRDefault="007D193E" w:rsidP="007E64F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ukrep določa, da ribiška plovila Unije, v zvezi s katerimi je dodeljena pomoč, ne bodo prenesena v državo zunaj Unije ali da njihova zastava ne bo zamenjana za zastavo države zunaj Unije najmanj pet let po končnem plačilu pomoči.</w:t>
      </w:r>
      <w:r>
        <w:rPr>
          <w:sz w:val="24"/>
          <w:rFonts w:ascii="Times New Roman" w:hAnsi="Times New Roman"/>
        </w:rPr>
        <w:t xml:space="preserve"> </w:t>
      </w:r>
    </w:p>
    <w:p w14:paraId="09714071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C1EB84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22751733" w14:textId="4033CF1E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FE2F3C" w14:textId="52EE06CC" w:rsidR="00C64658" w:rsidRDefault="00C64658" w:rsidP="007E64FE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je odgovor DA, navedite ustrezne določbe pravne podlage.</w:t>
      </w:r>
    </w:p>
    <w:p w14:paraId="1E9D84D9" w14:textId="469B67E8" w:rsidR="00C64658" w:rsidRDefault="00C64658" w:rsidP="0053598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107B6C1" w14:textId="77777777" w:rsidR="00B235B8" w:rsidRDefault="00B235B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FAB892" w14:textId="06B008F9" w:rsidR="00B235B8" w:rsidRDefault="00B235B8" w:rsidP="007E64F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bo pomoč na podlagi tega oddelka dodeljena le za zamenjavo ali posodobitev glavnega ali pomožnega motorja ribiškega plovila s skupno dolžino do 24 metrov.</w:t>
      </w:r>
    </w:p>
    <w:p w14:paraId="70878431" w14:textId="77777777" w:rsidR="00B235B8" w:rsidRDefault="00B235B8" w:rsidP="00B23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9E73843" w14:textId="77777777" w:rsidR="00B235B8" w:rsidRPr="005615D7" w:rsidRDefault="00B235B8" w:rsidP="00B235B8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56662626" w14:textId="468DF8C8" w:rsidR="00B235B8" w:rsidRDefault="00B235B8" w:rsidP="00B23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E00D88" w14:textId="3E0FC69B" w:rsidR="00C64658" w:rsidRDefault="00C64658" w:rsidP="007E64FE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je odgovor DA, navedite ustrezne določbe pravne podlage.</w:t>
      </w:r>
    </w:p>
    <w:p w14:paraId="4F8DE03B" w14:textId="10879FF2" w:rsidR="00C64658" w:rsidRDefault="00C64658" w:rsidP="0053598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7D26868" w14:textId="77777777" w:rsidR="00252DEE" w:rsidRDefault="00252DE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FC2723" w14:textId="5628CE3E" w:rsidR="007D193E" w:rsidRPr="0053598F" w:rsidRDefault="00A93E41" w:rsidP="00C5352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Ref124951182"/>
      <w:r>
        <w:rPr>
          <w:sz w:val="24"/>
          <w:rFonts w:ascii="Times New Roman" w:hAnsi="Times New Roman"/>
        </w:rPr>
        <w:t xml:space="preserve">V skladu s točko (253)(a) smernic morajo ribiška plovila pripadati segmentu flote, za katerega je iz najnovejšega poročila o ribolovni zmogljivosti iz člena 22(2) Uredbe (EU) št. 1380/2013</w:t>
      </w:r>
      <w:r w:rsidR="0053598F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 razvidno ravnotežje z ribolovnimi možnostmi, ki so na voljo temu segmentu</w:t>
      </w:r>
      <w:r>
        <w:t xml:space="preserve"> </w:t>
      </w:r>
      <w:bookmarkStart w:id="1" w:name="_Hlk127291610"/>
      <w:r>
        <w:rPr>
          <w:sz w:val="24"/>
          <w:rFonts w:ascii="Times New Roman" w:hAnsi="Times New Roman"/>
        </w:rPr>
        <w:t xml:space="preserve">(v nadaljnjem besedilu: nacionalno poročilo)</w:t>
      </w:r>
      <w:bookmarkEnd w:id="1"/>
      <w:r>
        <w:rPr>
          <w:sz w:val="24"/>
          <w:rFonts w:ascii="Times New Roman" w:hAnsi="Times New Roman"/>
        </w:rPr>
        <w:t xml:space="preserve">.</w:t>
      </w:r>
      <w:bookmarkEnd w:id="0"/>
      <w:r>
        <w:rPr>
          <w:sz w:val="24"/>
          <w:rFonts w:ascii="Times New Roman" w:hAnsi="Times New Roman"/>
        </w:rPr>
        <w:t xml:space="preserve"> </w:t>
      </w:r>
      <w:r>
        <w:rPr>
          <w:color w:val="000000"/>
          <w:sz w:val="23"/>
          <w:rFonts w:ascii="Times New Roman" w:hAnsi="Times New Roman"/>
        </w:rPr>
        <w:t xml:space="preserve">V skladu s točko (254) smernic se za namene točke (253)(a) uporabljajo postopek in pogoji iz točk (225) do (227) dela II, poglavje 2, oddelek 2.2.</w:t>
      </w:r>
      <w:r>
        <w:rPr>
          <w:color w:val="000000"/>
          <w:sz w:val="23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Glede na navedeno izpolnite naslednje:</w:t>
      </w:r>
    </w:p>
    <w:p w14:paraId="5E069D18" w14:textId="3BCBF3CD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8E6D3D" w14:textId="062D6850" w:rsidR="0053598F" w:rsidRPr="009C1330" w:rsidRDefault="0053598F" w:rsidP="0053598F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Kdaj je bilo pripravljeno zadnje nacionalno poročilo pred datumom dodelitve pomoči?</w:t>
      </w:r>
    </w:p>
    <w:p w14:paraId="3A01B69F" w14:textId="77777777" w:rsidR="0053598F" w:rsidRDefault="0053598F" w:rsidP="0053598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EC7B62B" w14:textId="77777777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povezavo na zadnje nacionalno poročilo ali ga priložite priglasitvi.</w:t>
      </w:r>
    </w:p>
    <w:p w14:paraId="7EA4899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93FCE10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D0EBB0" w14:textId="77777777" w:rsidR="0053598F" w:rsidRDefault="0053598F" w:rsidP="0053598F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so za dodelitev vsake pomoči izpolnjeni naslednji pogoji:</w:t>
      </w:r>
    </w:p>
    <w:p w14:paraId="3CEEC1C3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C3560" w14:textId="77777777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Ali je bilo nacionalno poročilo predloženo do 31. maja leta 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sz w:val="24"/>
          <w:rFonts w:ascii="Times New Roman" w:hAnsi="Times New Roman"/>
        </w:rPr>
        <w:t xml:space="preserve">?</w:t>
      </w:r>
    </w:p>
    <w:p w14:paraId="53E86E0E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6D2E22F" w14:textId="77777777" w:rsidR="0053598F" w:rsidRPr="005615D7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333BE969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762DCC" w14:textId="77777777" w:rsidR="0053598F" w:rsidRPr="005C06D1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je bilo nacionalno poročilo, predloženo leta N, zlasti pa ocena ravnotežja v navedenem poročilu, pripravljeno na podlagi bioloških in gospodarskih kazalnikov ter kazalnikov uporabe plovila iz skupnih smernic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sz w:val="24"/>
          <w:rFonts w:ascii="Times New Roman" w:hAnsi="Times New Roman"/>
        </w:rPr>
        <w:t xml:space="preserve"> iz člena 22(2) Uredbe (EU) št. 1380/2013.</w:t>
      </w:r>
    </w:p>
    <w:p w14:paraId="7CC7BDF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D01BFB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6BCE1EE8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5D84A95C" w14:textId="77777777" w:rsidR="0053598F" w:rsidRPr="005C3488" w:rsidRDefault="0053598F" w:rsidP="0053598F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  <w:sz w:val="23"/>
        </w:rPr>
        <w:t xml:space="preserve">Upoštevajte, da se pomoč ne odobri, če nacionalno poročilo, zlasti pa ocena ravnotežja v navedenem poročilu, ni bila pripravljena na podlagi bioloških in gospodarskih kazalnikov ter kazalnikov uporabe plovila iz skupnih smernic iz člena 22(2) Uredbe (EU) št. 1380/2013.</w:t>
      </w:r>
      <w:r>
        <w:rPr>
          <w:i/>
          <w:sz w:val="23"/>
        </w:rPr>
        <w:t xml:space="preserve"> </w:t>
      </w:r>
    </w:p>
    <w:p w14:paraId="45620AA9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3FBFDF" w14:textId="55617450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Ali je v nacionalnem poročilu, predloženem leta N, prikazano, da obstaja ravnotežje med ribolovno zmogljivostjo in ribolovnimi možnostmi v segmentu flote, ki mu pripada plovilo?</w:t>
      </w:r>
    </w:p>
    <w:p w14:paraId="71B0BCF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4EC366" w14:textId="77777777" w:rsidR="0053598F" w:rsidRPr="005615D7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7CAAEE34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812C0A" w14:textId="77777777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Pojasnite, kako je bilo nacionalno poročilo upoštevano pri oblikovanju ukrepa in kako je doseženo ravnotežje.</w:t>
      </w:r>
    </w:p>
    <w:p w14:paraId="2A834BE2" w14:textId="77777777" w:rsidR="0053598F" w:rsidRDefault="0053598F" w:rsidP="0053598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0ED6C86" w14:textId="1437F106" w:rsidR="00F741C7" w:rsidRDefault="0053598F" w:rsidP="00F741C7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Komisija do 31. marca leta N+1 ni postavila pod vprašaj:</w:t>
      </w:r>
    </w:p>
    <w:p w14:paraId="2F690AAD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CB58F3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  <w:rFonts w:ascii="Times New Roman" w:eastAsia="Times New Roman" w:hAnsi="Times New Roman"/>
        </w:rPr>
      </w:pPr>
      <w:r w:rsidRPr="00D823CB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sz w:val="24"/>
          <w:rFonts w:ascii="Times New Roman" w:eastAsia="Times New Roman" w:hAnsi="Times New Roman"/>
        </w:rPr>
      </w:r>
      <w:r w:rsidR="004E4D44">
        <w:rPr>
          <w:sz w:val="24"/>
          <w:rFonts w:ascii="Times New Roman" w:eastAsia="Times New Roman" w:hAnsi="Times New Roman"/>
        </w:rPr>
        <w:fldChar w:fldCharType="separate"/>
      </w:r>
      <w:r w:rsidRPr="00D823CB">
        <w:rPr>
          <w:sz w:val="24"/>
          <w:rFonts w:ascii="Times New Roman" w:eastAsia="Times New Roman" w:hAnsi="Times New Roman"/>
        </w:rPr>
        <w:fldChar w:fldCharType="end"/>
      </w:r>
      <w:r>
        <w:t xml:space="preserve"> </w:t>
      </w:r>
      <w:r>
        <w:rPr>
          <w:sz w:val="24"/>
          <w:rFonts w:ascii="Times New Roman" w:hAnsi="Times New Roman"/>
        </w:rPr>
        <w:t xml:space="preserve">(a) sklepne ugotovitve nacionalnega poročila, predloženega v letu N</w:t>
      </w:r>
      <w:r>
        <w:rPr>
          <w:sz w:val="24"/>
          <w:rFonts w:ascii="Times New Roman" w:hAnsi="Times New Roman"/>
        </w:rPr>
        <w:t xml:space="preserve"> </w:t>
      </w:r>
    </w:p>
    <w:p w14:paraId="73206044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1A0E35" w14:textId="77777777" w:rsidR="00F741C7" w:rsidRPr="005E495C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9FEAAF" w14:textId="77777777" w:rsidR="00F741C7" w:rsidRPr="005615D7" w:rsidRDefault="00F741C7" w:rsidP="00F741C7">
      <w:pPr>
        <w:autoSpaceDE w:val="0"/>
        <w:autoSpaceDN w:val="0"/>
        <w:adjustRightInd w:val="0"/>
        <w:spacing w:after="0" w:line="240" w:lineRule="auto"/>
        <w:ind w:left="720"/>
        <w:jc w:val="both"/>
        <w:rPr>
          <w:sz w:val="24"/>
          <w:szCs w:val="24"/>
          <w:rFonts w:ascii="Times New Roman" w:eastAsia="Times New Roman" w:hAnsi="Times New Roman"/>
        </w:rPr>
      </w:pPr>
      <w:r w:rsidRPr="00D823CB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sz w:val="24"/>
          <w:rFonts w:ascii="Times New Roman" w:eastAsia="Times New Roman" w:hAnsi="Times New Roman"/>
        </w:rPr>
      </w:r>
      <w:r w:rsidR="004E4D44">
        <w:rPr>
          <w:sz w:val="24"/>
          <w:rFonts w:ascii="Times New Roman" w:eastAsia="Times New Roman" w:hAnsi="Times New Roman"/>
        </w:rPr>
        <w:fldChar w:fldCharType="separate"/>
      </w:r>
      <w:r w:rsidRPr="00D823CB">
        <w:rPr>
          <w:sz w:val="24"/>
          <w:rFonts w:ascii="Times New Roman" w:eastAsia="Times New Roman" w:hAnsi="Times New Roman"/>
        </w:rPr>
        <w:fldChar w:fldCharType="end"/>
      </w:r>
      <w:r>
        <w:t xml:space="preserve"> </w:t>
      </w:r>
      <w:r>
        <w:rPr>
          <w:sz w:val="24"/>
          <w:rFonts w:ascii="Times New Roman" w:hAnsi="Times New Roman"/>
        </w:rPr>
        <w:t xml:space="preserve">(b) ocene ravnotežja v nacionalnem poročilu, predloženem v letu N</w:t>
      </w:r>
    </w:p>
    <w:p w14:paraId="1BD1938D" w14:textId="67FB16D6" w:rsidR="0053598F" w:rsidRDefault="0053598F" w:rsidP="00F741C7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2165A1E" w14:textId="77777777" w:rsidR="0053598F" w:rsidRDefault="0053598F" w:rsidP="00F741C7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ukrep določa, da se pomoč lahko dodeli na podlagi nacionalnega poročila, predloženega leta N, samo do 31. decembra leta N+1, tj. do leta, ki sledi letu predložitve poročila.</w:t>
      </w:r>
      <w:r>
        <w:rPr>
          <w:sz w:val="24"/>
          <w:rFonts w:ascii="Times New Roman" w:hAnsi="Times New Roman"/>
        </w:rPr>
        <w:t xml:space="preserve"> </w:t>
      </w:r>
    </w:p>
    <w:p w14:paraId="3E8C1F31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958307" w14:textId="77777777" w:rsidR="0053598F" w:rsidRPr="001E103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22D0706C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75A0A6" w14:textId="77777777" w:rsidR="0053598F" w:rsidRDefault="0053598F" w:rsidP="00F741C7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je odgovor DA, navedite ustrezne določbe pravne podlage.</w:t>
      </w:r>
    </w:p>
    <w:p w14:paraId="08A0C9BD" w14:textId="77777777" w:rsidR="0053598F" w:rsidRDefault="0053598F" w:rsidP="0053598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61F4C9EA" w14:textId="5C998E36" w:rsidR="0053598F" w:rsidRP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Če ukrep zadeva ribolov v celinskih vodah, na vprašanja 3.1–3.2.6.1 ni treba odgovoriti.</w:t>
      </w:r>
    </w:p>
    <w:p w14:paraId="679F63A5" w14:textId="77777777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BEA41B" w14:textId="316B2CCB" w:rsidR="007D193E" w:rsidRDefault="00A93E41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Ref124951266"/>
      <w:r>
        <w:rPr>
          <w:sz w:val="24"/>
          <w:rFonts w:ascii="Times New Roman" w:hAnsi="Times New Roman"/>
        </w:rPr>
        <w:t xml:space="preserve">Potrdite, da ukrep določa, da so morala biti ribiška plovila registrirana v registru flote Unije vsaj pet koledarskih let pred letom vložitve vloge za pomoč.</w:t>
      </w:r>
      <w:bookmarkEnd w:id="2"/>
    </w:p>
    <w:p w14:paraId="5BEC161D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B194E93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64E8106D" w14:textId="2D6E9174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898B12" w14:textId="17E59A38" w:rsidR="00F741C7" w:rsidRPr="00255D80" w:rsidRDefault="00F741C7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ukrep zadeva ribolov v celinskih vodah, potrdite, da ukrep določa, da se pomoč lahko dodeli le za ribiško plovilo, ki je začelo obratovati v skladu z nacionalno zakonodajo, za največ pet koledarskih let pred letom predložitve vloge za pomoč.</w:t>
      </w:r>
    </w:p>
    <w:p w14:paraId="08A8E70B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B438A2" w14:textId="5E5A07F2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3EEFB232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AA4FB32" w14:textId="139A880A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je odgovor na vprašanje 4 ali 4.1 DA, navedite ustrezne določbe pravne podlage.</w:t>
      </w:r>
    </w:p>
    <w:p w14:paraId="35CB1A30" w14:textId="7F4E7E68" w:rsidR="00A93E41" w:rsidRDefault="00C64658" w:rsidP="00F741C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BB86F31" w14:textId="2D3747F9" w:rsidR="00A93E41" w:rsidRDefault="009A6F32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Ref124951474"/>
      <w:r>
        <w:rPr>
          <w:sz w:val="24"/>
          <w:rFonts w:ascii="Times New Roman" w:hAnsi="Times New Roman"/>
        </w:rPr>
        <w:t xml:space="preserve">Potrdite, da ukrep za plovila za mali priobalni ribolov in plovila, ki se uporabljajo za ribolov v celinskih vodah, določa, da moč novega ali posodobljenega motorja v kW ni večja od moči sedanjega motorja.</w:t>
      </w:r>
      <w:bookmarkEnd w:id="3"/>
    </w:p>
    <w:p w14:paraId="7D8E76C6" w14:textId="77777777" w:rsidR="00A93E41" w:rsidRDefault="00A93E41" w:rsidP="004629F3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6F912C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1C213FF2" w14:textId="0FD89D8B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66469E" w14:textId="01545C96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je odgovor DA, navedite ustrezne določbe pravne podlage.</w:t>
      </w:r>
    </w:p>
    <w:p w14:paraId="042097A5" w14:textId="1C70A343" w:rsidR="00C64658" w:rsidRDefault="00C64658" w:rsidP="00F741C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29EDD2A" w14:textId="77777777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975B37" w14:textId="347B8D5F" w:rsidR="00A93E41" w:rsidRDefault="009A6F32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4" w:name="_Ref124957319"/>
      <w:r>
        <w:rPr>
          <w:sz w:val="24"/>
          <w:rFonts w:ascii="Times New Roman" w:hAnsi="Times New Roman"/>
        </w:rPr>
        <w:t xml:space="preserve">Potrdite, da ukrep za druga plovila, katerih skupna dolžina je največ 24 metrov, določa, da moč novega ali posodobljenega motorja v kW ni večja kot pri starem motorju, njegov izpust CO₂ pa je vsaj za 20 % manjši kot pri starem motorju.</w:t>
      </w:r>
      <w:bookmarkEnd w:id="4"/>
    </w:p>
    <w:p w14:paraId="40932758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59370E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41A1F6FE" w14:textId="52610896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ECF581" w14:textId="46EC7603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je odgovor DA, navedite ustrezne določbe pravne podlage.</w:t>
      </w:r>
    </w:p>
    <w:p w14:paraId="6F9349D1" w14:textId="568001A8" w:rsidR="00C64658" w:rsidRDefault="00C64658" w:rsidP="0048102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D8D3F1E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BB61BA" w14:textId="192A3DD3" w:rsidR="009E1F93" w:rsidRDefault="009E1F93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ukrep določa, da se ribolovna zmogljivost, umaknjena zaradi zamenjave ali posodobitve glavnega ali pomožnega motorja, ne sme nadomestiti.</w:t>
      </w:r>
    </w:p>
    <w:p w14:paraId="65A0F1E9" w14:textId="77777777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A6D7393" w14:textId="77777777" w:rsidR="009E1F93" w:rsidRDefault="009E1F93" w:rsidP="009E1F93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03F7B8E1" w14:textId="39869EF0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506E6D" w14:textId="787827EE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je odgovor DA, navedite ustrezne določbe pravne podlage.</w:t>
      </w:r>
    </w:p>
    <w:p w14:paraId="7C8C2ABC" w14:textId="34A0C34F" w:rsidR="00C64658" w:rsidRDefault="00C64658" w:rsidP="0048102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17C477C" w14:textId="77777777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7CF3F48" w14:textId="7731E3E6" w:rsidR="00651AE7" w:rsidRDefault="00651AE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Podrobno opišite mehanizme nadzora in izvrševanja, vzpostavljene za zagotavljanje izpolnjevanja pogojev iz oddelka 3.2 poglavja 3 dela II smernic.</w:t>
      </w:r>
    </w:p>
    <w:p w14:paraId="4A0243A2" w14:textId="16716C44" w:rsidR="009E1F93" w:rsidRDefault="00651AE7" w:rsidP="0048102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3E97897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C4116C" w14:textId="2AB39FF1" w:rsidR="00651AE7" w:rsidRDefault="00651AE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ukrep določa, da morajo biti vsi zamenjani ali posodobljeni motorji fizično preverjeni.</w:t>
      </w:r>
    </w:p>
    <w:p w14:paraId="02DD2A8A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B59C7D" w14:textId="77777777" w:rsidR="00651AE7" w:rsidRDefault="00651AE7" w:rsidP="00651AE7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474155A2" w14:textId="1A09CDF5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FE044" w14:textId="41618699" w:rsidR="00F6163F" w:rsidRDefault="00F6163F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je odgovor DA, navedite ustrezne določbe pravne podlage.</w:t>
      </w:r>
    </w:p>
    <w:p w14:paraId="1E0A7F3C" w14:textId="79620B89" w:rsidR="00F6163F" w:rsidRDefault="0048102E" w:rsidP="005615D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07EF9C0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4002AF" w14:textId="690A1A08" w:rsidR="00651AE7" w:rsidRDefault="00385658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kako bo v okviru ukrepa doseženo zmanjšanje emisij CO₂ iz vprašanja </w:t>
      </w:r>
      <w:r>
        <w:rPr>
          <w:sz w:val="24"/>
          <w:rFonts w:ascii="Times New Roman" w:eastAsia="Times New Roman" w:hAnsi="Times New Roman"/>
        </w:rPr>
        <w:fldChar w:fldCharType="begin" w:dirty="true"/>
      </w:r>
      <w:r>
        <w:rPr>
          <w:sz w:val="24"/>
          <w:rFonts w:ascii="Times New Roman" w:eastAsia="Times New Roman" w:hAnsi="Times New Roman"/>
        </w:rPr>
        <w:instrText xml:space="preserve"> REF _Ref124957319 \r \h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 w:rsidR="00293FA0">
        <w:rPr>
          <w:sz w:val="24"/>
          <w:rFonts w:ascii="Times New Roman" w:eastAsia="Times New Roman" w:hAnsi="Times New Roman"/>
        </w:rPr>
        <w:t>6</w:t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:</w:t>
      </w:r>
      <w:r>
        <w:rPr>
          <w:sz w:val="24"/>
          <w:rFonts w:ascii="Times New Roman" w:hAnsi="Times New Roman"/>
        </w:rPr>
        <w:t xml:space="preserve"> </w:t>
      </w:r>
    </w:p>
    <w:p w14:paraId="3CB3B570" w14:textId="77777777" w:rsidR="009725CF" w:rsidRDefault="009725C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5445690" w14:textId="1DCBFD30" w:rsidR="009725CF" w:rsidRPr="005615D7" w:rsidRDefault="009725CF" w:rsidP="00293FA0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(a) z ustreznimi informacijami, ki jih proizvajalec zadevnega motorja potrdi v okviru homologacije ali certifikata proizvoda in kažejo, da novi motor oddaja 20 % manj CO₂ kot zamenjani motor</w:t>
      </w:r>
    </w:p>
    <w:p w14:paraId="0FF77229" w14:textId="7DF59EC2" w:rsidR="009725CF" w:rsidRDefault="00385658" w:rsidP="0048102E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(b) z ustreznimi informacijami, ki jih proizvajalec zadevnega motorja potrdi v okviru homologacije ali certifikata proizvoda in kažejo, da novi motor uporablja 20 % manj goriva kot zamenjani motor</w:t>
      </w:r>
    </w:p>
    <w:p w14:paraId="56EACDC0" w14:textId="718DF7EF" w:rsidR="0048102E" w:rsidRDefault="0048102E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Podrobno opišite svoj izbor.</w:t>
      </w:r>
      <w:r>
        <w:rPr>
          <w:sz w:val="24"/>
          <w:rFonts w:ascii="Times New Roman" w:hAnsi="Times New Roman"/>
        </w:rPr>
        <w:t xml:space="preserve"> </w:t>
      </w:r>
    </w:p>
    <w:p w14:paraId="5AAF16DC" w14:textId="43A993BD" w:rsidR="0048102E" w:rsidRDefault="0048102E" w:rsidP="0048102E">
      <w:pPr>
        <w:ind w:left="360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</w:t>
      </w:r>
    </w:p>
    <w:p w14:paraId="237D3F90" w14:textId="52D88172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določbe pravne podlage, ki odražajo okence, označeno v odgovor na prejšnje vprašanje</w:t>
      </w:r>
      <w:r>
        <w:rPr>
          <w:sz w:val="24"/>
          <w:rFonts w:ascii="Times New Roman" w:eastAsia="Times New Roman" w:hAnsi="Times New Roman"/>
        </w:rPr>
        <w:fldChar w:fldCharType="begin" w:dirty="true"/>
      </w:r>
      <w:r>
        <w:rPr>
          <w:sz w:val="24"/>
          <w:rFonts w:ascii="Times New Roman" w:eastAsia="Times New Roman" w:hAnsi="Times New Roman"/>
        </w:rPr>
        <w:instrText xml:space="preserve"> REF _Ref125367725 \r \h </w:instrText>
      </w:r>
      <w:r>
        <w:rPr>
          <w:sz w:val="24"/>
          <w:rFonts w:ascii="Times New Roman" w:eastAsia="Times New Roman" w:hAnsi="Times New Roman"/>
        </w:rPr>
      </w:r>
      <w:r w:rsidR="004E4D44"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.</w:t>
      </w:r>
    </w:p>
    <w:p w14:paraId="3E509AAA" w14:textId="77777777" w:rsidR="007E64FE" w:rsidRDefault="007E64FE" w:rsidP="007E64F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2E35614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C7B95B6" w14:textId="08E422B9" w:rsidR="00385658" w:rsidRPr="00CA7417" w:rsidRDefault="00385658" w:rsidP="00CA741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ustrezne informacije, ki jih proizvajalec zadevnega motorja potrdi v okviru homologacije ali certifikata proizvoda za enega ali oba motorja, ne omogočajo primerjave emisij CO₂ ali porabe goriva, potrdite, kako se bo štelo, da je zmanjšanje emisij CO₂ iz vprašanja</w:t>
      </w:r>
      <w:r>
        <w:t xml:space="preserve"> </w:t>
      </w:r>
      <w:r>
        <w:rPr>
          <w:sz w:val="24"/>
          <w:rFonts w:ascii="Times New Roman" w:eastAsia="Times New Roman" w:hAnsi="Times New Roman"/>
        </w:rPr>
        <w:fldChar w:fldCharType="begin" w:dirty="true"/>
      </w:r>
      <w:r>
        <w:rPr>
          <w:sz w:val="24"/>
          <w:rFonts w:ascii="Times New Roman" w:eastAsia="Times New Roman" w:hAnsi="Times New Roman"/>
        </w:rPr>
        <w:instrText xml:space="preserve"> REF _Ref124957319 \r \h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 w:rsidR="00293FA0">
        <w:rPr>
          <w:sz w:val="24"/>
          <w:rFonts w:ascii="Times New Roman" w:eastAsia="Times New Roman" w:hAnsi="Times New Roman"/>
        </w:rPr>
        <w:t>6</w:t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izpolnjeno v okviru ukrepa:</w:t>
      </w:r>
      <w:r>
        <w:rPr>
          <w:sz w:val="24"/>
          <w:rFonts w:ascii="Times New Roman" w:hAnsi="Times New Roman"/>
        </w:rPr>
        <w:t xml:space="preserve"> </w:t>
      </w:r>
    </w:p>
    <w:p w14:paraId="7F6FD1D8" w14:textId="77777777" w:rsidR="009A6F32" w:rsidRDefault="009A6F32" w:rsidP="00385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2B24C9" w14:textId="1702C05A" w:rsidR="00385658" w:rsidRPr="005615D7" w:rsidRDefault="00385658" w:rsidP="00293FA0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(a) novi motor uporablja energetsko učinkovito tehnologijo, starostna razlika med novim in zamenjanim motorjem pa je najmanj sedem let</w:t>
      </w:r>
    </w:p>
    <w:p w14:paraId="2B1EE759" w14:textId="5F99EEE5" w:rsidR="00385658" w:rsidRPr="005615D7" w:rsidRDefault="00385658" w:rsidP="00293FA0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(b) novi motor uporablja vrsto goriva ali pogonski sistem, za katerega se šteje, da oddaja manj CO₂ kot zamenjani motor</w:t>
      </w:r>
    </w:p>
    <w:p w14:paraId="5BAA96F9" w14:textId="3314BEF7" w:rsidR="00385658" w:rsidRPr="005615D7" w:rsidRDefault="00385658" w:rsidP="00385658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(c) zadevna država članica je izmerila, da novi motor pri običajnem ribolovnem naporu zadevnega plovila oddaja 20 % manj CO₂ ali porabi 20 % manj goriva kot zamenjani motor.</w:t>
      </w:r>
    </w:p>
    <w:p w14:paraId="3A6EBF00" w14:textId="76FC1C27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14205" w14:textId="2F958795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določbe pravne podlage, ki odražajo vašo izbiro.</w:t>
      </w:r>
    </w:p>
    <w:p w14:paraId="1AE44591" w14:textId="77777777" w:rsidR="00CA7417" w:rsidRDefault="00CA7417" w:rsidP="00CA741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D78A7BF" w14:textId="6E17A3A2" w:rsidR="0048102E" w:rsidRDefault="00CA7417" w:rsidP="00CA741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 skladu s točko 260 smernic potrdite, da uporabljate Izvedbeno uredbo (EU) 2022/46</w:t>
      </w:r>
      <w:r w:rsidR="0048102E" w:rsidRPr="00CA7417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5"/>
      </w:r>
      <w:r>
        <w:rPr>
          <w:sz w:val="24"/>
          <w:rFonts w:ascii="Times New Roman" w:hAnsi="Times New Roman"/>
        </w:rPr>
        <w:t xml:space="preserve"> za opredelitev energetsko učinkovitih tehnologij iz točke (259)(a) smernic in za podrobnejšo opredelitev metodoloških elementov za izvajanje točke (259)(c) smernic.</w:t>
      </w:r>
      <w:r>
        <w:rPr>
          <w:sz w:val="24"/>
          <w:rFonts w:ascii="Times New Roman" w:hAnsi="Times New Roman"/>
        </w:rPr>
        <w:t xml:space="preserve"> </w:t>
      </w:r>
    </w:p>
    <w:p w14:paraId="1BED6435" w14:textId="77777777" w:rsid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72977A" w14:textId="7D29FD86" w:rsid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4EEFE754" w14:textId="77777777" w:rsidR="00CA7417" w:rsidRP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D35534" w14:textId="782E7FB3" w:rsidR="0048102E" w:rsidRDefault="00CA7417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Opišite, kako ukrep upošteva te zahteve.</w:t>
      </w:r>
    </w:p>
    <w:p w14:paraId="40D0F203" w14:textId="77777777" w:rsidR="00C64658" w:rsidRDefault="00C64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BCEB4D" w14:textId="77777777" w:rsidR="00CA7417" w:rsidRDefault="00CA7417" w:rsidP="00CA741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B02216A" w14:textId="0F383CEC" w:rsidR="00385658" w:rsidRDefault="00385658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upravičeni stroški vključujejo samo neposredne in posredne stroške, povezane z zamenjavo ali posodobitvijo glavnega ali pomožnega motorja.</w:t>
      </w:r>
    </w:p>
    <w:p w14:paraId="1BC8D286" w14:textId="77777777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4131A1" w14:textId="77777777" w:rsidR="00385658" w:rsidRDefault="00385658" w:rsidP="00385658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1A19A3E4" w14:textId="065CD309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63A4A8" w14:textId="2377C5F1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Če je odgovor DA, navedite ustrezne določbe pravne podlage.</w:t>
      </w:r>
    </w:p>
    <w:p w14:paraId="2639F4D3" w14:textId="77777777" w:rsidR="00C64658" w:rsidRDefault="00C64658" w:rsidP="00C6465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7CD828B" w14:textId="16FFC700" w:rsidR="00252DEE" w:rsidRDefault="00252DEE" w:rsidP="006A67E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Podrobno opišite stroške, ki so upravičeni v okviru ukrepa.</w:t>
      </w:r>
    </w:p>
    <w:p w14:paraId="0F07D075" w14:textId="29331F1F" w:rsidR="005B1262" w:rsidRPr="005615D7" w:rsidRDefault="005E58E1" w:rsidP="004B20D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A94DC5A" w14:textId="58AD1D2E" w:rsidR="00680544" w:rsidRDefault="00680544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Potrdite, da ukrep določa, da največja intenzivnost pomoči ne presega 40 % upravičenih stroškov.</w:t>
      </w:r>
    </w:p>
    <w:p w14:paraId="3BA2ABAE" w14:textId="6AA0FAAA" w:rsidR="00293FA0" w:rsidRDefault="00293FA0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0FA572" w14:textId="77777777" w:rsidR="00293FA0" w:rsidRDefault="00293FA0" w:rsidP="00293FA0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4E4D44">
        <w:rPr>
          <w:b/>
          <w:sz w:val="24"/>
          <w:rFonts w:ascii="Times New Roman" w:eastAsia="Times New Roman" w:hAnsi="Times New Roman"/>
        </w:rPr>
      </w:r>
      <w:r w:rsidR="004E4D44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3CBD3E66" w14:textId="77777777" w:rsidR="00293FA0" w:rsidRDefault="00293FA0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6E1A9B" w14:textId="77777777" w:rsidR="00A54529" w:rsidRDefault="00A54529" w:rsidP="00A5452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največje intenzivnosti pomoči, ki se uporabljajo v okviru ukrepa.</w:t>
      </w:r>
    </w:p>
    <w:p w14:paraId="1AFF5A04" w14:textId="77777777" w:rsidR="00A54529" w:rsidRDefault="00A54529" w:rsidP="00A5452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9EED52A" w14:textId="77777777" w:rsidR="00A54529" w:rsidRDefault="00A54529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990EEE" w14:textId="12001E50" w:rsidR="00680544" w:rsidRDefault="00680544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5" w:name="_Hlk125368675"/>
      <w:r>
        <w:rPr>
          <w:sz w:val="24"/>
          <w:rFonts w:ascii="Times New Roman" w:hAnsi="Times New Roman"/>
        </w:rPr>
        <w:t xml:space="preserve">Navedite določbe pravne podlage, ki določajo največje intenzivnosti pomoči ukrepa.</w:t>
      </w:r>
    </w:p>
    <w:p w14:paraId="3248B8D5" w14:textId="293DB344" w:rsidR="005B1262" w:rsidRDefault="00680544" w:rsidP="004B20D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5"/>
    </w:p>
    <w:p w14:paraId="2AE78697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F232613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DRUGE INFORMACIJE</w:t>
      </w:r>
    </w:p>
    <w:p w14:paraId="52786ADD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A87075" w14:textId="25729BC7" w:rsidR="005615D7" w:rsidRPr="005615D7" w:rsidRDefault="005615D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vse druge informacije, ki se vam zdijo pomembne za oceno ukrepa iz tega oddelka smernic.</w:t>
      </w:r>
    </w:p>
    <w:p w14:paraId="4E3CC61D" w14:textId="73F8C1E3" w:rsidR="001A718E" w:rsidRPr="00453ADA" w:rsidRDefault="005615D7" w:rsidP="004B20D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sectPr w:rsidR="001A718E" w:rsidRPr="00453AD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94657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77F2C2F5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6BA0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A0BC912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CF8D2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786F86C8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51AF70E3" w14:textId="10648239" w:rsidR="00F877C4" w:rsidRPr="00F877C4" w:rsidRDefault="00F877C4">
      <w:pPr>
        <w:pStyle w:val="FootnoteText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UL C 107, 23.3.2023, str. 1.</w:t>
      </w:r>
    </w:p>
  </w:footnote>
  <w:footnote w:id="2">
    <w:p w14:paraId="047F30BE" w14:textId="77777777" w:rsidR="0053598F" w:rsidRPr="003533B1" w:rsidRDefault="0053598F" w:rsidP="006A67ED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rPr>
          <w:rFonts w:ascii="Times New Roman" w:hAnsi="Times New Roman"/>
        </w:rPr>
        <w:t xml:space="preserve">Uredba (EU) št. 1380/2013 Evropskega parlamenta in Sveta z dne 11. decembra 2013 o skupni ribiški politiki in o spremembi uredb Sveta (ES) št. 1954/2003 in (ES) št. 1224/2009 ter razveljavitvi uredb Sveta (ES) št. 2371/2002 in (ES) št. 639/2004 ter Sklepa Sveta 2004/585/ES (UL L 354, 28.12.2013, str. 22).</w:t>
      </w:r>
      <w:r>
        <w:rPr>
          <w:rFonts w:ascii="Times New Roman" w:hAnsi="Times New Roman"/>
        </w:rPr>
        <w:t xml:space="preserve">  </w:t>
      </w:r>
    </w:p>
  </w:footnote>
  <w:footnote w:id="3">
    <w:p w14:paraId="06F30C1A" w14:textId="77777777" w:rsidR="0053598F" w:rsidRPr="000345FA" w:rsidRDefault="0053598F" w:rsidP="006A67ED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Glej točki 225 in 226 smernic, ki opisujeta zaporedja nacionalnega poročila, predloženega v letu N, in ukrepov Komisije do 31. marca leta N+1.</w:t>
      </w:r>
    </w:p>
  </w:footnote>
  <w:footnote w:id="4">
    <w:p w14:paraId="3523E437" w14:textId="77777777" w:rsidR="0053598F" w:rsidRPr="001A2686" w:rsidRDefault="0053598F" w:rsidP="006A67ED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Sporočilo Komisije Evropskemu parlamentu in Svetu: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Smernice za analizo ravnovesja med ribolovno zmogljivostjo in ribolovnimi možnostmi v skladu s členom 22 Uredbe (EU) št. 1380/2013 Evropskega parlamenta in Sveta o skupni ribiški politiki (COM(2014) 545 final).</w:t>
      </w:r>
      <w:r>
        <w:rPr>
          <w:rFonts w:ascii="Times New Roman" w:hAnsi="Times New Roman"/>
        </w:rPr>
        <w:t xml:space="preserve">  </w:t>
      </w:r>
    </w:p>
  </w:footnote>
  <w:footnote w:id="5">
    <w:p w14:paraId="58C82DE4" w14:textId="77777777" w:rsidR="0048102E" w:rsidRPr="009A6F32" w:rsidRDefault="0048102E" w:rsidP="006A67ED">
      <w:pPr>
        <w:pStyle w:val="FootnoteText"/>
        <w:ind w:left="567" w:hanging="567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Izvedbena uredba Komisije (EU) 2022/46 z dne 13. januarja 2022 o izvajanju Uredbe (EU) 2021/1139 Evropskega parlamenta in Sveta o vzpostavitvi Evropskega sklada za pomorstvo, ribištvo in akvakulturo ter spremembi Uredbe (EU) 2017/1004, kar zadeva opredelitev energetsko učinkovitih tehnologij in specifikacijo elementov metodologije za določitev običajnega ribolovnega napora ribiških plovil (UL L 9, 14.1.2022, str. 27).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9F295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80E8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4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58768068">
    <w:abstractNumId w:val="1"/>
  </w:num>
  <w:num w:numId="2" w16cid:durableId="2125804502">
    <w:abstractNumId w:val="8"/>
  </w:num>
  <w:num w:numId="3" w16cid:durableId="602494903">
    <w:abstractNumId w:val="2"/>
  </w:num>
  <w:num w:numId="4" w16cid:durableId="794371816">
    <w:abstractNumId w:val="5"/>
  </w:num>
  <w:num w:numId="5" w16cid:durableId="552690427">
    <w:abstractNumId w:val="3"/>
  </w:num>
  <w:num w:numId="6" w16cid:durableId="74717403">
    <w:abstractNumId w:val="7"/>
  </w:num>
  <w:num w:numId="7" w16cid:durableId="1149859089">
    <w:abstractNumId w:val="6"/>
  </w:num>
  <w:num w:numId="8" w16cid:durableId="102111644">
    <w:abstractNumId w:val="4"/>
  </w:num>
  <w:num w:numId="9" w16cid:durableId="1368677825">
    <w:abstractNumId w:val="10"/>
  </w:num>
  <w:num w:numId="10" w16cid:durableId="86514360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16848"/>
    <w:rsid w:val="00047C56"/>
    <w:rsid w:val="000A5405"/>
    <w:rsid w:val="000E2F1C"/>
    <w:rsid w:val="001136BC"/>
    <w:rsid w:val="0012764E"/>
    <w:rsid w:val="00136501"/>
    <w:rsid w:val="001A718E"/>
    <w:rsid w:val="001E09E4"/>
    <w:rsid w:val="001F0558"/>
    <w:rsid w:val="00236AD9"/>
    <w:rsid w:val="00252DEE"/>
    <w:rsid w:val="00293FA0"/>
    <w:rsid w:val="003649C9"/>
    <w:rsid w:val="00385658"/>
    <w:rsid w:val="003E0993"/>
    <w:rsid w:val="004506B7"/>
    <w:rsid w:val="00453ADA"/>
    <w:rsid w:val="0046170F"/>
    <w:rsid w:val="004629F3"/>
    <w:rsid w:val="004668F6"/>
    <w:rsid w:val="0048102E"/>
    <w:rsid w:val="004A1EA0"/>
    <w:rsid w:val="004B20D4"/>
    <w:rsid w:val="004E4D44"/>
    <w:rsid w:val="0050429C"/>
    <w:rsid w:val="0053598F"/>
    <w:rsid w:val="005615D7"/>
    <w:rsid w:val="005B1262"/>
    <w:rsid w:val="005E58E1"/>
    <w:rsid w:val="00610BCF"/>
    <w:rsid w:val="00651AE7"/>
    <w:rsid w:val="0066443A"/>
    <w:rsid w:val="006663B8"/>
    <w:rsid w:val="00680544"/>
    <w:rsid w:val="006914B0"/>
    <w:rsid w:val="006A5AF5"/>
    <w:rsid w:val="006A67ED"/>
    <w:rsid w:val="006A7E03"/>
    <w:rsid w:val="006C68B6"/>
    <w:rsid w:val="006C7549"/>
    <w:rsid w:val="006D64CF"/>
    <w:rsid w:val="00716026"/>
    <w:rsid w:val="00764F86"/>
    <w:rsid w:val="00792BE3"/>
    <w:rsid w:val="007D193E"/>
    <w:rsid w:val="007E27BD"/>
    <w:rsid w:val="007E64FE"/>
    <w:rsid w:val="007F69E1"/>
    <w:rsid w:val="008004EF"/>
    <w:rsid w:val="00806E74"/>
    <w:rsid w:val="008131D2"/>
    <w:rsid w:val="00865AD5"/>
    <w:rsid w:val="008D41A8"/>
    <w:rsid w:val="00924346"/>
    <w:rsid w:val="009725CF"/>
    <w:rsid w:val="009A6F32"/>
    <w:rsid w:val="009E1F93"/>
    <w:rsid w:val="00A02D5E"/>
    <w:rsid w:val="00A54529"/>
    <w:rsid w:val="00A56179"/>
    <w:rsid w:val="00A5779C"/>
    <w:rsid w:val="00A634A8"/>
    <w:rsid w:val="00A9378D"/>
    <w:rsid w:val="00A93E41"/>
    <w:rsid w:val="00AA2F26"/>
    <w:rsid w:val="00AC1CE4"/>
    <w:rsid w:val="00AC55F1"/>
    <w:rsid w:val="00B12B1E"/>
    <w:rsid w:val="00B16EA7"/>
    <w:rsid w:val="00B235B8"/>
    <w:rsid w:val="00B30B7F"/>
    <w:rsid w:val="00B37296"/>
    <w:rsid w:val="00B41F35"/>
    <w:rsid w:val="00BA70E4"/>
    <w:rsid w:val="00BC48E2"/>
    <w:rsid w:val="00BD7CCD"/>
    <w:rsid w:val="00C300A7"/>
    <w:rsid w:val="00C64658"/>
    <w:rsid w:val="00CA7417"/>
    <w:rsid w:val="00CB185C"/>
    <w:rsid w:val="00CB2D84"/>
    <w:rsid w:val="00CC04F4"/>
    <w:rsid w:val="00CE214E"/>
    <w:rsid w:val="00D01037"/>
    <w:rsid w:val="00D204B7"/>
    <w:rsid w:val="00D54834"/>
    <w:rsid w:val="00D7395D"/>
    <w:rsid w:val="00DB31EF"/>
    <w:rsid w:val="00E610A6"/>
    <w:rsid w:val="00E65A1F"/>
    <w:rsid w:val="00E76E56"/>
    <w:rsid w:val="00EE7462"/>
    <w:rsid w:val="00F56F54"/>
    <w:rsid w:val="00F6163F"/>
    <w:rsid w:val="00F741C7"/>
    <w:rsid w:val="00F877C4"/>
    <w:rsid w:val="00FC5EA9"/>
    <w:rsid w:val="00FD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5E9AF947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4FE"/>
    <w:pPr>
      <w:spacing w:after="200" w:line="276" w:lineRule="auto"/>
    </w:pPr>
    <w:rPr>
      <w:sz w:val="22"/>
      <w:szCs w:val="22"/>
      <w:lang w:val="sl-SI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sl-SI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sl-SI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sl-SI"/>
    </w:rPr>
  </w:style>
  <w:style w:type="paragraph" w:customStyle="1" w:styleId="Default">
    <w:name w:val="Default"/>
    <w:rsid w:val="005359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1565</Words>
  <Characters>8346</Characters>
  <Application>Microsoft Office Word</Application>
  <DocSecurity>0</DocSecurity>
  <Lines>225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LAJAUSKAITE Gintare (COMP)</cp:lastModifiedBy>
  <cp:revision>5</cp:revision>
  <dcterms:created xsi:type="dcterms:W3CDTF">2024-09-05T15:20:00Z</dcterms:created>
  <dcterms:modified xsi:type="dcterms:W3CDTF">2024-09-10T10:09:00Z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2023-01-20T08:59:18Z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768dadd7-4f63-4549-a71f-900fcdfd751b</vt:lpwstr>
  </property>
  <property fmtid="{D5CDD505-2E9C-101B-9397-08002B2CF9AE}" pid="13" name="MSIP_Label_6bd9ddd1-4d20-43f6-abfa-fc3c07406f94_ContentBits">
    <vt:lpwstr>0</vt:lpwstr>
  </property>
</Properties>
</file>