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1E103F" w:rsidRDefault="005615D7" w:rsidP="005615D7">
      <w:pPr>
        <w:jc w:val="right"/>
        <w:rPr>
          <w:rFonts w:ascii="Times New Roman" w:eastAsia="Times New Roman" w:hAnsi="Times New Roman"/>
          <w:i/>
          <w:sz w:val="24"/>
          <w:szCs w:val="24"/>
          <w:lang w:eastAsia="en-GB"/>
        </w:rPr>
      </w:pPr>
    </w:p>
    <w:p w14:paraId="4B7235D9" w14:textId="310C6EC9" w:rsidR="005615D7" w:rsidRPr="001E103F"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2.3</w:t>
      </w:r>
    </w:p>
    <w:p w14:paraId="7788A656" w14:textId="75208F6C"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Supplerende informationsskema om</w:t>
      </w:r>
      <w:r>
        <w:rPr>
          <w:b/>
          <w:smallCaps/>
          <w:sz w:val="24"/>
          <w:rFonts w:ascii="Times New Roman" w:hAnsi="Times New Roman"/>
        </w:rPr>
        <w:br/>
      </w:r>
      <w:r>
        <w:rPr>
          <w:b/>
          <w:smallCaps/>
          <w:sz w:val="24"/>
          <w:rFonts w:ascii="Times New Roman" w:hAnsi="Times New Roman"/>
        </w:rPr>
        <w:t xml:space="preserve">støtte til investeringer i udstyr, der bidrager til at øge sikkerheden, herunder udstyr, der gør det muligt for fiskerfartøjer at udvide deres fiskerizoner, til kystfiskeri af mindre omfang i regioner i den yderste periferi</w:t>
      </w:r>
    </w:p>
    <w:p w14:paraId="38E57BE1" w14:textId="3DDF483F" w:rsidR="005615D7" w:rsidRPr="00B41BB2" w:rsidRDefault="00B41BB2" w:rsidP="00B41BB2">
      <w:pPr>
        <w:spacing w:before="360" w:after="0" w:line="240" w:lineRule="auto"/>
        <w:jc w:val="both"/>
        <w:rPr>
          <w:i/>
          <w:sz w:val="24"/>
          <w:szCs w:val="24"/>
          <w:rFonts w:ascii="Times New Roman" w:eastAsia="Times New Roman" w:hAnsi="Times New Roman"/>
        </w:rPr>
      </w:pPr>
      <w:r>
        <w:rPr>
          <w:i/>
          <w:sz w:val="24"/>
          <w:rFonts w:ascii="Times New Roman" w:hAnsi="Times New Roman"/>
        </w:rPr>
        <w:t xml:space="preserve">Medlemsstaterne anvender dette informationsskema ved anmeldelse af statsstøtte til investeringer i udstyr, der bidrager til at øge sikkerheden, herunder udstyr, der gør det muligt for fiskerfartøjer at udvide deres fiskerizoner, til kystfiskeri af mindre omfang i regioner i den yderste periferi som beskrevet i del II, kapitel 2, afsnit 2.3, i retningslinjerne for statsstøtte til fiskeri- og akvakultursektoren</w:t>
      </w:r>
      <w:r w:rsidR="006E55F9">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("retningslinjerne").</w:t>
      </w:r>
    </w:p>
    <w:p w14:paraId="49D4C0CB" w14:textId="01F5025E" w:rsidR="003F4946" w:rsidRDefault="003F4946" w:rsidP="005615D7">
      <w:pPr>
        <w:spacing w:after="0" w:line="240" w:lineRule="auto"/>
        <w:rPr>
          <w:rFonts w:ascii="Times New Roman" w:eastAsia="Times New Roman" w:hAnsi="Times New Roman"/>
          <w:sz w:val="24"/>
          <w:szCs w:val="24"/>
          <w:lang w:eastAsia="en-GB"/>
        </w:rPr>
      </w:pPr>
    </w:p>
    <w:p w14:paraId="3B67729D" w14:textId="37B6E8AE" w:rsidR="003F4946" w:rsidRPr="00B41BB2" w:rsidRDefault="003F4946" w:rsidP="00712876">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Angiv, hvilke regioner i den yderste periferi, jf. artikel 349 i TEUF, der er berørt af foranstaltningen:</w:t>
      </w:r>
    </w:p>
    <w:p w14:paraId="265C4F2D" w14:textId="338DE00F" w:rsidR="00E934EF" w:rsidRDefault="003F4946" w:rsidP="00B41BB2">
      <w:pPr>
        <w:rPr>
          <w:sz w:val="24"/>
          <w:szCs w:val="24"/>
          <w:rFonts w:ascii="Times New Roman" w:eastAsia="Times New Roman" w:hAnsi="Times New Roman"/>
        </w:rPr>
      </w:pPr>
      <w:r>
        <w:rPr>
          <w:sz w:val="24"/>
          <w:rFonts w:ascii="Times New Roman" w:hAnsi="Times New Roman"/>
        </w:rPr>
        <w:t xml:space="preserve">………………………………………………………………………………………………….</w:t>
      </w:r>
    </w:p>
    <w:p w14:paraId="2FA7B21E" w14:textId="13DD10AC" w:rsidR="00DD59E4" w:rsidRDefault="00DD59E4" w:rsidP="00DD59E4">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Redegør for, hvordan foranstaltningen bidrager til at styrke økonomisk, socialt og miljømæssigt bæredygtige fiskeriaktiviteter, forbedre sikkerheden og arbejdsvilkårene om bord samt eventuelt give fiskerfartøjer mulighed for at udvide deres fiskerizoner til op til 20 sømil fra kysten.</w:t>
      </w:r>
    </w:p>
    <w:p w14:paraId="13824094" w14:textId="6F70CE6A" w:rsidR="0098313D" w:rsidRDefault="00DD59E4" w:rsidP="00D147BD">
      <w:pPr>
        <w:rPr>
          <w:sz w:val="24"/>
          <w:szCs w:val="24"/>
          <w:rFonts w:ascii="Times New Roman" w:eastAsia="Times New Roman" w:hAnsi="Times New Roman"/>
        </w:rPr>
      </w:pPr>
      <w:r>
        <w:rPr>
          <w:sz w:val="24"/>
          <w:rFonts w:ascii="Times New Roman" w:hAnsi="Times New Roman"/>
        </w:rPr>
        <w:t xml:space="preserve">………………………………………………………………………………………………….</w:t>
      </w:r>
    </w:p>
    <w:p w14:paraId="5BE06FEF" w14:textId="2F516B5C" w:rsidR="00DD59E4" w:rsidRDefault="0098313D" w:rsidP="0098313D">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Angiv, om der som en undtagelse til punkt (47) i retningslinjerne kan ydes støtte efter dette afsnit med henblik på at opfylde obligatoriske EU-krav eller nationale krav:</w:t>
      </w:r>
    </w:p>
    <w:p w14:paraId="05D09E31" w14:textId="77777777" w:rsidR="007B7FA6" w:rsidRDefault="007B7FA6" w:rsidP="007B7FA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A08961E" w14:textId="77777777" w:rsidR="00D147BD" w:rsidRDefault="00D147BD" w:rsidP="00D147BD">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6704F">
        <w:rPr>
          <w:b/>
          <w:sz w:val="24"/>
          <w:rFonts w:ascii="Times New Roman" w:eastAsia="Times New Roman" w:hAnsi="Times New Roman"/>
        </w:rPr>
      </w:r>
      <w:r w:rsidR="00D6704F">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6704F">
        <w:rPr>
          <w:b/>
          <w:sz w:val="24"/>
          <w:rFonts w:ascii="Times New Roman" w:eastAsia="Times New Roman" w:hAnsi="Times New Roman"/>
        </w:rPr>
      </w:r>
      <w:r w:rsidR="00D6704F">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3451A840" w14:textId="3FB23F81" w:rsidR="0098313D" w:rsidRDefault="0098313D" w:rsidP="005615D7">
      <w:pPr>
        <w:spacing w:after="0" w:line="240" w:lineRule="auto"/>
        <w:rPr>
          <w:rFonts w:ascii="Times New Roman" w:eastAsia="Times New Roman" w:hAnsi="Times New Roman"/>
          <w:sz w:val="24"/>
          <w:szCs w:val="24"/>
          <w:lang w:eastAsia="en-GB"/>
        </w:rPr>
      </w:pPr>
    </w:p>
    <w:p w14:paraId="4BCACA83" w14:textId="61906CAE" w:rsidR="007B7FA6" w:rsidRDefault="00D147BD" w:rsidP="007B7FA6">
      <w:pPr>
        <w:numPr>
          <w:ilvl w:val="1"/>
          <w:numId w:val="15"/>
        </w:numPr>
        <w:spacing w:after="0" w:line="240" w:lineRule="auto"/>
        <w:rPr>
          <w:sz w:val="24"/>
          <w:szCs w:val="24"/>
          <w:rFonts w:ascii="Times New Roman" w:eastAsia="Times New Roman" w:hAnsi="Times New Roman"/>
        </w:rPr>
      </w:pPr>
      <w:r>
        <w:rPr>
          <w:sz w:val="24"/>
          <w:rFonts w:ascii="Times New Roman" w:hAnsi="Times New Roman"/>
        </w:rPr>
        <w:t xml:space="preserve">Beskriv de pågældende obligatoriske EU-krav eller nationale krav og giv en begrundelse for, hvorfor en sådan undtagelse er nødvendig:</w:t>
      </w:r>
    </w:p>
    <w:p w14:paraId="4C3A6625" w14:textId="77777777" w:rsidR="00D147BD" w:rsidRDefault="00D147BD" w:rsidP="00D147BD">
      <w:pPr>
        <w:rPr>
          <w:sz w:val="24"/>
          <w:szCs w:val="24"/>
          <w:rFonts w:ascii="Times New Roman" w:eastAsia="Times New Roman" w:hAnsi="Times New Roman"/>
        </w:rPr>
      </w:pPr>
      <w:r>
        <w:rPr>
          <w:sz w:val="24"/>
          <w:rFonts w:ascii="Times New Roman" w:hAnsi="Times New Roman"/>
        </w:rPr>
        <w:t xml:space="preserve">………………………………………………………………………………………………….</w:t>
      </w:r>
    </w:p>
    <w:p w14:paraId="683E136D" w14:textId="19F910F5" w:rsidR="0098313D" w:rsidRDefault="0098313D" w:rsidP="0098313D">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foranstaltningen ikke indebærer:</w:t>
      </w:r>
    </w:p>
    <w:p w14:paraId="2604FAE0" w14:textId="77777777" w:rsidR="0098313D" w:rsidRDefault="0098313D" w:rsidP="0098313D">
      <w:pPr>
        <w:spacing w:after="0" w:line="240" w:lineRule="auto"/>
        <w:rPr>
          <w:rFonts w:ascii="Times New Roman" w:eastAsia="Times New Roman" w:hAnsi="Times New Roman"/>
          <w:sz w:val="24"/>
          <w:szCs w:val="24"/>
          <w:lang w:eastAsia="en-GB"/>
        </w:rPr>
      </w:pPr>
    </w:p>
    <w:p w14:paraId="08F7E055" w14:textId="18A3F4EF" w:rsidR="0098313D" w:rsidRDefault="007B7FA6" w:rsidP="007B7FA6">
      <w:pPr>
        <w:spacing w:after="120" w:line="240" w:lineRule="auto"/>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6704F">
        <w:rPr>
          <w:b/>
          <w:sz w:val="24"/>
          <w:rFonts w:ascii="Times New Roman" w:eastAsia="Times New Roman" w:hAnsi="Times New Roman"/>
        </w:rPr>
      </w:r>
      <w:r w:rsidR="00D6704F">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 xml:space="preserve"> udskiftning eller modernisering af en hoved- eller hjælpemotor på et fiskerfartøj</w:t>
      </w:r>
    </w:p>
    <w:p w14:paraId="58153E5A" w14:textId="77777777" w:rsidR="007B7FA6" w:rsidRDefault="007B7FA6" w:rsidP="007B7FA6">
      <w:pPr>
        <w:autoSpaceDE w:val="0"/>
        <w:autoSpaceDN w:val="0"/>
        <w:adjustRightInd w:val="0"/>
        <w:spacing w:after="0" w:line="240" w:lineRule="auto"/>
        <w:ind w:left="720"/>
        <w:jc w:val="both"/>
        <w:rPr>
          <w:rFonts w:ascii="Times New Roman" w:eastAsia="Times New Roman" w:hAnsi="Times New Roman"/>
          <w:noProof/>
          <w:sz w:val="24"/>
          <w:szCs w:val="24"/>
          <w:lang w:eastAsia="en-GB"/>
        </w:rPr>
      </w:pPr>
    </w:p>
    <w:p w14:paraId="18F1B08F" w14:textId="61E06821" w:rsidR="0098313D" w:rsidRDefault="007B7FA6" w:rsidP="007B7FA6">
      <w:pPr>
        <w:spacing w:after="120" w:line="240" w:lineRule="auto"/>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D6704F">
        <w:rPr>
          <w:b/>
          <w:sz w:val="24"/>
          <w:rFonts w:ascii="Times New Roman" w:eastAsia="Times New Roman" w:hAnsi="Times New Roman"/>
        </w:rPr>
      </w:r>
      <w:r w:rsidR="00D6704F">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 xml:space="preserve"> en forøgelse af et fiskerfartøjs fiskerikapacitet</w:t>
      </w:r>
    </w:p>
    <w:p w14:paraId="7D6C48C3" w14:textId="528D968F" w:rsidR="007B7FA6" w:rsidRPr="007B7FA6" w:rsidRDefault="007B7FA6" w:rsidP="007B7FA6">
      <w:pPr>
        <w:spacing w:after="0" w:line="240" w:lineRule="auto"/>
        <w:jc w:val="both"/>
        <w:rPr>
          <w:sz w:val="24"/>
          <w:szCs w:val="24"/>
          <w:rFonts w:ascii="Times New Roman" w:eastAsia="Times New Roman" w:hAnsi="Times New Roman"/>
        </w:rPr>
      </w:pPr>
      <w:r>
        <w:rPr>
          <w:i/>
          <w:rFonts w:ascii="Times New Roman" w:hAnsi="Times New Roman"/>
        </w:rPr>
        <w:t xml:space="preserve">Bemærk, at i henhold til punkt (235) og (236) i retningslinjerne er støtte til investeringer, som indebærer udskiftning eller modernisering af et fiskerfartøjs hoved- eller hjælpemotor, kun støtteberettigede i henhold til artikel 18 i forordning (EU) 2021/1139 eller til del II, kapitel 3, afsnit 3.2, i retningslinjerne,</w:t>
      </w:r>
      <w:r>
        <w:rPr>
          <w:i/>
          <w:color w:val="000000"/>
          <w:sz w:val="23"/>
          <w:rFonts w:ascii="Times New Roman" w:hAnsi="Times New Roman"/>
        </w:rPr>
        <w:t xml:space="preserve"> </w:t>
      </w:r>
      <w:r>
        <w:rPr>
          <w:i/>
          <w:color w:val="000000"/>
          <w:sz w:val="23"/>
          <w:rFonts w:ascii="Times New Roman" w:hAnsi="Times New Roman"/>
        </w:rPr>
        <w:t xml:space="preserve">og støtte til investeringer, som fører til en forøgelse af et fiskerfartøjs bruttotonnage, kun støtteberettigede i henhold til artikel 19 i forordning (EU) 2021/1139 eller i henhold til del II, kapitel 3, afsnit 3.3, i retningslinjerne.</w:t>
      </w:r>
      <w:r>
        <w:rPr>
          <w:i/>
          <w:color w:val="000000"/>
          <w:sz w:val="23"/>
          <w:rFonts w:ascii="Times New Roman" w:hAnsi="Times New Roman"/>
        </w:rPr>
        <w:t xml:space="preserve"> </w:t>
      </w:r>
    </w:p>
    <w:p w14:paraId="7DE57E2C" w14:textId="77777777" w:rsidR="0098313D" w:rsidRDefault="0098313D" w:rsidP="005615D7">
      <w:pPr>
        <w:spacing w:after="0" w:line="240" w:lineRule="auto"/>
        <w:rPr>
          <w:rFonts w:ascii="Times New Roman" w:eastAsia="Times New Roman" w:hAnsi="Times New Roman"/>
          <w:sz w:val="24"/>
          <w:szCs w:val="24"/>
          <w:lang w:eastAsia="en-GB"/>
        </w:rPr>
      </w:pPr>
    </w:p>
    <w:p w14:paraId="039B34C0" w14:textId="77777777" w:rsidR="0098313D" w:rsidRDefault="0098313D" w:rsidP="0098313D">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Giv en detaljeret beskrivelse af de omkostninger, der er støtteberettigede under foranstaltningen:</w:t>
      </w:r>
    </w:p>
    <w:p w14:paraId="74434B51" w14:textId="77777777" w:rsidR="0098313D" w:rsidRDefault="0098313D" w:rsidP="0098313D">
      <w:pPr>
        <w:rPr>
          <w:sz w:val="24"/>
          <w:szCs w:val="24"/>
          <w:rFonts w:ascii="Times New Roman" w:eastAsia="Times New Roman" w:hAnsi="Times New Roman"/>
        </w:rPr>
      </w:pPr>
      <w:r>
        <w:rPr>
          <w:sz w:val="24"/>
          <w:rFonts w:ascii="Times New Roman" w:hAnsi="Times New Roman"/>
        </w:rPr>
        <w:t xml:space="preserve">………………………………………………………………………………………………….</w:t>
      </w:r>
    </w:p>
    <w:p w14:paraId="54AD4AA6" w14:textId="77777777" w:rsidR="0098313D" w:rsidRDefault="0098313D" w:rsidP="0098313D">
      <w:pPr>
        <w:autoSpaceDE w:val="0"/>
        <w:autoSpaceDN w:val="0"/>
        <w:adjustRightInd w:val="0"/>
        <w:spacing w:after="0" w:line="240" w:lineRule="auto"/>
        <w:jc w:val="both"/>
        <w:rPr>
          <w:rFonts w:ascii="Times New Roman" w:eastAsia="Times New Roman" w:hAnsi="Times New Roman"/>
          <w:sz w:val="24"/>
          <w:szCs w:val="24"/>
          <w:lang w:eastAsia="en-GB"/>
        </w:rPr>
      </w:pPr>
    </w:p>
    <w:p w14:paraId="36E55D25" w14:textId="4C6D4AB5" w:rsidR="0098313D" w:rsidRDefault="0098313D" w:rsidP="0098313D">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Bekræft, at foranstaltningen indeholder en bestemmelse om, at den maksimale støtteintensitet ikke må overstige 100 % af de tilskudsberettigede omkostninger.</w:t>
      </w:r>
    </w:p>
    <w:p w14:paraId="183319C1" w14:textId="77777777" w:rsidR="0098313D" w:rsidRDefault="0098313D" w:rsidP="0098313D">
      <w:pPr>
        <w:rPr>
          <w:sz w:val="24"/>
          <w:szCs w:val="24"/>
          <w:rFonts w:ascii="Times New Roman" w:eastAsia="Times New Roman" w:hAnsi="Times New Roman"/>
        </w:rPr>
      </w:pPr>
      <w:r>
        <w:rPr>
          <w:sz w:val="24"/>
          <w:rFonts w:ascii="Times New Roman" w:hAnsi="Times New Roman"/>
        </w:rPr>
        <w:t xml:space="preserve">………………………………………………………………………………………………….</w:t>
      </w:r>
    </w:p>
    <w:p w14:paraId="4C8773FD" w14:textId="77777777" w:rsidR="00AF6D28" w:rsidRDefault="00AF6D28" w:rsidP="0098313D">
      <w:pPr>
        <w:rPr>
          <w:rFonts w:ascii="Times New Roman" w:eastAsia="Times New Roman" w:hAnsi="Times New Roman"/>
          <w:sz w:val="24"/>
          <w:szCs w:val="24"/>
          <w:lang w:eastAsia="en-GB"/>
        </w:rPr>
      </w:pPr>
    </w:p>
    <w:p w14:paraId="25422023" w14:textId="77777777" w:rsidR="00AF6D28" w:rsidRDefault="00AF6D28" w:rsidP="00AF6D28">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Angiv de maksimale støtteintensiteter, der gælder for foranstaltningen:</w:t>
      </w:r>
    </w:p>
    <w:p w14:paraId="74D79D94" w14:textId="77777777" w:rsidR="00AF6D28" w:rsidRDefault="00AF6D28" w:rsidP="00AF6D28">
      <w:pPr>
        <w:rPr>
          <w:sz w:val="24"/>
          <w:szCs w:val="24"/>
          <w:rFonts w:ascii="Times New Roman" w:eastAsia="Times New Roman" w:hAnsi="Times New Roman"/>
        </w:rPr>
      </w:pPr>
      <w:r>
        <w:rPr>
          <w:sz w:val="24"/>
          <w:rFonts w:ascii="Times New Roman" w:hAnsi="Times New Roman"/>
        </w:rPr>
        <w:t xml:space="preserve">………………………………………………………………………………………………….</w:t>
      </w:r>
    </w:p>
    <w:p w14:paraId="7DA28BD2" w14:textId="77777777" w:rsidR="00AF6D28" w:rsidRDefault="00AF6D28" w:rsidP="0098313D">
      <w:pPr>
        <w:rPr>
          <w:rFonts w:ascii="Times New Roman" w:eastAsia="Times New Roman" w:hAnsi="Times New Roman"/>
          <w:sz w:val="24"/>
          <w:szCs w:val="24"/>
          <w:lang w:eastAsia="en-GB"/>
        </w:rPr>
      </w:pPr>
    </w:p>
    <w:p w14:paraId="7B6FB543" w14:textId="21DC3D44" w:rsidR="0098313D" w:rsidRDefault="0098313D" w:rsidP="0098313D">
      <w:pPr>
        <w:numPr>
          <w:ilvl w:val="1"/>
          <w:numId w:val="15"/>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0" w:name="_Hlk125368675"/>
      <w:r>
        <w:rPr>
          <w:sz w:val="24"/>
          <w:rFonts w:ascii="Times New Roman" w:hAnsi="Times New Roman"/>
        </w:rPr>
        <w:t xml:space="preserve">Angiv henvisning til de bestemmelser i retsgrundlaget, der fastsætter de maksimale støtteintensiteter under foranstaltningen:</w:t>
      </w:r>
    </w:p>
    <w:p w14:paraId="0E1683EF" w14:textId="1CD5C68A" w:rsidR="003F1D62" w:rsidRPr="001E103F" w:rsidRDefault="0098313D" w:rsidP="007B7FA6">
      <w:pPr>
        <w:rPr>
          <w:sz w:val="24"/>
          <w:szCs w:val="24"/>
          <w:rFonts w:ascii="Times New Roman" w:eastAsia="Times New Roman" w:hAnsi="Times New Roman"/>
        </w:rPr>
      </w:pPr>
      <w:r>
        <w:rPr>
          <w:sz w:val="24"/>
          <w:rFonts w:ascii="Times New Roman" w:hAnsi="Times New Roman"/>
        </w:rPr>
        <w:t xml:space="preserve">………………………………………………………………………………………………….</w:t>
      </w:r>
      <w:bookmarkEnd w:id="0"/>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ANDRE OPLYSNINGER</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02E66C3" w:rsidR="005615D7" w:rsidRPr="001E103F" w:rsidRDefault="005615D7" w:rsidP="00F06A07">
      <w:pPr>
        <w:numPr>
          <w:ilvl w:val="0"/>
          <w:numId w:val="15"/>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Angiv eventuelle andre oplysninger, der kan være relevante for vurderingen af den foranstaltning, der er omfattet af dette afsnit i retningslinjerne.</w:t>
      </w:r>
    </w:p>
    <w:p w14:paraId="227C2D0E" w14:textId="77777777" w:rsidR="005615D7" w:rsidRPr="001E103F" w:rsidRDefault="005615D7" w:rsidP="005615D7">
      <w:pPr>
        <w:rPr>
          <w:sz w:val="24"/>
          <w:szCs w:val="24"/>
          <w:rFonts w:ascii="Times New Roman" w:eastAsia="Times New Roman" w:hAnsi="Times New Roman"/>
        </w:rPr>
      </w:pPr>
      <w:r>
        <w:rPr>
          <w:sz w:val="24"/>
          <w:rFonts w:ascii="Times New Roman" w:hAnsi="Times New Roman"/>
        </w:rPr>
        <w:t xml:space="preserve">………………………………………………………………………………………………….</w:t>
      </w:r>
    </w:p>
    <w:p w14:paraId="10D940B0" w14:textId="77777777" w:rsidR="00453ADA" w:rsidRPr="001E103F" w:rsidRDefault="00453ADA" w:rsidP="003F4946">
      <w:pPr>
        <w:autoSpaceDE w:val="0"/>
        <w:autoSpaceDN w:val="0"/>
        <w:adjustRightInd w:val="0"/>
        <w:spacing w:after="0" w:line="240" w:lineRule="auto"/>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39E37E1E" w14:textId="65DD680D" w:rsidR="006E55F9" w:rsidRPr="006E55F9" w:rsidRDefault="006E55F9">
      <w:pPr>
        <w:pStyle w:val="FootnoteText"/>
      </w:pPr>
      <w:r>
        <w:rPr>
          <w:rStyle w:val="FootnoteReference"/>
        </w:rPr>
        <w:footnoteRef/>
      </w:r>
      <w:r>
        <w:rPr>
          <w:rFonts w:ascii="Times New Roman" w:hAnsi="Times New Roman"/>
        </w:rPr>
        <w:t xml:space="preserve"> EUT C 107 af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2BFD4FD8"/>
    <w:multiLevelType w:val="hybridMultilevel"/>
    <w:tmpl w:val="CB4216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C077DF9"/>
    <w:multiLevelType w:val="hybridMultilevel"/>
    <w:tmpl w:val="E6CCB11A"/>
    <w:lvl w:ilvl="0" w:tplc="A39AF858">
      <w:start w:val="1"/>
      <w:numFmt w:val="lowerLetter"/>
      <w:lvlText w:val="(%1)"/>
      <w:lvlJc w:val="left"/>
      <w:pPr>
        <w:ind w:left="720" w:hanging="360"/>
      </w:pPr>
      <w:rPr>
        <w:rFonts w:ascii="Times New Roman" w:eastAsia="Times New Roman" w:hAnsi="Times New Roman" w:cs="Times New Roman"/>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520847367">
    <w:abstractNumId w:val="3"/>
  </w:num>
  <w:num w:numId="2" w16cid:durableId="504127747">
    <w:abstractNumId w:val="16"/>
  </w:num>
  <w:num w:numId="3" w16cid:durableId="1146971053">
    <w:abstractNumId w:val="4"/>
  </w:num>
  <w:num w:numId="4" w16cid:durableId="2129348874">
    <w:abstractNumId w:val="10"/>
  </w:num>
  <w:num w:numId="5" w16cid:durableId="209802491">
    <w:abstractNumId w:val="5"/>
  </w:num>
  <w:num w:numId="6" w16cid:durableId="1414428307">
    <w:abstractNumId w:val="12"/>
  </w:num>
  <w:num w:numId="7" w16cid:durableId="847254142">
    <w:abstractNumId w:val="11"/>
  </w:num>
  <w:num w:numId="8" w16cid:durableId="652174394">
    <w:abstractNumId w:val="15"/>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8"/>
  </w:num>
  <w:num w:numId="12" w16cid:durableId="363792905">
    <w:abstractNumId w:val="0"/>
  </w:num>
  <w:num w:numId="13" w16cid:durableId="312611056">
    <w:abstractNumId w:val="2"/>
  </w:num>
  <w:num w:numId="14" w16cid:durableId="1140073642">
    <w:abstractNumId w:val="14"/>
  </w:num>
  <w:num w:numId="15" w16cid:durableId="1060445496">
    <w:abstractNumId w:val="7"/>
  </w:num>
  <w:num w:numId="16" w16cid:durableId="814759880">
    <w:abstractNumId w:val="13"/>
  </w:num>
  <w:num w:numId="17" w16cid:durableId="1100642106">
    <w:abstractNumId w:val="9"/>
  </w:num>
  <w:num w:numId="18" w16cid:durableId="455803617">
    <w:abstractNumId w:val="6"/>
  </w:num>
  <w:num w:numId="19" w16cid:durableId="1279481958">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48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34AF3"/>
    <w:rsid w:val="00047C56"/>
    <w:rsid w:val="000A5405"/>
    <w:rsid w:val="000E2F1C"/>
    <w:rsid w:val="000E6ABB"/>
    <w:rsid w:val="00114BDD"/>
    <w:rsid w:val="00136501"/>
    <w:rsid w:val="001832DE"/>
    <w:rsid w:val="001A503C"/>
    <w:rsid w:val="001A718E"/>
    <w:rsid w:val="001B2BEF"/>
    <w:rsid w:val="001D7707"/>
    <w:rsid w:val="001E09E4"/>
    <w:rsid w:val="001E103F"/>
    <w:rsid w:val="001E46DC"/>
    <w:rsid w:val="001F0558"/>
    <w:rsid w:val="0020247E"/>
    <w:rsid w:val="00236AD9"/>
    <w:rsid w:val="00247C79"/>
    <w:rsid w:val="00252DEE"/>
    <w:rsid w:val="00256D84"/>
    <w:rsid w:val="0026001A"/>
    <w:rsid w:val="002627EB"/>
    <w:rsid w:val="002C2F3E"/>
    <w:rsid w:val="003027AD"/>
    <w:rsid w:val="003649C9"/>
    <w:rsid w:val="00385658"/>
    <w:rsid w:val="00395D32"/>
    <w:rsid w:val="003E0993"/>
    <w:rsid w:val="003E1E24"/>
    <w:rsid w:val="003F1D62"/>
    <w:rsid w:val="003F4946"/>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610BCF"/>
    <w:rsid w:val="00615953"/>
    <w:rsid w:val="00623D66"/>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E55F9"/>
    <w:rsid w:val="006F53A8"/>
    <w:rsid w:val="00701F4B"/>
    <w:rsid w:val="00716026"/>
    <w:rsid w:val="007577B2"/>
    <w:rsid w:val="00764F86"/>
    <w:rsid w:val="00772CC2"/>
    <w:rsid w:val="00774407"/>
    <w:rsid w:val="00792BE3"/>
    <w:rsid w:val="007B3E6C"/>
    <w:rsid w:val="007B7FA6"/>
    <w:rsid w:val="007D193E"/>
    <w:rsid w:val="007E27BD"/>
    <w:rsid w:val="007F69E1"/>
    <w:rsid w:val="008004EF"/>
    <w:rsid w:val="00806E74"/>
    <w:rsid w:val="008131D2"/>
    <w:rsid w:val="00865AD5"/>
    <w:rsid w:val="008A02E0"/>
    <w:rsid w:val="008C7C53"/>
    <w:rsid w:val="008E7385"/>
    <w:rsid w:val="0092025C"/>
    <w:rsid w:val="009725CF"/>
    <w:rsid w:val="0098313D"/>
    <w:rsid w:val="009D7158"/>
    <w:rsid w:val="009E1F93"/>
    <w:rsid w:val="00A003E4"/>
    <w:rsid w:val="00A02D5E"/>
    <w:rsid w:val="00A13FFA"/>
    <w:rsid w:val="00A56179"/>
    <w:rsid w:val="00A5779C"/>
    <w:rsid w:val="00A634A8"/>
    <w:rsid w:val="00A737D2"/>
    <w:rsid w:val="00A91C65"/>
    <w:rsid w:val="00A9378D"/>
    <w:rsid w:val="00A93E41"/>
    <w:rsid w:val="00AA2F26"/>
    <w:rsid w:val="00AC1CE4"/>
    <w:rsid w:val="00AC55F1"/>
    <w:rsid w:val="00AF6D28"/>
    <w:rsid w:val="00B05450"/>
    <w:rsid w:val="00B12B1E"/>
    <w:rsid w:val="00B235B8"/>
    <w:rsid w:val="00B30B7F"/>
    <w:rsid w:val="00B37296"/>
    <w:rsid w:val="00B41BB2"/>
    <w:rsid w:val="00B41F35"/>
    <w:rsid w:val="00B4562D"/>
    <w:rsid w:val="00BA70E4"/>
    <w:rsid w:val="00BC48E2"/>
    <w:rsid w:val="00BD7CCD"/>
    <w:rsid w:val="00BF55C4"/>
    <w:rsid w:val="00C25FCA"/>
    <w:rsid w:val="00C300A7"/>
    <w:rsid w:val="00C800F0"/>
    <w:rsid w:val="00C948E8"/>
    <w:rsid w:val="00CB185C"/>
    <w:rsid w:val="00CB2D84"/>
    <w:rsid w:val="00CC04F4"/>
    <w:rsid w:val="00CE214E"/>
    <w:rsid w:val="00D147BD"/>
    <w:rsid w:val="00D25398"/>
    <w:rsid w:val="00D54834"/>
    <w:rsid w:val="00D6704F"/>
    <w:rsid w:val="00D7395D"/>
    <w:rsid w:val="00DA52D8"/>
    <w:rsid w:val="00DD59E4"/>
    <w:rsid w:val="00DF06B6"/>
    <w:rsid w:val="00DF0D4F"/>
    <w:rsid w:val="00E20F79"/>
    <w:rsid w:val="00E51CD7"/>
    <w:rsid w:val="00E610A6"/>
    <w:rsid w:val="00E65A1F"/>
    <w:rsid w:val="00E934E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a-DK"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lang w:val="da-DK"/>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da-DK"/>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da-DK"/>
    </w:rPr>
  </w:style>
  <w:style w:type="paragraph" w:styleId="Revision">
    <w:name w:val="Revision"/>
    <w:hidden/>
    <w:uiPriority w:val="99"/>
    <w:semiHidden/>
    <w:rsid w:val="00136501"/>
    <w:rPr>
      <w:sz w:val="22"/>
      <w:szCs w:val="22"/>
      <w:lang w:val="da-DK"/>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B41BB2"/>
    <w:pPr>
      <w:autoSpaceDE w:val="0"/>
      <w:autoSpaceDN w:val="0"/>
      <w:adjustRightInd w:val="0"/>
    </w:pPr>
    <w:rPr>
      <w:rFonts w:ascii="Times New Roman" w:hAnsi="Times New Roman"/>
      <w:color w:val="000000"/>
      <w:sz w:val="24"/>
      <w:szCs w:val="24"/>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2</Pages>
  <Words>436</Words>
  <Characters>2594</Characters>
  <Application>Microsoft Office Word</Application>
  <DocSecurity>0</DocSecurity>
  <Lines>61</Lines>
  <Paragraphs>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CILEA Andrea (COMP)</cp:lastModifiedBy>
  <cp:revision>71</cp:revision>
  <dcterms:created xsi:type="dcterms:W3CDTF">2023-01-05T14:31:00Z</dcterms:created>
  <dcterms:modified xsi:type="dcterms:W3CDTF">2024-05-31T08:03:00Z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