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Supplerende informationsskema om </w:t>
      </w:r>
      <w:r>
        <w:rPr>
          <w:rFonts w:ascii="Times New Roman" w:hAnsi="Times New Roman"/>
          <w:b/>
          <w:smallCaps/>
          <w:sz w:val="24"/>
        </w:rPr>
        <w:br/>
        <w:t>støtte til første erhvervelse af et fiskerfartøj</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Medlemsstaterne anvender dette informationsskema ved anmeldelse af statsstøtte til første erhvervelse af et fiskerfartøj som beskrevet i del II, kapitel 3, afsnit 3.1, i retningslinjerne for statsstøtte til fiskeri- og akvakultursektoren</w:t>
      </w:r>
      <w:r w:rsidR="0045617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("retningslinjerne").</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Bekræft, at foranstaltningen indeholder bestemmelser om, at det EU-fiskerfartøj, der ydes støtte til, ikke vil blive overført eller omflaget uden for Unionen i mindst fem år efter den endelige betaling af støtte:</w:t>
      </w:r>
      <w:bookmarkEnd w:id="1"/>
      <w:r>
        <w:rPr>
          <w:rFonts w:ascii="Times New Roman" w:hAnsi="Times New Roman"/>
          <w:sz w:val="24"/>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Hvis svaret er ja anføres de relevante bestemmelser i retsgrundlaget:</w:t>
      </w: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Angiv, hvem der kan ydes støtte til under foranstaltningen:</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a) en fysisk person, som ikke er over 40 år på datoen for indgivelse af støtteansøgningen, og som har arbejdet mindst fem år som fisker eller har opnået tilstrækkelige kvalifikationer</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b) juridiske enheder, der ejes fuldt ud af en eller flere fysiske personer, som hver især opfylder betingelserne i litra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c) fælles første erhvervelse af et fiskerfartøj, hvis flere fysiske personer hver især opfylder betingelserne i litra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d) erhvervelse af delvist ejerskab af et fiskerfartøj, hvis den fysiske person opfylder betingelserne i litra a) og anses for at have kontrollerende rettigheder over det pågældende fartøj ved at eje mindst 33 % af fartøjet eller af aktierne i fartøjet, eller den juridiske enhed opfylder betingelserne i litra b) og anses for at have kontrollerende rettigheder over det pågældende fartøj ved at eje mindst 33 % af fartøjet eller af aktierne i fartøjet.</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Pr>
          <w:rFonts w:ascii="Times New Roman" w:hAnsi="Times New Roman"/>
          <w:sz w:val="24"/>
        </w:rPr>
        <w:t>Angiv henvisning til de bestemmelser i retsgrundlaget, der afspejler det valgte svar (a), b) eller c)):</w:t>
      </w:r>
    </w:p>
    <w:p w14:paraId="194287F4" w14:textId="6CD25B91" w:rsidR="00FE057F" w:rsidRDefault="00FE057F" w:rsidP="004D2CA0">
      <w:pPr>
        <w:rPr>
          <w:rFonts w:ascii="Times New Roman" w:eastAsia="Times New Roman" w:hAnsi="Times New Roman"/>
          <w:sz w:val="24"/>
          <w:szCs w:val="24"/>
        </w:rPr>
      </w:pPr>
      <w:r>
        <w:rPr>
          <w:rFonts w:ascii="Times New Roman" w:hAnsi="Times New Roman"/>
          <w:sz w:val="24"/>
        </w:rPr>
        <w:t>………………………………………………………………………………………………….</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henhold til punkt (245), litra a), i retningslinjerne skal fiskerfartøjet høre til et flådesegment, hvor der ifølge den seneste fiskerikapacitetsrapport som omhandlet i artikel 22, stk. 2, i forordning (EU) nr. 1380/2013</w:t>
      </w:r>
      <w:r w:rsidR="003533B1">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er balance i de fiskerimuligheder, der </w:t>
      </w:r>
      <w:r>
        <w:rPr>
          <w:rFonts w:ascii="Times New Roman" w:hAnsi="Times New Roman"/>
          <w:sz w:val="24"/>
        </w:rPr>
        <w:lastRenderedPageBreak/>
        <w:t>er til rådighed for det pågældende segment ("den nationale rapport").</w:t>
      </w:r>
      <w:bookmarkStart w:id="6" w:name="_Ref124951182"/>
      <w:bookmarkEnd w:id="6"/>
      <w:r>
        <w:rPr>
          <w:rFonts w:ascii="Times New Roman" w:hAnsi="Times New Roman"/>
          <w:sz w:val="24"/>
        </w:rPr>
        <w:t xml:space="preserve"> I henhold til punkt (226) i retningslinjerne gælder den procedure og de betingelser, der er fastsat i punkt (225) til (227) i del II, kapitel 2, afsnit 2.2, i retningslinjerne, også i forbindelse med punkt (245), litra a).</w:t>
      </w:r>
      <w:r>
        <w:rPr>
          <w:rFonts w:ascii="Times New Roman" w:hAnsi="Times New Roman"/>
          <w:color w:val="000000"/>
          <w:sz w:val="23"/>
        </w:rPr>
        <w:t xml:space="preserve"> </w:t>
      </w:r>
      <w:bookmarkStart w:id="7" w:name="_Hlk127291617"/>
      <w:r>
        <w:rPr>
          <w:rFonts w:ascii="Times New Roman" w:hAnsi="Times New Roman"/>
          <w:sz w:val="24"/>
        </w:rPr>
        <w:t>På denne baggrund besvares følgende spørgsmål:</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Hvornår blev den seneste rapport udarbejdet inden støttetildelingstidspunktet?</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et link til den seneste nationale rapport eller vedlæg den anmeldelsen:</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følgende betingelser er opfyldt for al støtte, der skal ydes:</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Blev den nationale rapport indgivet senest den 31. maj i år N</w:t>
      </w:r>
      <w:r w:rsidR="00FE3627">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den nationale rapport, der er indgivet i år N, og navnlig balancevurderingen deri, er blevet udarbejdet på grundlag af de biologiske og økonomiske indikatorer og de indikatorer for fartøjsanvendelse, der er fastsat i de fælles retningslinjer</w:t>
      </w:r>
      <w:r w:rsidR="00D57D3B">
        <w:rPr>
          <w:rStyle w:val="FootnoteReference"/>
          <w:rFonts w:ascii="Times New Roman" w:eastAsia="Times New Roman" w:hAnsi="Times New Roman"/>
          <w:sz w:val="24"/>
          <w:szCs w:val="24"/>
          <w:lang w:eastAsia="en-GB"/>
        </w:rPr>
        <w:footnoteReference w:id="4"/>
      </w:r>
      <w:r>
        <w:rPr>
          <w:rFonts w:ascii="Times New Roman" w:hAnsi="Times New Roman"/>
          <w:sz w:val="24"/>
        </w:rPr>
        <w:t>, som er omhandlet i artikel 22, stk. 2, i forordning (EU) nr.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rPr>
        <w:t>Bemærk, at der ikke må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w:t>
      </w:r>
      <w:r>
        <w:rPr>
          <w:i/>
          <w:sz w:val="23"/>
        </w:rPr>
        <w:t xml:space="preserve">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Påvises det i den nationale rapport fra år N, at der er balance mellem den fiskerikapacitet og de fiskerimuligheder, som flådesegmentet, som det nye fartøj vil tilhøre, råder over:</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Beskriv, hvordan der er taget hensyn til den nationale rapport ved tilrettelæggelsen af foranstaltningen, og hvordan der er opnået balance:</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Kommissionen senest den 31. marts i år N+1 ikke har draget tvivl om:</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557846">
        <w:rPr>
          <w:rFonts w:ascii="Times New Roman" w:eastAsia="Times New Roman" w:hAnsi="Times New Roman"/>
          <w:sz w:val="24"/>
        </w:rPr>
      </w:r>
      <w:r w:rsidR="00557846">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konklusionen i den nationale rapport fra år N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557846">
        <w:rPr>
          <w:rFonts w:ascii="Times New Roman" w:eastAsia="Times New Roman" w:hAnsi="Times New Roman"/>
          <w:sz w:val="24"/>
        </w:rPr>
      </w:r>
      <w:r w:rsidR="00557846">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balancevurderingen i den nationale rapport fra år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Bekræft, at foranstaltningen indeholder bestemmelser om, at der kun kan ydes støtte på grundlag af den nationale rapport fra år N indtil den 31. december i år N+1, dvs. året efter året for indgivelse af rapporten: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Pr>
          <w:rFonts w:ascii="Times New Roman" w:hAnsi="Times New Roman"/>
          <w:i/>
          <w:sz w:val="24"/>
        </w:rPr>
        <w:t>Hvis foranstaltningen vedrører indlandsfiskeri, skal spørgsmål 3.1 til 3.2.6.1 ikke besvares.</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Bekræft, at foranstaltningen indeholder bestemmelser om, at fiskerfartøjer skal være udstyret til fiskeriaktiviteter og må have en længde overalt på højst 24 meter:</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0374EE62"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Bekræft, at foranstaltningen indeholder bestemmelser om, at der kun må ydes støtte til et fiskerfartøj, det har været registreret i EU-flåderegistret i mindst tre kalenderår forud for det år, hvor støtteansøgningen blev indgivet, når der er tale om et fartøj til kystfiskeri af mindre omfang, og i mindst fem kalenderår, hvis der er tale om en anden fartøjstype:</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Hvis foranstaltningen vedrører indlandsfiskeri, bekræftes det, at foranstaltningen indeholder bestemmelser om, at der kun må ydes støtte til et fiskerfartøj, det i henhold til national lov har været i brug i mindst tre kalenderår forud for det år, hvor støtteansøgningen blev indgivet, når der er tale om et fartøj til kystfiskeri af mindre omfang, og i mindst fem kalenderår, hvis der er tale om en anden fartøjstype:</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på spørgsmål 5 eller 5.1 er ja, anføres de relevante bestemmelser i retsgrundlaget:</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der kun må ydes støtte til et fiskerfartøj, der har været registreret i EU-fiskerflåderegistret i højst 30 kalenderår forud for det år, hvor støtteansøgningen blev indgivet:</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Hvis foranstaltningen vedrører indlandsfiskeri, bekræftes det, at foranstaltningen indeholder bestemmelser om, at der kun må ydes støtte til et fiskerfartøj, der i henhold til national ret blev taget i brug højst 30 kalenderår forud for det år, hvor støtteansøgningen blev indgivet:</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på spørgsmål 6 eller 6.1 er ja, anføres de relevante bestemmelser i retsgrundlaget:</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 støtteberettigede omkostninger kan omfatte de direkte og de indirekte omkostninger i forbindelse med den første erhvervelse af et fiskerfartøj.</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Giv en detaljeret beskrivelse af de omkostninger, der er støtteberettigede under foranstaltningen:</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59E3908F"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en bestemmelse om, at den maksimale støtteintensitet ikke må overstige 40 % af de tilskudsberettigede omkostninger.</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557846">
        <w:rPr>
          <w:rFonts w:ascii="Times New Roman" w:eastAsia="Times New Roman" w:hAnsi="Times New Roman"/>
          <w:b/>
          <w:sz w:val="24"/>
        </w:rPr>
      </w:r>
      <w:r w:rsidR="00557846">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de maksimale støtteintensiteter, der gælder for foranstaltningen:</w:t>
      </w:r>
    </w:p>
    <w:p w14:paraId="56633C5B" w14:textId="77777777" w:rsidR="00727DA3" w:rsidRDefault="00727DA3" w:rsidP="00727DA3">
      <w:pPr>
        <w:rPr>
          <w:rFonts w:ascii="Times New Roman" w:eastAsia="Times New Roman" w:hAnsi="Times New Roman"/>
          <w:sz w:val="24"/>
          <w:szCs w:val="24"/>
        </w:rPr>
      </w:pPr>
      <w:r>
        <w:rPr>
          <w:rFonts w:ascii="Times New Roman" w:hAnsi="Times New Roman"/>
          <w:sz w:val="24"/>
        </w:rPr>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Pr>
          <w:rFonts w:ascii="Times New Roman" w:hAnsi="Times New Roman"/>
          <w:sz w:val="24"/>
        </w:rPr>
        <w:t>Angiv henvisning til de bestemmelser i retsgrundlaget, der fastsætter de maksimale støtteintensiteter under foranstaltningen:</w:t>
      </w: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ANDRE OPLYSNINGER</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eventuelle andre oplysninger, der kan være relevante for vurderingen af den foranstaltning, der er omfattet af dette afsnit i retningslinjerne.</w:t>
      </w:r>
    </w:p>
    <w:p w14:paraId="0E5A54F3"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EUT C 107 af 23.3.2023, s. 1.</w:t>
      </w:r>
    </w:p>
  </w:footnote>
  <w:footnote w:id="2">
    <w:p w14:paraId="363078E0" w14:textId="7B1497A6" w:rsidR="003533B1" w:rsidRPr="003533B1" w:rsidRDefault="003533B1" w:rsidP="00666B78">
      <w:pPr>
        <w:pStyle w:val="FootnoteText"/>
        <w:spacing w:after="0" w:line="240" w:lineRule="auto"/>
        <w:jc w:val="both"/>
      </w:pPr>
      <w:r>
        <w:rPr>
          <w:rStyle w:val="FootnoteReference"/>
        </w:rPr>
        <w:footnoteRef/>
      </w:r>
      <w:r w:rsidR="00557846">
        <w:rPr>
          <w:rFonts w:ascii="Times New Roman" w:hAnsi="Times New Roman"/>
        </w:rPr>
        <w:t xml:space="preserve"> </w:t>
      </w:r>
      <w:r>
        <w:rPr>
          <w:rFonts w:ascii="Times New Roman" w:hAnsi="Times New Roman"/>
        </w:rPr>
        <w:t xml:space="preserve">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  </w:t>
      </w:r>
    </w:p>
  </w:footnote>
  <w:footnote w:id="3">
    <w:p w14:paraId="59F49748" w14:textId="600AA7E0" w:rsidR="00FE3627" w:rsidRPr="000345FA" w:rsidRDefault="00FE3627" w:rsidP="00666B78">
      <w:pPr>
        <w:pStyle w:val="FootnoteText"/>
        <w:spacing w:after="0" w:line="240" w:lineRule="auto"/>
        <w:jc w:val="both"/>
      </w:pPr>
      <w:r>
        <w:rPr>
          <w:rStyle w:val="FootnoteReference"/>
        </w:rPr>
        <w:footnoteRef/>
      </w:r>
      <w:r w:rsidR="00557846">
        <w:rPr>
          <w:rFonts w:ascii="Times New Roman" w:hAnsi="Times New Roman"/>
        </w:rPr>
        <w:t xml:space="preserve"> </w:t>
      </w:r>
      <w:r>
        <w:rPr>
          <w:rFonts w:ascii="Times New Roman" w:hAnsi="Times New Roman"/>
        </w:rPr>
        <w:t>Der henvises til punkt (225) til (226) i retningslinjerne, hvori der redegøres for sekvensen for den nationale rapport i år N og Kommissionens tiltag indtil 31. marts i år N+1.</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Meddelelse fra Kommissionen til Europa-Parlamentet og Rådet: Retningslinjer for analyse af ligevægten mellem fiskekapacitet og fiskerimuligheder i henhold til artikel 22 i Europa-Parlamentets og Rådets forordning (EU) nr. 1380/2013 om den fælles fiskeripolitik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57846"/>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5.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1069</Words>
  <Characters>6910</Characters>
  <Application>Microsoft Office Word</Application>
  <DocSecurity>0</DocSecurity>
  <Lines>181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HARMENS Maria (DGT)</cp:lastModifiedBy>
  <cp:revision>6</cp:revision>
  <dcterms:created xsi:type="dcterms:W3CDTF">2023-05-03T14:30:00Z</dcterms:created>
  <dcterms:modified xsi:type="dcterms:W3CDTF">2024-08-23T07:53:00Z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