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Bileog faisnéise </w:t>
      </w:r>
      <w:proofErr w:type="spellStart"/>
      <w:r>
        <w:rPr>
          <w:rFonts w:ascii="Times New Roman" w:hAnsi="Times New Roman"/>
          <w:b/>
          <w:smallCaps/>
          <w:sz w:val="24"/>
        </w:rPr>
        <w:t>forlíontaí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maidir le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 xml:space="preserve">Cabhair le </w:t>
      </w:r>
      <w:r w:rsidRPr="002C2961">
        <w:rPr>
          <w:rFonts w:ascii="Times New Roman" w:hAnsi="Times New Roman"/>
          <w:b/>
          <w:sz w:val="24"/>
        </w:rPr>
        <w:t>h</w:t>
      </w:r>
      <w:r>
        <w:rPr>
          <w:rFonts w:ascii="Times New Roman" w:hAnsi="Times New Roman"/>
          <w:b/>
          <w:smallCaps/>
          <w:sz w:val="24"/>
        </w:rPr>
        <w:t xml:space="preserve">aghaidh infheistíochtaí chun an damáiste a tharlaíonn mar gheall ar </w:t>
      </w:r>
      <w:r>
        <w:br/>
      </w:r>
      <w:r>
        <w:rPr>
          <w:rFonts w:ascii="Times New Roman" w:hAnsi="Times New Roman"/>
          <w:b/>
          <w:smallCaps/>
          <w:sz w:val="24"/>
        </w:rPr>
        <w:t>theagmhais riosca a chosc agus a mhaolú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Ní mór do na Ballstáit an fhoirm seo a úsáid chun fógra a thabhairt faoi aon chabhair le haghaidh infheistíochtaí chun an damáiste a tharlaíonn mar gheall ar theagmhais riosca a </w:t>
      </w:r>
      <w:proofErr w:type="spellStart"/>
      <w:r>
        <w:rPr>
          <w:rFonts w:ascii="Times New Roman" w:hAnsi="Times New Roman"/>
          <w:i/>
          <w:sz w:val="24"/>
        </w:rPr>
        <w:t>shlánú</w:t>
      </w:r>
      <w:proofErr w:type="spellEnd"/>
      <w:r>
        <w:rPr>
          <w:rFonts w:ascii="Times New Roman" w:hAnsi="Times New Roman"/>
          <w:i/>
          <w:sz w:val="24"/>
        </w:rPr>
        <w:t xml:space="preserve">, mar a thuairiscítear i Roinn 1.5 de Chaibidil 1 de Chuid II de na Treoirlínte maidir le státchabhair in earnáil an iascaigh agus an </w:t>
      </w:r>
      <w:proofErr w:type="spellStart"/>
      <w:r>
        <w:rPr>
          <w:rFonts w:ascii="Times New Roman" w:hAnsi="Times New Roman"/>
          <w:i/>
          <w:sz w:val="24"/>
        </w:rPr>
        <w:t>dobharshaothraithe</w:t>
      </w:r>
      <w:proofErr w:type="spellEnd"/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(‘na Treoirlínte’).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7FFA6495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C56123">
        <w:rPr>
          <w:rFonts w:ascii="Times New Roman" w:hAnsi="Times New Roman"/>
          <w:sz w:val="24"/>
        </w:rPr>
        <w:t>n</w:t>
      </w:r>
      <w:r w:rsidR="00C56123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nach mór don infheistíocht a bheith dírithe go príomha ar dhamáiste a tharlaíonn mar gheall ar theagmhais riosca a chosc agus a mhaolú agus, go háirithe i gcás earnáil an iascaigh, nach mór don infheistíocht díriú ar fhoghail nó damáiste do </w:t>
      </w:r>
      <w:proofErr w:type="spellStart"/>
      <w:r>
        <w:rPr>
          <w:rFonts w:ascii="Times New Roman" w:hAnsi="Times New Roman"/>
          <w:sz w:val="24"/>
        </w:rPr>
        <w:t>threalamh</w:t>
      </w:r>
      <w:proofErr w:type="spellEnd"/>
      <w:r>
        <w:rPr>
          <w:rFonts w:ascii="Times New Roman" w:hAnsi="Times New Roman"/>
          <w:sz w:val="24"/>
        </w:rPr>
        <w:t xml:space="preserve"> iascaireachta nó do </w:t>
      </w:r>
      <w:proofErr w:type="spellStart"/>
      <w:r>
        <w:rPr>
          <w:rFonts w:ascii="Times New Roman" w:hAnsi="Times New Roman"/>
          <w:sz w:val="24"/>
        </w:rPr>
        <w:t>threalamh</w:t>
      </w:r>
      <w:proofErr w:type="spellEnd"/>
      <w:r>
        <w:rPr>
          <w:rFonts w:ascii="Times New Roman" w:hAnsi="Times New Roman"/>
          <w:sz w:val="24"/>
        </w:rPr>
        <w:t xml:space="preserve"> eile a chosc agus a mhaolú.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cheanglaítear leis an infheistíocht measúnú ar an tionchar ar an gcomhshaol faoi Threoir 2011/92/AE ó Pharlaimint na hEorpa agus ón gComhairle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, deimhnigh go bhfágann an beart an chabhair a bheith faoi réir an </w:t>
      </w:r>
      <w:proofErr w:type="spellStart"/>
      <w:r>
        <w:rPr>
          <w:rFonts w:ascii="Times New Roman" w:hAnsi="Times New Roman"/>
          <w:sz w:val="24"/>
        </w:rPr>
        <w:t>choinníll</w:t>
      </w:r>
      <w:proofErr w:type="spellEnd"/>
      <w:r>
        <w:rPr>
          <w:rFonts w:ascii="Times New Roman" w:hAnsi="Times New Roman"/>
          <w:sz w:val="24"/>
        </w:rPr>
        <w:t xml:space="preserve"> go mbeidh an measúnú sin déanta agus go mbeidh an toiliú don fhorbairt deonaithe le haghaidh an tionscadail infheistíochta lena mbaineann roimh dháta deonaithe na cabhrach aonair.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fágann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fhágann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fhágann, sainaithin an fhoráil nó na forálacha ábhartha sa bhunús dlí.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2619E47C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gurb amhlaidh nach </w:t>
      </w:r>
      <w:r w:rsidR="00C56123">
        <w:rPr>
          <w:rFonts w:ascii="Times New Roman" w:hAnsi="Times New Roman"/>
          <w:sz w:val="24"/>
        </w:rPr>
        <w:t>n</w:t>
      </w:r>
      <w:r w:rsidR="00C56123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áirítear leis an mbeart ach na costais incháilithe atá díreach agus sonrach le haghaidh bearta coisctheacha.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is amhlaidh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hamhlaidh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Más amhlaidh, sainaithin an fhoráil nó na forálacha ábhartha sa bhunús dlí.</w:t>
      </w:r>
    </w:p>
    <w:p w14:paraId="454EB868" w14:textId="77777777" w:rsidR="00676BC9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an bhfuil san áireamh sna costais incháilithe: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(a) maoin </w:t>
      </w:r>
      <w:proofErr w:type="spellStart"/>
      <w:r>
        <w:rPr>
          <w:rFonts w:ascii="Times New Roman" w:hAnsi="Times New Roman"/>
          <w:sz w:val="24"/>
        </w:rPr>
        <w:t>dhochorraithe</w:t>
      </w:r>
      <w:proofErr w:type="spellEnd"/>
      <w:r>
        <w:rPr>
          <w:rFonts w:ascii="Times New Roman" w:hAnsi="Times New Roman"/>
          <w:sz w:val="24"/>
        </w:rPr>
        <w:t xml:space="preserve"> a thógáil, a fháil, lena n‑áirítear í a léasú, nó a fheabhsú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(b) innealra agus trealamh a cheannach nó a cheannach ar léas suas le luach margaidh na sócmhainne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(c) </w:t>
      </w:r>
      <w:bookmarkStart w:id="0" w:name="_Hlk127279234"/>
      <w:r>
        <w:rPr>
          <w:rFonts w:ascii="Times New Roman" w:hAnsi="Times New Roman"/>
          <w:sz w:val="24"/>
        </w:rPr>
        <w:t xml:space="preserve">an dá cheann acu, i.e. tá </w:t>
      </w:r>
      <w:bookmarkStart w:id="1" w:name="_Hlk127279297"/>
      <w:r>
        <w:rPr>
          <w:rFonts w:ascii="Times New Roman" w:hAnsi="Times New Roman"/>
          <w:sz w:val="24"/>
        </w:rPr>
        <w:t>(a) agus (b) san áireamh sna costais incháilithe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>
        <w:rPr>
          <w:rFonts w:ascii="Times New Roman" w:hAnsi="Times New Roman"/>
          <w:sz w:val="24"/>
        </w:rPr>
        <w:t xml:space="preserve">Sainaithin foráil/forálacha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a léiríonn na costais incháilithe.</w:t>
      </w:r>
    </w:p>
    <w:p w14:paraId="710D67BA" w14:textId="21C5DF66" w:rsidR="00A737D2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Tabhair tuairisc mhionsonraithe ar na costais atá incháilithe faoin mbeart.</w:t>
      </w:r>
    </w:p>
    <w:p w14:paraId="08C02182" w14:textId="4F2A8087" w:rsidR="00A737D2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42C6D973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C56123">
        <w:rPr>
          <w:rFonts w:ascii="Times New Roman" w:hAnsi="Times New Roman"/>
          <w:sz w:val="24"/>
        </w:rPr>
        <w:t>n</w:t>
      </w:r>
      <w:r w:rsidR="00C56123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nach mó ná 100 % de na costais incháilithe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C2961">
        <w:rPr>
          <w:rFonts w:ascii="Times New Roman" w:eastAsia="Times New Roman" w:hAnsi="Times New Roman"/>
          <w:b/>
          <w:sz w:val="24"/>
        </w:rPr>
      </w:r>
      <w:r w:rsidR="002C296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Tabhair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is infheidhme faoin mbeart.</w:t>
      </w:r>
    </w:p>
    <w:p w14:paraId="3ED7631E" w14:textId="77777777" w:rsidR="00EB5A2B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>
        <w:rPr>
          <w:rFonts w:ascii="Times New Roman" w:hAnsi="Times New Roman"/>
          <w:sz w:val="24"/>
        </w:rPr>
        <w:t xml:space="preserve">Sainaithin foráil nó 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lena leagtar amach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faoin mbeart.</w:t>
      </w:r>
    </w:p>
    <w:p w14:paraId="18319FDD" w14:textId="1D4DE726" w:rsidR="00A91C65" w:rsidRPr="001E103F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FAISNÉIS EILE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Sonraigh aon fhaisnéis eile a mheastar a bheith ábhartha maidir le measúnú an bhirt faoin Roinn seo de na Treoirlínte.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IO C 107, 23.3.2023, lch. 1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Treoir 2011/92/AE ó Pharlaimint na hEorpa agus ón gComhairle an 13 Nollaig 2011 maidir le measúnú a dhéanamh ar éifeachtaí tionscadal poiblí agus príobháideach áirithe ar an gcomhshaol Téacs atá ábhartha maidir le LEE (IO L 26, 28.1.2012, lch.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961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56123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ga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469</Words>
  <Characters>2686</Characters>
  <Application>Microsoft Office Word</Application>
  <DocSecurity>0</DocSecurity>
  <Lines>79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MILLS Aine (DGT)</cp:lastModifiedBy>
  <cp:revision>77</cp:revision>
  <dcterms:created xsi:type="dcterms:W3CDTF">2023-01-05T14:31:00Z</dcterms:created>
  <dcterms:modified xsi:type="dcterms:W3CDTF">2024-07-26T08:41:00Z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