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Ficha de información suplementaria sobre </w:t>
      </w:r>
      <w:r>
        <w:rPr>
          <w:rFonts w:ascii="Times New Roman" w:hAnsi="Times New Roman"/>
          <w:b/>
          <w:smallCaps/>
          <w:sz w:val="24"/>
        </w:rPr>
        <w:br/>
        <w:t>las ayudas a la primera adquisición de un buque de pesca</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Este formulario debe ser utilizado por los Estados miembros para notificar cualquier ayuda estatal a la primera adquisición de un buque de pesca, según lo descrito en la sección 3.1 del capítulo 3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Pr>
          <w:rFonts w:ascii="Times New Roman" w:hAnsi="Times New Roman"/>
          <w:sz w:val="24"/>
        </w:rPr>
        <w:t>las Directrices</w:t>
      </w:r>
      <w:r>
        <w:rPr>
          <w:rFonts w:ascii="Times New Roman" w:hAnsi="Times New Roman"/>
          <w:i/>
          <w:sz w:val="24"/>
        </w:rPr>
        <w:t>»).</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Confirme que la medida prescribe que los buques de pesca de la Unión con respecto a los que se concede la ayuda no se transferirán ni se reabanderarán con pabellón de fuera de la Unión durante al menos cinco años desde el pago final de la ayuda.</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Si la respuesta es «sí», especifique las disposiciones pertinentes de la base jurídica.</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Confirme a quién se le podrá conceder la ayuda con arreglo a la medida:</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a una persona física que no tenga más de cuarenta años en la fecha de presentación de la solicitud de ayuda y que haya trabajado al menos cinco años como pescador o haya adquirido una cualificación adecuada;</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a entidades jurídicas que pertenezcan en su totalidad a una o varias personas físicas que cumplan de forma individual cada una de las condiciones establecidas en la letra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si se trata de una primera adquisición conjunta de un buque de pesca, a varias personas físicas que cumplan de forma individual las condiciones establecidas en la letra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si se trata de la adquisición de la propiedad parcial de un buque de pesca, a una persona física que cumpla las condiciones establecidas en la letra a) y que se considere que tiene derechos de control sobre dicho buque por poseer al menos el 33 % del buque o de las acciones del buque, o a una entidad jurídica que cumpla las condiciones establecidas en la letra b) y que se considere que tiene derechos de control sobre dicho buque por poseer al menos el 33 % del buque o de las acciones del buque.</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Especifique las disposiciones de la base jurídica que reflejen la casilla seleccionada en respuesta a la pregunta</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2D0FA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t>………………………………………………………………………………………………….</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Pr>
          <w:rFonts w:ascii="Times New Roman" w:hAnsi="Times New Roman"/>
          <w:sz w:val="24"/>
        </w:rPr>
        <w:lastRenderedPageBreak/>
        <w:t>Con arreglo al punto 245, letra a) de las Directrices, los buques de pesca deben pertenecer a un segmento de la flota respecto del cual el último informe sobre capacidad pesquera a que se refiere el artículo 22, apartado 2, del Reglamento (UE) n.º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muestre equilibrio con las posibilidades de pesca disponibles para dicho segmento (en lo sucesivo, «informe nacional»).</w:t>
      </w:r>
      <w:bookmarkEnd w:id="6"/>
      <w:r>
        <w:rPr>
          <w:rFonts w:ascii="Times New Roman" w:hAnsi="Times New Roman"/>
          <w:sz w:val="24"/>
        </w:rPr>
        <w:t xml:space="preserve"> Con arreglo al punto 226 de las Directrices, el procedimiento y las condiciones que se establecen en los puntos 225 a 227 de la sección 2.2 del capítulo 2 de la parte II de las Directrices se aplican a efectos del punto 245, letra a).</w:t>
      </w:r>
      <w:r>
        <w:rPr>
          <w:rFonts w:ascii="Times New Roman" w:hAnsi="Times New Roman"/>
          <w:color w:val="000000"/>
          <w:sz w:val="23"/>
        </w:rPr>
        <w:t xml:space="preserve"> </w:t>
      </w:r>
      <w:bookmarkStart w:id="7" w:name="_Hlk127291617"/>
      <w:r>
        <w:rPr>
          <w:rFonts w:ascii="Times New Roman" w:hAnsi="Times New Roman"/>
          <w:sz w:val="24"/>
        </w:rPr>
        <w:t>En este contexto, responda a las preguntas siguientes:</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¿Cuándo se elaboró el informe nacional más reciente anterior a la fecha de concesión de la ayuda?</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Facilite el enlace al último informe nacional o adjúntelo a la notificación.</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se cumplen las condiciones siguientes para todas las ayudas que se concederán:</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se presentó el 31 de mayo del año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el informe nacional presentado en el año N, y en particular su evaluación del equilibrio, ha sido elaborado sobre la base de los indicadores biológicos, económicos y de uso del buque establecidos en las directrices comunes</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 que se refiere el artículo 22, apartado 2, del Reglamento (UE) n.º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sz w:val="23"/>
        </w:rPr>
        <w:t xml:space="preserve">Tenga en cuenta que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presentado en el año N demuestra que existe un equilibrio entre la capacidad pesquera y las posibilidades de pesca en el segmento de la flota al que pertenecerá el nuevo buque?</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de qué forma se tuvo en cuenta el informe nacional al diseñar la medida y cómo se alcanza el equilibrio.</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Comisión no ha puesto en tela de juicio a 31 de marzo del año N+1</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2D0FAA">
        <w:rPr>
          <w:rFonts w:ascii="Times New Roman" w:eastAsia="Times New Roman" w:hAnsi="Times New Roman"/>
          <w:sz w:val="24"/>
        </w:rPr>
      </w:r>
      <w:r w:rsidR="002D0FA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la conclusión del informe nacional presentado en el año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2D0FAA">
        <w:rPr>
          <w:rFonts w:ascii="Times New Roman" w:eastAsia="Times New Roman" w:hAnsi="Times New Roman"/>
          <w:sz w:val="24"/>
        </w:rPr>
      </w:r>
      <w:r w:rsidR="002D0FA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la evaluación del equilibrio incluida en el informe nacional presentado en el año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establece que las ayudas podrán concederse sobre la base del informe nacional presentado en el año N solo hasta el 31 de diciembre del año N+1, es decir, el año posterior al año de presentación del informe.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Si la medida hace referencia a la pesca en aguas interiores, no es necesario responder a las preguntas 3.1-3.2.6.1.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Confirme que la medida establece que los buques de pesca deben estar equipados para actividades pesqueras y no deben tener más de veinticuatro metros de eslora total.</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0374EE62"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Confirme que la medida establece que la ayuda solo se podrá conceder en relación con un buque de pesca que haya estado inscrito en el registro de la flota pesquera de la Unión durante al menos los tres años civiles anteriores al año de presentación de la solicitud de ayuda en el caso de los buques de pesca costera artesanal y durante al menos cinco años civiles en el caso de otros tipos de buques.</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la medida hace referencia a la pesca en aguas interiores, confirme que la medida establece que las ayudas solo podrán concederse en relación con un buque de pesca que haya estado en servicio, de conformidad con el Derecho nacional, durante al menos los tres años civiles anteriores al año de presentación de la solicitud de ayuda en el caso de los buques de pesca costera artesanal y durante al menos cinco años civiles en el caso de otros tipos de buques.</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5 o 5.1 es «sí», especifique las disposiciones pertinentes de la base jurídica.</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ayuda solo podrá concederse en relación con un buque de pesca que haya estado inscrito en el registro de la flota pesquera de la Unión durante, como máximo, los treinta años civiles anteriores al año de presentación de la solicitud de ayuda.</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la medida hace referencia a la pesca en aguas interiores, confirme que la medida establece que las ayudas solo podrán concederse en relación con un buque de pesca que haya estado en servicio, de conformidad con el Derecho nacional, durante, como máximo, los treinta años civiles anteriores al año de presentación de la solicitud de ayuda.</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las preguntas 6 o 6.1 es «sí», especifique las disposiciones pertinentes de la base jurídica.</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podrán incluir los costes directos e indirectos relacionados con la primera adquisición de un buque de pesca.</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Facilite una descripción detallada de los costes subvencionables con arreglo a la medida.</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prescribe que la intensidad máxima de la ayuda debe limitarse al 40 % de los costes subvencionables.</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2D0FAA">
        <w:rPr>
          <w:rFonts w:ascii="Times New Roman" w:eastAsia="Times New Roman" w:hAnsi="Times New Roman"/>
          <w:b/>
          <w:sz w:val="24"/>
        </w:rPr>
      </w:r>
      <w:r w:rsidR="002D0FA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Especifique las disposiciones de la base jurídica que establecen las intensidades máximas de ayuda.</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lastRenderedPageBreak/>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se considere pertinente para la evaluación de la medida con arreglo a la presente sección de las Directrices.</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DO C 107 de 23.3.2023, p. 1</w:t>
      </w:r>
    </w:p>
  </w:footnote>
  <w:footnote w:id="2">
    <w:p w14:paraId="363078E0" w14:textId="0856977E"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Consulte los puntos 225 y 226 de las Directrices que describen las secuencias del informe nacional presentado en el año N y la acción de la Comisión a 31 de marzo del año N+1.</w:t>
      </w:r>
    </w:p>
  </w:footnote>
  <w:footnote w:id="4">
    <w:p w14:paraId="59433353" w14:textId="47A0DEDF"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2D0FAA"/>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1452</Words>
  <Characters>7276</Characters>
  <Application>Microsoft Office Word</Application>
  <DocSecurity>0</DocSecurity>
  <Lines>196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MARTINEZ MARTOS Dolores (DGT)</cp:lastModifiedBy>
  <cp:revision>6</cp:revision>
  <dcterms:created xsi:type="dcterms:W3CDTF">2023-05-03T14:30:00Z</dcterms:created>
  <dcterms:modified xsi:type="dcterms:W3CDTF">2024-08-23T08:43:00Z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