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għajnuna għall-bidla jew il-modernizzazzjoni ta’ magna prinċipali jew anċillari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għall-bidla jew għall-modernizzazzjoni ta’ magna ewlenija jew anċillari tal-bastimenti tas-sajd, kif deskritt fit-Taqsima 3.2 tal-Kapitolu 3 tal-Parti II tal-Linji Gwida għall-għajnuna mill-Istat fis-settur tas-sajd u tal-akkwakultura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</w:t>
      </w:r>
      <w:r>
        <w:rPr>
          <w:sz w:val="24"/>
          <w:rFonts w:ascii="Times New Roman" w:hAnsi="Times New Roman"/>
        </w:rPr>
        <w:t xml:space="preserve">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E9D84D9" w14:textId="469B67E8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l-għajnuna tingħata biss għall-bidla jew għall-modernizzazzjoni ta’ magna prinċipali jew anċillari ta’ bastiment tas-sajd b’tul totali ta’ mhux aktar minn 24 metru.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F8DE03B" w14:textId="10879FF2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bookmarkStart w:id="1" w:name="_Hlk127291610"/>
      <w:r>
        <w:rPr>
          <w:sz w:val="24"/>
          <w:rFonts w:ascii="Times New Roman" w:hAnsi="Times New Roman"/>
        </w:rPr>
        <w:t xml:space="preserve">Skont il-punt (253)(a) tal-Linji Gwida, il-bastiment tas-sajd iridu jappartjenu għal segment tal-flotta li fir-rigward tiegħu l-aħħar rapport dwar il-kapaċità tas-sajd, imsemmi fl-Artikolu 22(2) tar-Regolament(UE) Nru 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ikun wera bilanċ mal-opportunitajiet tas-sajd disponibbli għal dak is-segment (minn hawn ’il quddiem “ir-rapport nazzjonali”)</w:t>
      </w:r>
      <w:bookmarkEnd w:id="1"/>
      <w:r>
        <w:rPr>
          <w:sz w:val="24"/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Skont il-punt (254) tal-Linji Gwida, il-proċedura u l-kundizzjonijiet stabbiliti fil-punti minn (225) sa (227) tal-Parti II, il-Kapitolu 2, it-Taqsima 2.2 japplikaw għall-fini tal-punt (253)(a).</w:t>
      </w:r>
      <w:r>
        <w:rPr>
          <w:color w:val="000000"/>
          <w:sz w:val="23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F’dan l-isfond, indirizza dan li ġej: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tħejja l-aħħar rapport nazzjonali qabel id-data tal-għoti tal-għajnuna?</w:t>
      </w:r>
    </w:p>
    <w:p w14:paraId="3A01B69F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l-link għall-aħħar rapport nazzjonali jew ehmżu mal-avviż.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l-kundizzjonijiet li ġejjin huma ssodisfati biex tingħata l-għajnuna kollha: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Ir-rapport nazzjonali ġie ppreżentat sal-31 ta’ Mejju tas-sena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r-rapport nazzjonali ppreżentat fis-sena N, u b’mod partikolari l-valutazzjoni tal-bilanċ li jinsab fih, tħejja fuq il-bażi tal-indikaturi bijoloġiċi, ekonomiċi u tal-użu tal-bastimenti stabbiliti fil-linji gwida komuni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msemmija fl-Artikolu 22(2) tar-Regolament (UE) Nru 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Innota li ma tista’ tingħata l-ebda għajnuna jekk ir-rapport nazzjonali, u b’mod partikolari l-valutazzjoni tal-bilanċ li tinsab fih, ma jkunx tħejja fuq il-bażi tal-indikaturi bijoloġiċi, ekonomiċi u tal-użu tal-bastimenti stabbiliti fil-linji gwida komuni msemmija fl-Artikolu 22(2) tar-Regolament (UE) Nru 1380/2013.</w:t>
      </w:r>
      <w:r>
        <w:rPr>
          <w:i/>
          <w:sz w:val="23"/>
        </w:rPr>
        <w:t xml:space="preserve">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556174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Dan ir-rapport nazzjonali ppreżentat fis-sena N juri li hemm bilanċ bejn il-kapaċità tas-sajd u l-opportunitajiet tas-sajd fis-segment tal-flotta li għalih jappartjeni l-bastiment?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ir-rapport nazzjonali tqies meta tfasslet il-miżura u kif jinkiseb il-bilanċ.</w:t>
      </w:r>
    </w:p>
    <w:p w14:paraId="2A834BE2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l-Kummissjoni ma tkunx iddubitat sal-31 ta’ Marzu tas-sena N+1: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il-konklużjoni tar-rapport nazzjonali ppreżentat fis-sena N</w:t>
      </w:r>
      <w:r>
        <w:rPr>
          <w:sz w:val="24"/>
          <w:rFonts w:ascii="Times New Roman" w:hAnsi="Times New Roman"/>
        </w:rPr>
        <w:t xml:space="preserve">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77777777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il-valutazzjoni tal-bilanċ li jinsab fir-rapport nazzjonali ppreżentat fis-sena N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fuq il-bażi tar-rapport nazzjonali ppreżentat fis-sena N biss sal-31 ta’ Diċembru tas-sena N+1, jiġifieri s-sena ta’ wara s-sena tal-preżentazzjoni tar-rapport.</w:t>
      </w:r>
      <w:r>
        <w:rPr>
          <w:sz w:val="24"/>
          <w:rFonts w:ascii="Times New Roman" w:hAnsi="Times New Roman"/>
        </w:rPr>
        <w:t xml:space="preserve">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8A0C9BD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Meta l-miżura tikkonċerna s-sajd fl-ilmijiet interni, ma hemmx għalfejn jitwieġbu l-mistoqsijiet 3.1-3.2.6.1.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Ikkonferma li l-miżura tippreskrivi li l-bastiment irid ikun ġie rreġistrat fir-reġistru tal-flotta tal-Unjoni għal mill-inqas ħames snin kalendarji ta’ qabel is-sena ta’ preżentazzjoni tal-applikazzjoni għall-għajnuna.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s-sajd fl-ilmijiet interni, ikkonferma li l-miżura tippreskrivi li l-għajnuna tista’ tingħata biss fir-rigward ta’ bastiment tas-sajd li daħal fis-servizz, skont il-liġi nazzjonali, għal mill-inqas ħames snin kalendarji qabel is-sena tal-preżentazzjoni tal-applikazzjoni għall-għajnuna.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4 jew 4.1 hija “iva”, identifika d-dispożizzjoni/d-dispożizzjonijiet rilevanti fil-bażi ġuridika.</w:t>
      </w:r>
    </w:p>
    <w:p w14:paraId="35CB1A30" w14:textId="7F4E7E68" w:rsidR="00A93E41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Ref124951474"/>
      <w:r>
        <w:rPr>
          <w:sz w:val="24"/>
          <w:rFonts w:ascii="Times New Roman" w:hAnsi="Times New Roman"/>
        </w:rPr>
        <w:t xml:space="preserve">Għall-bastimenti tas-sajd kostali fuq skala żgħira u għall-bastimenti użati għas-sajd fl-ilmijiet interni, ikkonferma li l-miżura tippreskrivi li l-magna l-ġdida jew modernizzata ma jkollhiex iktar saħħa f’kW minn dik tal-magna attwali.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42097A5" w14:textId="1C70A343" w:rsidR="00C64658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4957319"/>
      <w:r>
        <w:rPr>
          <w:sz w:val="24"/>
          <w:rFonts w:ascii="Times New Roman" w:hAnsi="Times New Roman"/>
        </w:rPr>
        <w:t xml:space="preserve">Għal bastimenti oħrajn b’tul totali ta’ mhux aktar minn 24 metru, il-magna l-ġdida jew modernizzata ma jkollhiex iktar saħħa f’kW minn dik tal-magna attwali u tarmi mill-inqas 20 % inqas CO₂ meta mqabbel mal-magna attwali.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F9349D1" w14:textId="568001A8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l-kapaċità tas-sajd irtirata minħabba l-bidla jew il-modernizzazzjoni ta’ magna prinċipali jew anċillari ma tridx tiġi mibdula.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C8C2ABC" w14:textId="34A0C34F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fid-dettall il-mekkaniżmi ta’ kontroll u infurzar fis-seħħ biex jiggarantixxu l-issodisfar tal-kundizzjonijiet stabbiliti fit-Taqsima 3.2 tal-Kapitolu 3, il-Parti II tal-Linji Gwida.</w:t>
      </w:r>
    </w:p>
    <w:p w14:paraId="4A0243A2" w14:textId="16716C44" w:rsidR="009E1F93" w:rsidRDefault="00651AE7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l-magni kollha mibdula jew modernizzati jridu jkunu soġġetti għal verifika fiżika.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kif it-tnaqqis tal-emissjoni tas-CO₂ imsemmi fil-mistoqsija 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se jkun issodisfat permezz tal-miżura:</w:t>
      </w:r>
      <w:r>
        <w:rPr>
          <w:sz w:val="24"/>
          <w:rFonts w:ascii="Times New Roman" w:hAnsi="Times New Roman"/>
        </w:rPr>
        <w:t xml:space="preserve">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permezz ta’ informazzjoni rilevanti ċċertifikata mill-manifattur tal-magna kkonċernata bħala parti minn approvazzjoni tat-tip jew ċertifikat tal-prodott tindika li l-magna l-ġdida tarmi 20 % inqas CO₂ mill-magna li tkun qed tiġi mibdula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permezz ta’ informazzjoni rilevanti ċċertifikata mill-manifattur tal-magna kkonċernata bħala parti minn approvazzjoni tat-tip jew ċertifikat tal-prodott tindika li l-magna l-ġdida tuża 20 % inqas fuel mill-magna li tkun qed tiġi mibdula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l-għażla tiegħek fid-dettalji.</w:t>
      </w:r>
      <w:r>
        <w:rPr>
          <w:sz w:val="24"/>
          <w:rFonts w:ascii="Times New Roman" w:hAnsi="Times New Roman"/>
        </w:rPr>
        <w:t xml:space="preserve"> </w:t>
      </w:r>
    </w:p>
    <w:p w14:paraId="5AAF16DC" w14:textId="43A993BD" w:rsidR="0048102E" w:rsidRDefault="0048102E" w:rsidP="0048102E">
      <w:pPr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l-kaxxa mmarkata bi tweġiba għall-mistoqsija preċedenti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_Ref125367725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3E509AAA" w14:textId="77777777" w:rsidR="007E64FE" w:rsidRDefault="007E64FE" w:rsidP="007E64F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l-informazzjoni rilevanti ċċertifikata mill-manifattur tal-magna kkonċernata bħala parti minn approvazzjoni tat-tip jew ċertifikat tal-prodott għal magna waħda jew għaż-żewġ magni ma tippermettix li jsir paragun tal-emissjonijiet ta’ CO₂ jew tal-konsum tal-fuel, it-tnaqqis tal-emissjonijiet CO₂ imsemmi fil-mistoqsija 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jitqies li jkun intlaħaq permez tal-miżura</w:t>
      </w:r>
      <w:r>
        <w:rPr>
          <w:sz w:val="24"/>
          <w:rFonts w:ascii="Times New Roman" w:hAnsi="Times New Roman"/>
        </w:rPr>
        <w:t xml:space="preserve">:</w:t>
      </w:r>
      <w:r>
        <w:rPr>
          <w:sz w:val="24"/>
          <w:rFonts w:ascii="Times New Roman" w:hAnsi="Times New Roman"/>
        </w:rPr>
        <w:t xml:space="preserve">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1702C05A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il-magna l-ġdida tuża teknoloġija effiċjenti fl-enerġija u d-differenza fl-età bejn il-magna l-ġdida u l-magna li tkun qed tiġi mibdula tkun mill-inqas seba’ snin</w:t>
      </w:r>
    </w:p>
    <w:p w14:paraId="2B1EE759" w14:textId="5F99EEE5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il-magna l-ġdida tuża tip ta’ fuel jew sistema ta’ propulsjoni li titqies li tarmi inqas CO₂ mill-magna li tkun qed tiġi mibdula</w:t>
      </w:r>
    </w:p>
    <w:p w14:paraId="5BAA96F9" w14:textId="3314BEF7" w:rsidR="00385658" w:rsidRPr="005615D7" w:rsidRDefault="00385658" w:rsidP="0038565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l-Istat Membru kkonċernat jikkalkula li l-magna l-ġdida tarmi 20 % inqas CO₂ jew tuża 20 % inqas fuel mill-magna li tkun qed tiġi mibdula skont l-isforz normali tas-sajd tal-bastiment ikkonċernat.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jirriflettu l-għażla tiegħek.</w:t>
      </w:r>
    </w:p>
    <w:p w14:paraId="1AE44591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Skont il-punt (260) tal-Linji Gwida, ikkonferma li tapplika r-Regolament ta’ Implimentazzjoni (UE) 2022/46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sz w:val="24"/>
          <w:rFonts w:ascii="Times New Roman" w:hAnsi="Times New Roman"/>
        </w:rPr>
        <w:t xml:space="preserve"> biex tidentifika t-teknoloġiji effiċjenti fl-użu tal-enerġija msemmija fil-punt (259)(a) tal-Linji Gwida u biex tispeċifika aktar l-elementi tal-metodoloġija għall-implimentazzjoni tal-punt (259)(c) tiegħu.</w:t>
      </w:r>
      <w:r>
        <w:rPr>
          <w:sz w:val="24"/>
          <w:rFonts w:ascii="Times New Roman" w:hAnsi="Times New Roman"/>
        </w:rPr>
        <w:t xml:space="preserve">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kif il-miżura tapplika dawk ir-rekwiżiti.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l-kostijiet eliġibbli jinkludu biss il-kostijiet diretti u indiretti relatati mal-bidla jew mal-modernizzazzjoni ta’ magna prinċipali jew anċillari.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639F4D3" w14:textId="77777777" w:rsidR="00C64658" w:rsidRDefault="00C64658" w:rsidP="00C6465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</w:p>
    <w:p w14:paraId="0F07D075" w14:textId="29331F1F" w:rsidR="005B1262" w:rsidRPr="005615D7" w:rsidRDefault="005E58E1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ma taqbiżx l-40 % tal-kostijiet eliġibbli.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1AFF5A04" w14:textId="77777777" w:rsidR="00A54529" w:rsidRDefault="00A54529" w:rsidP="00A5452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 l-intensità massima tal-għajnuna tal-miżura.</w:t>
      </w:r>
    </w:p>
    <w:p w14:paraId="3248B8D5" w14:textId="293DB344" w:rsidR="005B1262" w:rsidRDefault="00680544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4E3CC61D" w14:textId="73F8C1E3" w:rsidR="001A718E" w:rsidRPr="00453ADA" w:rsidRDefault="005615D7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10648239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047F30BE" w14:textId="77777777" w:rsidR="0053598F" w:rsidRPr="003533B1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</w:t>
      </w:r>
      <w:r>
        <w:rPr>
          <w:rFonts w:ascii="Times New Roman" w:hAnsi="Times New Roman"/>
        </w:rPr>
        <w:t xml:space="preserve">  </w:t>
      </w:r>
    </w:p>
  </w:footnote>
  <w:footnote w:id="3">
    <w:p w14:paraId="06F30C1A" w14:textId="77777777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Irreferi għall-punti 225 u 226 tal-Linji Gwida li jiddeskrivu s-sekwenzi tar-rapport nazzjonali ppreżentat fis-sena N u l-azzjoni tal-Kummissjoni sal-31 ta’ Marzu tas-sena N+1.</w:t>
      </w:r>
    </w:p>
  </w:footnote>
  <w:footnote w:id="4">
    <w:p w14:paraId="3523E437" w14:textId="77777777" w:rsidR="0053598F" w:rsidRPr="001A2686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Komunikazzjoni tal-Kummissjoni lill-Parlament Ewropew u lill-Kunsill: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Linji Gwida għall-analiżi tal-bilanċ bejn il-kapaċità tas-sajd u l-opportunitajiet tas-sajd skont l-Artikolu 22 tar-Regolament (UE) Nru 1380/2013 tal-Parlament Ewropew u tal-Kunsill dwar il-Politika Komuni tas-Sajd (COM(2014) 545 final).</w:t>
      </w:r>
      <w:r>
        <w:rPr>
          <w:rFonts w:ascii="Times New Roman" w:hAnsi="Times New Roman"/>
        </w:rPr>
        <w:t xml:space="preserve">  </w:t>
      </w:r>
    </w:p>
  </w:footnote>
  <w:footnote w:id="5">
    <w:p w14:paraId="58C82DE4" w14:textId="77777777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Ir-Regolament ta’ Implimentazzjoni tal-Kummissjoni (UE) 2022/46 tat-13 ta’ Jannar 2022 li jimplimenta r-Regolament (UE) 2021/1139 tal-Parlament Ewropew u tal-Kunsill li jistabbilixxi l-Fond Ewropew għall-Affarijiet Marittimi, is-Sajd u l-Akkwakultura u li jemenda r-Regolament (UE) 2017/1004 fir-rigward tal-identifikazzjoni ta’ teknoloġiji effiċjenti fl-enerġija u l-ispeċifikazzjoni tal-elementi ta’ metodoloġija biex jiġi ddeterminat l-isforz normali tas-sajd tal-bastimenti tas-sajd (ĠU L 9, 14.1.2022, p.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1565</Words>
  <Characters>8346</Characters>
  <Application>Microsoft Office Word</Application>
  <DocSecurity>0</DocSecurity>
  <Lines>225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5</cp:revision>
  <dcterms:created xsi:type="dcterms:W3CDTF">2024-09-05T15:20:00Z</dcterms:created>
  <dcterms:modified xsi:type="dcterms:W3CDTF">2024-09-10T10:09:00Z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