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br/>
      </w:r>
      <w:r>
        <w:rPr>
          <w:b/>
          <w:smallCaps/>
          <w:sz w:val="24"/>
          <w:rFonts w:ascii="Times New Roman" w:hAnsi="Times New Roman"/>
        </w:rPr>
        <w:t xml:space="preserve">les aides en faveur de la première acquisition d’un navire de pêche</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i/>
          <w:sz w:val="24"/>
          <w:szCs w:val="24"/>
          <w:rFonts w:ascii="Times New Roman" w:eastAsia="Times New Roman" w:hAnsi="Times New Roman"/>
        </w:rPr>
      </w:pPr>
      <w:bookmarkStart w:id="0" w:name="_Hlk126832135"/>
      <w:r>
        <w:rPr>
          <w:i/>
          <w:sz w:val="24"/>
          <w:rFonts w:ascii="Times New Roman" w:hAnsi="Times New Roman"/>
        </w:rPr>
        <w:t xml:space="preserve">Le présent formulaire doit être utilisé par les États membres pour notifier les aides d’État en faveur de la première acquisition d’un navire de pêche, telles que décrites dans la partie II, chapitre 3, section 3.1, des lignes directrices pour les aides d’État dans le secteur de la pêche et de l’aquaculture</w:t>
      </w:r>
      <w:r w:rsidR="0045617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 w:name="_Ref125367426"/>
      <w:bookmarkStart w:id="2" w:name="_Hlk126832721"/>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bookmarkEnd w:id="1"/>
      <w:r>
        <w:rPr>
          <w:sz w:val="24"/>
          <w:rFonts w:ascii="Times New Roman" w:hAnsi="Times New Roman"/>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25369018"/>
      <w:r>
        <w:rPr>
          <w:sz w:val="24"/>
          <w:rFonts w:ascii="Times New Roman" w:hAnsi="Times New Roman"/>
        </w:rPr>
        <w:t xml:space="preserve">Si la réponse est «oui», veuillez indiquer la ou les dispositions applicables de la base juridique.</w:t>
      </w:r>
    </w:p>
    <w:p w14:paraId="647650CD" w14:textId="09A8F22B" w:rsidR="00252DEE" w:rsidRDefault="00FE057F" w:rsidP="00053047">
      <w:pPr>
        <w:rPr>
          <w:sz w:val="24"/>
          <w:szCs w:val="24"/>
          <w:rFonts w:ascii="Times New Roman" w:eastAsia="Times New Roman" w:hAnsi="Times New Roman"/>
        </w:rPr>
      </w:pPr>
      <w:r>
        <w:rPr>
          <w:sz w:val="24"/>
          <w:rFonts w:ascii="Times New Roman" w:hAnsi="Times New Roman"/>
        </w:rPr>
        <w:t xml:space="preserve">………………………………………………………………………………………………….</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5367725"/>
      <w:r>
        <w:rPr>
          <w:sz w:val="24"/>
          <w:rFonts w:ascii="Times New Roman" w:hAnsi="Times New Roman"/>
        </w:rPr>
        <w:t xml:space="preserve">Veuillez confirmer à qui les aides au titre de la mesure peuvent être octroyées:</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à une personne physique âgée de 40 ans maximum à la date de présentation de la demande d’aide et ayant travaillé au moins cinq ans en tant que pêcheur ou ayant acquis les qualifications adéquates</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aux entités juridiques détenues intégralement par une ou plusieurs personnes physiques remplissant chacune les conditions énoncées au point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en cas de première acquisition conjointe d’un navire de pêche, à plusieurs personnes physiques remplissant chacune les conditions énoncées au point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en cas d’acquisition de la propriété partielle d’un navire de pêche, à une personne physique qui remplit les conditions énoncées au point a) et qui est réputée avoir des droits de contrôle sur ce navire de par la détention d’au moins 33 % du navire ou des parts du navire, ou à une entité juridique qui remplit les conditions énoncées au point b) et qui est réputée avoir des droits de contrôle sur ce navire de par la détention d’au moins 33 % du navire ou des parts du navire</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5" w:name="_Hlk125368956"/>
      <w:r>
        <w:rPr>
          <w:sz w:val="24"/>
          <w:rFonts w:ascii="Times New Roman" w:hAnsi="Times New Roman"/>
        </w:rPr>
        <w:t xml:space="preserve">Veuillez indiquer la ou les dispositions de la base juridique qui correspondent à la case cochée en réponse à la question</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412A69">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94287F4" w14:textId="6CD25B91" w:rsidR="00FE057F" w:rsidRDefault="00FE057F" w:rsidP="004D2CA0">
      <w:pPr>
        <w:rPr>
          <w:sz w:val="24"/>
          <w:szCs w:val="24"/>
          <w:rFonts w:ascii="Times New Roman" w:eastAsia="Times New Roman" w:hAnsi="Times New Roman"/>
        </w:rPr>
      </w:pPr>
      <w:r>
        <w:rPr>
          <w:sz w:val="24"/>
          <w:rFonts w:ascii="Times New Roman" w:hAnsi="Times New Roman"/>
        </w:rPr>
        <w:t xml:space="preserve">………………………………………………………………………………………………….</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4951182"/>
      <w:r>
        <w:rPr>
          <w:sz w:val="24"/>
          <w:rFonts w:ascii="Times New Roman" w:hAnsi="Times New Roman"/>
        </w:rPr>
        <w:t xml:space="preserve">Conformément au point 245 a) des lignes directrices, les navires de pêche doivent appartenir à un segment de flotte pour lequel le dernier rapport sur la capacité de pêche, visé à l’article 22, paragraphe 2, du règlement (UE) nº 1380/2013</w:t>
      </w:r>
      <w:r w:rsidR="003533B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a fait état d’un équilibre avec les possibilités de pêche existant pour ledit segment (ci-après le «rapport national»)</w:t>
      </w:r>
      <w:bookmarkEnd w:id="6"/>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Conformément au point 226 des lignes directrices, la </w:t>
      </w:r>
      <w:r>
        <w:rPr>
          <w:sz w:val="24"/>
          <w:color w:val="000000"/>
          <w:rFonts w:ascii="Times New Roman" w:hAnsi="Times New Roman"/>
        </w:rPr>
        <w:t xml:space="preserve">procédure et les conditions énoncées aux points 225 à 227 de la partie II, chapitre 2, section 2.2, s’appliquent aux fins du point 245 a).</w:t>
      </w:r>
      <w:r>
        <w:rPr>
          <w:color w:val="000000"/>
          <w:sz w:val="23"/>
          <w:rFonts w:ascii="Times New Roman" w:hAnsi="Times New Roman"/>
        </w:rPr>
        <w:t xml:space="preserve"> </w:t>
      </w:r>
      <w:bookmarkStart w:id="7" w:name="_Hlk127291617"/>
      <w:r>
        <w:rPr>
          <w:sz w:val="24"/>
          <w:rFonts w:ascii="Times New Roman" w:hAnsi="Times New Roman"/>
        </w:rPr>
        <w:t xml:space="preserve">Veuillez, à ce propos, répondre aux questions suivantes:</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Quand le dernier rapport national antérieur à la date d’octroi de l’aide a-t-il été préparé?</w:t>
      </w:r>
    </w:p>
    <w:p w14:paraId="40ECCFE7" w14:textId="3315DF93" w:rsidR="00EE3A31" w:rsidRDefault="00EE3A31" w:rsidP="008B4DDE">
      <w:pPr>
        <w:rPr>
          <w:sz w:val="24"/>
          <w:szCs w:val="24"/>
          <w:rFonts w:ascii="Times New Roman" w:eastAsia="Times New Roman" w:hAnsi="Times New Roman"/>
        </w:rPr>
      </w:pPr>
      <w:r>
        <w:rPr>
          <w:sz w:val="24"/>
          <w:rFonts w:ascii="Times New Roman" w:hAnsi="Times New Roman"/>
        </w:rPr>
        <w:t xml:space="preserve">………………………………………………………………………………………………….</w:t>
      </w:r>
    </w:p>
    <w:p w14:paraId="43A9D638" w14:textId="77777777" w:rsidR="007368A4" w:rsidRDefault="007368A4" w:rsidP="007368A4">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le lien vers le dernier rapport national ou joindre ce rapport à la notification.</w:t>
      </w:r>
    </w:p>
    <w:p w14:paraId="658BEBB2" w14:textId="2A1C0444" w:rsidR="007368A4" w:rsidRDefault="007368A4" w:rsidP="007368A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conditions suivantes sont remplies pour l’octroi de l’aide:</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a-t-il été soumis au plus tard le 31 mai de l’année N</w:t>
      </w:r>
      <w:r w:rsidR="00FE3627">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rapport national soumis l’année N, et en particulier l’évaluation de l’équilibre, a été préparé sur la base des indicateurs biologiques, économiques et d’utilisation des navires définis dans les lignes directrices communes</w:t>
      </w:r>
      <w:r w:rsidR="00D57D3B">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visées à l’article 22, paragraphe 2, du règlement (UE) nº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 xml:space="preserve">Veuillez noter qu’aucune aide ne peut être octroyée si le rapport national, et en particulier l’évaluation de l’équilibre, n’a pas été préparé sur la base des indicateurs biologiques, économiques et d’utilisation des navires définis dans les lignes directrices communes visées à l’article 22, paragraphe 2, du règlement (UE) nº 1380/2013.</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soumis l’année N démontre-t-il qu’il existe un équilibre entre la capacité de pêche et les possibilités de pêche dans le segment de flotte auquel appartiendra le nouveau navire?</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comment il a été tenu compte du rapport national lors de la conception de la mesure et comment l’équilibre est atteint.</w:t>
      </w:r>
    </w:p>
    <w:p w14:paraId="6D300F37" w14:textId="406510B2" w:rsidR="00EE3A31" w:rsidRDefault="00EE3A31" w:rsidP="007D32DB">
      <w:pPr>
        <w:rPr>
          <w:sz w:val="24"/>
          <w:szCs w:val="24"/>
          <w:rFonts w:ascii="Times New Roman" w:eastAsia="Times New Roman" w:hAnsi="Times New Roman"/>
        </w:rPr>
      </w:pPr>
      <w:r>
        <w:rPr>
          <w:sz w:val="24"/>
          <w:rFonts w:ascii="Times New Roman" w:hAnsi="Times New Roman"/>
        </w:rPr>
        <w:t xml:space="preserve">………………………………………………………………………………………………….</w:t>
      </w:r>
    </w:p>
    <w:p w14:paraId="0D47FEFF" w14:textId="4E7BA632" w:rsidR="00D57D3B"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Commission n’a pas contesté au plus tard le 31 mars de l’année N+1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la conclusion du rapport national soumis l’année N</w:t>
      </w:r>
      <w:r>
        <w:rPr>
          <w:sz w:val="24"/>
          <w:rFonts w:ascii="Times New Roman" w:hAnsi="Times New Roman"/>
        </w:rPr>
        <w:t xml:space="preserve">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l’évaluation de l’équilibre figurant dans le rapport national soumis l’année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sur la base du rapport national de l’année N que jusqu’au 31 décembre de l’année N+1, c’est-à-dire l’année suivant celle de la présentation du rapport.</w:t>
      </w:r>
      <w:r>
        <w:rPr>
          <w:sz w:val="24"/>
          <w:rFonts w:ascii="Times New Roman" w:hAnsi="Times New Roman"/>
        </w:rPr>
        <w:t xml:space="preserv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2DC2D251" w14:textId="77777777" w:rsidR="00982E63" w:rsidRDefault="00982E63" w:rsidP="00982E63">
      <w:pPr>
        <w:rPr>
          <w:sz w:val="24"/>
          <w:szCs w:val="24"/>
          <w:rFonts w:ascii="Times New Roman" w:eastAsia="Times New Roman" w:hAnsi="Times New Roman"/>
        </w:rPr>
      </w:pPr>
      <w:r>
        <w:rPr>
          <w:sz w:val="24"/>
          <w:rFonts w:ascii="Times New Roman" w:hAnsi="Times New Roman"/>
        </w:rPr>
        <w:t xml:space="preserve">…………………………………………………………………………………………………</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i/>
          <w:sz w:val="24"/>
          <w:szCs w:val="24"/>
          <w:rFonts w:ascii="Times New Roman" w:eastAsia="Times New Roman" w:hAnsi="Times New Roman"/>
        </w:rPr>
      </w:pPr>
      <w:r>
        <w:rPr>
          <w:i/>
          <w:sz w:val="24"/>
          <w:rFonts w:ascii="Times New Roman" w:hAnsi="Times New Roman"/>
        </w:rPr>
        <w:t xml:space="preserve">Si la mesure concerne la pêche dans les eaux intérieures, il n’y a pas lieu de répondre aux questions 3.1 à 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8" w:name="_Ref125367899"/>
      <w:r>
        <w:rPr>
          <w:sz w:val="24"/>
          <w:rFonts w:ascii="Times New Roman" w:hAnsi="Times New Roman"/>
        </w:rPr>
        <w:t xml:space="preserve">Veuillez confirmer que la mesure prévoit que les navires de pêche doivent être équipés pour les activités de pêche et présenter une longueur hors tout ne dépassant pas 24 mètres.</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5804E51" w14:textId="64C6D08C" w:rsidR="00EE3A31" w:rsidRDefault="00FE057F" w:rsidP="00FA3BF8">
      <w:pPr>
        <w:rPr>
          <w:sz w:val="24"/>
          <w:szCs w:val="24"/>
          <w:rFonts w:ascii="Times New Roman" w:eastAsia="Times New Roman" w:hAnsi="Times New Roman"/>
        </w:rPr>
      </w:pPr>
      <w:r>
        <w:rPr>
          <w:sz w:val="24"/>
          <w:rFonts w:ascii="Times New Roman" w:hAnsi="Times New Roman"/>
        </w:rPr>
        <w:t xml:space="preserve">………………………………………………………………………………………………….</w:t>
      </w:r>
    </w:p>
    <w:p w14:paraId="62FA8102" w14:textId="0374EE62" w:rsidR="007D193E"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9" w:name="_Ref124951266"/>
      <w:r>
        <w:rPr>
          <w:sz w:val="24"/>
          <w:rFonts w:ascii="Times New Roman" w:hAnsi="Times New Roman"/>
        </w:rPr>
        <w:t xml:space="preserve">Veuillez confirmer que la mesure prévoit que l’aide ne peut être octroyée qu’à un navire de pêche qui a été enregistré dans le fichier de la flotte de l’Union pendant au moins les trois années civiles précédant l’année de présentation de la demande d’aide dans le cas d’un navire de petite pêche côtière, et pendant au moins cinq années civiles dans le cas d’un autre type de navire.</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la mesure prévoit que l’aide ne peut être octroyée qu’à un navire de pêche qui est entré en service, conformément au droit national, au moins trois années civiles avant l’année de présentation de la demande d’aide dans le cas d’un navire de petite pêche côtière, et au moins cinq années civiles avant l’année de présentation de la demande d’aide dans le cas d’un autre type de navire.</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5 ou 5.1 est «oui», veuillez indiquer la ou les dispositions applicables de la base juridique.</w:t>
      </w:r>
    </w:p>
    <w:p w14:paraId="068B0967" w14:textId="37D8A890" w:rsidR="00BC500A" w:rsidRDefault="00FE057F" w:rsidP="000A0D37">
      <w:pPr>
        <w:rPr>
          <w:sz w:val="24"/>
          <w:szCs w:val="24"/>
          <w:rFonts w:ascii="Times New Roman" w:eastAsia="Times New Roman" w:hAnsi="Times New Roman"/>
        </w:rPr>
      </w:pPr>
      <w:r>
        <w:rPr>
          <w:sz w:val="24"/>
          <w:rFonts w:ascii="Times New Roman" w:hAnsi="Times New Roman"/>
        </w:rPr>
        <w:t xml:space="preserve">………………………………………………………………………………………………….</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qu’à un navire de pêche qui a été enregistré dans le fichier de la flotte de l’Union pendant 30 années civiles maximum avant l’année de présentation de la demande d’aide.</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la mesure prévoit que l’aide ne peut être octroyée qu’à un navire de pêche qui est entré en service, conformément au droit national, au moins 30 années civiles avant l’année de présentation de la demande d’aide.</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6 ou 6.1 est «oui», veuillez indiquer la ou les dispositions applicables de la base juridique.</w:t>
      </w:r>
    </w:p>
    <w:p w14:paraId="43EAD78F" w14:textId="06226908" w:rsidR="00EE3A31" w:rsidRDefault="00BD6945" w:rsidP="003509A7">
      <w:pPr>
        <w:rPr>
          <w:sz w:val="24"/>
          <w:szCs w:val="24"/>
          <w:rFonts w:ascii="Times New Roman" w:eastAsia="Times New Roman" w:hAnsi="Times New Roman"/>
        </w:rPr>
      </w:pPr>
      <w:r>
        <w:rPr>
          <w:sz w:val="24"/>
          <w:rFonts w:ascii="Times New Roman" w:hAnsi="Times New Roman"/>
        </w:rPr>
        <w:t xml:space="preserve">………………………………………………………………………………………………….</w:t>
      </w:r>
    </w:p>
    <w:p w14:paraId="07569E7E" w14:textId="5DA1329F" w:rsidR="00A93E41" w:rsidRDefault="004629F3"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n’incluent que les coûts directs et indirects liés à la première acquisition d’un navire de pêche.</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472BD8A" w14:textId="10063291" w:rsidR="00BD6945" w:rsidRDefault="00BD6945" w:rsidP="003509A7">
      <w:pPr>
        <w:rPr>
          <w:sz w:val="24"/>
          <w:szCs w:val="24"/>
          <w:rFonts w:ascii="Times New Roman" w:eastAsia="Times New Roman" w:hAnsi="Times New Roman"/>
        </w:rPr>
      </w:pPr>
      <w:r>
        <w:rPr>
          <w:sz w:val="24"/>
          <w:rFonts w:ascii="Times New Roman" w:hAnsi="Times New Roman"/>
        </w:rPr>
        <w:t xml:space="preserve">………………………………………………………………………………………………….</w:t>
      </w:r>
    </w:p>
    <w:p w14:paraId="59BE27D9" w14:textId="38E5F44B" w:rsidR="00252DEE" w:rsidRDefault="00252DEE" w:rsidP="003509A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des coûts admissibles au titre de la mesure.</w:t>
      </w:r>
    </w:p>
    <w:p w14:paraId="3318D537" w14:textId="503DBEAC" w:rsidR="005B1262" w:rsidRPr="005615D7" w:rsidRDefault="005E58E1" w:rsidP="009E130B">
      <w:pPr>
        <w:rPr>
          <w:sz w:val="24"/>
          <w:szCs w:val="24"/>
          <w:rFonts w:ascii="Times New Roman" w:eastAsia="Times New Roman" w:hAnsi="Times New Roman"/>
        </w:rPr>
      </w:pPr>
      <w:r>
        <w:rPr>
          <w:sz w:val="24"/>
          <w:rFonts w:ascii="Times New Roman" w:hAnsi="Times New Roman"/>
        </w:rPr>
        <w:t xml:space="preserve">………………………………………………………………………………………………….</w:t>
      </w:r>
    </w:p>
    <w:p w14:paraId="1403F476" w14:textId="59E3908F" w:rsidR="00DD442C" w:rsidRDefault="00DD442C" w:rsidP="00DD442C">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une intensité d’aide maximale n’excédant pas 40 % des coûts admissibles.</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56633C5B" w14:textId="77777777" w:rsidR="00727DA3" w:rsidRDefault="00727DA3" w:rsidP="00727DA3">
      <w:pPr>
        <w:rPr>
          <w:sz w:val="24"/>
          <w:szCs w:val="24"/>
          <w:rFonts w:ascii="Times New Roman" w:eastAsia="Times New Roman" w:hAnsi="Times New Roman"/>
        </w:rPr>
      </w:pPr>
      <w:r>
        <w:rPr>
          <w:sz w:val="24"/>
          <w:rFonts w:ascii="Times New Roman" w:hAnsi="Times New Roman"/>
        </w:rPr>
        <w:t xml:space="preserve">………………………………………………………………………………………………….</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2" w:name="_Hlk125368675"/>
      <w:bookmarkEnd w:id="11"/>
      <w:r>
        <w:rPr>
          <w:sz w:val="24"/>
          <w:rFonts w:ascii="Times New Roman" w:hAnsi="Times New Roman"/>
        </w:rPr>
        <w:t xml:space="preserve">Veuillez indiquer la ou les dispositions de la base juridique fixant la ou les intensités d’aide maximales dans le cadre de la mesure.</w:t>
      </w:r>
    </w:p>
    <w:p w14:paraId="0DE14AD2" w14:textId="6BC8AFC3" w:rsidR="007E7B0C" w:rsidRDefault="00DD442C" w:rsidP="009E130B">
      <w:pPr>
        <w:rPr>
          <w:sz w:val="24"/>
          <w:szCs w:val="24"/>
          <w:rFonts w:ascii="Times New Roman" w:eastAsia="Times New Roman" w:hAnsi="Times New Roman"/>
        </w:rPr>
      </w:pPr>
      <w:r>
        <w:rPr>
          <w:sz w:val="24"/>
          <w:rFonts w:ascii="Times New Roman" w:hAnsi="Times New Roman"/>
        </w:rPr>
        <w:t xml:space="preserve">………………………………………………………………………………………………….</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0E5A54F3"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 xml:space="preserve">JO C 107 du 23.3.2023, p.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w:t>
      </w:r>
      <w:r>
        <w:rPr>
          <w:rFonts w:ascii="Times New Roman" w:hAnsi="Times New Roman"/>
        </w:rPr>
        <w:t xml:space="preserve">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Veuillez vous référer aux points 225 et 226 des lignes directrices, où sont décrites les séquences du rapport national soumis l’année N et les mesures que la Commission peut prendre au plus tard le 31 mars de l’année N+1.</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Communication de la Commission au Parlement européen et au Conseil:</w:t>
      </w:r>
      <w:r>
        <w:rPr>
          <w:rFonts w:ascii="Times New Roman" w:hAnsi="Times New Roman"/>
        </w:rPr>
        <w:t xml:space="preserve"> </w:t>
      </w:r>
      <w:r>
        <w:rPr>
          <w:rFonts w:ascii="Times New Roman" w:hAnsi="Times New Roman"/>
        </w:rPr>
        <w:t xml:space="preserve">Lignes directrices pour l’analyse de l’équilibre entre la capacité de pêche et les possibilités de pêche conformément à l’article 22 du règlement (UE) nº 1380/2013 du Parlement européen et du Conseil relatif à la politique commune de la pêche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lang w:val="fr-FR"/>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6795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5</cp:revision>
  <dcterms:created xsi:type="dcterms:W3CDTF">2023-05-03T14:30:00Z</dcterms:created>
  <dcterms:modified xsi:type="dcterms:W3CDTF">2024-05-31T08:04:00Z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