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List s dopunskim podacima o </w:t>
      </w:r>
      <w:r>
        <w:br/>
      </w:r>
      <w:r>
        <w:rPr>
          <w:b/>
          <w:smallCaps/>
          <w:sz w:val="24"/>
          <w:rFonts w:ascii="Times New Roman" w:hAnsi="Times New Roman"/>
        </w:rPr>
        <w:t xml:space="preserve">potporama za privremeni prestanak ribolovnih aktivnosti</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Države članice moraju upotrebljavati ovaj obrazac za prijavu svih državnih potpora za privremeni prestanak ribolovnih aktivnosti kako su opisane u dijelu II. poglavlju 3. odjeljku 3.5. Smjernica o državnim potporama u sektoru ribarstva i akvakulture</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(„Smjernice”).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ribarska plovila Unije u pogledu kojih se dodjeljuje potpora ne smiju prenijeti izvan Unije niti im se smije zamijeniti zastava izvan Unije tijekom razdoblja od najmanje pet godina od završnog plaćanja potpore.</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slučaj za koji se dodjeljuje potpora za privremeni prestanak ribolovnih aktivnosti:</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mjere očuvanja iz članka 7. stavka 1. točaka (a), (b), (c), (i) i (j) Uredbe (EU) br.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ili, ako su primjenjive na Uniju, jednakovrijedne mjere očuvanja koje su donijele regionalne organizacije za upravljanje ribarstvom, pod uvjetom da je na temelju znanstvenih savjeta potrebno smanjiti ribolovni napor kako bi se ostvarili ciljevi ZRP-a utvrđeni u članku 2. stavku 2. i članku 2. stavku 5. točki (a) Uredbe (EU) br.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mjere Komisije uslijed ozbiljne prijetnje morskim biološkim resursima iz članka 12. Uredbe (EU) br.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hitne mjere država članica na temelju članka 13. Uredbe (EU) br.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prekid primjene sporazuma o partnerstvu u održivom ribarstvu ili njegova protokola zbog razloga više sile</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(e) okolišni incidenti ili zdravstvene krize koje su službeno priznala nadležna tijela relevantne države članice.</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Detaljno opišite dotične mjere, incidente ili krize i, ako je to primjenjivo, navedite mjerodavne odredbe pravne osnove na temelju kojih su ti događaji službeno priznati.</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Ako se mjera odnosi na ribolov u unutarnjim vodama, ovo se pitanje ne primjenjuje – vidjeti pitanje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5.2</w:t>
      </w:r>
      <w:r>
        <w:rPr>
          <w:i/>
          <w:sz w:val="24"/>
          <w:rFonts w:ascii="Times New Roman" w:eastAsia="Times New Roman" w:hAnsi="Times New Roman"/>
        </w:rPr>
        <w:fldChar w:fldCharType="end"/>
      </w:r>
      <w:r>
        <w:rPr>
          <w:i/>
          <w:sz w:val="24"/>
          <w:rFonts w:ascii="Times New Roman" w:hAnsi="Times New Roman"/>
        </w:rPr>
        <w:t xml:space="preserve">.</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potpore mogu dodijeliti samo ako su ribolovne aktivnosti dotičnog plovila ili ribara bile zaustavljene najmanje 30 dana u dotičnoj kalendarskoj godini.</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korisnike potpore:</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vlasnici ili operateri ribarskih plovila Unije koja su registrirana kao aktivna plovila i upotrebljavala su se za obavljanje ribolovnih aktivnosti najmanje 120 dana tijekom zadnje dvije kalendarske godine koje su prethodile godini u kojoj je podnesen zahtjev za potporu</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u pogledu ribolova u unutarnjim vodama:</w:t>
      </w:r>
      <w:r>
        <w:rPr>
          <w:sz w:val="24"/>
          <w:rFonts w:ascii="Times New Roman" w:hAnsi="Times New Roman"/>
        </w:rPr>
        <w:t xml:space="preserve">  </w:t>
      </w:r>
      <w:r>
        <w:rPr>
          <w:sz w:val="24"/>
          <w:rFonts w:ascii="Times New Roman" w:hAnsi="Times New Roman"/>
        </w:rPr>
        <w:t xml:space="preserve">vlasnici ili operateri ribarskih plovila koja su u nacionalnom registru flote (ako je to primjenjivo u skladu s nacionalnim pravom) registrirana kao aktivna plovila i upotrebljavala su se za obavljanje ribolovnih aktivnosti najmanje 120 dana tijekom zadnje dvije kalendarske godine koje su prethodile godini u kojoj je podnesen zahtjev za potporu</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ribari koji su radili na ribarskom plovilu Unije na koje se odnosi privremeni prestanak najmanje 120 dana tijekom zadnje dvije kalendarske godine koje su prethodile godini u kojoj je podnesen zahtjev za potporu</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ribari bez plovila koji su obavljali ribolovne aktivnosti barem 120 dana tijekom zadnje dvije kalendarske godine koje su prethodile godini u kojoj je podnesen zahtjev za potporu</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odredbe pravne osnove koje odražavaju označeni odgovor.</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Ako je priroda dotične ribolovne aktivnosti takva da se ne može obavljati tijekom cijele kalendarske godine, minimalni zahtjev za ribolovnu aktivnost utvrđen u točki (295) Smjernica</w:t>
      </w:r>
      <w:r>
        <w:rPr>
          <w:sz w:val="24"/>
          <w:rFonts w:ascii="Times New Roman" w:hAnsi="Times New Roman"/>
        </w:rPr>
        <w:t xml:space="preserve"> može se smanjiti sve dok je omjer između broja dana aktivnosti i broja ribolovnih dana jednak omjeru broja dana aktivnosti i broja kalendarskih dana godišnje za poduzetnike korisnike koji obavljaju ribolov tijekom cijele godine.</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tom slučaju detaljno opišite prirodu ribolovne aktivnosti na koju se mjera odnosi, objasnite kako je izračunan minimalni zahtjev za ribolovnu aktivnost i navedite mjerodavne odredbe pravne osnove.</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Ako se mjera odnosi na ribolov u unutarnjim vodama i ribarska plovila ili ribari sudjeluju u ulovu više vrsta za koje je dopušten različit broj ribolovnih dana u unutarnjim vodama, broj ribolovnih dana za izračun omjera iz točke (296) Smjernica prosjek je broja ribolovnih dana dopuštenih za ulove tog plovila ili ribara.</w:t>
      </w:r>
      <w:r>
        <w:rPr>
          <w:sz w:val="24"/>
          <w:rFonts w:ascii="Times New Roman" w:hAnsi="Times New Roman"/>
        </w:rPr>
        <w:t xml:space="preserve"> </w:t>
      </w:r>
      <w:r>
        <w:rPr>
          <w:sz w:val="24"/>
          <w:rFonts w:ascii="Times New Roman" w:hAnsi="Times New Roman"/>
        </w:rPr>
        <w:t xml:space="preserve">Međutim, napominjemo da najmanji broj dana ribolovnih aktivnosti koji proizlazi iz takve prilagodbe ne smije ni u kojem slučaju biti manji od 40 dana ni veći od 120 dana.</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U tom slučaju detaljno opišite pravni i/ili administrativni okvir koji se primjenjuje na dotični ribolov u unutarnjim vodama, objasnite kako je izračunan minimalni zahtjev za ribolovnu aktivnost i navedite mjerodavne odredbe pravne osnove.</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se mjera odnosi na ribolov u unutarnjim vodama:</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Potvrdite da se potpora u okviru mjere može dodijeliti samo poduzetnicima korisnicima koji posluju isključivo u unutarnjim vodama.</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Navedite cilj mjere:</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mjere očuvanja potkrijepljene znanstvenim dokazima</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okolišni incidenti ili zdravstvene krize koje su službeno priznala nadležna tijela relevantne države članice</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slučaju mjera očuvanja navedite sažetak znanstvenih dokaza koji podupiru mjeru.</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slučaju incidenata ili kriza, detaljno opišite dotične incidente ili krize i navedite mjerodavne odredbe pravne osnove na temelju kojih su ti događaji službeno priznati.</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se potpora može dodijeliti na najviše 12 mjeseci po plovilu ili po ribaru tijekom programskog razdoblja u okviru Europskog fonda za pomorstvo, ribarstvo i akvakulturu, neovisno o izvoru financiranja, bilo da se financira na nacionalnoj razini ili sufinancira u skladu s člankom 21. Uredbe (EU)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će države članice koje prijavljuju potporu ispuniti obvezu izvješćivanja utvrđenu u točki (346) Smjernica.</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sve ribolovne aktivnosti koje su obavljala dotična plovila ili dotični ribari moraju suspendirati tijekom dotičnog razdoblja privremenog prestanka ribolovnih aktivnosti.</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Detaljno opišite postojeće mehanizme kontrole i provedbe kojima se jamči usklađenost s uvjetima povezanima s privremenim prestankom, među ostalim kako bi se osiguralo da su dotično plovilo ili ribar obustavili ribolovne aktivnosti tijekom razdoblja na koje se mjera odnosi.</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w:t>
      </w:r>
      <w:r>
        <w:rPr>
          <w:sz w:val="24"/>
          <w:rFonts w:ascii="Times New Roman" w:hAnsi="Times New Roman"/>
        </w:rPr>
        <w:t xml:space="preserve">prihvatljive troškove:</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gubitak prihoda zbog privremenog prestanka ribolovnih aktivnosti</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ostali troškovi povezani s održavanjem i očuvanjem neiskorištene imovine tijekom privremenog prestanka ribolovnih aktivnosti.</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oboje, to jest prihvatljivi troškovi uključuju točke (a) i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odredbe pravne osnove koje odražavaju označeni odgovor.</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se prihvatljivi troškovi moraju izračunati na razini pojedinačnog korisnika.</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Potvrdite da se gubitak prihoda mora izračunati u skladu s točkom (304) Smjernica, odnosno oduzimanjem:</w:t>
      </w:r>
      <w:r>
        <w:rPr>
          <w:sz w:val="24"/>
          <w:rFonts w:ascii="Times New Roman" w:hAnsi="Times New Roman"/>
        </w:rPr>
        <w:t xml:space="preserve"> </w:t>
      </w:r>
      <w:r>
        <w:rPr>
          <w:sz w:val="24"/>
          <w:rFonts w:ascii="Times New Roman" w:hAnsi="Times New Roman"/>
        </w:rPr>
        <w:t xml:space="preserve">(a) umnoška količine proizvoda ribarstva proizvedene u godini privremenog prestanka ribolovnih aktivnosti i prosječne prodajne cijene postignute u toj godini od (b) umnoška prosječne godišnje količine proizvoda ribarstva proizvedene u trogodišnjem razdoblju koje prethodi privremenom prestanku ribolovnih aktivnosti ili trogodišnjeg prosjeka temeljenog na petogodišnjem razdoblju koje prethodi privremenom prestanku ribolovnih aktivnosti, isključujući najvišu i najnižu vrijednost, i prosječne postignute prodajne cijene.</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Potvrdite da se troškovi povezani s održavanjem i očuvanjem neiskorištene imovine tijekom privremenog prestanka ribolovnih aktivnosti moraju izračunati na temelju prosjeka troškova nastalih tijekom trogodišnjeg razdoblja koje prethodi privremenom prestanku ribolovnih aktivnosti ili na temelju trogodišnjeg prosjeka tijekom petogodišnjeg razdoblja koje prethodi privremenom prestanku ribolovnih aktivnosti, isključujući najvišu i najnižu vrijednost.</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Navedite mogu li prihvatljivi troškovi uključivati druge troškove poduzetnika korisnika koji su nastali zbog privremenog prestanka ribolovnih aktivnosti.</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w:t>
      </w:r>
      <w:bookmarkStart w:id="5" w:name="_Hlk126945164"/>
      <w:r>
        <w:rPr>
          <w:sz w:val="24"/>
          <w:rFonts w:ascii="Times New Roman" w:hAnsi="Times New Roman"/>
        </w:rPr>
        <w:t xml:space="preserve"> navedite relevantne troškove</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Ako je odgovor potvrdan, navedite mjerodavne odredbe pravne osnove.</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Potvrdite da se od prihvatljivih troškova moraju oduzeti svi troškovi koji nisu nastali zbog privremenog prestanka ribolovnih aktivnosti i koje bi poduzetnik korisnik i inače imao.</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Ako je odgovor potvrdan, navedite mjerodavne odredbe pravne osnove.</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ako se plovilo tijekom privremenog prestanka upotrebljava za aktivnosti koje nisu gospodarski ribolov, svi prihodi moraju prijaviti i oduzeti od potpora dodijeljenih na temelju ovog odjeljka, a potpore se ne smiju dodijeliti za druge troškove povezane s održavanjem i očuvanjem neiskorištene imovine tijekom privremenog prestanka ribolovnih aktivnosti.</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Napominjemo da Komisija može prihvatiti i druge metode izračuna ako se uvjeri da se temelje na objektivnim kriterijima i da ne dovode do prevelike nadoknade za bilo kojeg poduzetnika korisnika.</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Ako država članica koja prijavljuje potporu namjerava predložiti drugu metodu izračuna, navedite zašto metoda iz Smjernica nije primjerena u dotičnom slučaju i objasnite kako ta druga metoda izračuna bolje odgovara utvrđenim potrebama.</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U prilogu prijavi dostavite predloženu drugu metodologiju zajedno s dokazom da se temelji na objektivnim kriterijima i da ne dovodi do prevelike nadoknade za bilo kojeg korisnika.</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je li u mjeri predviđeno da se, ako je MSP osnovan manje od tri godine od datuma privremenog prestanka ribolovnih aktivnosti, upućivanje na trogodišnje ili petogodišnje razdoblje iz točke (304) podtočke (b) i točke (305) Smjernica (pitanja 9.3. i 9.4.) mora tumačiti kao upućivanje na količinu koju je proizveo i prodao ili troškove koje je imao prosječni poduzetnik iste veličine kao podnositelj zahtjeva, odnosno mikropoduzeće ili malo ili srednje poduzeće, u nacionalnom ili regionalnom sektoru koji je zahvaćen dotičnim privremenim prestankom ribolovnih aktivnosti.</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potpore i ostala plaćanja, uključujući plaćanja na temelju polica osiguranja, primljena u svrhu privremenog prestanka ribolovnih aktivnosti moraju ograničiti na 100 % prihvatljivih troškova.</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maksimalne intenzitete potpore koji su primjenjivi za mjeru.</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Navedite odredbe pravne osnove u kojima je utvrđeno ograničenje od 100 % prihvatljivih troškova i maksimalni intenziteti potpore za mjeru.</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OSTALI PODACI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sve ostale podatke koje smatrate relevantnima za ocjenu dotične mjere na temelju ovog odjeljka Smjernica.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rPr>
          <w:rFonts w:ascii="Times New Roman" w:hAnsi="Times New Roman"/>
        </w:rPr>
        <w:t xml:space="preserve"> SL C 107, 23.3.2023., str.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Uredba (EU) br. 1380/2013 Europskog parlamenta i Vijeća od 11. prosinca 2013. o zajedničkoj ribarstvenoj politici, izmjeni uredaba Vijeća (EZ) br. 1954/2003 i (EZ) br. 1224/2009 i stavljanju izvan snage uredaba (EZ) br. 2371/2002 i (EZ) br. 639/2004 i Odluke Vijeća 2004/585/EZ (SL L 354, 28.12.2013., str. 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Uredba (EU) 2021/1139 Europskog parlamenta i Vijeća od 7. srpnja 2021. o uspostavi Europskog fonda za pomorstvo, ribarstvo i akvakulturu i izmjeni Uredbe (EU) 2017/1004 (SL L 247, 13.7.2021.,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hr-H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hr-H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hr-HR"/>
    </w:rPr>
  </w:style>
  <w:style w:type="paragraph" w:styleId="Revision">
    <w:name w:val="Revision"/>
    <w:hidden/>
    <w:uiPriority w:val="99"/>
    <w:semiHidden/>
    <w:rsid w:val="00136501"/>
    <w:rPr>
      <w:sz w:val="22"/>
      <w:szCs w:val="22"/>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