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6A67ED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E5B77E4" w14:textId="77777777" w:rsidR="005615D7" w:rsidRPr="00293FA0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3.2.</w:t>
      </w:r>
    </w:p>
    <w:p w14:paraId="76135432" w14:textId="25678AE4" w:rsidR="005615D7" w:rsidRPr="00293FA0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List s dopunskim podacima o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potporama za zamjenu ili osuvremenjivanje glavnog ili pomoćnog motora</w:t>
      </w:r>
    </w:p>
    <w:p w14:paraId="5E91F15B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E51F2E" w14:textId="0C4517D1" w:rsidR="005615D7" w:rsidRPr="005615D7" w:rsidRDefault="0053598F" w:rsidP="005615D7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Države članice moraju upotrebljavati ovaj obrazac za prijavu svih potpora za zamjenu ili osuvremenjivanje glavnog ili pomoćnog motora ribarskih plovila kako su opisane u dijelu II. poglavlju 3. odjeljku 3.2. Smjernica o državnim potporama u sektoru ribarstva i akvakulture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(„Smjernice”).</w:t>
      </w:r>
    </w:p>
    <w:p w14:paraId="33E9E980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95D2BB" w14:textId="77777777" w:rsidR="007E64FE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BDA44" w14:textId="0613715C" w:rsidR="007D193E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ribarska plovila Unije u pogledu kojih se dodjeljuje potpora ne smiju prenijeti izvan Unije niti im se smije zamijeniti zastava izvan Unije tijekom razdoblja od najmanje pet godina od završnog plaćanja potpore.</w:t>
      </w:r>
      <w:r>
        <w:rPr>
          <w:sz w:val="24"/>
          <w:rFonts w:ascii="Times New Roman" w:hAnsi="Times New Roman"/>
        </w:rPr>
        <w:t xml:space="preserve"> </w:t>
      </w:r>
    </w:p>
    <w:p w14:paraId="09714071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C1EB84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2751733" w14:textId="4033CF1E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FE2F3C" w14:textId="52EE06CC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1E9D84D9" w14:textId="469B67E8" w:rsidR="00C64658" w:rsidRDefault="00C64658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107B6C1" w14:textId="77777777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FAB892" w14:textId="06B008F9" w:rsidR="00B235B8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će se potpora dodijeliti isključivo za zamjenu ili osuvremenjivanje glavnog ili pomoćnog motora ribarskog plovila čija je duljina preko svega do 24 metra.</w:t>
      </w:r>
    </w:p>
    <w:p w14:paraId="70878431" w14:textId="77777777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E73843" w14:textId="77777777" w:rsidR="00B235B8" w:rsidRPr="005615D7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6662626" w14:textId="468DF8C8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E00D88" w14:textId="3E0FC69B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4F8DE03B" w14:textId="10879FF2" w:rsidR="00C64658" w:rsidRDefault="00C64658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7D26868" w14:textId="77777777" w:rsidR="00252DEE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FC2723" w14:textId="5628CE3E" w:rsidR="007D193E" w:rsidRPr="0053598F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4951182"/>
      <w:bookmarkStart w:id="1" w:name="_Hlk127291610"/>
      <w:r>
        <w:rPr>
          <w:sz w:val="24"/>
          <w:rFonts w:ascii="Times New Roman" w:hAnsi="Times New Roman"/>
        </w:rPr>
        <w:t xml:space="preserve">U skladu s točkom (253) podtočkom (a) Smjernica ribarska plovila moraju pripadati segmentu flote za koji je u najnovijem izvješću o ribolovnom kapacitetu iz članka 22. stavka 2. Uredbe (EU) br. 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utvrđeno da je uravnotežen s ribolovnim mogućnostima koje su dostupne tom segmentu (dalje u tekstu „nacionalno izvješće”)</w:t>
      </w:r>
      <w:bookmarkEnd w:id="1"/>
      <w:r>
        <w:rPr>
          <w:sz w:val="24"/>
          <w:sz w:val="24"/>
          <w:rFonts w:ascii="Times New Roman" w:hAnsi="Times New Roman"/>
        </w:rPr>
        <w:t xml:space="preserve">.</w:t>
      </w:r>
      <w:bookmarkEnd w:id="0"/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 skladu s točkom (254) Smjernica, za potrebe točke (253) podtočke (a) primjenjuju se postupak i uvjeti utvrđeni u dijelu II. poglavlju 2. odjeljku 2.2. točkama od (225) do (227).</w:t>
      </w:r>
      <w:r>
        <w:rPr>
          <w:color w:val="000000"/>
          <w:sz w:val="23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Uzimajući to u obzir odgovorite na sljedeća pitanja:</w:t>
      </w:r>
    </w:p>
    <w:p w14:paraId="5E069D18" w14:textId="3BCBF3CD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E6D3D" w14:textId="062D6850" w:rsidR="0053598F" w:rsidRPr="009C1330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Kad je sastavljeno zadnje nacionalno izvješće prije datuma dodjele potpore?</w:t>
      </w:r>
    </w:p>
    <w:p w14:paraId="3A01B69F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EC7B62B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poveznicu na zadnje nacionalno izvješće ili ga priložite prijavi.</w:t>
      </w:r>
    </w:p>
    <w:p w14:paraId="7EA4899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93FCE10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D0EBB0" w14:textId="77777777" w:rsidR="0053598F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su ispunjeni sljedeći uvjeti za dodjelu svih potpora:</w:t>
      </w:r>
    </w:p>
    <w:p w14:paraId="3CEEC1C3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C3560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 li nacionalno izvješće dostavljeno do 31. svibnja godine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53E86E0E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2E22F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33BE96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762DCC" w14:textId="77777777" w:rsidR="0053598F" w:rsidRPr="005C06D1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nacionalno izvješće dostavljeno u godini N, a posebno u njemu sadržana procjena ravnoteže, izrađeno na temelju bioloških i gospodarskih pokazatelja te pokazatelja o uporabi plovila utvrđenih u zajedničkim smjernicama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iz članka 22. stavka 2. Uredbe (EU) br. 1380/2013.</w:t>
      </w:r>
    </w:p>
    <w:p w14:paraId="7CC7BD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01BFB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6BCE1EE8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5D84A95C" w14:textId="77777777" w:rsidR="0053598F" w:rsidRPr="005C3488" w:rsidRDefault="0053598F" w:rsidP="0053598F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Napominjemo da se potpora ne smije dodijeliti ako nacionalno izvješće, a posebno u njemu sadržana procjena ravnoteže, nije izrađeno na temelju bioloških i gospodarskih pokazatelja te pokazatelja o uporabi plovila utvrđenih u zajedničkim smjernicama iz članka 22. stavka 2. Uredbe (EU) br. 1380/2013.</w:t>
      </w:r>
      <w:r>
        <w:rPr>
          <w:i/>
          <w:sz w:val="23"/>
        </w:rPr>
        <w:t xml:space="preserve"> </w:t>
      </w:r>
    </w:p>
    <w:p w14:paraId="45620AA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3FBFDF" w14:textId="55617450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Pokazuje li to nacionalno izvješće dostavljeno u godini N da postoji ravnoteža između ribolovnog kapaciteta i ribolovnih mogućnosti u segmentu flote kojem plovilo pripada?</w:t>
      </w:r>
    </w:p>
    <w:p w14:paraId="71B0BC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4EC366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CAAEE34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812C0A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Objasnite kako je nacionalno izvješće uzeto u obzir pri osmišljavanju mjere i kako se postiže ravnoteža.</w:t>
      </w:r>
    </w:p>
    <w:p w14:paraId="2A834BE2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0ED6C86" w14:textId="1437F106" w:rsidR="00F741C7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Komisija do 31. ožujka godine N + 1 nije dovela u pitanje:</w:t>
      </w:r>
    </w:p>
    <w:p w14:paraId="2F690AAD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CB58F3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zaključak nacionalnog izvješća dostavljenog u godini N</w:t>
      </w:r>
      <w:r>
        <w:rPr>
          <w:sz w:val="24"/>
          <w:rFonts w:ascii="Times New Roman" w:hAnsi="Times New Roman"/>
        </w:rPr>
        <w:t xml:space="preserve"> </w:t>
      </w:r>
    </w:p>
    <w:p w14:paraId="73206044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1A0E35" w14:textId="77777777" w:rsidR="00F741C7" w:rsidRPr="005E495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FEAAF" w14:textId="77777777" w:rsidR="00F741C7" w:rsidRPr="005615D7" w:rsidRDefault="00F741C7" w:rsidP="00F741C7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(b) procjenu ravnoteže iz nacionalnog izvješća dostavljenog u godini N</w:t>
      </w:r>
    </w:p>
    <w:p w14:paraId="1BD1938D" w14:textId="67FB16D6" w:rsidR="0053598F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2165A1E" w14:textId="77777777" w:rsidR="0053598F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potpora može dodijeliti na temelju nacionalnog izvješća dostavljenog u godini N samo do 31. prosinca godine N + 1, tj. godine koja slijedi nakon godine dostave izvješća.</w:t>
      </w:r>
      <w:r>
        <w:rPr>
          <w:sz w:val="24"/>
          <w:rFonts w:ascii="Times New Roman" w:hAnsi="Times New Roman"/>
        </w:rPr>
        <w:t xml:space="preserve"> </w:t>
      </w:r>
    </w:p>
    <w:p w14:paraId="3E8C1F31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958307" w14:textId="77777777" w:rsidR="0053598F" w:rsidRPr="001E103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2D0706C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5A0A6" w14:textId="77777777" w:rsidR="0053598F" w:rsidRDefault="0053598F" w:rsidP="00F741C7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08A0C9BD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61F4C9EA" w14:textId="5C998E36" w:rsidR="0053598F" w:rsidRP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Ako se mjera odnosi na ribolov u unutarnjim vodama, nije potrebno odgovoriti na pitanja od 3.1. do 3.2.6.1.</w:t>
      </w:r>
    </w:p>
    <w:p w14:paraId="679F63A5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EA41B" w14:textId="316B2CCB" w:rsidR="007D193E" w:rsidRDefault="00A93E41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4951266"/>
      <w:r>
        <w:rPr>
          <w:sz w:val="24"/>
          <w:rFonts w:ascii="Times New Roman" w:hAnsi="Times New Roman"/>
        </w:rPr>
        <w:t xml:space="preserve">Potvrdite da je u mjeri predviđeno da ribarska plovila moraju biti registrirana u registru flote Unije najmanje pet kalendarskih godina koje su prethodile godini u kojoj je podnesen zahtjev za potporu.</w:t>
      </w:r>
      <w:bookmarkEnd w:id="2"/>
    </w:p>
    <w:p w14:paraId="5BEC161D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194E93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64E8106D" w14:textId="2D6E9174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98B12" w14:textId="17E59A38" w:rsidR="00F741C7" w:rsidRPr="00255D80" w:rsidRDefault="00F741C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se mjera odnosi na ribolov u unutarnjim vodama, potvrdite da je u mjeri predviđeno da se potpora može dodijeliti samo za ribarsko plovilo koje je, u skladu s nacionalnim pravom, stupilo u službu najmanje pet kalendarskih godina prije godine u kojoj je podnesen zahtjev za potporu.</w:t>
      </w:r>
    </w:p>
    <w:p w14:paraId="08A8E70B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B438A2" w14:textId="5E5A07F2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EEFB232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AA4FB32" w14:textId="139A880A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na pitanje 4. ili pitanje 4.1. potvrdan, navedite mjerodavne odredbe pravne osnove.</w:t>
      </w:r>
    </w:p>
    <w:p w14:paraId="35CB1A30" w14:textId="7F4E7E68" w:rsidR="00A93E41" w:rsidRDefault="00C64658" w:rsidP="00F741C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BB86F31" w14:textId="2D3747F9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Ref124951474"/>
      <w:r>
        <w:rPr>
          <w:sz w:val="24"/>
          <w:rFonts w:ascii="Times New Roman" w:hAnsi="Times New Roman"/>
        </w:rPr>
        <w:t xml:space="preserve">Potvrdite da je u mjeri predviđeno da za plovila za mali priobalni ribolov i plovila za ribolov u unutarnjim vodama novi ili osuvremenjeni motor ne smije imati više snage u kW od snage sadašnjeg motora.</w:t>
      </w:r>
      <w:bookmarkEnd w:id="3"/>
    </w:p>
    <w:p w14:paraId="7D8E76C6" w14:textId="77777777" w:rsidR="00A93E41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6F912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C213FF2" w14:textId="0FD89D8B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469E" w14:textId="01545C96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042097A5" w14:textId="1C70A343" w:rsidR="00C64658" w:rsidRDefault="00C64658" w:rsidP="00F741C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29EDD2A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975B37" w14:textId="347B8D5F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Ref124957319"/>
      <w:r>
        <w:rPr>
          <w:sz w:val="24"/>
          <w:rFonts w:ascii="Times New Roman" w:hAnsi="Times New Roman"/>
        </w:rPr>
        <w:t xml:space="preserve">Potvrdite da je u mjeri predviđeno da za druga plovila čija duljina preko svega ne prelazi 24 metra novi ili osuvremenjeni motor ne smije imati više snage u kW od snage sadašnjeg motora i mora ispuštati barem 20 % manje CO₂ u odnosu na sadašnji motor.</w:t>
      </w:r>
      <w:bookmarkEnd w:id="4"/>
    </w:p>
    <w:p w14:paraId="40932758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59370E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41A1F6FE" w14:textId="52610896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CF581" w14:textId="46EC7603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6F9349D1" w14:textId="568001A8" w:rsidR="00C64658" w:rsidRDefault="00C64658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8D3F1E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BB61BA" w14:textId="192A3DD3" w:rsidR="009E1F93" w:rsidRDefault="009E1F93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ribolovni kapacitet koji je povučen zbog zamjene ili osuvremenjivanja glavnog ili pomoćnog motora ne smije zamijeniti.</w:t>
      </w:r>
    </w:p>
    <w:p w14:paraId="65A0F1E9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6D7393" w14:textId="77777777" w:rsidR="009E1F93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3F7B8E1" w14:textId="39869EF0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506E6D" w14:textId="787827EE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7C8C2ABC" w14:textId="34A0C34F" w:rsidR="00C64658" w:rsidRDefault="00C64658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7C477C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CF3F48" w14:textId="7731E3E6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postojeće mehanizme kontrole i provedbe kojima se jamči ispunjavanje uvjeta iz dijela II. poglavlja 3. odjeljka 3.2. Smjernica.</w:t>
      </w:r>
    </w:p>
    <w:p w14:paraId="4A0243A2" w14:textId="16716C44" w:rsidR="009E1F93" w:rsidRDefault="00651AE7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3E97897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4116C" w14:textId="2AB39FF1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za sve zamijenjene ili osuvremenjene motore mora provesti fizička provjera.</w:t>
      </w:r>
    </w:p>
    <w:p w14:paraId="02DD2A8A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B59C7D" w14:textId="77777777" w:rsidR="00651AE7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474155A2" w14:textId="1A09CDF5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FE044" w14:textId="41618699" w:rsidR="00F6163F" w:rsidRDefault="00F6163F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1E0A7F3C" w14:textId="79620B89" w:rsidR="00F6163F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07EF9C0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4002AF" w14:textId="690A1A08" w:rsidR="00651AE7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kako će se u okviru mjere postići smanjenje emisija CO₂ iz pitanja 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_Ref124957319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t xml:space="preserve">6</w:t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.:</w:t>
      </w:r>
      <w:r>
        <w:rPr>
          <w:sz w:val="24"/>
          <w:rFonts w:ascii="Times New Roman" w:hAnsi="Times New Roman"/>
        </w:rPr>
        <w:t xml:space="preserve"> </w:t>
      </w:r>
    </w:p>
    <w:p w14:paraId="3CB3B570" w14:textId="77777777" w:rsidR="009725CF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445690" w14:textId="1DCBFD30" w:rsidR="009725CF" w:rsidRPr="005615D7" w:rsidRDefault="009725CF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na temelju relevantnih informacija koje je proizvođač dotičnog motora certificirao u okviru homologacije ili certifikata o proizvodu, a koje upućuju na to da novi motor ispušta 20 % manje CO₂ od motora koji se zamjenjuje</w:t>
      </w:r>
    </w:p>
    <w:p w14:paraId="0FF77229" w14:textId="7DF59EC2" w:rsidR="009725CF" w:rsidRDefault="00385658" w:rsidP="0048102E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na temelju relevantnih informacija koje je proizvođač dotičnog motora certificirao u okviru homologacije ili certifikata o proizvodu, a koje upućuju na to da novi motor upotrebljava 20 % manje goriva od motora koji se zamjenjuje.</w:t>
      </w:r>
    </w:p>
    <w:p w14:paraId="56EACDC0" w14:textId="718DF7EF" w:rsidR="0048102E" w:rsidRDefault="0048102E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zašto ste označili taj odgovor.</w:t>
      </w:r>
      <w:r>
        <w:rPr>
          <w:sz w:val="24"/>
          <w:rFonts w:ascii="Times New Roman" w:hAnsi="Times New Roman"/>
        </w:rPr>
        <w:t xml:space="preserve"> </w:t>
      </w:r>
    </w:p>
    <w:p w14:paraId="5AAF16DC" w14:textId="43A993BD" w:rsidR="0048102E" w:rsidRDefault="0048102E" w:rsidP="0048102E">
      <w:pPr>
        <w:ind w:left="360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</w:t>
      </w:r>
    </w:p>
    <w:p w14:paraId="237D3F90" w14:textId="52D88172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odredbe pravne osnove koje odražavaju kućicu označenu kao odgovor na prethodno pitanje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_Ref125367725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</w:t>
      </w:r>
    </w:p>
    <w:p w14:paraId="3E509AAA" w14:textId="77777777" w:rsidR="007E64FE" w:rsidRDefault="007E64FE" w:rsidP="007E64F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2E3561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7B95B6" w14:textId="08E422B9" w:rsidR="00385658" w:rsidRPr="00CA7417" w:rsidRDefault="00385658" w:rsidP="00CA741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se na temelju relevantnih informacija koje je proizvođač dotičnog motora certificirao u okviru homologacije ili certifikata o proizvodu za jedan ili oba motora ne mogu usporediti emisije CO₂ ili potrošnja goriva, navedite na temelju čega će se smatrati da je u okviru mjere postignuto smanjenje emisija CO₂ iz pitanja 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_Ref124957319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t xml:space="preserve">6</w:t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.:</w:t>
      </w:r>
      <w:r>
        <w:rPr>
          <w:sz w:val="24"/>
          <w:rFonts w:ascii="Times New Roman" w:hAnsi="Times New Roman"/>
        </w:rPr>
        <w:t xml:space="preserve"> </w:t>
      </w:r>
    </w:p>
    <w:p w14:paraId="7F6FD1D8" w14:textId="77777777" w:rsidR="009A6F32" w:rsidRDefault="009A6F32" w:rsidP="00385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24C9" w14:textId="1702C05A" w:rsidR="00385658" w:rsidRPr="005615D7" w:rsidRDefault="00385658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kod novog motora upotrijebljena je energetski učinkovita tehnologija, a razlika u starosti novog motora i motora koji se zamjenjuje iznosi najmanje sedam godina</w:t>
      </w:r>
    </w:p>
    <w:p w14:paraId="2B1EE759" w14:textId="5F99EEE5" w:rsidR="00385658" w:rsidRPr="005615D7" w:rsidRDefault="00385658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novi motor upotrebljava vrstu goriva ili pogonski sustav za koji se smatra da ispušta manje CO₂ od motora koji se zamjenjuje</w:t>
      </w:r>
    </w:p>
    <w:p w14:paraId="5BAA96F9" w14:textId="3314BEF7" w:rsidR="00385658" w:rsidRPr="005615D7" w:rsidRDefault="00385658" w:rsidP="00385658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ako dotična država članica mjerenjem utvrdi da novi motor ispušta 20 % manje CO₂ ili troši 20 % manje goriva od motora koji se zamjenjuje kod uobičajenog ribolovnog napora dotičnog plovila.</w:t>
      </w:r>
    </w:p>
    <w:p w14:paraId="3A6EBF00" w14:textId="76FC1C2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14205" w14:textId="2F958795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odredbe pravne osnove koje odražavaju označeni odgovor.</w:t>
      </w:r>
    </w:p>
    <w:p w14:paraId="1AE44591" w14:textId="77777777" w:rsidR="00CA7417" w:rsidRDefault="00CA7417" w:rsidP="00CA741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D78A7BF" w14:textId="6E17A3A2" w:rsidR="0048102E" w:rsidRDefault="00CA7417" w:rsidP="00CA741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 skladu s točkom (260) Smjernica potvrdite da primjenjujete Provedbenu uredbu (EU) 2022/46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>
        <w:rPr>
          <w:sz w:val="24"/>
          <w:rFonts w:ascii="Times New Roman" w:hAnsi="Times New Roman"/>
        </w:rPr>
        <w:t xml:space="preserve"> kako biste utvrdili energetski učinkovite tehnologije iz točke (259) podtočke (a) Smjernica i dodatno odredili elemente metodologije za provedbu točke (259) podtočke (c) Smjernica.</w:t>
      </w:r>
      <w:r>
        <w:rPr>
          <w:sz w:val="24"/>
          <w:rFonts w:ascii="Times New Roman" w:hAnsi="Times New Roman"/>
        </w:rPr>
        <w:t xml:space="preserve"> </w:t>
      </w:r>
    </w:p>
    <w:p w14:paraId="1BED6435" w14:textId="77777777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72977A" w14:textId="7D29FD86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4EEFE754" w14:textId="77777777" w:rsidR="00CA7417" w:rsidRP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35534" w14:textId="782E7FB3" w:rsidR="0048102E" w:rsidRDefault="00CA741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Opišite kako se ti zahtjevi primjenjuju u okviru mjere.</w:t>
      </w:r>
    </w:p>
    <w:p w14:paraId="40D0F203" w14:textId="77777777" w:rsidR="00C64658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BCEB4D" w14:textId="77777777" w:rsidR="00CA7417" w:rsidRDefault="00CA7417" w:rsidP="00CA741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B02216A" w14:textId="0F383CEC" w:rsidR="00385658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prihvatljivi troškovi uključuju samo izravne i neizravne troškove povezane sa zamjenom ili osuvremenjivanjem glavnog ili pomoćnog motora.</w:t>
      </w:r>
    </w:p>
    <w:p w14:paraId="1BC8D286" w14:textId="7777777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4131A1" w14:textId="77777777" w:rsidR="00385658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A19A3E4" w14:textId="065CD309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63A4A8" w14:textId="2377C5F1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2639F4D3" w14:textId="77777777" w:rsidR="00C64658" w:rsidRDefault="00C64658" w:rsidP="00C6465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7CD828B" w14:textId="16FFC700" w:rsidR="00252DEE" w:rsidRDefault="00252DEE" w:rsidP="006A67E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troškove koji su prihvatljivi u okviru mjere.</w:t>
      </w:r>
    </w:p>
    <w:p w14:paraId="0F07D075" w14:textId="29331F1F" w:rsidR="005B1262" w:rsidRPr="005615D7" w:rsidRDefault="005E58E1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A94DC5A" w14:textId="58AD1D2E" w:rsidR="00680544" w:rsidRDefault="00680544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maksimalni intenzitet potpore ne premašuje 40 % prihvatljivih troškova.</w:t>
      </w:r>
    </w:p>
    <w:p w14:paraId="3BA2ABAE" w14:textId="6AA0FAAA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0FA572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CBD3E66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E1A9B" w14:textId="77777777" w:rsidR="00A54529" w:rsidRDefault="00A54529" w:rsidP="00A5452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maksimalne intenzitete potpore koji su primjenjivi za mjeru.</w:t>
      </w:r>
    </w:p>
    <w:p w14:paraId="1AFF5A04" w14:textId="77777777" w:rsidR="00A54529" w:rsidRDefault="00A54529" w:rsidP="00A5452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9EED52A" w14:textId="77777777" w:rsidR="00A54529" w:rsidRDefault="00A54529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990EEE" w14:textId="12001E50" w:rsidR="00680544" w:rsidRDefault="00680544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68675"/>
      <w:r>
        <w:rPr>
          <w:sz w:val="24"/>
          <w:rFonts w:ascii="Times New Roman" w:hAnsi="Times New Roman"/>
        </w:rPr>
        <w:t xml:space="preserve">Navedite odredbe pravne osnove u kojima su utvrđeni maksimalni intenziteti potpore za mjeru.</w:t>
      </w:r>
    </w:p>
    <w:p w14:paraId="3248B8D5" w14:textId="293DB344" w:rsidR="005B1262" w:rsidRDefault="00680544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5"/>
    </w:p>
    <w:p w14:paraId="2AE78697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232613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OSTALI PODACI</w:t>
      </w:r>
    </w:p>
    <w:p w14:paraId="52786ADD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87075" w14:textId="25729BC7" w:rsidR="005615D7" w:rsidRPr="005615D7" w:rsidRDefault="005615D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sve ostale podatke koje smatrate relevantnima za ocjenu dotične mjere na temelju ovog odjeljka Smjernica.</w:t>
      </w:r>
    </w:p>
    <w:p w14:paraId="4E3CC61D" w14:textId="73F8C1E3" w:rsidR="001A718E" w:rsidRPr="00453ADA" w:rsidRDefault="005615D7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1AF70E3" w14:textId="10648239" w:rsidR="00F877C4" w:rsidRPr="00F877C4" w:rsidRDefault="00F877C4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SL C 107, 23.3.2023., str. 1.</w:t>
      </w:r>
    </w:p>
  </w:footnote>
  <w:footnote w:id="2">
    <w:p w14:paraId="047F30BE" w14:textId="77777777" w:rsidR="0053598F" w:rsidRPr="003533B1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Uredba (EU) br. 1380/2013 Europskog parlamenta i Vijeća od 11. prosinca 2013. o zajedničkoj ribarstvenoj politici, izmjeni uredaba Vijeća (EZ) br. 1954/2003 i (EZ) br. 1224/2009 i stavljanju izvan snage uredaba (EZ) br. 2371/2002 i (EZ) br. 639/2004 i Odluke Vijeća 2004/585/EZ (SL L 354, 28.12.2013., str. 22.).</w:t>
      </w:r>
      <w:r>
        <w:rPr>
          <w:rFonts w:ascii="Times New Roman" w:hAnsi="Times New Roman"/>
        </w:rPr>
        <w:t xml:space="preserve">  </w:t>
      </w:r>
    </w:p>
  </w:footnote>
  <w:footnote w:id="3">
    <w:p w14:paraId="06F30C1A" w14:textId="77777777" w:rsidR="0053598F" w:rsidRPr="000345FA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Vidjeti točke (225) i (226) Smjernica, u kojima je opisan razvoj događaja za nacionalno izvješće dostavljeno za godinu N i postupci Komisije do 31. ožujka godine N + 1.</w:t>
      </w:r>
    </w:p>
  </w:footnote>
  <w:footnote w:id="4">
    <w:p w14:paraId="3523E437" w14:textId="77777777" w:rsidR="0053598F" w:rsidRPr="001A2686" w:rsidRDefault="0053598F" w:rsidP="006A67ED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Komunikacija Komisije Europskom parlamentu i Vijeću: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Smjernice za analizu ravnoteže između ribolovnog kapaciteta i ribolovnih mogućnosti u skladu s člankom 22. Uredbe (EU) br. 1380/2013 Europskog parlamenta i Vijeća o zajedničkoj ribarstvenoj politici (COM(2014) 545 final).</w:t>
      </w:r>
      <w:r>
        <w:rPr>
          <w:rFonts w:ascii="Times New Roman" w:hAnsi="Times New Roman"/>
        </w:rPr>
        <w:t xml:space="preserve">  </w:t>
      </w:r>
    </w:p>
  </w:footnote>
  <w:footnote w:id="5">
    <w:p w14:paraId="58C82DE4" w14:textId="77777777" w:rsidR="0048102E" w:rsidRPr="009A6F32" w:rsidRDefault="0048102E" w:rsidP="006A67ED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 xml:space="preserve">Provedbena uredba Komisije (EU) 2022/46 оd 13. siječnja 2022. o provedbi Uredbe (EU) 2021/1139 Europskog parlamenta i Vijeća o uspostavi Europskog fonda za pomorstvo, ribarstvo i akvakulturu i izmjeni Uredbe (EU) 2017/1004 u pogledu utvrđivanja energetski učinkovitih tehnologija i specifikacije metodoloških elemenata za određivanje uobičajenog ribolovnog napora ribarskih plovila (SL L 9, 14.1.2022., str. 27.).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58768068">
    <w:abstractNumId w:val="1"/>
  </w:num>
  <w:num w:numId="2" w16cid:durableId="2125804502">
    <w:abstractNumId w:val="8"/>
  </w:num>
  <w:num w:numId="3" w16cid:durableId="602494903">
    <w:abstractNumId w:val="2"/>
  </w:num>
  <w:num w:numId="4" w16cid:durableId="794371816">
    <w:abstractNumId w:val="5"/>
  </w:num>
  <w:num w:numId="5" w16cid:durableId="552690427">
    <w:abstractNumId w:val="3"/>
  </w:num>
  <w:num w:numId="6" w16cid:durableId="74717403">
    <w:abstractNumId w:val="7"/>
  </w:num>
  <w:num w:numId="7" w16cid:durableId="1149859089">
    <w:abstractNumId w:val="6"/>
  </w:num>
  <w:num w:numId="8" w16cid:durableId="102111644">
    <w:abstractNumId w:val="4"/>
  </w:num>
  <w:num w:numId="9" w16cid:durableId="1368677825">
    <w:abstractNumId w:val="10"/>
  </w:num>
  <w:num w:numId="10" w16cid:durableId="8651436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136BC"/>
    <w:rsid w:val="0012764E"/>
    <w:rsid w:val="00136501"/>
    <w:rsid w:val="001A718E"/>
    <w:rsid w:val="001E09E4"/>
    <w:rsid w:val="001F0558"/>
    <w:rsid w:val="00236AD9"/>
    <w:rsid w:val="00252DEE"/>
    <w:rsid w:val="00293FA0"/>
    <w:rsid w:val="003649C9"/>
    <w:rsid w:val="00385658"/>
    <w:rsid w:val="003E0993"/>
    <w:rsid w:val="004506B7"/>
    <w:rsid w:val="00453ADA"/>
    <w:rsid w:val="0046170F"/>
    <w:rsid w:val="004629F3"/>
    <w:rsid w:val="004668F6"/>
    <w:rsid w:val="0048102E"/>
    <w:rsid w:val="004A1EA0"/>
    <w:rsid w:val="004B20D4"/>
    <w:rsid w:val="004E4D44"/>
    <w:rsid w:val="0050429C"/>
    <w:rsid w:val="0053598F"/>
    <w:rsid w:val="005615D7"/>
    <w:rsid w:val="005B1262"/>
    <w:rsid w:val="005E58E1"/>
    <w:rsid w:val="00610BCF"/>
    <w:rsid w:val="00651AE7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41A8"/>
    <w:rsid w:val="00924346"/>
    <w:rsid w:val="009725CF"/>
    <w:rsid w:val="009A6F32"/>
    <w:rsid w:val="009E1F93"/>
    <w:rsid w:val="00A02D5E"/>
    <w:rsid w:val="00A54529"/>
    <w:rsid w:val="00A56179"/>
    <w:rsid w:val="00A5779C"/>
    <w:rsid w:val="00A634A8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300A7"/>
    <w:rsid w:val="00C64658"/>
    <w:rsid w:val="00CA7417"/>
    <w:rsid w:val="00CB185C"/>
    <w:rsid w:val="00CB2D84"/>
    <w:rsid w:val="00CC04F4"/>
    <w:rsid w:val="00CE214E"/>
    <w:rsid w:val="00D01037"/>
    <w:rsid w:val="00D204B7"/>
    <w:rsid w:val="00D54834"/>
    <w:rsid w:val="00D7395D"/>
    <w:rsid w:val="00DB31EF"/>
    <w:rsid w:val="00E610A6"/>
    <w:rsid w:val="00E65A1F"/>
    <w:rsid w:val="00E76E56"/>
    <w:rsid w:val="00EE7462"/>
    <w:rsid w:val="00F56F54"/>
    <w:rsid w:val="00F6163F"/>
    <w:rsid w:val="00F741C7"/>
    <w:rsid w:val="00F877C4"/>
    <w:rsid w:val="00FC5EA9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  <w:szCs w:val="22"/>
      <w:lang w:val="hr-HR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r-HR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r-HR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1565</Words>
  <Characters>8346</Characters>
  <Application>Microsoft Office Word</Application>
  <DocSecurity>0</DocSecurity>
  <Lines>225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LAJAUSKAITE Gintare (COMP)</cp:lastModifiedBy>
  <cp:revision>5</cp:revision>
  <dcterms:created xsi:type="dcterms:W3CDTF">2024-09-05T15:20:00Z</dcterms:created>
  <dcterms:modified xsi:type="dcterms:W3CDTF">2024-09-10T10:09:00Z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