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Supplerende informationsskema om </w:t>
      </w:r>
      <w:r>
        <w:rPr>
          <w:rFonts w:ascii="Times New Roman" w:hAnsi="Times New Roman"/>
          <w:b/>
          <w:smallCaps/>
          <w:sz w:val="24"/>
        </w:rPr>
        <w:br/>
        <w:t>støtte til at råde bod på skader forårsaget af ugunstige vejrforhold, der kan sidestilles med en naturkatastrofe</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Medlemsstaterne anvender dette informationsskema ved anmeldelse af statsstøtte til at råde bod på skader forårsaget af ugunstige vejrforhold, der kan sidestilles med en naturkatastrofe, som beskrevet i del II, kapitel 1, afsnit 1.2, i retningslinjerne for statsstøtte til fiskeri- og akvakultursektoren</w:t>
      </w:r>
      <w:r w:rsidR="00BA65A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("retningslinjerne").</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Udgør foranstaltningen en på forhånd indført rammestøtteordning, som tager sigte på godtgørelse for skader forårsaget af ugunstige vejrforhold, der kan sidestilles med en naturkatastrofe?</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Hvis svaret er ja, kan spørgsmål 10 og 11 udelades.</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ja</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nej</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Bemærk, at i henhold til punkt (167) i retningslinjerne skal støtte til kompensation for skader forårsaget af andre end de i punkt (161) i retningslinjerne nævnte typer ugunstige vejrforhold, der kan sidestilles med en naturkatastrofe, anmeldes særskilt til Kommissionen.</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Ved en på forhånd indført rammestøtteordning bekræftes det, at medlemsstaten vil opfylde sin rapporteringsforpligtelse som fastsat i punkt (345) i retningslinjerne.</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hvilken type ugunstigt vejrforhold, der kan sidestilles med en naturkatastrofe, der har forårsaget, eller – ved en på forhånd indført rammestøtteordning – kan forårsage de skader, for hvilke der ydes kompensation?</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a) storme</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b) vindstød, der forårsager usædvanlig høje bølger</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c) voldsom og vedvarende regn</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d) oversvømmelser</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e) usædvanlig høje vandtemperaturer i længere perioder</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f) frost</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g) hagl</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lastRenderedPageBreak/>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h) is</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i) alvorlig tørke</w:t>
      </w:r>
    </w:p>
    <w:p w14:paraId="5121467E" w14:textId="49E203FB" w:rsidR="00FA2803" w:rsidRDefault="00DE49C9" w:rsidP="006226CE">
      <w:pPr>
        <w:spacing w:line="240" w:lineRule="auto"/>
        <w:ind w:firstLine="502"/>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rPr>
          <w:rFonts w:ascii="Times New Roman" w:hAnsi="Times New Roman"/>
          <w:sz w:val="24"/>
        </w:rPr>
        <w:tab/>
        <w:t>j) andre ugunstige vejrforhold, der kan sidestilles med en naturkatastrofe</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Giv en detaljeret beskrivelse af de pågældende ugunstige vejrforhold: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de skader, som er forårsaget af de ugunstige vejrforhold, der kan sidestilles med en naturkatastrofe, skal udgøre mere end 30 % af den gennemsnitlige årlige produktion beregnet på grundlag af de forudgående tre kalenderår eller treårsgennemsnittet baseret på den femårsperiode, der går forud for de pågældende ugunstige vejrforhold, der kan sidestilles med en naturkatastrofe, idet det bedste og det dårligste år ikke medregnes:</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ja</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nej</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Bekræft, at foranstaltningen indeholder bestemmelser om, at der skal være en direkte årsagssammenhæng mellem de ugunstige vejrforhold, der kan sidestilles med en naturkatastrofe, og den skade, som virksomheden har lidt:</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ja</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nej</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Dokumentér den direkte årsagssammenhæng mellem de ugunstige vejrforhold, der kan sidestilles med en naturkatastrofe, og den skade, som virksomheden har lidt:</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Ved tab forårsaget af ugunstige vejrforhold, der kan sidestilles med en naturkatastrofe, som ville kunne dækkes under gensidige fonde finansieret via forordning (EU) 2021/1139, begrundes det, hvorfor medlemsstaten agter at yde støtte, frem for at der betales økonomisk godtgørelse fra disse fonde.</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støtten skal ydes direkte til:</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den pågældende virksomhed</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en producentsammenslutning eller -organisation, som virksomheden er medlem af.</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Hvis støtten udbetales til en producentsammenslutning eller -organisation, bekræftes det, at støttebeløbet ikke overstiger det støttebeløb, virksomheden er berettiget til.</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Angiv tidspunktet for begivenheden, herunder start- og slutdato (alt efter omstændighederne):</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Bekræft, at foranstaltningen indføres senest tre år efter, at begivenheden har fundet sted:</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nej</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støtten skal udbetales senest fire år efter, at begivenheden har fundet sted:</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ja</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nej</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Bekræft, at de støtteberettigede omkostninger er omkostningerne ved den skade, der er lidt som en direkte følge af de ugunstige vejrforhold, der kan sidestilles med en naturkatastrofe:</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Bekræft, at skaden vil blive vurderet af:</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en offentlig myndighed</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en uafhængig ekspert. der er anerkendt af den støtteydende myndighed</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et forsikringsselskab</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Angiv navnet på det/de organer, der vurderer skaden:</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Bekræft, om skaden omfatter:</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materiel skade på aktiver (såsom bygninger, fartøjer, udstyr, maskiner, lagre og produktionsmidler)</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indkomsttab som følge af at produktionen af fiskevarer og akvakulturprodukter eller produktionsmidlerne er blevet helt eller delvist ødelagt</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begge dele, dvs. skaden omfatter både a) og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Angiv henvisning til de bestemmelser i retsgrundlaget, der afspejler det valgte svar (a), b) eller c)):</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Giv så præcis en vurdering som muligt af typen og omfanget af den skade, som virksomheden har lidt, eller – ved en på forhånd indført rammestøtteordning – kan forventes at lide:</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skaden beregnes for hver individuel støttemodtager:</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de støtteberettigede omkostninger omfatter materielle skader på aktiver, bekræftes det, at foranstaltningen indeholder bestemmelser om, at skaderne skal have forårsaget et tab på mere end 30 % af den gennemsnitlige årlige produktion beregnet på grundlag af de foregående tre kalenderår eller treårsgennemsnittet baseret på den femårsperiode, der går forud for de ugunstige vejrforhold, der kan sidestilles med en naturkatastrofe, idet det bedste og det dårligste år ikke medregnes:</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de støtteberettigede omkostninger omfatter materiel skade på aktiver, bekræftes det, at beregningen af den materielle skade baseres på reparationsomkostningerne ved det berørte aktiv eller dets økonomiske værdi, før de ugunstige vejrforhold, der kan sidestilles med en naturkatastrofe, indtraf:</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lastRenderedPageBreak/>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de støtteberettigede omkostninger omfatter materiel skade på aktiver, bekræftes det, at beregningen af den materielle skade ikke overstiger reparationsomkostningerne eller den reduktion af aktivernes markedsværdi, som de ugunstige vejrforhold, der kan sidestilles med en naturkatastrofe, har forårsaget, dvs. forskellen mellem aktivets værdi umiddelbart før og efter de ugunstige vejrforhold, der kan sidestilles med en naturkatastrofe.</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1724CE2F"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de støtteberettigede omkostninger omfatter indkomsttab, bekræftes det, at indkomsttabet beregnes i overensstemmelse med punkt (173) i retningslinjerne, dvs</w:t>
      </w:r>
      <w:r w:rsidR="003B2B07">
        <w:rPr>
          <w:rFonts w:ascii="Times New Roman" w:hAnsi="Times New Roman"/>
          <w:sz w:val="24"/>
        </w:rPr>
        <w:t>.</w:t>
      </w:r>
      <w:r>
        <w:rPr>
          <w:rFonts w:ascii="Times New Roman" w:hAnsi="Times New Roman"/>
          <w:sz w:val="24"/>
        </w:rPr>
        <w:t xml:space="preserve"> ved at trække: a) det resultat, der fremkommer ved at multiplicere den mængde fiskevarer eller akvakulturprodukter, som er produceret i året med de ugunstige vejrforhold, der kan sidestilles med en naturkatastrofe, eller i hvert efterfølgende år påvirket af ødelæggelsen af alle eller nogle af produktionsmidlerne, med den gennemsnitlige salgspris, der er opnået i dette år, fra b) det resultat, der fremkommer ved at multiplicere den gennemsnitlige årligt producerede mængde fiskevarer eller akvakulturprodukter i treårsperioden forud for de ugunstige vejrforhold, der kan sidestilles med en naturkatastrofe, eller et treårsgennemsnit baseret på femårsperioden forud for de ugunstige vejrforhold, der kan sidestilles med en naturkatastrofe, idet det bedste og det dårligste år ikke medregnes, med den gennemsnitlige salgspris, der blev opnået.</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t>Hvis svaret er ja anføres de relevante bestemmelser i retsgrundlaget:</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t>Angiv, om kompensationsbeløbet kan forhøjes med andre udgifter, som den støttemodtagende virksomhed har haft som følge af de ugunstige vejrforhold, der kan sidestilles med en naturkatastrofe:</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hvis svaret er ja, </w:t>
      </w:r>
      <w:bookmarkStart w:id="8" w:name="_Hlk126945164"/>
      <w:r>
        <w:rPr>
          <w:rFonts w:ascii="Times New Roman" w:hAnsi="Times New Roman"/>
          <w:sz w:val="24"/>
        </w:rPr>
        <w:t>angives de relevante omkostninger:</w:t>
      </w:r>
      <w:bookmarkEnd w:id="8"/>
      <w:r>
        <w:rPr>
          <w:rFonts w:ascii="Times New Roman" w:hAnsi="Times New Roman"/>
          <w:sz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Hvis svaret er ja anføres de relevante bestemmelser i retsgrundlaget:</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lastRenderedPageBreak/>
        <w:t>Bekræft, at kompensationsbeløbet reduceres med enhver udgift, som den støttemodtagende virksomhed ikke har afholdt som følge af de ugunstige vejrforhold, der kan sidestilles med en naturkatastrofe, men ellers skulle have afholdt:</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2B07">
        <w:rPr>
          <w:rFonts w:ascii="Times New Roman" w:eastAsia="Times New Roman" w:hAnsi="Times New Roman"/>
          <w:sz w:val="24"/>
        </w:rPr>
      </w:r>
      <w:r w:rsidR="003B2B07">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Hvis svaret er ja, angives de relevante omkostninger: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Bemærk, at i henhold til punkt (175) i retningslinjerne kan Kommissionen acceptere andre beregningsmetoder, forudsat at de er repræsentative, ikke er baseret på unormalt høje fangst- eller produktionsmængder og ikke fører til overkompensering af nogen støttemodtagende virksomhed.</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Hvis den anmeldende medlemsstat har til hensigt at foreslå en alternativ beregningsmetode, angives årsagen til, at den metode, der er fastsat i retningslinjerne ikke er hensigtsmæssig i det pågældende tilfælde, og der redegøres for, hvordan den alternative beregningsmetode bedre kan imødekomme det konstaterede behov:…………………………………………………………………………………</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Vedlæg den alternative metode som bilag til anmeldelsen sammen med dokumentation for, at den er repræsentativ, ikke er baseret på unormalt høje fangst- eller produktionsmængder og ikke fører til overkompensation af nogen støttemodtager. </w:t>
      </w:r>
    </w:p>
    <w:bookmarkEnd w:id="12"/>
    <w:p w14:paraId="5CE1DD02" w14:textId="21818095" w:rsidR="00F95839" w:rsidRDefault="00880E2D" w:rsidP="00880E2D">
      <w:pPr>
        <w:rPr>
          <w:rFonts w:ascii="Times New Roman" w:eastAsia="Times New Roman" w:hAnsi="Times New Roman"/>
          <w:sz w:val="24"/>
          <w:szCs w:val="24"/>
        </w:rPr>
      </w:pPr>
      <w:r>
        <w:rPr>
          <w:rFonts w:ascii="Times New Roman" w:hAnsi="Times New Roman"/>
          <w:sz w:val="24"/>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om foranstaltningen indeholder bestemmelser om, at i de tilfælde, hvor en SMV blev etableret mindre end tre år, før de ugunstige vejrforhold, der kan sidestilles med en naturkatastrofe, indtraf, forstås henvisningen til tre- eller femårsperioderne i punkt (163), litra a), og punkt (171) og (173), litra b), således, at der tages udgangspunkt i den mængde, der er produceret og solgt af en gennemsnitlig virksomhed af samme størrelse som ansøgeren (dvs. en mikrovirksomhed eller en lille eller mellemstor virksomhed) i den nationale eller regionale sektor, der er berørt af de ugunstige vejrforhold, der kan sidestilles med en naturkatastrofe:</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støtten sammen med andre modtagne betalinger til kompensation for skaden, herunder forsikringsydelser, ikke må overstige 100 % af de støtteberettigede omkostninger:</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2B07">
        <w:rPr>
          <w:rFonts w:ascii="Times New Roman" w:eastAsia="Times New Roman" w:hAnsi="Times New Roman"/>
          <w:b/>
          <w:sz w:val="24"/>
        </w:rPr>
      </w:r>
      <w:r w:rsidR="003B2B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Angiv de maksimale støtteintensiteter, der gælder for foranstaltningen:</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t>Angiv henvisning til de bestemmelser i retsgrundlaget, der fastsætter grænsen på 100 % og de maksimale støtteintensiteter under foranstaltningen:</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ANDRE OPLYSNINGER</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eventuelle andre oplysninger, der kan være relevante for vurderingen af den foranstaltning, der er omfattet af dette afsnit i retningslinjerne.</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rPr>
          <w:rFonts w:ascii="Times New Roman" w:hAnsi="Times New Roman"/>
        </w:rPr>
        <w:t xml:space="preserve"> EUT C 107 af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B2B07"/>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da-DK"/>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1556</TotalTime>
  <Pages>7</Pages>
  <Words>1719</Words>
  <Characters>11092</Characters>
  <Application>Microsoft Office Word</Application>
  <DocSecurity>0</DocSecurity>
  <Lines>277</Lines>
  <Paragraphs>143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HARMENS Maria (DGT)</cp:lastModifiedBy>
  <cp:revision>97</cp:revision>
  <dcterms:created xsi:type="dcterms:W3CDTF">2023-01-17T11:55:00Z</dcterms:created>
  <dcterms:modified xsi:type="dcterms:W3CDTF">2024-08-16T11:48:00Z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