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Papildu informācijas lapa par</w:t>
      </w:r>
      <w:r>
        <w:rPr>
          <w:rFonts w:ascii="Times New Roman" w:hAnsi="Times New Roman"/>
          <w:b/>
          <w:smallCaps/>
          <w:sz w:val="24"/>
        </w:rPr>
        <w:br/>
        <w:t>atbalstu zvejas darbību pilnīgai izbeigšanai</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zvejas darbību pilnīgai izbeigšanai paredzētu atbalstu, kas aprakstīts Pamatnostādņu par valsts atbalstu zvejniecības un akvakultūras nozarē</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3. nodaļas 3.4. iedaļā.</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Savienības zvejas kuģus, attiecībā uz kuriem atbalsts piešķirts, vismaz piecus gadus pēc atbalsta galīgā maksājuma nedrīkst nodot vai mainīt to karogu ārpus Savienības.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Ja pasākums ir saistīts tikai ar zvejas kuģu sadalīšanu, uz šo jautājumu nav jāatbild.</w:t>
      </w:r>
    </w:p>
    <w:p w14:paraId="36312EFD" w14:textId="77777777" w:rsidR="00114BDD" w:rsidRPr="00014466"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izbeigšana ir paredzēta kā Regulas (ES) Nr. 1380/2013 22. panta 4. punktā minētā rīcības plāna instruments.</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Ja pasākuma mērķis ir ekonomiski apsvērumi vai citi apsvērumi, kas saistīti ar jūras bioloģisko resursu saglabāšanu saskaņā ar Pamatnostādņu 277. punktu, uz šo jautājumu nav jāatbild. Tāpat, ja pasākums attiecas uz zveju iekšējos ūdeņos, uz šo jautājumu nav jāatbild.</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zvejas darbību pilnīga izbeigšana tiks panākta:</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zvejas kuģi sadalot;</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izņemot no ekspluatācijas un pāraprīkojot tādu darbību veikšanai, kas nav komerciālā zveja;</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veicot abas darbības, t. i., pilnīga izbeigšana tiks panākta, zvejas kuģi sadalot un izņemot no ekspluatācijas un pāraprīkojot.</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zvejas kuģiem jābūt reģistrētiem kā aktīviem kuģiem un pēdējo divu kalendāro gadu laikā pirms atbalsta pieteikuma iesniegšanas dienas jābūt veikušiem zvejas darbības vismaz 90 dienas gadā.</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37D996E8"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Ja attiecīgā zvejas darbība ir tāda, ko nevar veikt visu kalendāro gadu, Pamatnostādņu 275. punkta c) apakšpunktā noteikto minimālo prasību par zvejas darbībām drīkst samazināt ar nosacījumu, ka darbības dienu skaita un zvejošanai derīgo dienu skaita attiecība ir tāda pati kā attiecība starp visu gadu zvejojošo labuma guvēju uzņēmumu darbības dienu skaitu un kalendāro dienu skaitu gadā.</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Šādā gadījumā detalizēti aprakstiet zvejas darbības veidu, uz kuru attiecas pasākums, paskaidrojiet, kā minimālā prasība par zvejas darbībām aprēķināta, un norādiet relevanto juridiskā pamata noteikumu (noteikumus).</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Ja pasākums attiecas uz zveju iekšējos ūdeņos un ja zvejas kuģi tiek izmantoti dažādu sugu nozvejā, uz ko iekšējos ūdeņos attiecas atšķirīgs zvejošanai derīgo dienu skaits, Pamatnostādņu 276. punktā noteiktās attiecības aprēķināšanā izmantotais zvejošanai derīgo dienu skaits ir šā kuģa zvejoto sugu zvejošanai derīgo dienu vidējais skaits. Tomēr ņemiet vērā, ka šādas korekcijas rezultātā aprēķinātais minimālais zvejas darbību dienu skaits nekādā ziņā nedrīkst būt mazāks par 30 un lielāks par 90 dienām.</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Šādā gadījumā detalizēti aprakstiet tiesisko un/vai administratīvo regulējumu, kas piemērojams attiecīgajai zvejai iekšējos ūdeņos, paskaidrojiet, kā minimālā prasība par zvejas darbībām aprēķināta, un norādiet relevanto juridiskā pamata noteikumu (noteikumus).</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paredz, ka līdzvērtīga zvejas kapacitāte tiks neatgriezeniski izslēgta no Savienības zvejas flotes reģistra un ka tā netiks aizstāta.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pasākums attiecas uz zveju iekšējos ūdeņos, apstipriniet, ka šo nosacījumu piemēro ar atsauci uz relevanto valsts flotes reģistru, ja tāds pieejams saskaņā ar valsts tiesību aktiem, nevis uz Savienības flotes reģistru.</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5. vai 5.1. jautājumu ir “jā”, norādiet relevanto juridiskā pamata noteikumu (noteikumus).</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paredz, ka attiecīgās zvejas licences un zvejas atļaujas tiks galīgi anulētas.</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labuma guvēji uzņēmumi piecus gadus pēc atbalsta saņemšanas nereģistrēs nevienu zvejas kuģi.</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pasākums attiecas uz zveju iekšējos ūdeņos, apstipriniet, ka šo nosacījumu piemēro ar atsauci uz relevanto valsts flotes reģistru, ja tāds pieejams saskaņā ar valsts tiesību aktiem, nevis uz Savienības flotes reģistru.</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7. vai 7.1. jautājumu ir “jā”, norādiet relevanto juridiskā pamata noteikumu (noteikumus).</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pasākuma mērķis ir ekonomiski apsvērumi vai citi apsvērumi, kas saistīti ar jūras bioloģisko resursu saglabāšanu saskaņā ar Pamatnostādņu 277. punktu, vai ja pasākums attiecas uz zveju iekšējos ūdeņos saskaņā ar Pamatnostādņu 280. punktu, norādiet tālāk prasīto.</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Detalizēti paskaidrojiet apstākļus, kas pamato pilnīgu izbeigšanu</w:t>
      </w:r>
      <w:bookmarkEnd w:id="2"/>
      <w:r>
        <w:rPr>
          <w:rFonts w:ascii="Times New Roman" w:hAnsi="Times New Roman"/>
          <w:sz w:val="24"/>
        </w:rPr>
        <w:t>, norādot, piemēram, ekonomiskos vai vidiskos apsvērumus.</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Norādiet pasākuma mērķi:</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saglabāšanas pasākumi, kurus pamato zinātniski pierādījumi;</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ekonomiski apsvērumi.</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Attiecībā uz saglabāšanas pasākumiem sniedziet kopsavilkumu par zinātniskajiem pierādījumiem, kas pasākumu pamato.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Ekonomisku apsvērumu gadījumā sīki paskaidrojiet pilnīgas izbeigšanas ekonomisko pamatojumu (ja vien tas jau nav aprakstīts atbildē uz </w:t>
      </w:r>
      <w:r w:rsidRPr="001E103F">
        <w:rPr>
          <w:rFonts w:ascii="Times New Roman" w:eastAsia="Times New Roman" w:hAnsi="Times New Roman"/>
          <w:sz w:val="24"/>
        </w:rPr>
        <w:fldChar w:fldCharType="begin"/>
      </w:r>
      <w:r w:rsidRPr="001E103F">
        <w:rPr>
          <w:rFonts w:ascii="Times New Roman" w:eastAsia="Times New Roman" w:hAnsi="Times New Roman"/>
          <w:sz w:val="24"/>
        </w:rPr>
        <w:instrText xml:space="preserve"> REF _Ref125107693 \r \h  \* MERGEFORMAT </w:instrText>
      </w:r>
      <w:r w:rsidRPr="001E103F">
        <w:rPr>
          <w:rFonts w:ascii="Times New Roman" w:eastAsia="Times New Roman" w:hAnsi="Times New Roman"/>
          <w:sz w:val="24"/>
        </w:rPr>
      </w:r>
      <w:r w:rsidRPr="001E103F">
        <w:rPr>
          <w:rFonts w:ascii="Times New Roman" w:eastAsia="Times New Roman" w:hAnsi="Times New Roman"/>
          <w:sz w:val="24"/>
        </w:rPr>
        <w:fldChar w:fldCharType="separate"/>
      </w:r>
      <w:r w:rsidR="00814101">
        <w:rPr>
          <w:rFonts w:ascii="Times New Roman" w:eastAsia="Times New Roman" w:hAnsi="Times New Roman"/>
          <w:sz w:val="24"/>
        </w:rPr>
        <w:t>8</w:t>
      </w:r>
      <w:r w:rsidR="001E50D6">
        <w:rPr>
          <w:rFonts w:ascii="Times New Roman" w:eastAsia="Times New Roman" w:hAnsi="Times New Roman"/>
          <w:sz w:val="24"/>
        </w:rPr>
        <w:t>.1</w:t>
      </w:r>
      <w:r w:rsidRPr="001E103F">
        <w:rPr>
          <w:rFonts w:ascii="Times New Roman" w:eastAsia="Times New Roman" w:hAnsi="Times New Roman"/>
          <w:sz w:val="24"/>
        </w:rPr>
        <w:fldChar w:fldCharType="end"/>
      </w:r>
      <w:r>
        <w:rPr>
          <w:rFonts w:ascii="Times New Roman" w:hAnsi="Times New Roman"/>
          <w:sz w:val="24"/>
        </w:rPr>
        <w:t xml:space="preserve">. jautājumu).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Attiecībā uz zveju iekšējos ūdeņos apstipriniet, ka atbalstu saskaņā ar šo pasākumu var piešķirt tikai labuma guvējiem uzņēmumiem, kas darbojas tikai iekšējos ūdeņos.</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Apstipriniet, ka pasākums noteic, ka labuma guvēji uzņēmumi apņemas nepalielināt zvejas kapacitāti no atbalsta pieteikuma iesniegšanas dienas līdz dienai, kad pagājuši pieci gadi pēc atbalsta izmaksāšanas.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Apstipriniet, ka pasākums noteic, ka labuma guvēji uzņēmumi apņemas arī neizmantot atbalstu, lai aizstātu vai modernizētu dzinējus, ja vien nav izpildīti Regulas (ES)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18. pantā izklāstītie nosacījumi.</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vienu gadu pirms paziņošanas paziņotāja dalībvalsts ir piešķīrusi atbalstu vai īstenojusi darbības saskaņā ar Eiropas Jūrlietu un zivsaimniecības fondu (EJZF) vai Eiropas Jūrlietu, zvejniecības un akvakultūras fondu (EJZAF) un tā rezultātā jūras baseinā ir palielinājusies zvejas kapacitāte, vai tad, ja dalībvalsts šādas darbības ir iekļāvusi nacionālajā EJZAF programmā, detalizēti paskaidrojiet, kādā mērā atbalsts zvejas darbību pilnīgai izbeigšanai šajā jūras baseinā ir saderīgs ar šādu zvejas kapacitātes palielinājumu, sniedziet atbalsta pamatojumu un pierādiet tā obligātu nepieciešamību.</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lastRenderedPageBreak/>
        <w:t>Ja pasākums attiecas uz zveju iekšējos ūdeņos, uz šo jautājumu nav jāatbild.</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atbalsta labuma guvējus:</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to Savienības zvejas kuģu īpašnieki, uz kuriem attiecas pilnīga izbeigšana;</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zvejnieki, kas uz Savienības zvejas kuģa, uz kuru attiecas pilnīga izbeigšana, pēdējo divu kalendāro gadu laikā pirms atbalsta pieteikuma iesniegšanas gada ir strādājuši vismaz 90 dienas gadā;</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abi, t. i., labuma guvēju kategorijas ietver a) un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Paskaidrojiet, kā aprēķināts iepriekš noteiktais minimālais 90 dienu skaits zvejniekiem, ja attiecīgajiem zvejas kuģiem bija piemērojamas kādas korekcijas, ņemot vērā Pamatnostādņu 283., 276. un 281. punktu.</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zvejniekiem visas zvejas darbības jāizbeidz uz pieciem gadiem pēc atbalsta saņemšanas un ka gadījumā, ja zvejnieks minētajā laikposmā atsāk zvejas darbības, saistībā ar atbalstu nepamatoti izmaksātās summas tiks atgūtas tādā apmērā, kas ir proporcionāls laikposmam, kurā minētais nosacījums nav izpildīts.</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kontroles un izpildes panākšanas mehānismus, kas ieviesti, lai garantētu atbilstību darbības pilnīgas izbeigšanas nosacījumiem, arī lai nodrošinātu, ka kapacitāte tiek neatgriezeniski izslēgta un ka attiecīgais kuģis vai zvejnieki pēc pasākuma ir izbeiguši visas zvejas darbības. Ņemiet vērā: ja iekšējiem ūdeņiem piemērojama valsts flotes reģistra nav, dalībvalstīm jāpierāda arī tas, ka šādi kontroles un izpildes panākšanas mehānismi nodrošina kapacitātes pārvaldību, kas ir salīdzināma ar jūras zvejniecībās piemērojamo.</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jāaprēķina individuāla labuma guvēja līmenī.</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Ja atbilde ir “jā”, norādiet relevanto juridiskā pamata noteikumu (noteikumus).</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attiecināmās izmaksas:</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 zvejas kuģi nodod sadalīšanai –</w:t>
      </w:r>
    </w:p>
    <w:p w14:paraId="33430DB0" w14:textId="73B2C693"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sadalīšanas izmaksas;</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kompensācija par zvejas kuģa zaudēto vērtību, ko novērtē atbilstoši tā pašreizējai pārdošanas vērtībai;</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 kuģi izņem no ekspluatācijas un pāraprīko tādu darbību veikšanai, kas nav komerciālā zveja, – investīciju izmaksas, kas saistītas ar zvejas kuģa pārveidošanu citu saimniecisko darbību vajadzībām;</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izmaksas, kas saistītas ar zvejniekiem un var ietvert arī obligātās sociālās izmaksas, kuras izriet no pilnīgas izbeigšanas, ciktāl uz tām neattiecas citi valsts noteikumi par uzņēmējdarbības izbeigšanu.</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Norādiet juridiskā pamata noteikumu (noteikumus), kas atspoguļo atzīmēto atbildi.</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Detalizēti aprakstiet attiecināmās izmaksas.</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Apstipriniet, ka attiecināmās izmaksas jāsamazina, no tām atskaitot visas izmaksas, kas nav radušās zvejas darbību pilnīgas izbeigšanas rezultātā un labuma guvējam uzņēmumam būtu radušās arī citā gadījumā.</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14466">
        <w:rPr>
          <w:rFonts w:ascii="Times New Roman" w:eastAsia="Times New Roman" w:hAnsi="Times New Roman"/>
          <w:sz w:val="24"/>
        </w:rPr>
      </w:r>
      <w:r w:rsidR="0001446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14466">
        <w:rPr>
          <w:rFonts w:ascii="Times New Roman" w:eastAsia="Times New Roman" w:hAnsi="Times New Roman"/>
          <w:sz w:val="24"/>
        </w:rPr>
      </w:r>
      <w:r w:rsidR="0001446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2C78E3EC"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relevantās izmaksas.</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Apstipriniet, ka pasākums noteic, ka atbalsta maksimālā intensitāte nepārsniedz 100 % no attiecināmajām izmaksām.</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14466">
        <w:rPr>
          <w:rFonts w:ascii="Times New Roman" w:eastAsia="Times New Roman" w:hAnsi="Times New Roman"/>
          <w:b/>
          <w:sz w:val="24"/>
        </w:rPr>
      </w:r>
      <w:r w:rsidR="0001446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Norādiet juridiskā pamata noteikumu (noteikumus), kas nosaka maksimālo atbalsta intensitāti, kas piemērojama saskaņā ar pasākumu.</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Ņemiet vērā, ka Komisija var akceptēt citas aprēķināšanas metodes, ja ir pārliecināta, ka tās ir pamatotas ar objektīviem kritērijiem un nevienam labuma guvējam uzņēmumam nerada pārmērīgu kompensāciju.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34CCAB94"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Kā pielikumu paziņojumam iesniedziet citas ierosinātās metodikas aprakstu, kā arī pierādījumus, ka tā ir balstīta uz objektīviem kritērijiem un nevienam labuma guvējam nerada pārmērīgu kompensāciju.</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OV C 107, 23.3.2023., 1. lpp.</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Eiropas Parlamenta un Padomes Regula (ES) 2021/1139 (2021. gada 7. jūlijs), ar ko izveido Eiropas Jūrlietu, zvejniecības un akvakultūras fondu un groza Regulu (ES) 2017/1004 (OV L 247, 13.7.2021., 1. lpp.).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466"/>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7</Pages>
  <Words>1603</Words>
  <Characters>11129</Characters>
  <Application>Microsoft Office Word</Application>
  <DocSecurity>0</DocSecurity>
  <Lines>309</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66</cp:revision>
  <dcterms:created xsi:type="dcterms:W3CDTF">2023-01-05T14:31:00Z</dcterms:created>
  <dcterms:modified xsi:type="dcterms:W3CDTF">2024-07-26T10:27:00Z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