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Papildu informācijas lapa par</w:t>
      </w:r>
      <w:r>
        <w:rPr>
          <w:rFonts w:ascii="Times New Roman" w:hAnsi="Times New Roman"/>
          <w:b/>
          <w:smallCaps/>
          <w:sz w:val="24"/>
        </w:rPr>
        <w:br/>
        <w:t>atbalstu galvenā dzinēja vai palīgdzinēja nomaiņai vai modernizācijai</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par galvenā dzinēja vai palīgdzinēja nomaiņai vai modernizācijai paredzētu atbalstu, kas aprakstīts Pamatnostādņu par valsts atbalstu zvejniecības un akvakultūras nozarē</w:t>
      </w:r>
      <w:r w:rsidR="00F877C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3. nodaļas 3.2. iedaļā.</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Savienības zvejas kuģus, attiecībā uz kuriem atbalsts piešķirts, vismaz piecus gadus pēc atbalsta galīgā maksājuma nedrīkst nodot vai mainīt to karogu ārpus Savienības.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atbalstu saskaņā ar šo iedaļu piešķirs tikai tāda zvejas kuģa galvenā dzinēja vai palīgdzinēja nomaiņai vai modernizācijai, kura lielākais garums nepārsniedz 24 metrus.</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Saskaņā ar Pamatnostādņu 253. punkta a) apakšpunktu zvejas kuģiem ir jāietilpst flotes segmentā, par kuru Regulas (ES) Nr. 1380/2013</w:t>
      </w:r>
      <w:r w:rsidR="0053598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22. panta 2. punktā minētajā jaunākajā zvejas kapacitātes ziņojumā </w:t>
      </w:r>
      <w:bookmarkStart w:id="1" w:name="_Hlk127291610"/>
      <w:r>
        <w:rPr>
          <w:rFonts w:ascii="Times New Roman" w:hAnsi="Times New Roman"/>
          <w:sz w:val="24"/>
        </w:rPr>
        <w:t>(turpmāk “valsts ziņojums”)</w:t>
      </w:r>
      <w:bookmarkEnd w:id="1"/>
      <w:r>
        <w:rPr>
          <w:rFonts w:ascii="Times New Roman" w:hAnsi="Times New Roman"/>
          <w:sz w:val="24"/>
        </w:rPr>
        <w:t xml:space="preserve"> norādīts, ka minētais segments ir līdzsvarā ar tam pieejamajām zvejas iespējām.</w:t>
      </w:r>
      <w:bookmarkEnd w:id="0"/>
      <w:r>
        <w:rPr>
          <w:rFonts w:ascii="Times New Roman" w:hAnsi="Times New Roman"/>
          <w:sz w:val="24"/>
        </w:rPr>
        <w:t xml:space="preserve"> Saskaņā ar Pamatnostādņu 254. punktu to 253. punkta a) apakšpunkta vajadzībām piemēro procedūru un nosacījumus, kas izklāstīti II daļas 2. nodaļas 2.2. iedaļas 225.–227. punktā.</w:t>
      </w:r>
      <w:r>
        <w:rPr>
          <w:rFonts w:ascii="Times New Roman" w:hAnsi="Times New Roman"/>
          <w:color w:val="000000"/>
          <w:sz w:val="23"/>
        </w:rPr>
        <w:t xml:space="preserve"> </w:t>
      </w:r>
      <w:r>
        <w:rPr>
          <w:rFonts w:ascii="Times New Roman" w:hAnsi="Times New Roman"/>
          <w:sz w:val="24"/>
        </w:rPr>
        <w:t>Ņemot vērā iepriekš minēto, sniedziet šādu informāciju:</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Kad sagatavots jaunākais valsts ziņojums pirms atbalsta piešķiršanas dienas?</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Norādiet saiti uz jaunāko valsts ziņojumu vai pievienojiet to paziņojumam.</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attiecībā uz visu piešķiramo atbalstu ir izpildīti šādi nosacījumi.</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valsts ziņojums tika iesniegts līdz N gada</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31. maijam?</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Pr>
          <w:rStyle w:val="FootnoteReference"/>
          <w:rFonts w:ascii="Times New Roman" w:eastAsia="Times New Roman" w:hAnsi="Times New Roman"/>
          <w:sz w:val="24"/>
          <w:szCs w:val="24"/>
          <w:lang w:eastAsia="en-GB"/>
        </w:rPr>
        <w:footnoteReference w:id="4"/>
      </w:r>
      <w:r>
        <w:rPr>
          <w:rFonts w:ascii="Times New Roman" w:hAnsi="Times New Roman"/>
          <w:sz w:val="24"/>
        </w:rPr>
        <w:t>.</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337C4829" w:rsidR="0053598F" w:rsidRPr="005C3488" w:rsidRDefault="0053598F" w:rsidP="0053598F">
      <w:pPr>
        <w:pStyle w:val="Default"/>
        <w:ind w:left="567"/>
        <w:jc w:val="both"/>
        <w:rPr>
          <w:i/>
          <w:iCs/>
          <w:sz w:val="23"/>
          <w:szCs w:val="23"/>
        </w:rPr>
      </w:pPr>
      <w:r>
        <w:rPr>
          <w:i/>
          <w:sz w:val="23"/>
        </w:rPr>
        <w:t>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N gadā iesniegtajā valsts ziņojumā ir pierādīts, ka flotes segmentā, pie kura kuģis pieder, pastāv līdzsvars starp zvejas kapacitāti un zvejas iespējām?</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Paskaidrojiet, kā pasākuma izstrādē tika ņemts vērā valsts ziņojums un kā tika panākts līdzsvars.</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Komisija līdz N+1 gada 31. martam nav apšaubījusi:</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537BCE">
        <w:rPr>
          <w:rFonts w:ascii="Times New Roman" w:eastAsia="Times New Roman" w:hAnsi="Times New Roman"/>
          <w:sz w:val="24"/>
        </w:rPr>
      </w:r>
      <w:r w:rsidR="00537BCE">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N gadā iesniegtā valsts ziņojuma secinājumus;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537BCE">
        <w:rPr>
          <w:rFonts w:ascii="Times New Roman" w:eastAsia="Times New Roman" w:hAnsi="Times New Roman"/>
          <w:sz w:val="24"/>
        </w:rPr>
      </w:r>
      <w:r w:rsidR="00537BCE">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līdzsvara novērtējumu, kas ietverts N gadā iesniegtajā valsts ziņojumā.</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uz N gadā iesniegtā valsts ziņojuma pamata atbalstu var piešķirt tikai līdz N+1 gada 31. decembrim, t. i., nākamajam gadam pēc ziņojuma iesniegšanas gada.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Ja atbilde ir “jā”, norādiet relevanto juridiskā pamata noteikumu (noteikumus).</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Ja pasākums attiecas uz zveju iekšējos ūdeņos, uz 3.1.–3.2.6.1. jautājumu nav jāatbild.</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Apstipriniet, ka pasākums noteic, ka zvejas kuģiem Savienības zvejas flotes reģistrā jābūt bijušiem reģistrētiem vismaz piecus kalendāros gadus pirms atbalsta pieteikuma iesniegšanas gada.</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pasākums attiecas uz zveju iekšējos ūdeņos, apstipriniet, ka pasākums noteic, ka atbalstu var piešķirt tikai attiecībā uz zvejas kuģi, kura izmantošana saskaņā ar valsts tiesību aktiem sākta vismaz piecus kalendāros gadus pirms atbalsta pieteikuma iesniegšanas gada.</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4. vai 4.1. jautājumu ir “jā”, norādiet relevanto juridiskā pamata noteikumu (noteikumus).</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Saistībā ar piekrastes mazapjoma zvejas kuģiem un kuģiem, ko izmanto zvejai iekšējos ūdeņos, apstipriniet, ka pasākums noteic, ka jaunā vai modernizētā dzinēja jauda kilovatos nav lielāka par pašreizējā dzinēja jaudu.</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Saistībā ar citiem kuģiem, kuru lielākais garums nepārsniedz 24 metrus, apstipriniet, ka pasākums noteic, ka jaunā vai modernizētā dzinēja jauda kilovatos nav lielāka par pašreizējā dzinēja jaudu, un tas izdala vismaz par 20 % mazāk CO₂ salīdzinājumā ar pašreizējo dzinēju.</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zvejas kapacitāti, kas no flotes izslēgta galvenā dzinēja vai palīgdzinēja nomaiņas vai modernizācijas rezultātā, aizstāt nedrīkst.</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lastRenderedPageBreak/>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kontroles un izpildes panākšanas mehānismus, kas ieviesti, lai garantētu Pamatnostādņu II daļas 3. nodaļas 3.2. iedaļā izklāstīto nosacījumu izpildi.</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visi nomainītie vai modernizētie dzinēji ir fiziski jāverificē.</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Norādiet, kā tiks apliecināts, ka pasākuma satvarā ir panākts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jautājumā minētais CO₂ emisiju samazinājums: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ar relevanto informāciju, ko attiecīgais dzinēja ražotājs apstiprinājis, apliecinot tā atbilstību tipam, vai norādi produkta sertifikātā, ka jaunais dzinējs emitē par 20 % mazāk CO₂ nekā dzinējs, ko nomaina;</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ar relevanto informāciju, ko attiecīgais dzinēja ražotājs apstiprinājis, apliecinot tā atbilstību tipam, vai norādi produkta sertifikātā, ka jaunais dzinējs izmanto par 20 % mazāk degvielas nekā dzinējs, ko nomaina.</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Detalizēti aprakstiet izvēlēto atbildi.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Norādiet juridiskā pamata noteikumu (noteikumus), kas atspoguļo iepriekšējā jautājumā atzīmēto lodziņu</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537BCE">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relevantā informācija, ko attiecīgais dzinēja ražotājs apstiprinājis, apliecinot tā atbilstību tipam, vai produkta sertifikāts vienam vai abiem dzinējiem neļauj salīdzināt CO₂ emisijas vai degvielas patēriņu, norādiet, kā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jautājumā prasīto CO₂ emisiju samazināšanu pasākuma satvarā uzskata par panāktu: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jaunais dzinējs izmanto energoefektīvu tehnoloģiju, un vecuma starpība starp jauno dzinēju un dzinēju, ko nomaina, ir vismaz septiņi gadi;</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jaunais dzinējs izmanto tāda veida degvielu vai piedziņas sistēmu, kuru uzskata par tādu, kas emitē mazāk CO₂ nekā dzinējs, ko nomaina;</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attiecīgā dalībvalsts nosaka, ka attiecīgā kuģa parastajā zvejas piepūlē jaunais dzinējs emitē par 20 % mazāk CO₂ vai izmanto par 20 % mazāk degvielas nekā dzinējs, ko nomaina.</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B0ED06C"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Saskaņā ar Pamatnostādņu 260. punktu apstipriniet, ka piemērojat Īstenošanas regulu (ES) 2022/46</w:t>
      </w:r>
      <w:r w:rsidR="0048102E" w:rsidRPr="00CA7417">
        <w:rPr>
          <w:rStyle w:val="FootnoteReference"/>
          <w:rFonts w:ascii="Times New Roman" w:eastAsia="Times New Roman" w:hAnsi="Times New Roman"/>
          <w:sz w:val="24"/>
          <w:szCs w:val="24"/>
          <w:lang w:eastAsia="en-GB"/>
        </w:rPr>
        <w:footnoteReference w:id="5"/>
      </w:r>
      <w:r>
        <w:rPr>
          <w:rFonts w:ascii="Times New Roman" w:hAnsi="Times New Roman"/>
          <w:sz w:val="24"/>
        </w:rPr>
        <w:t>, lai noteiktu Pamatnostādņu 259. punkta a) apakšpunktā minētās energoefektīvās tehnoloģijas un sīkāk precizētu metodoloģijas elementus to 259. punkta c) apakšpunkta īstenošanas vajadzībām.</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Aprakstiet, kā pasākumā piemēro minētās prasības.</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ietver tikai tiešās un netiešās izmaksas, kas saistītas ar galvenā dzinēja vai palīgdzinēja nomaiņu vai modernizāciju.</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Detalizēti aprakstiet izmaksas, kas ir attiecināmas saskaņā ar šo pasākumu.</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atbalsta maksimālā intensitāte nepārsniedz 40 % no attiecināmajām izmaksām.</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37BCE">
        <w:rPr>
          <w:rFonts w:ascii="Times New Roman" w:eastAsia="Times New Roman" w:hAnsi="Times New Roman"/>
          <w:b/>
          <w:sz w:val="24"/>
        </w:rPr>
      </w:r>
      <w:r w:rsidR="00537BC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Norādiet juridiskā pamata noteikumu (noteikumus), kas nosaka maksimālo atbalsta intensitāti, kas piemērojama saskaņā ar pasākumu.</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OV C 107, 23.3.2023., 1. lpp.</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Sk. Pamatnostādņu 225. un 226. punktu, kuros aprakstīta N gadā iesniegtā valsts ziņojuma sagatavošanas un Komisijas rīcības secība līdz N+1 gada 31. martam.</w:t>
      </w:r>
    </w:p>
  </w:footnote>
  <w:footnote w:id="4">
    <w:p w14:paraId="3523E437" w14:textId="29884013"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Komisijas paziņojums Eiropas Parlamentam un Padomei: “Zvejas kapacitātes un zvejas iespēju līdzsvara analīzes pamatnostādnes saskaņā ar 22. pantu Eiropas Parlamenta un Padomes Regulā (ES) Nr. 1380/2013 par kopējo zivsaimniecības politiku” (COM(2014) 545 final).</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ab/>
        <w:t>Komisijas Īstenošanas regula (ES) 2022/46 (2022. gada 13. janvāris), ar kuru attiecībā uz energoefektīvu tehnoloģiju noteikšanu un zvejas kuģu parastās zvejas piepūles noteikšanas metodoloģijas elementu specificēšanu īsteno Eiropas Parlamenta un Padomes Regulu (ES) 2021/1139, ar ko izveido Eiropas Jūrlietu, zvejniecības un akvakultūras fondu un groza Regulu (ES) 2017/1004 (OV L 9, 14.1.2022., 27.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37BCE"/>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1218</Words>
  <Characters>8222</Characters>
  <Application>Microsoft Office Word</Application>
  <DocSecurity>0</DocSecurity>
  <Lines>222</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6</cp:revision>
  <dcterms:created xsi:type="dcterms:W3CDTF">2024-09-05T15:20:00Z</dcterms:created>
  <dcterms:modified xsi:type="dcterms:W3CDTF">2024-09-12T07:34:00Z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