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Kiegészítő adatlap </w:t>
      </w:r>
      <w:r>
        <w:rPr>
          <w:rFonts w:ascii="Times New Roman" w:hAnsi="Times New Roman"/>
          <w:b/>
          <w:smallCaps/>
          <w:sz w:val="24"/>
        </w:rPr>
        <w:br/>
        <w:t>a halászati tevékenység ideiglenes szüneteltetéséhez nyújtott támogatásról</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A tagállamoknak ezt a formanyomtatványt kell használniuk a halászati és akvakultúra-ágazat számára nyújtott állami támogatásokról szóló iránymutatás</w:t>
      </w:r>
      <w:r w:rsidR="00AF67F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(a továbbiakban: iránymutatás) II. része 3. fejezetének 3.5. szakaszában leírt, a halászati tevékenység ideiglenes szüneteltetéséhez nyújtott állami támogatások bejelentéséhez.</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Kérjük, erősítse meg, hogy az intézkedés előírja, hogy a támogatásban részesülő uniós halászhajókat a támogatás egyenlegkifizetésétől számított legalább öt évig nem szabad harmadik ország részére átadni vagy harmadik ország lobogójával átlobogózni.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Kérjük, nevezze meg az esetet, amelynek vonatkozásában támogatást nyújtanak a halászati tevékenységek ideiglenes szüneteltetéséhez: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az 1380/2013/EU rendelet</w:t>
      </w:r>
      <w:r w:rsidR="00C5244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7. cikke (1) bekezdésének a), b), c), i) és j) pontjában említett állományvédelmi intézkedések, vagy adott esetben a regionális halászati gazdálkodási szervezetek által elfogadott, azokkal egyenértékű állományvédelmi intézkedések, feltéve, hogy a közös halászati politikának az 1380/2013/EU rendelet 2. cikkének (2) bekezdésében és 2. cikke (5) bekezdésének a) pontjában meghatározott célkitűzései elérése érdekében tudományos szakvélemény alapján csökkenteni kell a halászati erőkifejtést</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az 1380/2013/EU rendelet 12. cikke szerinti bizottsági intézkedések megléte a tengerek biológiai erőforrásait súlyosan fenyegető veszély esetén</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az 1380/2013/EU rendelet 13. cikke szerinti tagállami szükséghelyzeti intézkedések megléte</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 valamely fenntartható halászati partnerségi megállapodás vagy az ahhoz csatolt jegyzőkönyv alkalmazásának vis maior miatti megszakítása</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 olyan környezeti események vagy egészségügyi válságok, amelyeket az adott tagállam illetékes hatóságai hivatalosan elismertek</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adjon részletes leírást a szóban forgó intézkedésekről, eseményekről vagy válságokról, és adott esetben nevezze meg a jogalapnak az említett eseményeket hivatalosan elismerő vonatkozó rendelkezését/rendelkezéseit.</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71F3AA3D"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Ha az intézkedés belvízi halászatra vonatkozik, ez a kérdés tárgytalan, lásd helyette a</w:t>
      </w:r>
      <w:r w:rsidR="008842E5">
        <w:rPr>
          <w:rFonts w:ascii="Times New Roman" w:hAnsi="Times New Roman"/>
          <w:i/>
          <w:sz w:val="24"/>
        </w:rPr>
        <w:t>z</w:t>
      </w:r>
      <w:r>
        <w:rPr>
          <w:rFonts w:ascii="Times New Roman" w:hAnsi="Times New Roman"/>
          <w:i/>
          <w:sz w:val="24"/>
        </w:rPr>
        <w:t xml:space="preserve">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sidR="008842E5">
        <w:rPr>
          <w:rFonts w:ascii="Times New Roman" w:eastAsia="Times New Roman" w:hAnsi="Times New Roman"/>
          <w:i/>
          <w:sz w:val="24"/>
        </w:rPr>
        <w:t>5</w:t>
      </w:r>
      <w:r>
        <w:rPr>
          <w:rFonts w:ascii="Times New Roman" w:eastAsia="Times New Roman" w:hAnsi="Times New Roman"/>
          <w:i/>
          <w:sz w:val="24"/>
        </w:rPr>
        <w:t>.</w:t>
      </w:r>
      <w:r>
        <w:rPr>
          <w:rFonts w:ascii="Times New Roman" w:eastAsia="Times New Roman" w:hAnsi="Times New Roman"/>
          <w:i/>
          <w:sz w:val="24"/>
        </w:rPr>
        <w:t>2</w:t>
      </w:r>
      <w:r>
        <w:rPr>
          <w:rFonts w:ascii="Times New Roman" w:eastAsia="Times New Roman" w:hAnsi="Times New Roman"/>
          <w:i/>
          <w:sz w:val="24"/>
        </w:rPr>
        <w:fldChar w:fldCharType="end"/>
      </w:r>
      <w:r>
        <w:rPr>
          <w:rFonts w:ascii="Times New Roman" w:hAnsi="Times New Roman"/>
          <w:i/>
          <w:sz w:val="24"/>
        </w:rPr>
        <w:t>. kérdést.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támogatás csak akkor nyújtható, ha az érintett hajó vagy halász halászati tevékenységét egy adott naptári évben legalább 30 napra leállítja.</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kik a támogatás kedvezményezettjei:</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olyan uniós halászhajók tulajdonosai vagy üzemeltetői, amelyeket aktív hajóként lajstromoztak, és a támogatási kérelem benyújtásának évét megelőző utolsó két naptári évben legalább 120 napot töltöttek halászati tevékenység végzésével</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 xml:space="preserve">b) a belvízi halászat </w:t>
      </w:r>
      <w:proofErr w:type="gramStart"/>
      <w:r>
        <w:rPr>
          <w:rFonts w:ascii="Times New Roman" w:hAnsi="Times New Roman"/>
          <w:sz w:val="24"/>
        </w:rPr>
        <w:t>tekintetében:  olyan</w:t>
      </w:r>
      <w:proofErr w:type="gramEnd"/>
      <w:r>
        <w:rPr>
          <w:rFonts w:ascii="Times New Roman" w:hAnsi="Times New Roman"/>
          <w:sz w:val="24"/>
        </w:rPr>
        <w:t xml:space="preserve"> uniós halászhajók tulajdonosai vagy üzemeltetői, amelyeket aktív hajóként lajstromoztak a nemzeti halászflotta-nyilvántartásban (amennyiben az a nemzeti jog szerint alkalmazandó), és a támogatási kérelem benyújtásának évét megelőző utolsó két naptári évben legalább 120 napot töltöttek halászati tevékenység végzésével</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azok a halászok, akik az ideiglenes szüneteltetés által érintett uniós halászhajó fedélzetén dolgoztak a támogatási kérelem benyújtásának évét megelőző két naptári évben legalább 120 napig</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 azok a partról történő halászatot folytató halászok, akik a támogatási kérelem benyújtásának évét megelőző utolsó két naptári évben legalább 120 napot töltöttek halászati tevékenység végzésével</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nevezze meg a jogalap azon rendelkezését/rendelkezéseit, amely(ek) tükrözi(k) a válaszát.</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lastRenderedPageBreak/>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Ha az adott halászati tevékenység olyan jellegű, hogy azt nem lehet az egész naptári évben folytatni, az iránymutatás (295) pontjában meghatározott, a halászati tevékenységre vonatkozó minimumkövetelmény lecsökkenthető mindaddig, amíg az aktív napok számának és a halászatra alkalmas napok számának aránya megegyezik az egész évben halászatot folytató kedvezményezett vállalkozások esetében a halászati tevékenységgel töltött napok számának és az adott naptári év napjai számának arányával.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Ebben az esetben kérjük, részletezze az intézkedés által érintett halászati tevékenység jellegét, fejtse ki, hogyan számították ki a halászati tevékenységre vonatkozó minimumkövetelményt, és nevezze meg a jogalap vonatkozó rendelkezését/rendelkezéseit.</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Ha az intézkedés belvízi halászatot érint, és a halászhajó vagy a halász több olyan faj kifogására szakosodott, amelyek esetében a szárazföldi vizeken engedélyezett, halászatra alkalmas napok száma eltér, az iránymutatás (296) pontja szerinti arány kiszámításához a halászatra alkalmas napok száma az adott hajó vagy halász fogásaihoz engedélyezett, halászatra alkalmas napok számának az átlaga. Mindazonáltal szem előtt kell tartani, hogy az említett kiigazításból fakadó, halászati tevékenységgel töltött napok minimális száma semmilyen esetben sem lehet 40 napnál kevesebb vagy 120 napnál több.</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Ilyen esetben kérjük, részletezze az érintett belvízi halászati tevékenységre alkalmazandó jogi és/vagy közigazgatási keretrendszert, fejtse ki, hogyan számították ki a halászati tevékenységre vonatkozó minimumkövetelményt, és nevezze meg a jogalap vonatkozó rendelkezését/rendelkezéseit.</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Ha az intézkedés belvízi halászatra vonatkozik, kérjük, térjen ki a következőkre: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Kérjük, erősítse meg, hogy az intézkedés keretében csak olyan kedvezményezett vállalkozások részesülhetnek támogatásban, amelyek kizárólag a szárazföldi vizeken folytatnak tevékenységet.</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Kérjük, nevezze meg az intézkedés célját:</w:t>
      </w:r>
      <w:bookmarkEnd w:id="1"/>
    </w:p>
    <w:p w14:paraId="75FB80D2" w14:textId="64BB626D" w:rsidR="00767FA5" w:rsidRPr="008842E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tudományos bizonyítékokkal alátámasztott állományvédelmi intézkedések</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olyan környezeti események vagy egészségügyi válságok, amelyeket az adott tagállam illetékes hatóságai hivatalosan elismertek</w:t>
      </w:r>
    </w:p>
    <w:p w14:paraId="12F25940" w14:textId="7656AFE8" w:rsidR="00767FA5" w:rsidRPr="008842E5"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Állományvédelmi intézkedések esetén kérjük, foglalja össze az intézkedést alátámasztó tudományos bizonyítékokat.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Események vagy válságok esetén kérjük, adjon részletes leírást a szóban forgó eseményekről vagy válságokról, és nevezze meg a jogalapnak az említett eseményeket hivatalosan elismerő vonatkozó rendelkezését/rendelkezéseit.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támogatás az Európai Tengerügyi, Halászati és Akvakultúra-alap programozási időszakában hajónként vagy halászonként legfeljebb 12 hónapos időtartamra nyújtható, függetlenül a finanszírozási forrástól, vagyis attól, hogy a támogatás tagállami finanszírozással vagy az (EU) 2021/1139 rendelet</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21. cikke alapján társfinanszírozással történik.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 bejelentő tagállam eleget tesz az iránymutatás (346) pontjában meghatározott jelentéstételi kötelezettségnek.</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az érintett hajó vagy halász valamennyi halászati tevékenységét ténylegesen fel kell függeszteni a halászati tevékenységek ideiglenes szüneteltetése által érintett időszakban.</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Kérjük, ismertesse részletesen az ideiglenes szüneteltetéshez kapcsolódó feltételeknek való megfelelés garantálása érdekében érvényben lévő ellenőrzési és végrehajtási </w:t>
      </w:r>
      <w:r>
        <w:rPr>
          <w:rFonts w:ascii="Times New Roman" w:hAnsi="Times New Roman"/>
          <w:sz w:val="24"/>
        </w:rPr>
        <w:lastRenderedPageBreak/>
        <w:t>mechanizmusokat, beleértve annak biztosítását, hogy az érintett hajók, illetve halászok az intézkedés által érintett időszakban ideiglenesen szüneteltessék halászati tevékenységüket.</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az elszámolható költségeket:</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a halászati tevékenység ideiglenes szüneteltetése miatti bevételkiesés</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a halászati tevékenység ideiglenes szüneteltetése alatt használaton kívüli eszközök karbantartásával és állagmegóvásával kapcsolatos egyéb költségek</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mindkettő, azaz az elszámolható költségek egyaránt magában foglalják az a) és a b) pontban említetteket</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Kérjük, nevezze meg a jogalap azon rendelkezését/rendelkezéseit, amely(ek) tükrözi(k) a válaszát.</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elszámolható költségek nagyságát az egyedi kedvezményezettek szintjén kell kiszámítani.</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Kérjük, erősítse meg, hogy a bevételkiesést az iránymutatás (304) pontja szerint kell kiszámítani, azaz: a) halászati tevékenység ideiglenes szüneteltetésének évében előállított halászati termékek mennyisége és az adott évben realizált átlagos értékesítési ár szorzataként kapott eredményt le kell vonni a következőből: b) a halászati tevékenység ideiglenes szüneteltetését megelőző három évben előállított halászati termékek éves átlagos mennyisége – vagy a halászati tevékenység ideiglenes szüneteltetését megelőző ötéves időszakból a legmagasabb és a legalacsonyabb érték kizárásával képzett hároméves átlagos mennyisége – és a realizált átlagos értékesítési ár szorzata.</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 xml:space="preserve">Kérjük, erősítse meg, hogy a halászati tevékenység ideiglenes szüneteltetése alatt használaton kívüli eszközök karbantartásával és állagmegóvásával kapcsolatos költségeket a halászati tevékenység ideiglenes szüneteltetését megelőző három évben felmerülő költségek átlaga vagy a halászati tevékenység ideiglenes szüneteltetését </w:t>
      </w:r>
      <w:r>
        <w:rPr>
          <w:rFonts w:ascii="Times New Roman" w:hAnsi="Times New Roman"/>
          <w:sz w:val="24"/>
        </w:rPr>
        <w:lastRenderedPageBreak/>
        <w:t>megelőző ötéves időszakból a legmagasabb és a legalacsonyabb érték kizárásával képzett hároméves átlag alapján kell kiszámítani.</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Kérjük, fejtse ki, hogy az elszámolható költségek tartalmazhatják-e azokat az egyéb költségeket, amelyek a halászati tevékenység ideiglenes szüneteltetése miatt felmerültek a kedvezményezett vállalkozásnál.</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Ha a válasz „igen”, </w:t>
      </w:r>
      <w:bookmarkStart w:id="5" w:name="_Hlk126945164"/>
      <w:r>
        <w:rPr>
          <w:rFonts w:ascii="Times New Roman" w:hAnsi="Times New Roman"/>
          <w:sz w:val="24"/>
        </w:rPr>
        <w:t>kérjük, nevezze meg a vonatkozó költségeket</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Ha a válasz „igen”, kérjük, nevezze meg a jogalap vonatkozó rendelkezését/rendelkezéseit.</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Kérjük, erősítse meg, hogy az elszámolható költségekből le kell vonni minden olyan költséget, amely a halászati tevékenység ideiglenes szüneteltetése miatt nem merült fel, de egyébként felmerült volna a kedvezményezett vállalkozásnál.</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Ha a válasz „igen”, kérjük, nevezze meg a vonatkozó költségeket.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Ha a válasz „igen”, kérjük, nevezze meg a jogalap vonatkozó rendelkezését/rendelkezéseit.</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Kérjük, erősítse meg, hogy az intézkedés előírja, hogy amennyiben egy hajót az ideiglenes szüneteltetés alatt kereskedelmi halászattól eltérő tevékenységre használnak, az ebből származó bevételt be kell vallani és le kell vonni az e szakasz alapján nyújtott támogatásból, valamint nem nyújtható támogatás a halászati tevékenység ideiglenes szüneteltetése alatt használaton kívüli eszközök karbantartásával és állagmegóvásával kapcsolatos más költségekre.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vegye figyelembe, hogy a Bizottság elfogadhat más számítási módszereket is, feltéve, hogy megbizonyosodott arról, hogy azok objektív kritériumokon alapulnak és nem eredményeznek túlkompenzálást egyik kedvezményezett vállalkozás esetében sem.</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Ha a bejelentő tagállam más számítási módszert kíván javasolni, kérjük, indokolja meg, hogy az iránymutatásban meghatározott módszer miért nem megfelelő a szóban forgó esetben, és fejtse ki, miként kezeli a másféle számítási módszer megfelelőbben az azonosított igényeket.</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Kérjük, a bejelentés mellékleteként nyújtsa be a javasolt másféle módszert, valamint annak igazolását, hogy az objektív kritériumokon alapul és nem eredményez túlkompenzálást egyik kedvezményezett esetében sem.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előírja-e az intézkedés, hogy amennyiben egy kkv-t a halászati tevékenység ideiglenes szüneteltetésének kezdő időpontjából számított három éven belül hoztak létre, az iránymutatás (304) pontjának b) alpontjában és (305) pontjában szereplő három- vagy ötéves időtartamra való hivatkozást (lásd a fenti 9.3. és 9.4. kérdést) úgy kell értelmezni, hogy az a halászati tevékenység ideiglenes szüneteltetése által érintett nemzeti vagy regionális ágazatban működő, a támogatást igénylővel megegyező méretű átlagos vállalkozás – mikro-, kis- vagy középvállalkozás – által előállított és értékesített mennyiségre vagy a vállalkozás felmerült költségeire utal.</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 halászati tevékenység ideiglenes szüneteltetése céljából folyósított támogatási és egyéb kifizetések – a biztosítási kötvény alapján történő kifizetéseket is beleértve – nem haladhatják meg az elszámolható költségek 100 %-át</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42E5">
        <w:rPr>
          <w:rFonts w:ascii="Times New Roman" w:eastAsia="Times New Roman" w:hAnsi="Times New Roman"/>
          <w:b/>
          <w:sz w:val="24"/>
        </w:rPr>
      </w:r>
      <w:r w:rsidR="008842E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nem</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Kérjük, adja meg az intézkedés keretében alkalmazandó maximális támogatási intenzitás(oka)t.</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Kérjük, nevezze meg az intézkedésre vonatkozóan a jogalap 100 %-os határt és maximális támogatási intenzitást meghatározó rendelkezését/rendelkezéseit.</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lastRenderedPageBreak/>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EGYÉB INFORMÁCIÓK</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van olyan egyéb információ, amelyet lényegesnek tart az intézkedésnek az iránymutatás e szakasza szerinti értékeléséhez, kérjük, adja meg.</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HL C 107., 2023.3.23., 1. o.</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Az Európai Parlament és a Tanács 1380/2013/EU rendelete (2013. december 11.) a közös halászati politikáról, az 1954/2003/EK és az 1224/2009/EK tanácsi rendelet módosításáról, valamint a 2371/2002/EK és a 639/2004/EK tanácsi rendelet és a 2004/585/EK tanácsi határozat hatályon kívül helyezéséről (HL L 354., 2013.12.28., 22. o.).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Az Európai Parlament és a Tanács (EU) 2021/1139 rendelete (2021. július 7.) az Európai Tengerügyi, Halászati és Akvakultúra-alap létrehozásáról és az (EU) 2017/1004 rendelet módosításáról (HL L 247., 2021.7.13.,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842E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8</Pages>
  <Words>1782</Words>
  <Characters>13302</Characters>
  <Application>Microsoft Office Word</Application>
  <DocSecurity>0</DocSecurity>
  <Lines>332</Lines>
  <Paragraphs>126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V NAGY Ildiko (DGT)</cp:lastModifiedBy>
  <cp:revision>78</cp:revision>
  <dcterms:created xsi:type="dcterms:W3CDTF">2023-01-05T14:31:00Z</dcterms:created>
  <dcterms:modified xsi:type="dcterms:W3CDTF">2024-09-10T09:34:00Z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