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Ficha de información suplementaria sobre</w:t>
      </w:r>
      <w:r>
        <w:t xml:space="preserve"> </w:t>
      </w:r>
      <w:r>
        <w:br/>
      </w:r>
      <w:r>
        <w:rPr>
          <w:rFonts w:ascii="Times New Roman" w:hAnsi="Times New Roman"/>
          <w:b/>
          <w:smallCaps/>
          <w:sz w:val="24"/>
        </w:rPr>
        <w:t>las ayudas para la sustitución o modernización de un motor principal o auxiliar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para la sustitución o modernización de un motor principal o auxiliar de buques de pesca, según lo descrito en la sección 3.2 del capítulo 3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(«las Directrices»).</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prescribe que los buques de pesca de la Unión con respecto a los que se concede la ayuda no se transferirán ni se reabanderarán con pabellón de fuera de la Unión durante al menos cinco años desde el pago final de la ayuda.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las ayudas solo podrán concederse para la sustitución o modernización de un motor principal o auxiliar de un buque de pesca de hasta veinticuatro metros de eslora total.</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Con arreglo al punto 253, letra a) de las Directrices, los buques de pesca deben pertenecer a un segmento de la flota respecto del cual el último informe sobre capacidad pesquera a que se refiere el artículo 22, apartado 2, del Reglamento (UE) n.º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muestre equilibrio con las posibilidades de pesca disponibles para dicho segmento </w:t>
      </w:r>
      <w:bookmarkStart w:id="1" w:name="_Hlk127291610"/>
      <w:r>
        <w:rPr>
          <w:rFonts w:ascii="Times New Roman" w:hAnsi="Times New Roman"/>
          <w:sz w:val="24"/>
        </w:rPr>
        <w:t>(en lo sucesivo, «informe nacional»)</w:t>
      </w:r>
      <w:bookmarkEnd w:id="1"/>
      <w:r>
        <w:rPr>
          <w:rFonts w:ascii="Times New Roman" w:hAnsi="Times New Roman"/>
          <w:sz w:val="24"/>
        </w:rPr>
        <w:t>.</w:t>
      </w:r>
      <w:bookmarkEnd w:id="0"/>
      <w:r>
        <w:rPr>
          <w:rFonts w:ascii="Times New Roman" w:hAnsi="Times New Roman"/>
          <w:sz w:val="24"/>
        </w:rPr>
        <w:t xml:space="preserve"> Con arreglo al punto 254 de las Directrices,</w:t>
      </w:r>
      <w:r>
        <w:rPr>
          <w:rFonts w:ascii="Times New Roman" w:hAnsi="Times New Roman"/>
        </w:rPr>
        <w:t xml:space="preserve"> </w:t>
      </w:r>
      <w:r>
        <w:rPr>
          <w:rFonts w:ascii="Times New Roman" w:hAnsi="Times New Roman"/>
          <w:color w:val="000000"/>
          <w:sz w:val="23"/>
        </w:rPr>
        <w:t xml:space="preserve">el procedimiento y las condiciones que se establecen en los puntos 225 a 227, de la sección 2.2, del capítulo 2 de la parte II se aplican a efectos del punto 253, letra a). </w:t>
      </w:r>
      <w:r>
        <w:rPr>
          <w:rFonts w:ascii="Times New Roman" w:hAnsi="Times New Roman"/>
          <w:sz w:val="24"/>
        </w:rPr>
        <w:t>En este contexto, deben abordarse las siguientes cuestiones:</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¿Cuándo se elaboró el informe nacional más reciente anterior a la fecha de concesión de la ayuda?</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el enlace al último informe nacional o adjúntelo a la notificación.</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se cumplen las condiciones siguientes para todas las ayudas que se concederán:</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se presentó el 31 de mayo del año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el informe nacional presentado en el año N, y en particular su evaluación del equilibrio, ha sido elaborado sobre la base de los indicadores biológicos, económicos y de uso del buque establecidos en las directrices comunes</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 que se refiere el artículo 22, apartado 2, del Reglamento (UE) n.º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sz w:val="23"/>
        </w:rPr>
        <w:t xml:space="preserve">Tenga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presentado en el año N demuestra que existe un equilibrio entre la capacidad pesquera y las posibilidades de pesca en el segmento de la flota al que el buque pertenece?</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de qué forma se tuvo en cuenta el informe nacional al diseñar la medida y cómo se alcanza el equilibrio.</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Comisión no ha puesto en tela de juicio a 31 de marzo del año N+1:</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3932">
        <w:rPr>
          <w:rFonts w:ascii="Times New Roman" w:eastAsia="Times New Roman" w:hAnsi="Times New Roman"/>
          <w:sz w:val="24"/>
        </w:rPr>
      </w:r>
      <w:r w:rsidR="0074393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la conclusión del informe nacional presentado en el año N;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3932">
        <w:rPr>
          <w:rFonts w:ascii="Times New Roman" w:eastAsia="Times New Roman" w:hAnsi="Times New Roman"/>
          <w:sz w:val="24"/>
        </w:rPr>
      </w:r>
      <w:r w:rsidR="0074393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la evaluación del equilibrio incluida en el informe nacional presentado en el año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establece que las ayudas podrán concederse sobre la base del informe nacional presentado en el año N solo hasta el 31 de diciembre del año N+1, es decir, el año posterior al año de presentación del informe.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Si la medida hace referencia a la pesca en aguas interiores, no es necesario responder a las preguntas 3.1-3.2.6.1.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Confirme que la medida establece que los buques de pesca deben haber estado inscritos en el registro de la flota pesquera de la Unión durante, como mínimo, los cinco años civiles anteriores al año de presentación de la solicitud de ayuda.</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medida hace referencia a la pesca en aguas interiores, confirme que la medida establece que las ayudas solo podrán concederse en relación con un buque de pesca que haya estado en servicio, de conformidad con el Derecho nacional, durante al menos los cinco años civiles anteriores al año de presentación de la solicitud de ayuda.</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4 o 4.1 es «sí», especifique las disposiciones pertinentes de la base jurídica.</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En el caso de los buques de pesca costera artesanal y de los buques destinados a la pesca interior, confirme que la medida establece que el motor nuevo o modernizado no tenga más potencia, expresada en kW, que la del motor actual.</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En el caso de otros buques de hasta 24 metros de eslora total, confirme que la medida establece que el motor nuevo o modernizado no tenga más potencia, expresada en kW, que la del motor actual y emita al menos un 20 % menos de CO₂ que el motor actual.</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Si la respuesta es «sí», especifique las disposiciones pertinentes de la base jurídica.</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capacidad pesquera retirada debido a la sustitución o modernización de un motor principal o auxiliar no debe sustituirse.</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con detalle los mecanismos de control y observancia disponibles para garantizar el cumplimiento de las condiciones establecidas en la sección 3.2 del capítulo 3, parte II de las Directrices.</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todos los motores sustituidos o modernizados deben someterse a una verificación física.</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de qué forma la reducción de las emisiones de CO₂ mencionada en la pregunta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se cumplirá conforme a la medida: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mediante la información pertinente certificada por el fabricante del motor en cuestión como parte de una homologación de tipo o un certificado de producto que indique que el nuevo motor emite un 20 % menos de CO₂ que el motor sustituido;</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mediante la información pertinente certificada por el fabricante del motor en cuestión como parte de una homologación de tipo o un certificado de producto que indique que el nuevo motor utiliza un 20 % menos de combustible que el motor sustituido.</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Describa detalladamente la opción seleccionada.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Especifique las disposiciones de la base jurídica que reflejen la casilla seleccionada en respuesta a la pregunta anterior</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743932">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Cuando la información pertinente certificada por el fabricante del motor en cuestión como parte de una homologación de tipo o un certificado de producto para uno o ambos motores no permita comparar las emisiones de CO₂ o el consumo de combustible, confirme de qué </w:t>
      </w:r>
      <w:r>
        <w:rPr>
          <w:rFonts w:ascii="Times New Roman" w:hAnsi="Times New Roman"/>
          <w:sz w:val="24"/>
        </w:rPr>
        <w:lastRenderedPageBreak/>
        <w:t xml:space="preserve">forma se considerará que se cumple la reducción de las emisiones de CO₂ mencionada en la pregunta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con arreglo a la medida: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el nuevo motor utiliza una tecnología eficiente desde el punto de vista energético y la diferencia de edad entre el nuevo motor y el motor sustituido es de al menos siete años;</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el nuevo motor utiliza un tipo de combustible o un sistema de propulsión que se considera que emite menos CO₂ que el motor sustituido;</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el Estado miembro de que se trate determina que el nuevo motor emite un 20 % menos de CO₂ o utiliza un 20 % menos de combustible que el motor sustituido bajo el esfuerzo pesquero normal del buque en cuestión.</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9F6C8A5"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Con arreglo al punto 260 de las Directrices, confirme que aplica el Reglamento de Ejecución (UE) 2022/46</w:t>
      </w:r>
      <w:r>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para determinar las tecnologías eficientes desde el punto de vista energético a que hace referencia el punto 259, letra a), de las Directrices y especificar con mayor detalle los elementos metodológicos para la aplicación del punto 259, letra c).</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Describa de qué modo la medida aplica estos requisitos.</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solo incluirán los costes directos e indirectos relacionados con la sustitución o modernización de un motor principal o auxiliar.</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Facilite una descripción detallada de los costes subvencionables con arreglo a la medida.</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prescribe que la intensidad máxima de la ayuda debe limitarse al 40 % de los costes subvencionables.</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3932">
        <w:rPr>
          <w:rFonts w:ascii="Times New Roman" w:eastAsia="Times New Roman" w:hAnsi="Times New Roman"/>
          <w:b/>
          <w:sz w:val="24"/>
        </w:rPr>
      </w:r>
      <w:r w:rsidR="00743932">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Especifique las disposiciones de la base jurídica que establecen las intensidades máximas de ayuda.</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se considere pertinente para la evaluación de la medida con arreglo a la presente sección de las Directrices.</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DO C 107 de 23.3.2023, p. 1</w:t>
      </w:r>
    </w:p>
  </w:footnote>
  <w:footnote w:id="2">
    <w:p w14:paraId="047F30BE" w14:textId="749DBCE9"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Consultar los puntos 225 y 226 de las Directrices que describen las secuencias del informe nacional presentado en el año N y la acción de la Comisión a 31 de marzo del año N+1.</w:t>
      </w:r>
    </w:p>
  </w:footnote>
  <w:footnote w:id="4">
    <w:p w14:paraId="3523E437" w14:textId="5C4CDEBD"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Reglamento de Ejecución (UE) 2022/46 de la Comisión, de 13 de enero de 2022, por el que se aplica el Reglamento (UE) 2021/1139 del Parlamento Europeo y del Consejo, por el que se establece el Fondo Europeo Marítimo, de Pesca y de Acuicultura, y por el que se modifica el Reglamento (UE) 2017/1004, en lo que respecta a la determinación de tecnologías eficientes desde el punto de vista energético y a la especificación de elementos metodológicos para determinar el esfuerzo pesquero normal de los buques de pesca (DO L 9 de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revisionView w:markup="0"/>
  <w:defaultTabStop w:val="720"/>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23F40"/>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43932"/>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1688</Words>
  <Characters>8851</Characters>
  <Application>Microsoft Office Word</Application>
  <DocSecurity>0</DocSecurity>
  <Lines>239</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MARTINEZ MARTOS Dolores (DGT)</cp:lastModifiedBy>
  <cp:revision>7</cp:revision>
  <dcterms:created xsi:type="dcterms:W3CDTF">2024-09-05T15:20:00Z</dcterms:created>
  <dcterms:modified xsi:type="dcterms:W3CDTF">2024-09-16T09:49:00Z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