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C11F84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76481BBA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3.6</w:t>
      </w:r>
    </w:p>
    <w:p w14:paraId="7788A656" w14:textId="65EB0574" w:rsidR="005615D7" w:rsidRPr="001E103F" w:rsidRDefault="005615D7" w:rsidP="00CB5265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364" w:hanging="4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Scheda di informazioni supplementari sugli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aiuti alla liquidità a favore dei pescatori</w:t>
      </w:r>
    </w:p>
    <w:p w14:paraId="50622FA5" w14:textId="706117CE" w:rsidR="005615D7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DB2582" w14:textId="77777777" w:rsidR="00C11F84" w:rsidRPr="001E103F" w:rsidRDefault="00C11F84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68F8E7" w14:textId="233DCFEA" w:rsidR="0004714A" w:rsidRPr="0004714A" w:rsidRDefault="0004714A" w:rsidP="00681261">
      <w:pPr>
        <w:pStyle w:val="Default"/>
        <w:jc w:val="both"/>
        <w:rPr>
          <w:i/>
          <w:iCs/>
        </w:rPr>
      </w:pPr>
      <w:r>
        <w:rPr>
          <w:i/>
        </w:rPr>
        <w:t>Questo modulo deve essere utilizzato dagli Stati membri per la notifica degli aiuti alla liquidità a favore dei pescatori, come descritto nella parte</w:t>
      </w:r>
      <w:r w:rsidR="00CB5265">
        <w:rPr>
          <w:i/>
        </w:rPr>
        <w:t> </w:t>
      </w:r>
      <w:r>
        <w:rPr>
          <w:i/>
        </w:rPr>
        <w:t>II, capitolo</w:t>
      </w:r>
      <w:r w:rsidR="00CB5265">
        <w:rPr>
          <w:i/>
        </w:rPr>
        <w:t> </w:t>
      </w:r>
      <w:r>
        <w:rPr>
          <w:i/>
        </w:rPr>
        <w:t>3, sezione</w:t>
      </w:r>
      <w:r w:rsidR="00CB5265">
        <w:rPr>
          <w:i/>
        </w:rPr>
        <w:t> </w:t>
      </w:r>
      <w:r>
        <w:rPr>
          <w:i/>
        </w:rPr>
        <w:t>3.6, degli</w:t>
      </w:r>
      <w:r w:rsidR="00CB5265">
        <w:rPr>
          <w:i/>
        </w:rPr>
        <w:t> </w:t>
      </w:r>
      <w:r>
        <w:rPr>
          <w:i/>
        </w:rPr>
        <w:t>orientamenti per gli aiuti di Stato nel settore della pesca e dell</w:t>
      </w:r>
      <w:r w:rsidR="00CB5265">
        <w:rPr>
          <w:i/>
        </w:rPr>
        <w:t>'</w:t>
      </w:r>
      <w:r>
        <w:rPr>
          <w:i/>
        </w:rPr>
        <w:t>acquacoltura</w:t>
      </w:r>
      <w:r>
        <w:rPr>
          <w:rStyle w:val="FootnoteReference"/>
          <w:rFonts w:eastAsia="Times New Roman"/>
          <w:i/>
          <w:lang w:eastAsia="en-GB"/>
        </w:rPr>
        <w:footnoteReference w:id="1"/>
      </w:r>
      <w:r>
        <w:rPr>
          <w:i/>
        </w:rPr>
        <w:t xml:space="preserve"> (</w:t>
      </w:r>
      <w:r w:rsidR="00CB5265">
        <w:rPr>
          <w:i/>
        </w:rPr>
        <w:t>"</w:t>
      </w:r>
      <w:r>
        <w:rPr>
          <w:i/>
        </w:rPr>
        <w:t>gli</w:t>
      </w:r>
      <w:r w:rsidR="00CB5265">
        <w:rPr>
          <w:i/>
        </w:rPr>
        <w:t> </w:t>
      </w:r>
      <w:r>
        <w:rPr>
          <w:i/>
        </w:rPr>
        <w:t>orientamenti</w:t>
      </w:r>
      <w:r w:rsidR="00CB5265">
        <w:rPr>
          <w:i/>
        </w:rPr>
        <w:t>"</w:t>
      </w:r>
      <w:r>
        <w:rPr>
          <w:i/>
        </w:rPr>
        <w:t>). Gli aiuti di cui alla presente sezione possono essere concessi anche alle</w:t>
      </w:r>
      <w:r w:rsidR="00CB5265">
        <w:rPr>
          <w:i/>
        </w:rPr>
        <w:t> </w:t>
      </w:r>
      <w:r>
        <w:rPr>
          <w:i/>
        </w:rPr>
        <w:t>imprese che operano nel settore della pesca nelle acque interne.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DBAA1E" w14:textId="5B426BD7" w:rsidR="005615D7" w:rsidRDefault="005615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155E0D97" w:rsidR="007D19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prevede che i pescherecci dell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Unione cui è stato concesso un aiuto non siano trasferiti né reimmatricolati al di fuori dell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Unione per almeno cinque anni dal pagamento finale dell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aiuto:</w:t>
      </w:r>
    </w:p>
    <w:p w14:paraId="7F4A8FD6" w14:textId="6ED5D19C" w:rsidR="007B3E6C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026F4B05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8045D2E" w14:textId="029DB811" w:rsidR="00C25FCA" w:rsidRDefault="00C25FC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962B0F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625480" w14:textId="20FA6EFB" w:rsidR="004565BB" w:rsidRPr="001E103F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Spiegare in dettaglio le circostanze che giustificano gli aiuti alla liquidità a favore dei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pescatori e descrivere gli eventi esogeni che comportano un arresto temporaneo delle attività di pesca.</w:t>
      </w:r>
    </w:p>
    <w:p w14:paraId="2D3C1C25" w14:textId="77AB0EF6" w:rsidR="00E20F79" w:rsidRDefault="004565BB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F54987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CAF441" w14:textId="716EC8C9" w:rsidR="005F1738" w:rsidRPr="00C10616" w:rsidRDefault="005F1738" w:rsidP="005F173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Ref126833665"/>
      <w:r>
        <w:rPr>
          <w:rFonts w:ascii="Times New Roman" w:hAnsi="Times New Roman"/>
          <w:sz w:val="24"/>
        </w:rPr>
        <w:t>Spiegare quando si è verificato 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esogeno, comprese le relative date di inizio e fine, se del caso.</w:t>
      </w:r>
      <w:bookmarkEnd w:id="0"/>
    </w:p>
    <w:p w14:paraId="21094B44" w14:textId="77777777" w:rsidR="005F1738" w:rsidRPr="00C10616" w:rsidRDefault="005F1738" w:rsidP="005F173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1259F38C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3844A1" w14:textId="056BDA5F" w:rsidR="00E20F79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non riguarda nessuno degli eventi seguenti:</w:t>
      </w:r>
    </w:p>
    <w:p w14:paraId="15A53120" w14:textId="7D5A5E74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19C7F" w14:textId="51766CC9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a)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i casi di arresto temporaneo delle attività di pesca elencati nella sezione 3.5 della parte II, capitolo 3, degli orientamenti</w:t>
      </w:r>
    </w:p>
    <w:p w14:paraId="087E462E" w14:textId="536A60EB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b)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le misure di conservazione adottate in conformità degli accordi di partenariato per una pesca sostenibile e degli accordi di scambio o di gestione congiunta</w:t>
      </w:r>
    </w:p>
    <w:p w14:paraId="32AA4A08" w14:textId="481CD7C5" w:rsidR="004565BB" w:rsidRPr="001E103F" w:rsidRDefault="005F1738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c)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la riduzione o la perdita di possibilità di pesca nelle acque dell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UE nel quadro dell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attuazione della politica comune della pesca</w:t>
      </w:r>
    </w:p>
    <w:p w14:paraId="6395D295" w14:textId="13E41183" w:rsidR="004565BB" w:rsidRPr="001E103F" w:rsidRDefault="005F1738" w:rsidP="004565B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d)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la riduzione o la perdita di possibilità di pesca per quanto riguarda le acque non UE, ad esempio a causa del mancato rinnovo, della sospensione, della denuncia o della rinegoziazione di un accordo di partenariato per una pesca </w:t>
      </w:r>
      <w:r>
        <w:rPr>
          <w:rFonts w:ascii="Times New Roman" w:hAnsi="Times New Roman"/>
          <w:sz w:val="24"/>
        </w:rPr>
        <w:lastRenderedPageBreak/>
        <w:t>sostenibile e di accordi di scambio o di gestione congiunta o di misure relative alla fissazione e alla ripartizione delle possibilità di pesca adottate in conformità di tali accordi o nell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di un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organizzazione regionale di gestione della pesca</w:t>
      </w:r>
    </w:p>
    <w:p w14:paraId="36312EFD" w14:textId="77777777" w:rsidR="00114BDD" w:rsidRPr="00CB5265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4029ADA2" w14:textId="77777777" w:rsidR="004565BB" w:rsidRPr="001E103F" w:rsidRDefault="004565BB" w:rsidP="004565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9347AF2" w14:textId="43E7438D" w:rsidR="004565BB" w:rsidRPr="00CB5265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1A1756D3" w14:textId="6FDC99EA" w:rsidR="004565BB" w:rsidRDefault="007577B2" w:rsidP="007577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prevede che gli aiuti possano essere concessi solo in presenza di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un nesso causale diretto tra gli eventi esogeni e la perdita di reddito subita:</w:t>
      </w:r>
    </w:p>
    <w:p w14:paraId="0983AAE1" w14:textId="64063CCC" w:rsidR="007577B2" w:rsidRPr="00CB5265" w:rsidRDefault="007577B2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7222E081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4B6F7E3" w14:textId="16EC8D0D" w:rsidR="00C800F0" w:rsidRPr="00CB5265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133D5C30" w14:textId="4BB61691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15CA76D4" w14:textId="238C930B" w:rsidR="00C800F0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0287EE" w14:textId="77777777" w:rsidR="00C800F0" w:rsidRPr="00CB5265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31B42FE5" w14:textId="47AEAD92" w:rsidR="00C800F0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Descrivere in dettaglio i meccanismi di attuazione e controllo istituiti per garantire il rispetto delle condizioni connesse agli aiuti alla liquidità a favore dei pescatori.</w:t>
      </w:r>
    </w:p>
    <w:p w14:paraId="13459933" w14:textId="0F087389" w:rsidR="00C800F0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A346547" w14:textId="77777777" w:rsidR="00C800F0" w:rsidRPr="00CB5265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64CA0537" w14:textId="6546E5C0" w:rsidR="007577B2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i costi ammissibili coprono solo la perdita di reddito dovuta agli eventi esogeni:</w:t>
      </w:r>
    </w:p>
    <w:p w14:paraId="14349538" w14:textId="77777777" w:rsidR="00C800F0" w:rsidRPr="00CB5265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404D3BF7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E025C87" w14:textId="77777777" w:rsidR="00C800F0" w:rsidRPr="00CB5265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6BA4932A" w14:textId="77777777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 alla domanda precedente, indicare le disposizioni pertinenti della base giuridica.</w:t>
      </w:r>
    </w:p>
    <w:p w14:paraId="2BE2D14A" w14:textId="52450C0F" w:rsidR="007577B2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227F6D" w14:textId="3C7F6FBC" w:rsidR="004565BB" w:rsidRPr="00CB5265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7FEE51F0" w14:textId="03DE97F4" w:rsidR="004565BB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i costi ammissibili devono essere calcolati individualmente a livello del singolo beneficiario:</w:t>
      </w:r>
    </w:p>
    <w:p w14:paraId="0F1BE916" w14:textId="77777777" w:rsidR="00C800F0" w:rsidRPr="00CB5265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3CC9B195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0AE6AA3" w14:textId="77777777" w:rsidR="00C800F0" w:rsidRPr="00CB5265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5E3DA9F5" w14:textId="2ED065BB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EAE056D" w14:textId="77777777" w:rsidR="00C800F0" w:rsidRDefault="00C800F0" w:rsidP="00C800F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68AFB1A" w14:textId="3CCFD2C9" w:rsidR="00C800F0" w:rsidRPr="00CB5265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0BD647A8" w14:textId="4707CFA4" w:rsidR="00C800F0" w:rsidRDefault="00C800F0" w:rsidP="00CB52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86706"/>
      <w:r>
        <w:rPr>
          <w:rFonts w:ascii="Times New Roman" w:hAnsi="Times New Roman"/>
          <w:sz w:val="24"/>
        </w:rPr>
        <w:t>Confermare che la perdita di reddito deve essere calcolata a norma del punto (319) degli orientamenti, ossia sottraendo: a) il risultato ricavato moltiplicando i quantitativi di prodotti della pesca ottenuti nell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in cui si è verificato 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esogeno per il prezzo medio di vendita ottenuto in tale anno dal b) risultato ricavato moltiplicando il quantitativo medio annuo di prodotti della pesca ottenuto nei tre anni precedenti 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esogeno o la produzione media triennale calcolata sui cinque anni precedenti tale evento, escludendo il valore più elevato e quello più basso, per il prezzo medio di vendita ottenuto:</w:t>
      </w:r>
      <w:bookmarkEnd w:id="1"/>
    </w:p>
    <w:p w14:paraId="0B0610E1" w14:textId="77777777" w:rsidR="00C800F0" w:rsidRPr="00CB5265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n-GB"/>
        </w:rPr>
      </w:pPr>
    </w:p>
    <w:p w14:paraId="02C24E8D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734C28C9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59A00" w14:textId="0BDB81CA" w:rsidR="00C800F0" w:rsidRDefault="00C800F0" w:rsidP="00CB5265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1442" w:hanging="72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6B1C53E" w14:textId="77777777" w:rsidR="00C800F0" w:rsidRDefault="00C800F0" w:rsidP="00C800F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922FA9" w14:textId="073B5165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9980FF" w14:textId="3E7FF503" w:rsidR="00F06A07" w:rsidRDefault="00F06A07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7295567"/>
      <w:r>
        <w:rPr>
          <w:rFonts w:ascii="Times New Roman" w:hAnsi="Times New Roman"/>
          <w:sz w:val="24"/>
        </w:rPr>
        <w:t>Spiegare se i costi ammissibili possono comprendere altri costi sostenuti dall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 a causa dell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esogeno:</w:t>
      </w:r>
      <w:bookmarkEnd w:id="2"/>
    </w:p>
    <w:p w14:paraId="406AEB41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D004B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750B93E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2146FE" w14:textId="7F0EE777" w:rsidR="00E54AA6" w:rsidRDefault="00E54AA6" w:rsidP="00CB5265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1442" w:hanging="72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In caso di risposta affermativa, </w:t>
      </w:r>
      <w:bookmarkStart w:id="3" w:name="_Hlk126945164"/>
      <w:r>
        <w:rPr>
          <w:rFonts w:ascii="Times New Roman" w:hAnsi="Times New Roman"/>
          <w:sz w:val="24"/>
        </w:rPr>
        <w:t>indicare le spese pertinenti</w:t>
      </w:r>
      <w:bookmarkEnd w:id="3"/>
      <w:r>
        <w:rPr>
          <w:rFonts w:ascii="Times New Roman" w:hAnsi="Times New Roman"/>
          <w:sz w:val="24"/>
        </w:rPr>
        <w:t xml:space="preserve">. </w:t>
      </w:r>
    </w:p>
    <w:p w14:paraId="23AD85AC" w14:textId="77777777" w:rsidR="00E54AA6" w:rsidRPr="001C6F78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EDD3A7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DD820A" w14:textId="03EFC87F" w:rsidR="00E54AA6" w:rsidRDefault="00E54AA6" w:rsidP="00CB5265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1442" w:hanging="722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945121"/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34D28157" w14:textId="77777777" w:rsidR="00E54AA6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4"/>
    <w:p w14:paraId="449ADE87" w14:textId="0457C740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838C6F" w14:textId="3B6F2E9C" w:rsidR="00E54AA6" w:rsidRDefault="00E54AA6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95680"/>
      <w:r>
        <w:rPr>
          <w:rFonts w:ascii="Times New Roman" w:hAnsi="Times New Roman"/>
          <w:sz w:val="24"/>
        </w:rPr>
        <w:t>Confermare che i costi ammissibili devono essere ridotti sottraendo eventuali costi non sostenuti a causa degli eventi esogeni che sarebbero stati altrimenti sostenuti dall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beneficiaria.</w:t>
      </w:r>
      <w:bookmarkEnd w:id="5"/>
    </w:p>
    <w:p w14:paraId="365A2379" w14:textId="3B0F9F2A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024FCD" w14:textId="20EB68C9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In caso di risposta affermativa, indicare i costi pertinenti. </w:t>
      </w:r>
    </w:p>
    <w:p w14:paraId="2ABC2C36" w14:textId="77777777" w:rsidR="00E54AA6" w:rsidRPr="001C6F78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FF8EB10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5E7750" w14:textId="10A5A805" w:rsidR="00E54AA6" w:rsidRDefault="00E54AA6" w:rsidP="00CB5265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1442" w:hanging="72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5214223C" w14:textId="77777777" w:rsidR="00E54AA6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17D1C98" w14:textId="77777777" w:rsidR="0004714A" w:rsidRPr="00F06A07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BEC09E" w14:textId="6A03F94D" w:rsidR="0004714A" w:rsidRDefault="0004714A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prevede che, se un peschereccio è utilizzato durante gli eventi esogeni per attività diverse dalla pesca commerciale, qualsiasi reddito sia dichiarato e detratto dall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concesso a norma della presente sezione:</w:t>
      </w:r>
    </w:p>
    <w:p w14:paraId="6BF05F96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8FF6CC" w14:textId="77777777" w:rsidR="0004714A" w:rsidRPr="001E103F" w:rsidRDefault="0004714A" w:rsidP="0004714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0FBF34F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B1F9A2" w14:textId="02FA5F51" w:rsidR="0004714A" w:rsidRDefault="0004714A" w:rsidP="00CB5265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1442" w:hanging="72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445C4D72" w14:textId="5A2766B7" w:rsidR="00F06A07" w:rsidRDefault="0004714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4C2AF57" w14:textId="77777777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fa presente che la Commissione può accettare altri metodi di calcolo purché sia accertato che si basano su criteri oggettivi e non comportano sovracompensazioni per nessuna delle imprese beneficiarie.</w:t>
      </w:r>
    </w:p>
    <w:p w14:paraId="0CA37E1B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297792" w14:textId="0EFAC03E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Se lo Stato membro notificante intende proporre un altro metodo di calcolo alternativo, fornire i motivi per cui il metodo stabilito negli orientamenti non è appropriato nel caso </w:t>
      </w:r>
      <w:r>
        <w:rPr>
          <w:rFonts w:ascii="Times New Roman" w:hAnsi="Times New Roman"/>
          <w:sz w:val="24"/>
        </w:rPr>
        <w:lastRenderedPageBreak/>
        <w:t>in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questione e spiegare in che modo tale altro metodo alternativo risponde meglio alle esigenze individuate.</w:t>
      </w:r>
    </w:p>
    <w:p w14:paraId="0CDD0ADD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………………………………………………………………………………..</w:t>
      </w:r>
    </w:p>
    <w:p w14:paraId="16F66647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BE68CB" w14:textId="08CC65C7" w:rsidR="0004714A" w:rsidRPr="00025B80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bookmarkStart w:id="6" w:name="_Hlk126835995"/>
      <w:r>
        <w:rPr>
          <w:rFonts w:ascii="Times New Roman" w:hAnsi="Times New Roman"/>
          <w:i/>
          <w:sz w:val="24"/>
        </w:rPr>
        <w:t>Presentare in allegato alla notifica l</w:t>
      </w:r>
      <w:r w:rsidR="00CB5265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 xml:space="preserve">altra metodologia proposta, insieme alla dimostrazione che essa si basa su criteri oggettivi e non comporta sovracompensazioni per nessun beneficiario. </w:t>
      </w:r>
    </w:p>
    <w:bookmarkEnd w:id="6"/>
    <w:p w14:paraId="74C6F3A8" w14:textId="77777777" w:rsidR="0004714A" w:rsidRDefault="0004714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49CCEA7" w14:textId="5EB09AEF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AE51DB" w14:textId="49E4BDC4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se la misura prevede che, laddove una PMI fosse stata creata meno di tre anni dalla data in cui si è verificato 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esogeno, il riferimento ai periodi di tre o cinque anni di cui al punto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(319), lettera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(b), degli orientamenti, sia inteso come riferito alla quantità prodotta e venduta da un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media delle medesime dimensioni del richiedente, ossia rispettivamente una microimpresa, una piccola impresa o una media impresa, nel settore nazionale o regionale colpito dall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esogeno:</w:t>
      </w:r>
    </w:p>
    <w:p w14:paraId="793C1B34" w14:textId="11EC8B43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9E5725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25F5849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A9E3E" w14:textId="4C718D1B" w:rsidR="00F06A07" w:rsidRDefault="00F06A07" w:rsidP="00F06A0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E25936D" w14:textId="77777777" w:rsidR="00F06A07" w:rsidRDefault="00F06A07" w:rsidP="00F06A0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570FA77" w14:textId="3A458DF5" w:rsidR="00A91C65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63CAF8" w14:textId="72EF4D07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prevede che 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e tutti gli altri pagamenti, compresi i pagamenti nell</w:t>
      </w:r>
      <w:r w:rsidR="00CB526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di polizze assicurative, non superino il 100 % dei costi ammissibili: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B5265">
        <w:rPr>
          <w:rFonts w:ascii="Times New Roman" w:eastAsia="Times New Roman" w:hAnsi="Times New Roman"/>
          <w:b/>
          <w:sz w:val="24"/>
        </w:rPr>
      </w:r>
      <w:r w:rsidR="00CB5265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605292F2" w:rsidR="00A91C65" w:rsidRDefault="00A565E1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7" w:name="_Hlk125368675"/>
      <w:r>
        <w:rPr>
          <w:rFonts w:ascii="Times New Roman" w:hAnsi="Times New Roman"/>
          <w:sz w:val="24"/>
          <w:szCs w:val="24"/>
        </w:rPr>
        <w:t>Indicare le intensità massime di aiuto applicabili nell</w:t>
      </w:r>
      <w:r w:rsidR="00CB5265">
        <w:rPr>
          <w:rFonts w:ascii="Times New Roman" w:hAnsi="Times New Roman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>ambito della misura</w:t>
      </w:r>
      <w:r w:rsidR="00A91C65">
        <w:rPr>
          <w:rFonts w:ascii="Times New Roman" w:hAnsi="Times New Roman"/>
          <w:sz w:val="24"/>
        </w:rPr>
        <w:t>.</w:t>
      </w:r>
    </w:p>
    <w:p w14:paraId="18319FDD" w14:textId="6534E433" w:rsidR="00A91C65" w:rsidRDefault="00A91C65" w:rsidP="00A8069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6F1CC529" w14:textId="460E289C" w:rsidR="00A565E1" w:rsidRDefault="00A565E1" w:rsidP="00CB52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Indicare le disposizioni della base giuridica che stabiliscono il limite del 100</w:t>
      </w:r>
      <w:r w:rsidR="00CB526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% e le intensità massime di aiuto previste nell</w:t>
      </w:r>
      <w:r w:rsidR="00CB5265">
        <w:rPr>
          <w:rFonts w:ascii="Times New Roman" w:hAnsi="Times New Roman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>ambito della misura</w:t>
      </w:r>
      <w:r>
        <w:rPr>
          <w:rFonts w:ascii="Times New Roman" w:hAnsi="Times New Roman"/>
          <w:sz w:val="24"/>
        </w:rPr>
        <w:t>.</w:t>
      </w:r>
    </w:p>
    <w:p w14:paraId="6E849388" w14:textId="77777777" w:rsidR="00A565E1" w:rsidRPr="001E103F" w:rsidRDefault="00A565E1" w:rsidP="00A8069E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ALTRE INFORMAZIONI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5B48965" w:rsidR="005615D7" w:rsidRPr="001E103F" w:rsidRDefault="005615D7" w:rsidP="00A565E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Indicare eventuali altre informazioni ritenute pertinenti per la valutazione della misura a</w:t>
      </w:r>
      <w:r w:rsidR="00CB526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norma di questa sezione degli orientamenti.</w:t>
      </w:r>
    </w:p>
    <w:p w14:paraId="10D940B0" w14:textId="1808F3D3" w:rsidR="00453ADA" w:rsidRPr="001E103F" w:rsidRDefault="005615D7" w:rsidP="00A8069E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53A4" w14:textId="77777777" w:rsidR="000B4BAA" w:rsidRDefault="000B4BAA" w:rsidP="005615D7">
      <w:pPr>
        <w:spacing w:after="0" w:line="240" w:lineRule="auto"/>
      </w:pPr>
      <w:r>
        <w:separator/>
      </w:r>
    </w:p>
  </w:endnote>
  <w:endnote w:type="continuationSeparator" w:id="0">
    <w:p w14:paraId="533987AB" w14:textId="77777777" w:rsidR="000B4BAA" w:rsidRDefault="000B4BAA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3B5A25F1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069E">
      <w:rPr>
        <w:noProof/>
      </w:rP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CD68B" w14:textId="77777777" w:rsidR="000B4BAA" w:rsidRDefault="000B4BAA" w:rsidP="005615D7">
      <w:pPr>
        <w:spacing w:after="0" w:line="240" w:lineRule="auto"/>
      </w:pPr>
      <w:r>
        <w:separator/>
      </w:r>
    </w:p>
  </w:footnote>
  <w:footnote w:type="continuationSeparator" w:id="0">
    <w:p w14:paraId="06D2905C" w14:textId="77777777" w:rsidR="000B4BAA" w:rsidRDefault="000B4BAA" w:rsidP="005615D7">
      <w:pPr>
        <w:spacing w:after="0" w:line="240" w:lineRule="auto"/>
      </w:pPr>
      <w:r>
        <w:continuationSeparator/>
      </w:r>
    </w:p>
  </w:footnote>
  <w:footnote w:id="1">
    <w:p w14:paraId="7F0DF232" w14:textId="160FAB45" w:rsidR="00C03E87" w:rsidRPr="00C03E87" w:rsidRDefault="00C03E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GU</w:t>
      </w:r>
      <w:r w:rsidR="006C54F5">
        <w:rPr>
          <w:rFonts w:ascii="Times New Roman" w:hAnsi="Times New Roman"/>
        </w:rPr>
        <w:t> </w:t>
      </w:r>
      <w:r>
        <w:rPr>
          <w:rFonts w:ascii="Times New Roman" w:hAnsi="Times New Roman"/>
        </w:rPr>
        <w:t>C</w:t>
      </w:r>
      <w:r w:rsidR="006C54F5">
        <w:rPr>
          <w:rFonts w:ascii="Times New Roman" w:hAnsi="Times New Roman"/>
        </w:rPr>
        <w:t> </w:t>
      </w:r>
      <w:r>
        <w:rPr>
          <w:rFonts w:ascii="Times New Roman" w:hAnsi="Times New Roman"/>
        </w:rPr>
        <w:t>107 del 23.3.2023, pag.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4F03CE"/>
    <w:multiLevelType w:val="multilevel"/>
    <w:tmpl w:val="C1568AE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342F3776"/>
    <w:multiLevelType w:val="multilevel"/>
    <w:tmpl w:val="C1568AE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68095645">
    <w:abstractNumId w:val="4"/>
  </w:num>
  <w:num w:numId="2" w16cid:durableId="1012343302">
    <w:abstractNumId w:val="16"/>
  </w:num>
  <w:num w:numId="3" w16cid:durableId="1033505480">
    <w:abstractNumId w:val="5"/>
  </w:num>
  <w:num w:numId="4" w16cid:durableId="997466525">
    <w:abstractNumId w:val="10"/>
  </w:num>
  <w:num w:numId="5" w16cid:durableId="526257562">
    <w:abstractNumId w:val="6"/>
  </w:num>
  <w:num w:numId="6" w16cid:durableId="661856336">
    <w:abstractNumId w:val="12"/>
  </w:num>
  <w:num w:numId="7" w16cid:durableId="1837765033">
    <w:abstractNumId w:val="11"/>
  </w:num>
  <w:num w:numId="8" w16cid:durableId="1645430787">
    <w:abstractNumId w:val="15"/>
  </w:num>
  <w:num w:numId="9" w16cid:durableId="8583493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42958">
    <w:abstractNumId w:val="2"/>
  </w:num>
  <w:num w:numId="11" w16cid:durableId="929704092">
    <w:abstractNumId w:val="8"/>
  </w:num>
  <w:num w:numId="12" w16cid:durableId="813790745">
    <w:abstractNumId w:val="0"/>
  </w:num>
  <w:num w:numId="13" w16cid:durableId="247420264">
    <w:abstractNumId w:val="3"/>
  </w:num>
  <w:num w:numId="14" w16cid:durableId="349375758">
    <w:abstractNumId w:val="14"/>
  </w:num>
  <w:num w:numId="15" w16cid:durableId="282201558">
    <w:abstractNumId w:val="7"/>
  </w:num>
  <w:num w:numId="16" w16cid:durableId="1190148219">
    <w:abstractNumId w:val="13"/>
  </w:num>
  <w:num w:numId="17" w16cid:durableId="1434478315">
    <w:abstractNumId w:val="9"/>
  </w:num>
  <w:num w:numId="18" w16cid:durableId="68644278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14A"/>
    <w:rsid w:val="00047C56"/>
    <w:rsid w:val="000A5405"/>
    <w:rsid w:val="000B4BAA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0BCF"/>
    <w:rsid w:val="00236AD9"/>
    <w:rsid w:val="00247C79"/>
    <w:rsid w:val="00252DEE"/>
    <w:rsid w:val="00256D84"/>
    <w:rsid w:val="0026001A"/>
    <w:rsid w:val="002627EB"/>
    <w:rsid w:val="00297D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5F1738"/>
    <w:rsid w:val="00610BCF"/>
    <w:rsid w:val="00615953"/>
    <w:rsid w:val="00623D66"/>
    <w:rsid w:val="00651AE7"/>
    <w:rsid w:val="0066443A"/>
    <w:rsid w:val="006663B8"/>
    <w:rsid w:val="006741CF"/>
    <w:rsid w:val="00681261"/>
    <w:rsid w:val="00681BFA"/>
    <w:rsid w:val="00683B68"/>
    <w:rsid w:val="006914B0"/>
    <w:rsid w:val="00693BB6"/>
    <w:rsid w:val="006A575F"/>
    <w:rsid w:val="006A5AF5"/>
    <w:rsid w:val="006C0203"/>
    <w:rsid w:val="006C54F5"/>
    <w:rsid w:val="006C7549"/>
    <w:rsid w:val="006D57B3"/>
    <w:rsid w:val="006D64CF"/>
    <w:rsid w:val="006F53A8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E1F93"/>
    <w:rsid w:val="00A02D5E"/>
    <w:rsid w:val="00A13FFA"/>
    <w:rsid w:val="00A44FD8"/>
    <w:rsid w:val="00A56179"/>
    <w:rsid w:val="00A565E1"/>
    <w:rsid w:val="00A5779C"/>
    <w:rsid w:val="00A634A8"/>
    <w:rsid w:val="00A8069E"/>
    <w:rsid w:val="00A91C65"/>
    <w:rsid w:val="00A9378D"/>
    <w:rsid w:val="00A93E41"/>
    <w:rsid w:val="00AA2F26"/>
    <w:rsid w:val="00AB5944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03E87"/>
    <w:rsid w:val="00C11F84"/>
    <w:rsid w:val="00C25FCA"/>
    <w:rsid w:val="00C300A7"/>
    <w:rsid w:val="00C45752"/>
    <w:rsid w:val="00C800F0"/>
    <w:rsid w:val="00CB185C"/>
    <w:rsid w:val="00CB2D84"/>
    <w:rsid w:val="00CB5265"/>
    <w:rsid w:val="00CC04F4"/>
    <w:rsid w:val="00CE214E"/>
    <w:rsid w:val="00D25398"/>
    <w:rsid w:val="00D54834"/>
    <w:rsid w:val="00D7395D"/>
    <w:rsid w:val="00D9424C"/>
    <w:rsid w:val="00DA52D8"/>
    <w:rsid w:val="00DF06B6"/>
    <w:rsid w:val="00E20F79"/>
    <w:rsid w:val="00E54AA6"/>
    <w:rsid w:val="00E610A6"/>
    <w:rsid w:val="00E65A1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F1738"/>
    <w:pPr>
      <w:ind w:left="720"/>
      <w:contextualSpacing/>
    </w:pPr>
  </w:style>
  <w:style w:type="paragraph" w:customStyle="1" w:styleId="Default">
    <w:name w:val="Default"/>
    <w:rsid w:val="000471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3.xml><?xml version="1.0" encoding="utf-8"?>
<ds:datastoreItem xmlns:ds="http://schemas.openxmlformats.org/officeDocument/2006/customXml" ds:itemID="{B19E1BBA-A94C-4ACC-9794-D59D4A2E8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1142</Words>
  <Characters>6548</Characters>
  <Application>Microsoft Office Word</Application>
  <DocSecurity>0</DocSecurity>
  <Lines>187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FORNELLI Giuseppe (DGT)</cp:lastModifiedBy>
  <cp:revision>6</cp:revision>
  <dcterms:created xsi:type="dcterms:W3CDTF">2023-05-03T14:29:00Z</dcterms:created>
  <dcterms:modified xsi:type="dcterms:W3CDTF">2024-08-19T14:06:00Z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