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Formulier aanvullende informatie inzake</w:t>
      </w:r>
      <w:r>
        <w:br/>
      </w:r>
      <w:r>
        <w:rPr>
          <w:rFonts w:ascii="Times New Roman" w:hAnsi="Times New Roman"/>
          <w:b/>
          <w:smallCaps/>
          <w:sz w:val="24"/>
        </w:rPr>
        <w:t>steun voor de verhoging van de brutotonnage van een vissersvaartuig ter verbetering van de veiligheid, de arbeidsomstandigheden of de energie-efficiëntie</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rFonts w:ascii="Times New Roman" w:eastAsia="Times New Roman" w:hAnsi="Times New Roman"/>
          <w:i/>
          <w:sz w:val="24"/>
          <w:szCs w:val="24"/>
        </w:rPr>
      </w:pPr>
      <w:r>
        <w:rPr>
          <w:rFonts w:ascii="Times New Roman" w:hAnsi="Times New Roman"/>
          <w:i/>
          <w:sz w:val="24"/>
        </w:rPr>
        <w:t>De lidstaten moeten dit formulier gebruiken voor de aanmelding van steun voor de verhoging van de brutotonnage van een vissersvaartuig ter verbetering van de veiligheid, de arbeidsomstandigheden of de energie-efficiëntie zoals omschreven in deel II, hoofdstuk 3, afdeling 3.3,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(“de richtsnoeren”).</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of de maatregel voorschrijft dat de vissersvaartuigen van de Unie waarvoor steun wordt verleend, gedurende ten minste vijf jaar na de slotbetaling van de steun niet mogen worden overgedragen of omgevlagd buiten de Unie.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10A2963C" w14:textId="77777777" w:rsidR="004C4105" w:rsidRDefault="004C4105" w:rsidP="004C4105">
      <w:pPr>
        <w:rPr>
          <w:rFonts w:ascii="Times New Roman" w:eastAsia="Times New Roman" w:hAnsi="Times New Roman"/>
          <w:sz w:val="24"/>
          <w:szCs w:val="24"/>
        </w:rPr>
      </w:pPr>
      <w:r>
        <w:rPr>
          <w:rFonts w:ascii="Times New Roman" w:hAnsi="Times New Roman"/>
          <w:sz w:val="24"/>
        </w:rPr>
        <w:t>………………………………………………………………………………………………….</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Hlk127291610"/>
      <w:bookmarkStart w:id="1" w:name="_Ref124951182"/>
      <w:r>
        <w:rPr>
          <w:rFonts w:ascii="Times New Roman" w:hAnsi="Times New Roman"/>
          <w:sz w:val="24"/>
        </w:rPr>
        <w:t>Op grond van punt (265), (a), van de richtsnoeren moeten de vissersvaartuigen deel uitmaken van een vlootsegment waarvoor in het meest recente verslag over de vangstcapaciteit als bedoeld in artikel 22, lid 2, van Verordening (EU) nr. 1380/2013, een evenwicht met de voor dat segment beschikbare vangstmogelijkheden wordt aangetoond (hierna het “nationaal verslag” genoemd)</w:t>
      </w:r>
      <w:bookmarkEnd w:id="0"/>
      <w:r>
        <w:rPr>
          <w:rFonts w:ascii="Times New Roman" w:hAnsi="Times New Roman"/>
          <w:sz w:val="24"/>
        </w:rPr>
        <w:t>.</w:t>
      </w:r>
      <w:bookmarkEnd w:id="1"/>
      <w:r>
        <w:rPr>
          <w:rFonts w:ascii="Times New Roman" w:hAnsi="Times New Roman"/>
          <w:sz w:val="24"/>
        </w:rPr>
        <w:t xml:space="preserve"> Op grond van punt (266) van de richtsnoeren gelden voor de toepassing van punt (265), (a), de procedure en voorwaarden van deel II, hoofdstuk 2, afdeling 2.2, punten (225), (226) en (227). Beantwoord in dit verband de volgende vragen:</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Wanneer is het meest recente nationaal verslag van vóór de datum van toekenning van de steun opgesteld?</w:t>
      </w:r>
    </w:p>
    <w:p w14:paraId="370CE4BD"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04AFEFB8"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de link naar het meest recente nationaal verslag of voeg deze bij de aanmelding.</w:t>
      </w:r>
    </w:p>
    <w:p w14:paraId="6C8C1D2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voor alle te verlenen steun is voldaan aan de volgende voorwaarden:</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Is het nationaal verslag uiterlijk op 31 mei van jaar N ingediend</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het nationaal verslag van jaar N, en met name de beoordeling van het evenwicht in dat verslag, is opgesteld op basis van de biologische en economische indicatoren en indicatoren voor het vaartuiggebruik die zijn vermeld in de gemeenschappelijke richtsnoeren</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als bedoeld in artikel 22, lid 2, van Verordening (EU) nr.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sz w:val="23"/>
        </w:rPr>
        <w:t>Er mag geen steun worden verleend indien het nationaal verslag, en met name de beoordeling van het evenwicht in dat verslag, niet is opgesteld op basis van de biologische en economische indicatoren en indicatoren voor het vaartuiggebruik die zijn vermeld in de gemeenschappelijke richtsnoeren</w:t>
      </w:r>
      <w:r>
        <w:rPr>
          <w:i/>
          <w:color w:val="040004"/>
          <w:sz w:val="16"/>
        </w:rPr>
        <w:t xml:space="preserve"> </w:t>
      </w:r>
      <w:r>
        <w:rPr>
          <w:i/>
          <w:sz w:val="23"/>
        </w:rPr>
        <w:t xml:space="preserve">als bedoeld in artikel 22, lid 2, van Verordening (EU) nr. 1380/2013.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Blijkt uit het nationaal verslag van jaar N dat de vangstcapaciteit en de vangstmogelijkheden van het vlootsegment waarvan het vaartuig deel uitmaakt, in evenwicht zijn?</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Leg uit hoe bij het ontwerpen van de maatregel rekening is gehouden met het nationaal verslag en hoe het evenwicht wordt bereikt.</w:t>
      </w:r>
    </w:p>
    <w:p w14:paraId="1A3175A9"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767B8E2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Commissie uiterlijk op 31 maart van jaar N+1 geen vraagtekens heeft geplaatst bij:</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432D4">
        <w:rPr>
          <w:rFonts w:ascii="Times New Roman" w:eastAsia="Times New Roman" w:hAnsi="Times New Roman"/>
          <w:sz w:val="24"/>
        </w:rPr>
      </w:r>
      <w:r w:rsidR="006432D4">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de conclusie van het nationaal verslag van jaar N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432D4">
        <w:rPr>
          <w:rFonts w:ascii="Times New Roman" w:eastAsia="Times New Roman" w:hAnsi="Times New Roman"/>
          <w:sz w:val="24"/>
        </w:rPr>
      </w:r>
      <w:r w:rsidR="006432D4">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b) de beoordeling van het in het nationaal verslag van jaar N vervatte evenwicht</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of de maatregel voorschrijft dat de steun op basis van het nationaal verslag van jaar N slechts mag worden toegekend tot en met 31 december van jaar N+1, d.w.z. het jaar volgend op het jaar van indiening van het verslag.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Zo ja, vermeld dan de desbetreffende bepaling(en) van de rechtsgrondslag.</w:t>
      </w:r>
    </w:p>
    <w:p w14:paraId="2309B67B"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46AA49C0" w14:textId="490C4410" w:rsidR="009B38E1" w:rsidRPr="0053598F" w:rsidRDefault="009B38E1" w:rsidP="009B38E1">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Als de maatregel betrekking heeft op de binnenvisserij, hoeven de vragen 2.1 tot en met 2.2.6.1 niet te worden beantwoord.</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Geef aan of de maatregel voorschrijft dat de vissersvaartuigen niet langer mogen zijn dan 24 meter over alles.</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4B51EE41" w14:textId="55E2563B" w:rsidR="004C4105" w:rsidRPr="005615D7" w:rsidRDefault="004C4105" w:rsidP="006E20F3">
      <w:pPr>
        <w:rPr>
          <w:rFonts w:ascii="Times New Roman" w:eastAsia="Times New Roman" w:hAnsi="Times New Roman"/>
          <w:sz w:val="24"/>
          <w:szCs w:val="24"/>
        </w:rPr>
      </w:pPr>
      <w:r>
        <w:rPr>
          <w:rFonts w:ascii="Times New Roman" w:hAnsi="Times New Roman"/>
          <w:sz w:val="24"/>
        </w:rPr>
        <w:t>………………………………………………………………………………………………….</w:t>
      </w:r>
    </w:p>
    <w:p w14:paraId="52BF3818" w14:textId="5BC8254A"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een vissersvaartuig ten minste tien kalenderjaren voorafgaand aan het jaar van indiening van de steunaanvraag in het vlootregister van de Unie geregistreerd moet staan.</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Indien de maatregel betrekking heeft op de binnenvisserij, geef dan aan of de maatregel voorschrijft dat alleen steun kan worden verleend voor een vissersvaartuig dat voorafgaand aan het jaar van indiening van de steunaanvraag ten minste tien kalenderjaren in bedrijf is conform nationaal recht.</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Als vraag 4 of vraag 4.1 met ja is beantwoord, vermeld dan de desbetreffende bepaling(en) van de rechtsgrondslag.</w:t>
      </w:r>
    </w:p>
    <w:p w14:paraId="686389B7" w14:textId="2EEAAC6E" w:rsidR="00256D84" w:rsidRDefault="006E20F3" w:rsidP="000209D0">
      <w:pPr>
        <w:rPr>
          <w:rFonts w:ascii="Times New Roman" w:eastAsia="Times New Roman" w:hAnsi="Times New Roman"/>
          <w:sz w:val="24"/>
          <w:szCs w:val="24"/>
        </w:rPr>
      </w:pPr>
      <w:r>
        <w:rPr>
          <w:rFonts w:ascii="Times New Roman" w:hAnsi="Times New Roman"/>
          <w:sz w:val="24"/>
        </w:rPr>
        <w:t>………………………………………………………………………………………………….</w:t>
      </w:r>
    </w:p>
    <w:p w14:paraId="171C0A97" w14:textId="328D9E1D"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nieuwe, door de verrichting gegenereerde vangstcapaciteit waarmee de vissersvloot wordt uitgebreid, wordt gecompenseerd via voorafgaande onttrekking, zonder overheidssteun, van ten minste dezelfde hoeveelheid vangstcapaciteit uit hetzelfde vlootsegment of uit een vlootsegment waarvoor uit het meest recente nationaal verslag als bedoeld in artikel 22, lid 2, van Verordening (EU) nr. 1380/2013, is gebleken dat de vangstcapaciteit niet in evenwicht is met de voor dat segment beschikbare vangstmogelijkheden.</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Als de voorgaande vraag met ja is beantwoord, vermeld dan de desbetreffende bepaling(en) van de rechtsgrondslag.</w:t>
      </w:r>
    </w:p>
    <w:p w14:paraId="05E14B9B" w14:textId="1E1092E3" w:rsidR="004C4105" w:rsidRDefault="004C4105" w:rsidP="004C4105">
      <w:pPr>
        <w:rPr>
          <w:rFonts w:ascii="Times New Roman" w:eastAsia="Times New Roman" w:hAnsi="Times New Roman"/>
          <w:sz w:val="24"/>
          <w:szCs w:val="24"/>
        </w:rPr>
      </w:pPr>
      <w:r>
        <w:rPr>
          <w:rFonts w:ascii="Times New Roman" w:hAnsi="Times New Roman"/>
          <w:sz w:val="24"/>
        </w:rPr>
        <w:t>………………………………………………………………………………………………….</w:t>
      </w:r>
    </w:p>
    <w:p w14:paraId="3095BB69" w14:textId="4656F992" w:rsidR="000209D0" w:rsidRPr="004629F3" w:rsidRDefault="000209D0" w:rsidP="000209D0">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Als de maatregel betrekking heeft op de binnenvisserij, mag deze vraag worden overgeslagen.</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in aanmerking komende kosten verband houden met:</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de verhoging van de brutotonnage die nodig is voor de daaropvolgende installatie of renovatie van de accommodatiefaciliteiten voor het uitsluitende gebruik van de bemanning, met inbegrip van sanitaire voorzieningen, gemeenschappelijke ruimten, keukenvoorzieningen en beschuttingsstructuren op het dek</w:t>
      </w:r>
    </w:p>
    <w:p w14:paraId="09A89D83" w14:textId="4476B369"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de verhoging van de brutotonnage die nodig is voor de daaropvolgende verbetering of installatie van brandpreventiesystemen, veiligheids- en alarmsystemen of geluiddempingssystemen aan boord</w:t>
      </w:r>
    </w:p>
    <w:p w14:paraId="24AF6DCD" w14:textId="18CDAC6C"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de verhoging van de brutotonnage die nodig is voor de daaropvolgende installatie van geïntegreerde brugsystemen ter verbetering van de navigatie of motorbediening</w:t>
      </w:r>
    </w:p>
    <w:p w14:paraId="791428B0" w14:textId="44B87944"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de verhoging van de brutotonnage die nodig is voor de daaropvolgende installatie of renovatie van een motor of een aandrijfsysteem met een ten opzichte van de vorige situatie betere energie-efficiëntie of lagere CO₂-uitstoot, waarvan het vermogen niet groter is dan het eerder gecertificeerde motorvermogen van het vissersvaartuig overeenkomstig artikel 40, lid 1, van Verordening (EG) nr. 1224/2009 van de Raad</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en waarvan het maximale vermogen gecertificeerd is door de fabrikant van dat model motor of aandrijfsysteem</w:t>
      </w:r>
    </w:p>
    <w:p w14:paraId="3E27BC3F" w14:textId="03A813A5" w:rsidR="00F3649F" w:rsidRDefault="001D7707" w:rsidP="001D770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 de vervanging of renovatie van de bulbsteven, mits de algehele energie-efficiëntie van het vissersvaartuig daardoor verbetert.</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welke bepaling(en) van de rechtsgrondslag betrekking heeft (hebben) op hetgeen hierboven is aangekruist.</w:t>
      </w:r>
    </w:p>
    <w:p w14:paraId="15BC5AA7" w14:textId="1089BD9D" w:rsidR="004C4105" w:rsidRDefault="004C4105" w:rsidP="000209D0">
      <w:pPr>
        <w:rPr>
          <w:rFonts w:ascii="Times New Roman" w:eastAsia="Times New Roman" w:hAnsi="Times New Roman"/>
          <w:sz w:val="24"/>
          <w:szCs w:val="24"/>
        </w:rPr>
      </w:pPr>
      <w:r>
        <w:rPr>
          <w:rFonts w:ascii="Times New Roman" w:hAnsi="Times New Roman"/>
          <w:sz w:val="24"/>
        </w:rPr>
        <w:t>………………………………………………………………………………………………….</w:t>
      </w:r>
    </w:p>
    <w:p w14:paraId="5A8F375A" w14:textId="77777777"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in aanmerking komende kosten de directe en indirecte kosten omvatten van de investeringen in de verbetering van de veiligheid, de arbeidsomstandigheden of de energie-efficiëntie die leiden tot een verhoging van de brutotonnage van een vissersvaartuig.</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A111807" w14:textId="3EB9D5D4" w:rsidR="00E26EC9" w:rsidRDefault="00E26EC9" w:rsidP="00E26EC9">
      <w:pPr>
        <w:rPr>
          <w:rFonts w:ascii="Times New Roman" w:eastAsia="Times New Roman" w:hAnsi="Times New Roman"/>
          <w:sz w:val="24"/>
          <w:szCs w:val="24"/>
        </w:rPr>
      </w:pPr>
      <w:r>
        <w:rPr>
          <w:rFonts w:ascii="Times New Roman" w:hAnsi="Times New Roman"/>
          <w:sz w:val="24"/>
        </w:rPr>
        <w:t>………………………………………………………………………………………………….</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34023979"/>
      <w:r>
        <w:rPr>
          <w:rFonts w:ascii="Times New Roman" w:hAnsi="Times New Roman"/>
          <w:sz w:val="24"/>
        </w:rPr>
        <w:t xml:space="preserve">Geef een nadere beschrijving van de kosten die in het kader van de maatregel in aanmerking komen. Beschrijf welke kosten verband houden met de verbetering van </w:t>
      </w:r>
      <w:r>
        <w:rPr>
          <w:rFonts w:ascii="Times New Roman" w:hAnsi="Times New Roman"/>
          <w:sz w:val="24"/>
        </w:rPr>
        <w:lastRenderedPageBreak/>
        <w:t>de veiligheid, welke met de verbetering van de arbeidsomstandigheden en welke met de verbetering van de energie-efficiëntie.</w:t>
      </w:r>
    </w:p>
    <w:bookmarkEnd w:id="3"/>
    <w:p w14:paraId="500DDBE6" w14:textId="77777777" w:rsidR="00E26EC9" w:rsidRDefault="00E26EC9" w:rsidP="00E26EC9">
      <w:pPr>
        <w:rPr>
          <w:rFonts w:ascii="Times New Roman" w:eastAsia="Times New Roman" w:hAnsi="Times New Roman"/>
          <w:sz w:val="24"/>
          <w:szCs w:val="24"/>
        </w:rPr>
      </w:pPr>
      <w:r>
        <w:rPr>
          <w:rFonts w:ascii="Times New Roman" w:hAnsi="Times New Roman"/>
          <w:sz w:val="24"/>
        </w:rPr>
        <w:t>………………………………………………………………………………………………….</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een gedetailleerde beschrijving van het controle- en het handhavingsmechanisme die moeten zorgen voor de naleving van de voorwaarden van deel II, hoofdstuk 3, afdeling 3.3, van de richtsnoeren.</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rFonts w:ascii="Times New Roman" w:eastAsia="Times New Roman" w:hAnsi="Times New Roman"/>
          <w:sz w:val="24"/>
          <w:szCs w:val="24"/>
        </w:rPr>
      </w:pPr>
      <w:r>
        <w:rPr>
          <w:rFonts w:ascii="Times New Roman" w:hAnsi="Times New Roman"/>
          <w:sz w:val="24"/>
        </w:rPr>
        <w:t>………………………………………………………………………………………………….</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een nadere beschrijving van de kenmerken van de maatregel, waaronder de omvang van de verhoogde vangstcapaciteit en het doel van die verhoging.</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rFonts w:ascii="Times New Roman" w:eastAsia="Times New Roman" w:hAnsi="Times New Roman"/>
          <w:sz w:val="24"/>
          <w:szCs w:val="24"/>
        </w:rPr>
      </w:pPr>
      <w:r>
        <w:rPr>
          <w:rFonts w:ascii="Times New Roman" w:hAnsi="Times New Roman"/>
          <w:sz w:val="24"/>
        </w:rPr>
        <w:t>………………………………………………………………………………………………….</w:t>
      </w:r>
    </w:p>
    <w:p w14:paraId="73469BF8" w14:textId="6C951CD2" w:rsidR="005B1262" w:rsidRDefault="000209D0" w:rsidP="004C410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Als het antwoord al is gegeven in een antwoord op een vorige vraag of in een vorige rubriek, verwijs dan naar dat antwoord.</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maximale steunintensiteit niet hoger is dan 40 % van de in aanmerking komende kosten.</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432D4">
        <w:rPr>
          <w:rFonts w:ascii="Times New Roman" w:eastAsia="Times New Roman" w:hAnsi="Times New Roman"/>
          <w:b/>
          <w:sz w:val="24"/>
        </w:rPr>
      </w:r>
      <w:r w:rsidR="006432D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Vermeld de maximale steunintensiteit(en) die in het kader van de maatregel van toepassing is (zijn).</w:t>
      </w:r>
    </w:p>
    <w:p w14:paraId="0733FC72" w14:textId="77777777" w:rsidR="00F13816" w:rsidRDefault="00F13816" w:rsidP="00F13816">
      <w:pPr>
        <w:rPr>
          <w:rFonts w:ascii="Times New Roman" w:eastAsia="Times New Roman" w:hAnsi="Times New Roman"/>
          <w:sz w:val="24"/>
          <w:szCs w:val="24"/>
        </w:rPr>
      </w:pPr>
      <w:r>
        <w:rPr>
          <w:rFonts w:ascii="Times New Roman" w:hAnsi="Times New Roman"/>
          <w:sz w:val="24"/>
        </w:rPr>
        <w:t>………………………………………………………………………………………………….</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4" w:name="_Hlk125368675"/>
      <w:r>
        <w:rPr>
          <w:rFonts w:ascii="Times New Roman" w:hAnsi="Times New Roman"/>
          <w:sz w:val="24"/>
        </w:rPr>
        <w:t>Geef aan in welke bepaling(en) van de rechtsgrondslag de maximale steunintensiteit(en) in het kader van de maatregel is (zijn) vermeld.</w:t>
      </w:r>
    </w:p>
    <w:p w14:paraId="2F5ED9DD" w14:textId="77777777" w:rsidR="007D4B84" w:rsidRDefault="007D4B84" w:rsidP="007D4B84">
      <w:pPr>
        <w:rPr>
          <w:rFonts w:ascii="Times New Roman" w:eastAsia="Times New Roman" w:hAnsi="Times New Roman"/>
          <w:sz w:val="24"/>
          <w:szCs w:val="24"/>
        </w:rPr>
      </w:pPr>
      <w:r>
        <w:rPr>
          <w:rFonts w:ascii="Times New Roman" w:hAnsi="Times New Roman"/>
          <w:sz w:val="24"/>
        </w:rPr>
        <w:t>………………………………………………………………………………………………….</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OVERIGE INFORMATIE</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Hier kunt u alle andere informatie verstrekken die u van belang acht voor de toetsing van de maatregel aan deze afdeling van de richtsnoeren.</w:t>
      </w:r>
    </w:p>
    <w:p w14:paraId="227C2D0E"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PB C 107 van 23.3.2023, blz.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Zie de punten (225) en (226) van de richtsnoeren, waarin de opeenvolgende elementen worden beschreven van het nationaal verslag van jaar N en de door de Commissie uiterlijk op 31 maart van jaar N+1 te ondernemen actie.</w:t>
      </w:r>
    </w:p>
  </w:footnote>
  <w:footnote w:id="3">
    <w:p w14:paraId="2D939E5B" w14:textId="1040D298"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Mededeling van de Commissie aan het Europees Parlement en de Raad — Richtsnoeren voor de analyse van het evenwicht tussen vangstcapaciteit en vangstmogelijkheden volgens artikel 22 van Verordening (EU) nr. 1380/2013 van het Europees Parlement en de Raad inzake het gemeenschappelijk visserijbeleid (COM(2014) 545 final).</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Verordening (EG) nr. 1224/2009 van de Raad van 20 november 2009 tot vaststelling van een communautaire controleregeling die de naleving van de regels van het gemeenschappelijk visserijbeleid moet garanderen, tot wijziging van Verordeningen (EG) nr. 847/96, (EG) nr. 2371/2002, (EG) nr. 811/2004, (EG) nr. 768/2005, (EG) nr. 2115/2005, (EG) nr. 2166/2005, (EG) nr. 388/2006, (EG) nr. 509/2007, (EG) nr. 676/2007, (EG) nr. 1098/2007, (EG) nr. 1300/2008, (EG) nr. 1342/2008 en tot intrekking van Verordeningen (EEG) nr. 2847/93, (EG) nr. 1627/94 en (EG) nr. 1966/2006 (PB L 343 van 22.12.2009,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432D4"/>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9B38E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1379</Words>
  <Characters>8114</Characters>
  <Application>Microsoft Office Word</Application>
  <DocSecurity>0</DocSecurity>
  <Lines>213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STOOP Peter (DGT)</cp:lastModifiedBy>
  <cp:revision>8</cp:revision>
  <dcterms:created xsi:type="dcterms:W3CDTF">2024-09-05T15:06:00Z</dcterms:created>
  <dcterms:modified xsi:type="dcterms:W3CDTF">2024-09-15T08:25:00Z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