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3.3</w:t>
      </w:r>
    </w:p>
    <w:p w14:paraId="7788A656" w14:textId="272FAB0D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Scheda di informazioni supplementari sugli</w:t>
      </w:r>
      <w:r>
        <w:br/>
      </w:r>
      <w:r>
        <w:rPr>
          <w:rFonts w:ascii="Times New Roman" w:hAnsi="Times New Roman"/>
          <w:b/>
          <w:smallCaps/>
          <w:sz w:val="24"/>
        </w:rPr>
        <w:t>aiuti per l</w:t>
      </w:r>
      <w:r w:rsidR="006B77E5">
        <w:rPr>
          <w:rFonts w:ascii="Times New Roman" w:hAnsi="Times New Roman"/>
          <w:b/>
          <w:smallCaps/>
          <w:sz w:val="24"/>
        </w:rPr>
        <w:t>'</w:t>
      </w:r>
      <w:r>
        <w:rPr>
          <w:rFonts w:ascii="Times New Roman" w:hAnsi="Times New Roman"/>
          <w:b/>
          <w:smallCaps/>
          <w:sz w:val="24"/>
        </w:rPr>
        <w:t>aumento della stazza lorda di un peschereccio ai fini del miglioramento della sicurezza, delle condizioni di lavoro o dell</w:t>
      </w:r>
      <w:r w:rsidR="006B77E5">
        <w:rPr>
          <w:rFonts w:ascii="Times New Roman" w:hAnsi="Times New Roman"/>
          <w:b/>
          <w:smallCaps/>
          <w:sz w:val="24"/>
        </w:rPr>
        <w:t>'</w:t>
      </w:r>
      <w:r>
        <w:rPr>
          <w:rFonts w:ascii="Times New Roman" w:hAnsi="Times New Roman"/>
          <w:b/>
          <w:smallCaps/>
          <w:sz w:val="24"/>
        </w:rPr>
        <w:t>efficienza energetica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F340A8B" w:rsidR="005615D7" w:rsidRPr="005615D7" w:rsidRDefault="009B38E1" w:rsidP="00A676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Questo modulo deve essere utilizzato dagli Stati membri per la notifica degli aiuti per l</w:t>
      </w:r>
      <w:r w:rsidR="006B77E5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aumento della stazza lorda di un peschereccio ai fini del miglioramento della sicurezza, delle condizioni di lavoro o dell</w:t>
      </w:r>
      <w:r w:rsidR="006B77E5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efficienza energetica, come descritto nella parte II, capitolo</w:t>
      </w:r>
      <w:r w:rsidR="00C14E9B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3, sezione 3.3, degli orientamenti per gli aiuti di Stato nel settore della pesca e dell</w:t>
      </w:r>
      <w:r w:rsidR="006B77E5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acquacoltura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</w:t>
      </w:r>
      <w:r w:rsidR="006B77E5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gli orientamenti</w:t>
      </w:r>
      <w:r w:rsidR="006B77E5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).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5D7999A9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i pescherecci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Unione cui è stato concesso un aiuto non siano trasferiti né reimmatricolati al di fuori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Unione per almeno cinque anni dal pagamento finale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aiuto: 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10A2963C" w14:textId="77777777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457B286A" w:rsidR="00A67609" w:rsidRPr="009B38E1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>
        <w:rPr>
          <w:rFonts w:ascii="Times New Roman" w:hAnsi="Times New Roman"/>
          <w:sz w:val="24"/>
        </w:rPr>
        <w:t>A norma del punto (265), lettera (a), degli orientamenti i pescherecci devono appartenere a un segmento di flotta per il quale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ultima relazione sulla capacità di pesca, di cui all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22, paragrafo 2, del regolamento (UE) n. 1380/2013, ha dimostrato un equilibrio rispetto alle possibilità di pesca di cui dispone tale segmento</w:t>
      </w:r>
      <w:bookmarkStart w:id="1" w:name="_Hlk127291610"/>
      <w:r>
        <w:rPr>
          <w:rFonts w:ascii="Times New Roman" w:hAnsi="Times New Roman"/>
          <w:sz w:val="24"/>
        </w:rPr>
        <w:t xml:space="preserve"> (in prosieguo </w:t>
      </w:r>
      <w:r w:rsidR="006B77E5"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</w:rPr>
        <w:t>relazione nazionale</w:t>
      </w:r>
      <w:r w:rsidR="006B77E5"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</w:rPr>
        <w:t>)</w:t>
      </w:r>
      <w:bookmarkEnd w:id="1"/>
      <w:r>
        <w:rPr>
          <w:rFonts w:ascii="Times New Roman" w:hAnsi="Times New Roman"/>
          <w:sz w:val="24"/>
        </w:rPr>
        <w:t>.</w:t>
      </w:r>
      <w:bookmarkEnd w:id="0"/>
      <w:r>
        <w:rPr>
          <w:rFonts w:ascii="Times New Roman" w:hAnsi="Times New Roman"/>
          <w:sz w:val="24"/>
        </w:rPr>
        <w:t xml:space="preserve"> A norma del punto (266) degli orientamenti la procedura e le condizioni di cui alla parte II, capitolo 2, sezione 2.2, punti da (225) a (227), si applicano ai fini del punto (265), lettera (a). In tale contesto, confermare quanto indicato di seguito.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BC79731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Quando è stata stilata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ultima relazione nazionale prima della data di concessione degli aiuti?</w:t>
      </w:r>
    </w:p>
    <w:p w14:paraId="370CE4BD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FEFB8" w14:textId="2A60D726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Fornire il link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ultima relazione nazionale o allegarla alla notifica.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che, affinché siano concessi tutti gli aiuti, sono rispettate le condizioni indicate di seguito.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5C091EFD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La relazione nazionale è stata presentata entro il 31 maggio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89C68D6" w14:textId="69AD6D08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Confermare che la relazione nazionale presentata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 e, in particolare, la valutazione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equilibrio contenuta nella stessa, è stata elaborata sulla base degli indicatori biologici, economici e di utilizzo del peschereccio definiti negli orientamenti comuni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 xml:space="preserve"> di cui all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22, paragrafo 2, del regolamento (UE) n. 1380/2013: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864EF7D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>Si fa presente che l</w:t>
      </w:r>
      <w:r w:rsidR="006B77E5">
        <w:rPr>
          <w:i/>
          <w:sz w:val="23"/>
        </w:rPr>
        <w:t>'</w:t>
      </w:r>
      <w:r>
        <w:rPr>
          <w:i/>
          <w:sz w:val="23"/>
        </w:rPr>
        <w:t>aiuto non può essere concesso se la relazione nazionale e, in particolare, la valutazione dell</w:t>
      </w:r>
      <w:r w:rsidR="006B77E5">
        <w:rPr>
          <w:i/>
          <w:sz w:val="23"/>
        </w:rPr>
        <w:t>'</w:t>
      </w:r>
      <w:r>
        <w:rPr>
          <w:i/>
          <w:sz w:val="23"/>
        </w:rPr>
        <w:t>equilibrio contenuta nella stessa, non è stata elaborata sulla base degli indicatori biologici, economici e di utilizzo del peschereccio definiti negli orientamenti comuni</w:t>
      </w:r>
      <w:r>
        <w:rPr>
          <w:i/>
          <w:color w:val="040004"/>
          <w:sz w:val="16"/>
        </w:rPr>
        <w:t xml:space="preserve"> </w:t>
      </w:r>
      <w:r>
        <w:rPr>
          <w:i/>
          <w:sz w:val="23"/>
        </w:rPr>
        <w:t>di cui all</w:t>
      </w:r>
      <w:r w:rsidR="006B77E5">
        <w:rPr>
          <w:i/>
          <w:sz w:val="23"/>
        </w:rPr>
        <w:t>'</w:t>
      </w:r>
      <w:r>
        <w:rPr>
          <w:i/>
          <w:sz w:val="23"/>
        </w:rPr>
        <w:t>articolo 22, paragrafo 2, del regolamento (UE) n. 1380/2013.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699791AE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La relazione nazionale presentata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 dimostra la presenza di un equilibrio tra capacità di pesca e possibilità di pesca nel segmento di flotta cui il peschereccio appart</w:t>
      </w:r>
      <w:r w:rsidR="003B00AE">
        <w:rPr>
          <w:rFonts w:ascii="Times New Roman" w:hAnsi="Times New Roman"/>
          <w:sz w:val="24"/>
        </w:rPr>
        <w:t>iene</w:t>
      </w:r>
      <w:r>
        <w:rPr>
          <w:rFonts w:ascii="Times New Roman" w:hAnsi="Times New Roman"/>
          <w:sz w:val="24"/>
        </w:rPr>
        <w:t>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41EBD710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Spiegare in che modo si è tenuto conto della relazione nazionale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elaborazione della misura e come è raggiunto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equilibrio.</w:t>
      </w:r>
    </w:p>
    <w:p w14:paraId="1A3175A9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7B8E2A" w14:textId="79E841B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Commissione non ha messo in discussione entro il</w:t>
      </w:r>
      <w:r w:rsidR="000F483D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31</w:t>
      </w:r>
      <w:r w:rsidR="00C14E9B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marzo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N+1: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51EFC429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sz w:val="24"/>
        </w:rPr>
      </w:r>
      <w:r w:rsidR="00C1650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la conclusione della relazione nazionale presentata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anno N;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8FCC2E4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sz w:val="24"/>
        </w:rPr>
      </w:r>
      <w:r w:rsidR="00C1650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b) la valutazione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equilibrio contenuta nella relazione nazionale presentata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N.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36D6AF25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gli aiuti possano essere concessi sulla base della relazione nazionale presentata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 solo fino al 31 dicembre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N+1, ossia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anno successivo a quello di presentazione della relazione: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2309B67B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Se la misura riguarda la pesca nelle acque interne, non è necessario rispondere alle domande 2.1-2.2.6.1.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Confermare che la misura prevede che i pescherecci abbiano una lunghezza fuori tutto non superiore a 24 metri: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4B51EE41" w14:textId="55E2563B" w:rsidR="004C4105" w:rsidRPr="005615D7" w:rsidRDefault="004C4105" w:rsidP="006E20F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BF3818" w14:textId="2AD73F0E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i pescherecci debbano essere registrati nel registro della flotta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Unione per almeno dieci anni civili precedenti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di presentazione della domanda di aiuto: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3B3FB8D8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Se la misura riguarda la pesca nelle acque interne, confermare che la misura prevede che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possa essere concesso soltanto a un peschereccio che è entrato in servizio, a norma del diritto nazionale, da almeno dieci anni civili precedenti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di presentazione della domanda: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 alla domanda 4 o 4.1, indicare le disposizioni pertinenti della base giuridica.</w:t>
      </w:r>
    </w:p>
    <w:p w14:paraId="686389B7" w14:textId="2EEAAC6E" w:rsidR="00256D84" w:rsidRDefault="006E20F3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71C0A97" w14:textId="682BDF56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entrata nella flotta di una nuova capacità di pesca generata dall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operazione è compensata dal ritiro preliminare di una capacità di pesca almeno identica senza aiuti pubblici dallo stesso segmento di flotta o da un segmento di flotta per il quale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ultima relazione nazionale di cui all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22, paragrafo 2, del regolamento (UE) n. 1380/2013 ha dimostrato che la capacità di pesca non è ben equilibrata rispetto alle possibilità di pesca di cui dispone tale segmento: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 alla domanda precedente, indicare le disposizioni pertinenti della base giuridica.</w:t>
      </w:r>
    </w:p>
    <w:p w14:paraId="05E14B9B" w14:textId="1E1092E3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Se la misura riguarda la pesca nelle acque interne, questa domanda non è pertinente.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i costi ammissibili: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2503FA97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aumento della stazza lorda necessario per la successiva installazione o ristrutturazione delle strutture ricettive destinate all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uso esclusivo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equipaggio, compresi i servizi igienici, le aree comuni, le cucine e le strutture del ponte di riparo;</w:t>
      </w:r>
    </w:p>
    <w:p w14:paraId="09A89D83" w14:textId="3EDE3119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aumento della stazza lorda necessario per il successivo miglioramento o la successiva installazione dei sistemi antincendio, dei sistemi di sicurezza e di allarme o dei dispositivi di riduzione del rumore a bordo;</w:t>
      </w:r>
    </w:p>
    <w:p w14:paraId="24AF6DCD" w14:textId="5BCDA763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aumento della stazza lorda necessario per la successiva installazione di sistemi a ponte integrati al fine di migliorare la navigazione o il controllo del motore;</w:t>
      </w:r>
    </w:p>
    <w:p w14:paraId="791428B0" w14:textId="53654348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d)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aumento della stazza lorda necessario per la successiva installazione o ristrutturazione di un motore o di un sistema di propulsione che dimostri una migliore efficienza energetica o emissioni di CO₂ inferiori rispetto alla situazione precedente, che non abbia una potenza superiore alla potenza motrice precedentemente certificata del peschereccio a norma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40, paragrafo 1, del regolamento (CE) n. 1224/2009 del Consiglio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e la cui massima potenza di uscita sia certificata dal costruttore per il modello del motore o del sistema di propulsione in questione;</w:t>
      </w:r>
    </w:p>
    <w:p w14:paraId="3E27BC3F" w14:textId="30DC8453" w:rsidR="00F3649F" w:rsidRDefault="001D7707" w:rsidP="001D770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e) la sostituzione o la ristrutturazione della prua a bulbo, a condizione che migliori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efficienza energetica complessiva del peschereccio.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Indicare le disposizioni della base giuridica che rimandano alla selezione effettuata.</w:t>
      </w:r>
    </w:p>
    <w:p w14:paraId="15BC5AA7" w14:textId="1089BD9D" w:rsidR="004C4105" w:rsidRDefault="004C4105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8F375A" w14:textId="593D9D0D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i costi ammissibili comprendono solo i costi diretti e indiretti riguardanti gli aiuti agli investimenti per il miglioramento della sicurezza, delle condizioni di lavoro o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efficienza energetica che portano a un aumento della stazza lorda di un peschereccio: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A111807" w14:textId="3EB9D5D4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3B9C4A41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34023979"/>
      <w:r>
        <w:rPr>
          <w:rFonts w:ascii="Times New Roman" w:hAnsi="Times New Roman"/>
          <w:sz w:val="24"/>
        </w:rPr>
        <w:t>Fornire una descrizione dettagliata dei costi ammissibili nell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della misura. Descrivere quali costi si riferiscono al miglioramento della sicurezza, delle condizioni di lavoro o dell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efficienza energetica.</w:t>
      </w:r>
    </w:p>
    <w:bookmarkEnd w:id="3"/>
    <w:p w14:paraId="500DDBE6" w14:textId="77777777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296E78">
      <w:pPr>
        <w:keepNext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Descrivere in dettaglio i meccanismi di controllo e attuazione istituiti per garantire il rispetto delle condizioni di cui alla parte II, capitolo 3, sezione 3.3, degli orientamenti.</w:t>
      </w:r>
    </w:p>
    <w:p w14:paraId="622D5B44" w14:textId="77777777" w:rsidR="00651AE7" w:rsidRDefault="00651AE7" w:rsidP="00296E78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014DDABF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Fornire una descrizione dettagliata delle caratteristiche della misura, ivi compreso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della capacità di pesca incrementato e il fine di tale incremento.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Se ciò è già stato indicato in risposta a una domanda o a una sezione di cui sopra, fare riferimento a tale risposta.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4226DBAE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Confermare che la misura prevede che l</w:t>
      </w:r>
      <w:r w:rsidR="006B77E5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intensità massima di aiuto </w:t>
      </w:r>
      <w:r w:rsidR="00E43A60">
        <w:rPr>
          <w:rFonts w:ascii="Times New Roman" w:hAnsi="Times New Roman"/>
          <w:sz w:val="24"/>
        </w:rPr>
        <w:t>non superi i</w:t>
      </w:r>
      <w:r>
        <w:rPr>
          <w:rFonts w:ascii="Times New Roman" w:hAnsi="Times New Roman"/>
          <w:sz w:val="24"/>
        </w:rPr>
        <w:t>l 40 % dei costi ammissibili: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16509">
        <w:rPr>
          <w:rFonts w:ascii="Times New Roman" w:eastAsia="Times New Roman" w:hAnsi="Times New Roman"/>
          <w:b/>
          <w:sz w:val="24"/>
        </w:rPr>
      </w:r>
      <w:r w:rsidR="00C1650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6F1C514" w:rsidR="007D4B84" w:rsidRDefault="00E43A60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5368675"/>
      <w:r>
        <w:rPr>
          <w:rFonts w:ascii="Times New Roman" w:hAnsi="Times New Roman"/>
          <w:sz w:val="24"/>
          <w:szCs w:val="24"/>
        </w:rPr>
        <w:t>Indicare le intensità massime di aiuto applicabili nell</w:t>
      </w:r>
      <w:r w:rsidR="006B77E5">
        <w:rPr>
          <w:rFonts w:ascii="Times New Roman" w:hAnsi="Times New Roman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ambito della misura</w:t>
      </w:r>
      <w:r w:rsidR="007D4B84">
        <w:rPr>
          <w:rFonts w:ascii="Times New Roman" w:hAnsi="Times New Roman"/>
          <w:sz w:val="24"/>
        </w:rPr>
        <w:t>.</w:t>
      </w:r>
    </w:p>
    <w:p w14:paraId="2F5ED9DD" w14:textId="77777777" w:rsidR="007D4B84" w:rsidRDefault="007D4B84" w:rsidP="007D4B8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6398A12C" w14:textId="28D2ED5D" w:rsidR="00E43A60" w:rsidRDefault="00E43A60" w:rsidP="00E43A6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Indicare le disposizioni della base giuridica che stabiliscono il limite del 100% e le intensità massime di aiuto previste nell</w:t>
      </w:r>
      <w:r w:rsidR="006B77E5">
        <w:rPr>
          <w:rFonts w:ascii="Times New Roman" w:hAnsi="Times New Roman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ambito della misura</w:t>
      </w:r>
      <w:r>
        <w:rPr>
          <w:rFonts w:ascii="Times New Roman" w:hAnsi="Times New Roman"/>
          <w:sz w:val="24"/>
        </w:rPr>
        <w:t>.</w:t>
      </w:r>
    </w:p>
    <w:p w14:paraId="716C0A3F" w14:textId="77777777" w:rsidR="00E43A60" w:rsidRDefault="00E43A60" w:rsidP="00E43A6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ALTRE INFORMAZIONI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F7F9E80" w:rsidR="005615D7" w:rsidRPr="005615D7" w:rsidRDefault="005615D7" w:rsidP="00E43A6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Indicare eventuali altre informazioni ritenute pertinenti per la valutazione della misura a norma di questa sezione degli orientamenti.</w:t>
      </w:r>
    </w:p>
    <w:p w14:paraId="227C2D0E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51E83D9F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GU</w:t>
      </w:r>
      <w:r w:rsidR="00C14E9B">
        <w:rPr>
          <w:rFonts w:ascii="Times New Roman" w:hAnsi="Times New Roman"/>
        </w:rPr>
        <w:t> </w:t>
      </w:r>
      <w:r>
        <w:rPr>
          <w:rFonts w:ascii="Times New Roman" w:hAnsi="Times New Roman"/>
        </w:rPr>
        <w:t>C</w:t>
      </w:r>
      <w:r w:rsidR="00051368">
        <w:rPr>
          <w:rFonts w:ascii="Times New Roman" w:hAnsi="Times New Roman"/>
        </w:rPr>
        <w:t> </w:t>
      </w:r>
      <w:r>
        <w:rPr>
          <w:rFonts w:ascii="Times New Roman" w:hAnsi="Times New Roman"/>
        </w:rPr>
        <w:t>107 del 23.3.2023, pag. 1.</w:t>
      </w:r>
    </w:p>
  </w:footnote>
  <w:footnote w:id="2">
    <w:p w14:paraId="51AB2412" w14:textId="06A9698F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Fare riferimento ai punti (225) e (226) degli orientamenti che descrivono le sequenze della relazione nazionale dell</w:t>
      </w:r>
      <w:r w:rsidR="006B77E5">
        <w:rPr>
          <w:rFonts w:ascii="Times New Roman" w:hAnsi="Times New Roman"/>
        </w:rPr>
        <w:t>'</w:t>
      </w:r>
      <w:r>
        <w:rPr>
          <w:rFonts w:ascii="Times New Roman" w:hAnsi="Times New Roman"/>
        </w:rPr>
        <w:t>anno N e l</w:t>
      </w:r>
      <w:r w:rsidR="006B77E5">
        <w:rPr>
          <w:rFonts w:ascii="Times New Roman" w:hAnsi="Times New Roman"/>
        </w:rPr>
        <w:t>'</w:t>
      </w:r>
      <w:r>
        <w:rPr>
          <w:rFonts w:ascii="Times New Roman" w:hAnsi="Times New Roman"/>
        </w:rPr>
        <w:t>azione della Commissione entro il 31 marzo dell</w:t>
      </w:r>
      <w:r w:rsidR="006B77E5">
        <w:rPr>
          <w:rFonts w:ascii="Times New Roman" w:hAnsi="Times New Roman"/>
        </w:rPr>
        <w:t>'</w:t>
      </w:r>
      <w:r>
        <w:rPr>
          <w:rFonts w:ascii="Times New Roman" w:hAnsi="Times New Roman"/>
        </w:rPr>
        <w:t>anno N+1.</w:t>
      </w:r>
    </w:p>
  </w:footnote>
  <w:footnote w:id="3">
    <w:p w14:paraId="2D939E5B" w14:textId="12D876D3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Comunicazione della Commissione al Parlamento europeo e al Consiglio </w:t>
      </w:r>
      <w:r w:rsidR="006B77E5">
        <w:rPr>
          <w:rFonts w:ascii="Times New Roman" w:hAnsi="Times New Roman"/>
        </w:rPr>
        <w:t>"</w:t>
      </w:r>
      <w:r>
        <w:rPr>
          <w:rFonts w:ascii="Times New Roman" w:hAnsi="Times New Roman"/>
        </w:rPr>
        <w:t>Orientamenti per l</w:t>
      </w:r>
      <w:r w:rsidR="006B77E5">
        <w:rPr>
          <w:rFonts w:ascii="Times New Roman" w:hAnsi="Times New Roman"/>
        </w:rPr>
        <w:t>'</w:t>
      </w:r>
      <w:r>
        <w:rPr>
          <w:rFonts w:ascii="Times New Roman" w:hAnsi="Times New Roman"/>
        </w:rPr>
        <w:t>analisi dell</w:t>
      </w:r>
      <w:r w:rsidR="006B77E5">
        <w:rPr>
          <w:rFonts w:ascii="Times New Roman" w:hAnsi="Times New Roman"/>
        </w:rPr>
        <w:t>'</w:t>
      </w:r>
      <w:r>
        <w:rPr>
          <w:rFonts w:ascii="Times New Roman" w:hAnsi="Times New Roman"/>
        </w:rPr>
        <w:t>equilibrio tra la capacità di pesca e le possibilità di pesca, conformemente all</w:t>
      </w:r>
      <w:r w:rsidR="006B77E5">
        <w:rPr>
          <w:rFonts w:ascii="Times New Roman" w:hAnsi="Times New Roman"/>
        </w:rPr>
        <w:t>'</w:t>
      </w:r>
      <w:r>
        <w:rPr>
          <w:rFonts w:ascii="Times New Roman" w:hAnsi="Times New Roman"/>
        </w:rPr>
        <w:t>articolo 22 del regolamento (UE) n. 1380/2013 del Parlamento europeo e del Consiglio relativo alla politica comune della pesca</w:t>
      </w:r>
      <w:r w:rsidR="006B77E5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 (COM(2014) 545 final).</w:t>
      </w:r>
    </w:p>
  </w:footnote>
  <w:footnote w:id="4">
    <w:p w14:paraId="7410FC78" w14:textId="05B89577" w:rsidR="001D7707" w:rsidRPr="001D7707" w:rsidRDefault="001D7707" w:rsidP="00C16509">
      <w:pPr>
        <w:pStyle w:val="FootnoteText"/>
        <w:tabs>
          <w:tab w:val="left" w:pos="284"/>
        </w:tabs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Regolamento (CE) n. 1224/2009 del Consiglio, del 20 novembre 2009, che istituisce un regime di controllo comunitario per garantire il rispetto delle norme della politica comune della pesca, che modifica i regolamenti (CE) n. 847/96, (CE) n. 2371/2002, (CE) n. 811/2004, (CE) n. 768/2005, (CE) n. 2115/2005, (CE) n. 2166/2005, (CE) n. 388/2006, (CE) n. 509/2007, (CE) n. 676/2007, (CE) n. 1098/2007, (CE) n. 1300/2008, (CE) n. 1342/2008 e che abroga i regolamenti (CEE) n. 2847/93, (CE) n. 1627/94 e (CE) n. 1966/2006 (GU</w:t>
      </w:r>
      <w:r w:rsidR="00C14E9B">
        <w:rPr>
          <w:rFonts w:ascii="Times New Roman" w:hAnsi="Times New Roman"/>
        </w:rPr>
        <w:t> </w:t>
      </w:r>
      <w:r>
        <w:rPr>
          <w:rFonts w:ascii="Times New Roman" w:hAnsi="Times New Roman"/>
        </w:rPr>
        <w:t>L</w:t>
      </w:r>
      <w:r w:rsidR="00C14E9B">
        <w:rPr>
          <w:rFonts w:ascii="Times New Roman" w:hAnsi="Times New Roman"/>
        </w:rPr>
        <w:t> </w:t>
      </w:r>
      <w:r>
        <w:rPr>
          <w:rFonts w:ascii="Times New Roman" w:hAnsi="Times New Roman"/>
        </w:rPr>
        <w:t>343 del 22.12.2009, pag.</w:t>
      </w:r>
      <w:r w:rsidR="00C14E9B">
        <w:rPr>
          <w:rFonts w:ascii="Times New Roman" w:hAnsi="Times New Roman"/>
        </w:rPr>
        <w:t> </w:t>
      </w:r>
      <w:r>
        <w:rPr>
          <w:rFonts w:ascii="Times New Roman" w:hAnsi="Times New Roman"/>
        </w:rPr>
        <w:t>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1C20ECF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9"/>
  </w:num>
  <w:num w:numId="3" w16cid:durableId="1146971053">
    <w:abstractNumId w:val="2"/>
  </w:num>
  <w:num w:numId="4" w16cid:durableId="2129348874">
    <w:abstractNumId w:val="6"/>
  </w:num>
  <w:num w:numId="5" w16cid:durableId="209802491">
    <w:abstractNumId w:val="3"/>
  </w:num>
  <w:num w:numId="6" w16cid:durableId="1414428307">
    <w:abstractNumId w:val="8"/>
  </w:num>
  <w:num w:numId="7" w16cid:durableId="847254142">
    <w:abstractNumId w:val="7"/>
  </w:num>
  <w:num w:numId="8" w16cid:durableId="1951278949">
    <w:abstractNumId w:val="5"/>
  </w:num>
  <w:num w:numId="9" w16cid:durableId="2030136977">
    <w:abstractNumId w:val="0"/>
  </w:num>
  <w:num w:numId="10" w16cid:durableId="110279606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51368"/>
    <w:rsid w:val="000A5405"/>
    <w:rsid w:val="000E2F1C"/>
    <w:rsid w:val="000F483D"/>
    <w:rsid w:val="00136501"/>
    <w:rsid w:val="001A718E"/>
    <w:rsid w:val="001D7707"/>
    <w:rsid w:val="001E09E4"/>
    <w:rsid w:val="001F0558"/>
    <w:rsid w:val="00236AD9"/>
    <w:rsid w:val="00252DEE"/>
    <w:rsid w:val="00256D84"/>
    <w:rsid w:val="00296E78"/>
    <w:rsid w:val="002F7CEF"/>
    <w:rsid w:val="003649C9"/>
    <w:rsid w:val="00385658"/>
    <w:rsid w:val="003B00AE"/>
    <w:rsid w:val="003E0993"/>
    <w:rsid w:val="004022E9"/>
    <w:rsid w:val="00453ADA"/>
    <w:rsid w:val="0046170F"/>
    <w:rsid w:val="004629F3"/>
    <w:rsid w:val="004668F6"/>
    <w:rsid w:val="004A1EA0"/>
    <w:rsid w:val="004C4105"/>
    <w:rsid w:val="0050429C"/>
    <w:rsid w:val="005106A9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B77E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7CCD"/>
    <w:rsid w:val="00C14E9B"/>
    <w:rsid w:val="00C16509"/>
    <w:rsid w:val="00C300A7"/>
    <w:rsid w:val="00C53001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43A60"/>
    <w:rsid w:val="00E610A6"/>
    <w:rsid w:val="00E65A1F"/>
    <w:rsid w:val="00EE7462"/>
    <w:rsid w:val="00F14E84"/>
    <w:rsid w:val="00F241D6"/>
    <w:rsid w:val="00F3649F"/>
    <w:rsid w:val="00F37EC5"/>
    <w:rsid w:val="00F56F54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1341</Words>
  <Characters>8078</Characters>
  <Application>Microsoft Office Word</Application>
  <DocSecurity>0</DocSecurity>
  <Lines>207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MOROSI Micol (DGT)</cp:lastModifiedBy>
  <cp:revision>13</cp:revision>
  <dcterms:created xsi:type="dcterms:W3CDTF">2023-05-03T14:18:00Z</dcterms:created>
  <dcterms:modified xsi:type="dcterms:W3CDTF">2024-09-24T13:55:00Z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