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Ficha de informações complementares sobre os</w:t>
      </w:r>
      <w:r>
        <w:rPr>
          <w:rFonts w:ascii="Times New Roman" w:hAnsi="Times New Roman"/>
          <w:b/>
          <w:smallCaps/>
          <w:sz w:val="24"/>
        </w:rPr>
        <w:br/>
        <w:t>auxílios à substituição ou modernização de um motor principal ou auxiliar</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O presente formulário deve ser utilizado pelos Estados-Membros para a notificação dos auxílios à substituição ou modernização de um motor principal ou auxiliar de navios de pesca, tal como descrito na parte II, capítulo 3, secção 3.2, das Orientações relativas aos auxílios estatais no setor das pescas e da aquicultura</w:t>
      </w:r>
      <w:r w:rsidR="00F877C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auxílios só serão concedidos para a substituição ou modernização de um motor principal ou auxiliar de um navio de pesca com um comprimento de fora a fora não superior a 24 metros.</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244C7FDB"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Hlk127291610"/>
      <w:bookmarkStart w:id="1" w:name="_Ref124951182"/>
      <w:r>
        <w:rPr>
          <w:rFonts w:ascii="Times New Roman" w:hAnsi="Times New Roman"/>
          <w:sz w:val="24"/>
        </w:rPr>
        <w:t>Em conformidade com o ponto 253, alínea a), das Orientações, os navios de pesca devem pertencer a um segmento da frota em relação ao qual o mais recente relatório sobre a capacidade de pesca a que se refere o artigo 22.º, n.º 2, do Regulamento</w:t>
      </w:r>
      <w:r w:rsidR="00E404E6">
        <w:rPr>
          <w:rFonts w:ascii="Times New Roman" w:hAnsi="Times New Roman"/>
          <w:sz w:val="24"/>
        </w:rPr>
        <w:t xml:space="preserve"> </w:t>
      </w:r>
      <w:r>
        <w:rPr>
          <w:rFonts w:ascii="Times New Roman" w:hAnsi="Times New Roman"/>
          <w:sz w:val="24"/>
        </w:rPr>
        <w:t>(UE)</w:t>
      </w:r>
      <w:r w:rsidR="00E404E6">
        <w:rPr>
          <w:rFonts w:ascii="Times New Roman" w:hAnsi="Times New Roman"/>
          <w:sz w:val="24"/>
        </w:rPr>
        <w:t> </w:t>
      </w:r>
      <w:r>
        <w:rPr>
          <w:rFonts w:ascii="Times New Roman" w:hAnsi="Times New Roman"/>
          <w:sz w:val="24"/>
        </w:rPr>
        <w:t>n.º 1380/2013</w:t>
      </w:r>
      <w:r w:rsidR="0053598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tenha demonstrado a existência de um equilíbrio entre a capacidade de pesca e as possibilidades de pesca disponíveis para esse segmento (de seguida «o relatório nacional»)</w:t>
      </w:r>
      <w:bookmarkEnd w:id="0"/>
      <w:r>
        <w:rPr>
          <w:rFonts w:ascii="Times New Roman" w:hAnsi="Times New Roman"/>
          <w:sz w:val="24"/>
        </w:rPr>
        <w:t>.</w:t>
      </w:r>
      <w:bookmarkEnd w:id="1"/>
      <w:r>
        <w:rPr>
          <w:rFonts w:ascii="Times New Roman" w:hAnsi="Times New Roman"/>
          <w:sz w:val="24"/>
        </w:rPr>
        <w:t xml:space="preserve"> </w:t>
      </w:r>
      <w:r>
        <w:rPr>
          <w:rFonts w:ascii="Times New Roman" w:hAnsi="Times New Roman"/>
        </w:rPr>
        <w:t xml:space="preserve">Em conformidade com o ponto 254 das Orientações, para efeitos do </w:t>
      </w:r>
      <w:r>
        <w:rPr>
          <w:rFonts w:ascii="Times New Roman" w:hAnsi="Times New Roman"/>
        </w:rPr>
        <w:lastRenderedPageBreak/>
        <w:t>ponto</w:t>
      </w:r>
      <w:r w:rsidR="00E404E6">
        <w:rPr>
          <w:rFonts w:ascii="Times New Roman" w:hAnsi="Times New Roman"/>
        </w:rPr>
        <w:t> </w:t>
      </w:r>
      <w:r>
        <w:rPr>
          <w:rFonts w:ascii="Times New Roman" w:hAnsi="Times New Roman"/>
        </w:rPr>
        <w:t>253, alínea a), são aplicáveis o procedimento e as condições estabelecidos nos pontos 225 a</w:t>
      </w:r>
      <w:r w:rsidR="00E404E6">
        <w:rPr>
          <w:rFonts w:ascii="Times New Roman" w:hAnsi="Times New Roman"/>
        </w:rPr>
        <w:t> </w:t>
      </w:r>
      <w:r>
        <w:rPr>
          <w:rFonts w:ascii="Times New Roman" w:hAnsi="Times New Roman"/>
        </w:rPr>
        <w:t>227 da parte II, capítulo 2, secção 2.2.</w:t>
      </w:r>
      <w:r>
        <w:rPr>
          <w:rFonts w:ascii="Times New Roman" w:hAnsi="Times New Roman"/>
          <w:color w:val="000000"/>
          <w:sz w:val="23"/>
        </w:rPr>
        <w:t xml:space="preserve"> </w:t>
      </w:r>
      <w:r>
        <w:rPr>
          <w:rFonts w:ascii="Times New Roman" w:hAnsi="Times New Roman"/>
          <w:sz w:val="24"/>
        </w:rPr>
        <w:t>Neste contexto, queira responder às seguintes perguntas:</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Quando foi elaborado o último relatório nacional antes da data de concessão do auxílio?</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fornecer a ligação para o último relatório nacional ou anexá-lo à notificação.</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estão preenchidas as seguintes condições para a concessão de todos os auxílios:</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Foi o relatório nacional apresentado até 31 de maio do ano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8E89EC3"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 relatório nacional apresentado no ano N, especialmente a avaliação do equilíbrio nele apresentada, foi elaborado com base nos indicadores biológicos, económicos e de utilização dos navios definidos nas orientações comuns</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 que se refere o artigo 22.º, n.º 2, do Regulamento (UE)</w:t>
      </w:r>
      <w:r w:rsidR="00E404E6">
        <w:rPr>
          <w:rFonts w:ascii="Times New Roman" w:hAnsi="Times New Roman"/>
          <w:sz w:val="24"/>
        </w:rPr>
        <w:t> </w:t>
      </w:r>
      <w:r>
        <w:rPr>
          <w:rFonts w:ascii="Times New Roman" w:hAnsi="Times New Roman"/>
          <w:sz w:val="24"/>
        </w:rPr>
        <w:t>n.º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4C786B7B" w:rsidR="0053598F" w:rsidRPr="005C3488" w:rsidRDefault="0053598F" w:rsidP="0053598F">
      <w:pPr>
        <w:pStyle w:val="Default"/>
        <w:ind w:left="567"/>
        <w:jc w:val="both"/>
        <w:rPr>
          <w:i/>
          <w:iCs/>
          <w:sz w:val="23"/>
          <w:szCs w:val="23"/>
        </w:rPr>
      </w:pPr>
      <w:r>
        <w:rPr>
          <w:i/>
        </w:rPr>
        <w:t>Queira ter em conta que não pode ser concedido qualquer auxílio se o relatório nacional e, em especial, a avaliação do equilíbrio nele apresentada, não tiver sido elaborado com base nos indicadores biológicos, económicos e de utilização dos navios definidos nas orientações comuns a que se refere o artigo 22.º, n.º 2, do Regulamento</w:t>
      </w:r>
      <w:r w:rsidR="00E404E6">
        <w:rPr>
          <w:i/>
        </w:rPr>
        <w:t> </w:t>
      </w:r>
      <w:r>
        <w:rPr>
          <w:i/>
        </w:rPr>
        <w:t>(UE) n.º 1380/2013.</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2504043E"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 relatório nacional apresentado no ano N demonstra que existe um equilíbrio entre a capacidade de pesca e as possibilidades de pesca no segmento da frota a que o navio pertence?</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explicar de que forma o relatório nacional foi tido em conta na conceção da medida e como é alcançado o equilíbrio.</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Queira confirmar que a Comissão não pôs em causa, até 31 de março do ano N+1:</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A conclusão do relatório nacional apresentado no ano N;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A avaliação do equilíbrio constante do relatório nacional apresentado no ano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 auxílio só pode ser concedido com base no relatório nacional apresentado no ano N até 31 de dezembro do ano N+1, ou seja, no ano seguinte ao ano de apresentação do relatório.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366B1364"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Caso a medida diga respeito à pesca interior, não é necessário responder às perguntas 3.1</w:t>
      </w:r>
      <w:r w:rsidR="00E404E6">
        <w:rPr>
          <w:rFonts w:ascii="Times New Roman" w:hAnsi="Times New Roman"/>
          <w:i/>
          <w:sz w:val="24"/>
        </w:rPr>
        <w:noBreakHyphen/>
      </w:r>
      <w:r>
        <w:rPr>
          <w:rFonts w:ascii="Times New Roman" w:hAnsi="Times New Roman"/>
          <w:i/>
          <w:sz w:val="24"/>
        </w:rPr>
        <w:t>3.2.6.1.</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60ABF484"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Queira confirmar que a medida estabelece que os navios de pesca devem ter estado registado</w:t>
      </w:r>
      <w:r w:rsidR="00E404E6">
        <w:rPr>
          <w:rFonts w:ascii="Times New Roman" w:hAnsi="Times New Roman"/>
          <w:sz w:val="24"/>
        </w:rPr>
        <w:t>s</w:t>
      </w:r>
      <w:r>
        <w:rPr>
          <w:rFonts w:ascii="Times New Roman" w:hAnsi="Times New Roman"/>
          <w:sz w:val="24"/>
        </w:rPr>
        <w:t xml:space="preserve"> no ficheiro da frota de pesca da União durante, pelo menos, os cinco anos civis anteriores ao ano de apresentação do pedido de auxílio.</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Caso a medida diga respeito à pesca interior, queira confirmar que a medida estabelece que o auxílio só pode ser concedido em relação a um navio de pesca que tenha entrado ao serviço, nos termos da legislação nacional, durante, pelo menos, os cinco anos civis anteriores ao ano de apresentação do pedido de auxílio.</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4 ou à pergunta 4.1, queira indicar a(s) disposição(ões) relevante(s) na base jurídica.</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No caso dos navios de pequena pesca costeira e dos navios utilizados para a pesca interior, queira confirmar que a potência em kW do novo motor ou do motor modernizado não excede a do motor atual.</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lastRenderedPageBreak/>
        <w:t>No caso dos outros navios com um comprimento de fora a fora não superior 24 metros, queira confirmar que a medida estabelece que a potência em kW do novo motor ou do motor modernizado não excede a do motor atual, e as suas emissões de CO2 são, pelo menos, 20 % inferiores às do motor atual.</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a capacidade de pesca retirada devido à substituição ou modernização de um motor principal ou auxiliar não deve ser substituída.</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descrever pormenorizadamente os mecanismos de controlo e de execução em vigor para garantir o cumprimento das condições estabelecidas na parte II, capítulo 3, secção 3.2, das Orientações.</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todos os motores substituídos ou modernizados devem ser sujeitos a uma verificação física.</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de que forma a redução das emissões de CO₂ mencionada na pergunta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será alcançada no âmbito da medida: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Mediante informações pertinentes certificadas pelo fabricante dos motores em causa no âmbito de uma homologação ou certificado de produto indicarem que o novo motor emite menos 20 % de CO2 do que o motor substituído;</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Mediante informações pertinentes certificadas pelo fabricante dos motores em causa no âmbito de uma homologação ou certificado de produto indicarem que o novo motor consome menos 20 % de combustível do que o motor substituído.</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Queira descreva a sua seleção em pormenor. </w:t>
      </w:r>
    </w:p>
    <w:p w14:paraId="5AAF16DC" w14:textId="43A993BD" w:rsidR="0048102E" w:rsidRDefault="0048102E" w:rsidP="0048102E">
      <w:pPr>
        <w:ind w:left="360"/>
        <w:rPr>
          <w:rFonts w:ascii="Times New Roman" w:eastAsia="Times New Roman" w:hAnsi="Times New Roman"/>
          <w:sz w:val="24"/>
          <w:szCs w:val="24"/>
        </w:rPr>
      </w:pP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lastRenderedPageBreak/>
        <w:t>Queira identificar a(s) disposição(ões) da base jurídica que reflete(m) a resposta selecionada na pergunta anterior</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000000">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763AAF2"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 as informações pertinentes certificadas pelo fabricante dos motores em causa no âmbito de uma homologação ou certificado de produto para um ou para ambos os motores não permitirem uma comparação das emissões de CO2 ou do consumo de combustível, queira explicar como se considerará preenchida a condição de redução das emissões de CO2 referida n</w:t>
      </w:r>
      <w:r w:rsidR="00E404E6">
        <w:rPr>
          <w:rFonts w:ascii="Times New Roman" w:hAnsi="Times New Roman"/>
          <w:sz w:val="24"/>
        </w:rPr>
        <w:t>a</w:t>
      </w:r>
      <w:r>
        <w:rPr>
          <w:rFonts w:ascii="Times New Roman" w:hAnsi="Times New Roman"/>
          <w:sz w:val="24"/>
        </w:rPr>
        <w:t xml:space="preserve"> pergunta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ao abrigo da medida: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O novo motor utiliza uma tecnologia energeticamente eficiente e a diferença de idade entre o novo motor e o motor substituído é de, pelo menos, sete anos;</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O novo motor utiliza um tipo de combustível ou um sistema de propulsão que se considera emitir menos CO2 do que o motor substituído;</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As medições feitas pelo Estado-Membro em causa indicam que o novo motor emite menos 20 % de CO2 ou consome menos 20 % de combustível do que o motor substituído no âmbito do esforço de pesca normal do navio em causa.</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Queira identificar a(s) disposição(ões) da base jurídica que reflete(m) a sua seleção.</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Em conformidade com o ponto 260 das Orientações, queira confirmar que aplica o Regulamento de Execução (UE) 2022/46</w:t>
      </w:r>
      <w:r w:rsidR="0048102E" w:rsidRPr="00CA7417">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para identificar as tecnologias energeticamente eficientes a que se refere o ponto 259, alínea a), das Orientações e para especificar mais pormenorizadamente os elementos metodológicos para a aplicação do disposto no ponto 259, alínea c), das Orientações.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Queira descrever de que forma a medida aplica esses requisitos.</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só incluem os custos diretos e indiretos relacionados com a substituição ou modernização de um motor principal ou auxiliar.</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lastRenderedPageBreak/>
        <w:t>Em caso de resposta afirmativa, queira indicar a(s) disposição(ões) relevante(s) na base jurídica.</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Queira fornecer uma descrição pormenorizada dos custos elegíveis ao abrigo da medida.</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a intensidade máxima do auxílio não excede 40 % dos custos elegíveis.</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Queira identificar a(s) disposição(ões) da base jurídica que estabelece(m) a(s) intensidade(s) máxima(s) do auxílio ao abrigo da medida.</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OUTRAS INFORMAÇÕES</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BB9F9" w14:textId="77777777" w:rsidR="00D47FB6" w:rsidRDefault="00D47FB6" w:rsidP="005615D7">
      <w:pPr>
        <w:spacing w:after="0" w:line="240" w:lineRule="auto"/>
      </w:pPr>
      <w:r>
        <w:separator/>
      </w:r>
    </w:p>
  </w:endnote>
  <w:endnote w:type="continuationSeparator" w:id="0">
    <w:p w14:paraId="7A18A58B" w14:textId="77777777" w:rsidR="00D47FB6" w:rsidRDefault="00D47FB6"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B1CBC" w14:textId="77777777" w:rsidR="00D47FB6" w:rsidRDefault="00D47FB6" w:rsidP="005615D7">
      <w:pPr>
        <w:spacing w:after="0" w:line="240" w:lineRule="auto"/>
      </w:pPr>
      <w:r>
        <w:separator/>
      </w:r>
    </w:p>
  </w:footnote>
  <w:footnote w:type="continuationSeparator" w:id="0">
    <w:p w14:paraId="3A0C9BC1" w14:textId="77777777" w:rsidR="00D47FB6" w:rsidRDefault="00D47FB6"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JO C 107 de 23.3.2023, p. 1.</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Regulamento (UE) n.º 1380/2013 do Parlamento Europeu e do Conselho, de 11 de dezembro de 2013, relativo à política comum das pescas, que altera os Regulamentos (CE) n.º 1954/2003 e (CE) n.º 1224/2009 do Conselho e revoga os Regulamentos (CE) n.º 2371/2002 e (CE) n.º 639/2004 do Conselho e a Decisão 2004/585/CE do Conselho (JO L 354 de 28.12.2013, p. 22).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Queira consultar os pontos 225 e 226 das Orientações que descrevem as sequências do relatório nacional apresentado no ano N e a ação da Comissão até 31 de março do ano N+1.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Comunicação da Comissão ao Parlamento Europeu e ao Conselho intitulada: «Diretrizes para a análise do equilíbrio entre a capacidade de pesca e as possibilidades de pesca em virtude do artigo 22.º do Regulamento (UE) n.º 1380/2013 do Parlamento Europeu e do Conselho relativo à política comum das pescas» [COM(2014) 545 final].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Regulamento de Execução (UE) 2022/46 da Comissão, de 13 de janeiro de 2022, que executa o Regulamento (UE) 2021/1139 do Parlamento Europeu e do Conselho que cria o Fundo Europeu dos Assuntos Marítimos, das Pescas e da Aquicultura e que altera o Regulamento (UE) 2017/1004 no que respeita à identificação de tecnologias energeticamente eficientes e à especificação dos elementos metodológicos para determinar o esforço de pesca normal dos navios de pesca (JO L 9 de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2764E"/>
    <w:rsid w:val="00136501"/>
    <w:rsid w:val="001A718E"/>
    <w:rsid w:val="001E09E4"/>
    <w:rsid w:val="001F0558"/>
    <w:rsid w:val="00236AD9"/>
    <w:rsid w:val="00252DEE"/>
    <w:rsid w:val="00293FA0"/>
    <w:rsid w:val="00357126"/>
    <w:rsid w:val="003649C9"/>
    <w:rsid w:val="00385658"/>
    <w:rsid w:val="003E0993"/>
    <w:rsid w:val="004506B7"/>
    <w:rsid w:val="00453ADA"/>
    <w:rsid w:val="0046170F"/>
    <w:rsid w:val="004629F3"/>
    <w:rsid w:val="004668F6"/>
    <w:rsid w:val="0048102E"/>
    <w:rsid w:val="004A1EA0"/>
    <w:rsid w:val="004B20D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47FB6"/>
    <w:rsid w:val="00D54834"/>
    <w:rsid w:val="00D7395D"/>
    <w:rsid w:val="00DB31EF"/>
    <w:rsid w:val="00E404E6"/>
    <w:rsid w:val="00E610A6"/>
    <w:rsid w:val="00E65A1F"/>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Pages>
  <Words>1680</Words>
  <Characters>8955</Characters>
  <Application>Microsoft Office Word</Application>
  <DocSecurity>0</DocSecurity>
  <Lines>242</Lines>
  <Paragraphs>122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SARAIVA Megan (DGT)</cp:lastModifiedBy>
  <cp:revision>37</cp:revision>
  <dcterms:created xsi:type="dcterms:W3CDTF">2023-01-05T14:31:00Z</dcterms:created>
  <dcterms:modified xsi:type="dcterms:W3CDTF">2024-10-08T14:11:00Z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