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Papildu informācijas lapa par </w:t>
      </w:r>
      <w:r>
        <w:rPr>
          <w:rFonts w:ascii="Times New Roman" w:hAnsi="Times New Roman"/>
          <w:b/>
          <w:smallCaps/>
          <w:sz w:val="24"/>
        </w:rPr>
        <w:br/>
        <w:t>atbalstu zvejas kuģa pirmreizējai iegādei</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rFonts w:ascii="Times New Roman" w:eastAsia="Times New Roman" w:hAnsi="Times New Roman"/>
          <w:i/>
          <w:sz w:val="24"/>
          <w:szCs w:val="24"/>
        </w:rPr>
      </w:pPr>
      <w:bookmarkStart w:id="0" w:name="_Hlk126832135"/>
      <w:r>
        <w:rPr>
          <w:rFonts w:ascii="Times New Roman" w:hAnsi="Times New Roman"/>
          <w:i/>
          <w:sz w:val="24"/>
        </w:rPr>
        <w:t>Šī veidlapa dalībvalstīm jāizmanto, lai paziņotu par zvejas kuģa pirmreizējai iegādei paredzētu atbalstu, kas aprakstīts Pamatnostādņu par valsts atbalstu zvejniecības un akvakultūras nozarē</w:t>
      </w:r>
      <w:r w:rsidR="0045617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3. nodaļas 3.1. iedaļā.</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Pr>
          <w:rFonts w:ascii="Times New Roman" w:hAnsi="Times New Roman"/>
          <w:sz w:val="24"/>
        </w:rPr>
        <w:t>Apstipriniet, ka pasākums noteic, ka Savienības zvejas kuģus, attiecībā uz kuriem atbalsts piešķirts, vismaz piecus gadus pēc atbalsta galīgā maksājuma nedrīkst nodot vai mainīt to karogu ārpus Savienības.</w:t>
      </w:r>
      <w:bookmarkEnd w:id="1"/>
      <w:r>
        <w:rPr>
          <w:rFonts w:ascii="Times New Roman" w:hAnsi="Times New Roman"/>
          <w:sz w:val="24"/>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Pr>
          <w:rFonts w:ascii="Times New Roman" w:hAnsi="Times New Roman"/>
          <w:sz w:val="24"/>
        </w:rPr>
        <w:t>Ja atbilde ir “jā”, norādiet relevanto juridiskā pamata noteikumu (noteikumus).</w:t>
      </w:r>
    </w:p>
    <w:p w14:paraId="647650CD" w14:textId="09A8F22B" w:rsidR="00252DEE" w:rsidRDefault="00FE057F" w:rsidP="00053047">
      <w:pPr>
        <w:rPr>
          <w:rFonts w:ascii="Times New Roman" w:eastAsia="Times New Roman" w:hAnsi="Times New Roman"/>
          <w:sz w:val="24"/>
          <w:szCs w:val="24"/>
        </w:rPr>
      </w:pPr>
      <w:r>
        <w:rPr>
          <w:rFonts w:ascii="Times New Roman" w:hAnsi="Times New Roman"/>
          <w:sz w:val="24"/>
        </w:rPr>
        <w:t>………………………………………………………………………………………………….</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Pr>
          <w:rFonts w:ascii="Times New Roman" w:hAnsi="Times New Roman"/>
          <w:sz w:val="24"/>
        </w:rPr>
        <w:t>Norādiet, kam drīkst piešķirt atbalstu saskaņā ar šo pasākumu:</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a) fiziskai personai, kura atbalsta pieteikuma iesniegšanas dienā nav vecāka par 40 gadiem un vismaz piecus gadus ir nostrādājusi par zvejnieku vai ieguvusi atbilstošu kvalifikāciju;</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b) tiesību subjektiem, kas pilnībā pieder vienai vai vairākām fiziskām personām, ja katra no tām atbilst a) apakšpunktā izklāstītajiem nosacījumiem;</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c) kopīgas zvejas kuģa pirmreizējās iegādes gadījumā – vairākām fiziskām personām, ja katra no tām atbilst a) apakšpunktā izklāstītajiem nosacījumiem;</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d) daļēju zvejas kuģa īpašumtiesību ieguves gadījumā – fiziskai personai, kura atbilst a) apakšpunktā izklāstītajiem nosacījumiem un attiecībā uz kuru uzskata, ka tai ir minētā kuģa kontroles tiesības, jo tās īpašumā ir vismaz 33 % no kuģa vai no kuģa akcijām, vai tiesību subjektam, kurš atbilst b) apakšpunktā izklāstītajiem nosacījumiem un attiecībā uz kuru uzskata, ka tam ir minētā kuģa kontroles tiesības, jo tā īpašumā ir vismaz 33 % no kuģa vai no kuģa akcijām.</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Pr>
          <w:rFonts w:ascii="Times New Roman" w:hAnsi="Times New Roman"/>
          <w:sz w:val="24"/>
        </w:rPr>
        <w:t>Norādiet juridiskā pamata noteikumu (noteikumus), kas atspoguļo atbildē uz jautājumu atzīmēto lodziņu</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816C74">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w:t>
      </w:r>
    </w:p>
    <w:p w14:paraId="194287F4" w14:textId="6CD25B91" w:rsidR="00FE057F" w:rsidRDefault="00FE057F" w:rsidP="004D2CA0">
      <w:pPr>
        <w:rPr>
          <w:rFonts w:ascii="Times New Roman" w:eastAsia="Times New Roman" w:hAnsi="Times New Roman"/>
          <w:sz w:val="24"/>
          <w:szCs w:val="24"/>
        </w:rPr>
      </w:pPr>
      <w:r>
        <w:rPr>
          <w:rFonts w:ascii="Times New Roman" w:hAnsi="Times New Roman"/>
          <w:sz w:val="24"/>
        </w:rPr>
        <w:t>………………………………………………………………………………………………….</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Pr>
          <w:rFonts w:ascii="Times New Roman" w:hAnsi="Times New Roman"/>
          <w:sz w:val="24"/>
        </w:rPr>
        <w:t>Saskaņā ar Pamatnostādņu 245. punkta a) apakšpunktu zvejas kuģiem ir jāietilpst flotes segmentā, par kuru Regulas (ES) Nr. 1380/2013</w:t>
      </w:r>
      <w:r w:rsidR="003533B1">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22. panta 2. punktā minētajā jaunākajā </w:t>
      </w:r>
      <w:r>
        <w:rPr>
          <w:rFonts w:ascii="Times New Roman" w:hAnsi="Times New Roman"/>
          <w:sz w:val="24"/>
        </w:rPr>
        <w:lastRenderedPageBreak/>
        <w:t>zvejas kapacitātes ziņojumā (turpmāk “valsts ziņojums”) norādīts, ka minētais segments ir līdzsvarā ar tam pieejamajām zvejas iespējām</w:t>
      </w:r>
      <w:bookmarkEnd w:id="6"/>
      <w:r>
        <w:rPr>
          <w:rFonts w:ascii="Times New Roman" w:hAnsi="Times New Roman"/>
          <w:sz w:val="24"/>
        </w:rPr>
        <w:t>. Saskaņā ar Pamatnostādņu 226. punktu to 245. punkta a) apakšpunkta vajadzībām piemēro procedūru un nosacījumus, kas izklāstīti Pamatnostādņu II daļas 2. nodaļas 2.2. iedaļas 225.–227. punktā.</w:t>
      </w:r>
      <w:r>
        <w:rPr>
          <w:rFonts w:ascii="Times New Roman" w:hAnsi="Times New Roman"/>
          <w:color w:val="000000"/>
          <w:sz w:val="23"/>
        </w:rPr>
        <w:t xml:space="preserve"> </w:t>
      </w:r>
      <w:bookmarkStart w:id="7" w:name="_Hlk127291617"/>
      <w:r>
        <w:rPr>
          <w:rFonts w:ascii="Times New Roman" w:hAnsi="Times New Roman"/>
          <w:sz w:val="24"/>
        </w:rPr>
        <w:t>Ņemot vērā iepriekš minēto, atbildiet uz šādiem jautājumiem:</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Kad sagatavots jaunākais valsts ziņojums pirms atbalsta piešķiršanas dienas?</w:t>
      </w:r>
    </w:p>
    <w:p w14:paraId="40ECCFE7" w14:textId="3315DF93" w:rsidR="00EE3A31" w:rsidRDefault="00EE3A31" w:rsidP="008B4DDE">
      <w:pPr>
        <w:rPr>
          <w:rFonts w:ascii="Times New Roman" w:eastAsia="Times New Roman" w:hAnsi="Times New Roman"/>
          <w:sz w:val="24"/>
          <w:szCs w:val="24"/>
        </w:rPr>
      </w:pPr>
      <w:r>
        <w:rPr>
          <w:rFonts w:ascii="Times New Roman" w:hAnsi="Times New Roman"/>
          <w:sz w:val="24"/>
        </w:rPr>
        <w:t>………………………………………………………………………………………………….</w:t>
      </w:r>
    </w:p>
    <w:p w14:paraId="43A9D638" w14:textId="77777777" w:rsidR="007368A4"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saiti uz jaunāko valsts ziņojumu vai pievienojiet to paziņojumam.</w:t>
      </w:r>
    </w:p>
    <w:p w14:paraId="658BEBB2" w14:textId="2A1C0444" w:rsidR="007368A4" w:rsidRDefault="007368A4" w:rsidP="007368A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attiecībā uz visu piešķiramo atbalstu ir izpildīti šādi nosacījumi.</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valsts ziņojums tika iesniegts līdz N gada</w:t>
      </w:r>
      <w:r w:rsidR="00FE3627">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31. maijam?</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N gadā iesniegtais valsts ziņojums, jo īpaši tajā ietvertais līdzsvara novērtējums, ir sagatavots, pamatojoties uz bioloģiskajiem, ekonomiskajiem un kuģu izmantojuma rādītājiem, kas noteikti Regulas (ES) Nr. 1380/2013 22. panta 2. punktā minētajās kopīgajās pamatnostādnēs</w:t>
      </w:r>
      <w:r w:rsidR="00D57D3B">
        <w:rPr>
          <w:rStyle w:val="FootnoteReference"/>
          <w:rFonts w:ascii="Times New Roman" w:eastAsia="Times New Roman" w:hAnsi="Times New Roman"/>
          <w:sz w:val="24"/>
          <w:szCs w:val="24"/>
          <w:lang w:eastAsia="en-GB"/>
        </w:rPr>
        <w:footnoteReference w:id="4"/>
      </w:r>
      <w:r>
        <w:rPr>
          <w:rFonts w:ascii="Times New Roman" w:hAnsi="Times New Roman"/>
          <w:sz w:val="24"/>
        </w:rPr>
        <w:t>.</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sz w:val="23"/>
        </w:rPr>
        <w:t xml:space="preserve">Ņemiet vērā, ka atbalstu nedrīkst piešķirt, ja valsts ziņojums, jo īpaši tajā ietvertais līdzsvara novērtējums, nav sagatavots, pamatojoties uz bioloģiskajiem, ekonomiskajiem un kuģu izmantojuma rādītājiem, kas noteikti Regulas (ES) Nr. 1380/2013 22. panta 2. punktā minētajās kopīgajās pamatnostādnēs.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N gadā iesniegtajā valsts ziņojumā ir pierādīts, ka flotes segmentā, pie kura piederēs jaunais kuģis, pastāv līdzsvars starp zvejas kapacitāti un zvejas iespējām?</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Paskaidrojiet, kā pasākuma izstrādē tika ņemts vērā valsts ziņojums un kā tika panākts līdzsvars.</w:t>
      </w:r>
    </w:p>
    <w:p w14:paraId="6D300F37" w14:textId="406510B2" w:rsidR="00EE3A31" w:rsidRDefault="00EE3A31" w:rsidP="007D32DB">
      <w:pPr>
        <w:rPr>
          <w:rFonts w:ascii="Times New Roman" w:eastAsia="Times New Roman" w:hAnsi="Times New Roman"/>
          <w:sz w:val="24"/>
          <w:szCs w:val="24"/>
        </w:rPr>
      </w:pPr>
      <w:r>
        <w:rPr>
          <w:rFonts w:ascii="Times New Roman" w:hAnsi="Times New Roman"/>
          <w:sz w:val="24"/>
        </w:rPr>
        <w:t>………………………………………………………………………………………………….</w:t>
      </w:r>
    </w:p>
    <w:p w14:paraId="0D47FEFF" w14:textId="4E7BA632" w:rsidR="00D57D3B"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Komisija līdz N+1 gada 31. martam nav apšaubījusi:</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816C74">
        <w:rPr>
          <w:rFonts w:ascii="Times New Roman" w:eastAsia="Times New Roman" w:hAnsi="Times New Roman"/>
          <w:sz w:val="24"/>
        </w:rPr>
      </w:r>
      <w:r w:rsidR="00816C74">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N gadā iesniegtā valsts ziņojuma secinājumus;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816C74">
        <w:rPr>
          <w:rFonts w:ascii="Times New Roman" w:eastAsia="Times New Roman" w:hAnsi="Times New Roman"/>
          <w:sz w:val="24"/>
        </w:rPr>
      </w:r>
      <w:r w:rsidR="00816C74">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b) līdzsvara novērtējumu, kas ietverts N gadā iesniegtajā valsts ziņojumā.</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Apstipriniet, ka pasākums noteic, ka uz N gadā iesniegtā valsts ziņojuma pamata atbalstu var piešķirt tikai līdz N+1 gada 31. decembrim, t. i., nākamajam gadam pēc ziņojuma iesniegšanas gada.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DC2D251" w14:textId="77777777" w:rsidR="00982E63" w:rsidRDefault="00982E63" w:rsidP="00982E63">
      <w:pPr>
        <w:rPr>
          <w:rFonts w:ascii="Times New Roman" w:eastAsia="Times New Roman" w:hAnsi="Times New Roman"/>
          <w:sz w:val="24"/>
          <w:szCs w:val="24"/>
        </w:rPr>
      </w:pPr>
      <w:r>
        <w:rPr>
          <w:rFonts w:ascii="Times New Roman" w:hAnsi="Times New Roman"/>
          <w:sz w:val="24"/>
        </w:rPr>
        <w:t>…………………………………………………………………………………………………</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Pr>
          <w:rFonts w:ascii="Times New Roman" w:hAnsi="Times New Roman"/>
          <w:i/>
          <w:sz w:val="24"/>
        </w:rPr>
        <w:t>Ja pasākums attiecas uz zveju iekšējos ūdeņos, uz 3.1.–3.2.6.1. jautājumu nav jāatbild.</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Pr>
          <w:rFonts w:ascii="Times New Roman" w:hAnsi="Times New Roman"/>
          <w:sz w:val="24"/>
        </w:rPr>
        <w:t>Apstipriniet, ka pasākums noteic, ka zvejas kuģiem jābūt aprīkotiem zvejas darbībām un to lielākais garums nedrīkst pārsniegt 24 metrus.</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5804E51" w14:textId="64C6D08C" w:rsidR="00EE3A31" w:rsidRDefault="00FE057F" w:rsidP="00FA3BF8">
      <w:pPr>
        <w:rPr>
          <w:rFonts w:ascii="Times New Roman" w:eastAsia="Times New Roman" w:hAnsi="Times New Roman"/>
          <w:sz w:val="24"/>
          <w:szCs w:val="24"/>
        </w:rPr>
      </w:pPr>
      <w:r>
        <w:rPr>
          <w:rFonts w:ascii="Times New Roman" w:hAnsi="Times New Roman"/>
          <w:sz w:val="24"/>
        </w:rPr>
        <w:t>………………………………………………………………………………………………….</w:t>
      </w:r>
    </w:p>
    <w:p w14:paraId="62FA8102" w14:textId="24B60B24" w:rsidR="007D193E"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Pr>
          <w:rFonts w:ascii="Times New Roman" w:hAnsi="Times New Roman"/>
          <w:sz w:val="24"/>
        </w:rPr>
        <w:t>Apstipriniet, ka pasākums noteic, ka atbalstu var piešķirt tikai attiecībā uz zvejas kuģi, kas Savienības zvejas flotes reģistrā bijis reģistrēts vismaz trīs kalendāros gadus pirms atbalsta pieteikuma iesniegšanas gada attiecībā uz piekrastes mazapjoma zvejas kuģi un vismaz piecus kalendāros gadus attiecībā uz cita veida kuģi</w:t>
      </w:r>
      <w:bookmarkEnd w:id="9"/>
      <w:r w:rsidR="00816C74">
        <w:rPr>
          <w:rFonts w:ascii="Times New Roman" w:hAnsi="Times New Roman"/>
          <w:sz w:val="24"/>
        </w:rPr>
        <w:t>.</w:t>
      </w:r>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Ja pasākums attiecas uz zveju iekšējos ūdeņos, apstipriniet, ka pasākums noteic, ka atbalstu var piešķirt tikai attiecībā uz zvejas kuģi, kura izmantošana saskaņā ar valsts tiesību aktiem sākta vismaz trīs kalendāros gadus pirms atbalsta pieteikuma iesniegšanas gada attiecībā uz piekrastes mazapjoma zvejas kuģi un vismaz piecus kalendāros gadus attiecībā uz cita veida kuģi.</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uz 5. vai 5.1. jautājumu ir “jā”, norādiet relevanto juridiskā pamata noteikumu (noteikumus).</w:t>
      </w:r>
    </w:p>
    <w:p w14:paraId="068B0967" w14:textId="37D8A890" w:rsidR="00BC500A" w:rsidRDefault="00FE057F" w:rsidP="000A0D37">
      <w:pPr>
        <w:rPr>
          <w:rFonts w:ascii="Times New Roman" w:eastAsia="Times New Roman" w:hAnsi="Times New Roman"/>
          <w:sz w:val="24"/>
          <w:szCs w:val="24"/>
        </w:rPr>
      </w:pPr>
      <w:r>
        <w:rPr>
          <w:rFonts w:ascii="Times New Roman" w:hAnsi="Times New Roman"/>
          <w:sz w:val="24"/>
        </w:rPr>
        <w:t>………………………………………………………………………………………………….</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atbalstu var piešķirt tikai attiecībā uz zvejas kuģi, kas Savienības zvejas flotes reģistrā bijis reģistrēts ne ilgāk kā 30 kalendāros gadus pirms atbalsta pieteikuma iesniegšanas gada.</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Ja pasākums attiecas uz zveju iekšējos ūdeņos, apstipriniet, ka pasākums noteic, ka atbalstu var piešķirt tikai attiecībā uz zvejas kuģi, kura izmantošana saskaņā ar valsts tiesību aktiem sākta ne vairāk kā 30 gadus pirms atbalsta pieteikuma iesniegšanas gada.</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uz 6. vai 6.1. jautājumu ir “jā”, norādiet relevanto juridiskā pamata noteikumu (noteikumus).</w:t>
      </w:r>
    </w:p>
    <w:p w14:paraId="43EAD78F" w14:textId="06226908" w:rsidR="00EE3A31" w:rsidRDefault="00BD6945" w:rsidP="003509A7">
      <w:pPr>
        <w:rPr>
          <w:rFonts w:ascii="Times New Roman" w:eastAsia="Times New Roman" w:hAnsi="Times New Roman"/>
          <w:sz w:val="24"/>
          <w:szCs w:val="24"/>
        </w:rPr>
      </w:pPr>
      <w:r>
        <w:rPr>
          <w:rFonts w:ascii="Times New Roman" w:hAnsi="Times New Roman"/>
          <w:sz w:val="24"/>
        </w:rPr>
        <w:t>………………………………………………………………………………………………….</w:t>
      </w:r>
    </w:p>
    <w:p w14:paraId="07569E7E" w14:textId="5DA1329F" w:rsidR="00A93E41"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attiecināmās izmaksas ietver tikai tiešās un netiešās izmaksas, kas saistītas ar zvejas kuģa pirmreizējo iegādi.</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3472BD8A" w14:textId="10063291" w:rsidR="00BD6945" w:rsidRDefault="00BD6945" w:rsidP="003509A7">
      <w:pPr>
        <w:rPr>
          <w:rFonts w:ascii="Times New Roman" w:eastAsia="Times New Roman" w:hAnsi="Times New Roman"/>
          <w:sz w:val="24"/>
          <w:szCs w:val="24"/>
        </w:rPr>
      </w:pPr>
      <w:r>
        <w:rPr>
          <w:rFonts w:ascii="Times New Roman" w:hAnsi="Times New Roman"/>
          <w:sz w:val="24"/>
        </w:rPr>
        <w:t>………………………………………………………………………………………………….</w:t>
      </w:r>
    </w:p>
    <w:p w14:paraId="59BE27D9" w14:textId="38E5F44B" w:rsidR="00252DEE"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aprakstiet izmaksas, kas ir attiecināmas saskaņā ar šo pasākumu.</w:t>
      </w:r>
    </w:p>
    <w:p w14:paraId="3318D537" w14:textId="503DBEAC" w:rsidR="005B1262" w:rsidRPr="005615D7" w:rsidRDefault="005E58E1" w:rsidP="009E130B">
      <w:pPr>
        <w:rPr>
          <w:rFonts w:ascii="Times New Roman" w:eastAsia="Times New Roman" w:hAnsi="Times New Roman"/>
          <w:sz w:val="24"/>
          <w:szCs w:val="24"/>
        </w:rPr>
      </w:pPr>
      <w:r>
        <w:rPr>
          <w:rFonts w:ascii="Times New Roman" w:hAnsi="Times New Roman"/>
          <w:sz w:val="24"/>
        </w:rPr>
        <w:t>………………………………………………………………………………………………….</w:t>
      </w:r>
    </w:p>
    <w:p w14:paraId="1403F476" w14:textId="59E3908F" w:rsidR="00DD442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atbalsta maksimālā intensitāte nepārsniedz 40 % no attiecināmajām izmaksām.</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16C74">
        <w:rPr>
          <w:rFonts w:ascii="Times New Roman" w:eastAsia="Times New Roman" w:hAnsi="Times New Roman"/>
          <w:b/>
          <w:sz w:val="24"/>
        </w:rPr>
      </w:r>
      <w:r w:rsidR="00816C7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56633C5B" w14:textId="77777777" w:rsidR="00727DA3" w:rsidRDefault="00727DA3" w:rsidP="00727DA3">
      <w:pPr>
        <w:rPr>
          <w:rFonts w:ascii="Times New Roman" w:eastAsia="Times New Roman" w:hAnsi="Times New Roman"/>
          <w:sz w:val="24"/>
          <w:szCs w:val="24"/>
        </w:rPr>
      </w:pPr>
      <w:r>
        <w:rPr>
          <w:rFonts w:ascii="Times New Roman" w:hAnsi="Times New Roman"/>
          <w:sz w:val="24"/>
        </w:rPr>
        <w:t>………………………………………………………………………………………………….</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2" w:name="_Hlk125368675"/>
      <w:bookmarkEnd w:id="11"/>
      <w:r>
        <w:rPr>
          <w:rFonts w:ascii="Times New Roman" w:hAnsi="Times New Roman"/>
          <w:sz w:val="24"/>
        </w:rPr>
        <w:t>Norādiet juridiskā pamata noteikumu (noteikumus), kas nosaka maksimālo atbalsta intensitāti, kas piemērojama saskaņā ar pasākumu.</w:t>
      </w:r>
    </w:p>
    <w:p w14:paraId="0DE14AD2" w14:textId="6BC8AFC3" w:rsidR="007E7B0C" w:rsidRDefault="00DD442C" w:rsidP="009E130B">
      <w:pPr>
        <w:rPr>
          <w:rFonts w:ascii="Times New Roman" w:eastAsia="Times New Roman" w:hAnsi="Times New Roman"/>
          <w:sz w:val="24"/>
          <w:szCs w:val="24"/>
        </w:rPr>
      </w:pPr>
      <w:r>
        <w:rPr>
          <w:rFonts w:ascii="Times New Roman" w:hAnsi="Times New Roman"/>
          <w:sz w:val="24"/>
        </w:rPr>
        <w:t>………………………………………………………………………………………………….</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CITA INFORMĀCIJA</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0E5A54F3"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rsidR="0050429C">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OV C 107, 23.3.2023., 1. lpp.</w:t>
      </w:r>
    </w:p>
  </w:footnote>
  <w:footnote w:id="2">
    <w:p w14:paraId="363078E0" w14:textId="3CFCC624"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 xml:space="preserve">Eiropas Parlamenta un Padomes Regula (ES) Nr. 1380/2013 (2013. gada 11. decembris) par kopējo zivsaimniecības politiku un ar ko groza Padomes Regulas (EK) Nr. 1954/2003 un (EK) Nr. 1224/2009 un atceļ Padomes Regulas (EK) Nr. 2371/2002 un (EK) Nr. 639/2004 un Padomes Lēmumu 2004/585/EK (OV L 354, 28.12.2013., 22. lpp.).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Sk. Pamatnostādņu 225. un 226. punktu, kuros aprakstīta N gadā iesniegtā valsts ziņojuma sagatavošanas un Komisijas rīcības secība līdz N+1 gada 31. martam.</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Komisijas paziņojums Eiropas Parlamentam un Padomei: “Zvejas kapacitātes un zvejas iespēju līdzsvara analīzes pamatnostādnes saskaņā ar 22. pantu Eiropas Parlamenta un Padomes Regulā (ES) Nr. 1380/2013 par kopējo zivsaimniecības politiku”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6C74"/>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2.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1025</Words>
  <Characters>6639</Characters>
  <Application>Microsoft Office Word</Application>
  <DocSecurity>0</DocSecurity>
  <Lines>179</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BLUSANOVICA Ilze (DGT)</cp:lastModifiedBy>
  <cp:revision>6</cp:revision>
  <dcterms:created xsi:type="dcterms:W3CDTF">2023-05-03T14:30:00Z</dcterms:created>
  <dcterms:modified xsi:type="dcterms:W3CDTF">2024-07-26T10:17:00Z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