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2.3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Obrazec za dodatne informacije o</w:t>
      </w:r>
      <w:r>
        <w:rPr>
          <w:rFonts w:ascii="Times New Roman" w:hAnsi="Times New Roman"/>
          <w:b/>
          <w:smallCaps/>
          <w:sz w:val="24"/>
        </w:rPr>
        <w:br/>
        <w:t>pomoči za naložbe v opremo, ki prispeva k večji varnosti, vključno z opremo, ki plovilom omogoča razširitev ribolovnih območij za mali priobalni ribolov v najbolj oddaljenih regijah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Ta obrazec morajo države članice uporabiti za priglasitev vsake pomoči za naložbe v opremo, ki prispeva k večji varnosti, vključno z opremo, ki plovilom omogoča razširitev ribolovnih območij za mali priobalni ribolov v najbolj oddaljenih regijah, kot je opisana v oddelku 2.3 poglavja 2 dela II Smernic o državni pomoči v sektorju ribištva in akvakulture</w:t>
      </w:r>
      <w:r w:rsidR="006E55F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(v nadaljnjem besedilu: smernice).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najbolj oddaljene regije iz člena 349 PDEU, na katere se nanaša ukrep.</w:t>
      </w:r>
    </w:p>
    <w:p w14:paraId="265C4F2D" w14:textId="338DE00F" w:rsidR="00E934EF" w:rsidRDefault="003F4946" w:rsidP="00B41BB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Pojasnite, kako ukrep prispeva h krepitvi gospodarsko, socialno in </w:t>
      </w:r>
      <w:proofErr w:type="spellStart"/>
      <w:r>
        <w:rPr>
          <w:rFonts w:ascii="Times New Roman" w:hAnsi="Times New Roman"/>
          <w:sz w:val="24"/>
        </w:rPr>
        <w:t>okoljsko</w:t>
      </w:r>
      <w:proofErr w:type="spellEnd"/>
      <w:r>
        <w:rPr>
          <w:rFonts w:ascii="Times New Roman" w:hAnsi="Times New Roman"/>
          <w:sz w:val="24"/>
        </w:rPr>
        <w:t xml:space="preserve"> trajnostnih ribolovnih dejavnosti, izboljšanju varnosti in delovnih pogojev na krovu ter, kjer je ustrezno, omogočanju razširitve ribolovnih območij za ribiška plovila do 20 milj od obale za mali priobalni ribolov.</w:t>
      </w:r>
    </w:p>
    <w:p w14:paraId="13824094" w14:textId="6F70CE6A" w:rsidR="0098313D" w:rsidRDefault="00DD59E4" w:rsidP="00D147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ali se lahko pomoč z odstopanjem od točke (47) smernic dodeli za izpolnjevanje obveznih zahtev Unije ali nacionalnih zahtev: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16849">
        <w:rPr>
          <w:rFonts w:ascii="Times New Roman" w:eastAsia="Times New Roman" w:hAnsi="Times New Roman"/>
          <w:b/>
          <w:sz w:val="24"/>
        </w:rPr>
      </w:r>
      <w:r w:rsidR="00A16849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16849">
        <w:rPr>
          <w:rFonts w:ascii="Times New Roman" w:eastAsia="Times New Roman" w:hAnsi="Times New Roman"/>
          <w:b/>
          <w:sz w:val="24"/>
        </w:rPr>
      </w:r>
      <w:r w:rsidR="00A16849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Opišite zadevne obvezne zahteve Unije ali nacionalne zahteve in utemeljite, zakaj je tako odstopanje potrebno.</w:t>
      </w:r>
    </w:p>
    <w:p w14:paraId="4C3A6625" w14:textId="77777777" w:rsidR="00D147BD" w:rsidRDefault="00D147BD" w:rsidP="00D147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Potrdite, da ukrep </w:t>
      </w:r>
      <w:r>
        <w:rPr>
          <w:rFonts w:ascii="Times New Roman" w:hAnsi="Times New Roman"/>
          <w:i/>
          <w:sz w:val="24"/>
        </w:rPr>
        <w:t>ne</w:t>
      </w:r>
      <w:r>
        <w:rPr>
          <w:rFonts w:ascii="Times New Roman" w:hAnsi="Times New Roman"/>
          <w:sz w:val="24"/>
        </w:rPr>
        <w:t xml:space="preserve"> povzroči: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0DE80856" w:rsidR="0098313D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16849">
        <w:rPr>
          <w:rFonts w:ascii="Times New Roman" w:eastAsia="Times New Roman" w:hAnsi="Times New Roman"/>
          <w:b/>
          <w:sz w:val="24"/>
        </w:rPr>
      </w:r>
      <w:r w:rsidR="00A16849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 w:rsidR="00A16849">
        <w:tab/>
      </w:r>
      <w:r>
        <w:rPr>
          <w:rFonts w:ascii="Times New Roman" w:hAnsi="Times New Roman"/>
          <w:sz w:val="24"/>
        </w:rPr>
        <w:t>zamenjave ali posodobitve glavnega ali pomožnega motorja ribiškega plovila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ECBA1AA" w:rsidR="0098313D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A16849">
        <w:rPr>
          <w:rFonts w:ascii="Times New Roman" w:eastAsia="Times New Roman" w:hAnsi="Times New Roman"/>
          <w:b/>
          <w:sz w:val="24"/>
        </w:rPr>
      </w:r>
      <w:r w:rsidR="00A16849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 w:rsidR="00A16849">
        <w:tab/>
      </w:r>
      <w:r>
        <w:rPr>
          <w:rFonts w:ascii="Times New Roman" w:hAnsi="Times New Roman"/>
          <w:sz w:val="24"/>
        </w:rPr>
        <w:t>povečanja bruto tonaže ribiškega plovila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</w:rPr>
        <w:t>Upoštevajte, da je lahko v skladu s točkama (235) in (236) smernic pomoč za naložbe, ki vključujejo zamenjavo ali posodobitev glavnega ali pomožnega motorja ribiškega plovila, upravičena le v skladu s členom 18 Uredbe (EU) 2021/1139 ali delom II, poglavje 3, oddelek 3.2 smernic,</w:t>
      </w:r>
      <w:r>
        <w:rPr>
          <w:rFonts w:ascii="Times New Roman" w:hAnsi="Times New Roman"/>
          <w:i/>
          <w:color w:val="000000"/>
          <w:sz w:val="23"/>
        </w:rPr>
        <w:t xml:space="preserve"> pomoč za naložbe, ki privedejo do povečanja bruto tonaže ribiškega plovila, pa je lahko upravičena le v skladu s členom 19 Uredbe (EU) 2021/1139 ali delom II, poglavje 3, oddelek 3.3, smernic.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Podrobno opišite stroške, ki so upravičeni v okviru ukrepa.</w:t>
      </w:r>
    </w:p>
    <w:p w14:paraId="74434B51" w14:textId="77777777" w:rsidR="0098313D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največja intenzivnost pomoči ne presega 100 % upravičenih stroškov.</w:t>
      </w:r>
    </w:p>
    <w:p w14:paraId="183319C1" w14:textId="77777777" w:rsidR="0098313D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največje intenzivnosti pomoči, ki se uporabljajo v okviru ukrepa.</w:t>
      </w:r>
    </w:p>
    <w:p w14:paraId="74D79D94" w14:textId="77777777" w:rsidR="00AF6D28" w:rsidRDefault="00AF6D28" w:rsidP="00AF6D2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125368675"/>
      <w:r>
        <w:rPr>
          <w:rFonts w:ascii="Times New Roman" w:hAnsi="Times New Roman"/>
          <w:sz w:val="24"/>
        </w:rPr>
        <w:t>Navedite določbe pravne podlage, ki določajo največje intenzivnosti pomoči ukrepa.</w:t>
      </w:r>
    </w:p>
    <w:p w14:paraId="0E1683EF" w14:textId="1CD5C68A" w:rsidR="003F1D62" w:rsidRPr="001E103F" w:rsidRDefault="0098313D" w:rsidP="007B7F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DRUGE INFORMACIJE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vse druge informacije, ki se vam zdijo pomembne za oceno ukrepa iz tega oddelka smernic.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UL C 107, 23.3.2023, str.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16849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367</Words>
  <Characters>2324</Characters>
  <Application>Microsoft Office Word</Application>
  <DocSecurity>0</DocSecurity>
  <Lines>58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PECNIK KRZIC Simona (DGT)</cp:lastModifiedBy>
  <cp:revision>72</cp:revision>
  <dcterms:created xsi:type="dcterms:W3CDTF">2023-01-05T14:31:00Z</dcterms:created>
  <dcterms:modified xsi:type="dcterms:W3CDTF">2024-07-15T07:04:00Z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