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01182" w14:textId="77777777" w:rsidR="009907E1" w:rsidRPr="005E3FF3" w:rsidRDefault="009907E1" w:rsidP="009907E1">
      <w:pPr>
        <w:pStyle w:val="Annexetitre"/>
        <w:rPr>
          <w:u w:val="none"/>
        </w:rPr>
      </w:pPr>
      <w:bookmarkStart w:id="0" w:name="_Toc371412374"/>
      <w:r w:rsidRPr="005E3FF3">
        <w:rPr>
          <w:u w:val="none"/>
        </w:rPr>
        <w:t>RO</w:t>
      </w:r>
    </w:p>
    <w:p w14:paraId="611C8E0D" w14:textId="77777777" w:rsidR="009907E1" w:rsidRPr="005E3FF3" w:rsidRDefault="009907E1" w:rsidP="009907E1">
      <w:pPr>
        <w:rPr>
          <w:rFonts w:ascii="Times New Roman" w:hAnsi="Times New Roman"/>
          <w:sz w:val="24"/>
          <w:szCs w:val="24"/>
        </w:rPr>
      </w:pPr>
    </w:p>
    <w:p w14:paraId="1F828328" w14:textId="77777777" w:rsidR="006802F3" w:rsidRPr="005E3FF3" w:rsidRDefault="006802F3" w:rsidP="006802F3">
      <w:pPr>
        <w:pStyle w:val="Annexetitre"/>
        <w:spacing w:after="480"/>
      </w:pPr>
      <w:bookmarkStart w:id="1" w:name="_Toc371412381"/>
      <w:bookmarkEnd w:id="0"/>
      <w:r w:rsidRPr="005E3FF3">
        <w:t xml:space="preserve">ANEXA </w:t>
      </w:r>
      <w:bookmarkStart w:id="2" w:name="AnnexIII"/>
      <w:r w:rsidRPr="005E3FF3">
        <w:t>II</w:t>
      </w:r>
      <w:bookmarkEnd w:id="2"/>
    </w:p>
    <w:p w14:paraId="6CEE67BA" w14:textId="77777777" w:rsidR="006802F3" w:rsidRPr="005E3FF3" w:rsidRDefault="006802F3" w:rsidP="006802F3">
      <w:pPr>
        <w:pStyle w:val="Annexetitre"/>
        <w:spacing w:after="480"/>
      </w:pPr>
      <w:r w:rsidRPr="005E3FF3">
        <w:br/>
        <w:t>Informa</w:t>
      </w:r>
      <w:r w:rsidR="003B6A25" w:rsidRPr="005E3FF3">
        <w:t>ț</w:t>
      </w:r>
      <w:r w:rsidRPr="005E3FF3">
        <w:t>ii privind ajutoarele de stat exceptate în condi</w:t>
      </w:r>
      <w:r w:rsidR="003B6A25" w:rsidRPr="005E3FF3">
        <w:t>ț</w:t>
      </w:r>
      <w:r w:rsidRPr="005E3FF3">
        <w:t>iile prevăzute în prezentul regulament</w:t>
      </w:r>
      <w:bookmarkEnd w:id="1"/>
    </w:p>
    <w:p w14:paraId="110E2E61" w14:textId="77777777" w:rsidR="006802F3" w:rsidRPr="005E3FF3" w:rsidRDefault="006802F3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5E3FF3">
        <w:rPr>
          <w:rFonts w:ascii="Times New Roman" w:hAnsi="Times New Roman"/>
          <w:b/>
          <w:smallCaps/>
          <w:sz w:val="24"/>
          <w:szCs w:val="24"/>
        </w:rPr>
        <w:t>Partea I</w:t>
      </w:r>
    </w:p>
    <w:p w14:paraId="6815F09D" w14:textId="77777777" w:rsidR="006802F3" w:rsidRPr="005E3FF3" w:rsidRDefault="006802F3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5E3FF3">
        <w:rPr>
          <w:rFonts w:ascii="Times New Roman" w:hAnsi="Times New Roman"/>
          <w:b/>
          <w:sz w:val="24"/>
          <w:szCs w:val="24"/>
        </w:rPr>
        <w:t>Informa</w:t>
      </w:r>
      <w:r w:rsidR="003B6A25" w:rsidRPr="005E3FF3">
        <w:rPr>
          <w:rFonts w:ascii="Times New Roman" w:hAnsi="Times New Roman"/>
          <w:b/>
          <w:sz w:val="24"/>
          <w:szCs w:val="24"/>
        </w:rPr>
        <w:t>ț</w:t>
      </w:r>
      <w:r w:rsidRPr="005E3FF3">
        <w:rPr>
          <w:rFonts w:ascii="Times New Roman" w:hAnsi="Times New Roman"/>
          <w:b/>
          <w:sz w:val="24"/>
          <w:szCs w:val="24"/>
        </w:rPr>
        <w:t>ii care se transmit prin intermediul aplica</w:t>
      </w:r>
      <w:r w:rsidR="003B6A25" w:rsidRPr="005E3FF3">
        <w:rPr>
          <w:rFonts w:ascii="Times New Roman" w:hAnsi="Times New Roman"/>
          <w:b/>
          <w:sz w:val="24"/>
          <w:szCs w:val="24"/>
        </w:rPr>
        <w:t>ț</w:t>
      </w:r>
      <w:r w:rsidRPr="005E3FF3">
        <w:rPr>
          <w:rFonts w:ascii="Times New Roman" w:hAnsi="Times New Roman"/>
          <w:b/>
          <w:sz w:val="24"/>
          <w:szCs w:val="24"/>
        </w:rPr>
        <w:t>iei informatice stabilite a Comisiei, astfel cum se prevede la articolul 11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2637"/>
      </w:tblGrid>
      <w:tr w:rsidR="006802F3" w:rsidRPr="005E3FF3" w14:paraId="48B62B7F" w14:textId="77777777" w:rsidTr="005E3FF3">
        <w:tc>
          <w:tcPr>
            <w:tcW w:w="2126" w:type="dxa"/>
          </w:tcPr>
          <w:p w14:paraId="2CBCABC6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Numărul de referin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ă al ajutorului</w:t>
            </w:r>
          </w:p>
        </w:tc>
        <w:tc>
          <w:tcPr>
            <w:tcW w:w="7462" w:type="dxa"/>
            <w:gridSpan w:val="4"/>
          </w:tcPr>
          <w:p w14:paraId="5D16A49E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i/>
                <w:sz w:val="24"/>
                <w:szCs w:val="24"/>
              </w:rPr>
              <w:t>(se completează de către Comisie)</w:t>
            </w:r>
          </w:p>
        </w:tc>
      </w:tr>
      <w:tr w:rsidR="006802F3" w:rsidRPr="005E3FF3" w14:paraId="21FA67CB" w14:textId="77777777" w:rsidTr="005E3FF3">
        <w:tc>
          <w:tcPr>
            <w:tcW w:w="2126" w:type="dxa"/>
          </w:tcPr>
          <w:p w14:paraId="0FAF88C6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Statul membru</w:t>
            </w:r>
          </w:p>
        </w:tc>
        <w:tc>
          <w:tcPr>
            <w:tcW w:w="7462" w:type="dxa"/>
            <w:gridSpan w:val="4"/>
          </w:tcPr>
          <w:p w14:paraId="5C1EBB0A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5E3FF3" w14:paraId="530522B8" w14:textId="77777777" w:rsidTr="005E3FF3">
        <w:tc>
          <w:tcPr>
            <w:tcW w:w="2126" w:type="dxa"/>
          </w:tcPr>
          <w:p w14:paraId="1E6CA593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Numărul de referin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ă al statului membru</w:t>
            </w:r>
          </w:p>
        </w:tc>
        <w:tc>
          <w:tcPr>
            <w:tcW w:w="7462" w:type="dxa"/>
            <w:gridSpan w:val="4"/>
          </w:tcPr>
          <w:p w14:paraId="4918AF2D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5E3FF3" w14:paraId="6453A964" w14:textId="77777777" w:rsidTr="005E3FF3">
        <w:trPr>
          <w:trHeight w:val="278"/>
        </w:trPr>
        <w:tc>
          <w:tcPr>
            <w:tcW w:w="2126" w:type="dxa"/>
          </w:tcPr>
          <w:p w14:paraId="0711D0BA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Regiunea</w:t>
            </w:r>
          </w:p>
        </w:tc>
        <w:tc>
          <w:tcPr>
            <w:tcW w:w="2802" w:type="dxa"/>
          </w:tcPr>
          <w:p w14:paraId="518127EA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Denumirea regiunii (regiunilor) (</w:t>
            </w:r>
            <w:r w:rsidRPr="005E3FF3">
              <w:rPr>
                <w:rFonts w:ascii="Times New Roman" w:hAnsi="Times New Roman"/>
                <w:b/>
                <w:i/>
                <w:sz w:val="24"/>
                <w:szCs w:val="24"/>
              </w:rPr>
              <w:t>NUTS</w:t>
            </w:r>
            <w:r w:rsidRPr="005E3FF3">
              <w:rPr>
                <w:rStyle w:val="FootnoteReference"/>
                <w:rFonts w:ascii="Times New Roman" w:hAnsi="Times New Roman"/>
                <w:b/>
                <w:i/>
                <w:sz w:val="24"/>
                <w:szCs w:val="24"/>
              </w:rPr>
              <w:footnoteReference w:id="1"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5E3FF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62E52CA0" w14:textId="77777777" w:rsidR="0034653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14:paraId="0CEDD031" w14:textId="77777777" w:rsidR="0034653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660" w:type="dxa"/>
            <w:gridSpan w:val="3"/>
          </w:tcPr>
          <w:p w14:paraId="1A58A804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Statutul ajutorului regional</w:t>
            </w:r>
            <w:r w:rsidRPr="005E3FF3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2"/>
            </w:r>
          </w:p>
          <w:p w14:paraId="56326E7A" w14:textId="77777777" w:rsidR="00346533" w:rsidRPr="005E3FF3" w:rsidRDefault="0034653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C53408" w14:textId="77777777" w:rsidR="0034653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  <w:p w14:paraId="1369FE76" w14:textId="77777777" w:rsidR="0034653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6802F3" w:rsidRPr="005E3FF3" w14:paraId="052ACD95" w14:textId="77777777" w:rsidTr="005E3FF3">
        <w:trPr>
          <w:trHeight w:val="338"/>
        </w:trPr>
        <w:tc>
          <w:tcPr>
            <w:tcW w:w="2126" w:type="dxa"/>
            <w:vMerge w:val="restart"/>
          </w:tcPr>
          <w:p w14:paraId="789647D4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Autoritatea care acordă ajutorul</w:t>
            </w:r>
          </w:p>
        </w:tc>
        <w:tc>
          <w:tcPr>
            <w:tcW w:w="2802" w:type="dxa"/>
          </w:tcPr>
          <w:p w14:paraId="384E7C70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Denumirea </w:t>
            </w:r>
          </w:p>
        </w:tc>
        <w:tc>
          <w:tcPr>
            <w:tcW w:w="4660" w:type="dxa"/>
            <w:gridSpan w:val="3"/>
          </w:tcPr>
          <w:p w14:paraId="3608A83C" w14:textId="77777777" w:rsidR="006802F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</w:p>
        </w:tc>
      </w:tr>
      <w:tr w:rsidR="006802F3" w:rsidRPr="005E3FF3" w14:paraId="67E99CA8" w14:textId="77777777" w:rsidTr="005E3FF3">
        <w:trPr>
          <w:trHeight w:val="337"/>
        </w:trPr>
        <w:tc>
          <w:tcPr>
            <w:tcW w:w="2126" w:type="dxa"/>
            <w:vMerge/>
          </w:tcPr>
          <w:p w14:paraId="561D810E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14:paraId="44ECCB34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Adresa po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tală</w:t>
            </w:r>
          </w:p>
          <w:p w14:paraId="4B3C70EB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C4B7D8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Adresa web</w:t>
            </w:r>
          </w:p>
        </w:tc>
        <w:tc>
          <w:tcPr>
            <w:tcW w:w="4660" w:type="dxa"/>
            <w:gridSpan w:val="3"/>
          </w:tcPr>
          <w:p w14:paraId="5DCDB674" w14:textId="77777777" w:rsidR="006802F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  <w:p w14:paraId="37DD69F1" w14:textId="77777777" w:rsidR="0034653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436084F" w14:textId="77777777" w:rsidR="0034653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6802F3" w:rsidRPr="005E3FF3" w14:paraId="440C4173" w14:textId="77777777" w:rsidTr="005E3FF3">
        <w:tc>
          <w:tcPr>
            <w:tcW w:w="2126" w:type="dxa"/>
            <w:tcBorders>
              <w:bottom w:val="dotted" w:sz="4" w:space="0" w:color="auto"/>
            </w:tcBorders>
          </w:tcPr>
          <w:p w14:paraId="082BD0B2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Titlul măsurii de ajutor </w:t>
            </w:r>
          </w:p>
        </w:tc>
        <w:tc>
          <w:tcPr>
            <w:tcW w:w="7462" w:type="dxa"/>
            <w:gridSpan w:val="4"/>
            <w:tcBorders>
              <w:bottom w:val="dotted" w:sz="4" w:space="0" w:color="auto"/>
            </w:tcBorders>
          </w:tcPr>
          <w:p w14:paraId="13F1F337" w14:textId="77777777" w:rsidR="006802F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</w:t>
            </w:r>
          </w:p>
        </w:tc>
      </w:tr>
      <w:tr w:rsidR="006802F3" w:rsidRPr="005E3FF3" w14:paraId="46BA5638" w14:textId="77777777" w:rsidTr="005E3FF3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2537A2A9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Temeiul juridic na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ional (trimitere la publica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ia oficială na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ională relevantă)</w:t>
            </w:r>
          </w:p>
        </w:tc>
        <w:tc>
          <w:tcPr>
            <w:tcW w:w="746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6267E49D" w14:textId="77777777" w:rsidR="006802F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</w:p>
        </w:tc>
      </w:tr>
      <w:tr w:rsidR="006802F3" w:rsidRPr="005E3FF3" w14:paraId="0166AE5C" w14:textId="77777777" w:rsidTr="005E3FF3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58A6D7E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Link către textul integral al măsurii de ajutor </w:t>
            </w:r>
          </w:p>
        </w:tc>
        <w:tc>
          <w:tcPr>
            <w:tcW w:w="7462" w:type="dxa"/>
            <w:gridSpan w:val="4"/>
            <w:tcBorders>
              <w:top w:val="dotted" w:sz="4" w:space="0" w:color="auto"/>
            </w:tcBorders>
          </w:tcPr>
          <w:p w14:paraId="5A978218" w14:textId="77777777" w:rsidR="006802F3" w:rsidRPr="005E3FF3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…………………………………………………………………………..</w:t>
            </w:r>
          </w:p>
        </w:tc>
      </w:tr>
      <w:tr w:rsidR="006802F3" w:rsidRPr="005E3FF3" w14:paraId="76C0B583" w14:textId="77777777" w:rsidTr="005E3FF3">
        <w:trPr>
          <w:trHeight w:val="277"/>
        </w:trPr>
        <w:tc>
          <w:tcPr>
            <w:tcW w:w="2126" w:type="dxa"/>
            <w:vMerge w:val="restart"/>
          </w:tcPr>
          <w:p w14:paraId="5B3BB884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Tipul măsurii </w:t>
            </w:r>
          </w:p>
        </w:tc>
        <w:tc>
          <w:tcPr>
            <w:tcW w:w="2944" w:type="dxa"/>
            <w:gridSpan w:val="2"/>
          </w:tcPr>
          <w:p w14:paraId="1D228988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Schemă</w:t>
            </w:r>
          </w:p>
        </w:tc>
        <w:tc>
          <w:tcPr>
            <w:tcW w:w="4518" w:type="dxa"/>
            <w:gridSpan w:val="2"/>
          </w:tcPr>
          <w:p w14:paraId="5102E2B9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5E3FF3" w14:paraId="3C06E415" w14:textId="77777777" w:rsidTr="005E3FF3">
        <w:trPr>
          <w:trHeight w:val="277"/>
        </w:trPr>
        <w:tc>
          <w:tcPr>
            <w:tcW w:w="2126" w:type="dxa"/>
            <w:vMerge/>
          </w:tcPr>
          <w:p w14:paraId="5A00486B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3" w:name="Check1"/>
        <w:tc>
          <w:tcPr>
            <w:tcW w:w="2944" w:type="dxa"/>
            <w:gridSpan w:val="2"/>
          </w:tcPr>
          <w:p w14:paraId="57E70504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bookmarkEnd w:id="3"/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Ajutor ad-hoc</w:t>
            </w:r>
          </w:p>
        </w:tc>
        <w:tc>
          <w:tcPr>
            <w:tcW w:w="4518" w:type="dxa"/>
            <w:gridSpan w:val="2"/>
          </w:tcPr>
          <w:p w14:paraId="54B8439E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Denumirea beneficiarului 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ș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 grupul</w:t>
            </w:r>
            <w:r w:rsidRPr="005E3FF3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3"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 căruia îi apar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ine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E3FF3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6802F3" w:rsidRPr="005E3FF3" w14:paraId="087EC828" w14:textId="77777777" w:rsidTr="005E3FF3">
        <w:trPr>
          <w:trHeight w:val="486"/>
        </w:trPr>
        <w:tc>
          <w:tcPr>
            <w:tcW w:w="2126" w:type="dxa"/>
            <w:vMerge w:val="restart"/>
          </w:tcPr>
          <w:p w14:paraId="6F68D1BE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Modificarea unei scheme de ajutoare existente sau a unui ajutor ad-hoc existent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2343573E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18" w:type="dxa"/>
            <w:gridSpan w:val="2"/>
          </w:tcPr>
          <w:p w14:paraId="6976AAAE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Numărul de referin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ă atribuit ajutorului de către Comisie</w:t>
            </w:r>
          </w:p>
        </w:tc>
      </w:tr>
      <w:tr w:rsidR="006802F3" w:rsidRPr="005E3FF3" w14:paraId="54C95EED" w14:textId="77777777" w:rsidTr="005E3FF3">
        <w:trPr>
          <w:trHeight w:val="486"/>
        </w:trPr>
        <w:tc>
          <w:tcPr>
            <w:tcW w:w="2126" w:type="dxa"/>
            <w:vMerge/>
          </w:tcPr>
          <w:p w14:paraId="02D14C13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32602874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Prelungire</w:t>
            </w:r>
          </w:p>
        </w:tc>
        <w:tc>
          <w:tcPr>
            <w:tcW w:w="4518" w:type="dxa"/>
            <w:gridSpan w:val="2"/>
          </w:tcPr>
          <w:p w14:paraId="2DFCC2C9" w14:textId="77777777" w:rsidR="006802F3" w:rsidRPr="005E3FF3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E3FF3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6802F3" w:rsidRPr="005E3FF3" w14:paraId="6C61D027" w14:textId="77777777" w:rsidTr="005E3FF3">
        <w:trPr>
          <w:trHeight w:val="486"/>
        </w:trPr>
        <w:tc>
          <w:tcPr>
            <w:tcW w:w="2126" w:type="dxa"/>
            <w:vMerge/>
          </w:tcPr>
          <w:p w14:paraId="4C4B95FE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0AC620B2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Modificare</w:t>
            </w:r>
          </w:p>
        </w:tc>
        <w:tc>
          <w:tcPr>
            <w:tcW w:w="4518" w:type="dxa"/>
            <w:gridSpan w:val="2"/>
          </w:tcPr>
          <w:p w14:paraId="6DE103F5" w14:textId="77777777" w:rsidR="006802F3" w:rsidRPr="005E3FF3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E3FF3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6802F3" w:rsidRPr="005E3FF3" w14:paraId="6D307486" w14:textId="77777777" w:rsidTr="005E3FF3">
        <w:trPr>
          <w:trHeight w:val="338"/>
        </w:trPr>
        <w:tc>
          <w:tcPr>
            <w:tcW w:w="2126" w:type="dxa"/>
          </w:tcPr>
          <w:p w14:paraId="7F7B55A2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Durata</w:t>
            </w:r>
            <w:r w:rsidRPr="005E3FF3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2944" w:type="dxa"/>
            <w:gridSpan w:val="2"/>
          </w:tcPr>
          <w:p w14:paraId="39913697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Schemă</w:t>
            </w:r>
          </w:p>
        </w:tc>
        <w:tc>
          <w:tcPr>
            <w:tcW w:w="4518" w:type="dxa"/>
            <w:gridSpan w:val="2"/>
          </w:tcPr>
          <w:p w14:paraId="12E819BF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 xml:space="preserve">de la zz/ll/aaaa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până la</w:t>
            </w:r>
            <w:r w:rsidRPr="005E3FF3">
              <w:rPr>
                <w:rFonts w:ascii="Times New Roman" w:hAnsi="Times New Roman"/>
                <w:sz w:val="24"/>
                <w:szCs w:val="24"/>
              </w:rPr>
              <w:t xml:space="preserve"> zz/ll/aaaa</w:t>
            </w:r>
          </w:p>
        </w:tc>
      </w:tr>
      <w:tr w:rsidR="006802F3" w:rsidRPr="005E3FF3" w14:paraId="2F3A7C3F" w14:textId="77777777" w:rsidTr="005E3FF3">
        <w:trPr>
          <w:trHeight w:val="338"/>
        </w:trPr>
        <w:tc>
          <w:tcPr>
            <w:tcW w:w="2126" w:type="dxa"/>
          </w:tcPr>
          <w:p w14:paraId="76F32519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Data acordării</w:t>
            </w:r>
            <w:r w:rsidRPr="005E3FF3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gridSpan w:val="2"/>
          </w:tcPr>
          <w:p w14:paraId="68E329FD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Ajutor ad-hoc</w:t>
            </w:r>
          </w:p>
        </w:tc>
        <w:tc>
          <w:tcPr>
            <w:tcW w:w="4518" w:type="dxa"/>
            <w:gridSpan w:val="2"/>
          </w:tcPr>
          <w:p w14:paraId="6DCEBD21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zz/ll/aaaa</w:t>
            </w:r>
          </w:p>
        </w:tc>
      </w:tr>
      <w:tr w:rsidR="006802F3" w:rsidRPr="005E3FF3" w14:paraId="2F60A574" w14:textId="77777777" w:rsidTr="005E3FF3">
        <w:trPr>
          <w:trHeight w:val="535"/>
        </w:trPr>
        <w:tc>
          <w:tcPr>
            <w:tcW w:w="2126" w:type="dxa"/>
            <w:vMerge w:val="restart"/>
          </w:tcPr>
          <w:p w14:paraId="71BD4E08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Sectorul (sectoarele) economic(e) vizat(e)</w:t>
            </w:r>
          </w:p>
        </w:tc>
        <w:tc>
          <w:tcPr>
            <w:tcW w:w="2944" w:type="dxa"/>
            <w:gridSpan w:val="2"/>
          </w:tcPr>
          <w:p w14:paraId="06677E3F" w14:textId="77777777" w:rsidR="006802F3" w:rsidRPr="005E3FF3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sz w:val="24"/>
                <w:szCs w:val="24"/>
              </w:rPr>
              <w:tab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Toate sectoarele economice eligibile pentru a primi ajutoare </w:t>
            </w:r>
          </w:p>
        </w:tc>
        <w:tc>
          <w:tcPr>
            <w:tcW w:w="4518" w:type="dxa"/>
            <w:gridSpan w:val="2"/>
          </w:tcPr>
          <w:p w14:paraId="4B62FBBF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5E3FF3" w14:paraId="50EDDB65" w14:textId="77777777" w:rsidTr="005E3FF3">
        <w:trPr>
          <w:trHeight w:val="820"/>
        </w:trPr>
        <w:tc>
          <w:tcPr>
            <w:tcW w:w="2126" w:type="dxa"/>
            <w:vMerge/>
          </w:tcPr>
          <w:p w14:paraId="29B82F87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1A042676" w14:textId="77777777" w:rsidR="006802F3" w:rsidRPr="005E3FF3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sz w:val="24"/>
                <w:szCs w:val="24"/>
              </w:rPr>
              <w:tab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Ajutoare limitate la anumite sectoare: a se preciza la nivel de grupă NACE</w:t>
            </w:r>
            <w:r w:rsidRPr="005E3FF3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6"/>
            </w:r>
          </w:p>
        </w:tc>
        <w:tc>
          <w:tcPr>
            <w:tcW w:w="4518" w:type="dxa"/>
            <w:gridSpan w:val="2"/>
          </w:tcPr>
          <w:p w14:paraId="2C443D3B" w14:textId="77777777" w:rsidR="006802F3" w:rsidRPr="005E3FF3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  <w:r w:rsidRPr="005E3FF3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</w:p>
        </w:tc>
      </w:tr>
      <w:tr w:rsidR="006802F3" w:rsidRPr="005E3FF3" w14:paraId="44824A62" w14:textId="77777777" w:rsidTr="005E3FF3">
        <w:trPr>
          <w:trHeight w:val="185"/>
        </w:trPr>
        <w:tc>
          <w:tcPr>
            <w:tcW w:w="2126" w:type="dxa"/>
            <w:vMerge w:val="restart"/>
          </w:tcPr>
          <w:p w14:paraId="50069F29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Tipul de beneficiar</w:t>
            </w:r>
          </w:p>
        </w:tc>
        <w:tc>
          <w:tcPr>
            <w:tcW w:w="2944" w:type="dxa"/>
            <w:gridSpan w:val="2"/>
          </w:tcPr>
          <w:p w14:paraId="2914D032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IMM</w:t>
            </w:r>
          </w:p>
        </w:tc>
        <w:tc>
          <w:tcPr>
            <w:tcW w:w="4518" w:type="dxa"/>
            <w:gridSpan w:val="2"/>
          </w:tcPr>
          <w:p w14:paraId="1E83E203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5E3FF3" w14:paraId="4D93916A" w14:textId="77777777" w:rsidTr="005E3FF3">
        <w:trPr>
          <w:trHeight w:val="185"/>
        </w:trPr>
        <w:tc>
          <w:tcPr>
            <w:tcW w:w="2126" w:type="dxa"/>
            <w:vMerge/>
          </w:tcPr>
          <w:p w14:paraId="556C5B68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38FB7B66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Întreprinderi mari</w:t>
            </w:r>
          </w:p>
        </w:tc>
        <w:tc>
          <w:tcPr>
            <w:tcW w:w="4518" w:type="dxa"/>
            <w:gridSpan w:val="2"/>
          </w:tcPr>
          <w:p w14:paraId="22B9D0FF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4EBF" w:rsidRPr="005E3FF3" w14:paraId="1425EC97" w14:textId="77777777" w:rsidTr="005E3FF3">
        <w:trPr>
          <w:trHeight w:val="337"/>
        </w:trPr>
        <w:tc>
          <w:tcPr>
            <w:tcW w:w="2126" w:type="dxa"/>
          </w:tcPr>
          <w:p w14:paraId="1311C8FD" w14:textId="42184F24" w:rsidR="00E54EBF" w:rsidRPr="00E54EBF" w:rsidRDefault="00E54EBF" w:rsidP="00C6449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54EBF">
              <w:rPr>
                <w:rFonts w:ascii="Times New Roman" w:hAnsi="Times New Roman"/>
                <w:bCs/>
                <w:sz w:val="24"/>
                <w:szCs w:val="24"/>
              </w:rPr>
              <w:t>Numărul estimat de beneficiari</w:t>
            </w:r>
          </w:p>
        </w:tc>
        <w:tc>
          <w:tcPr>
            <w:tcW w:w="2944" w:type="dxa"/>
            <w:gridSpan w:val="2"/>
          </w:tcPr>
          <w:p w14:paraId="475EB557" w14:textId="20DA5172" w:rsidR="00E54EBF" w:rsidRPr="00E54EBF" w:rsidRDefault="00E54EBF" w:rsidP="00E54EBF">
            <w:pPr>
              <w:spacing w:after="0"/>
              <w:rPr>
                <w:rFonts w:ascii="Times New Roman" w:hAnsi="Times New Roman"/>
                <w:sz w:val="24"/>
                <w:szCs w:val="20"/>
                <w:lang w:val="fr-BE" w:eastAsia="hu-HU" w:bidi="hu-HU"/>
              </w:rPr>
            </w:pP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fr-BE" w:eastAsia="hu-HU" w:bidi="hu-HU"/>
              </w:rPr>
              <w:instrText xml:space="preserve"> FORMCHECKBOX </w:instrText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separate"/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end"/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fr-BE" w:eastAsia="hu-HU" w:bidi="hu-HU"/>
              </w:rPr>
              <w:t xml:space="preserve"> </w:t>
            </w:r>
            <w:r w:rsidRPr="00E54EBF">
              <w:rPr>
                <w:rFonts w:ascii="Times New Roman" w:hAnsi="Times New Roman"/>
                <w:sz w:val="24"/>
                <w:szCs w:val="20"/>
                <w:lang w:eastAsia="hu-HU" w:bidi="hu-HU"/>
              </w:rPr>
              <w:t>mai puțin de 10</w:t>
            </w:r>
          </w:p>
          <w:p w14:paraId="175FAB1E" w14:textId="4DB58626" w:rsidR="00E54EBF" w:rsidRPr="00E54EBF" w:rsidRDefault="00E54EBF" w:rsidP="00E54EBF">
            <w:pPr>
              <w:spacing w:after="0"/>
              <w:rPr>
                <w:rFonts w:ascii="Times New Roman" w:hAnsi="Times New Roman"/>
                <w:sz w:val="24"/>
                <w:szCs w:val="20"/>
                <w:lang w:val="fr-BE" w:eastAsia="hu-HU" w:bidi="hu-HU"/>
              </w:rPr>
            </w:pP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fr-BE" w:eastAsia="hu-HU" w:bidi="hu-HU"/>
              </w:rPr>
              <w:instrText xml:space="preserve"> FORMCHECKBOX </w:instrText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separate"/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end"/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fr-BE" w:eastAsia="hu-HU" w:bidi="hu-HU"/>
              </w:rPr>
              <w:t xml:space="preserve"> </w:t>
            </w:r>
            <w:r w:rsidRPr="00E54EBF">
              <w:rPr>
                <w:rFonts w:ascii="Times New Roman" w:hAnsi="Times New Roman"/>
                <w:sz w:val="24"/>
                <w:szCs w:val="20"/>
                <w:lang w:eastAsia="hu-HU" w:bidi="hu-HU"/>
              </w:rPr>
              <w:t>de la 11 la 50</w:t>
            </w:r>
          </w:p>
          <w:p w14:paraId="4C344F93" w14:textId="330F3F94" w:rsidR="00E54EBF" w:rsidRPr="00E54EBF" w:rsidRDefault="00E54EBF" w:rsidP="00E54EBF">
            <w:pPr>
              <w:spacing w:after="0"/>
              <w:rPr>
                <w:rFonts w:ascii="Times New Roman" w:hAnsi="Times New Roman"/>
                <w:sz w:val="24"/>
                <w:szCs w:val="20"/>
                <w:lang w:val="fr-BE" w:eastAsia="hu-HU" w:bidi="hu-HU"/>
              </w:rPr>
            </w:pP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fr-BE" w:eastAsia="hu-HU" w:bidi="hu-HU"/>
              </w:rPr>
              <w:instrText xml:space="preserve"> FORMCHECKBOX </w:instrText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separate"/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end"/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fr-BE" w:eastAsia="hu-HU" w:bidi="hu-HU"/>
              </w:rPr>
              <w:t xml:space="preserve"> </w:t>
            </w:r>
            <w:r w:rsidRPr="00E54EBF">
              <w:rPr>
                <w:rFonts w:ascii="Times New Roman" w:hAnsi="Times New Roman"/>
                <w:sz w:val="24"/>
                <w:szCs w:val="20"/>
                <w:lang w:eastAsia="hu-HU" w:bidi="hu-HU"/>
              </w:rPr>
              <w:t>de la 51 la 100</w:t>
            </w:r>
          </w:p>
          <w:p w14:paraId="0DDDA4A7" w14:textId="0420C573" w:rsidR="00E54EBF" w:rsidRPr="00E54EBF" w:rsidRDefault="00E54EBF" w:rsidP="00E54EBF">
            <w:pPr>
              <w:spacing w:after="0"/>
              <w:rPr>
                <w:rFonts w:ascii="Times New Roman" w:hAnsi="Times New Roman"/>
                <w:sz w:val="24"/>
                <w:szCs w:val="20"/>
                <w:lang w:val="fr-BE" w:eastAsia="hu-HU" w:bidi="hu-HU"/>
              </w:rPr>
            </w:pP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fr-BE" w:eastAsia="hu-HU" w:bidi="hu-HU"/>
              </w:rPr>
              <w:instrText xml:space="preserve"> FORMCHECKBOX </w:instrText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separate"/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end"/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fr-BE" w:eastAsia="hu-HU" w:bidi="hu-HU"/>
              </w:rPr>
              <w:t xml:space="preserve"> </w:t>
            </w:r>
            <w:r w:rsidRPr="00E54EBF">
              <w:rPr>
                <w:rFonts w:ascii="Times New Roman" w:hAnsi="Times New Roman"/>
                <w:sz w:val="24"/>
                <w:szCs w:val="20"/>
                <w:lang w:val="fr-BE" w:eastAsia="hu-HU" w:bidi="hu-HU"/>
              </w:rPr>
              <w:t xml:space="preserve">de la 101 la </w:t>
            </w:r>
            <w:r w:rsidRPr="00E54EBF">
              <w:rPr>
                <w:rFonts w:ascii="Times New Roman" w:hAnsi="Times New Roman"/>
                <w:sz w:val="24"/>
                <w:szCs w:val="20"/>
                <w:lang w:eastAsia="hu-HU" w:bidi="hu-HU"/>
              </w:rPr>
              <w:t>500</w:t>
            </w:r>
          </w:p>
          <w:p w14:paraId="0B0263E0" w14:textId="50069602" w:rsidR="00E54EBF" w:rsidRPr="00E54EBF" w:rsidRDefault="00E54EBF" w:rsidP="00E54EBF">
            <w:pPr>
              <w:spacing w:after="0"/>
              <w:rPr>
                <w:rFonts w:ascii="Times New Roman" w:hAnsi="Times New Roman"/>
                <w:sz w:val="24"/>
                <w:szCs w:val="20"/>
                <w:lang w:val="en-IE" w:eastAsia="hu-HU" w:bidi="hu-HU"/>
              </w:rPr>
            </w:pP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instrText xml:space="preserve"> FORMCHECKBOX </w:instrText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separate"/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t xml:space="preserve"> </w:t>
            </w:r>
            <w:r w:rsidRPr="00E54EBF">
              <w:rPr>
                <w:rFonts w:ascii="Times New Roman" w:hAnsi="Times New Roman"/>
                <w:sz w:val="24"/>
                <w:szCs w:val="20"/>
                <w:lang w:eastAsia="hu-HU" w:bidi="hu-HU"/>
              </w:rPr>
              <w:t>de</w:t>
            </w:r>
            <w:r w:rsidRPr="00E54EBF">
              <w:rPr>
                <w:rFonts w:ascii="Times New Roman" w:hAnsi="Times New Roman"/>
                <w:sz w:val="24"/>
                <w:szCs w:val="20"/>
                <w:lang w:val="en-IE" w:eastAsia="hu-HU" w:bidi="hu-HU"/>
              </w:rPr>
              <w:t xml:space="preserve"> la 501 la 1 000</w:t>
            </w:r>
          </w:p>
          <w:p w14:paraId="2C583FEB" w14:textId="01C9FA12" w:rsidR="00E54EBF" w:rsidRPr="005E3FF3" w:rsidRDefault="00E54EBF" w:rsidP="00E54EB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instrText xml:space="preserve"> FORMCHECKBOX </w:instrText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separate"/>
            </w:r>
            <w:r w:rsidRPr="00E54EBF"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en-IE" w:eastAsia="hu-HU" w:bidi="hu-HU"/>
              </w:rPr>
              <w:t xml:space="preserve"> </w:t>
            </w:r>
            <w:r w:rsidRPr="00E54EBF">
              <w:rPr>
                <w:rFonts w:ascii="Times New Roman" w:hAnsi="Times New Roman"/>
                <w:sz w:val="24"/>
                <w:szCs w:val="20"/>
                <w:lang w:eastAsia="hu-HU" w:bidi="hu-HU"/>
              </w:rPr>
              <w:t>peste</w:t>
            </w:r>
            <w:r w:rsidRPr="00E54EBF">
              <w:rPr>
                <w:rFonts w:ascii="Times New Roman" w:hAnsi="Times New Roman"/>
                <w:sz w:val="24"/>
                <w:szCs w:val="20"/>
                <w:lang w:val="en-IE" w:eastAsia="hu-HU" w:bidi="hu-HU"/>
              </w:rPr>
              <w:t xml:space="preserve"> 1 000</w:t>
            </w:r>
          </w:p>
        </w:tc>
        <w:tc>
          <w:tcPr>
            <w:tcW w:w="4518" w:type="dxa"/>
            <w:gridSpan w:val="2"/>
          </w:tcPr>
          <w:p w14:paraId="5098E214" w14:textId="77777777" w:rsidR="00E54EBF" w:rsidRPr="005E3FF3" w:rsidRDefault="00E54EBF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5E3FF3" w14:paraId="4D8295C1" w14:textId="77777777" w:rsidTr="005E3FF3">
        <w:trPr>
          <w:trHeight w:val="337"/>
        </w:trPr>
        <w:tc>
          <w:tcPr>
            <w:tcW w:w="2126" w:type="dxa"/>
            <w:vMerge w:val="restart"/>
          </w:tcPr>
          <w:p w14:paraId="313E73FD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Bugetul </w:t>
            </w:r>
          </w:p>
        </w:tc>
        <w:tc>
          <w:tcPr>
            <w:tcW w:w="2944" w:type="dxa"/>
            <w:gridSpan w:val="2"/>
          </w:tcPr>
          <w:p w14:paraId="43F47AA4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Valoarea totală anuală a bugetului planificat în cadrul schemei</w:t>
            </w:r>
            <w:r w:rsidRPr="005E3FF3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7"/>
            </w:r>
          </w:p>
        </w:tc>
        <w:tc>
          <w:tcPr>
            <w:tcW w:w="4518" w:type="dxa"/>
            <w:gridSpan w:val="2"/>
          </w:tcPr>
          <w:p w14:paraId="1511B53B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Moneda na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ională … (valoare întreagă)</w:t>
            </w:r>
          </w:p>
          <w:p w14:paraId="63624F21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6802F3" w:rsidRPr="005E3FF3" w14:paraId="79A694AF" w14:textId="77777777" w:rsidTr="005E3FF3">
        <w:trPr>
          <w:trHeight w:val="337"/>
        </w:trPr>
        <w:tc>
          <w:tcPr>
            <w:tcW w:w="2126" w:type="dxa"/>
            <w:vMerge/>
          </w:tcPr>
          <w:p w14:paraId="25B7F51E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1D4337DF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Valoarea totală a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ajutorului ad-hoc acordat întreprinderii</w:t>
            </w:r>
            <w:r w:rsidRPr="005E3FF3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8"/>
            </w:r>
          </w:p>
        </w:tc>
        <w:tc>
          <w:tcPr>
            <w:tcW w:w="4518" w:type="dxa"/>
            <w:gridSpan w:val="2"/>
          </w:tcPr>
          <w:p w14:paraId="36C333CA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Moneda na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ională … (valoare întreagă)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E3FF3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……………………………………….</w:t>
            </w:r>
          </w:p>
        </w:tc>
      </w:tr>
      <w:tr w:rsidR="006802F3" w:rsidRPr="005E3FF3" w14:paraId="2ADE15E4" w14:textId="77777777" w:rsidTr="005E3FF3">
        <w:trPr>
          <w:trHeight w:val="337"/>
        </w:trPr>
        <w:tc>
          <w:tcPr>
            <w:tcW w:w="2126" w:type="dxa"/>
            <w:vMerge/>
          </w:tcPr>
          <w:p w14:paraId="06A308A5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378F5A37" w14:textId="77777777" w:rsidR="006802F3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Pentru garan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  <w:r w:rsidRPr="005E3FF3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9"/>
            </w:r>
          </w:p>
        </w:tc>
        <w:tc>
          <w:tcPr>
            <w:tcW w:w="4518" w:type="dxa"/>
            <w:gridSpan w:val="2"/>
          </w:tcPr>
          <w:p w14:paraId="1184B345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Moneda na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ională … (valoare întreagă)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E3FF3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0674F4" w:rsidRPr="005E3FF3" w14:paraId="63135713" w14:textId="77777777" w:rsidTr="005E3FF3">
        <w:trPr>
          <w:trHeight w:val="208"/>
        </w:trPr>
        <w:tc>
          <w:tcPr>
            <w:tcW w:w="2126" w:type="dxa"/>
            <w:vMerge w:val="restart"/>
          </w:tcPr>
          <w:p w14:paraId="24FA8BAB" w14:textId="77777777" w:rsidR="000674F4" w:rsidRPr="005E3FF3" w:rsidRDefault="000674F4" w:rsidP="00982BC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Instrumentul de ajutor</w:t>
            </w:r>
          </w:p>
        </w:tc>
        <w:tc>
          <w:tcPr>
            <w:tcW w:w="7462" w:type="dxa"/>
            <w:gridSpan w:val="4"/>
          </w:tcPr>
          <w:p w14:paraId="3ACCEFAB" w14:textId="77777777" w:rsidR="000674F4" w:rsidRPr="005E3FF3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sz w:val="24"/>
                <w:szCs w:val="24"/>
              </w:rPr>
              <w:tab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Grant/Subven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ionare a ratei dobânzii</w:t>
            </w:r>
          </w:p>
        </w:tc>
      </w:tr>
      <w:tr w:rsidR="000674F4" w:rsidRPr="005E3FF3" w14:paraId="0DAE37C8" w14:textId="77777777" w:rsidTr="005E3FF3">
        <w:trPr>
          <w:trHeight w:val="208"/>
        </w:trPr>
        <w:tc>
          <w:tcPr>
            <w:tcW w:w="2126" w:type="dxa"/>
            <w:vMerge/>
          </w:tcPr>
          <w:p w14:paraId="78005994" w14:textId="77777777" w:rsidR="000674F4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40796F43" w14:textId="77777777" w:rsidR="000674F4" w:rsidRPr="005E3FF3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sz w:val="24"/>
                <w:szCs w:val="24"/>
              </w:rPr>
              <w:tab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Împrumut/avansuri rambursabile</w:t>
            </w:r>
          </w:p>
        </w:tc>
      </w:tr>
      <w:tr w:rsidR="000674F4" w:rsidRPr="005E3FF3" w14:paraId="72FCC131" w14:textId="77777777" w:rsidTr="005E3FF3">
        <w:trPr>
          <w:trHeight w:val="208"/>
        </w:trPr>
        <w:tc>
          <w:tcPr>
            <w:tcW w:w="2126" w:type="dxa"/>
            <w:vMerge/>
          </w:tcPr>
          <w:p w14:paraId="6F9EB058" w14:textId="77777777" w:rsidR="000674F4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35E0251E" w14:textId="77777777" w:rsidR="000674F4" w:rsidRPr="005E3FF3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sz w:val="24"/>
                <w:szCs w:val="24"/>
              </w:rPr>
              <w:tab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Garan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ie (dacă este cazul, cu trimitere la decizia Comisiei</w:t>
            </w:r>
            <w:r w:rsidRPr="005E3FF3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10"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</w:tc>
      </w:tr>
      <w:tr w:rsidR="000674F4" w:rsidRPr="005E3FF3" w14:paraId="3D841D2D" w14:textId="77777777" w:rsidTr="005E3FF3">
        <w:trPr>
          <w:trHeight w:val="208"/>
        </w:trPr>
        <w:tc>
          <w:tcPr>
            <w:tcW w:w="2126" w:type="dxa"/>
            <w:vMerge/>
          </w:tcPr>
          <w:p w14:paraId="658C7813" w14:textId="77777777" w:rsidR="000674F4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58E753BB" w14:textId="77777777" w:rsidR="000674F4" w:rsidRPr="005E3FF3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sz w:val="24"/>
                <w:szCs w:val="24"/>
              </w:rPr>
              <w:tab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Avantaj fiscal sau scutire fiscală </w:t>
            </w:r>
          </w:p>
        </w:tc>
      </w:tr>
      <w:tr w:rsidR="000674F4" w:rsidRPr="005E3FF3" w14:paraId="665FBA18" w14:textId="77777777" w:rsidTr="005E3FF3">
        <w:trPr>
          <w:trHeight w:val="208"/>
        </w:trPr>
        <w:tc>
          <w:tcPr>
            <w:tcW w:w="2126" w:type="dxa"/>
            <w:vMerge/>
          </w:tcPr>
          <w:p w14:paraId="106024F0" w14:textId="77777777" w:rsidR="000674F4" w:rsidRPr="005E3FF3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5375B9A4" w14:textId="77777777" w:rsidR="000674F4" w:rsidRPr="005E3FF3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sz w:val="24"/>
                <w:szCs w:val="24"/>
              </w:rPr>
              <w:tab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Furnizare de finan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are de risc </w:t>
            </w:r>
          </w:p>
        </w:tc>
      </w:tr>
      <w:tr w:rsidR="000674F4" w:rsidRPr="005E3FF3" w14:paraId="7679E6C0" w14:textId="77777777" w:rsidTr="005E3FF3">
        <w:trPr>
          <w:trHeight w:val="460"/>
        </w:trPr>
        <w:tc>
          <w:tcPr>
            <w:tcW w:w="2126" w:type="dxa"/>
            <w:vMerge/>
          </w:tcPr>
          <w:p w14:paraId="01730BAE" w14:textId="77777777" w:rsidR="000674F4" w:rsidRPr="005E3FF3" w:rsidRDefault="000674F4" w:rsidP="00C6449A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3593C756" w14:textId="77777777" w:rsidR="000674F4" w:rsidRPr="005E3FF3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sz w:val="24"/>
                <w:szCs w:val="24"/>
              </w:rPr>
              <w:tab/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Altele (a se preciza)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E3FF3">
              <w:rPr>
                <w:rFonts w:ascii="Times New Roman" w:hAnsi="Times New Roman"/>
                <w:sz w:val="24"/>
                <w:szCs w:val="24"/>
              </w:rPr>
              <w:t>………………………………………………..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152FFC5" w14:textId="77777777" w:rsidR="00982BC3" w:rsidRPr="005E3FF3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A se preciza în care dintre categoriile generale de mai jos s-ar potrivi cel mai bine din perspectiva efectelor/func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iei sale:</w:t>
            </w:r>
          </w:p>
          <w:p w14:paraId="682AD91E" w14:textId="77777777" w:rsidR="00982BC3" w:rsidRPr="005E3FF3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Grant</w:t>
            </w:r>
          </w:p>
          <w:p w14:paraId="4ED848B6" w14:textId="77777777" w:rsidR="00982BC3" w:rsidRPr="005E3FF3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Împrumut</w:t>
            </w:r>
          </w:p>
          <w:p w14:paraId="5A6A5A3D" w14:textId="77777777" w:rsidR="00982BC3" w:rsidRPr="005E3FF3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Garan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ie</w:t>
            </w:r>
          </w:p>
          <w:p w14:paraId="3D14B41F" w14:textId="77777777" w:rsidR="00982BC3" w:rsidRPr="005E3FF3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Avantaj fiscal</w:t>
            </w:r>
          </w:p>
          <w:p w14:paraId="5E4EDA8F" w14:textId="12D00E67" w:rsidR="00982BC3" w:rsidRPr="005E3FF3" w:rsidRDefault="00982BC3" w:rsidP="005E3FF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Furnizare de finan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are de risc</w:t>
            </w:r>
          </w:p>
          <w:p w14:paraId="12237CDD" w14:textId="77777777" w:rsidR="00982BC3" w:rsidRPr="005E3FF3" w:rsidRDefault="00982BC3" w:rsidP="00982BC3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5E3FF3" w14:paraId="3FDAE08F" w14:textId="77777777" w:rsidTr="005E3FF3">
        <w:trPr>
          <w:trHeight w:val="460"/>
        </w:trPr>
        <w:tc>
          <w:tcPr>
            <w:tcW w:w="2126" w:type="dxa"/>
          </w:tcPr>
          <w:p w14:paraId="3D9643FE" w14:textId="77777777" w:rsidR="006802F3" w:rsidRPr="005E3FF3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5E3FF3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sz w:val="24"/>
                <w:szCs w:val="24"/>
              </w:rPr>
              <w:instrText xml:space="preserve"> FORMCHECKBOX </w:instrText>
            </w:r>
            <w:r w:rsidR="00E54EBF">
              <w:rPr>
                <w:sz w:val="24"/>
                <w:szCs w:val="24"/>
              </w:rPr>
            </w:r>
            <w:r w:rsidR="00E54EBF">
              <w:rPr>
                <w:sz w:val="24"/>
                <w:szCs w:val="24"/>
              </w:rPr>
              <w:fldChar w:fldCharType="separate"/>
            </w:r>
            <w:r w:rsidRPr="005E3FF3">
              <w:rPr>
                <w:sz w:val="24"/>
                <w:szCs w:val="24"/>
              </w:rPr>
              <w:fldChar w:fldCharType="end"/>
            </w:r>
            <w:r w:rsidRPr="005E3FF3">
              <w:rPr>
                <w:sz w:val="24"/>
                <w:szCs w:val="24"/>
              </w:rPr>
              <w:t xml:space="preserve"> </w:t>
            </w:r>
            <w:r w:rsidRPr="005E3FF3">
              <w:rPr>
                <w:sz w:val="24"/>
                <w:szCs w:val="24"/>
              </w:rPr>
              <w:tab/>
            </w:r>
            <w:r w:rsidRPr="005E3FF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În cazul cofinan</w:t>
            </w:r>
            <w:r w:rsidR="003B6A25" w:rsidRPr="005E3FF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ării din unul sau mai multe fonduri ale UE </w:t>
            </w:r>
          </w:p>
        </w:tc>
        <w:tc>
          <w:tcPr>
            <w:tcW w:w="2944" w:type="dxa"/>
            <w:gridSpan w:val="2"/>
          </w:tcPr>
          <w:p w14:paraId="48BB4502" w14:textId="77777777" w:rsidR="00746590" w:rsidRPr="005E3FF3" w:rsidRDefault="006802F3" w:rsidP="006101FC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Denumirea fondului (fondurilor) UE: </w:t>
            </w:r>
          </w:p>
          <w:p w14:paraId="5353407B" w14:textId="77777777" w:rsidR="00746590" w:rsidRPr="005E3FF3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3BDD97F5" w14:textId="77777777" w:rsidR="00746590" w:rsidRPr="005E3FF3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3F1B73B6" w14:textId="77777777" w:rsidR="006802F3" w:rsidRPr="005E3FF3" w:rsidRDefault="000674F4" w:rsidP="00FF34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napToGrid w:val="0"/>
                <w:sz w:val="24"/>
                <w:szCs w:val="24"/>
              </w:rPr>
              <w:t>…………………………..</w:t>
            </w:r>
            <w:r w:rsidRPr="005E3FF3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…………………………..</w:t>
            </w:r>
          </w:p>
        </w:tc>
        <w:tc>
          <w:tcPr>
            <w:tcW w:w="1881" w:type="dxa"/>
          </w:tcPr>
          <w:p w14:paraId="1B32E190" w14:textId="77777777" w:rsidR="006802F3" w:rsidRPr="005E3FF3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Cuantumul finan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ării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br/>
              <w:t>(pentru fiecare fond al UE în parte)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E3FF3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  <w:p w14:paraId="0A041FFE" w14:textId="77777777" w:rsidR="000674F4" w:rsidRPr="005E3FF3" w:rsidRDefault="000674F4" w:rsidP="00C6449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  <w:tc>
          <w:tcPr>
            <w:tcW w:w="2637" w:type="dxa"/>
          </w:tcPr>
          <w:p w14:paraId="5B4BFC1C" w14:textId="77777777" w:rsidR="000674F4" w:rsidRPr="005E3FF3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Moneda na</w:t>
            </w:r>
            <w:r w:rsidR="003B6A25" w:rsidRPr="005E3FF3">
              <w:rPr>
                <w:rFonts w:ascii="Times New Roman" w:hAnsi="Times New Roman"/>
                <w:b/>
                <w:sz w:val="24"/>
                <w:szCs w:val="24"/>
              </w:rPr>
              <w:t>ț</w:t>
            </w:r>
            <w:r w:rsidRPr="005E3FF3">
              <w:rPr>
                <w:rFonts w:ascii="Times New Roman" w:hAnsi="Times New Roman"/>
                <w:b/>
                <w:sz w:val="24"/>
                <w:szCs w:val="24"/>
              </w:rPr>
              <w:t>ională … (valoare întreagă)</w:t>
            </w:r>
          </w:p>
          <w:p w14:paraId="0D1397CA" w14:textId="77777777" w:rsidR="000674F4" w:rsidRPr="005E3FF3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  <w:p w14:paraId="43B2DD26" w14:textId="77777777" w:rsidR="006802F3" w:rsidRPr="005E3FF3" w:rsidRDefault="00746590" w:rsidP="006101F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3FF3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</w:tr>
    </w:tbl>
    <w:p w14:paraId="4AE59B0D" w14:textId="77777777" w:rsidR="006802F3" w:rsidRPr="006802F3" w:rsidRDefault="006802F3" w:rsidP="006802F3">
      <w:pPr>
        <w:spacing w:after="0"/>
        <w:jc w:val="center"/>
        <w:rPr>
          <w:rFonts w:ascii="Times New Roman" w:hAnsi="Times New Roman"/>
          <w:b/>
          <w:bCs/>
          <w:smallCaps/>
        </w:rPr>
        <w:sectPr w:rsidR="006802F3" w:rsidRPr="006802F3" w:rsidSect="00C644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BDD53B8" w14:textId="77777777" w:rsidR="005E3FF3" w:rsidRPr="005E3FF3" w:rsidRDefault="005E3FF3" w:rsidP="005E3FF3">
      <w:pPr>
        <w:jc w:val="center"/>
        <w:rPr>
          <w:rFonts w:ascii="Times New Roman" w:hAnsi="Times New Roman"/>
          <w:bCs/>
          <w:noProof/>
          <w:sz w:val="24"/>
          <w:szCs w:val="24"/>
          <w:lang w:eastAsia="en-US" w:bidi="ar-SA"/>
        </w:rPr>
      </w:pPr>
      <w:r w:rsidRPr="005E3FF3">
        <w:rPr>
          <w:rFonts w:ascii="Times New Roman" w:hAnsi="Times New Roman"/>
          <w:b/>
          <w:noProof/>
          <w:sz w:val="24"/>
          <w:szCs w:val="24"/>
          <w:lang w:eastAsia="en-US" w:bidi="ar-SA"/>
        </w:rPr>
        <w:lastRenderedPageBreak/>
        <w:t>PARTEA II</w:t>
      </w:r>
    </w:p>
    <w:p w14:paraId="14E1708B" w14:textId="77777777" w:rsidR="005E3FF3" w:rsidRPr="005E3FF3" w:rsidRDefault="005E3FF3" w:rsidP="005E3FF3">
      <w:pPr>
        <w:spacing w:before="120" w:after="480" w:line="240" w:lineRule="auto"/>
        <w:jc w:val="center"/>
        <w:rPr>
          <w:rFonts w:ascii="Times New Roman" w:hAnsi="Times New Roman"/>
          <w:b/>
          <w:bCs/>
          <w:smallCaps/>
          <w:noProof/>
          <w:sz w:val="24"/>
          <w:szCs w:val="24"/>
          <w:lang w:eastAsia="en-US" w:bidi="ar-SA"/>
        </w:rPr>
      </w:pPr>
      <w:r w:rsidRPr="005E3FF3">
        <w:rPr>
          <w:rFonts w:ascii="Times New Roman" w:hAnsi="Times New Roman"/>
          <w:b/>
          <w:noProof/>
          <w:sz w:val="24"/>
          <w:szCs w:val="24"/>
          <w:lang w:eastAsia="en-US" w:bidi="ar-SA"/>
        </w:rPr>
        <w:t>Informațiile care trebuie transmise prin intermediul sistemului electronic de notificare al Comisiei, astfel cum se prevede la articolul 11</w:t>
      </w:r>
    </w:p>
    <w:p w14:paraId="27A74EE7" w14:textId="77777777" w:rsidR="005E3FF3" w:rsidRPr="005E3FF3" w:rsidRDefault="005E3FF3" w:rsidP="005E3FF3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szCs w:val="24"/>
          <w:lang w:eastAsia="en-US" w:bidi="ar-SA"/>
        </w:rPr>
      </w:pPr>
      <w:r w:rsidRPr="005E3FF3">
        <w:rPr>
          <w:rFonts w:ascii="Times New Roman" w:hAnsi="Times New Roman"/>
          <w:noProof/>
          <w:sz w:val="24"/>
          <w:szCs w:val="24"/>
          <w:lang w:eastAsia="en-US" w:bidi="ar-SA"/>
        </w:rPr>
        <w:t>Indicați în temeiul cărei dispoziții din RGECA este pusă în aplicare măsura de ajutor.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90"/>
        <w:gridCol w:w="3060"/>
        <w:gridCol w:w="1420"/>
        <w:gridCol w:w="20"/>
        <w:gridCol w:w="1256"/>
      </w:tblGrid>
      <w:tr w:rsidR="005E3FF3" w:rsidRPr="005E3FF3" w14:paraId="07CF5EB3" w14:textId="77777777" w:rsidTr="00D402A5">
        <w:trPr>
          <w:trHeight w:val="2485"/>
        </w:trPr>
        <w:tc>
          <w:tcPr>
            <w:tcW w:w="2518" w:type="dxa"/>
          </w:tcPr>
          <w:p w14:paraId="588AB58E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  <w:t>Obiectiv principal – obiective generale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(listă)</w:t>
            </w:r>
          </w:p>
        </w:tc>
        <w:tc>
          <w:tcPr>
            <w:tcW w:w="4250" w:type="dxa"/>
            <w:gridSpan w:val="2"/>
          </w:tcPr>
          <w:p w14:paraId="5C63E6E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b/>
                <w:noProof/>
                <w:sz w:val="24"/>
                <w:szCs w:val="24"/>
                <w:lang w:eastAsia="en-US" w:bidi="ar-SA"/>
              </w:rPr>
              <w:t>Obiective</w:t>
            </w:r>
          </w:p>
          <w:p w14:paraId="7F9EB982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(listă)</w:t>
            </w:r>
          </w:p>
        </w:tc>
        <w:tc>
          <w:tcPr>
            <w:tcW w:w="1440" w:type="dxa"/>
            <w:gridSpan w:val="2"/>
          </w:tcPr>
          <w:p w14:paraId="073F9EE6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b/>
                <w:noProof/>
                <w:sz w:val="24"/>
                <w:szCs w:val="24"/>
                <w:lang w:eastAsia="en-US" w:bidi="ar-SA"/>
              </w:rPr>
              <w:t>Intensitatea maximă a ajutoarelorîn % sau cuantumul anual maxim al ajutoarelor în moneda națională (fără zecimale)</w:t>
            </w:r>
          </w:p>
        </w:tc>
        <w:tc>
          <w:tcPr>
            <w:tcW w:w="1256" w:type="dxa"/>
          </w:tcPr>
          <w:p w14:paraId="2EBF9BF9" w14:textId="77777777" w:rsidR="005E3FF3" w:rsidRPr="005E3FF3" w:rsidRDefault="005E3FF3" w:rsidP="005E3FF3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b/>
                <w:noProof/>
                <w:sz w:val="24"/>
                <w:szCs w:val="24"/>
                <w:lang w:eastAsia="en-US" w:bidi="ar-SA"/>
              </w:rPr>
              <w:t>IMM-uri – bonusuri (dacă este cazul) în %</w:t>
            </w:r>
          </w:p>
        </w:tc>
      </w:tr>
      <w:tr w:rsidR="005E3FF3" w:rsidRPr="005E3FF3" w14:paraId="4D5C4894" w14:textId="77777777" w:rsidTr="00D402A5">
        <w:trPr>
          <w:trHeight w:val="469"/>
        </w:trPr>
        <w:tc>
          <w:tcPr>
            <w:tcW w:w="2518" w:type="dxa"/>
            <w:vMerge w:val="restart"/>
          </w:tcPr>
          <w:p w14:paraId="3970B831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ab/>
              <w:t>Ajutoare regionale – ajutoare pentru investiții</w:t>
            </w:r>
            <w:r w:rsidRPr="005E3FF3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  <w:lang w:eastAsia="en-US" w:bidi="ar-SA"/>
              </w:rPr>
              <w:footnoteReference w:id="11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(articolul 14) </w:t>
            </w:r>
          </w:p>
        </w:tc>
        <w:tc>
          <w:tcPr>
            <w:tcW w:w="4250" w:type="dxa"/>
            <w:gridSpan w:val="2"/>
          </w:tcPr>
          <w:p w14:paraId="34570E5C" w14:textId="77777777" w:rsidR="005E3FF3" w:rsidRPr="005E3FF3" w:rsidRDefault="005E3FF3" w:rsidP="005E3FF3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ab/>
              <w:t>Schemă</w:t>
            </w:r>
          </w:p>
        </w:tc>
        <w:tc>
          <w:tcPr>
            <w:tcW w:w="1440" w:type="dxa"/>
            <w:gridSpan w:val="2"/>
          </w:tcPr>
          <w:p w14:paraId="0ACEC21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38F941C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7DCAC1E6" w14:textId="77777777" w:rsidTr="00D402A5">
        <w:trPr>
          <w:trHeight w:val="469"/>
        </w:trPr>
        <w:tc>
          <w:tcPr>
            <w:tcW w:w="2518" w:type="dxa"/>
            <w:vMerge/>
          </w:tcPr>
          <w:p w14:paraId="685929D5" w14:textId="77777777" w:rsidR="005E3FF3" w:rsidRPr="005E3FF3" w:rsidRDefault="005E3FF3" w:rsidP="005E3FF3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FA6C8F0" w14:textId="77777777" w:rsidR="005E3FF3" w:rsidRPr="005E3FF3" w:rsidRDefault="005E3FF3" w:rsidP="005E3FF3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ab/>
              <w:t>Ajutoare ad-hoc</w:t>
            </w:r>
          </w:p>
        </w:tc>
        <w:tc>
          <w:tcPr>
            <w:tcW w:w="1440" w:type="dxa"/>
            <w:gridSpan w:val="2"/>
          </w:tcPr>
          <w:p w14:paraId="7C7782F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0FE9220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EBFBDE1" w14:textId="77777777" w:rsidTr="00D402A5">
        <w:trPr>
          <w:trHeight w:val="672"/>
        </w:trPr>
        <w:tc>
          <w:tcPr>
            <w:tcW w:w="2518" w:type="dxa"/>
            <w:vMerge w:val="restart"/>
          </w:tcPr>
          <w:p w14:paraId="667D9B9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ab/>
              <w:t>Ajutoare regionale – ajutoare de exploatare (articolul 15)</w:t>
            </w:r>
          </w:p>
        </w:tc>
        <w:tc>
          <w:tcPr>
            <w:tcW w:w="4250" w:type="dxa"/>
            <w:gridSpan w:val="2"/>
          </w:tcPr>
          <w:p w14:paraId="7BC63C87" w14:textId="77777777" w:rsidR="005E3FF3" w:rsidRPr="005E3FF3" w:rsidRDefault="005E3FF3" w:rsidP="005E3FF3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ab/>
              <w:t>În zonele slab populate [articolul 15 alineatul (2)]</w:t>
            </w:r>
          </w:p>
        </w:tc>
        <w:tc>
          <w:tcPr>
            <w:tcW w:w="1440" w:type="dxa"/>
            <w:gridSpan w:val="2"/>
          </w:tcPr>
          <w:p w14:paraId="7F0CF6F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2F6C09C6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E4ACF5F" w14:textId="77777777" w:rsidTr="00D402A5">
        <w:trPr>
          <w:trHeight w:val="672"/>
        </w:trPr>
        <w:tc>
          <w:tcPr>
            <w:tcW w:w="2518" w:type="dxa"/>
            <w:vMerge/>
          </w:tcPr>
          <w:p w14:paraId="7CE44F7B" w14:textId="77777777" w:rsidR="005E3FF3" w:rsidRPr="005E3FF3" w:rsidRDefault="005E3FF3" w:rsidP="005E3FF3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DCA0D5B" w14:textId="77777777" w:rsidR="005E3FF3" w:rsidRPr="005E3FF3" w:rsidRDefault="005E3FF3" w:rsidP="005E3FF3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ab/>
              <w:t>În zonele foarte slab populate [articolul 15 alineatul (3)]</w:t>
            </w:r>
          </w:p>
        </w:tc>
        <w:tc>
          <w:tcPr>
            <w:tcW w:w="1440" w:type="dxa"/>
            <w:gridSpan w:val="2"/>
          </w:tcPr>
          <w:p w14:paraId="2B6F36A6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649048EE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734E5480" w14:textId="77777777" w:rsidTr="00D402A5">
        <w:trPr>
          <w:trHeight w:val="672"/>
        </w:trPr>
        <w:tc>
          <w:tcPr>
            <w:tcW w:w="2518" w:type="dxa"/>
            <w:vMerge/>
          </w:tcPr>
          <w:p w14:paraId="67021B1E" w14:textId="77777777" w:rsidR="005E3FF3" w:rsidRPr="005E3FF3" w:rsidRDefault="005E3FF3" w:rsidP="005E3FF3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6D74329" w14:textId="77777777" w:rsidR="005E3FF3" w:rsidRPr="005E3FF3" w:rsidRDefault="005E3FF3" w:rsidP="005E3FF3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ab/>
              <w:t>În regiunile ultraperiferice [articolul 15 alineatul (4)]</w:t>
            </w:r>
          </w:p>
        </w:tc>
        <w:tc>
          <w:tcPr>
            <w:tcW w:w="1440" w:type="dxa"/>
            <w:gridSpan w:val="2"/>
          </w:tcPr>
          <w:p w14:paraId="1B38600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5CC7AD4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410966A8" w14:textId="77777777" w:rsidTr="00D402A5">
        <w:trPr>
          <w:trHeight w:val="326"/>
        </w:trPr>
        <w:tc>
          <w:tcPr>
            <w:tcW w:w="6768" w:type="dxa"/>
            <w:gridSpan w:val="3"/>
          </w:tcPr>
          <w:p w14:paraId="1F0CB40E" w14:textId="77777777" w:rsidR="005E3FF3" w:rsidRPr="005E3FF3" w:rsidRDefault="005E3FF3" w:rsidP="005E3FF3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regionale pentru dezvoltare urbană (articolul 16)</w:t>
            </w:r>
          </w:p>
        </w:tc>
        <w:tc>
          <w:tcPr>
            <w:tcW w:w="1440" w:type="dxa"/>
            <w:gridSpan w:val="2"/>
          </w:tcPr>
          <w:p w14:paraId="456432CF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2FFE121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19FADCEA" w14:textId="77777777" w:rsidTr="00D402A5">
        <w:tc>
          <w:tcPr>
            <w:tcW w:w="2518" w:type="dxa"/>
            <w:vMerge w:val="restart"/>
          </w:tcPr>
          <w:p w14:paraId="20B4147F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Ajutoare pentru IMM˗uri (articolele 17˗19d)</w:t>
            </w:r>
          </w:p>
        </w:tc>
        <w:tc>
          <w:tcPr>
            <w:tcW w:w="4250" w:type="dxa"/>
            <w:gridSpan w:val="2"/>
          </w:tcPr>
          <w:p w14:paraId="3783215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destinate IMM-urilor (articolul 17)</w:t>
            </w:r>
          </w:p>
        </w:tc>
        <w:tc>
          <w:tcPr>
            <w:tcW w:w="1440" w:type="dxa"/>
            <w:gridSpan w:val="2"/>
          </w:tcPr>
          <w:p w14:paraId="3CA28183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414F4AF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12FAEF30" w14:textId="77777777" w:rsidTr="00D402A5">
        <w:tc>
          <w:tcPr>
            <w:tcW w:w="2518" w:type="dxa"/>
            <w:vMerge/>
          </w:tcPr>
          <w:p w14:paraId="47F9BCEC" w14:textId="77777777" w:rsidR="005E3FF3" w:rsidRPr="005E3FF3" w:rsidRDefault="005E3FF3" w:rsidP="005E3FF3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2D1814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consultanță în favoarea IMM-urilor (articolul 18)</w:t>
            </w:r>
          </w:p>
        </w:tc>
        <w:tc>
          <w:tcPr>
            <w:tcW w:w="1440" w:type="dxa"/>
            <w:gridSpan w:val="2"/>
          </w:tcPr>
          <w:p w14:paraId="4A58541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399E8FAF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62ADB824" w14:textId="77777777" w:rsidTr="00D402A5">
        <w:tc>
          <w:tcPr>
            <w:tcW w:w="2518" w:type="dxa"/>
            <w:vMerge/>
          </w:tcPr>
          <w:p w14:paraId="3FB6CA45" w14:textId="77777777" w:rsidR="005E3FF3" w:rsidRPr="005E3FF3" w:rsidRDefault="005E3FF3" w:rsidP="005E3FF3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27A9DFE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destinate IMM-urilor pentru participarea la târguri (articolul 19)</w:t>
            </w:r>
          </w:p>
        </w:tc>
        <w:tc>
          <w:tcPr>
            <w:tcW w:w="1440" w:type="dxa"/>
            <w:gridSpan w:val="2"/>
          </w:tcPr>
          <w:p w14:paraId="150C0CD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0A5464D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971C26A" w14:textId="77777777" w:rsidTr="00D402A5">
        <w:tc>
          <w:tcPr>
            <w:tcW w:w="2518" w:type="dxa"/>
            <w:vMerge/>
          </w:tcPr>
          <w:p w14:paraId="3D7E18B7" w14:textId="77777777" w:rsidR="005E3FF3" w:rsidRPr="005E3FF3" w:rsidRDefault="005E3FF3" w:rsidP="005E3FF3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98703F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costurile suportate de IMM-urile care participă la proiectele de dezvoltare locală plasată sub responsabilitatea comunității („DLRC”) 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lastRenderedPageBreak/>
              <w:t xml:space="preserve">(articolul 19a) </w:t>
            </w:r>
          </w:p>
        </w:tc>
        <w:tc>
          <w:tcPr>
            <w:tcW w:w="1440" w:type="dxa"/>
            <w:gridSpan w:val="2"/>
          </w:tcPr>
          <w:p w14:paraId="3BAEF7C3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lastRenderedPageBreak/>
              <w:t>…%</w:t>
            </w:r>
          </w:p>
        </w:tc>
        <w:tc>
          <w:tcPr>
            <w:tcW w:w="1256" w:type="dxa"/>
          </w:tcPr>
          <w:p w14:paraId="4263CB0E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C85A2B9" w14:textId="77777777" w:rsidTr="00D402A5">
        <w:tc>
          <w:tcPr>
            <w:tcW w:w="2518" w:type="dxa"/>
            <w:vMerge/>
          </w:tcPr>
          <w:p w14:paraId="6C3C0651" w14:textId="77777777" w:rsidR="005E3FF3" w:rsidRPr="005E3FF3" w:rsidRDefault="005E3FF3" w:rsidP="005E3FF3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5CB38E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cu un cuantum limitat acordate IMM-urilor care beneficiază de proiectele de dezvoltare locală plasată sub responsabilitatea comunității („DLRC”) (articolul 19b)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 w:bidi="ar-SA"/>
              </w:rPr>
              <w:footnoteReference w:id="12"/>
            </w:r>
          </w:p>
        </w:tc>
        <w:tc>
          <w:tcPr>
            <w:tcW w:w="1440" w:type="dxa"/>
            <w:gridSpan w:val="2"/>
          </w:tcPr>
          <w:p w14:paraId="7052C9E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3318E13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3116652" w14:textId="77777777" w:rsidTr="00D402A5">
        <w:tc>
          <w:tcPr>
            <w:tcW w:w="2518" w:type="dxa"/>
            <w:vMerge/>
          </w:tcPr>
          <w:p w14:paraId="0DC06A94" w14:textId="77777777" w:rsidR="005E3FF3" w:rsidRPr="005E3FF3" w:rsidRDefault="005E3FF3" w:rsidP="005E3FF3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9C55B4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microîntreprinderi sub formă de intervenții publice privind furnizarea de energie electrică, gaze sau energie termică (articolul 19c)</w:t>
            </w:r>
          </w:p>
        </w:tc>
        <w:tc>
          <w:tcPr>
            <w:tcW w:w="1440" w:type="dxa"/>
            <w:gridSpan w:val="2"/>
          </w:tcPr>
          <w:p w14:paraId="134C60E8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742E662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8430696" w14:textId="77777777" w:rsidTr="00D402A5">
        <w:tc>
          <w:tcPr>
            <w:tcW w:w="2518" w:type="dxa"/>
            <w:vMerge/>
          </w:tcPr>
          <w:p w14:paraId="3D8F195A" w14:textId="77777777" w:rsidR="005E3FF3" w:rsidRPr="005E3FF3" w:rsidRDefault="005E3FF3" w:rsidP="005E3FF3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5CC691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IMM-uri sub formă de intervenții publice temporare privind furnizarea de energie electrică, gaze sau energie termică produsă din gaze naturale sau electricitate pentru a atenua impactul creșterii prețurilor în urma războiului de agresiune al Rusiei împotriva Ucrainei (articolul 19d)</w:t>
            </w:r>
          </w:p>
        </w:tc>
        <w:tc>
          <w:tcPr>
            <w:tcW w:w="1440" w:type="dxa"/>
            <w:gridSpan w:val="2"/>
          </w:tcPr>
          <w:p w14:paraId="7DE75CB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2FDC7A0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7D622315" w14:textId="77777777" w:rsidTr="00D402A5">
        <w:trPr>
          <w:trHeight w:val="681"/>
        </w:trPr>
        <w:tc>
          <w:tcPr>
            <w:tcW w:w="2518" w:type="dxa"/>
            <w:vMerge w:val="restart"/>
          </w:tcPr>
          <w:p w14:paraId="7E60755D" w14:textId="77777777" w:rsidR="005E3FF3" w:rsidRPr="005E3FF3" w:rsidRDefault="005E3FF3" w:rsidP="005E3FF3">
            <w:pPr>
              <w:spacing w:before="120"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Ajutoare pentru cooperarea teritorială europeană (articolele 20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noBreakHyphen/>
              <w:t>20a)</w:t>
            </w:r>
          </w:p>
          <w:p w14:paraId="55837EEC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0A9139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costurile suportate de întreprinderile participante la proiecte de cooperare teritorială europeană (articolul 20)</w:t>
            </w:r>
          </w:p>
        </w:tc>
        <w:tc>
          <w:tcPr>
            <w:tcW w:w="1440" w:type="dxa"/>
            <w:gridSpan w:val="2"/>
          </w:tcPr>
          <w:p w14:paraId="6161DC0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0243C82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2955CC3" w14:textId="77777777" w:rsidTr="00D402A5">
        <w:trPr>
          <w:trHeight w:val="681"/>
        </w:trPr>
        <w:tc>
          <w:tcPr>
            <w:tcW w:w="2518" w:type="dxa"/>
            <w:vMerge/>
          </w:tcPr>
          <w:p w14:paraId="38E8CF3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661979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cu un cuantum limitat acordate întreprinderilor pentru participarea la proiectele de cooperare teritorială europeană (articolul 20a)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eastAsia="en-US" w:bidi="ar-SA"/>
              </w:rPr>
              <w:footnoteReference w:id="13"/>
            </w:r>
          </w:p>
        </w:tc>
        <w:tc>
          <w:tcPr>
            <w:tcW w:w="1440" w:type="dxa"/>
            <w:gridSpan w:val="2"/>
          </w:tcPr>
          <w:p w14:paraId="7901614E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44FEEB4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4D3156F" w14:textId="77777777" w:rsidTr="00D402A5">
        <w:trPr>
          <w:trHeight w:val="681"/>
        </w:trPr>
        <w:tc>
          <w:tcPr>
            <w:tcW w:w="2518" w:type="dxa"/>
            <w:vMerge w:val="restart"/>
          </w:tcPr>
          <w:p w14:paraId="3714676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Ajutoare pentru acces la finanțare pentru IMM-uri (articolele 21˗22)</w:t>
            </w:r>
          </w:p>
        </w:tc>
        <w:tc>
          <w:tcPr>
            <w:tcW w:w="4250" w:type="dxa"/>
            <w:gridSpan w:val="2"/>
          </w:tcPr>
          <w:p w14:paraId="24CEB31C" w14:textId="77777777" w:rsidR="005E3FF3" w:rsidRPr="005E3FF3" w:rsidRDefault="005E3FF3" w:rsidP="005E3FF3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de finanțare de risc (articolul 21)</w:t>
            </w:r>
          </w:p>
        </w:tc>
        <w:tc>
          <w:tcPr>
            <w:tcW w:w="1440" w:type="dxa"/>
            <w:gridSpan w:val="2"/>
          </w:tcPr>
          <w:p w14:paraId="28B9EC8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7FB2AE3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Nu se aplică</w:t>
            </w:r>
          </w:p>
        </w:tc>
      </w:tr>
      <w:tr w:rsidR="005E3FF3" w:rsidRPr="005E3FF3" w14:paraId="6AB94E8B" w14:textId="77777777" w:rsidTr="00D402A5">
        <w:trPr>
          <w:trHeight w:val="681"/>
        </w:trPr>
        <w:tc>
          <w:tcPr>
            <w:tcW w:w="2518" w:type="dxa"/>
            <w:vMerge/>
          </w:tcPr>
          <w:p w14:paraId="30E9EA83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8D67D5B" w14:textId="77777777" w:rsidR="005E3FF3" w:rsidRPr="005E3FF3" w:rsidRDefault="005E3FF3" w:rsidP="005E3FF3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de finanțare de risc pentru IMM-uri sub formă de stimulente fiscale pentru investitorii privați care au calitatea de persoană fizică (articolul 21a)</w:t>
            </w:r>
          </w:p>
        </w:tc>
        <w:tc>
          <w:tcPr>
            <w:tcW w:w="1440" w:type="dxa"/>
            <w:gridSpan w:val="2"/>
          </w:tcPr>
          <w:p w14:paraId="7793D6C2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7DA2D45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Nu se aplică</w:t>
            </w:r>
          </w:p>
        </w:tc>
      </w:tr>
      <w:tr w:rsidR="005E3FF3" w:rsidRPr="005E3FF3" w14:paraId="6246682C" w14:textId="77777777" w:rsidTr="00D402A5">
        <w:trPr>
          <w:trHeight w:val="705"/>
        </w:trPr>
        <w:tc>
          <w:tcPr>
            <w:tcW w:w="2518" w:type="dxa"/>
            <w:vMerge/>
          </w:tcPr>
          <w:p w14:paraId="62072035" w14:textId="77777777" w:rsidR="005E3FF3" w:rsidRPr="005E3FF3" w:rsidRDefault="005E3FF3" w:rsidP="005E3FF3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66B78CE" w14:textId="77777777" w:rsidR="005E3FF3" w:rsidRPr="005E3FF3" w:rsidRDefault="005E3FF3" w:rsidP="005E3FF3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întreprinderile nou-înființate (articolul 22)</w:t>
            </w:r>
          </w:p>
        </w:tc>
        <w:tc>
          <w:tcPr>
            <w:tcW w:w="1440" w:type="dxa"/>
            <w:gridSpan w:val="2"/>
          </w:tcPr>
          <w:p w14:paraId="240651B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217A0CB6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Nu se aplică</w:t>
            </w:r>
          </w:p>
        </w:tc>
      </w:tr>
      <w:tr w:rsidR="005E3FF3" w:rsidRPr="005E3FF3" w14:paraId="5300FB4D" w14:textId="77777777" w:rsidTr="00D402A5">
        <w:trPr>
          <w:trHeight w:val="793"/>
        </w:trPr>
        <w:tc>
          <w:tcPr>
            <w:tcW w:w="6768" w:type="dxa"/>
            <w:gridSpan w:val="3"/>
          </w:tcPr>
          <w:p w14:paraId="421759D1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IMM-uri – ajutoare în favoarea platformelor alternative de tranzacționare specializate în IMM-uri (articolul 23)</w:t>
            </w:r>
          </w:p>
        </w:tc>
        <w:tc>
          <w:tcPr>
            <w:tcW w:w="1440" w:type="dxa"/>
            <w:gridSpan w:val="2"/>
          </w:tcPr>
          <w:p w14:paraId="14DD8E1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12A159DC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Nu se aplică</w:t>
            </w:r>
          </w:p>
        </w:tc>
      </w:tr>
      <w:tr w:rsidR="005E3FF3" w:rsidRPr="005E3FF3" w14:paraId="585576E1" w14:textId="77777777" w:rsidTr="00D402A5">
        <w:trPr>
          <w:trHeight w:val="442"/>
        </w:trPr>
        <w:tc>
          <w:tcPr>
            <w:tcW w:w="6768" w:type="dxa"/>
            <w:gridSpan w:val="3"/>
          </w:tcPr>
          <w:p w14:paraId="67B5A385" w14:textId="77777777" w:rsidR="005E3FF3" w:rsidRPr="005E3FF3" w:rsidRDefault="005E3FF3" w:rsidP="005E3FF3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IMM-uri – ajutoare pentru acoperirea costurilor de prospecție (articolul 24)</w:t>
            </w:r>
          </w:p>
        </w:tc>
        <w:tc>
          <w:tcPr>
            <w:tcW w:w="1440" w:type="dxa"/>
            <w:gridSpan w:val="2"/>
          </w:tcPr>
          <w:p w14:paraId="3E4F0A6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794E9FC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Nu se aplică</w:t>
            </w:r>
          </w:p>
        </w:tc>
      </w:tr>
      <w:tr w:rsidR="005E3FF3" w:rsidRPr="005E3FF3" w14:paraId="60BFE529" w14:textId="77777777" w:rsidTr="00D402A5">
        <w:trPr>
          <w:trHeight w:val="210"/>
        </w:trPr>
        <w:tc>
          <w:tcPr>
            <w:tcW w:w="2518" w:type="dxa"/>
            <w:vMerge w:val="restart"/>
          </w:tcPr>
          <w:p w14:paraId="61BE75DF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lastRenderedPageBreak/>
              <w:tab/>
              <w:t>Ajutoare pentru cercetare, dezvoltare și inovare (articolele 25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noBreakHyphen/>
              <w:t>30)</w:t>
            </w:r>
          </w:p>
        </w:tc>
        <w:tc>
          <w:tcPr>
            <w:tcW w:w="1190" w:type="dxa"/>
            <w:vMerge w:val="restart"/>
          </w:tcPr>
          <w:p w14:paraId="62BCC793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Ajutoare pentru proiecte de cercetare 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br/>
              <w:t xml:space="preserve">și </w:t>
            </w:r>
            <w:r w:rsidRPr="005E3FF3">
              <w:rPr>
                <w:rFonts w:ascii="Times New Roman" w:hAnsi="Times New Roman"/>
                <w:noProof/>
                <w:spacing w:val="-4"/>
                <w:sz w:val="24"/>
                <w:szCs w:val="24"/>
                <w:lang w:eastAsia="en-US" w:bidi="ar-SA"/>
              </w:rPr>
              <w:t>dezvoltare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(articolul 25)</w:t>
            </w:r>
          </w:p>
        </w:tc>
        <w:tc>
          <w:tcPr>
            <w:tcW w:w="3060" w:type="dxa"/>
          </w:tcPr>
          <w:p w14:paraId="7F412AE4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Cercetare fundamentală 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br/>
              <w:t>[articolul 25 alineatul (2) litera (a)]</w:t>
            </w:r>
          </w:p>
        </w:tc>
        <w:tc>
          <w:tcPr>
            <w:tcW w:w="1440" w:type="dxa"/>
            <w:gridSpan w:val="2"/>
          </w:tcPr>
          <w:p w14:paraId="02175A8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54F89D8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38D9AAC" w14:textId="77777777" w:rsidTr="00D402A5">
        <w:trPr>
          <w:trHeight w:val="210"/>
        </w:trPr>
        <w:tc>
          <w:tcPr>
            <w:tcW w:w="2518" w:type="dxa"/>
            <w:vMerge/>
          </w:tcPr>
          <w:p w14:paraId="3CC751AD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45953662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085433F5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Cercetare industrială 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br/>
              <w:t>[articolul 25 alineatul (2) litera (b)]</w:t>
            </w:r>
          </w:p>
        </w:tc>
        <w:tc>
          <w:tcPr>
            <w:tcW w:w="1440" w:type="dxa"/>
            <w:gridSpan w:val="2"/>
          </w:tcPr>
          <w:p w14:paraId="2159F62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1344055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A9E1240" w14:textId="77777777" w:rsidTr="00D402A5">
        <w:trPr>
          <w:trHeight w:val="428"/>
        </w:trPr>
        <w:tc>
          <w:tcPr>
            <w:tcW w:w="2518" w:type="dxa"/>
            <w:vMerge/>
          </w:tcPr>
          <w:p w14:paraId="5A73779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1ABF19FF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30550C14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Dezvoltare experimentală [articolul 25 alineatul (2) litera (c)]</w:t>
            </w:r>
          </w:p>
        </w:tc>
        <w:tc>
          <w:tcPr>
            <w:tcW w:w="1440" w:type="dxa"/>
            <w:gridSpan w:val="2"/>
          </w:tcPr>
          <w:p w14:paraId="49BD16D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7621D2B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4068F11" w14:textId="77777777" w:rsidTr="00D402A5">
        <w:trPr>
          <w:trHeight w:val="427"/>
        </w:trPr>
        <w:tc>
          <w:tcPr>
            <w:tcW w:w="2518" w:type="dxa"/>
            <w:vMerge/>
          </w:tcPr>
          <w:p w14:paraId="6D2ECB48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3739858A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34C4C6B1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Studii de fezabilitate [articolul 25 alineatul (2) litera (d)]</w:t>
            </w:r>
          </w:p>
        </w:tc>
        <w:tc>
          <w:tcPr>
            <w:tcW w:w="1440" w:type="dxa"/>
            <w:gridSpan w:val="2"/>
          </w:tcPr>
          <w:p w14:paraId="7C0739AE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3C3CD00E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A558D42" w14:textId="77777777" w:rsidTr="00D402A5">
        <w:trPr>
          <w:trHeight w:val="375"/>
        </w:trPr>
        <w:tc>
          <w:tcPr>
            <w:tcW w:w="2518" w:type="dxa"/>
            <w:vMerge/>
          </w:tcPr>
          <w:p w14:paraId="0AAB3AD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5FC543E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proiecte cărora li s-a acordat o etichetă de calitate „marcă de excelență” (articolul 25a)</w:t>
            </w:r>
          </w:p>
        </w:tc>
        <w:tc>
          <w:tcPr>
            <w:tcW w:w="1440" w:type="dxa"/>
            <w:gridSpan w:val="2"/>
          </w:tcPr>
          <w:p w14:paraId="1C38B31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463AD6F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27CC480A" w14:textId="77777777" w:rsidTr="00D402A5">
        <w:trPr>
          <w:trHeight w:val="375"/>
        </w:trPr>
        <w:tc>
          <w:tcPr>
            <w:tcW w:w="2518" w:type="dxa"/>
            <w:vMerge/>
          </w:tcPr>
          <w:p w14:paraId="1F18FA6A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C4B7B64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acțiunile Marie Skłodowska-Curie și pentru acțiunile de validare a conceptului de către Consiliul European pentru Cercetare (articolul 25b)</w:t>
            </w:r>
          </w:p>
        </w:tc>
        <w:tc>
          <w:tcPr>
            <w:tcW w:w="1440" w:type="dxa"/>
            <w:gridSpan w:val="2"/>
          </w:tcPr>
          <w:p w14:paraId="16C97EB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4B0F5F6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29CC478C" w14:textId="77777777" w:rsidTr="00D402A5">
        <w:trPr>
          <w:trHeight w:val="375"/>
        </w:trPr>
        <w:tc>
          <w:tcPr>
            <w:tcW w:w="2518" w:type="dxa"/>
            <w:vMerge/>
          </w:tcPr>
          <w:p w14:paraId="62F47C00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845FA12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incluse în proiectele de cercetare și dezvoltare cofinanțate (articolul 25c)</w:t>
            </w:r>
          </w:p>
        </w:tc>
        <w:tc>
          <w:tcPr>
            <w:tcW w:w="1440" w:type="dxa"/>
            <w:gridSpan w:val="2"/>
          </w:tcPr>
          <w:p w14:paraId="0F9757D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3C126C2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EA7160E" w14:textId="77777777" w:rsidTr="00D402A5">
        <w:trPr>
          <w:trHeight w:val="375"/>
        </w:trPr>
        <w:tc>
          <w:tcPr>
            <w:tcW w:w="2518" w:type="dxa"/>
            <w:vMerge/>
          </w:tcPr>
          <w:p w14:paraId="1CE199DB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5D831CA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acțiunile de teaming (articolul 25d)</w:t>
            </w:r>
          </w:p>
        </w:tc>
        <w:tc>
          <w:tcPr>
            <w:tcW w:w="1440" w:type="dxa"/>
            <w:gridSpan w:val="2"/>
          </w:tcPr>
          <w:p w14:paraId="21FAD3F2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2EA1C248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01A09D0" w14:textId="77777777" w:rsidTr="00D402A5">
        <w:trPr>
          <w:trHeight w:val="375"/>
        </w:trPr>
        <w:tc>
          <w:tcPr>
            <w:tcW w:w="2518" w:type="dxa"/>
            <w:vMerge/>
          </w:tcPr>
          <w:p w14:paraId="3B05DF05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B4984AD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implicate în cofinanțarea proiectelor sprijinite de Fondul european de apărare sau de Programul european de dezvoltare industrială în domeniul apărării (articolul 25e) </w:t>
            </w:r>
          </w:p>
        </w:tc>
        <w:tc>
          <w:tcPr>
            <w:tcW w:w="1440" w:type="dxa"/>
            <w:gridSpan w:val="2"/>
          </w:tcPr>
          <w:p w14:paraId="7E73D41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3C9C37E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1C5C8E11" w14:textId="77777777" w:rsidTr="00D402A5">
        <w:trPr>
          <w:trHeight w:val="375"/>
        </w:trPr>
        <w:tc>
          <w:tcPr>
            <w:tcW w:w="2518" w:type="dxa"/>
            <w:vMerge/>
          </w:tcPr>
          <w:p w14:paraId="11F7496E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6C8C4C5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în infrastructurile de cercetare (articolul 26)</w:t>
            </w:r>
          </w:p>
        </w:tc>
        <w:tc>
          <w:tcPr>
            <w:tcW w:w="1440" w:type="dxa"/>
            <w:gridSpan w:val="2"/>
          </w:tcPr>
          <w:p w14:paraId="6F31A22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5E2714F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2CF4B1B2" w14:textId="77777777" w:rsidTr="00D402A5">
        <w:trPr>
          <w:trHeight w:val="375"/>
        </w:trPr>
        <w:tc>
          <w:tcPr>
            <w:tcW w:w="2518" w:type="dxa"/>
            <w:vMerge/>
          </w:tcPr>
          <w:p w14:paraId="25C2F47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328A430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în infrastructuri de testare și experimentare (articolul 26a)</w:t>
            </w:r>
          </w:p>
        </w:tc>
        <w:tc>
          <w:tcPr>
            <w:tcW w:w="1440" w:type="dxa"/>
            <w:gridSpan w:val="2"/>
          </w:tcPr>
          <w:p w14:paraId="092F991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020FA33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6DEE44DC" w14:textId="77777777" w:rsidTr="00D402A5">
        <w:trPr>
          <w:trHeight w:val="375"/>
        </w:trPr>
        <w:tc>
          <w:tcPr>
            <w:tcW w:w="2518" w:type="dxa"/>
            <w:vMerge/>
          </w:tcPr>
          <w:p w14:paraId="4251CF29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7852C0A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clusterele de inovare (articolul 27)</w:t>
            </w:r>
          </w:p>
        </w:tc>
        <w:tc>
          <w:tcPr>
            <w:tcW w:w="1440" w:type="dxa"/>
            <w:gridSpan w:val="2"/>
          </w:tcPr>
          <w:p w14:paraId="2AF754C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6D7CF5C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0D9C33A" w14:textId="77777777" w:rsidTr="00D402A5">
        <w:trPr>
          <w:trHeight w:val="375"/>
        </w:trPr>
        <w:tc>
          <w:tcPr>
            <w:tcW w:w="2518" w:type="dxa"/>
            <w:vMerge/>
          </w:tcPr>
          <w:p w14:paraId="68D49D2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F9D333D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inovare destinate IMM-urilor (articolul 28)</w:t>
            </w:r>
          </w:p>
        </w:tc>
        <w:tc>
          <w:tcPr>
            <w:tcW w:w="1440" w:type="dxa"/>
            <w:gridSpan w:val="2"/>
          </w:tcPr>
          <w:p w14:paraId="0CC377BE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41D5599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62E8704" w14:textId="77777777" w:rsidTr="00D402A5">
        <w:trPr>
          <w:trHeight w:val="375"/>
        </w:trPr>
        <w:tc>
          <w:tcPr>
            <w:tcW w:w="2518" w:type="dxa"/>
            <w:vMerge/>
          </w:tcPr>
          <w:p w14:paraId="2D2360B6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141FB6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inovarea de proces și organizațională (articolul 29)</w:t>
            </w:r>
          </w:p>
        </w:tc>
        <w:tc>
          <w:tcPr>
            <w:tcW w:w="1440" w:type="dxa"/>
            <w:gridSpan w:val="2"/>
          </w:tcPr>
          <w:p w14:paraId="1B55D39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46A229E8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18DB3D8" w14:textId="77777777" w:rsidTr="00D402A5">
        <w:trPr>
          <w:trHeight w:val="711"/>
        </w:trPr>
        <w:tc>
          <w:tcPr>
            <w:tcW w:w="2518" w:type="dxa"/>
            <w:vMerge/>
          </w:tcPr>
          <w:p w14:paraId="51FE8735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C95E588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cercetare și dezvoltare în sectorul pescăresc și al acvaculturii (articolul 30)</w:t>
            </w:r>
          </w:p>
        </w:tc>
        <w:tc>
          <w:tcPr>
            <w:tcW w:w="1440" w:type="dxa"/>
            <w:gridSpan w:val="2"/>
          </w:tcPr>
          <w:p w14:paraId="0D934DC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671A933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BA287B0" w14:textId="77777777" w:rsidTr="00D402A5">
        <w:trPr>
          <w:trHeight w:val="467"/>
        </w:trPr>
        <w:tc>
          <w:tcPr>
            <w:tcW w:w="6768" w:type="dxa"/>
            <w:gridSpan w:val="3"/>
          </w:tcPr>
          <w:p w14:paraId="34390E4E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formare (articolul 31)</w:t>
            </w:r>
          </w:p>
        </w:tc>
        <w:tc>
          <w:tcPr>
            <w:tcW w:w="1440" w:type="dxa"/>
            <w:gridSpan w:val="2"/>
          </w:tcPr>
          <w:p w14:paraId="0BE69FF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29931BE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6DAE99FB" w14:textId="77777777" w:rsidTr="00D402A5">
        <w:trPr>
          <w:trHeight w:val="460"/>
        </w:trPr>
        <w:tc>
          <w:tcPr>
            <w:tcW w:w="2518" w:type="dxa"/>
            <w:vMerge w:val="restart"/>
          </w:tcPr>
          <w:p w14:paraId="753C1216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ab/>
              <w:t>Ajutoare pentru lucrătorii defavorizați și pentru lucrătorii cu handicap (articolele 32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noBreakHyphen/>
              <w:t>35)</w:t>
            </w:r>
          </w:p>
        </w:tc>
        <w:tc>
          <w:tcPr>
            <w:tcW w:w="4250" w:type="dxa"/>
            <w:gridSpan w:val="2"/>
          </w:tcPr>
          <w:p w14:paraId="1C8EBF75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recrutarea de lucrători defavorizați acordate sub formă de subvenții salariale (articolul 32)</w:t>
            </w:r>
          </w:p>
        </w:tc>
        <w:tc>
          <w:tcPr>
            <w:tcW w:w="1440" w:type="dxa"/>
            <w:gridSpan w:val="2"/>
          </w:tcPr>
          <w:p w14:paraId="2B53A52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42F28A4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77F9B118" w14:textId="77777777" w:rsidTr="00D402A5">
        <w:trPr>
          <w:trHeight w:val="460"/>
        </w:trPr>
        <w:tc>
          <w:tcPr>
            <w:tcW w:w="2518" w:type="dxa"/>
            <w:vMerge/>
          </w:tcPr>
          <w:p w14:paraId="5E561F21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8F51306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încadrarea în muncă a lucrătorilor cu handicap acordate sub formă de subvenții salariale (articolul 33)</w:t>
            </w:r>
          </w:p>
        </w:tc>
        <w:tc>
          <w:tcPr>
            <w:tcW w:w="1440" w:type="dxa"/>
            <w:gridSpan w:val="2"/>
          </w:tcPr>
          <w:p w14:paraId="5CE7A572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3DC2DF3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20044C61" w14:textId="77777777" w:rsidTr="00D402A5">
        <w:trPr>
          <w:trHeight w:val="460"/>
        </w:trPr>
        <w:tc>
          <w:tcPr>
            <w:tcW w:w="2518" w:type="dxa"/>
            <w:vMerge/>
          </w:tcPr>
          <w:p w14:paraId="410BD271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D95021A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compensarea costurilor suplimentare generate de încadrarea în muncă a lucrătorilor cu handicap (articolul 34)</w:t>
            </w:r>
          </w:p>
        </w:tc>
        <w:tc>
          <w:tcPr>
            <w:tcW w:w="1440" w:type="dxa"/>
            <w:gridSpan w:val="2"/>
          </w:tcPr>
          <w:p w14:paraId="587EA378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0D520E8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2E08A6B" w14:textId="77777777" w:rsidTr="00D402A5">
        <w:trPr>
          <w:trHeight w:val="460"/>
        </w:trPr>
        <w:tc>
          <w:tcPr>
            <w:tcW w:w="2518" w:type="dxa"/>
            <w:vMerge/>
          </w:tcPr>
          <w:p w14:paraId="5FF2D7F7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253F773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compensarea costurilor aferente asistenței acordate lucrătorilor defavorizați (articolul 35)</w:t>
            </w:r>
          </w:p>
        </w:tc>
        <w:tc>
          <w:tcPr>
            <w:tcW w:w="1440" w:type="dxa"/>
            <w:gridSpan w:val="2"/>
          </w:tcPr>
          <w:p w14:paraId="6A48ACA6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01144D2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DC2C714" w14:textId="77777777" w:rsidTr="00D402A5">
        <w:trPr>
          <w:trHeight w:val="90"/>
        </w:trPr>
        <w:tc>
          <w:tcPr>
            <w:tcW w:w="2518" w:type="dxa"/>
            <w:vMerge w:val="restart"/>
          </w:tcPr>
          <w:p w14:paraId="7B2AD5A7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ab/>
              <w:t>Ajutoare pentru protecția mediului (articolele 36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noBreakHyphen/>
              <w:t xml:space="preserve">49) </w:t>
            </w:r>
          </w:p>
        </w:tc>
        <w:tc>
          <w:tcPr>
            <w:tcW w:w="4250" w:type="dxa"/>
            <w:gridSpan w:val="2"/>
          </w:tcPr>
          <w:p w14:paraId="35536881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investițiile în materie de protecție a mediului, inclusiv decarbonizarea (articolul 36)</w:t>
            </w:r>
          </w:p>
        </w:tc>
        <w:tc>
          <w:tcPr>
            <w:tcW w:w="1440" w:type="dxa"/>
            <w:gridSpan w:val="2"/>
          </w:tcPr>
          <w:p w14:paraId="5BDCFFB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484A198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708B04F1" w14:textId="77777777" w:rsidTr="00D402A5">
        <w:trPr>
          <w:trHeight w:val="88"/>
        </w:trPr>
        <w:tc>
          <w:tcPr>
            <w:tcW w:w="2518" w:type="dxa"/>
            <w:vMerge/>
          </w:tcPr>
          <w:p w14:paraId="145C457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2E117EE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în infrastructura de reîncărcare sau de realimentare (articolul 36a)</w:t>
            </w:r>
          </w:p>
        </w:tc>
        <w:tc>
          <w:tcPr>
            <w:tcW w:w="1440" w:type="dxa"/>
            <w:gridSpan w:val="2"/>
          </w:tcPr>
          <w:p w14:paraId="005FE66C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7A17725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49F54477" w14:textId="77777777" w:rsidTr="00D402A5">
        <w:trPr>
          <w:trHeight w:val="88"/>
        </w:trPr>
        <w:tc>
          <w:tcPr>
            <w:tcW w:w="2518" w:type="dxa"/>
            <w:vMerge/>
          </w:tcPr>
          <w:p w14:paraId="204991C1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1696ADC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destinate achiziționării de vehicule nepoluante sau de vehicule cu emisii zero și modernizării vehiculelor (articolul 36b)</w:t>
            </w:r>
          </w:p>
        </w:tc>
        <w:tc>
          <w:tcPr>
            <w:tcW w:w="1440" w:type="dxa"/>
            <w:gridSpan w:val="2"/>
          </w:tcPr>
          <w:p w14:paraId="04355A4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0DD5464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45FCFDB6" w14:textId="77777777" w:rsidTr="00D402A5">
        <w:trPr>
          <w:trHeight w:val="88"/>
        </w:trPr>
        <w:tc>
          <w:tcPr>
            <w:tcW w:w="2518" w:type="dxa"/>
            <w:vMerge/>
          </w:tcPr>
          <w:p w14:paraId="6150780C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71A56FF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în favoarea măsurilor de eficiență energetică, altele decât investiții în clădiri (articolul 38)</w:t>
            </w:r>
          </w:p>
        </w:tc>
        <w:tc>
          <w:tcPr>
            <w:tcW w:w="1440" w:type="dxa"/>
            <w:gridSpan w:val="2"/>
          </w:tcPr>
          <w:p w14:paraId="7888716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2572F3B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6DF0995" w14:textId="77777777" w:rsidTr="00D402A5">
        <w:trPr>
          <w:trHeight w:val="293"/>
        </w:trPr>
        <w:tc>
          <w:tcPr>
            <w:tcW w:w="2518" w:type="dxa"/>
            <w:vMerge/>
          </w:tcPr>
          <w:p w14:paraId="159E127A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C378040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în favoarea măsurilor de eficiență energetică a clădirilor (articolul 38a)</w:t>
            </w:r>
          </w:p>
        </w:tc>
        <w:tc>
          <w:tcPr>
            <w:tcW w:w="1440" w:type="dxa"/>
            <w:gridSpan w:val="2"/>
          </w:tcPr>
          <w:p w14:paraId="283FFE5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3A0D9A23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2EB9CB0" w14:textId="77777777" w:rsidTr="00D402A5">
        <w:trPr>
          <w:trHeight w:val="293"/>
        </w:trPr>
        <w:tc>
          <w:tcPr>
            <w:tcW w:w="2518" w:type="dxa"/>
            <w:vMerge/>
          </w:tcPr>
          <w:p w14:paraId="257F5CF1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21D4BCA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facilitarea contractelor de performanță energetică (articolul 38b)</w:t>
            </w:r>
          </w:p>
        </w:tc>
        <w:tc>
          <w:tcPr>
            <w:tcW w:w="1440" w:type="dxa"/>
            <w:gridSpan w:val="2"/>
          </w:tcPr>
          <w:p w14:paraId="58F14DB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3C401ED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Nu se aplică</w:t>
            </w:r>
          </w:p>
        </w:tc>
      </w:tr>
      <w:tr w:rsidR="005E3FF3" w:rsidRPr="005E3FF3" w14:paraId="1C48E06F" w14:textId="77777777" w:rsidTr="00D402A5">
        <w:trPr>
          <w:trHeight w:val="293"/>
        </w:trPr>
        <w:tc>
          <w:tcPr>
            <w:tcW w:w="2518" w:type="dxa"/>
            <w:vMerge/>
          </w:tcPr>
          <w:p w14:paraId="23E6AE1B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3B2150E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în favoarea unor proiecte de eficiență energetică a clădirilor sub formă de instrumente financiare (articolul 39)</w:t>
            </w:r>
          </w:p>
        </w:tc>
        <w:tc>
          <w:tcPr>
            <w:tcW w:w="1440" w:type="dxa"/>
            <w:gridSpan w:val="2"/>
          </w:tcPr>
          <w:p w14:paraId="41DEA35C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152DE222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Nu se aplică</w:t>
            </w:r>
          </w:p>
        </w:tc>
      </w:tr>
      <w:tr w:rsidR="005E3FF3" w:rsidRPr="005E3FF3" w14:paraId="42F59902" w14:textId="77777777" w:rsidTr="00D402A5">
        <w:trPr>
          <w:trHeight w:val="292"/>
        </w:trPr>
        <w:tc>
          <w:tcPr>
            <w:tcW w:w="2518" w:type="dxa"/>
            <w:vMerge/>
          </w:tcPr>
          <w:p w14:paraId="32D6D100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61CBC32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destinate promovării producției de energie din surse regenerabile, a hidrogenului produs din surse regenerabile de energie și a cogenerării de înaltă eficiență (articolul 41)</w:t>
            </w:r>
          </w:p>
        </w:tc>
        <w:tc>
          <w:tcPr>
            <w:tcW w:w="1440" w:type="dxa"/>
            <w:gridSpan w:val="2"/>
          </w:tcPr>
          <w:p w14:paraId="476CCA2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3393AA36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2423A24C" w14:textId="77777777" w:rsidTr="00D402A5">
        <w:trPr>
          <w:trHeight w:val="88"/>
        </w:trPr>
        <w:tc>
          <w:tcPr>
            <w:tcW w:w="2518" w:type="dxa"/>
            <w:vMerge/>
          </w:tcPr>
          <w:p w14:paraId="62FBAED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C6ED155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de exploatare pentru promovarea producției de energie electrică din surse regenerabile (articolul 42)</w:t>
            </w:r>
          </w:p>
        </w:tc>
        <w:tc>
          <w:tcPr>
            <w:tcW w:w="1440" w:type="dxa"/>
            <w:gridSpan w:val="2"/>
          </w:tcPr>
          <w:p w14:paraId="72618D4E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2376EB0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72E73CB7" w14:textId="77777777" w:rsidTr="00D402A5">
        <w:trPr>
          <w:trHeight w:val="88"/>
        </w:trPr>
        <w:tc>
          <w:tcPr>
            <w:tcW w:w="2518" w:type="dxa"/>
            <w:vMerge/>
          </w:tcPr>
          <w:p w14:paraId="0615F1EA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2EE493F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de exploatare pentru promovarea producției de energie din surse regenerabile și a hidrogenului produs din surse regenerabile de energie în proiecte de mici dimensiuni și comunități de energie din surse regenerabile (articolul 43)</w:t>
            </w:r>
          </w:p>
        </w:tc>
        <w:tc>
          <w:tcPr>
            <w:tcW w:w="1440" w:type="dxa"/>
            <w:gridSpan w:val="2"/>
          </w:tcPr>
          <w:p w14:paraId="5A7CA1F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7A5D9342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B6BE496" w14:textId="77777777" w:rsidTr="00D402A5">
        <w:trPr>
          <w:trHeight w:val="88"/>
        </w:trPr>
        <w:tc>
          <w:tcPr>
            <w:tcW w:w="2518" w:type="dxa"/>
            <w:vMerge/>
          </w:tcPr>
          <w:p w14:paraId="2C112E7E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A3174E9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sub formă de reduceri ale taxelor în temeiul Directivei 2003/96/CE (articolul 44)</w:t>
            </w:r>
          </w:p>
        </w:tc>
        <w:tc>
          <w:tcPr>
            <w:tcW w:w="1440" w:type="dxa"/>
            <w:gridSpan w:val="2"/>
          </w:tcPr>
          <w:p w14:paraId="465EE00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40C4DD5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Nu se aplică</w:t>
            </w:r>
          </w:p>
        </w:tc>
      </w:tr>
      <w:tr w:rsidR="005E3FF3" w:rsidRPr="005E3FF3" w14:paraId="618C2F44" w14:textId="77777777" w:rsidTr="00D402A5">
        <w:trPr>
          <w:trHeight w:val="88"/>
        </w:trPr>
        <w:tc>
          <w:tcPr>
            <w:tcW w:w="2518" w:type="dxa"/>
            <w:vMerge/>
          </w:tcPr>
          <w:p w14:paraId="552D3F1C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3DAEF3C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sub formă de reduceri ale taxelor de mediu fiscale sau parafiscale (articolul 44a)</w:t>
            </w:r>
          </w:p>
        </w:tc>
        <w:tc>
          <w:tcPr>
            <w:tcW w:w="1440" w:type="dxa"/>
            <w:gridSpan w:val="2"/>
          </w:tcPr>
          <w:p w14:paraId="4118B76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6C3FAAE6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Nu se aplică</w:t>
            </w:r>
          </w:p>
        </w:tc>
      </w:tr>
      <w:tr w:rsidR="005E3FF3" w:rsidRPr="005E3FF3" w14:paraId="19282614" w14:textId="77777777" w:rsidTr="00D402A5">
        <w:trPr>
          <w:trHeight w:val="88"/>
        </w:trPr>
        <w:tc>
          <w:tcPr>
            <w:tcW w:w="2518" w:type="dxa"/>
            <w:vMerge/>
          </w:tcPr>
          <w:p w14:paraId="59FE2B54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6D11760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destinate reparării daunelor aduse mediului, reabilitării habitatelor naturale și a ecosistemelor, protejării sau refacerii biodiversității și punerii în aplicare a unor soluții bazate pe natură pentru adaptarea la schimbările climatice și atenuarea acestora (articolul 45)</w:t>
            </w:r>
          </w:p>
        </w:tc>
        <w:tc>
          <w:tcPr>
            <w:tcW w:w="1440" w:type="dxa"/>
            <w:gridSpan w:val="2"/>
          </w:tcPr>
          <w:p w14:paraId="1E7A79E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5BA30C9F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26F15807" w14:textId="77777777" w:rsidTr="00D402A5">
        <w:trPr>
          <w:trHeight w:val="88"/>
        </w:trPr>
        <w:tc>
          <w:tcPr>
            <w:tcW w:w="2518" w:type="dxa"/>
            <w:vMerge/>
          </w:tcPr>
          <w:p w14:paraId="34497979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1C5F73E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în favoarea sistemelor de termoficare și/sau răcire centralizată eficiente din punct de vedere energetic (articolul 46)</w:t>
            </w:r>
          </w:p>
        </w:tc>
        <w:tc>
          <w:tcPr>
            <w:tcW w:w="1440" w:type="dxa"/>
            <w:gridSpan w:val="2"/>
          </w:tcPr>
          <w:p w14:paraId="22AAC8A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0CE0CBA6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7B76C39C" w14:textId="77777777" w:rsidTr="00D402A5">
        <w:trPr>
          <w:trHeight w:val="88"/>
        </w:trPr>
        <w:tc>
          <w:tcPr>
            <w:tcW w:w="2518" w:type="dxa"/>
            <w:vMerge/>
          </w:tcPr>
          <w:p w14:paraId="13CACB47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5E52840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destinate utilizării eficiente a resurselor și sprijinirii tranziției către o economie circulară (articolul 47)</w:t>
            </w:r>
          </w:p>
        </w:tc>
        <w:tc>
          <w:tcPr>
            <w:tcW w:w="1440" w:type="dxa"/>
            <w:gridSpan w:val="2"/>
          </w:tcPr>
          <w:p w14:paraId="234607B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50A23FCF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414E7D3E" w14:textId="77777777" w:rsidTr="00D402A5">
        <w:trPr>
          <w:trHeight w:val="701"/>
        </w:trPr>
        <w:tc>
          <w:tcPr>
            <w:tcW w:w="2518" w:type="dxa"/>
            <w:vMerge/>
          </w:tcPr>
          <w:p w14:paraId="163B2897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690F880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în infrastructura energetică (articolul 48)</w:t>
            </w:r>
          </w:p>
        </w:tc>
        <w:tc>
          <w:tcPr>
            <w:tcW w:w="1440" w:type="dxa"/>
            <w:gridSpan w:val="2"/>
          </w:tcPr>
          <w:p w14:paraId="329A49E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6412D3A6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C351253" w14:textId="77777777" w:rsidTr="00D402A5">
        <w:trPr>
          <w:trHeight w:val="1117"/>
        </w:trPr>
        <w:tc>
          <w:tcPr>
            <w:tcW w:w="2518" w:type="dxa"/>
            <w:vMerge/>
          </w:tcPr>
          <w:p w14:paraId="7B27899D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6D740ED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studii și servicii de consultanță în domeniul protecției mediului și al energiei (articolul 49)</w:t>
            </w:r>
          </w:p>
        </w:tc>
        <w:tc>
          <w:tcPr>
            <w:tcW w:w="1440" w:type="dxa"/>
            <w:gridSpan w:val="2"/>
          </w:tcPr>
          <w:p w14:paraId="7AE2855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5F22FC4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18419306" w14:textId="77777777" w:rsidTr="00D402A5">
        <w:trPr>
          <w:trHeight w:val="88"/>
        </w:trPr>
        <w:tc>
          <w:tcPr>
            <w:tcW w:w="2518" w:type="dxa"/>
            <w:vMerge w:val="restart"/>
          </w:tcPr>
          <w:p w14:paraId="7B0CCE85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Scheme de ajutoare destinate reparării daunelor provocate de anumite dezastre naturale (articolul 50)</w:t>
            </w:r>
          </w:p>
        </w:tc>
        <w:tc>
          <w:tcPr>
            <w:tcW w:w="4250" w:type="dxa"/>
            <w:gridSpan w:val="2"/>
          </w:tcPr>
          <w:p w14:paraId="355BB263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Intensitatea maximă a ajutoarelor</w:t>
            </w:r>
          </w:p>
        </w:tc>
        <w:tc>
          <w:tcPr>
            <w:tcW w:w="1440" w:type="dxa"/>
            <w:gridSpan w:val="2"/>
          </w:tcPr>
          <w:p w14:paraId="19D7535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74A5D0A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2793FF4D" w14:textId="77777777" w:rsidTr="00D402A5">
        <w:trPr>
          <w:trHeight w:val="88"/>
        </w:trPr>
        <w:tc>
          <w:tcPr>
            <w:tcW w:w="2518" w:type="dxa"/>
            <w:vMerge/>
          </w:tcPr>
          <w:p w14:paraId="26B1FB4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5010804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Tipul de dezastru natural</w:t>
            </w:r>
          </w:p>
        </w:tc>
        <w:tc>
          <w:tcPr>
            <w:tcW w:w="2696" w:type="dxa"/>
            <w:gridSpan w:val="3"/>
          </w:tcPr>
          <w:p w14:paraId="639D50A7" w14:textId="77777777" w:rsidR="005E3FF3" w:rsidRPr="005E3FF3" w:rsidRDefault="005E3FF3" w:rsidP="005E3FF3">
            <w:pPr>
              <w:spacing w:before="4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b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b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b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b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cutremur</w:t>
            </w:r>
          </w:p>
          <w:p w14:paraId="252BF049" w14:textId="77777777" w:rsidR="005E3FF3" w:rsidRPr="005E3FF3" w:rsidRDefault="005E3FF3" w:rsidP="005E3FF3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avalanșă</w:t>
            </w:r>
          </w:p>
          <w:p w14:paraId="21ADDD4A" w14:textId="77777777" w:rsidR="005E3FF3" w:rsidRPr="005E3FF3" w:rsidRDefault="005E3FF3" w:rsidP="005E3FF3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alunecare de teren</w:t>
            </w:r>
          </w:p>
          <w:p w14:paraId="260F1F46" w14:textId="77777777" w:rsidR="005E3FF3" w:rsidRPr="005E3FF3" w:rsidRDefault="005E3FF3" w:rsidP="005E3FF3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inundație</w:t>
            </w:r>
          </w:p>
          <w:p w14:paraId="2D2F8D88" w14:textId="77777777" w:rsidR="005E3FF3" w:rsidRPr="005E3FF3" w:rsidRDefault="005E3FF3" w:rsidP="005E3FF3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tornadă</w:t>
            </w:r>
          </w:p>
          <w:p w14:paraId="145570BA" w14:textId="77777777" w:rsidR="005E3FF3" w:rsidRPr="005E3FF3" w:rsidRDefault="005E3FF3" w:rsidP="005E3FF3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uragan</w:t>
            </w:r>
          </w:p>
          <w:p w14:paraId="2CD24CA3" w14:textId="77777777" w:rsidR="005E3FF3" w:rsidRPr="005E3FF3" w:rsidRDefault="005E3FF3" w:rsidP="005E3FF3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erupție vulcanică</w:t>
            </w:r>
          </w:p>
          <w:p w14:paraId="1AD2E47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incendiu de pădure</w:t>
            </w:r>
          </w:p>
        </w:tc>
      </w:tr>
      <w:tr w:rsidR="005E3FF3" w:rsidRPr="005E3FF3" w14:paraId="5274480F" w14:textId="77777777" w:rsidTr="00D402A5">
        <w:trPr>
          <w:trHeight w:val="88"/>
        </w:trPr>
        <w:tc>
          <w:tcPr>
            <w:tcW w:w="2518" w:type="dxa"/>
            <w:vMerge/>
          </w:tcPr>
          <w:p w14:paraId="73B604C9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8E28EBA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Data producerii dezastrului natural</w:t>
            </w:r>
          </w:p>
        </w:tc>
        <w:tc>
          <w:tcPr>
            <w:tcW w:w="2696" w:type="dxa"/>
            <w:gridSpan w:val="3"/>
          </w:tcPr>
          <w:p w14:paraId="168A4B3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de la zz/ll/aaaa </w:t>
            </w:r>
            <w:r w:rsidRPr="005E3FF3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  <w:t>până la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zz/ll/aaaa</w:t>
            </w:r>
          </w:p>
        </w:tc>
      </w:tr>
      <w:tr w:rsidR="005E3FF3" w:rsidRPr="005E3FF3" w14:paraId="19B7F287" w14:textId="77777777" w:rsidTr="00D402A5">
        <w:trPr>
          <w:trHeight w:val="88"/>
        </w:trPr>
        <w:tc>
          <w:tcPr>
            <w:tcW w:w="6768" w:type="dxa"/>
            <w:gridSpan w:val="3"/>
          </w:tcPr>
          <w:p w14:paraId="51FD4170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sociale pentru transportul rezidenților din regiunile îndepărtate (articolul 51)</w:t>
            </w:r>
          </w:p>
        </w:tc>
        <w:tc>
          <w:tcPr>
            <w:tcW w:w="1440" w:type="dxa"/>
            <w:gridSpan w:val="2"/>
          </w:tcPr>
          <w:p w14:paraId="7BC4454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33A345C2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69C8FB1" w14:textId="77777777" w:rsidTr="00D402A5">
        <w:trPr>
          <w:trHeight w:val="88"/>
        </w:trPr>
        <w:tc>
          <w:tcPr>
            <w:tcW w:w="6768" w:type="dxa"/>
            <w:gridSpan w:val="3"/>
          </w:tcPr>
          <w:p w14:paraId="40DFF0B9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rețelele fixe în bandă largă (articolul 52)</w:t>
            </w:r>
          </w:p>
        </w:tc>
        <w:tc>
          <w:tcPr>
            <w:tcW w:w="1440" w:type="dxa"/>
            <w:gridSpan w:val="2"/>
          </w:tcPr>
          <w:p w14:paraId="6A22AE3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…moneda națională </w:t>
            </w:r>
          </w:p>
        </w:tc>
        <w:tc>
          <w:tcPr>
            <w:tcW w:w="1256" w:type="dxa"/>
          </w:tcPr>
          <w:p w14:paraId="4F8258FC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465297B" w14:textId="77777777" w:rsidTr="00D402A5">
        <w:trPr>
          <w:trHeight w:val="88"/>
        </w:trPr>
        <w:tc>
          <w:tcPr>
            <w:tcW w:w="6768" w:type="dxa"/>
            <w:gridSpan w:val="3"/>
          </w:tcPr>
          <w:p w14:paraId="4F415277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rețelele mobile 4G și 5G (articolul 52a)</w:t>
            </w:r>
          </w:p>
        </w:tc>
        <w:tc>
          <w:tcPr>
            <w:tcW w:w="1440" w:type="dxa"/>
            <w:gridSpan w:val="2"/>
          </w:tcPr>
          <w:p w14:paraId="18057EE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25E2AF2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567070D" w14:textId="77777777" w:rsidTr="00D402A5">
        <w:trPr>
          <w:trHeight w:val="88"/>
        </w:trPr>
        <w:tc>
          <w:tcPr>
            <w:tcW w:w="6768" w:type="dxa"/>
            <w:gridSpan w:val="3"/>
          </w:tcPr>
          <w:p w14:paraId="37F518C5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proiectele de interes comun în domeniul infrastructurii de conectivitate digitală transeuropeană (articolul 52b)</w:t>
            </w:r>
          </w:p>
        </w:tc>
        <w:tc>
          <w:tcPr>
            <w:tcW w:w="1440" w:type="dxa"/>
            <w:gridSpan w:val="2"/>
          </w:tcPr>
          <w:p w14:paraId="50C4032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0ABAA56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1B2327B3" w14:textId="77777777" w:rsidTr="00D402A5">
        <w:trPr>
          <w:trHeight w:val="88"/>
        </w:trPr>
        <w:tc>
          <w:tcPr>
            <w:tcW w:w="6768" w:type="dxa"/>
            <w:gridSpan w:val="3"/>
          </w:tcPr>
          <w:p w14:paraId="4C8659E2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Vouchere pentru conectivitate (articolul 52c)</w:t>
            </w:r>
          </w:p>
        </w:tc>
        <w:tc>
          <w:tcPr>
            <w:tcW w:w="1440" w:type="dxa"/>
            <w:gridSpan w:val="2"/>
          </w:tcPr>
          <w:p w14:paraId="59331CF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18EB6F8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4E0BCD7" w14:textId="77777777" w:rsidTr="00D402A5">
        <w:trPr>
          <w:trHeight w:val="88"/>
        </w:trPr>
        <w:tc>
          <w:tcPr>
            <w:tcW w:w="6768" w:type="dxa"/>
            <w:gridSpan w:val="3"/>
          </w:tcPr>
          <w:p w14:paraId="2EB6CFB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rețele backhaul (articolul 52d)</w:t>
            </w:r>
          </w:p>
        </w:tc>
        <w:tc>
          <w:tcPr>
            <w:tcW w:w="1440" w:type="dxa"/>
            <w:gridSpan w:val="2"/>
          </w:tcPr>
          <w:p w14:paraId="364ADF6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7169DA18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262D1434" w14:textId="77777777" w:rsidTr="00D402A5">
        <w:trPr>
          <w:trHeight w:val="88"/>
        </w:trPr>
        <w:tc>
          <w:tcPr>
            <w:tcW w:w="6768" w:type="dxa"/>
            <w:gridSpan w:val="3"/>
          </w:tcPr>
          <w:p w14:paraId="3CB929CC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cultură și pentru conservarea patrimoniului (articolul 53)</w:t>
            </w:r>
          </w:p>
        </w:tc>
        <w:tc>
          <w:tcPr>
            <w:tcW w:w="1440" w:type="dxa"/>
            <w:gridSpan w:val="2"/>
          </w:tcPr>
          <w:p w14:paraId="2685389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5FD915F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1846DC7" w14:textId="77777777" w:rsidTr="00D402A5">
        <w:trPr>
          <w:trHeight w:val="88"/>
        </w:trPr>
        <w:tc>
          <w:tcPr>
            <w:tcW w:w="6768" w:type="dxa"/>
            <w:gridSpan w:val="3"/>
          </w:tcPr>
          <w:p w14:paraId="2A6CD673" w14:textId="77777777" w:rsidR="005E3FF3" w:rsidRPr="005E3FF3" w:rsidRDefault="005E3FF3" w:rsidP="005E3FF3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Scheme de ajutoare pentru operele audiovizuale (articolul 54)</w:t>
            </w:r>
          </w:p>
        </w:tc>
        <w:tc>
          <w:tcPr>
            <w:tcW w:w="1440" w:type="dxa"/>
            <w:gridSpan w:val="2"/>
          </w:tcPr>
          <w:p w14:paraId="2C6BBF2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56" w:type="dxa"/>
          </w:tcPr>
          <w:p w14:paraId="3C91696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6402882" w14:textId="77777777" w:rsidTr="00D402A5">
        <w:trPr>
          <w:trHeight w:val="88"/>
        </w:trPr>
        <w:tc>
          <w:tcPr>
            <w:tcW w:w="6768" w:type="dxa"/>
            <w:gridSpan w:val="3"/>
          </w:tcPr>
          <w:p w14:paraId="40744655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infrastructurile sportive și pentru infrastructurile de agrement multifuncționale (articolul 55)</w:t>
            </w:r>
          </w:p>
        </w:tc>
        <w:tc>
          <w:tcPr>
            <w:tcW w:w="1420" w:type="dxa"/>
          </w:tcPr>
          <w:p w14:paraId="47BAF8F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76" w:type="dxa"/>
            <w:gridSpan w:val="2"/>
          </w:tcPr>
          <w:p w14:paraId="6AED8CD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8CA25F7" w14:textId="77777777" w:rsidTr="00D402A5">
        <w:trPr>
          <w:trHeight w:val="88"/>
        </w:trPr>
        <w:tc>
          <w:tcPr>
            <w:tcW w:w="6768" w:type="dxa"/>
            <w:gridSpan w:val="3"/>
          </w:tcPr>
          <w:p w14:paraId="565EE35C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investiții în infrastructurile locale (articolul 56)</w:t>
            </w:r>
          </w:p>
        </w:tc>
        <w:tc>
          <w:tcPr>
            <w:tcW w:w="1420" w:type="dxa"/>
          </w:tcPr>
          <w:p w14:paraId="11451BF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76" w:type="dxa"/>
            <w:gridSpan w:val="2"/>
          </w:tcPr>
          <w:p w14:paraId="234F6B0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18954C58" w14:textId="77777777" w:rsidTr="00D402A5">
        <w:trPr>
          <w:trHeight w:val="88"/>
        </w:trPr>
        <w:tc>
          <w:tcPr>
            <w:tcW w:w="6768" w:type="dxa"/>
            <w:gridSpan w:val="3"/>
          </w:tcPr>
          <w:p w14:paraId="3E1F4B9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aeroporturile regionale (articolul 56a)</w:t>
            </w:r>
          </w:p>
        </w:tc>
        <w:tc>
          <w:tcPr>
            <w:tcW w:w="1420" w:type="dxa"/>
          </w:tcPr>
          <w:p w14:paraId="51A30DE2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76" w:type="dxa"/>
            <w:gridSpan w:val="2"/>
          </w:tcPr>
          <w:p w14:paraId="77587BE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C4DA876" w14:textId="77777777" w:rsidTr="00D402A5">
        <w:trPr>
          <w:trHeight w:val="88"/>
        </w:trPr>
        <w:tc>
          <w:tcPr>
            <w:tcW w:w="6768" w:type="dxa"/>
            <w:gridSpan w:val="3"/>
          </w:tcPr>
          <w:p w14:paraId="329E8B22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destinate porturilor maritime (articolul 56b)</w:t>
            </w:r>
          </w:p>
        </w:tc>
        <w:tc>
          <w:tcPr>
            <w:tcW w:w="1420" w:type="dxa"/>
          </w:tcPr>
          <w:p w14:paraId="074C75E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76" w:type="dxa"/>
            <w:gridSpan w:val="2"/>
          </w:tcPr>
          <w:p w14:paraId="1B544E5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22D22FC3" w14:textId="77777777" w:rsidTr="00D402A5">
        <w:trPr>
          <w:trHeight w:val="88"/>
        </w:trPr>
        <w:tc>
          <w:tcPr>
            <w:tcW w:w="6768" w:type="dxa"/>
            <w:gridSpan w:val="3"/>
          </w:tcPr>
          <w:p w14:paraId="1A447656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destinate porturilor interioare (articolul 56c)</w:t>
            </w:r>
          </w:p>
        </w:tc>
        <w:tc>
          <w:tcPr>
            <w:tcW w:w="1420" w:type="dxa"/>
          </w:tcPr>
          <w:p w14:paraId="4F7C6EF3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  <w:tc>
          <w:tcPr>
            <w:tcW w:w="1276" w:type="dxa"/>
            <w:gridSpan w:val="2"/>
          </w:tcPr>
          <w:p w14:paraId="73B9327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7C6AEE1D" w14:textId="77777777" w:rsidTr="00D402A5">
        <w:trPr>
          <w:trHeight w:val="210"/>
        </w:trPr>
        <w:tc>
          <w:tcPr>
            <w:tcW w:w="2518" w:type="dxa"/>
            <w:vMerge w:val="restart"/>
          </w:tcPr>
          <w:p w14:paraId="747F2394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ab/>
              <w:t>Ajutoare incluse în produsele financiare care beneficiază de sprijin din Fondul InvestEU (articolele 56d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noBreakHyphen/>
              <w:t>56f)</w:t>
            </w:r>
          </w:p>
        </w:tc>
        <w:tc>
          <w:tcPr>
            <w:tcW w:w="1190" w:type="dxa"/>
            <w:vMerge w:val="restart"/>
          </w:tcPr>
          <w:p w14:paraId="4C84D981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Articolul 56e</w:t>
            </w:r>
          </w:p>
        </w:tc>
        <w:tc>
          <w:tcPr>
            <w:tcW w:w="3060" w:type="dxa"/>
          </w:tcPr>
          <w:p w14:paraId="1F9903B4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proiectele de interes comun din domeniul infrastructurii de conectivitate digitală transeuropeană finanțate 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lastRenderedPageBreak/>
              <w:t>în temeiul Regulamentului (UE) 2021/1153 sau care au primit o etichetă de calitate „marcă de excelență” în temeiul respectivului regulament [articolul 56e alineatul (2)]</w:t>
            </w:r>
          </w:p>
        </w:tc>
        <w:tc>
          <w:tcPr>
            <w:tcW w:w="1440" w:type="dxa"/>
            <w:gridSpan w:val="2"/>
          </w:tcPr>
          <w:p w14:paraId="4C2FE21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lastRenderedPageBreak/>
              <w:t>…moneda națională</w:t>
            </w:r>
          </w:p>
        </w:tc>
        <w:tc>
          <w:tcPr>
            <w:tcW w:w="1256" w:type="dxa"/>
          </w:tcPr>
          <w:p w14:paraId="64005933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0067BACF" w14:textId="77777777" w:rsidTr="00D402A5">
        <w:trPr>
          <w:trHeight w:val="210"/>
        </w:trPr>
        <w:tc>
          <w:tcPr>
            <w:tcW w:w="2518" w:type="dxa"/>
            <w:vMerge/>
          </w:tcPr>
          <w:p w14:paraId="2D3DC0A7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351492B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714D84B1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implementarea rețelelor fixe în bandă largă și ajutoare pentru implementarea rețelelor mobile 4G și 5G pentru conectarea anumitor factori socioeconomici eligibili [articolul 56e alineatul (3)]</w:t>
            </w:r>
          </w:p>
        </w:tc>
        <w:tc>
          <w:tcPr>
            <w:tcW w:w="1440" w:type="dxa"/>
            <w:gridSpan w:val="2"/>
          </w:tcPr>
          <w:p w14:paraId="45E8711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014648E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3B33EA6" w14:textId="77777777" w:rsidTr="00D402A5">
        <w:trPr>
          <w:trHeight w:val="210"/>
        </w:trPr>
        <w:tc>
          <w:tcPr>
            <w:tcW w:w="2518" w:type="dxa"/>
            <w:vMerge/>
          </w:tcPr>
          <w:p w14:paraId="26765877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252C943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3A3F2B9E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producerea de energie și infrastructura energetică [articolul 56e alineatul (4)]</w:t>
            </w:r>
          </w:p>
        </w:tc>
        <w:tc>
          <w:tcPr>
            <w:tcW w:w="1440" w:type="dxa"/>
            <w:gridSpan w:val="2"/>
          </w:tcPr>
          <w:p w14:paraId="24792F3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5815B45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0400087" w14:textId="77777777" w:rsidTr="00D402A5">
        <w:trPr>
          <w:trHeight w:val="210"/>
        </w:trPr>
        <w:tc>
          <w:tcPr>
            <w:tcW w:w="2518" w:type="dxa"/>
            <w:vMerge/>
          </w:tcPr>
          <w:p w14:paraId="1E773B20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5F2405C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03FE8441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infrastructurile și activitățile sociale, educaționale și culturale și privind patrimoniul natural [articolul 56e alineatul (5)]</w:t>
            </w:r>
          </w:p>
        </w:tc>
        <w:tc>
          <w:tcPr>
            <w:tcW w:w="1440" w:type="dxa"/>
            <w:gridSpan w:val="2"/>
          </w:tcPr>
          <w:p w14:paraId="562466B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4D86322E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57EDBB97" w14:textId="77777777" w:rsidTr="00D402A5">
        <w:trPr>
          <w:trHeight w:val="210"/>
        </w:trPr>
        <w:tc>
          <w:tcPr>
            <w:tcW w:w="2518" w:type="dxa"/>
            <w:vMerge/>
          </w:tcPr>
          <w:p w14:paraId="22611183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00E99999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1CB62F3E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transport și pentru infrastructurile de transport [articolul 56e alineatul (6)]</w:t>
            </w:r>
          </w:p>
        </w:tc>
        <w:tc>
          <w:tcPr>
            <w:tcW w:w="1440" w:type="dxa"/>
            <w:gridSpan w:val="2"/>
          </w:tcPr>
          <w:p w14:paraId="143F1AE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53F7791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F0F23C2" w14:textId="77777777" w:rsidTr="00D402A5">
        <w:trPr>
          <w:trHeight w:val="210"/>
        </w:trPr>
        <w:tc>
          <w:tcPr>
            <w:tcW w:w="2518" w:type="dxa"/>
            <w:vMerge/>
          </w:tcPr>
          <w:p w14:paraId="5642699E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4CDAC377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7F8989BD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alte infrastructuri [articolul 56e alineatul (7)]</w:t>
            </w:r>
          </w:p>
        </w:tc>
        <w:tc>
          <w:tcPr>
            <w:tcW w:w="1440" w:type="dxa"/>
            <w:gridSpan w:val="2"/>
          </w:tcPr>
          <w:p w14:paraId="5A760BDF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7DB25FB8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155A3B64" w14:textId="77777777" w:rsidTr="00D402A5">
        <w:trPr>
          <w:trHeight w:val="210"/>
        </w:trPr>
        <w:tc>
          <w:tcPr>
            <w:tcW w:w="2518" w:type="dxa"/>
            <w:vMerge/>
          </w:tcPr>
          <w:p w14:paraId="42DBA484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7F432A06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4EB032B9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protecția mediului, inclusiv pentru protecția climei [articolul 56e alineatul (8)]</w:t>
            </w:r>
          </w:p>
        </w:tc>
        <w:tc>
          <w:tcPr>
            <w:tcW w:w="1440" w:type="dxa"/>
            <w:gridSpan w:val="2"/>
          </w:tcPr>
          <w:p w14:paraId="5896B78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290A909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76AB5C14" w14:textId="77777777" w:rsidTr="00D402A5">
        <w:trPr>
          <w:trHeight w:val="210"/>
        </w:trPr>
        <w:tc>
          <w:tcPr>
            <w:tcW w:w="2518" w:type="dxa"/>
            <w:vMerge/>
          </w:tcPr>
          <w:p w14:paraId="41A51DD4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76763830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3056720A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pentru cercetare, dezvoltare, inovare și digitalizare [articolul 56e </w:t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lastRenderedPageBreak/>
              <w:t>alineatul (9)]</w:t>
            </w:r>
          </w:p>
        </w:tc>
        <w:tc>
          <w:tcPr>
            <w:tcW w:w="1440" w:type="dxa"/>
            <w:gridSpan w:val="2"/>
          </w:tcPr>
          <w:p w14:paraId="7F61B2FC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lastRenderedPageBreak/>
              <w:t>…moneda națională</w:t>
            </w:r>
          </w:p>
        </w:tc>
        <w:tc>
          <w:tcPr>
            <w:tcW w:w="1256" w:type="dxa"/>
          </w:tcPr>
          <w:p w14:paraId="621C671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371E5EEB" w14:textId="77777777" w:rsidTr="00D402A5">
        <w:trPr>
          <w:trHeight w:val="210"/>
        </w:trPr>
        <w:tc>
          <w:tcPr>
            <w:tcW w:w="2518" w:type="dxa"/>
            <w:vMerge/>
          </w:tcPr>
          <w:p w14:paraId="26F86819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22BE523D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3060" w:type="dxa"/>
          </w:tcPr>
          <w:p w14:paraId="7A65A8C0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sub formă de finanțare care beneficiază de sprijin din Fondul InvestEU acordate IMM˗urilor sau întreprinderilor mici cu capitalizare medie [articolul 56e alineatul (10)]</w:t>
            </w:r>
          </w:p>
        </w:tc>
        <w:tc>
          <w:tcPr>
            <w:tcW w:w="1440" w:type="dxa"/>
            <w:gridSpan w:val="2"/>
          </w:tcPr>
          <w:p w14:paraId="2907CF9A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2BB4188B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  <w:tr w:rsidR="005E3FF3" w:rsidRPr="005E3FF3" w14:paraId="1C92DAC2" w14:textId="77777777" w:rsidTr="00D402A5">
        <w:trPr>
          <w:trHeight w:val="210"/>
        </w:trPr>
        <w:tc>
          <w:tcPr>
            <w:tcW w:w="2518" w:type="dxa"/>
            <w:vMerge/>
          </w:tcPr>
          <w:p w14:paraId="232C2FB8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12F7138" w14:textId="77777777" w:rsidR="005E3FF3" w:rsidRPr="005E3FF3" w:rsidRDefault="005E3FF3" w:rsidP="005E3FF3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instrText xml:space="preserve"> FORMCHECKBOX </w:instrText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</w:r>
            <w:r w:rsidR="00E54EBF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separate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fldChar w:fldCharType="end"/>
            </w: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 xml:space="preserve"> Ajutoare incluse în produsele financiare intermediate care beneficiază de sprijin din Fondul InvestEU (articolul 56f)</w:t>
            </w:r>
          </w:p>
        </w:tc>
        <w:tc>
          <w:tcPr>
            <w:tcW w:w="1440" w:type="dxa"/>
            <w:gridSpan w:val="2"/>
          </w:tcPr>
          <w:p w14:paraId="44176735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…moneda națională</w:t>
            </w:r>
          </w:p>
        </w:tc>
        <w:tc>
          <w:tcPr>
            <w:tcW w:w="1256" w:type="dxa"/>
          </w:tcPr>
          <w:p w14:paraId="50DF2B74" w14:textId="77777777" w:rsidR="005E3FF3" w:rsidRPr="005E3FF3" w:rsidRDefault="005E3FF3" w:rsidP="005E3FF3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eastAsia="en-US" w:bidi="ar-SA"/>
              </w:rPr>
            </w:pPr>
            <w:r w:rsidRPr="005E3FF3">
              <w:rPr>
                <w:rFonts w:ascii="Times New Roman" w:hAnsi="Times New Roman"/>
                <w:noProof/>
                <w:sz w:val="24"/>
                <w:szCs w:val="24"/>
                <w:lang w:eastAsia="en-US" w:bidi="ar-SA"/>
              </w:rPr>
              <w:t>…%</w:t>
            </w:r>
          </w:p>
        </w:tc>
      </w:tr>
    </w:tbl>
    <w:p w14:paraId="185716A0" w14:textId="77777777" w:rsidR="002F4E11" w:rsidRPr="006802F3" w:rsidRDefault="002F4E11" w:rsidP="003F554E">
      <w:pPr>
        <w:spacing w:after="480"/>
        <w:jc w:val="center"/>
      </w:pPr>
    </w:p>
    <w:sectPr w:rsidR="002F4E11" w:rsidRPr="006802F3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B1AFF" w14:textId="77777777" w:rsidR="00F9083A" w:rsidRDefault="00F9083A" w:rsidP="009907E1">
      <w:pPr>
        <w:spacing w:after="0" w:line="240" w:lineRule="auto"/>
      </w:pPr>
      <w:r>
        <w:separator/>
      </w:r>
    </w:p>
  </w:endnote>
  <w:endnote w:type="continuationSeparator" w:id="0">
    <w:p w14:paraId="70CAE3F8" w14:textId="77777777" w:rsidR="00F9083A" w:rsidRDefault="00F9083A" w:rsidP="0099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88786" w14:textId="77777777" w:rsidR="005E3FF3" w:rsidRDefault="005E3F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5EE5B" w14:textId="77777777" w:rsidR="005E3FF3" w:rsidRDefault="005E3F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B3708" w14:textId="77777777" w:rsidR="005E3FF3" w:rsidRDefault="005E3FF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7DCE9" w14:textId="77777777" w:rsidR="009473C4" w:rsidRDefault="009473C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5174">
      <w:rPr>
        <w:noProof/>
      </w:rPr>
      <w:t>10</w:t>
    </w:r>
    <w:r>
      <w:rPr>
        <w:noProof/>
      </w:rPr>
      <w:fldChar w:fldCharType="end"/>
    </w:r>
  </w:p>
  <w:p w14:paraId="2E328C25" w14:textId="77777777" w:rsidR="009473C4" w:rsidRDefault="00947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6F20D" w14:textId="77777777" w:rsidR="00F9083A" w:rsidRDefault="00F9083A" w:rsidP="009907E1">
      <w:pPr>
        <w:spacing w:after="0" w:line="240" w:lineRule="auto"/>
      </w:pPr>
      <w:r>
        <w:separator/>
      </w:r>
    </w:p>
  </w:footnote>
  <w:footnote w:type="continuationSeparator" w:id="0">
    <w:p w14:paraId="05F464E5" w14:textId="77777777" w:rsidR="00F9083A" w:rsidRDefault="00F9083A" w:rsidP="009907E1">
      <w:pPr>
        <w:spacing w:after="0" w:line="240" w:lineRule="auto"/>
      </w:pPr>
      <w:r>
        <w:continuationSeparator/>
      </w:r>
    </w:p>
  </w:footnote>
  <w:footnote w:id="1">
    <w:p w14:paraId="5DAB9BAE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NUTS - Nomenclatorul unită</w:t>
      </w:r>
      <w:r w:rsidR="003B6A25">
        <w:t>ț</w:t>
      </w:r>
      <w:r>
        <w:t>ilor teritoriale de statistică. De regulă, regiu</w:t>
      </w:r>
      <w:r w:rsidR="00186412">
        <w:t>nea este specificată la nivelul </w:t>
      </w:r>
      <w:r w:rsidRPr="003B6A25">
        <w:t>2</w:t>
      </w:r>
      <w:r>
        <w:t xml:space="preserve">. </w:t>
      </w:r>
    </w:p>
  </w:footnote>
  <w:footnote w:id="2">
    <w:p w14:paraId="1B8041F9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Articolul </w:t>
      </w:r>
      <w:r w:rsidRPr="003B6A25">
        <w:t>107</w:t>
      </w:r>
      <w:r>
        <w:t xml:space="preserve"> alineatul (</w:t>
      </w:r>
      <w:r w:rsidRPr="003B6A25">
        <w:t>3</w:t>
      </w:r>
      <w:r>
        <w:t>) litera (a) din TFUE (statutul „A”), articolul </w:t>
      </w:r>
      <w:r w:rsidRPr="003B6A25">
        <w:t>107</w:t>
      </w:r>
      <w:r>
        <w:t xml:space="preserve"> alineatul (</w:t>
      </w:r>
      <w:r w:rsidRPr="003B6A25">
        <w:t>3</w:t>
      </w:r>
      <w:r>
        <w:t xml:space="preserve">) litera (c) din TFUE (statutul „C”), zonele neasistate, </w:t>
      </w:r>
      <w:r w:rsidR="003B6A25">
        <w:t>ș</w:t>
      </w:r>
      <w:r>
        <w:t xml:space="preserve">i anume zonele care nu sunt eligibile pentru ajutor regional (statutul „N”). </w:t>
      </w:r>
    </w:p>
  </w:footnote>
  <w:footnote w:id="3">
    <w:p w14:paraId="226FA62E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În sensul normelor în materie de concuren</w:t>
      </w:r>
      <w:r w:rsidR="003B6A25">
        <w:t>ț</w:t>
      </w:r>
      <w:r>
        <w:t xml:space="preserve">ă prevăzute în tratat </w:t>
      </w:r>
      <w:r w:rsidR="003B6A25">
        <w:t>ș</w:t>
      </w:r>
      <w:r>
        <w:t>i în sensul prezentului regulament, „întreprindere” înseamnă orice entitate care desfă</w:t>
      </w:r>
      <w:r w:rsidR="003B6A25">
        <w:t>ș</w:t>
      </w:r>
      <w:r>
        <w:t xml:space="preserve">oară o activitate economică, oricare ar fi statutul său juridic </w:t>
      </w:r>
      <w:r w:rsidR="003B6A25">
        <w:t>ș</w:t>
      </w:r>
      <w:r>
        <w:t>i modul său de finan</w:t>
      </w:r>
      <w:r w:rsidR="003B6A25">
        <w:t>ț</w:t>
      </w:r>
      <w:r>
        <w:t>are. Curtea de Justi</w:t>
      </w:r>
      <w:r w:rsidR="003B6A25">
        <w:t>ț</w:t>
      </w:r>
      <w:r>
        <w:t>ie a hotărât că entită</w:t>
      </w:r>
      <w:r w:rsidR="003B6A25">
        <w:t>ț</w:t>
      </w:r>
      <w:r>
        <w:t xml:space="preserve">ile care sunt controlate (juridic sau </w:t>
      </w:r>
      <w:r w:rsidRPr="00186412">
        <w:rPr>
          <w:i/>
        </w:rPr>
        <w:t>de facto</w:t>
      </w:r>
      <w:r>
        <w:t>) de aceea</w:t>
      </w:r>
      <w:r w:rsidR="003B6A25">
        <w:t>ș</w:t>
      </w:r>
      <w:r>
        <w:t>i entitate ar trebui să fie considerate o singură întreprindere.</w:t>
      </w:r>
    </w:p>
  </w:footnote>
  <w:footnote w:id="4">
    <w:p w14:paraId="3046F972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Perioada în care autoritatea care acordă ajutorul se poate angaja să acorde ajutorul. </w:t>
      </w:r>
    </w:p>
  </w:footnote>
  <w:footnote w:id="5">
    <w:p w14:paraId="2DDC4FE0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Stabilită în conformitate cu articolul (</w:t>
      </w:r>
      <w:r w:rsidRPr="003B6A25">
        <w:t>2</w:t>
      </w:r>
      <w:r>
        <w:t xml:space="preserve">) punctul </w:t>
      </w:r>
      <w:r w:rsidRPr="003B6A25">
        <w:t>27</w:t>
      </w:r>
      <w:r>
        <w:t xml:space="preserve"> din regulament. </w:t>
      </w:r>
    </w:p>
  </w:footnote>
  <w:footnote w:id="6">
    <w:p w14:paraId="77F10675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NACE Rev. </w:t>
      </w:r>
      <w:r w:rsidRPr="003B6A25">
        <w:t>2</w:t>
      </w:r>
      <w:r>
        <w:t xml:space="preserve"> – Clasificarea statistică a activită</w:t>
      </w:r>
      <w:r w:rsidR="003B6A25">
        <w:t>ț</w:t>
      </w:r>
      <w:r>
        <w:t>ilor economice în Comunitatea Europeană. De regulă, sectorul se specifică la nivel de grupă.</w:t>
      </w:r>
    </w:p>
  </w:footnote>
  <w:footnote w:id="7">
    <w:p w14:paraId="7491BEA5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În cazul unei scheme de ajutoare: a se indica valoarea anuală totală a bugetului planificat în cadrul schemei sau pierderea fiscală estimată pe an pentru toate instrumentele de ajutor incluse în schemă.</w:t>
      </w:r>
    </w:p>
  </w:footnote>
  <w:footnote w:id="8">
    <w:p w14:paraId="164BC1CC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În cazul acordării unui ajutor ad-hoc: a se indica valoarea totală a ajutorului sau a pierderii fiscale.</w:t>
      </w:r>
    </w:p>
  </w:footnote>
  <w:footnote w:id="9">
    <w:p w14:paraId="73565A57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Pentru garan</w:t>
      </w:r>
      <w:r w:rsidR="003B6A25">
        <w:t>ț</w:t>
      </w:r>
      <w:r>
        <w:t xml:space="preserve">ii, a se indica valoarea (maximă) a împrumuturilor garantate. </w:t>
      </w:r>
    </w:p>
  </w:footnote>
  <w:footnote w:id="10">
    <w:p w14:paraId="52D4B464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Dacă este cazul, se face trimitere la decizia Comisiei de aprobare a metodei de calcul al echivalentului subven</w:t>
      </w:r>
      <w:r w:rsidR="003B6A25">
        <w:t>ț</w:t>
      </w:r>
      <w:r>
        <w:t>ie brută, în conformitate cu articolul </w:t>
      </w:r>
      <w:r w:rsidRPr="003B6A25">
        <w:t>5</w:t>
      </w:r>
      <w:r>
        <w:t xml:space="preserve"> alineatul (</w:t>
      </w:r>
      <w:r w:rsidRPr="003B6A25">
        <w:t>2</w:t>
      </w:r>
      <w:r>
        <w:t xml:space="preserve">) litera (c) din regulament. </w:t>
      </w:r>
    </w:p>
  </w:footnote>
  <w:footnote w:id="11">
    <w:p w14:paraId="48DF013E" w14:textId="77777777" w:rsidR="005E3FF3" w:rsidRDefault="005E3FF3" w:rsidP="005E3FF3">
      <w:pPr>
        <w:pStyle w:val="FootnoteText"/>
      </w:pPr>
      <w:r>
        <w:rPr>
          <w:rStyle w:val="FootnoteReference"/>
        </w:rPr>
        <w:footnoteRef/>
      </w:r>
      <w:r>
        <w:tab/>
        <w:t xml:space="preserve">În cazul ajutoarelor regionale ad-hoc care completează ajutoarele acordate în cadrul unei (unor) scheme de ajutoare, indicați atât intensitatea ajutoarelor acordate în cadrul schemei, cât și intensitatea ajutoarelor ad-hoc. </w:t>
      </w:r>
    </w:p>
  </w:footnote>
  <w:footnote w:id="12">
    <w:p w14:paraId="2E3F8D47" w14:textId="77777777" w:rsidR="005E3FF3" w:rsidRDefault="005E3FF3" w:rsidP="005E3FF3">
      <w:pPr>
        <w:pStyle w:val="FootnoteText"/>
      </w:pPr>
      <w:r>
        <w:rPr>
          <w:rStyle w:val="FootnoteReference"/>
        </w:rPr>
        <w:footnoteRef/>
      </w:r>
      <w:r>
        <w:tab/>
        <w:t xml:space="preserve">În conformitate cu articolul </w:t>
      </w:r>
      <w:r w:rsidRPr="00862390">
        <w:t>11</w:t>
      </w:r>
      <w:r>
        <w:t xml:space="preserve"> alineatul (</w:t>
      </w:r>
      <w:r w:rsidRPr="00862390">
        <w:t>1</w:t>
      </w:r>
      <w:r>
        <w:t xml:space="preserve">), raportarea ajutoarelor acordate în temeiul articolului </w:t>
      </w:r>
      <w:r w:rsidRPr="00862390">
        <w:t>19</w:t>
      </w:r>
      <w:r>
        <w:t>b nu este obligatorie. Prin urmare, raportarea acestor ajutoare este doar opțională.</w:t>
      </w:r>
    </w:p>
  </w:footnote>
  <w:footnote w:id="13">
    <w:p w14:paraId="571BA9E5" w14:textId="77777777" w:rsidR="005E3FF3" w:rsidRDefault="005E3FF3" w:rsidP="005E3FF3">
      <w:pPr>
        <w:pStyle w:val="FootnoteText"/>
      </w:pPr>
      <w:r>
        <w:rPr>
          <w:rStyle w:val="FootnoteReference"/>
        </w:rPr>
        <w:footnoteRef/>
      </w:r>
      <w:r>
        <w:tab/>
        <w:t xml:space="preserve">În conformitate cu articolul </w:t>
      </w:r>
      <w:r w:rsidRPr="00862390">
        <w:t>11</w:t>
      </w:r>
      <w:r>
        <w:t xml:space="preserve"> alineatul (</w:t>
      </w:r>
      <w:r w:rsidRPr="00862390">
        <w:t>1</w:t>
      </w:r>
      <w:r>
        <w:t xml:space="preserve">), raportarea ajutoarelor acordate în temeiul articolului </w:t>
      </w:r>
      <w:r w:rsidRPr="00862390">
        <w:t>20</w:t>
      </w:r>
      <w:r>
        <w:t>a nu este obligatorie. Prin urmare, raportarea acestor ajutoare este doar opțională.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43B43" w14:textId="77777777" w:rsidR="005E3FF3" w:rsidRDefault="005E3F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45FF7" w14:textId="77777777" w:rsidR="005E3FF3" w:rsidRDefault="005E3F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5FF62" w14:textId="77777777" w:rsidR="005E3FF3" w:rsidRDefault="005E3F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182D2D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520062"/>
    <w:multiLevelType w:val="singleLevel"/>
    <w:tmpl w:val="088C5E4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C3435B3"/>
    <w:multiLevelType w:val="multilevel"/>
    <w:tmpl w:val="9C9A6CEA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64EF6533"/>
    <w:multiLevelType w:val="multilevel"/>
    <w:tmpl w:val="EE863264"/>
    <w:name w:val="0.273627913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282300012">
    <w:abstractNumId w:val="4"/>
  </w:num>
  <w:num w:numId="2" w16cid:durableId="1636175164">
    <w:abstractNumId w:val="3"/>
  </w:num>
  <w:num w:numId="3" w16cid:durableId="1169295544">
    <w:abstractNumId w:val="1"/>
  </w:num>
  <w:num w:numId="4" w16cid:durableId="8884142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6135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54228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20615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23079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02514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52474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79720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575429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0006184">
    <w:abstractNumId w:val="2"/>
  </w:num>
  <w:num w:numId="14" w16cid:durableId="11246917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29831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hyphenationZone w:val="425"/>
  <w:characterSpacingControl w:val="doNotCompress"/>
  <w:hdrShapeDefaults>
    <o:shapedefaults v:ext="edit" spidmax="5121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9907E1"/>
    <w:rsid w:val="000133CC"/>
    <w:rsid w:val="00021859"/>
    <w:rsid w:val="000630D5"/>
    <w:rsid w:val="000674F4"/>
    <w:rsid w:val="000A177B"/>
    <w:rsid w:val="00104724"/>
    <w:rsid w:val="00131A0B"/>
    <w:rsid w:val="00173BED"/>
    <w:rsid w:val="00174C67"/>
    <w:rsid w:val="00175A50"/>
    <w:rsid w:val="00186412"/>
    <w:rsid w:val="0019096D"/>
    <w:rsid w:val="00194195"/>
    <w:rsid w:val="001A1312"/>
    <w:rsid w:val="001B4951"/>
    <w:rsid w:val="001D6285"/>
    <w:rsid w:val="001F3512"/>
    <w:rsid w:val="00252078"/>
    <w:rsid w:val="00295DA9"/>
    <w:rsid w:val="002D2CDD"/>
    <w:rsid w:val="002F3BE3"/>
    <w:rsid w:val="002F4E11"/>
    <w:rsid w:val="00317E7D"/>
    <w:rsid w:val="00336D85"/>
    <w:rsid w:val="00346533"/>
    <w:rsid w:val="00373028"/>
    <w:rsid w:val="003938F3"/>
    <w:rsid w:val="003B52E8"/>
    <w:rsid w:val="003B6A25"/>
    <w:rsid w:val="003E2A9E"/>
    <w:rsid w:val="003F554E"/>
    <w:rsid w:val="003F5D25"/>
    <w:rsid w:val="003F5D67"/>
    <w:rsid w:val="004556D7"/>
    <w:rsid w:val="004816AA"/>
    <w:rsid w:val="00490590"/>
    <w:rsid w:val="004A02AD"/>
    <w:rsid w:val="004B0708"/>
    <w:rsid w:val="004C69BB"/>
    <w:rsid w:val="00530EE1"/>
    <w:rsid w:val="005627C9"/>
    <w:rsid w:val="00563CF6"/>
    <w:rsid w:val="005B212D"/>
    <w:rsid w:val="005B2F43"/>
    <w:rsid w:val="005C754F"/>
    <w:rsid w:val="005E3FF3"/>
    <w:rsid w:val="005E70A0"/>
    <w:rsid w:val="00603BFE"/>
    <w:rsid w:val="006101FC"/>
    <w:rsid w:val="00623B9A"/>
    <w:rsid w:val="00626DEE"/>
    <w:rsid w:val="00643D7C"/>
    <w:rsid w:val="00644E58"/>
    <w:rsid w:val="006659C6"/>
    <w:rsid w:val="006802F3"/>
    <w:rsid w:val="007253AC"/>
    <w:rsid w:val="00730B3F"/>
    <w:rsid w:val="00731772"/>
    <w:rsid w:val="00733A2E"/>
    <w:rsid w:val="00746590"/>
    <w:rsid w:val="007755D3"/>
    <w:rsid w:val="00793F50"/>
    <w:rsid w:val="0079490F"/>
    <w:rsid w:val="007B3761"/>
    <w:rsid w:val="007F7579"/>
    <w:rsid w:val="00800031"/>
    <w:rsid w:val="00805035"/>
    <w:rsid w:val="00812E2A"/>
    <w:rsid w:val="00812ED7"/>
    <w:rsid w:val="00875BDC"/>
    <w:rsid w:val="00875F73"/>
    <w:rsid w:val="00882004"/>
    <w:rsid w:val="008B7F47"/>
    <w:rsid w:val="008D5A72"/>
    <w:rsid w:val="00910434"/>
    <w:rsid w:val="00914F22"/>
    <w:rsid w:val="00923F0A"/>
    <w:rsid w:val="009272A8"/>
    <w:rsid w:val="009473C4"/>
    <w:rsid w:val="0095358A"/>
    <w:rsid w:val="00955174"/>
    <w:rsid w:val="00982BC3"/>
    <w:rsid w:val="009907E1"/>
    <w:rsid w:val="00996BFF"/>
    <w:rsid w:val="009D507B"/>
    <w:rsid w:val="009D5F2A"/>
    <w:rsid w:val="009E3B01"/>
    <w:rsid w:val="009F0AAC"/>
    <w:rsid w:val="00A33BC6"/>
    <w:rsid w:val="00A65203"/>
    <w:rsid w:val="00A80E51"/>
    <w:rsid w:val="00A951F4"/>
    <w:rsid w:val="00AB0EC7"/>
    <w:rsid w:val="00AB6AC9"/>
    <w:rsid w:val="00AF158B"/>
    <w:rsid w:val="00AF31C2"/>
    <w:rsid w:val="00B059CD"/>
    <w:rsid w:val="00B7371D"/>
    <w:rsid w:val="00B85DC3"/>
    <w:rsid w:val="00B94383"/>
    <w:rsid w:val="00BC1CDF"/>
    <w:rsid w:val="00BD4211"/>
    <w:rsid w:val="00C24D56"/>
    <w:rsid w:val="00C31BC5"/>
    <w:rsid w:val="00C32A84"/>
    <w:rsid w:val="00C400FC"/>
    <w:rsid w:val="00C6449A"/>
    <w:rsid w:val="00C93DA2"/>
    <w:rsid w:val="00CC3F22"/>
    <w:rsid w:val="00CD27FE"/>
    <w:rsid w:val="00CD4A69"/>
    <w:rsid w:val="00CE50D5"/>
    <w:rsid w:val="00D27045"/>
    <w:rsid w:val="00D46247"/>
    <w:rsid w:val="00D57040"/>
    <w:rsid w:val="00D7688E"/>
    <w:rsid w:val="00DD6434"/>
    <w:rsid w:val="00DE3E7E"/>
    <w:rsid w:val="00E00BB1"/>
    <w:rsid w:val="00E07C95"/>
    <w:rsid w:val="00E130B9"/>
    <w:rsid w:val="00E22B52"/>
    <w:rsid w:val="00E25D4C"/>
    <w:rsid w:val="00E54EBF"/>
    <w:rsid w:val="00E92297"/>
    <w:rsid w:val="00E9572A"/>
    <w:rsid w:val="00F16E0C"/>
    <w:rsid w:val="00F2180D"/>
    <w:rsid w:val="00F3765C"/>
    <w:rsid w:val="00F51BB9"/>
    <w:rsid w:val="00F62FE2"/>
    <w:rsid w:val="00F700F0"/>
    <w:rsid w:val="00F86630"/>
    <w:rsid w:val="00F8774B"/>
    <w:rsid w:val="00F9083A"/>
    <w:rsid w:val="00F9475D"/>
    <w:rsid w:val="00F94B83"/>
    <w:rsid w:val="00FA4757"/>
    <w:rsid w:val="00FB587F"/>
    <w:rsid w:val="00FF34C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76FCAA0F"/>
  <w15:chartTrackingRefBased/>
  <w15:docId w15:val="{0572C9E0-B941-4D1C-AA57-0CED39785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ro-RO" w:bidi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07E1"/>
    <w:pPr>
      <w:spacing w:after="0" w:line="240" w:lineRule="auto"/>
      <w:ind w:left="720" w:hanging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07E1"/>
    <w:rPr>
      <w:rFonts w:ascii="Times New Roman" w:eastAsia="Times New Roman" w:hAnsi="Times New Roman"/>
      <w:lang w:eastAsia="ro-RO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9907E1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9907E1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xt2">
    <w:name w:val="Text 2"/>
    <w:basedOn w:val="Normal"/>
    <w:rsid w:val="009907E1"/>
    <w:pPr>
      <w:spacing w:before="120" w:after="120" w:line="240" w:lineRule="auto"/>
      <w:ind w:left="141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">
    <w:name w:val="Point 2"/>
    <w:basedOn w:val="Normal"/>
    <w:rsid w:val="009907E1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ret1">
    <w:name w:val="Tiret 1"/>
    <w:basedOn w:val="Normal"/>
    <w:rsid w:val="009907E1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1">
    <w:name w:val="NumPar 1"/>
    <w:basedOn w:val="Normal"/>
    <w:next w:val="Text1"/>
    <w:rsid w:val="009907E1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9907E1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9907E1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9907E1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ManualHeading1">
    <w:name w:val="Manual Heading 1"/>
    <w:basedOn w:val="Normal"/>
    <w:next w:val="Text1"/>
    <w:rsid w:val="009907E1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</w:rPr>
  </w:style>
  <w:style w:type="paragraph" w:customStyle="1" w:styleId="Point0number">
    <w:name w:val="Point 0 (number)"/>
    <w:basedOn w:val="Normal"/>
    <w:rsid w:val="009907E1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number">
    <w:name w:val="Point 1 (number)"/>
    <w:basedOn w:val="Normal"/>
    <w:rsid w:val="009907E1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number">
    <w:name w:val="Point 2 (number)"/>
    <w:basedOn w:val="Normal"/>
    <w:rsid w:val="009907E1"/>
    <w:pPr>
      <w:numPr>
        <w:ilvl w:val="4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number">
    <w:name w:val="Point 3 (number)"/>
    <w:basedOn w:val="Normal"/>
    <w:rsid w:val="009907E1"/>
    <w:pPr>
      <w:numPr>
        <w:ilvl w:val="6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0letter">
    <w:name w:val="Point 0 (letter)"/>
    <w:basedOn w:val="Normal"/>
    <w:rsid w:val="009907E1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letter">
    <w:name w:val="Point 1 (letter)"/>
    <w:basedOn w:val="Normal"/>
    <w:rsid w:val="009907E1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letter">
    <w:name w:val="Point 2 (letter)"/>
    <w:basedOn w:val="Normal"/>
    <w:rsid w:val="009907E1"/>
    <w:pPr>
      <w:numPr>
        <w:ilvl w:val="5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letter">
    <w:name w:val="Point 3 (letter)"/>
    <w:basedOn w:val="Normal"/>
    <w:rsid w:val="009907E1"/>
    <w:pPr>
      <w:numPr>
        <w:ilvl w:val="7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4letter">
    <w:name w:val="Point 4 (letter)"/>
    <w:basedOn w:val="Normal"/>
    <w:rsid w:val="009907E1"/>
    <w:pPr>
      <w:numPr>
        <w:ilvl w:val="8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nnexetitre">
    <w:name w:val="Annexe titre"/>
    <w:basedOn w:val="Normal"/>
    <w:next w:val="Normal"/>
    <w:rsid w:val="009907E1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907E1"/>
    <w:rPr>
      <w:sz w:val="22"/>
      <w:szCs w:val="22"/>
      <w:lang w:eastAsia="ro-RO"/>
    </w:rPr>
  </w:style>
  <w:style w:type="paragraph" w:styleId="Footer">
    <w:name w:val="footer"/>
    <w:basedOn w:val="Normal"/>
    <w:link w:val="Foot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907E1"/>
    <w:rPr>
      <w:sz w:val="22"/>
      <w:szCs w:val="22"/>
      <w:lang w:eastAsia="ro-RO"/>
    </w:rPr>
  </w:style>
  <w:style w:type="paragraph" w:styleId="ListBullet2">
    <w:name w:val="List Bullet 2"/>
    <w:basedOn w:val="Normal"/>
    <w:rsid w:val="001D6285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Right">
    <w:name w:val="Normal Right"/>
    <w:basedOn w:val="Normal"/>
    <w:rsid w:val="006802F3"/>
    <w:pPr>
      <w:spacing w:before="120" w:after="120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BB1"/>
    <w:rPr>
      <w:rFonts w:ascii="Tahoma" w:hAnsi="Tahoma" w:cs="Tahoma"/>
      <w:sz w:val="16"/>
      <w:szCs w:val="16"/>
      <w:lang w:eastAsia="ro-RO"/>
    </w:rPr>
  </w:style>
  <w:style w:type="paragraph" w:customStyle="1" w:styleId="Titrearticle">
    <w:name w:val="Titre article"/>
    <w:basedOn w:val="Normal"/>
    <w:next w:val="Normal"/>
    <w:rsid w:val="00AF31C2"/>
    <w:pPr>
      <w:keepNext/>
      <w:spacing w:before="360" w:after="120" w:line="240" w:lineRule="auto"/>
      <w:jc w:val="center"/>
    </w:pPr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B3C79-0D1B-44DB-9C41-E56A961E1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2452</Words>
  <Characters>13805</Characters>
  <Application>Microsoft Office Word</Application>
  <DocSecurity>0</DocSecurity>
  <Lines>460</Lines>
  <Paragraphs>275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DQC</dc:creator>
  <cp:keywords/>
  <cp:lastModifiedBy>REGULSKA Natalia (COMP)</cp:lastModifiedBy>
  <cp:revision>4</cp:revision>
  <cp:lastPrinted>2013-12-12T13:36:00Z</cp:lastPrinted>
  <dcterms:created xsi:type="dcterms:W3CDTF">2022-02-15T18:10:00Z</dcterms:created>
  <dcterms:modified xsi:type="dcterms:W3CDTF">2023-07-18T13:25:00Z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2023-07-07T11:08:14Z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592703aa-27b4-4875-af93-eafbfe643f01</vt:lpwstr>
  </property>
  <property fmtid="{D5CDD505-2E9C-101B-9397-08002B2CF9AE}" pid="9" name="MSIP_Label_6bd9ddd1-4d20-43f6-abfa-fc3c07406f94_ContentBits">
    <vt:lpwstr>0</vt:lpwstr>
  </property>
</Properties>
</file>