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681CEA9" w:rsidR="00BA39B3" w:rsidRDefault="00FA1F8A" w:rsidP="007B485D">
            <w:pPr>
              <w:pStyle w:val="Heading2"/>
              <w:spacing w:before="240" w:after="240"/>
              <w:jc w:val="center"/>
              <w:rPr>
                <w:sz w:val="32"/>
                <w:szCs w:val="32"/>
              </w:rPr>
            </w:pPr>
            <w:bookmarkStart w:id="0" w:name="_Toc414370364"/>
            <w:bookmarkStart w:id="1" w:name="_Toc416949016"/>
            <w:r>
              <w:rPr>
                <w:sz w:val="32"/>
              </w:rPr>
              <w:t>III.6. rész –</w:t>
            </w:r>
          </w:p>
          <w:p w14:paraId="1C239D2C" w14:textId="3C997748" w:rsidR="000442F5" w:rsidRPr="00080012" w:rsidRDefault="00BA39B3" w:rsidP="007B485D">
            <w:pPr>
              <w:pStyle w:val="Heading2"/>
              <w:spacing w:before="240" w:after="240"/>
              <w:jc w:val="center"/>
              <w:rPr>
                <w:sz w:val="32"/>
                <w:szCs w:val="32"/>
              </w:rPr>
            </w:pPr>
            <w:r>
              <w:rPr>
                <w:sz w:val="32"/>
              </w:rPr>
              <w:t>Kiegészítő adatlap az éghajlatvédelmi, a környezetvédelmi és energetikai állami támogatásokról szóló 2022. évi iránymutatás</w:t>
            </w:r>
            <w:r w:rsidR="007B485D" w:rsidRPr="00080012">
              <w:rPr>
                <w:sz w:val="32"/>
                <w:szCs w:val="32"/>
                <w:vertAlign w:val="superscript"/>
              </w:rPr>
              <w:footnoteReference w:id="2"/>
            </w:r>
            <w:r>
              <w:rPr>
                <w:sz w:val="32"/>
              </w:rPr>
              <w:t xml:space="preserve"> alapján nyújtott állami támogatáshoz – </w:t>
            </w:r>
            <w:r>
              <w:rPr>
                <w:rStyle w:val="normaltextrun"/>
                <w:color w:val="000000"/>
                <w:sz w:val="32"/>
                <w:bdr w:val="none" w:sz="0" w:space="0" w:color="auto" w:frame="1"/>
              </w:rPr>
              <w:t>Frissített változat*</w:t>
            </w:r>
            <w:bookmarkEnd w:id="0"/>
            <w:bookmarkEnd w:id="1"/>
          </w:p>
          <w:p w14:paraId="467EC4F2" w14:textId="1CE20A81" w:rsidR="002B52B3" w:rsidRDefault="002B52B3" w:rsidP="008D75A6">
            <w:pPr>
              <w:jc w:val="center"/>
              <w:rPr>
                <w:sz w:val="32"/>
                <w:szCs w:val="32"/>
              </w:rPr>
            </w:pPr>
            <w:r>
              <w:rPr>
                <w:sz w:val="32"/>
              </w:rPr>
              <w:t>4.5. szakasz – Támogatás az üvegházhatást okozó gázoktól eltérő szennyezés megelőzéséhez vagy csökkentéséhez</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hivatalosan még nem fogadták el</w:t>
            </w:r>
          </w:p>
        </w:tc>
      </w:tr>
    </w:tbl>
    <w:p w14:paraId="5F26D476" w14:textId="4F5B65DA" w:rsidR="000442F5" w:rsidRPr="00711243" w:rsidRDefault="000442F5" w:rsidP="000442F5">
      <w:pPr>
        <w:spacing w:before="120" w:after="120"/>
        <w:ind w:right="-142"/>
        <w:jc w:val="both"/>
        <w:rPr>
          <w:i/>
          <w:iCs/>
        </w:rPr>
      </w:pPr>
      <w:r>
        <w:rPr>
          <w:i/>
        </w:rPr>
        <w:t>Ezt a kiegészítő adatlapot kell használni az éghajlatvédelmi, a környezetvédelmi és energetikai állami támogatásokról szóló 2022. évi iránymutatás (a továbbiakban: az iránymutatás) hatálya alá tartozó valamennyi támogatás bejelentéséhez.</w:t>
      </w:r>
    </w:p>
    <w:p w14:paraId="1B60656B" w14:textId="26B9B9ED" w:rsidR="009E2EA1" w:rsidRPr="00711243" w:rsidRDefault="0072538B" w:rsidP="009E2EA1">
      <w:pPr>
        <w:spacing w:before="120" w:after="120"/>
        <w:ind w:right="-142"/>
        <w:jc w:val="both"/>
        <w:rPr>
          <w:i/>
          <w:iCs/>
        </w:rPr>
      </w:pPr>
      <w:r>
        <w:rPr>
          <w:i/>
        </w:rPr>
        <w:t>Ez a kiegészítő adatlap az iránymutatás 4.5. szakaszának hatálya alá tartozó intézkedésekre vonatkozik. Ha a bejelentésben olyan intézkedések szerepelnek, amelyekre az iránymutatás több szakasza is vonatkozik, kérjük, töltse ki az iránymutatás megfelelő szakaszához kapcsolódó kiegészítő adatlapot, amint rendelkezésre áll.</w:t>
      </w:r>
    </w:p>
    <w:p w14:paraId="05E36007" w14:textId="5E24D00F" w:rsidR="009E2EA1" w:rsidRPr="00711243" w:rsidRDefault="009E2EA1" w:rsidP="009E2EA1">
      <w:pPr>
        <w:spacing w:before="120" w:after="120"/>
        <w:ind w:right="-142"/>
        <w:jc w:val="both"/>
        <w:rPr>
          <w:i/>
          <w:iCs/>
        </w:rPr>
      </w:pPr>
      <w:r>
        <w:rPr>
          <w:i/>
        </w:rPr>
        <w:t>Az e kiegészítő adatlap mellékleteként a tagállamok által benyújtott valamennyi dokumentumot meg kell számozni, és a dokumentumok számát fel kell tüntetni e kiegészítő adatlap vonatkozó szakaszában.</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A. szakasz: A bejelentett intézkedés(ek) fő jellemzőinek összefoglalása</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A bejelentett intézkedés(ek) háttere és célkitűzése(i).</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Amennyiben az általános adatlap (I. rész) 5.2. szakaszában még nem szerepel, kérjük, ismertesse a hátteret és a fő célkitűzést, kitérve azokra az uniós környezetvédelmi célkitűzés(ek)re, amelyek támogatására az intézkedés irányul.</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3E1E8261" w:rsidR="00C0702F" w:rsidRPr="00F656BE" w:rsidRDefault="00C0702F" w:rsidP="00451471">
      <w:pPr>
        <w:pStyle w:val="ListParagraph"/>
        <w:numPr>
          <w:ilvl w:val="1"/>
          <w:numId w:val="4"/>
        </w:numPr>
        <w:spacing w:before="120" w:after="120"/>
        <w:ind w:left="1276" w:hanging="567"/>
        <w:contextualSpacing w:val="0"/>
        <w:jc w:val="both"/>
      </w:pPr>
      <w:r>
        <w:t>Kérjük, tüntesse fel az intézkedés bármilyen egyéb célkitűzését. A nem kizárólag környezetvédelmi jellegű célkitűzések esetében, kérjük, fejtse ki, hogy eredményezhetnek-e versenytorzulást a belső piacon.</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Hatálybalépés és időtartam:</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Amennyiben az általános adatlap (I. rész) 5.5. szakaszában még nem tüntette fel, kérjük, tüntesse fel a támogatási program tervezett hatálybalépésének időpontját.</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Kérjük, tüntesse fel a program időtartamát</w:t>
      </w:r>
      <w:r w:rsidRPr="0096487F">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Kedvezményezett(ek)</w:t>
      </w:r>
      <w:r>
        <w:rPr>
          <w:b/>
        </w:rP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Amennyiben az általános adatlap (I. rész) 3. szakaszában még nem ismertette, kérjük, ismertesse az intézkedés(ek) (potenciális) kedvezményezettjét/kedvezményezettjeit:</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Kérjük, tüntesse fel a kedvezményezett(ek) elhelyezkedését (vagyis csak az adott tagállamban található vagy másik tagállambeli gazdálkodó szervezetek is jogosultak-e részt venni az intézkedésben):</w:t>
      </w:r>
    </w:p>
    <w:p w14:paraId="51412974" w14:textId="5EFBD0ED" w:rsidR="000442F5" w:rsidRDefault="000442F5" w:rsidP="000442F5">
      <w:pPr>
        <w:tabs>
          <w:tab w:val="left" w:leader="dot" w:pos="9072"/>
        </w:tabs>
        <w:spacing w:before="120" w:after="120"/>
        <w:ind w:left="567"/>
        <w:jc w:val="both"/>
      </w:pPr>
      <w:r>
        <w:tab/>
      </w:r>
    </w:p>
    <w:p w14:paraId="27DDBE9A" w14:textId="337C8F71" w:rsidR="00E4424D" w:rsidRDefault="003C33B1" w:rsidP="00451471">
      <w:pPr>
        <w:pStyle w:val="ListParagraph"/>
        <w:numPr>
          <w:ilvl w:val="1"/>
          <w:numId w:val="4"/>
        </w:numPr>
        <w:spacing w:before="120" w:after="120"/>
        <w:ind w:left="1276" w:hanging="567"/>
        <w:contextualSpacing w:val="0"/>
        <w:jc w:val="both"/>
        <w:rPr>
          <w:szCs w:val="24"/>
        </w:rPr>
      </w:pPr>
      <w:r>
        <w:t>Az iránymutatás 15. pontjának való megfelelés értékelése céljából kérjük, adja meg, hogy az intézkedés(ek) keretében részesül-e (egyedi vagy program részét képező) támogatásban olyan vállalkozás, amellyel szemben valamely még nem teljesített, támogatást jogellenesnek és a belső piaccal összeegyeztethetetlennek nyilvánító korábbi bizottsági határozaton alapuló visszafizetési felszólítás van érvényben.</w:t>
      </w:r>
    </w:p>
    <w:p w14:paraId="7EAFEF40" w14:textId="77777777" w:rsidR="00E4424D" w:rsidRDefault="00E4424D" w:rsidP="00E4424D">
      <w:pPr>
        <w:pStyle w:val="ListParagraph"/>
        <w:rPr>
          <w:szCs w:val="24"/>
        </w:rPr>
      </w:pPr>
    </w:p>
    <w:p w14:paraId="6DA13136" w14:textId="4C97B179" w:rsidR="003C33B1" w:rsidRPr="00E4424D" w:rsidRDefault="00181BB0" w:rsidP="00E4424D">
      <w:pPr>
        <w:pStyle w:val="ListParagraph"/>
        <w:spacing w:after="240"/>
        <w:ind w:left="1080"/>
        <w:jc w:val="both"/>
        <w:rPr>
          <w:szCs w:val="24"/>
        </w:rPr>
      </w:pPr>
      <w:r>
        <w:lastRenderedPageBreak/>
        <w:t>Ha igen, kérjük, adjon tájékoztatást a még visszafizetendő támogatási összegről, hogy a Bizottság figyelembe vehesse a támogatási intézkedés(ek) értékelésében:</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Kérjük, erősítse meg, hogy az intézkedés(ek) nem tartalmaz(nak) az iránymutatás hatályán kívüli tevékenységekhez nyújtott támogatást (lásd az iránymutatás 13. pontját). Ellenkező esetben adjon részletes magyarázatot:</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Költségvetés és az intézkedés(ek) finanszírozása.</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Amennyiben az általános adatlap (I. rész) 7.1. szakaszában még nem szerepel, kérjük, adja meg az intézkedés(ek) teljes időtartamára vonatkozó éves és/vagy teljes költségvetést. Ha a teljes költségvetés nem ismert (például azért, mert pályázatok eredményétől függ), kérjük, becsült költségvetést tüntessen fel, megjelölve a kiszámításához felhasznált feltételezéseket</w:t>
      </w:r>
      <w:r w:rsidR="00A53EBB" w:rsidRPr="00AC286A">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2805D79"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Az intézkedés adójellegű díjból történő finanszírozása esetén kérjük, tisztázza az alábbiakat:</w:t>
      </w:r>
      <w:bookmarkEnd w:id="3"/>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Az adójellegű díjat jogszabály vagy egyéb jogalkotási aktus állapítja-e meg. Ha igen, kérjük, adja meg a jogi aktust, annak számát, elfogadásának és hatálybalépésének időpontját, valamint a jogi aktusra mutató internetes hivatkozást:</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Az adójellegű díjat egyformán szabják-e ki hazai és importált termékekre:</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A bejelentett intézkedés hazai és importált termékek számára egyformán előnyös-e:</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Az adójellegű díj teljes egészében vagy csak részben finanszírozza-e az intézkedést. Ha az adójellegű díj csak részben finanszírozza az intézkedést, tüntesse fel az intézkedés finanszírozásához igénybe vett egyéb forrásokat és azok arányát:</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A bejelentett intézkedést finanszírozó adójellegű díj egyúttal más támogatási intézkedéseket is finanszíroz-e. Ha igen, adja meg az adott adójellegű díjjal finanszírozott többi támogatási intézkedést is:</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B. szakasz: A támogatás összeegyeztethetőségének értékelése</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Pozitív feltétel: a támogatásnak elő kell segítenie valamely gazdasági tevékenység fejlődését</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Valamely gazdasági tevékenység fejlődésének előmozdítása</w:t>
            </w:r>
          </w:p>
        </w:tc>
      </w:tr>
    </w:tbl>
    <w:p w14:paraId="1E2599D2" w14:textId="418EE816" w:rsidR="000442F5" w:rsidRPr="00DB40A5" w:rsidRDefault="000442F5" w:rsidP="000442F5">
      <w:pPr>
        <w:spacing w:before="360" w:after="120"/>
        <w:jc w:val="both"/>
        <w:rPr>
          <w:i/>
        </w:rPr>
      </w:pPr>
      <w:r>
        <w:rPr>
          <w:i/>
        </w:rPr>
        <w:t>Az e szakaszban kért információk közlésével kapcsolatban lásd az iránymutatás 3.1.1. szakaszát (23–25. pontját), valamint 4.5.1. szakaszát (253-254. pontját) és 4.5.2. szakaszát (255–259. pontját).</w:t>
      </w:r>
    </w:p>
    <w:p w14:paraId="05FCD0A3" w14:textId="226A7B05" w:rsidR="00864DCD" w:rsidRPr="00DB40A5" w:rsidRDefault="006B6657" w:rsidP="00C52CFD">
      <w:pPr>
        <w:pStyle w:val="ListParagraph"/>
        <w:numPr>
          <w:ilvl w:val="0"/>
          <w:numId w:val="4"/>
        </w:numPr>
        <w:spacing w:before="120" w:after="120"/>
        <w:ind w:left="567" w:hanging="567"/>
        <w:contextualSpacing w:val="0"/>
        <w:jc w:val="both"/>
      </w:pPr>
      <w:r>
        <w:t xml:space="preserve">Az Európai Unió működéséről szóló szerződés (EUMSZ) 107. cikke (3) bekezdésének c) pontja kimondja, hogy a Bizottság a belső piaccal összeegyeztethetőnek tekintheti azt a támogatást, amely </w:t>
      </w:r>
      <w:r>
        <w:rPr>
          <w:i/>
        </w:rPr>
        <w:t>„egyes gazdasági tevékenységek vagy gazdasági területek fejlődését előmozdító támogatás, amennyiben az ilyen támogatás nem befolyásolja hátrányosan a kereskedelmi feltételeket a közös érdekkel ellentétes mértékben”</w:t>
      </w:r>
      <w:r>
        <w:t>. Ezért azoknak a támogatásoknak, amelyek az EUMSZ e rendelkezése szerint összeegyeztethetőnek minősülnek, elő kell mozdítaniuk valamely gazdasági tevékenység fejlődését.</w:t>
      </w:r>
    </w:p>
    <w:p w14:paraId="1D59B711" w14:textId="69FE3F4A" w:rsidR="002A11D4" w:rsidRDefault="00E75ECB" w:rsidP="00864DCD">
      <w:pPr>
        <w:pStyle w:val="ListParagraph"/>
        <w:spacing w:before="120" w:after="120"/>
        <w:ind w:left="567"/>
        <w:contextualSpacing w:val="0"/>
        <w:jc w:val="both"/>
      </w:pPr>
      <w:r>
        <w:t>Az iránymutatás 23. pontjának való megfelelés értékelése céljából kérjük, jelölje meg azokat a gazdasági tevékenységeket, amelyeket a támogatás eredményeként előmozdítanak, és azt, hogy ezzel miként támogatják e tevékenységek fejlődését.</w:t>
      </w:r>
    </w:p>
    <w:p w14:paraId="43E4572F" w14:textId="77777777" w:rsidR="000442F5" w:rsidRPr="00864DCD" w:rsidRDefault="000442F5" w:rsidP="000442F5">
      <w:pPr>
        <w:tabs>
          <w:tab w:val="left" w:leader="dot" w:pos="9072"/>
        </w:tabs>
        <w:spacing w:before="120" w:after="120"/>
        <w:ind w:left="567"/>
        <w:jc w:val="both"/>
      </w:pPr>
      <w:r>
        <w:tab/>
      </w:r>
    </w:p>
    <w:p w14:paraId="664B5453" w14:textId="59CED6DE" w:rsidR="00622FDD" w:rsidRDefault="00622FDD" w:rsidP="00C47CAC">
      <w:pPr>
        <w:pStyle w:val="ListParagraph"/>
        <w:numPr>
          <w:ilvl w:val="0"/>
          <w:numId w:val="4"/>
        </w:numPr>
        <w:spacing w:before="120" w:after="120"/>
        <w:ind w:left="567" w:hanging="567"/>
        <w:contextualSpacing w:val="0"/>
        <w:jc w:val="both"/>
      </w:pPr>
      <w:r>
        <w:t xml:space="preserve">Az iránymutatás 25. pontjának való megfelelés értékelése céljából kérjük „ismertesse, </w:t>
      </w:r>
      <w:r>
        <w:rPr>
          <w:i/>
        </w:rPr>
        <w:t>hogy a támogatás az uniós éghajlat-politika, a környezetvédelmi politika és az energiapolitika célkitűzéseinek eléréséhez hozzájárul-e és miként, és konkrétabban a támogatás környezetvédelemhez – ideértve az éghajlatváltozás mérséklését, vagy a belső energiapiac hatékony működését – való érdemi hozzájárulás szempontjából várható előnyeit”</w:t>
      </w:r>
      <w:r>
        <w:t>.</w:t>
      </w:r>
    </w:p>
    <w:p w14:paraId="6AB99B07" w14:textId="77777777" w:rsidR="002D3097" w:rsidRDefault="002D3097" w:rsidP="002D3097">
      <w:pPr>
        <w:tabs>
          <w:tab w:val="left" w:leader="dot" w:pos="9072"/>
        </w:tabs>
        <w:spacing w:before="120" w:after="120"/>
        <w:ind w:left="567"/>
        <w:jc w:val="both"/>
      </w:pPr>
      <w:r>
        <w:tab/>
      </w:r>
    </w:p>
    <w:p w14:paraId="22490633" w14:textId="6F15EC72" w:rsidR="00BE3AB2" w:rsidRDefault="00622FDD" w:rsidP="002D3097">
      <w:pPr>
        <w:pStyle w:val="ListParagraph"/>
        <w:numPr>
          <w:ilvl w:val="0"/>
          <w:numId w:val="4"/>
        </w:numPr>
        <w:spacing w:before="120" w:after="120"/>
        <w:ind w:left="567" w:hanging="567"/>
        <w:contextualSpacing w:val="0"/>
        <w:jc w:val="both"/>
      </w:pPr>
      <w:r>
        <w:t>Ezenkívül kérjük, ismertesse, milyen mértékben kapcsolódik a támogatás az iránymutatás 253–254. pontjában ismertetett szakpolitikákhoz.</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Kérjük, ismertesse a kedvezményezett(ek)re vonatkozó támogathatósági követelményeket (például megadva bármilyen műszaki, környezetvédelmi [vagyis engedélyek], pénzügyi [vagyis biztosítékok] vagy egyéb követelményt, amelyet a kedvezményezett köteles/a kedvezményezettek kötelesek teljesíteni).</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Kérjük, hogy az iránymutatás 4.5.2. szakasza (255–259. pontja) szerint adjon tájékoztatást a támogatási intézkedés(ek) pontos hatályáról és az általa/általuk támogatott tevékenységekről. Kérjük, tüntesse fel, hogy a következő beruházási kategóriák közül melyek támogathatók a támogatási intézkedés keretében:</w:t>
      </w:r>
    </w:p>
    <w:p w14:paraId="7A4CF759" w14:textId="371CBD89" w:rsidR="0073048C" w:rsidRDefault="00021C73" w:rsidP="00451471">
      <w:pPr>
        <w:pStyle w:val="ListParagraph"/>
        <w:numPr>
          <w:ilvl w:val="1"/>
          <w:numId w:val="4"/>
        </w:numPr>
        <w:spacing w:before="120" w:after="120"/>
        <w:ind w:left="1276" w:hanging="567"/>
        <w:contextualSpacing w:val="0"/>
        <w:jc w:val="both"/>
      </w:pPr>
      <w:r>
        <w:lastRenderedPageBreak/>
        <w:t>Olyan beruházások, amelyek lehetővé teszik a vállalkozások számára az üvegházhatású gázoktól eltérő szennyezés megelőzését vagy csökkentését az uniós környezetvédelmi szabványok túlteljesítésével.</w:t>
      </w:r>
    </w:p>
    <w:p w14:paraId="291F9177" w14:textId="07226D94" w:rsidR="0073048C" w:rsidRDefault="00021C73" w:rsidP="00451471">
      <w:pPr>
        <w:pStyle w:val="ListParagraph"/>
        <w:numPr>
          <w:ilvl w:val="1"/>
          <w:numId w:val="4"/>
        </w:numPr>
        <w:spacing w:before="120" w:after="120"/>
        <w:ind w:left="1276" w:hanging="567"/>
        <w:contextualSpacing w:val="0"/>
        <w:jc w:val="both"/>
      </w:pPr>
      <w:r>
        <w:t>Olyan beruházások, amelyek lehetővé teszik a vállalkozások számára az üvegházhatású gázoktól eltérő szennyezés megelőzését vagy csökkentését uniós szabványok hiányában.</w:t>
      </w:r>
    </w:p>
    <w:p w14:paraId="526FF31D" w14:textId="64A00ECD" w:rsidR="009E5AE0" w:rsidRDefault="00021C73" w:rsidP="00451471">
      <w:pPr>
        <w:pStyle w:val="ListParagraph"/>
        <w:numPr>
          <w:ilvl w:val="1"/>
          <w:numId w:val="4"/>
        </w:numPr>
        <w:spacing w:before="120" w:after="120"/>
        <w:ind w:left="1276" w:hanging="567"/>
        <w:contextualSpacing w:val="0"/>
        <w:jc w:val="both"/>
      </w:pPr>
      <w:r>
        <w:t>Olyan beruházások, amelyek lehetővé teszik a vállalkozások számára, hogy megfeleljenek a már elfogadott, de még nem hatályos uniós szabványoknak.</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Amennyiben a támogatást kibocsátáskereskedelmi egységek</w:t>
      </w:r>
      <w:r w:rsidR="009204DA">
        <w:rPr>
          <w:rStyle w:val="FootnoteReference"/>
          <w:lang w:eastAsia="en-GB"/>
        </w:rPr>
        <w:footnoteReference w:id="5"/>
      </w:r>
      <w:r>
        <w:t xml:space="preserve"> formájában nyújtják:</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Kérjük, ismertesse részletesen a kibocsátáskereskedelmi egységek rendszerét, ideértve többek között a célkitűzéseket, a támogatás nyújtásának módszerét, az érintett hatóságokat vagy szervezeteket, az állam szerepét, a kedvezményezetteket és az eljárási szempontokat.</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Kérjük, ismertesse, hogy a kibocsátáskereskedelmi rendszer kialakítása hogyan biztosítja a szennyezés olyan mértékű megelőzését vagy csökkentését, amely túlteljesíti az érintett vállalkozások számára kötelező uniós környezetvédelmi szabványokban előírt szintet.</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Kérjük, erősítse meg, hogy a támogatás a kedvezményezett(ek) saját tevékenységeihez közvetlenül kapcsolódó szennyezés megelőzésére vagy csökkentésére irányul.</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Kérjük, ismertesse, hogyan fogják biztosítani, hogy a támogatás ne eredményezze pusztán a szennyezés áthelyezését egyik ágazatból, illetve egyik környezeti közegből egy másikba, és hogy összességében csökkenteni fogja a szennyezést.</w:t>
      </w:r>
    </w:p>
    <w:p w14:paraId="1ADC83DF" w14:textId="48E916E8" w:rsidR="008A47DB" w:rsidRDefault="008A47DB" w:rsidP="00C47CAC">
      <w:pPr>
        <w:tabs>
          <w:tab w:val="left" w:leader="dot" w:pos="9072"/>
        </w:tabs>
        <w:spacing w:before="120" w:after="120"/>
        <w:ind w:left="567"/>
        <w:jc w:val="both"/>
      </w:pPr>
      <w:r>
        <w:tab/>
      </w:r>
    </w:p>
    <w:p w14:paraId="6B5B3820" w14:textId="6B64CD19" w:rsidR="004428D6" w:rsidRPr="002C79ED" w:rsidRDefault="004428D6" w:rsidP="004428D6">
      <w:pPr>
        <w:pStyle w:val="ListParagraph"/>
        <w:numPr>
          <w:ilvl w:val="0"/>
          <w:numId w:val="4"/>
        </w:numPr>
        <w:spacing w:before="120" w:after="120"/>
        <w:ind w:left="567" w:hanging="567"/>
        <w:jc w:val="both"/>
      </w:pPr>
      <w:r>
        <w:t>Különösen a csak korlátozott számú kedvezményezettre vagy már piacon lévő kedvezményezettre irányuló olyan egyedi támogatási intézkedések vagy támogatási programok esetében, amelyek célja az üvegházhatású gázoktól eltérő szennyezésük csökkentése, kérjük, számszerűsítse az intézkedéstől várt kibocsátás-/szennyezőanyag-csökkentést, és ismertesse a számszerűsítésükhöz alkalmazott módszert.</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Kérjük, tüntesse fel, hogy a támogatási intézkedés hozzájárul-e az üvegházhatásúgáz-kibocsátás megelőzéséhez vagy csökkentéséhez is.</w:t>
      </w:r>
    </w:p>
    <w:p w14:paraId="14FEE27F" w14:textId="31209AEC" w:rsidR="008A47DB" w:rsidRDefault="00BE3AB2" w:rsidP="00644D98">
      <w:pPr>
        <w:pStyle w:val="ListParagraph"/>
        <w:spacing w:before="120" w:after="120"/>
        <w:ind w:left="567"/>
        <w:contextualSpacing w:val="0"/>
        <w:jc w:val="both"/>
      </w:pPr>
      <w:r>
        <w:t>Ha igen, kérjük, hogy hiteles és részletes számszerűsítések alapján hasonlítsa össze az intézkedés várható eredményeit az üvegházhatásúgáz-kibocsátás és más szennyező anyagok kibocsátásának megelőzése vagy csökkentése tekintetében.</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lastRenderedPageBreak/>
        <w:t>Ha a támogatási intézkedés elsődleges célja az üvegházhatásúgáz-kibocsátás megelőzése vagy csökkentése, kérjük, használja a 4.1. szakaszhoz tartozó kiegészítő adatlapot, mivel az intézkedés összeegyeztethetőségének értékelése a 4.1. szakasz alapján fog történni. Ha azonban az intézkedés elsődleges célja az üvegházhatást okozó gázoktól eltérő szennyezés megelőzése vagy csökkentése, akkor az intézkedés értékelése a 4.5. szakasz (az iránymutatás 259. pontja) alapján fog történni.</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Ösztönző hatás</w:t>
            </w:r>
          </w:p>
        </w:tc>
      </w:tr>
    </w:tbl>
    <w:p w14:paraId="20915284" w14:textId="151D373D" w:rsidR="00015E2B" w:rsidRPr="00A05235" w:rsidRDefault="00B15313" w:rsidP="00015E2B">
      <w:pPr>
        <w:spacing w:before="360" w:after="120"/>
        <w:jc w:val="both"/>
        <w:rPr>
          <w:i/>
        </w:rPr>
      </w:pPr>
      <w:r>
        <w:rPr>
          <w:i/>
        </w:rPr>
        <w:t>Az e szakaszban kért információk közlésével kapcsolatban lásd az iránymutatás 3.1.2. szakaszát (26–32. pontját) és 4.5.3. szakaszát (260–262. pontját).</w:t>
      </w:r>
    </w:p>
    <w:p w14:paraId="1EB5279D" w14:textId="5B28C0BD" w:rsidR="00210BE0" w:rsidRPr="00864DCD" w:rsidRDefault="004B676F" w:rsidP="00560BD5">
      <w:pPr>
        <w:pStyle w:val="ListParagraph"/>
        <w:numPr>
          <w:ilvl w:val="0"/>
          <w:numId w:val="4"/>
        </w:numPr>
        <w:spacing w:before="120" w:after="120"/>
        <w:ind w:left="567" w:hanging="567"/>
        <w:contextualSpacing w:val="0"/>
        <w:jc w:val="both"/>
      </w:pPr>
      <w:r>
        <w:t>A támogatás csak akkor minősül gazdasági tevékenységet elősegítőnek, ha ösztönző hatása van. Az iránymutatás 26. pontjának való megfelelés értékelése céljából kérjük, ismertesse, hogy az intézkedés(ek)</w:t>
      </w:r>
      <w:r w:rsidR="00F9100A">
        <w:t xml:space="preserve"> </w:t>
      </w:r>
      <w:r>
        <w:rPr>
          <w:i/>
        </w:rPr>
        <w:t>„hogyan sarkallja/sarkallják arra a kedvezményezettet, hogy változtassa meg magatartását, folytasson olyan további vagy környezetbarátabb gazdasági tevékenységet, amelyet támogatás nélkül nem vagy korlátozottan vagy más módon végezne”</w:t>
      </w:r>
      <w:r>
        <w:t>.</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Az iránymutatás 28. pontja alapján:</w:t>
      </w:r>
      <w:bookmarkEnd w:id="4"/>
    </w:p>
    <w:p w14:paraId="7E7CF517" w14:textId="4721AA79" w:rsidR="00F05E31" w:rsidRDefault="00AE74BC" w:rsidP="00EF6E64">
      <w:pPr>
        <w:pStyle w:val="ListParagraph"/>
        <w:numPr>
          <w:ilvl w:val="5"/>
          <w:numId w:val="34"/>
        </w:numPr>
        <w:spacing w:before="120" w:after="120"/>
        <w:ind w:left="993" w:hanging="426"/>
        <w:contextualSpacing w:val="0"/>
        <w:jc w:val="both"/>
      </w:pPr>
      <w:r>
        <w:t>Kérjük, részletesen ismertesse a támogatási intézkedés eredményeként várt tényleges helyzetet és a támogatás nélküli, valószínű kontrafaktuális forgatókönyv(ek)et</w:t>
      </w:r>
      <w:r w:rsidR="007F5A4A" w:rsidRPr="00574891">
        <w:rPr>
          <w:vertAlign w:val="superscript"/>
        </w:rPr>
        <w:footnoteReference w:id="6"/>
      </w:r>
      <w:r>
        <w:t>. Ha várhatóan különböző kategóriákba tartozó kedvezményezettek lesznek támogathatók, kérjük, biztosítsa, hogy a kontrafaktuális forgatókönyv mindegyik ilyen kategória esetében hihető legyen.</w:t>
      </w:r>
      <w:bookmarkEnd w:id="5"/>
    </w:p>
    <w:p w14:paraId="36B6033F" w14:textId="4C0532DC" w:rsidR="00494C68" w:rsidRPr="00E374B9" w:rsidRDefault="00E374B9" w:rsidP="00F05E31">
      <w:pPr>
        <w:pStyle w:val="ListParagraph"/>
        <w:spacing w:before="120" w:after="120"/>
        <w:ind w:left="993"/>
        <w:contextualSpacing w:val="0"/>
        <w:jc w:val="both"/>
      </w:pPr>
      <w:r>
        <w:t xml:space="preserve">Kérjük, vegye figyelembe </w:t>
      </w:r>
      <w:bookmarkStart w:id="6" w:name="_Ref116917289"/>
      <w:r>
        <w:t>az iránymutatás 266. és 226–230. pontjában a kontrafaktuális forgatókönyvre vonatkozóan meghatározott követelményeket, nevezetesen:</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A kontrafaktuális forgatókönyv általában egy olyan beruházásnak felel meg, amelynek kapacitása, élettartama és adott esetben más releváns műszaki jellemzői is megegyeznek a környezetbarát beruházáséval, azonban alacsonyabb szintű környezetvédelmet eredményez.</w:t>
      </w:r>
    </w:p>
    <w:p w14:paraId="689CD081" w14:textId="5FF3B897" w:rsidR="00780A9F" w:rsidRPr="006E6B4D" w:rsidRDefault="00DB54D4" w:rsidP="00A40CD8">
      <w:pPr>
        <w:pStyle w:val="ListParagraph"/>
        <w:numPr>
          <w:ilvl w:val="1"/>
          <w:numId w:val="4"/>
        </w:numPr>
        <w:spacing w:before="120" w:after="120"/>
        <w:ind w:left="1418" w:hanging="425"/>
        <w:contextualSpacing w:val="0"/>
        <w:jc w:val="both"/>
      </w:pPr>
      <w:r>
        <w:t>Másfelől a kontrafaktuális forgatókönyv a következő forgatókönyvek egyikének is megfelelhet:</w:t>
      </w:r>
    </w:p>
    <w:p w14:paraId="74EED86D" w14:textId="522BD070" w:rsidR="00494C68" w:rsidRPr="00E374B9" w:rsidRDefault="00494C68" w:rsidP="00B82F95">
      <w:pPr>
        <w:pStyle w:val="ListParagraph"/>
        <w:numPr>
          <w:ilvl w:val="1"/>
          <w:numId w:val="39"/>
        </w:numPr>
        <w:spacing w:before="120" w:after="120"/>
        <w:contextualSpacing w:val="0"/>
        <w:jc w:val="both"/>
      </w:pPr>
      <w:r>
        <w:t>A meglévő létesítményeket vagy berendezéseket tovább üzemeltetik a környezetbarát beruházás élettartamának megfelelő időn át. Ebben az esetben figyelembe kell venni az adott időszakban felmerült, diszkontált karbantartási, javítási és korszerűsítési költségeket (az iránymutatás 227. pontja).</w:t>
      </w:r>
    </w:p>
    <w:p w14:paraId="4DB35D28" w14:textId="724607C2" w:rsidR="00494C68" w:rsidRPr="00E374B9" w:rsidRDefault="00494C68" w:rsidP="00B82F95">
      <w:pPr>
        <w:pStyle w:val="ListParagraph"/>
        <w:numPr>
          <w:ilvl w:val="1"/>
          <w:numId w:val="39"/>
        </w:numPr>
        <w:spacing w:before="120" w:after="120"/>
        <w:contextualSpacing w:val="0"/>
        <w:jc w:val="both"/>
      </w:pPr>
      <w:r>
        <w:t>A létesítmények vagy berendezések későbbi lecserélése. Ebben az esetben figyelembe kell venni a létesítmények vagy berendezések diszkontált értékét, és ki kell egyenlíteni a berendezések gazdasági élettartamának különbségét, az iránymutatás 228. pontjával összhangban.</w:t>
      </w:r>
    </w:p>
    <w:p w14:paraId="4CFA180B" w14:textId="391048A9" w:rsidR="00494C68" w:rsidRPr="00E374B9" w:rsidRDefault="00494C68" w:rsidP="00B82F95">
      <w:pPr>
        <w:pStyle w:val="ListParagraph"/>
        <w:numPr>
          <w:ilvl w:val="1"/>
          <w:numId w:val="39"/>
        </w:numPr>
        <w:spacing w:before="120" w:after="120"/>
        <w:contextualSpacing w:val="0"/>
        <w:jc w:val="both"/>
      </w:pPr>
      <w:r>
        <w:lastRenderedPageBreak/>
        <w:t>Kevésbé környezetbarát berendezés lízingje, amelyet a támogatás hiányában használnának. Ebben az esetben a kevésbé környezetbarát berendezés lízingjének diszkontált értékét kell figyelembe venni, az iránymutatás 229. pontjával összhangban.</w:t>
      </w:r>
    </w:p>
    <w:p w14:paraId="62D61257" w14:textId="4AF52A55" w:rsidR="00494C68" w:rsidRPr="00E374B9" w:rsidRDefault="00494C68" w:rsidP="00B82F95">
      <w:pPr>
        <w:pStyle w:val="ListParagraph"/>
        <w:numPr>
          <w:ilvl w:val="1"/>
          <w:numId w:val="39"/>
        </w:numPr>
        <w:spacing w:before="120" w:after="120"/>
        <w:contextualSpacing w:val="0"/>
        <w:jc w:val="both"/>
      </w:pPr>
      <w:r>
        <w:t>Alternatív projekt hiánya, különösen abban az esetben, amikor a támogatott beruházás a meglévő létesítmények, berendezések vagy felszerelések létesítményekkel vagy berendezésekkel való kiegészítéséből áll.</w:t>
      </w:r>
    </w:p>
    <w:bookmarkEnd w:id="6"/>
    <w:p w14:paraId="6257C278" w14:textId="3A65DB44" w:rsidR="00CC7B7B" w:rsidRPr="00CC7B7B" w:rsidRDefault="00CC7B7B" w:rsidP="00CC7B7B">
      <w:pPr>
        <w:pStyle w:val="ListParagraph"/>
        <w:spacing w:before="120" w:after="120"/>
        <w:ind w:left="1418"/>
        <w:contextualSpacing w:val="0"/>
        <w:jc w:val="both"/>
      </w:pPr>
      <w:r>
        <w:t>A tényleges forgatókönyv és a valószínű kontrafaktuális forgatókönyv(ek) ismertetésekor kérjük, tüntesse fel a beruházás kapacitását, élettartamát és egyéb műszaki jellemzőit mind a tényleges, mind a kontrafaktuális forgatókönyv(ek) tekintetében.</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Kérjük, röviden ismertesse a valószínű kontrafaktuális forgatókönyv(ek) kiválasztásának okait a tervezett különböző kedvezményezetti kategóriák esetében.</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Kérjük, számszerűsítse a tényleges és a kontrafaktuális forgatókönyvek tekintetében a költségeket és a bevételeket, valamint adott esetben a kedvezményezettek minden egyes kategóriája esetében indokolja a magatartásváltozást az alábbiak alapján:</w:t>
      </w:r>
    </w:p>
    <w:p w14:paraId="10227AFD" w14:textId="7099981E" w:rsidR="002158CE" w:rsidRDefault="00BF736D" w:rsidP="00B82F95">
      <w:pPr>
        <w:pStyle w:val="ListParagraph"/>
        <w:numPr>
          <w:ilvl w:val="0"/>
          <w:numId w:val="23"/>
        </w:numPr>
        <w:spacing w:before="120" w:after="120"/>
        <w:ind w:left="1276" w:hanging="284"/>
        <w:contextualSpacing w:val="0"/>
        <w:jc w:val="both"/>
      </w:pPr>
      <w:r>
        <w:t>Az adott referenciaprojekt</w:t>
      </w:r>
      <w:r w:rsidRPr="00BD16E2">
        <w:rPr>
          <w:rStyle w:val="FootnoteReference"/>
        </w:rPr>
        <w:footnoteReference w:id="7"/>
      </w:r>
      <w:r>
        <w:t>, a vonatkozó kontrafaktuális forgatókönyvek és az azokból eredő finanszírozási hiány,</w:t>
      </w:r>
    </w:p>
    <w:p w14:paraId="2B4E89F9" w14:textId="77777777" w:rsidR="002158CE" w:rsidRPr="00B70424" w:rsidRDefault="002158CE" w:rsidP="002158CE">
      <w:pPr>
        <w:pStyle w:val="ListParagraph"/>
        <w:spacing w:before="120" w:after="120"/>
        <w:ind w:left="949"/>
        <w:contextualSpacing w:val="0"/>
        <w:jc w:val="both"/>
        <w:rPr>
          <w:i/>
          <w:iCs/>
        </w:rPr>
      </w:pPr>
      <w:r>
        <w:rPr>
          <w:i/>
        </w:rPr>
        <w:t>VAGY</w:t>
      </w:r>
    </w:p>
    <w:p w14:paraId="6E21EA8B" w14:textId="3B44DE2A" w:rsidR="00451471" w:rsidRPr="000C7906" w:rsidRDefault="006B45D5" w:rsidP="00B82F95">
      <w:pPr>
        <w:pStyle w:val="ListParagraph"/>
        <w:numPr>
          <w:ilvl w:val="0"/>
          <w:numId w:val="23"/>
        </w:numPr>
        <w:spacing w:before="120" w:after="120"/>
        <w:ind w:left="1276" w:hanging="284"/>
        <w:contextualSpacing w:val="0"/>
        <w:jc w:val="both"/>
      </w:pPr>
      <w:r>
        <w:t>Piaci tanulmányokon, befektetői terveken, pénzügyi jelentéseken vagy más mennyiségi bizonyítékokon alapuló releváns kvantitatív bizonyítékok, beleértve a hasonló projektekre a közelmúltbeli összehasonlítható versenyeztetéses ajánlattételi eljárások során tett ajánlatokat</w:t>
      </w:r>
      <w:r w:rsidRPr="002158CE">
        <w:rPr>
          <w:vertAlign w:val="superscript"/>
          <w:lang w:eastAsia="en-GB"/>
        </w:rPr>
        <w:footnoteReference w:id="8"/>
      </w:r>
      <w:r>
        <w:t>:</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Az iránymutatás 29. és 31. pontjának való megfelelés igazolása céljából:</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Kérjük, erősítse meg, hogy a projekttel vagy a tevékenységgel kapcsolatos munkálatok nem kezdődtek meg már azt megelőzően, hogy a kedvezményezett a nemzeti hatóságokhoz támogatás iránti írásbeli kérelmet nyújtott be.</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VAGY</w:t>
      </w:r>
    </w:p>
    <w:p w14:paraId="0252AF86" w14:textId="7B656BC6" w:rsidR="000442F5" w:rsidRPr="00471B74" w:rsidRDefault="00FE5362" w:rsidP="00B82F95">
      <w:pPr>
        <w:pStyle w:val="ListParagraph"/>
        <w:numPr>
          <w:ilvl w:val="0"/>
          <w:numId w:val="40"/>
        </w:numPr>
        <w:spacing w:before="120" w:after="120"/>
        <w:ind w:left="1276" w:hanging="283"/>
        <w:contextualSpacing w:val="0"/>
        <w:jc w:val="both"/>
      </w:pPr>
      <w:r>
        <w:lastRenderedPageBreak/>
        <w:t>A támogatás iránti kérelem benyújtása előtt megkezdett projektek esetében kérjük, bizonyítsa, hogy a projektre az iránymutatás 31. pontjában meghatározott kivételes esetek egyike ((a), b) vagy c) alpont) vonatkozik.</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Az iránymutatás 30. pontjának való megfelelés igazolása céljából kérjük, erősítse meg, hogy a támogatási kérelem tartalmazza legalább a pályázó nevét, a projekt vagy tevékenység leírását, beleértve annak helyét és a megvalósításához szükséges támogatás összegét.</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Az iránymutatás 32., 261. és 262. pontjának való megfelelés igazolása céljából:</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Kérjük, tüntesse fel, ha vannak a bejelentett intézkedés(ek)re vonatkozó uniós szabványok</w:t>
      </w:r>
      <w:r w:rsidR="005B7DF0">
        <w:rPr>
          <w:rStyle w:val="FootnoteReference"/>
          <w:lang w:val="en-IE" w:eastAsia="en-GB"/>
        </w:rPr>
        <w:footnoteReference w:id="9"/>
      </w:r>
      <w:r>
        <w:t>, a megfelelő uniós szabványoknál szigorúbb vagy ambiciózusabb, kötelező nemzeti szabványok, illetve uniós szabványok hiányában elfogadott kötelező nemzeti szabványok.</w:t>
      </w:r>
    </w:p>
    <w:p w14:paraId="5CE9EEA0" w14:textId="681079C8" w:rsidR="009B2A4B" w:rsidRPr="00864350" w:rsidRDefault="00D039B4" w:rsidP="007947ED">
      <w:pPr>
        <w:pStyle w:val="ListParagraph"/>
        <w:tabs>
          <w:tab w:val="left" w:pos="1134"/>
        </w:tabs>
        <w:spacing w:before="120" w:after="120"/>
        <w:ind w:left="1276"/>
        <w:contextualSpacing w:val="0"/>
        <w:jc w:val="both"/>
      </w:pPr>
      <w:r>
        <w:t>Ezzel összefüggésben kérjük, adjon információt az ösztönző hatás fennállásának bizonyításához.</w:t>
      </w:r>
    </w:p>
    <w:p w14:paraId="0E3763A8" w14:textId="17FA829E" w:rsidR="0025374D" w:rsidRPr="00471B74" w:rsidRDefault="00300D5F" w:rsidP="00424B44">
      <w:pPr>
        <w:tabs>
          <w:tab w:val="left" w:leader="dot" w:pos="9072"/>
        </w:tabs>
        <w:spacing w:before="120" w:after="120"/>
        <w:ind w:left="567"/>
        <w:jc w:val="both"/>
      </w:pPr>
      <w:r>
        <w:tab/>
      </w:r>
    </w:p>
    <w:p w14:paraId="175931F9" w14:textId="5B1CDD5F" w:rsidR="00C86C53" w:rsidRDefault="00DF0130" w:rsidP="00B82F95">
      <w:pPr>
        <w:pStyle w:val="ListParagraph"/>
        <w:numPr>
          <w:ilvl w:val="0"/>
          <w:numId w:val="41"/>
        </w:numPr>
        <w:tabs>
          <w:tab w:val="left" w:pos="1134"/>
        </w:tabs>
        <w:spacing w:before="120" w:after="120"/>
        <w:ind w:left="1276" w:hanging="283"/>
        <w:contextualSpacing w:val="0"/>
        <w:jc w:val="both"/>
      </w:pPr>
      <w:r>
        <w:t>Azokban az esetekben, amikor a vonatkozó uniós szabványt már elfogadták, de még nem lépett hatályba, kérjük, bizonyítsa, hogy a támogatásnak ösztönző hatása van, mert ösztönzi a beruházásnak a szabvány hatálybalépése előtt legalább 18 hónappal történő megvalósítását és befejezését, összhangban az iránymutatás 262. pontjával.</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Nem sértheti az uniós jog vonatkozó rendelkezéseit</w:t>
            </w:r>
          </w:p>
        </w:tc>
      </w:tr>
    </w:tbl>
    <w:p w14:paraId="665FE026" w14:textId="7D657F0B" w:rsidR="00DE1D68" w:rsidRDefault="00DE1D68" w:rsidP="00DE1D68">
      <w:pPr>
        <w:spacing w:before="360" w:after="120"/>
        <w:jc w:val="both"/>
        <w:rPr>
          <w:i/>
        </w:rPr>
      </w:pPr>
      <w:r>
        <w:rPr>
          <w:i/>
        </w:rPr>
        <w:t>Az e szakaszban kért információk közlésével kapcsolatban lásd az iránymutatás 3.1.3. szakaszát (33. pontját).</w:t>
      </w:r>
    </w:p>
    <w:p w14:paraId="3E98C3D7" w14:textId="29B82232" w:rsidR="00BE702A" w:rsidRDefault="0023543E" w:rsidP="00451471">
      <w:pPr>
        <w:pStyle w:val="ListParagraph"/>
        <w:numPr>
          <w:ilvl w:val="0"/>
          <w:numId w:val="4"/>
        </w:numPr>
        <w:spacing w:before="120" w:after="120"/>
        <w:ind w:left="567" w:hanging="567"/>
        <w:contextualSpacing w:val="0"/>
        <w:jc w:val="both"/>
      </w:pPr>
      <w:r>
        <w:t>Kérjük, hogy az iránymutatás 33. pontjával összhangban adjon tájékoztatást annak megerősítéséhez, hogy az uniós jog vonatkozó rendelkezései teljesülnek.</w:t>
      </w:r>
    </w:p>
    <w:p w14:paraId="1698F3A1" w14:textId="77777777" w:rsidR="00424B44" w:rsidRDefault="00424B44" w:rsidP="00425CC6">
      <w:pPr>
        <w:tabs>
          <w:tab w:val="left" w:leader="dot" w:pos="9072"/>
        </w:tabs>
        <w:spacing w:before="120" w:after="120"/>
        <w:ind w:left="567"/>
        <w:jc w:val="both"/>
        <w:rPr>
          <w:color w:val="000000"/>
        </w:rPr>
      </w:pPr>
      <w:r>
        <w:rPr>
          <w:color w:val="000000"/>
        </w:rP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 xml:space="preserve">Az intézkedés(ek) adójellegű díjból történő finanszírozása esetén kérjük, tisztázza, hogy el kell-e végezni az EUMSZ 30. és 110. cikkének való megfelelés értékelését. Ha igen, </w:t>
      </w:r>
      <w:r>
        <w:lastRenderedPageBreak/>
        <w:t>kérjük, bizonyítsa, miért felel meg az intézkedés az EUMSZ 30. és 110. cikke rendelkezéseinek.</w:t>
      </w:r>
      <w:r>
        <w:rPr>
          <w:i/>
        </w:rPr>
        <w:t xml:space="preserve"> </w:t>
      </w:r>
      <w:r>
        <w:t xml:space="preserve">Ezzel összefüggésben hivatkozni lehet a fenti </w:t>
      </w:r>
      <w:r w:rsidR="00CF64F1" w:rsidRPr="008B0B2B">
        <w:fldChar w:fldCharType="begin"/>
      </w:r>
      <w:r w:rsidR="00CF64F1" w:rsidRPr="008B0B2B">
        <w:instrText xml:space="preserve"> REF _Ref126829229 \w \h </w:instrText>
      </w:r>
      <w:r w:rsidR="008B0B2B">
        <w:instrText xml:space="preserve"> \* MERGEFORMAT </w:instrText>
      </w:r>
      <w:r w:rsidR="00CF64F1" w:rsidRPr="008B0B2B">
        <w:fldChar w:fldCharType="separate"/>
      </w:r>
      <w:r w:rsidR="001565DA" w:rsidRPr="008B0B2B">
        <w:t>5</w:t>
      </w:r>
      <w:r w:rsidR="00CF64F1" w:rsidRPr="008B0B2B">
        <w:fldChar w:fldCharType="end"/>
      </w:r>
      <w:r>
        <w:t xml:space="preserve">. kérdés </w:t>
      </w:r>
      <w:r w:rsidR="00CF64F1" w:rsidRPr="008B0B2B">
        <w:fldChar w:fldCharType="begin"/>
      </w:r>
      <w:r w:rsidR="00CF64F1" w:rsidRPr="008B0B2B">
        <w:instrText xml:space="preserve"> REF _Ref126829235 \w \h </w:instrText>
      </w:r>
      <w:r w:rsidR="008B0B2B">
        <w:instrText xml:space="preserve"> \* MERGEFORMAT </w:instrText>
      </w:r>
      <w:r w:rsidR="00CF64F1" w:rsidRPr="008B0B2B">
        <w:fldChar w:fldCharType="separate"/>
      </w:r>
      <w:r w:rsidR="001565DA" w:rsidRPr="008B0B2B">
        <w:t>ii</w:t>
      </w:r>
      <w:r w:rsidR="00CF64F1" w:rsidRPr="008B0B2B">
        <w:fldChar w:fldCharType="end"/>
      </w:r>
      <w:r>
        <w:t>. alpontjában megadott információkra, amennyiben a bejelentett intézkedés(eke)t adójellegű díjból finanszírozzák.</w:t>
      </w:r>
    </w:p>
    <w:p w14:paraId="54F4831B" w14:textId="69B14E43" w:rsidR="00C501C5"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Negatív feltétel: a támogatás indokolatlanul nem érintheti a kereskedelmi feltételeket a közös érdekkel ellentétes mértékben</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A verseny és a kereskedelem torzulásának minimálisra csökkentése</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A támogatás szükségessége</w:t>
            </w:r>
          </w:p>
          <w:p w14:paraId="5FBF20D3" w14:textId="16263FD7" w:rsidR="00B91C09" w:rsidRPr="00B91C09" w:rsidRDefault="00B91C09" w:rsidP="00B91C09"/>
        </w:tc>
      </w:tr>
    </w:tbl>
    <w:p w14:paraId="3C23674F" w14:textId="39C7BAAA" w:rsidR="00663008" w:rsidRPr="00F83660" w:rsidRDefault="00663008" w:rsidP="00663008">
      <w:pPr>
        <w:spacing w:before="360" w:after="120"/>
        <w:jc w:val="both"/>
        <w:rPr>
          <w:i/>
          <w:color w:val="000000"/>
        </w:rPr>
      </w:pPr>
      <w:r>
        <w:rPr>
          <w:i/>
        </w:rPr>
        <w:t>Az e szakaszban kért információk közlésével kapcsolatban lásd az iránymutatás 3.2.1.1. szakaszát (34–38. pontját) és 4.5.4.1. szakaszát (264. pontját).</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Kérjük, fejtse ki, hogy a magyar hatóságok mely piaci hiányosságo(ka)t tártak fel, amely(ek) akadályozza/akadályozzák a megfelelő szintű környezetvédelem elérését. Kérjük, adja meg, hogy az azonosított piaci hiányosságok melyik kategóriába esnek, hivatkozva az iránymutatás 34. pontjának a), b), c) vagy d) alpontjára.</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 xml:space="preserve">Az iránymutatás 35. pontjával </w:t>
      </w:r>
      <w:r>
        <w:rPr>
          <w:rStyle w:val="normaltextrun"/>
          <w:color w:val="000000"/>
          <w:shd w:val="clear" w:color="auto" w:fill="FFFFFF"/>
        </w:rPr>
        <w:t>összhangban</w:t>
      </w:r>
      <w:r>
        <w:t xml:space="preserve"> kérjük, az alábbiakban adjon tájékoztatást </w:t>
      </w:r>
      <w:r>
        <w:rPr>
          <w:shd w:val="clear" w:color="auto" w:fill="FFFFFF"/>
        </w:rPr>
        <w:t>azokról a meglévő szakpolitikákról és intézkedésekről, amelyeket a magyar hatóságok azonosítottak, és amelyek már az azonosított szabályozási vagy piaci hiányosságok ellen irányulnak.</w:t>
      </w:r>
    </w:p>
    <w:p w14:paraId="1F515EEE" w14:textId="77777777" w:rsidR="00836816" w:rsidRPr="00B547CC" w:rsidRDefault="00836816" w:rsidP="00836816">
      <w:pPr>
        <w:tabs>
          <w:tab w:val="left" w:leader="dot" w:pos="9072"/>
        </w:tabs>
        <w:spacing w:before="120" w:after="120"/>
        <w:ind w:left="567"/>
        <w:jc w:val="both"/>
      </w:pPr>
      <w:r>
        <w:tab/>
      </w:r>
    </w:p>
    <w:p w14:paraId="4143972C" w14:textId="3E50D45D" w:rsidR="00AE4020" w:rsidRPr="00B547CC" w:rsidRDefault="00AE4020" w:rsidP="00451471">
      <w:pPr>
        <w:pStyle w:val="ListParagraph"/>
        <w:numPr>
          <w:ilvl w:val="0"/>
          <w:numId w:val="4"/>
        </w:numPr>
        <w:spacing w:before="120" w:after="120"/>
        <w:ind w:left="567" w:hanging="567"/>
        <w:contextualSpacing w:val="0"/>
        <w:jc w:val="both"/>
      </w:pPr>
      <w:r>
        <w:t>Az iránymutatás 36. pontjának való megfelelés igazolása céljából kérjük, szolgáltasson olyan információkat, amelyek igazolják, hogy a támogatás hatékonyan kezeli a fennmaradó piaci hiányosságokat, figyelembe véve az azonosított piaci hiányosságok némelyikének kezelésére már alkalmazott egyéb szakpolitikákat és intézkedéseket is.</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Az iránymutatás 37. pontjának való megfelelés igazolása </w:t>
      </w:r>
      <w:r>
        <w:rPr>
          <w:color w:val="000000"/>
          <w:shd w:val="clear" w:color="auto" w:fill="FFFFFF"/>
        </w:rPr>
        <w:t>érdekében</w:t>
      </w:r>
      <w:r>
        <w:t xml:space="preserve"> kérjük, fejtse ki, hogy a magyar hatóságok tudomása szerint valósítottak-e már meg a bejelentett intézkedés(ek) </w:t>
      </w:r>
      <w:r>
        <w:rPr>
          <w:color w:val="000000"/>
          <w:shd w:val="clear" w:color="auto" w:fill="FFFFFF"/>
        </w:rPr>
        <w:t>által lefedettekhez</w:t>
      </w:r>
      <w:r>
        <w:t xml:space="preserve"> – </w:t>
      </w:r>
      <w:r>
        <w:rPr>
          <w:color w:val="000000"/>
          <w:shd w:val="clear" w:color="auto" w:fill="FFFFFF"/>
        </w:rPr>
        <w:t>a technológiai tartalom, a kockázati szint és a méret tekintetében – hasonló projekteket vagy tevékenységeket az Unióban piaci feltételek mellett</w:t>
      </w:r>
      <w:r>
        <w:t>. Ha igen, kérjük, támassza alá további bizonyítékokkal az állami támogatás szükségességét.</w:t>
      </w:r>
    </w:p>
    <w:p w14:paraId="61BF0D7C" w14:textId="539EDEFB" w:rsidR="00AE4020" w:rsidRPr="002C6BE5" w:rsidRDefault="004152C3" w:rsidP="004152C3">
      <w:pPr>
        <w:tabs>
          <w:tab w:val="left" w:leader="dot" w:pos="9072"/>
        </w:tabs>
        <w:spacing w:before="120" w:after="120"/>
        <w:ind w:left="567"/>
        <w:jc w:val="both"/>
      </w:pPr>
      <w:r>
        <w:tab/>
      </w:r>
    </w:p>
    <w:p w14:paraId="61F1F1CB" w14:textId="3DEFCE00" w:rsidR="0016585C" w:rsidRPr="00936276" w:rsidRDefault="00D90307" w:rsidP="00451471">
      <w:pPr>
        <w:pStyle w:val="ListParagraph"/>
        <w:numPr>
          <w:ilvl w:val="0"/>
          <w:numId w:val="4"/>
        </w:numPr>
        <w:spacing w:before="120" w:after="120"/>
        <w:ind w:left="567" w:hanging="567"/>
        <w:contextualSpacing w:val="0"/>
        <w:jc w:val="both"/>
      </w:pPr>
      <w:r>
        <w:lastRenderedPageBreak/>
        <w:t>Az iránymutatás 38. pontjának való megfelelés igazolása céljából kérjük, hivatkozzon a fenti 17. kérdésnél már közölt számszerű bizonyítékokra.</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Ha a támogatást kibocsátáskereskedelmi egységek formájában nyújtják, kérjük, bizonyítsa, hogy teljesülnek az iránymutatás 264. pontja szerinti, következő együttes feltételek:</w:t>
      </w:r>
    </w:p>
    <w:p w14:paraId="6A67C252" w14:textId="5E5711BB" w:rsidR="00071540" w:rsidRDefault="00F60556" w:rsidP="00B82F95">
      <w:pPr>
        <w:numPr>
          <w:ilvl w:val="1"/>
          <w:numId w:val="37"/>
        </w:numPr>
        <w:ind w:left="1701" w:hanging="567"/>
      </w:pPr>
      <w:r>
        <w:t>A teljes körű árverés a termelési költségek jelentős növekedését eredményezi minden ágazatban, illetve az egyes kedvezményezettek minden kategóriájában.</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A termelési költségek jelentős növekedését nem lehet áthárítani a fogyasztóra úgy, hogy ez ne eredményezne jelentős értékesítéscsökkenést</w:t>
      </w:r>
      <w:r w:rsidR="003379AF">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33BEA427" w:rsidR="00071540" w:rsidRPr="00B91C09" w:rsidRDefault="00D71E9E" w:rsidP="00B82F95">
      <w:pPr>
        <w:numPr>
          <w:ilvl w:val="1"/>
          <w:numId w:val="37"/>
        </w:numPr>
        <w:ind w:left="1701" w:hanging="567"/>
      </w:pPr>
      <w:r>
        <w:t>Az ágazat egyes vállalkozásainak nincs lehetőségük csökkenteni a kibocsátási szinteket, a tanúsítványok/kibocsátáskereskedelmi egységek költségének olyan szintre csökkentéséhez, amely ezen vállalkozások számára elviselhető. Ez bizonyítható a lehetséges kedvezményezettek kibocsátási szintjének a legjobb teljesítményt biztosító technikával elért kibocsátási szintekkel való összehasonlításával, és annak igazolásával, hogy a nyújtott juttatások szintjét az EGT-ben alkalmazott, legjobb teljesítményt biztosító technika alapján határozták meg.</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Megfelelőség </w:t>
            </w:r>
          </w:p>
        </w:tc>
      </w:tr>
    </w:tbl>
    <w:p w14:paraId="4C2D927B" w14:textId="33AC30F4" w:rsidR="00EA354A" w:rsidRPr="00F83660" w:rsidRDefault="00EA354A" w:rsidP="00EA354A">
      <w:pPr>
        <w:spacing w:before="360" w:after="120"/>
        <w:jc w:val="both"/>
        <w:rPr>
          <w:i/>
          <w:color w:val="000000"/>
        </w:rPr>
      </w:pPr>
      <w:r>
        <w:rPr>
          <w:i/>
        </w:rPr>
        <w:t>Az e szakaszban kért információk közlésével kapcsolatban lásd az iránymutatás 3.2.1.2. szakaszát (39–46. pontját).</w:t>
      </w:r>
    </w:p>
    <w:p w14:paraId="58095579" w14:textId="6FDED0BD" w:rsidR="0004786A" w:rsidRPr="00900825" w:rsidRDefault="0004786A" w:rsidP="00451471">
      <w:pPr>
        <w:pStyle w:val="ListParagraph"/>
        <w:numPr>
          <w:ilvl w:val="0"/>
          <w:numId w:val="4"/>
        </w:numPr>
        <w:spacing w:before="120" w:after="120"/>
        <w:ind w:left="567" w:hanging="567"/>
        <w:contextualSpacing w:val="0"/>
        <w:jc w:val="both"/>
      </w:pPr>
      <w:r>
        <w:t>Az iránymutatás 40. pontjának való megfelelés ellenőrzése céljából kérjük, bizonyítsa, hogy nem állnak rendelkezésre megfelelőbb, kevésbé torzító eszközök.</w:t>
      </w:r>
    </w:p>
    <w:p w14:paraId="7920EB54" w14:textId="77777777" w:rsidR="0004786A" w:rsidRPr="00900825" w:rsidRDefault="0004786A" w:rsidP="0004786A">
      <w:pPr>
        <w:tabs>
          <w:tab w:val="left" w:leader="dot" w:pos="9072"/>
        </w:tabs>
        <w:spacing w:before="120" w:after="120"/>
        <w:ind w:left="360"/>
        <w:jc w:val="both"/>
      </w:pPr>
      <w:r>
        <w:tab/>
      </w:r>
    </w:p>
    <w:p w14:paraId="7DD683CE" w14:textId="1C1E20AA" w:rsidR="00EA354A" w:rsidRPr="00900825" w:rsidRDefault="003D433B" w:rsidP="00451471">
      <w:pPr>
        <w:pStyle w:val="ListParagraph"/>
        <w:numPr>
          <w:ilvl w:val="0"/>
          <w:numId w:val="4"/>
        </w:numPr>
        <w:spacing w:before="120" w:after="120"/>
        <w:ind w:left="567" w:hanging="567"/>
        <w:contextualSpacing w:val="0"/>
        <w:jc w:val="both"/>
      </w:pPr>
      <w:r>
        <w:t>Az iránymutatás 41. pontjának való megfelelés ellenőrzése céljából kérjük, bizonyítsa, hogy a támogatási intézkedést úgy tervezték meg, hogy ne veszélyeztesse az ugyanazon piaci hiányosság orvoslására irányuló egyéb intézkedések – például olyan piaci alapú mechanizmusok, mint az EU ETS – hatékonyságát.</w:t>
      </w:r>
    </w:p>
    <w:p w14:paraId="298B657B" w14:textId="77777777" w:rsidR="00EA354A" w:rsidRPr="00900825" w:rsidRDefault="00EA354A" w:rsidP="00EA354A">
      <w:pPr>
        <w:tabs>
          <w:tab w:val="left" w:leader="dot" w:pos="9072"/>
        </w:tabs>
        <w:spacing w:before="120" w:after="120"/>
        <w:ind w:left="567"/>
        <w:jc w:val="both"/>
      </w:pPr>
      <w:r>
        <w:tab/>
      </w:r>
    </w:p>
    <w:p w14:paraId="5E99B968" w14:textId="4AD7DDA4" w:rsidR="00E02B81" w:rsidRPr="00E80F06" w:rsidRDefault="00E02B81" w:rsidP="00451471">
      <w:pPr>
        <w:pStyle w:val="ListParagraph"/>
        <w:numPr>
          <w:ilvl w:val="0"/>
          <w:numId w:val="4"/>
        </w:numPr>
        <w:spacing w:before="120" w:after="120"/>
        <w:ind w:left="567" w:hanging="567"/>
        <w:contextualSpacing w:val="0"/>
        <w:jc w:val="both"/>
      </w:pPr>
      <w:r>
        <w:t xml:space="preserve">Az iránymutatás 42. pontjának való megfelelés ellenőrzése céljából kérjük, erősítse meg, hogy </w:t>
      </w:r>
      <w:r>
        <w:rPr>
          <w:color w:val="000000"/>
          <w:shd w:val="clear" w:color="auto" w:fill="FFFFFF"/>
        </w:rPr>
        <w:t xml:space="preserve">a támogatási intézkedés(ek) egyik kedvezményezettje sem vonható felelősségre szennyezésért </w:t>
      </w:r>
      <w:r>
        <w:rPr>
          <w:shd w:val="clear" w:color="auto" w:fill="FFFFFF"/>
        </w:rPr>
        <w:t>a hatályos uniós vagy nemzeti jog értelmében (</w:t>
      </w:r>
      <w:r>
        <w:rPr>
          <w:i/>
          <w:shd w:val="clear" w:color="auto" w:fill="FFFFFF"/>
        </w:rPr>
        <w:t>„a szennyező fizet” elv</w:t>
      </w:r>
      <w:r>
        <w:rPr>
          <w:shd w:val="clear" w:color="auto" w:fill="FFFFFF"/>
        </w:rPr>
        <w:t>).</w:t>
      </w:r>
    </w:p>
    <w:p w14:paraId="4A6AA871" w14:textId="77777777" w:rsidR="00E02B81" w:rsidRPr="00E80F06" w:rsidRDefault="00E02B81" w:rsidP="00E02B81">
      <w:pPr>
        <w:tabs>
          <w:tab w:val="left" w:leader="dot" w:pos="9072"/>
        </w:tabs>
        <w:spacing w:before="120" w:after="120"/>
        <w:ind w:left="567"/>
        <w:jc w:val="both"/>
      </w:pPr>
      <w:r>
        <w:lastRenderedPageBreak/>
        <w:tab/>
      </w:r>
    </w:p>
    <w:p w14:paraId="6E8078B3" w14:textId="565ECC25" w:rsidR="00F6400A" w:rsidRDefault="002F5939" w:rsidP="00451471">
      <w:pPr>
        <w:pStyle w:val="ListParagraph"/>
        <w:numPr>
          <w:ilvl w:val="0"/>
          <w:numId w:val="4"/>
        </w:numPr>
        <w:spacing w:before="120" w:after="120"/>
        <w:ind w:left="567" w:hanging="567"/>
        <w:contextualSpacing w:val="0"/>
        <w:jc w:val="both"/>
      </w:pPr>
      <w:r>
        <w:t>Az iránymutatás 43–46. pontjának való megfelelés ellenőrzése és annak bizonyítása céljából, hogy a különböző támogatási eszközök közül a legmegfelelőbbet választották ki, kérjük, adja meg a következő információkat:</w:t>
      </w:r>
    </w:p>
    <w:p w14:paraId="4F88C324" w14:textId="2B3F690B" w:rsidR="00EF1F6E" w:rsidRPr="00ED71CB" w:rsidRDefault="00D97CBE" w:rsidP="00B82F95">
      <w:pPr>
        <w:pStyle w:val="ListParagraph"/>
        <w:numPr>
          <w:ilvl w:val="0"/>
          <w:numId w:val="32"/>
        </w:numPr>
        <w:spacing w:before="120" w:after="120"/>
        <w:contextualSpacing w:val="0"/>
        <w:jc w:val="both"/>
      </w:pPr>
      <w:r>
        <w:t xml:space="preserve">Kérjük, fejtse ki, hogy miért kevésbé megfelelőek más, potenciálisan kevésbé torzító támogatási formák </w:t>
      </w:r>
      <w:r>
        <w:rPr>
          <w:rStyle w:val="normaltextrun"/>
        </w:rPr>
        <w:t>az iránymutatás 44. pontja értelmében.</w:t>
      </w:r>
      <w:r>
        <w:t xml:space="preserve"> A támogatás kevésbé torzító formái lehetnek a közvetlen támogatásokhoz képest a visszatérítendő előlegek; az adócsökkentésekhez képest az adójóváírások; vagy a tőkeinstrumentumokhoz képest a pénzügyi eszközökön alapuló más támogatási formák, mint az adósságinstrumentumok, ideértve például az alacsony kamatozású hiteleket vagy kamatkedvezményeket, állami garanciákat, vagy kedvező feltételekkel történő alternatív finanszírozást.</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Kérjük, bizonyítsa, hogy a támogatási eszközt az iránymutatás 45. pontjában előírtak szerint azon piaci hiányosságnak megfelelően választották ki, amelynek kezelésére a támogatási intézkedés(ek) irányul(nak).</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 xml:space="preserve">Kérjük, fejtse ki, hogy </w:t>
      </w:r>
      <w:r>
        <w:rPr>
          <w:shd w:val="clear" w:color="auto" w:fill="FFFFFF"/>
        </w:rPr>
        <w:t xml:space="preserve">a támogatási intézkedés és annak kialakítása hogyan felel meg a célkitűzése elérésének </w:t>
      </w:r>
      <w:r>
        <w:rPr>
          <w:rStyle w:val="normaltextrun"/>
          <w:shd w:val="clear" w:color="auto" w:fill="FFFFFF"/>
        </w:rPr>
        <w:t>(az iránymutatás 46. pontja)</w:t>
      </w:r>
      <w: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Arányosság </w:t>
            </w:r>
          </w:p>
        </w:tc>
      </w:tr>
    </w:tbl>
    <w:p w14:paraId="5A2A77DE" w14:textId="0DCA930B" w:rsidR="00451471" w:rsidRDefault="00863406" w:rsidP="00864350">
      <w:pPr>
        <w:spacing w:before="360" w:after="120"/>
        <w:jc w:val="both"/>
        <w:rPr>
          <w:i/>
        </w:rPr>
      </w:pPr>
      <w:r>
        <w:rPr>
          <w:i/>
        </w:rPr>
        <w:t xml:space="preserve">Az e szakaszban kért információk közlésével kapcsolatban lásd az iránymutatás 3.2.1.3. szakaszát (47–57. pontját) és 4.5.4.2. szakaszát (265–273. pontját). Felhívjuk a figyelmet arra, hogy </w:t>
      </w:r>
      <w:r>
        <w:rPr>
          <w:i/>
          <w:u w:val="single"/>
        </w:rPr>
        <w:t>az alábbi három, 2.1.3.2., 2.1.3.3 és 2.1.3.4. szakasz egymás alternatívája.</w:t>
      </w:r>
      <w:r>
        <w:rPr>
          <w:i/>
        </w:rPr>
        <w:t xml:space="preserve"> Kérjük, hogy a javasolt intézkedés kialakításától függően csak a vonatkozó szakaszban válaszoljon. A kibocsátáskereskedelmi egységek formájában nyújtott támogatás esetében kérjük, válaszolja meg a 33. kérdést is (2.1.3.1. szakasz).</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A kibocsátáskereskedelmi egységek formájában nyújtott támogatás arányossága </w:t>
            </w:r>
          </w:p>
        </w:tc>
      </w:tr>
    </w:tbl>
    <w:p w14:paraId="64E0C18A" w14:textId="5D959274" w:rsidR="00F60556" w:rsidRDefault="00F60556" w:rsidP="002B019C">
      <w:pPr>
        <w:pStyle w:val="ListParagraph"/>
        <w:numPr>
          <w:ilvl w:val="0"/>
          <w:numId w:val="4"/>
        </w:numPr>
        <w:spacing w:before="120" w:after="120"/>
        <w:ind w:left="567" w:hanging="567"/>
        <w:contextualSpacing w:val="0"/>
      </w:pPr>
      <w:r>
        <w:t>Ha a támogatást kibocsátáskereskedelmi egységek formájában nyújtják, kérjük, hogy az iránymutatás 273. pontjának megfelelően ismertesse, hogy:</w:t>
      </w:r>
    </w:p>
    <w:p w14:paraId="379BD600" w14:textId="2F77BA2E" w:rsidR="00F60556" w:rsidRDefault="00F60556" w:rsidP="00B82F95">
      <w:pPr>
        <w:numPr>
          <w:ilvl w:val="0"/>
          <w:numId w:val="42"/>
        </w:numPr>
        <w:ind w:left="1418" w:hanging="284"/>
      </w:pPr>
      <w:r>
        <w:t>A kiosztást átlátható módon hajtják végre, objektív kritériumok és a rendelkezésre álló lehető legjobb minőségű adatok alapján:</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Az egyes vállalkozások tekintetében megállapított, piaci értékük alatti áron nyújtott kibocsátáskereskedelmi egységek vagy juttatások teljes összege nem lesz magasabb a várható szükségleteknél, amelyeket az értékesítési rendszerek nélkül fennálló helyzet alapján kell becsülni:</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lastRenderedPageBreak/>
              <w:t>A támogatás arányossága az iránymutatás 265–273. pontjaiban meghatározott támogatási intenzitások alapján</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Az intézkedés keretében elszámolható költségek ismertetése érdekében kérjük, azonosítsa a környezetvédelem magasabb szintjének eléréséhez közvetlenül kapcsolódó beruházási többletköltségeket. E célból kérjük, hivatkozzon a 17. kérdésre adott válaszban azonosított releváns kontrafaktuális forgatókönyvre, valamint az iránymutatás 266. pontjára és 226–230. pontjára.</w:t>
      </w:r>
    </w:p>
    <w:p w14:paraId="7CAECDEE" w14:textId="77777777" w:rsidR="00E50157" w:rsidRDefault="00E50157" w:rsidP="00E50157">
      <w:pPr>
        <w:tabs>
          <w:tab w:val="left" w:leader="dot" w:pos="9072"/>
        </w:tabs>
        <w:spacing w:before="120" w:after="120"/>
        <w:ind w:left="567"/>
        <w:jc w:val="both"/>
      </w:pPr>
      <w:r>
        <w:tab/>
      </w:r>
    </w:p>
    <w:p w14:paraId="61339ACB" w14:textId="1F2E3E7F" w:rsidR="008E0F56" w:rsidRDefault="008E0F56" w:rsidP="008E0F56">
      <w:pPr>
        <w:pStyle w:val="ListParagraph"/>
        <w:numPr>
          <w:ilvl w:val="0"/>
          <w:numId w:val="4"/>
        </w:numPr>
        <w:spacing w:before="120" w:after="120"/>
        <w:ind w:left="567" w:hanging="567"/>
        <w:contextualSpacing w:val="0"/>
        <w:jc w:val="both"/>
      </w:pPr>
      <w:r>
        <w:t>Kérjük, ismertesse, hogyan fogják meghatározni és ellenőrizni a tényleges forgatókönyv és a kontrafaktuális forgatókönyv szerinti beruházási költségeket.</w:t>
      </w:r>
    </w:p>
    <w:p w14:paraId="5F482D19" w14:textId="2BA9946C" w:rsidR="008E0F56" w:rsidRDefault="008E0F56" w:rsidP="008E0F56">
      <w:pPr>
        <w:tabs>
          <w:tab w:val="left" w:leader="dot" w:pos="9072"/>
        </w:tabs>
        <w:spacing w:before="120" w:after="120"/>
        <w:ind w:left="567"/>
        <w:jc w:val="both"/>
      </w:pPr>
      <w:r>
        <w:tab/>
      </w:r>
    </w:p>
    <w:p w14:paraId="533F9BDE" w14:textId="4C204210" w:rsidR="005416C4" w:rsidRPr="000575C3" w:rsidRDefault="005416C4" w:rsidP="00451471">
      <w:pPr>
        <w:pStyle w:val="ListParagraph"/>
        <w:numPr>
          <w:ilvl w:val="0"/>
          <w:numId w:val="4"/>
        </w:numPr>
        <w:spacing w:before="120" w:after="120"/>
        <w:ind w:left="567" w:hanging="567"/>
        <w:contextualSpacing w:val="0"/>
        <w:jc w:val="both"/>
      </w:pPr>
      <w:r>
        <w:t>Kérjük, tüntesse fel az intézkedés keretében alkalmazandó maximális támogatási intenzitásokat, és jelezze, hogy vonatkoznak-e rájuk bónuszok (az iránymutatás 267–270. pontja).</w:t>
      </w:r>
    </w:p>
    <w:p w14:paraId="4A4B66D2" w14:textId="77777777" w:rsidR="005416C4" w:rsidRDefault="005416C4" w:rsidP="005416C4">
      <w:pPr>
        <w:tabs>
          <w:tab w:val="left" w:leader="dot" w:pos="9072"/>
        </w:tabs>
        <w:spacing w:before="120" w:after="120"/>
        <w:ind w:left="567"/>
        <w:jc w:val="both"/>
      </w:pPr>
      <w:r>
        <w:tab/>
      </w:r>
    </w:p>
    <w:p w14:paraId="44D37FEB" w14:textId="0C9334EF" w:rsidR="00611EA4" w:rsidRDefault="00611EA4" w:rsidP="00611EA4">
      <w:pPr>
        <w:pStyle w:val="ListParagraph"/>
        <w:numPr>
          <w:ilvl w:val="0"/>
          <w:numId w:val="4"/>
        </w:numPr>
        <w:spacing w:before="120" w:after="120"/>
        <w:ind w:left="567" w:hanging="567"/>
        <w:contextualSpacing w:val="0"/>
        <w:jc w:val="both"/>
      </w:pPr>
      <w:r>
        <w:t>Ökoinnovációs tevékenységek esetében kérjük, ismertesse, hogy teljesülnek a következő együttes feltételek (az iránymutatás 270. pontja):</w:t>
      </w:r>
    </w:p>
    <w:p w14:paraId="00DF35DD" w14:textId="77777777" w:rsidR="00611EA4" w:rsidRDefault="00611EA4" w:rsidP="00B82F95">
      <w:pPr>
        <w:pStyle w:val="ListParagraph"/>
        <w:numPr>
          <w:ilvl w:val="0"/>
          <w:numId w:val="36"/>
        </w:numPr>
        <w:spacing w:before="120" w:after="120"/>
        <w:contextualSpacing w:val="0"/>
        <w:jc w:val="both"/>
      </w:pPr>
      <w:r>
        <w:t>Az ökoinnovációs tevékenység új vagy az iparágában legkorszerűbbnek tekintett uniós szintnél jelentős mértékben jobb</w:t>
      </w:r>
      <w:r>
        <w:rPr>
          <w:rStyle w:val="FootnoteReference"/>
        </w:rPr>
        <w:footnoteReference w:id="11"/>
      </w:r>
      <w:r>
        <w:t>,</w:t>
      </w:r>
    </w:p>
    <w:p w14:paraId="0E220A72" w14:textId="0662757E" w:rsidR="00611EA4" w:rsidRDefault="00611EA4" w:rsidP="00B82F95">
      <w:pPr>
        <w:pStyle w:val="ListParagraph"/>
        <w:numPr>
          <w:ilvl w:val="0"/>
          <w:numId w:val="36"/>
        </w:numPr>
        <w:spacing w:before="120" w:after="120"/>
        <w:contextualSpacing w:val="0"/>
        <w:jc w:val="both"/>
      </w:pPr>
      <w:r>
        <w:t>A várt környezeti előny jelentős mértékben meghaladja a hasonló tevékenységek terén a legkorszerűbb technológiák általános fejlődéséből származó javulást</w:t>
      </w:r>
      <w:r>
        <w:rPr>
          <w:rStyle w:val="FootnoteReference"/>
        </w:rPr>
        <w:footnoteReference w:id="12"/>
      </w:r>
      <w:r>
        <w:t>,</w:t>
      </w:r>
    </w:p>
    <w:p w14:paraId="4AF782DE" w14:textId="0A420CE3" w:rsidR="00611EA4" w:rsidRDefault="00611EA4" w:rsidP="00B82F95">
      <w:pPr>
        <w:pStyle w:val="ListParagraph"/>
        <w:numPr>
          <w:ilvl w:val="0"/>
          <w:numId w:val="36"/>
        </w:numPr>
        <w:spacing w:before="120" w:after="120"/>
        <w:contextualSpacing w:val="0"/>
        <w:jc w:val="both"/>
      </w:pPr>
      <w:r>
        <w:t>A tevékenység innovatív jellege – technológiai, piaci vagy pénzügyi tekintetben – egyértelműen kockázatot hordoz magában, amely magasabb a hasonló nem innovatív eszközökhöz vagy projektekhez általában társuló kockázatnál</w:t>
      </w:r>
      <w:r>
        <w:rPr>
          <w:rStyle w:val="FootnoteReference"/>
        </w:rPr>
        <w:footnoteReference w:id="13"/>
      </w:r>
      <w:r>
        <w:t>.</w:t>
      </w:r>
    </w:p>
    <w:p w14:paraId="4165708B" w14:textId="569F874A" w:rsidR="00611EA4" w:rsidRPr="00142B91" w:rsidRDefault="004A0CB0" w:rsidP="004A0CB0">
      <w:pPr>
        <w:tabs>
          <w:tab w:val="left" w:leader="dot" w:pos="9072"/>
        </w:tabs>
        <w:spacing w:before="120" w:after="120"/>
        <w:ind w:left="567"/>
        <w:jc w:val="both"/>
      </w:pPr>
      <w:r>
        <w:tab/>
      </w:r>
    </w:p>
    <w:p w14:paraId="2BAF24FF" w14:textId="22F51717" w:rsidR="005416C4" w:rsidRPr="00451471" w:rsidRDefault="005416C4" w:rsidP="00451471">
      <w:pPr>
        <w:pStyle w:val="ListParagraph"/>
        <w:numPr>
          <w:ilvl w:val="0"/>
          <w:numId w:val="4"/>
        </w:numPr>
        <w:spacing w:before="120" w:after="120"/>
        <w:ind w:left="567" w:hanging="567"/>
        <w:contextualSpacing w:val="0"/>
        <w:jc w:val="both"/>
      </w:pPr>
      <w:r>
        <w:t xml:space="preserve">Ha az iránymutatás 267–270. pontjától eltérően úgy ítélik meg, hogy az iránymutatás 4.5.4.2. szakaszában megállapított maximális támogatási intenzitásokat meghaladó támogatásra van szükség, kérjük, tüntesse fel a szükségesnek ítélt támogatás mértékét, és az iránymutatás 51–52. pontjával összhangban indokolja a fenti 17. kérdés c) pontjában adott válaszban azonosított tényleges forgatókönyvben és kontrafaktuális </w:t>
      </w:r>
      <w:r>
        <w:lastRenderedPageBreak/>
        <w:t>forgatókönyvben szereplő referenciaprojekteken végzett finanszírozásihiány-elemzés alapján.</w:t>
      </w:r>
    </w:p>
    <w:p w14:paraId="25D9B659" w14:textId="2F8390CB" w:rsidR="00E766C0" w:rsidRPr="00451471" w:rsidRDefault="00E766C0" w:rsidP="00451471">
      <w:pPr>
        <w:pStyle w:val="ListParagraph"/>
        <w:spacing w:before="120" w:after="120"/>
        <w:ind w:left="567"/>
        <w:contextualSpacing w:val="0"/>
        <w:jc w:val="both"/>
      </w:pPr>
      <w:r>
        <w:t>E finanszírozásihiány-elemzéshez kérjük, hogy nyújtson be számszerűsítést a fenti 17. kérdés c) pontjában adott válaszban azonosított tényleges forgatókönyv(ek)re és a reális kontrafaktuális forgatókönyv(ek)re</w:t>
      </w:r>
      <w:r w:rsidRPr="00451471">
        <w:rPr>
          <w:vertAlign w:val="superscript"/>
          <w:lang w:val="en-IE" w:eastAsia="en-GB"/>
        </w:rPr>
        <w:footnoteReference w:id="14"/>
      </w:r>
      <w:r>
        <w:t xml:space="preserve"> vonatkozóan az összes fő költségről és bevételről, a kedvezményezettek (vagy referenciaprojektek) becsült súlyozott átlagos tőkeköltségéről (WACC) a jövőbeni pénzforgalom diszkontálásához, valamint a tényleges forgatókönyv és a kontrafaktuális forgatókönyv szerinti nettó jelenértékről (NPV), a projekt/referenciaprojekt élettartama alatt.</w:t>
      </w:r>
    </w:p>
    <w:p w14:paraId="2C354854" w14:textId="65568181" w:rsidR="00E766C0" w:rsidRPr="008E430F" w:rsidRDefault="00E766C0" w:rsidP="00B82F95">
      <w:pPr>
        <w:pStyle w:val="ListParagraph"/>
        <w:numPr>
          <w:ilvl w:val="0"/>
          <w:numId w:val="35"/>
        </w:numPr>
        <w:spacing w:before="120" w:after="120"/>
        <w:contextualSpacing w:val="0"/>
        <w:jc w:val="both"/>
      </w:pPr>
      <w:r>
        <w:t xml:space="preserve">Kérjük, hogy ezeket az információkat az e kiegészítő adatlaphoz csatolt mellékletben közölje (olyan Excel-fájl használatával, </w:t>
      </w:r>
      <w:r>
        <w:rPr>
          <w:shd w:val="clear" w:color="auto" w:fill="FFFFFF"/>
        </w:rPr>
        <w:t>amelyben az összes képlet látható</w:t>
      </w:r>
      <w:r>
        <w:t>).</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Kérjük, részletesen ismertesse a tényleges forgatókönyvben és a valószínű kontrafaktuális forgatókönyvben feltüntetett költségek és bevételek számszerűsítésének valamennyi szempontjához használt feltételezéseket, módszereket, indokolást és alapul vett forrásokat (például adja meg az említett forgatókönyvek kidolgozásához használt feltételezéseket, és a feltételezések forrását/indokolását).</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Egyedi támogatások és különösen korlátozott számú kedvezményezettnek szóló támogatási programok esetében a tagállamnak a projekt részletes üzleti tervének szintjén kell bemutatnia az igazoló bizonyítékokat.</w:t>
      </w:r>
    </w:p>
    <w:p w14:paraId="2EE300C8" w14:textId="77777777" w:rsidR="00E766C0" w:rsidRPr="00AC286A" w:rsidRDefault="00E766C0" w:rsidP="00E766C0">
      <w:pPr>
        <w:ind w:left="1080"/>
        <w:jc w:val="both"/>
        <w:rPr>
          <w:shd w:val="clear" w:color="auto" w:fill="FFFFFF"/>
        </w:rPr>
      </w:pPr>
      <w:r>
        <w:rPr>
          <w:shd w:val="clear" w:color="auto" w:fill="FFFFFF"/>
        </w:rPr>
        <w:t>Támogatási programok esetében a tagállamnak egy vagy több referenciaprojekt alapján kell bemutatnia az igazoló bizonyítékokat.</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E kiegészítő adatlaphoz az iránymutatás (39) lábjegyzetében említett dokumentumokat is csatolhatja. Az igazgatótanácsi dokumentumok különösen hasznosak lehetnek az egyedi támogatási intézkedések vagy a különösen korlátozott számú kedvezményezettnek szóló programok esetében. Ha ilyen dokumentumokat csatol a kiegészítő adatlaphoz, kérjük, alább sorolja fel e dokumentumokat, feltüntetve a szerzőjüket, a készítésük időpontját és a felhasználásuk kontextusát.</w:t>
      </w:r>
    </w:p>
    <w:p w14:paraId="28FF917C" w14:textId="65EC2E38" w:rsidR="00C849BA" w:rsidRPr="00E766C0" w:rsidRDefault="00E766C0" w:rsidP="00E766C0">
      <w:pPr>
        <w:tabs>
          <w:tab w:val="left" w:leader="dot" w:pos="9072"/>
        </w:tabs>
        <w:spacing w:before="120" w:after="120"/>
        <w:ind w:left="1080"/>
        <w:jc w:val="both"/>
        <w:rPr>
          <w:color w:val="000000"/>
        </w:rPr>
      </w:pPr>
      <w:r>
        <w:rPr>
          <w:color w:val="000000"/>
        </w:rPr>
        <w:tab/>
      </w:r>
    </w:p>
    <w:p w14:paraId="2A0ACA5D" w14:textId="6A72E2F3" w:rsidR="00123CB2" w:rsidRDefault="00123CB2" w:rsidP="00204CF1">
      <w:pPr>
        <w:pStyle w:val="ListParagraph"/>
        <w:numPr>
          <w:ilvl w:val="0"/>
          <w:numId w:val="4"/>
        </w:numPr>
        <w:spacing w:before="120" w:after="120"/>
        <w:ind w:left="567" w:hanging="567"/>
        <w:contextualSpacing w:val="0"/>
        <w:jc w:val="both"/>
      </w:pPr>
      <w:r>
        <w:t>Kérjük, bizonyítsa azt is, hogy a 38. kérdésben megjelölt módon megállapított magasabb támogatási összeg alkalmazása nem eredményez a finanszírozási hiányt meghaladó támogatást.</w:t>
      </w:r>
    </w:p>
    <w:p w14:paraId="7B020F73" w14:textId="77777777" w:rsidR="00123CB2" w:rsidRDefault="00123CB2" w:rsidP="00123CB2">
      <w:pPr>
        <w:tabs>
          <w:tab w:val="left" w:leader="dot" w:pos="9072"/>
        </w:tabs>
        <w:spacing w:before="120" w:after="120"/>
        <w:ind w:left="567"/>
        <w:jc w:val="both"/>
      </w:pPr>
      <w:r>
        <w:tab/>
      </w:r>
    </w:p>
    <w:p w14:paraId="5957E472" w14:textId="54796130" w:rsidR="00A67B98" w:rsidRDefault="00A67B98" w:rsidP="00204CF1">
      <w:pPr>
        <w:pStyle w:val="ListParagraph"/>
        <w:numPr>
          <w:ilvl w:val="0"/>
          <w:numId w:val="4"/>
        </w:numPr>
        <w:spacing w:before="120" w:after="120"/>
        <w:ind w:left="567" w:hanging="567"/>
        <w:contextualSpacing w:val="0"/>
        <w:jc w:val="both"/>
      </w:pPr>
      <w:r>
        <w:t xml:space="preserve">Ha az iránymutatás 52. pontja alkalmazandó, tehát </w:t>
      </w:r>
      <w:r>
        <w:rPr>
          <w:shd w:val="clear" w:color="auto" w:fill="FFFFFF"/>
        </w:rPr>
        <w:t>a legvalószínűbb kontrafaktuális forgatókönyv</w:t>
      </w:r>
      <w:r>
        <w:t xml:space="preserve"> </w:t>
      </w:r>
      <w:r>
        <w:rPr>
          <w:shd w:val="clear" w:color="auto" w:fill="FFFFFF"/>
        </w:rPr>
        <w:t>szerint a kedvezményezett nem folytatja a tevékenységet vagy beruházást,</w:t>
      </w:r>
      <w:r>
        <w:t xml:space="preserve"> vagy </w:t>
      </w:r>
      <w:r>
        <w:rPr>
          <w:shd w:val="clear" w:color="auto" w:fill="FFFFFF"/>
        </w:rPr>
        <w:t>üzleti tevékenységét változások nélkül végzi,</w:t>
      </w:r>
      <w:r>
        <w:t xml:space="preserve"> kérjük, támassza alá bizonyítékokkal ezt a feltételezést</w:t>
      </w:r>
      <w:r w:rsidRPr="00AC286A">
        <w:rPr>
          <w:rStyle w:val="FootnoteReference"/>
          <w:lang w:eastAsia="en-GB"/>
        </w:rPr>
        <w:footnoteReference w:id="15"/>
      </w:r>
      <w:r>
        <w:t>.</w:t>
      </w:r>
    </w:p>
    <w:p w14:paraId="57402B45" w14:textId="77777777" w:rsidR="00C0082A" w:rsidRDefault="00C0082A" w:rsidP="00C0082A">
      <w:pPr>
        <w:tabs>
          <w:tab w:val="left" w:leader="dot" w:pos="9072"/>
        </w:tabs>
        <w:spacing w:before="120" w:after="120"/>
        <w:jc w:val="both"/>
      </w:pPr>
      <w:r>
        <w:lastRenderedPageBreak/>
        <w:tab/>
      </w:r>
    </w:p>
    <w:p w14:paraId="0600DB0F" w14:textId="4F925144"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 xml:space="preserve">Minden olyan esetben, amikor az </w:t>
      </w:r>
      <w:r>
        <w:t>arányosságot</w:t>
      </w:r>
      <w:r>
        <w:rPr>
          <w:i/>
        </w:rPr>
        <w:t xml:space="preserve"> </w:t>
      </w:r>
      <w:r>
        <w:rPr>
          <w:shd w:val="clear" w:color="auto" w:fill="FFFFFF"/>
        </w:rPr>
        <w:t>finanszírozásihiány-elemzéssel indokolja</w:t>
      </w:r>
      <w:r>
        <w:rPr>
          <w:i/>
        </w:rPr>
        <w:t>,</w:t>
      </w:r>
      <w:r>
        <w:t xml:space="preserve"> kérjük, egyúttal erősítse meg, hogy hatóságuk utólagos nyomon követést végez majd a szükséges támogatás szintjére vonatkozó feltételezések igazolása érdekében, és visszakövetelési mechanizmust vezet be. Kérjük, hogy a </w:t>
      </w:r>
      <w:r>
        <w:rPr>
          <w:shd w:val="clear" w:color="auto" w:fill="FFFFFF"/>
        </w:rPr>
        <w:t>hatóságuk által alkalmazni kívánt</w:t>
      </w:r>
      <w:r>
        <w:t xml:space="preserve"> nyomonkövetési és visszakövetelési mechanizmust is mutassa be (az iránymutatás 271. pontja).</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A versenyeztetéses ajánlattételi eljárás keretében odaítélt támogatás arányossága </w:t>
            </w:r>
          </w:p>
        </w:tc>
      </w:tr>
    </w:tbl>
    <w:p w14:paraId="02145BB2" w14:textId="77777777" w:rsidR="00E50157" w:rsidRPr="00441F0B" w:rsidRDefault="00E50157" w:rsidP="00E50157">
      <w:pPr>
        <w:pStyle w:val="ListParagraph"/>
        <w:spacing w:before="360" w:after="120"/>
        <w:ind w:left="0"/>
        <w:contextualSpacing w:val="0"/>
        <w:jc w:val="both"/>
      </w:pPr>
      <w:r>
        <w:rPr>
          <w:i/>
        </w:rPr>
        <w:t>Az e szakaszban kért információk közlésével kapcsolatban lásd az iránymutatás 49.,50. és 272. pontját.</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Az iránymutatás 49. és 50. pontjának való megfelelés ellenőrzése céljából kérjük, közölje az alábbi információkat:</w:t>
      </w:r>
    </w:p>
    <w:p w14:paraId="60545808" w14:textId="3F8A7121" w:rsidR="00E50157" w:rsidRPr="00441F0B" w:rsidRDefault="006F48C7" w:rsidP="00B82F95">
      <w:pPr>
        <w:pStyle w:val="ListParagraph"/>
        <w:numPr>
          <w:ilvl w:val="0"/>
          <w:numId w:val="24"/>
        </w:numPr>
        <w:spacing w:before="120" w:after="120"/>
        <w:contextualSpacing w:val="0"/>
        <w:jc w:val="both"/>
      </w:pPr>
      <w:r>
        <w:t>Kérjük, ismertesse, hogyan gondoskodik a hatóság arról, hogy az ajánlattételi eljárás előzetesen, az intézkedés céljával összhangban nyitott, világos, átlátható és megkülönböztetésmentes, objektív kritériumok alapján meghatározott legyen, és minimalizálja a stratégiai ajánlattétel kockázatát (az iránymutatás 49. pontjának a) alpontja).</w:t>
      </w:r>
    </w:p>
    <w:p w14:paraId="1EC2262A" w14:textId="77777777" w:rsidR="00E50157" w:rsidRPr="00441F0B" w:rsidRDefault="00E50157" w:rsidP="00E50157">
      <w:pPr>
        <w:tabs>
          <w:tab w:val="left" w:leader="dot" w:pos="9072"/>
        </w:tabs>
        <w:spacing w:before="120" w:after="120"/>
        <w:ind w:left="567"/>
        <w:jc w:val="both"/>
      </w:pPr>
      <w:r>
        <w:tab/>
      </w:r>
    </w:p>
    <w:p w14:paraId="200D45C4" w14:textId="3B448DF2" w:rsidR="00E50157" w:rsidRPr="00050EB9" w:rsidRDefault="00E50157" w:rsidP="00B82F95">
      <w:pPr>
        <w:pStyle w:val="ListParagraph"/>
        <w:numPr>
          <w:ilvl w:val="0"/>
          <w:numId w:val="24"/>
        </w:numPr>
        <w:spacing w:before="120" w:after="120"/>
        <w:contextualSpacing w:val="0"/>
        <w:jc w:val="both"/>
      </w:pPr>
      <w:r>
        <w:t>Az ajánlatok rangsorolásához és végső soron a versenyeztetéses ajánlattételi eljárás keretében odaítélt támogatás mértékének megállapításához használt kritériumok. Konkrétabban:</w:t>
      </w:r>
    </w:p>
    <w:p w14:paraId="383A3E34" w14:textId="77777777" w:rsidR="00E50157" w:rsidRPr="00050EB9" w:rsidRDefault="00E50157" w:rsidP="00B82F95">
      <w:pPr>
        <w:pStyle w:val="ListParagraph"/>
        <w:numPr>
          <w:ilvl w:val="1"/>
          <w:numId w:val="25"/>
        </w:numPr>
        <w:spacing w:before="120" w:after="120"/>
        <w:contextualSpacing w:val="0"/>
        <w:jc w:val="both"/>
      </w:pPr>
      <w:r>
        <w:t>Kérjük, sorolja fel a kiválasztási kritériumokat, és jelölje meg, hogy közülük melyek kapcsolódnak közvetlenül vagy közvetve az intézkedés(ek) fő célkitűzéseihez, illetve melyek nem. Kérjük, hogy a súlyozott értéküket is tüntesse fel.</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Kérjük, ismertesse, hogyan helyezik a kiválasztási kritériumok az intézkedés(ek) fő célkitűzéseihez való hozzájárulást közvetlen vagy közvetett viszonyba a pályázó által igényelt támogatási összeggel. Ez kifejezhető például az egy környezetvédelmi vagy energiaegységre jutó támogatásban</w:t>
      </w:r>
      <w:r w:rsidRPr="00050EB9">
        <w:rPr>
          <w:rStyle w:val="FootnoteReference"/>
          <w:lang w:eastAsia="en-GB"/>
        </w:rPr>
        <w:footnoteReference w:id="16"/>
      </w:r>
      <w:r>
        <w:t xml:space="preserve"> (az iránymutatás 50. pontja és (44) lábjegyzete).</w:t>
      </w:r>
    </w:p>
    <w:p w14:paraId="7B20C5C6" w14:textId="77777777" w:rsidR="00E50157" w:rsidRPr="00050EB9" w:rsidRDefault="00E50157" w:rsidP="00E50157">
      <w:pPr>
        <w:tabs>
          <w:tab w:val="left" w:leader="dot" w:pos="9072"/>
        </w:tabs>
        <w:spacing w:before="120" w:after="120"/>
        <w:ind w:left="567"/>
        <w:jc w:val="both"/>
      </w:pPr>
      <w:r>
        <w:lastRenderedPageBreak/>
        <w:tab/>
      </w:r>
    </w:p>
    <w:p w14:paraId="33504261" w14:textId="1A1602C5" w:rsidR="00E50157" w:rsidRPr="00050EB9" w:rsidRDefault="00E50157" w:rsidP="00B82F95">
      <w:pPr>
        <w:pStyle w:val="ListParagraph"/>
        <w:numPr>
          <w:ilvl w:val="1"/>
          <w:numId w:val="25"/>
        </w:numPr>
        <w:spacing w:before="120" w:after="120"/>
        <w:contextualSpacing w:val="0"/>
        <w:jc w:val="both"/>
      </w:pPr>
      <w:r>
        <w:t>Amennyiben vannak más kiválasztási kritériumok, amelyek közvetlenül vagy közvetve nem kapcsolódnak az intézkedés(ek) fő célkitűzéseihez, kérjük, indokolja a javasolt megközelítést, és fejtse ki, miért felel meg az intézkedés(ek) célkitűzéseinek. Kérjük, erősítse meg azt is, hogy e kritériumok nem haladják meg az összes kiválasztási szempont súlyozott értékének 30 %-át (az iránymutatás 50. pontja).</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rPr>
          <w:color w:val="000000"/>
        </w:rPr>
        <w:t xml:space="preserve">Kérjük, adja meg, hogy az egyes versenyeztetéses ajánlattételi eljárásokban a pályázatok benyújtásának határideje előtt mennyi idővel </w:t>
      </w:r>
      <w:r>
        <w:rPr>
          <w:color w:val="000000"/>
          <w:shd w:val="clear" w:color="auto" w:fill="FFFFFF"/>
        </w:rPr>
        <w:t xml:space="preserve">teszik közzé a kiválasztási kritériumokat </w:t>
      </w:r>
      <w:r>
        <w:t>(az iránymutatás 49. pontjának b) alpontja, valamint (43) lábjegyzete)</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 xml:space="preserve">Kérjük, </w:t>
      </w:r>
      <w:r>
        <w:rPr>
          <w:shd w:val="clear" w:color="auto" w:fill="FFFFFF"/>
        </w:rPr>
        <w:t>ismertesse, mely elemekre alapozták azt a feltételezést, hogy az ajánlattételi eljárás nyitott és megfelelő számú ajánlattevőre tervezett lesz, tehát várhatóan nem minden ajánlattevő részesül majd támogatásban, és az ajánlattevők várható száma elegendő lesz a tényleges verseny biztosításához a program időtartama alatt (az iránymutatás 49. pontjának c) alpontja). Kérjük, hogy az ismertetés során vegye figyelembe a program költségvetését vagy volumenét. Adott esetben kérjük, hivatkozzon a 17. kérdésre adott válaszaiban közölt bizonyítékokra.</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Kérjük, közölje az ajánlattételi fordulók tervezett számát, valamint</w:t>
      </w:r>
      <w:r>
        <w:t xml:space="preserve"> az ajánlattevők </w:t>
      </w:r>
      <w:r>
        <w:rPr>
          <w:shd w:val="clear" w:color="auto" w:fill="FFFFFF"/>
        </w:rPr>
        <w:t>első fordulóban és idővel várható számát.</w:t>
      </w:r>
    </w:p>
    <w:p w14:paraId="56C0B7F7" w14:textId="77777777" w:rsidR="00E50157" w:rsidRPr="00B35F1C" w:rsidRDefault="00E50157" w:rsidP="00E50157">
      <w:pPr>
        <w:tabs>
          <w:tab w:val="left" w:leader="dot" w:pos="9072"/>
        </w:tabs>
        <w:spacing w:before="120" w:after="120"/>
        <w:ind w:left="567"/>
        <w:jc w:val="both"/>
      </w:pPr>
      <w:r>
        <w:tab/>
      </w:r>
    </w:p>
    <w:p w14:paraId="3A5E6994" w14:textId="50065A80"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Ha</w:t>
      </w:r>
      <w:r>
        <w:t xml:space="preserve"> </w:t>
      </w:r>
      <w:r>
        <w:rPr>
          <w:shd w:val="clear" w:color="auto" w:fill="FFFFFF"/>
        </w:rPr>
        <w:t>egy vagy több ajánlattételi eljárást túl kevés ajánlattevőre terveztek, kérjük, ismertesse, hogyan és mikor igazítják ki az ajánlattételi eljárások kialakítását a program végrehajtása során, hogy helyreálljon a tényleges verseny</w:t>
      </w:r>
      <w:r>
        <w:t xml:space="preserve"> (az iránymutatás 49. pontjának c) alpontja)</w:t>
      </w:r>
      <w:r>
        <w:rPr>
          <w:shd w:val="clear" w:color="auto" w:fill="FFFFFF"/>
        </w:rPr>
        <w:t>.</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rStyle w:val="oj-italic"/>
          <w:color w:val="000000"/>
          <w:shd w:val="clear" w:color="auto" w:fill="FFFFFF"/>
        </w:rPr>
        <w:t>Kérjük, erősítse meg, hogy</w:t>
      </w:r>
      <w:r>
        <w:rPr>
          <w:color w:val="000000"/>
          <w:shd w:val="clear" w:color="auto" w:fill="FFFFFF"/>
        </w:rPr>
        <w:t xml:space="preserve"> kerülik az ajánlattételi eljárás kimenetelének utólagos kiigazítását (például az </w:t>
      </w:r>
      <w:r>
        <w:rPr>
          <w:shd w:val="clear" w:color="auto" w:fill="FFFFFF"/>
        </w:rPr>
        <w:t xml:space="preserve">ajánlattétel eredményéről folytatott utólagos tárgyalásokat vagy az arányosítást) </w:t>
      </w:r>
      <w:r>
        <w:t>(az iránymutatás 49. pontjának d) alpontja)</w:t>
      </w:r>
      <w:r>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tab/>
      </w:r>
    </w:p>
    <w:p w14:paraId="75000EF2" w14:textId="1ECAB552" w:rsidR="004312C0" w:rsidRDefault="00E50157" w:rsidP="00451471">
      <w:pPr>
        <w:pStyle w:val="ListParagraph"/>
        <w:numPr>
          <w:ilvl w:val="0"/>
          <w:numId w:val="4"/>
        </w:numPr>
        <w:spacing w:before="120" w:after="120"/>
        <w:ind w:left="567" w:hanging="567"/>
        <w:contextualSpacing w:val="0"/>
        <w:jc w:val="both"/>
      </w:pPr>
      <w:r>
        <w:t>Abban az esetben, ha fennáll a „támogatás igénybevétele nélküli ajánlatok” lehetősége, kérjük, ismertesse, hogyan biztosítják az arányosságot (lásd az iránymutatás 49. pontját és (42) lábjegyzetét).</w:t>
      </w:r>
    </w:p>
    <w:p w14:paraId="1E4A45E3" w14:textId="0DB0F887" w:rsidR="004312C0" w:rsidRDefault="004312C0" w:rsidP="004312C0">
      <w:pPr>
        <w:tabs>
          <w:tab w:val="left" w:leader="dot" w:pos="9072"/>
        </w:tabs>
        <w:spacing w:before="120" w:after="120"/>
        <w:ind w:left="720"/>
        <w:jc w:val="both"/>
      </w:pPr>
      <w:r>
        <w:tab/>
      </w:r>
    </w:p>
    <w:p w14:paraId="28DC54A8" w14:textId="619AD5F1" w:rsidR="00E50157" w:rsidRPr="009D65D3" w:rsidRDefault="00C432AE" w:rsidP="00451471">
      <w:pPr>
        <w:pStyle w:val="ListParagraph"/>
        <w:numPr>
          <w:ilvl w:val="0"/>
          <w:numId w:val="4"/>
        </w:numPr>
        <w:spacing w:before="120" w:after="120"/>
        <w:ind w:left="567" w:hanging="567"/>
        <w:contextualSpacing w:val="0"/>
        <w:jc w:val="both"/>
      </w:pPr>
      <w:r>
        <w:t>Kérjük, tisztázza, hogy a hatóságok előirányozzák-e minimálárak vagy árplafonok használatát a versenyeztetéses ajánlattételi eljárásban. Ha igen, kérjük, indokolja azok használatát, és fejtse ki, hogy azok miért nem korlátozzák a versenyeztetéses ajánlattételi eljárást (az iránymutatás 49. pontja és (42) lábjegyzete).</w:t>
      </w:r>
    </w:p>
    <w:p w14:paraId="2BD40BEB" w14:textId="2F36864B" w:rsidR="00C04541" w:rsidRPr="009D65D3" w:rsidRDefault="00E50157" w:rsidP="00DB52AD">
      <w:pPr>
        <w:tabs>
          <w:tab w:val="left" w:leader="dot" w:pos="9072"/>
        </w:tabs>
        <w:spacing w:before="120" w:after="120"/>
        <w:ind w:left="567"/>
        <w:jc w:val="both"/>
      </w:pPr>
      <w:r>
        <w:lastRenderedPageBreak/>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Támogatáshalmozódás</w:t>
            </w:r>
          </w:p>
        </w:tc>
      </w:tr>
    </w:tbl>
    <w:p w14:paraId="2346A85D" w14:textId="05ED6D8A" w:rsidR="00B21377" w:rsidRPr="002A3B51" w:rsidRDefault="00B21377" w:rsidP="00B21377">
      <w:pPr>
        <w:pStyle w:val="ListParagraph"/>
        <w:spacing w:before="120" w:after="120"/>
        <w:ind w:left="567"/>
        <w:contextualSpacing w:val="0"/>
        <w:jc w:val="both"/>
      </w:pPr>
      <w:r>
        <w:rPr>
          <w:i/>
        </w:rPr>
        <w:t>Az e szakaszban kért információk közlésével kapcsolatban lásd az iránymutatás 56–57. pontját.</w:t>
      </w:r>
    </w:p>
    <w:p w14:paraId="7159B0AA" w14:textId="0C0E5F83" w:rsidR="00E5484B" w:rsidRPr="002A3B51" w:rsidRDefault="00D71498" w:rsidP="00451471">
      <w:pPr>
        <w:pStyle w:val="ListParagraph"/>
        <w:numPr>
          <w:ilvl w:val="0"/>
          <w:numId w:val="4"/>
        </w:numPr>
        <w:spacing w:before="120" w:after="120"/>
        <w:ind w:left="567" w:hanging="567"/>
        <w:contextualSpacing w:val="0"/>
        <w:jc w:val="both"/>
      </w:pPr>
      <w:r>
        <w:t>Amennyiben az általános bejelentési formanyomtatvány I. részében még nem szerepel, és az iránymutatás 56. pontjának való megfelelés ellenőrzése céljából kérjük, tisztázza, hogy a bejelentett intézkedés(ek) keretében nyújtott támogatás egyidejűleg több támogatási program keretében is odaítélhető-e, vagy ad hoc, illetve csekély összegű támogatással halmozható-e ugyanazon elszámolható költségek vonatkozásában. Ebben az esetben kérjük, részletesen ismertesse e támogatási programokat, ad hoc, illetve csekély összegű támogatást, és a támogatás halmozódásának módját.</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Ha az iránymutatás 56. pontja alkalmazandó, kérjük, indokolja, hogy a bejelentett intézkedés(ek) keretében projekthez vagy tevékenységhez nyújtott támogatás teljes összege miért nem eredményez túlkompenzációt, illetve miért nem lépi túl az iránymutatás 267–273. pontjában megengedett maximális támogatási összeget. Kérjük, határozza meg az iránymutatás 56. pontjában meghatározott feltételeknek való megfelelés biztosítására alkalmazott módszert mindegyik olyan intézkedésre vonatkozóan, amellyel a bejelentett támogatási intézkedés(ek) keretében nyújtott támogatás halmozható.</w:t>
      </w:r>
    </w:p>
    <w:p w14:paraId="5A4E851C" w14:textId="1587758B" w:rsidR="007257F0" w:rsidRPr="00EE2D70" w:rsidRDefault="007257F0" w:rsidP="007257F0">
      <w:pPr>
        <w:tabs>
          <w:tab w:val="left" w:leader="dot" w:pos="9072"/>
        </w:tabs>
        <w:spacing w:before="120" w:after="120"/>
        <w:ind w:left="567"/>
        <w:jc w:val="both"/>
      </w:pPr>
      <w:r>
        <w:tab/>
      </w:r>
    </w:p>
    <w:p w14:paraId="4B762428" w14:textId="1E72D9B7" w:rsidR="009861F5" w:rsidRPr="00EE2D70" w:rsidRDefault="00562354" w:rsidP="00451471">
      <w:pPr>
        <w:pStyle w:val="ListParagraph"/>
        <w:numPr>
          <w:ilvl w:val="0"/>
          <w:numId w:val="4"/>
        </w:numPr>
        <w:spacing w:before="120" w:after="120"/>
        <w:ind w:left="567" w:hanging="567"/>
        <w:contextualSpacing w:val="0"/>
        <w:jc w:val="both"/>
      </w:pPr>
      <w:r>
        <w:t>Ha az iránymutatás 57. pontja alkalmazandó, tehát a bejelentett intézkedés(ek) keretében nyújtott támogatást központilag kezelt (állami támogatásnak nem minősülő) uniós finanszírozással</w:t>
      </w:r>
      <w:r w:rsidR="009B2F61">
        <w:rPr>
          <w:rStyle w:val="FootnoteReference"/>
          <w:lang w:eastAsia="en-GB"/>
        </w:rPr>
        <w:footnoteReference w:id="17"/>
      </w:r>
      <w:r>
        <w:t xml:space="preserve"> kombinálják, kérjük, indokolja, </w:t>
      </w:r>
      <w:r>
        <w:rPr>
          <w:shd w:val="clear" w:color="auto" w:fill="FFFFFF"/>
        </w:rPr>
        <w:t>miért nem eredményez az ugyanazon elszámolható költségek vonatkozásában nyújtott állami finanszírozás teljes összege túlkompenzációt</w:t>
      </w:r>
      <w:r>
        <w:t>.</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Átláthatóság</w:t>
            </w:r>
          </w:p>
        </w:tc>
      </w:tr>
    </w:tbl>
    <w:p w14:paraId="07229A8F" w14:textId="0B40D8D2" w:rsidR="006773CE" w:rsidRPr="007C0A44" w:rsidRDefault="006773CE" w:rsidP="006773CE">
      <w:pPr>
        <w:spacing w:before="360" w:after="120"/>
        <w:jc w:val="both"/>
        <w:rPr>
          <w:i/>
        </w:rPr>
      </w:pPr>
      <w:r>
        <w:rPr>
          <w:i/>
        </w:rPr>
        <w:t>Az e szakaszban kért információk közlésével kapcsolatban lásd az iránymutatás 3.2.1.4. szakaszát (58–62. pontját).</w:t>
      </w:r>
    </w:p>
    <w:p w14:paraId="2F90DC37" w14:textId="37171301"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Kérjük, erősítse meg, hogy a tagállam teljesíteni fogja az iránymutatás 58–61. pontjában meghatározott átláthatósági követelményeket.</w:t>
      </w:r>
    </w:p>
    <w:p w14:paraId="635CE9AB" w14:textId="77777777" w:rsidR="00726BC8" w:rsidRPr="00AB745F" w:rsidRDefault="00726BC8" w:rsidP="00726BC8">
      <w:pPr>
        <w:tabs>
          <w:tab w:val="left" w:leader="dot" w:pos="9072"/>
        </w:tabs>
        <w:spacing w:before="120" w:after="120"/>
        <w:ind w:left="567"/>
        <w:jc w:val="both"/>
      </w:pPr>
      <w:r>
        <w:tab/>
      </w:r>
    </w:p>
    <w:p w14:paraId="7E7D2E18" w14:textId="51CAA064" w:rsidR="00726BC8" w:rsidRPr="00AB745F" w:rsidRDefault="00726BC8" w:rsidP="00451471">
      <w:pPr>
        <w:pStyle w:val="ListParagraph"/>
        <w:numPr>
          <w:ilvl w:val="0"/>
          <w:numId w:val="4"/>
        </w:numPr>
        <w:spacing w:before="120" w:after="120"/>
        <w:ind w:left="567" w:hanging="567"/>
        <w:contextualSpacing w:val="0"/>
        <w:jc w:val="both"/>
      </w:pPr>
      <w:r>
        <w:t>Kérjük, adja meg az internetes hivatkozást, ahol közzéteszik a jóváhagyott támogatási program vagy az egyedi támogatás odaítéléséről szóló határozat és a végrehajtására vonatkozó rendelkezések teljes szövegét és az eseti jelleggel nyújtott vagy az iránymutatás alapján jóváhagyott és 100 000 EUR-t meghaladó támogatási program keretében nyújtott egyedi támogatásokról szóló tájékoztatást.</w:t>
      </w:r>
    </w:p>
    <w:p w14:paraId="235E3AEB" w14:textId="77777777" w:rsidR="00726BC8" w:rsidRDefault="00726BC8" w:rsidP="00726BC8">
      <w:pPr>
        <w:tabs>
          <w:tab w:val="left" w:leader="dot" w:pos="9072"/>
        </w:tabs>
        <w:spacing w:before="120" w:after="120"/>
        <w:ind w:left="567"/>
        <w:jc w:val="both"/>
      </w:pPr>
      <w:r>
        <w:lastRenderedPageBreak/>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A támogatás versenyre és a kereskedelemre gyakorolt indokolatlan negatív hatásainak elkerülése, valamint kiegyenlítés</w:t>
            </w:r>
          </w:p>
        </w:tc>
      </w:tr>
    </w:tbl>
    <w:p w14:paraId="6CD3884F" w14:textId="65780DB1" w:rsidR="00F83660" w:rsidRPr="00B215FD" w:rsidRDefault="00F83660" w:rsidP="00F83660">
      <w:pPr>
        <w:spacing w:before="360" w:after="120"/>
        <w:jc w:val="both"/>
        <w:rPr>
          <w:i/>
        </w:rPr>
      </w:pPr>
      <w:r>
        <w:rPr>
          <w:i/>
        </w:rPr>
        <w:t>Az e szakaszban kért információk közlésével kapcsolatban lásd az iránymutatás 3.2.2. szakaszát (63–70. pontját) és 4.5.5. szakaszát (274–275. pontját).</w:t>
      </w:r>
    </w:p>
    <w:p w14:paraId="0A211E3D" w14:textId="49B238AF" w:rsidR="00F83660" w:rsidRPr="002178F0" w:rsidRDefault="00F83660" w:rsidP="008A6F77">
      <w:pPr>
        <w:pStyle w:val="ListParagraph"/>
        <w:numPr>
          <w:ilvl w:val="0"/>
          <w:numId w:val="4"/>
        </w:numPr>
        <w:spacing w:before="120" w:after="120"/>
        <w:ind w:left="567" w:hanging="567"/>
        <w:contextualSpacing w:val="0"/>
        <w:jc w:val="both"/>
      </w:pPr>
      <w:r>
        <w:t>Az iránymutatás 67. pontjának való megfelelés ellenőrzése céljából kérjük, adjon tájékoztatást a bejelentett intézkedés(ek) versenyre és kereskedelemre gyakorolt lehetséges rövid és hosszú távú negatív hatásairól.</w:t>
      </w:r>
    </w:p>
    <w:p w14:paraId="3391AE0D" w14:textId="77777777" w:rsidR="00F83660" w:rsidRPr="002178F0" w:rsidRDefault="00F83660" w:rsidP="00F83660">
      <w:pPr>
        <w:tabs>
          <w:tab w:val="left" w:leader="dot" w:pos="9072"/>
        </w:tabs>
        <w:spacing w:before="120" w:after="120"/>
        <w:ind w:left="567"/>
        <w:jc w:val="both"/>
      </w:pPr>
      <w:r>
        <w:tab/>
      </w:r>
    </w:p>
    <w:p w14:paraId="6F1F194C" w14:textId="5535754E" w:rsidR="00397D3C" w:rsidRPr="002178F0" w:rsidRDefault="00397D3C" w:rsidP="008A6F77">
      <w:pPr>
        <w:pStyle w:val="ListParagraph"/>
        <w:numPr>
          <w:ilvl w:val="0"/>
          <w:numId w:val="4"/>
        </w:numPr>
        <w:spacing w:before="120" w:after="120"/>
        <w:ind w:left="567" w:hanging="567"/>
        <w:contextualSpacing w:val="0"/>
        <w:jc w:val="both"/>
      </w:pPr>
      <w:r>
        <w:t>Kérjük, fejtse ki, hogy az intézkedésre vonatkozik-e bármely alábbi helyzet:</w:t>
      </w:r>
    </w:p>
    <w:p w14:paraId="554349FE" w14:textId="7696EC86" w:rsidR="00397D3C" w:rsidRPr="002178F0" w:rsidRDefault="00397D3C" w:rsidP="00B82F95">
      <w:pPr>
        <w:pStyle w:val="ListParagraph"/>
        <w:numPr>
          <w:ilvl w:val="1"/>
          <w:numId w:val="28"/>
        </w:numPr>
        <w:spacing w:before="120" w:after="120"/>
        <w:contextualSpacing w:val="0"/>
        <w:jc w:val="both"/>
      </w:pPr>
      <w:r>
        <w:t>Olyan piacot (vagy piacokat) érint, ahol a hagyományos piaci szereplők a piac liberalizációja előtt szereztek piaci erőt.</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Versenyeztetéses ajánlattételi eljárásokat von maga után kialakulóban lévő piacon/piacokon, amikor valamely piaci szereplő erős piaci pozícióval rendelkezik.</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Csak egy vagy különösen korlátozott számú kedvezményezettnek szól.</w:t>
      </w:r>
    </w:p>
    <w:p w14:paraId="400965A9" w14:textId="2D2C5BAD" w:rsidR="00C546A0" w:rsidRPr="002178F0" w:rsidRDefault="00C546A0" w:rsidP="00C546A0">
      <w:pPr>
        <w:tabs>
          <w:tab w:val="left" w:leader="dot" w:pos="9072"/>
        </w:tabs>
        <w:spacing w:before="120" w:after="120"/>
        <w:ind w:left="567"/>
        <w:jc w:val="both"/>
      </w:pPr>
      <w:r>
        <w:tab/>
      </w:r>
    </w:p>
    <w:p w14:paraId="3C7AA24B" w14:textId="7EE2021B" w:rsidR="00A404D9" w:rsidRPr="002178F0" w:rsidRDefault="00F85F88" w:rsidP="008A6F77">
      <w:pPr>
        <w:pStyle w:val="ListParagraph"/>
        <w:numPr>
          <w:ilvl w:val="0"/>
          <w:numId w:val="4"/>
        </w:numPr>
        <w:spacing w:before="120" w:after="120"/>
        <w:ind w:left="567" w:hanging="567"/>
        <w:contextualSpacing w:val="0"/>
        <w:jc w:val="both"/>
      </w:pPr>
      <w:r>
        <w:t>Amennyiben a támogatási intézkedés meghatározott technológiai választásra/útvonalra összpontosít, kérjük, indokolja a technológiai választást és azt, miért nem gátolja majd tisztább technológiák bevezetését.</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Ha a bejelentett intézkedés(ek) csak egy vagy különösen korlátozott számú kedvezményezettnek szól(nak), az iránymutatás 68. pontjának való megfelelés ellenőrzése céljából kérjük:</w:t>
      </w:r>
    </w:p>
    <w:p w14:paraId="05892635" w14:textId="438AD58D" w:rsidR="00F83660" w:rsidRPr="00B215FD" w:rsidRDefault="00D4206D" w:rsidP="008A6F77">
      <w:pPr>
        <w:pStyle w:val="ListParagraph"/>
        <w:numPr>
          <w:ilvl w:val="0"/>
          <w:numId w:val="43"/>
        </w:numPr>
        <w:spacing w:before="120" w:after="120"/>
        <w:contextualSpacing w:val="0"/>
        <w:jc w:val="both"/>
      </w:pPr>
      <w:r>
        <w:t>Fejtse ki, hogy a bejelentett intézkedés(ek) növeli(k)-e vagy fenntartja/fenntartják-e a kedvezményezett(ek) piaci erejét, illetve gátolja/gátolják-e a meglévő versenytársak terjeszkedését, előidézi(k)-e a versenytársak kilépését, vagy eltántorítja/eltántorítják-e az új versenytársakat a piacra lépéstől. E tekintetben azt is fejtse ki, hogy a támogatási intézkedés a kedvezményezett termelési kapacitásának növekedését eredményezi-e.</w:t>
      </w:r>
    </w:p>
    <w:p w14:paraId="798B76FF" w14:textId="77777777" w:rsidR="00F83660" w:rsidRPr="00B215FD" w:rsidRDefault="00F83660" w:rsidP="00F83660">
      <w:pPr>
        <w:tabs>
          <w:tab w:val="left" w:leader="dot" w:pos="9072"/>
        </w:tabs>
        <w:spacing w:before="120" w:after="120"/>
        <w:ind w:left="567"/>
        <w:jc w:val="both"/>
      </w:pPr>
      <w:r>
        <w:tab/>
      </w:r>
    </w:p>
    <w:p w14:paraId="76611A3B" w14:textId="3F77BEAB" w:rsidR="00F83660" w:rsidRPr="00B215FD" w:rsidRDefault="00D4206D" w:rsidP="008A6F77">
      <w:pPr>
        <w:pStyle w:val="ListParagraph"/>
        <w:numPr>
          <w:ilvl w:val="0"/>
          <w:numId w:val="43"/>
        </w:numPr>
        <w:spacing w:before="120" w:after="120"/>
        <w:contextualSpacing w:val="0"/>
        <w:jc w:val="both"/>
      </w:pPr>
      <w:r>
        <w:t>Ismertesse a kedvezményezett(ek) támogatásban részesítése által esetlegesen előidőzett versenytorzulás korlátozására hozott intézkedés(eke)t.</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Az iránymutatás 69. pontjának való megfelelés ellenőrzése céljából kérjük, fejtse ki az alábbiakat:</w:t>
      </w:r>
    </w:p>
    <w:p w14:paraId="4FA1E951" w14:textId="6FDA7F82" w:rsidR="00787938" w:rsidRDefault="00787938" w:rsidP="008A6F77">
      <w:pPr>
        <w:pStyle w:val="ListParagraph"/>
        <w:numPr>
          <w:ilvl w:val="0"/>
          <w:numId w:val="44"/>
        </w:numPr>
        <w:spacing w:before="120" w:after="120"/>
        <w:contextualSpacing w:val="0"/>
        <w:jc w:val="both"/>
      </w:pPr>
      <w:r>
        <w:lastRenderedPageBreak/>
        <w:t>A bejelentett intézkedés(ek) keretében nyújtott támogatás gazdasági tevékenységnek a belső piac egy adott régióján belüli megőrzésére vagy más régiókból való áthelyezésére irányul-e:</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Ha igen, kérjük, adja meg, mi a bejelentett intézkedés(ek) nettó környezeti hatása, és hogyan javítja/javítják a bejelentett intézkedés(ek) a környezetvédelem meglévő szintjét a tagállamokban:</w:t>
      </w:r>
    </w:p>
    <w:p w14:paraId="4F9F5FD3" w14:textId="77777777" w:rsidR="00F83660" w:rsidRPr="009E0FCA" w:rsidRDefault="00F83660" w:rsidP="00F83660">
      <w:pPr>
        <w:tabs>
          <w:tab w:val="left" w:leader="dot" w:pos="9072"/>
        </w:tabs>
        <w:spacing w:before="120" w:after="120"/>
        <w:ind w:left="567"/>
        <w:jc w:val="both"/>
      </w:pPr>
      <w:r>
        <w:tab/>
      </w:r>
    </w:p>
    <w:p w14:paraId="302C0037" w14:textId="2C5A92D1" w:rsidR="00F83660" w:rsidRPr="001D7B55" w:rsidRDefault="00787938" w:rsidP="008A6F77">
      <w:pPr>
        <w:pStyle w:val="ListParagraph"/>
        <w:numPr>
          <w:ilvl w:val="0"/>
          <w:numId w:val="44"/>
        </w:numPr>
        <w:spacing w:before="120" w:after="120"/>
        <w:contextualSpacing w:val="0"/>
        <w:jc w:val="both"/>
      </w:pPr>
      <w:r>
        <w:t>Miért nem gyakorol a bejelentett intézkedés(ek) keretében nyújtott támogatás nyilvánvalóan negatív hatást a versenyre és a kereskedelemre:</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Egyedi támogatás esetén a kedvezményezett által végrehajtandó beruházások helyszínének kiválasztását meghatározó fő tényezők:</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Az iránymutatás 70. pontjának való megfelelés ellenőrzése céljából:</w:t>
      </w:r>
    </w:p>
    <w:p w14:paraId="2E397074" w14:textId="25620A31" w:rsidR="00E84057" w:rsidRPr="00AC286A" w:rsidRDefault="00E84057" w:rsidP="008A6F77">
      <w:pPr>
        <w:pStyle w:val="ListParagraph"/>
        <w:numPr>
          <w:ilvl w:val="0"/>
          <w:numId w:val="45"/>
        </w:numPr>
        <w:spacing w:before="120" w:after="120"/>
        <w:contextualSpacing w:val="0"/>
        <w:jc w:val="both"/>
      </w:pPr>
      <w:r>
        <w:t xml:space="preserve">Kérjük, erősítse meg, </w:t>
      </w:r>
      <w:r>
        <w:rPr>
          <w:color w:val="000000"/>
          <w:shd w:val="clear" w:color="auto" w:fill="FFFFFF"/>
        </w:rPr>
        <w:t>hogy a bejelentett program keretében a támogatást összeegyeztethetőnek nyilvánító bizottsági határozatról szóló értesítés napjától számított</w:t>
      </w:r>
      <w:r>
        <w:t xml:space="preserve"> legfeljebb 10 éven belül nyújtható támogatás:</w:t>
      </w:r>
    </w:p>
    <w:p w14:paraId="6C9BCC6F" w14:textId="77777777" w:rsidR="00E84057" w:rsidRPr="00AC286A" w:rsidRDefault="00E84057" w:rsidP="00E84057">
      <w:pPr>
        <w:tabs>
          <w:tab w:val="left" w:leader="dot" w:pos="9072"/>
        </w:tabs>
        <w:spacing w:before="120" w:after="120"/>
        <w:ind w:left="1440"/>
        <w:jc w:val="both"/>
      </w:pPr>
      <w:r>
        <w:tab/>
      </w:r>
    </w:p>
    <w:p w14:paraId="2FFEA44E" w14:textId="3D2DB452" w:rsidR="00E84057" w:rsidRPr="00AC286A" w:rsidRDefault="00E84057" w:rsidP="008A6F77">
      <w:pPr>
        <w:pStyle w:val="ListParagraph"/>
        <w:numPr>
          <w:ilvl w:val="0"/>
          <w:numId w:val="45"/>
        </w:numPr>
        <w:spacing w:before="120" w:after="120"/>
        <w:contextualSpacing w:val="0"/>
        <w:jc w:val="both"/>
      </w:pPr>
      <w:r>
        <w:t>Kérjük, erősítse meg, hogy ha a magyar hatóságok a program időtartamát a maximális időtartamon túl kívánják meghosszabbítani, akkor újra bejelentik az intézkedést:</w:t>
      </w:r>
    </w:p>
    <w:p w14:paraId="56F2000D" w14:textId="77777777" w:rsidR="00E84057" w:rsidRPr="00AC286A" w:rsidRDefault="00E84057" w:rsidP="00E84057">
      <w:pPr>
        <w:tabs>
          <w:tab w:val="left" w:leader="dot" w:pos="9072"/>
        </w:tabs>
        <w:spacing w:before="120" w:after="120"/>
        <w:ind w:left="720"/>
        <w:jc w:val="both"/>
      </w:pPr>
      <w:r>
        <w:tab/>
      </w:r>
    </w:p>
    <w:p w14:paraId="37787B1E" w14:textId="1D6B8250" w:rsidR="002C45A2" w:rsidRDefault="002C45A2" w:rsidP="008A6F77">
      <w:pPr>
        <w:pStyle w:val="ListParagraph"/>
        <w:numPr>
          <w:ilvl w:val="0"/>
          <w:numId w:val="4"/>
        </w:numPr>
        <w:spacing w:before="120" w:after="120"/>
        <w:ind w:left="567" w:hanging="567"/>
        <w:contextualSpacing w:val="0"/>
        <w:jc w:val="both"/>
      </w:pPr>
      <w:r>
        <w:t>Ha a támogatást kibocsátáskereskedelmi egységek formájában nyújtják, az iránymutatás 275. pontjának való megfelelés ellenőrzése céljából kérjük, erősítse meg, hogy az intézkedés teljesíti az összes következő kritériumot:</w:t>
      </w:r>
    </w:p>
    <w:p w14:paraId="77783B19" w14:textId="5624D437" w:rsidR="002C45A2" w:rsidRDefault="00F60556" w:rsidP="008A6F77">
      <w:pPr>
        <w:pStyle w:val="ListParagraph"/>
        <w:numPr>
          <w:ilvl w:val="0"/>
          <w:numId w:val="46"/>
        </w:numPr>
        <w:spacing w:before="120" w:after="120"/>
        <w:contextualSpacing w:val="0"/>
        <w:jc w:val="both"/>
      </w:pPr>
      <w:r>
        <w:t>A kedvezményezettek kiválasztása objektív és átlátható kritériumokon alapul, és a támogatást egyazon ágazatban minden versenytárs számára alapvetően azonos módon nyújtják, ha azok tényszerűen hasonló helyzetben vannak.</w:t>
      </w:r>
    </w:p>
    <w:p w14:paraId="42AB8BE5" w14:textId="77777777" w:rsidR="00970586" w:rsidRPr="009E0FCA" w:rsidRDefault="00970586" w:rsidP="00C47CAC">
      <w:pPr>
        <w:tabs>
          <w:tab w:val="left" w:leader="dot" w:pos="9072"/>
        </w:tabs>
        <w:spacing w:before="120" w:after="120"/>
        <w:ind w:left="567"/>
        <w:jc w:val="both"/>
      </w:pPr>
      <w:r>
        <w:tab/>
      </w:r>
    </w:p>
    <w:p w14:paraId="025C871A" w14:textId="4072E658" w:rsidR="004438D6" w:rsidRDefault="00F60556" w:rsidP="008A6F77">
      <w:pPr>
        <w:pStyle w:val="ListParagraph"/>
        <w:numPr>
          <w:ilvl w:val="0"/>
          <w:numId w:val="46"/>
        </w:numPr>
        <w:spacing w:before="120" w:after="120"/>
        <w:jc w:val="both"/>
      </w:pPr>
      <w:r>
        <w:t>A kiosztás megállapításának módszere nem kedvez bizonyos vállalkozásoknak vagy ágazatoknak.</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Amennyiben a kiosztás megállapításának módszere kedvez bizonyos vállalkozásoknak vagy ágazatoknak, kérjük, ismertesse, hogy ez magának a rendszernek a környezetvédelmi logikája miatt indokolt, vagy az egyéb környezetvédelmi politikáknak való megfelelés miatt szükséges.</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Az új belépők nem kapnak az adott piacon már működő vállalkozásoknál kedvezőbb feltételekkel nyújtott engedélyeket vagy juttatásokat.</w:t>
      </w:r>
    </w:p>
    <w:p w14:paraId="3F707495" w14:textId="09709D0F" w:rsidR="00970586" w:rsidRDefault="00970586" w:rsidP="00C47CAC">
      <w:pPr>
        <w:tabs>
          <w:tab w:val="left" w:leader="dot" w:pos="9072"/>
        </w:tabs>
        <w:spacing w:before="120" w:after="120"/>
        <w:ind w:left="567"/>
        <w:jc w:val="both"/>
      </w:pPr>
      <w:r>
        <w:lastRenderedPageBreak/>
        <w:tab/>
      </w:r>
    </w:p>
    <w:p w14:paraId="418DBCD7" w14:textId="71B66ECC" w:rsidR="00970586" w:rsidRDefault="004438D6" w:rsidP="008A6F77">
      <w:pPr>
        <w:pStyle w:val="ListParagraph"/>
        <w:numPr>
          <w:ilvl w:val="0"/>
          <w:numId w:val="46"/>
        </w:numPr>
        <w:spacing w:before="120" w:after="120"/>
        <w:jc w:val="both"/>
      </w:pPr>
      <w:r>
        <w:t>Amennyiben a meglévő létesítmények az új belépőkénél magasabb kiosztásban részesülnek, ez nem képezhet indokolatlan belépési akadályt.</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A támogatás pozitív hatásainak összevetése a versenyre és a kereskedelemre gyakorolt negatív hatásokkal</w:t>
            </w:r>
          </w:p>
        </w:tc>
      </w:tr>
    </w:tbl>
    <w:p w14:paraId="2BA426DC" w14:textId="12FB890D" w:rsidR="00265702" w:rsidRPr="00863406" w:rsidRDefault="00265702" w:rsidP="00265702">
      <w:pPr>
        <w:spacing w:before="360" w:after="120"/>
        <w:jc w:val="both"/>
        <w:rPr>
          <w:i/>
          <w:color w:val="000000"/>
        </w:rPr>
      </w:pPr>
      <w:r>
        <w:rPr>
          <w:i/>
        </w:rPr>
        <w:t>Az e szakaszban kért információk közlésével kapcsolatban lásd az iránymutatás 3.3. szakaszát (71–76. pontját).</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Az iránymutatás 72. pontjának való megfelelés ellenőrzése érdekében kérjük, fejtse ki, hogy a bejelentett intézkedés keretében támogatott tevékenységek megfelelnek-e az (EU) 2020/852 európai parlamenti és tanácsi rendelet</w:t>
      </w:r>
      <w:r w:rsidRPr="008772CC">
        <w:rPr>
          <w:rStyle w:val="FootnoteReference"/>
          <w:lang w:eastAsia="en-GB"/>
        </w:rPr>
        <w:footnoteReference w:id="18"/>
      </w:r>
      <w:r>
        <w:t xml:space="preserve"> 3. cikkében a környezeti szempontból fenntartható gazdasági tevékenységekre vonatkozóan </w:t>
      </w:r>
      <w:r>
        <w:rPr>
          <w:shd w:val="clear" w:color="auto" w:fill="FFFFFF"/>
        </w:rPr>
        <w:t>előírt</w:t>
      </w:r>
      <w:r>
        <w:t xml:space="preserve"> kritériumoknak, </w:t>
      </w:r>
      <w:r>
        <w:rPr>
          <w:shd w:val="clear" w:color="auto" w:fill="FFFFFF"/>
        </w:rPr>
        <w:t>beleértve a „jelentős károkozás elkerülését célzó elvet” vagy más hasonló módszertant</w:t>
      </w:r>
      <w:r>
        <w:t>.</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(Versenyeztetéses ajánlattételi eljárás esetén) Kérjük, fejtse ki, hogy a bejelentett intézkedés(ek)nek vannak-e olyan elemei, amelyek megkönnyítik a kkv-k versenyeztetéses ajánlattételi eljárásokban való részvételét. Ha igen, kérjük, ismertesse ezeket a jellemzőket, és indokolja, miért haladják meg a kkv-k részvételének biztosításából fakadó pozitív hatások a lehetséges torzító hatásokat.</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C. szakasz: Értékelés</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Az e szakaszban kért információk közlésével kapcsolatban lásd az iránymutatás 5. fejezetét (455–463. pontját).</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Ha a bejelentett intézkedés(ek) túllépik az iránymutatás 456. pontjában foglalt költségvetésre/kiadásokra vonatkozó küszöbértéket, kérjük, fejtse ki, hogy álláspontjuk szerint miért alkalmazandó az iránymutatás 457. pontjában meghatározott kivétel, vagy mellékletben csatolja ehhez a kiegészítő adatlaphoz az iránymutatás 458. pontjában előírt tartalmú értékelési terv tervezetét</w:t>
      </w:r>
      <w:r w:rsidR="008472A5" w:rsidRPr="00AC286A">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Értékelési terv tervezetének benyújtása esetén kérjük:</w:t>
      </w:r>
    </w:p>
    <w:p w14:paraId="61554CC9" w14:textId="77777777" w:rsidR="00571769" w:rsidRDefault="00571769" w:rsidP="00B82F95">
      <w:pPr>
        <w:pStyle w:val="ListParagraph"/>
        <w:numPr>
          <w:ilvl w:val="0"/>
          <w:numId w:val="33"/>
        </w:numPr>
        <w:spacing w:before="120" w:after="120"/>
        <w:contextualSpacing w:val="0"/>
        <w:jc w:val="both"/>
      </w:pPr>
      <w:r>
        <w:lastRenderedPageBreak/>
        <w:t>Az alábbiakban foglalja össze az értékelési terv mellékletben csatolt tervezetét:</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Erősítse meg, hogy az iránymutatás 460. pontját betartják:</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Adja meg az értékelési terv közzétételének időpontját és az internetes hivatkozást, ahol nyilvánosan hozzáférhető lesz:</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56C56B59" w:rsidR="00576C43" w:rsidRPr="0051324D" w:rsidRDefault="00576C43" w:rsidP="008A6F77">
      <w:pPr>
        <w:pStyle w:val="ListParagraph"/>
        <w:numPr>
          <w:ilvl w:val="0"/>
          <w:numId w:val="4"/>
        </w:numPr>
        <w:spacing w:before="120" w:after="120"/>
        <w:ind w:left="567" w:hanging="567"/>
        <w:contextualSpacing w:val="0"/>
        <w:jc w:val="both"/>
      </w:pPr>
      <w:r>
        <w:t>Az iránymutatás 459. pontja b) alpontjának való megfelelés ellenőrzése céljából, amennyiben a támogatási program jelenleg nem képezi utólagos értékelés tárgyát, és időtartama meghaladja a három évet, kérjük, erősítse meg, hogy értékelési terv tervezetét jelentik be 30 munkanapon belül az olyan jelentős módosítást követően, amely a program költségvetését bármely évben 150 millió EUR vagy a program teljes időtartama alatt 750 millió EUR fölé növeli.</w:t>
      </w:r>
    </w:p>
    <w:p w14:paraId="64CE86FA" w14:textId="77777777" w:rsidR="00576C43" w:rsidRPr="0051324D" w:rsidRDefault="00576C43" w:rsidP="00576C43">
      <w:pPr>
        <w:tabs>
          <w:tab w:val="left" w:leader="dot" w:pos="9072"/>
        </w:tabs>
        <w:spacing w:before="120" w:after="120"/>
        <w:ind w:left="567"/>
        <w:jc w:val="both"/>
      </w:pPr>
      <w:r>
        <w:tab/>
      </w:r>
    </w:p>
    <w:p w14:paraId="621D0B78" w14:textId="6EB414F0" w:rsidR="00576C43" w:rsidRPr="0051324D" w:rsidRDefault="00576C43" w:rsidP="008A6F77">
      <w:pPr>
        <w:pStyle w:val="ListParagraph"/>
        <w:numPr>
          <w:ilvl w:val="0"/>
          <w:numId w:val="4"/>
        </w:numPr>
        <w:spacing w:before="120" w:after="120"/>
        <w:ind w:left="567" w:hanging="567"/>
        <w:contextualSpacing w:val="0"/>
        <w:jc w:val="both"/>
      </w:pPr>
      <w:r>
        <w:t xml:space="preserve">Az iránymutatás 459. pontja c) alpontjának való megfelelés ellenőrzése céljából, amennyiben a támogatási program jelenleg nem képezi utólagos értékelés tárgyát, kérjük, az alábbiakban vállaljon kötelezettséget arra, hogy a tagállam értékelési terv tervezetét jelenti be </w:t>
      </w:r>
      <w:r>
        <w:rPr>
          <w:shd w:val="clear" w:color="auto" w:fill="FFFFFF"/>
        </w:rPr>
        <w:t>30 munkanapon belül azt követően, hogy az előző évre vonatkozóan 150 millió EUR-t meghaladó kiadások kerülnek be a hivatalos elszámolásba</w:t>
      </w:r>
      <w:r>
        <w:t>.</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Az iránymutatás 461. pontjának való megfelelés ellenőrzése céljából:</w:t>
      </w:r>
    </w:p>
    <w:p w14:paraId="3A9B542E" w14:textId="089343AF" w:rsidR="00277BC0" w:rsidRPr="0051324D" w:rsidRDefault="00277BC0" w:rsidP="008A6F77">
      <w:pPr>
        <w:pStyle w:val="ListParagraph"/>
        <w:numPr>
          <w:ilvl w:val="0"/>
          <w:numId w:val="47"/>
        </w:numPr>
        <w:spacing w:before="120" w:after="120"/>
        <w:contextualSpacing w:val="0"/>
        <w:jc w:val="both"/>
      </w:pPr>
      <w:r>
        <w:t>Kérjük, tisztázza, hogy már kiválasztották-e vagy a későbbiekben fogják kiválasztani a független szakértőt.</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Kérjük, adjon információt a szakértő kiválasztására szolgáló eljárásról.</w:t>
      </w:r>
    </w:p>
    <w:p w14:paraId="3A85B5D0" w14:textId="29760030" w:rsidR="004165E0" w:rsidRPr="0051324D" w:rsidRDefault="004165E0" w:rsidP="004165E0">
      <w:pPr>
        <w:tabs>
          <w:tab w:val="left" w:leader="dot" w:pos="9072"/>
        </w:tabs>
        <w:spacing w:before="120" w:after="120"/>
        <w:ind w:left="567"/>
        <w:jc w:val="both"/>
      </w:pPr>
      <w:r>
        <w:tab/>
      </w:r>
    </w:p>
    <w:p w14:paraId="6615DE04" w14:textId="0D9432B4" w:rsidR="004165E0" w:rsidRPr="0051324D" w:rsidRDefault="00277BC0" w:rsidP="008A6F77">
      <w:pPr>
        <w:pStyle w:val="ListParagraph"/>
        <w:numPr>
          <w:ilvl w:val="0"/>
          <w:numId w:val="47"/>
        </w:numPr>
        <w:spacing w:before="120" w:after="120"/>
        <w:contextualSpacing w:val="0"/>
        <w:jc w:val="both"/>
      </w:pPr>
      <w:r>
        <w:t>Kérjük, indokolja a szakértő engedélyező hatóságtól való függetlenségét.</w:t>
      </w:r>
    </w:p>
    <w:p w14:paraId="43CB3832" w14:textId="77777777" w:rsidR="004165E0" w:rsidRPr="0051324D" w:rsidRDefault="004165E0" w:rsidP="004165E0">
      <w:pPr>
        <w:tabs>
          <w:tab w:val="left" w:leader="dot" w:pos="9072"/>
        </w:tabs>
        <w:spacing w:before="120" w:after="120"/>
        <w:ind w:left="567"/>
        <w:jc w:val="both"/>
      </w:pPr>
      <w:r>
        <w:tab/>
      </w:r>
    </w:p>
    <w:p w14:paraId="14172C76" w14:textId="0969CC15" w:rsidR="00A42834" w:rsidRPr="0051324D" w:rsidRDefault="006F0AE2" w:rsidP="008A6F77">
      <w:pPr>
        <w:pStyle w:val="ListParagraph"/>
        <w:numPr>
          <w:ilvl w:val="0"/>
          <w:numId w:val="4"/>
        </w:numPr>
        <w:spacing w:before="120" w:after="120"/>
        <w:ind w:left="567" w:hanging="567"/>
        <w:contextualSpacing w:val="0"/>
        <w:jc w:val="both"/>
      </w:pPr>
      <w:r>
        <w:t>Az iránymutatás 461. pontjának való megfelelés ellenőrzése céljából:</w:t>
      </w:r>
    </w:p>
    <w:p w14:paraId="342FFFFA" w14:textId="62A42954" w:rsidR="0036428C" w:rsidRPr="0051324D" w:rsidRDefault="002C0264" w:rsidP="008A6F77">
      <w:pPr>
        <w:pStyle w:val="ListParagraph"/>
        <w:numPr>
          <w:ilvl w:val="0"/>
          <w:numId w:val="48"/>
        </w:numPr>
        <w:spacing w:before="120" w:after="120"/>
        <w:contextualSpacing w:val="0"/>
        <w:jc w:val="both"/>
      </w:pPr>
      <w:r>
        <w:t>Kérjük, adja meg az időközi és a végső értékelési jelentés benyújtására vonatkozóan javasolt határidőket. Felhívjuk a figyelmet arra, hogy az 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3AC6E6F2" w:rsidR="001169CB" w:rsidRPr="0051324D" w:rsidRDefault="0036428C" w:rsidP="008A6F77">
      <w:pPr>
        <w:pStyle w:val="ListParagraph"/>
        <w:numPr>
          <w:ilvl w:val="0"/>
          <w:numId w:val="48"/>
        </w:numPr>
        <w:spacing w:before="120" w:after="120"/>
        <w:contextualSpacing w:val="0"/>
        <w:jc w:val="both"/>
      </w:pPr>
      <w:r>
        <w:t>Kérjük, erősítse meg, hogy az időközi és a végső értékelési jelentést közzéteszik. Kérjük, adja meg e jelentések közzétételének időpontját és az internetes hivatkozást, ahol nyilvánosan hozzáférhetők lesznek.</w:t>
      </w:r>
    </w:p>
    <w:p w14:paraId="3784DF29" w14:textId="0F23C278" w:rsidR="00B2631C" w:rsidRPr="0051324D" w:rsidRDefault="001169CB">
      <w:pPr>
        <w:tabs>
          <w:tab w:val="left" w:leader="dot" w:pos="9072"/>
        </w:tabs>
        <w:spacing w:before="120" w:after="120"/>
        <w:ind w:left="567"/>
        <w:jc w:val="both"/>
      </w:pPr>
      <w:r>
        <w:lastRenderedPageBreak/>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D. szakasz – Jelentéstétel és nyomon követés</w:t>
            </w:r>
          </w:p>
        </w:tc>
      </w:tr>
    </w:tbl>
    <w:p w14:paraId="1C16B3DB" w14:textId="77777777" w:rsidR="006F0AE2" w:rsidRPr="0051324D" w:rsidRDefault="006F0AE2" w:rsidP="006F0AE2">
      <w:pPr>
        <w:tabs>
          <w:tab w:val="left" w:leader="dot" w:pos="9072"/>
        </w:tabs>
        <w:spacing w:before="120" w:after="120"/>
        <w:ind w:left="567"/>
        <w:jc w:val="both"/>
      </w:pPr>
      <w:r>
        <w:rPr>
          <w:i/>
        </w:rPr>
        <w:t>Az e szakaszban kért információk közlésével kapcsolatban lásd az iránymutatás 6. szakaszát (464. és 465. pontját).</w:t>
      </w:r>
    </w:p>
    <w:p w14:paraId="0AD3805C" w14:textId="48B92343" w:rsidR="006F0AE2" w:rsidRDefault="006F0AE2" w:rsidP="00451471">
      <w:pPr>
        <w:pStyle w:val="ListParagraph"/>
        <w:numPr>
          <w:ilvl w:val="0"/>
          <w:numId w:val="4"/>
        </w:numPr>
        <w:spacing w:before="120" w:after="120"/>
        <w:ind w:left="567" w:hanging="567"/>
        <w:contextualSpacing w:val="0"/>
        <w:jc w:val="both"/>
      </w:pPr>
      <w:r>
        <w:t>Kérjük, erősítse meg, hogy a tagállam teljesíti az iránymutatás 6. szakaszának 464. és 465. pontjában meghatározott jelentéstételi és nyomonkövetési követelményeket.</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97785" w14:textId="77777777" w:rsidR="009D3645" w:rsidRDefault="009D3645" w:rsidP="000442F5">
      <w:r>
        <w:separator/>
      </w:r>
    </w:p>
  </w:endnote>
  <w:endnote w:type="continuationSeparator" w:id="0">
    <w:p w14:paraId="4657DBE1" w14:textId="77777777" w:rsidR="009D3645" w:rsidRDefault="009D3645" w:rsidP="000442F5">
      <w:r>
        <w:continuationSeparator/>
      </w:r>
    </w:p>
  </w:endnote>
  <w:endnote w:type="continuationNotice" w:id="1">
    <w:p w14:paraId="61407F4E" w14:textId="77777777" w:rsidR="009D3645" w:rsidRDefault="009D3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4AADA" w14:textId="77777777" w:rsidR="009D3645" w:rsidRDefault="009D3645" w:rsidP="000442F5">
      <w:r>
        <w:separator/>
      </w:r>
    </w:p>
  </w:footnote>
  <w:footnote w:type="continuationSeparator" w:id="0">
    <w:p w14:paraId="39C67FC5" w14:textId="77777777" w:rsidR="009D3645" w:rsidRDefault="009D3645" w:rsidP="000442F5">
      <w:r>
        <w:continuationSeparator/>
      </w:r>
    </w:p>
  </w:footnote>
  <w:footnote w:type="continuationNotice" w:id="1">
    <w:p w14:paraId="6E17D75D" w14:textId="77777777" w:rsidR="009D3645" w:rsidRDefault="009D3645"/>
  </w:footnote>
  <w:footnote w:id="2">
    <w:p w14:paraId="2E1DAC13" w14:textId="108E9C5E" w:rsidR="005B06D6" w:rsidRPr="0067348B" w:rsidRDefault="005B06D6" w:rsidP="007B485D">
      <w:pPr>
        <w:pStyle w:val="FootnoteText"/>
      </w:pPr>
      <w:r>
        <w:rPr>
          <w:rStyle w:val="FootnoteReference"/>
        </w:rPr>
        <w:footnoteRef/>
      </w:r>
      <w:r>
        <w:tab/>
        <w:t>HL C 80., 2022.2.18., 1. o.</w:t>
      </w:r>
    </w:p>
  </w:footnote>
  <w:footnote w:id="3">
    <w:p w14:paraId="721B2C3E" w14:textId="3910733D" w:rsidR="005B06D6" w:rsidRDefault="005B06D6" w:rsidP="002A2C73">
      <w:pPr>
        <w:pStyle w:val="FootnoteText"/>
      </w:pPr>
      <w:r>
        <w:rPr>
          <w:rStyle w:val="FootnoteReference"/>
        </w:rPr>
        <w:footnoteRef/>
      </w:r>
      <w:r>
        <w:tab/>
        <w:t>Felhívjuk a figyelmet arra, hogy támogatási program esetében az időtartam annak az időszaknak felel meg, amelyben támogatási kérelmet lehet benyújtani, illetve támogatásról lehet dönteni (tehát ideértve a nemzeti hatóságok számára a támogatási kérelmek jóváhagyásához szükséges időt is). Az e kérdésben említett időtartam nincs összefüggésben a támogatási program keretében kötött szerződések időtartamával, amely meghaladhatja az intézkedés időtartamát.</w:t>
      </w:r>
    </w:p>
  </w:footnote>
  <w:footnote w:id="4">
    <w:p w14:paraId="51CA7B9F" w14:textId="77777777" w:rsidR="00A53EBB" w:rsidRPr="0067348B" w:rsidRDefault="00A53EBB" w:rsidP="00A53EBB">
      <w:pPr>
        <w:pStyle w:val="FootnoteText"/>
      </w:pPr>
      <w:r>
        <w:rPr>
          <w:rStyle w:val="FootnoteReference"/>
        </w:rPr>
        <w:footnoteRef/>
      </w:r>
      <w:r>
        <w:tab/>
        <w:t>Felhívjuk a figyelmet arra, hogy a tényleges vagy a becsült költségvetés megváltoztatása a támogatás módosításának minősülhet, amely esetben új bejelentésre lesz szükség.</w:t>
      </w:r>
    </w:p>
  </w:footnote>
  <w:footnote w:id="5">
    <w:p w14:paraId="49ADDF87" w14:textId="3332A17A" w:rsidR="005B06D6" w:rsidRPr="009204DA" w:rsidRDefault="005B06D6">
      <w:pPr>
        <w:pStyle w:val="FootnoteText"/>
      </w:pPr>
      <w:r>
        <w:rPr>
          <w:rStyle w:val="FootnoteReference"/>
        </w:rPr>
        <w:footnoteRef/>
      </w:r>
      <w:r>
        <w:tab/>
        <w:t>A kibocsátáskereskedelmi egységek állami támogatást tartalmazhatnak, különösen akkor, ha a tagállamok a piaci értékük alatt adnak ki engedélyeket és juttatásokat.</w:t>
      </w:r>
    </w:p>
  </w:footnote>
  <w:footnote w:id="6">
    <w:p w14:paraId="7AC0A709" w14:textId="328426FA" w:rsidR="007F5A4A" w:rsidRPr="00CF158B" w:rsidRDefault="007F5A4A" w:rsidP="007F5A4A">
      <w:pPr>
        <w:pStyle w:val="FootnoteText"/>
      </w:pPr>
      <w:r>
        <w:rPr>
          <w:rStyle w:val="FootnoteReference"/>
        </w:rPr>
        <w:footnoteRef/>
      </w:r>
      <w:r>
        <w:tab/>
        <w:t>Felhívjuk a figyelmet arra, hogy az iránymutatás 38. és 52. pontja, valamint (39) és (45) lábjegyzete további iránymutatást nyújt a valószínű kontrafaktuális forgatókönyv kidolgozásához.</w:t>
      </w:r>
    </w:p>
  </w:footnote>
  <w:footnote w:id="7">
    <w:p w14:paraId="40AD96A8" w14:textId="77777777" w:rsidR="00BF736D" w:rsidRPr="00114695" w:rsidRDefault="00BF736D" w:rsidP="00BF736D">
      <w:pPr>
        <w:pStyle w:val="FootnoteText"/>
      </w:pPr>
      <w:r>
        <w:rPr>
          <w:rStyle w:val="FootnoteReference"/>
        </w:rPr>
        <w:footnoteRef/>
      </w:r>
      <w:r>
        <w:tab/>
        <w:t>A „referenciaprojekt” fogalmát az iránymutatás 19. pontjának 63. alpontja határozza meg.</w:t>
      </w:r>
    </w:p>
  </w:footnote>
  <w:footnote w:id="8">
    <w:p w14:paraId="0035BA03" w14:textId="77777777" w:rsidR="006B45D5" w:rsidRDefault="006B45D5" w:rsidP="006B45D5">
      <w:pPr>
        <w:pStyle w:val="FootnoteText"/>
      </w:pPr>
      <w:r>
        <w:rPr>
          <w:rStyle w:val="FootnoteReference"/>
        </w:rPr>
        <w:footnoteRef/>
      </w:r>
      <w:r>
        <w:tab/>
        <w:t>Ha közelmúltbeli versenyeztetéses eljárást vesz alapul, kérjük, ismertesse, miért tekinthető az adott ajánlattételi eljárás versenyeztetéses eljárásnak, kitérve arra, hogy adott esetben hogyan kerülték el az előre nem látható nyereséget a versenyeztetéses ajánlattételi eljárásba bevont különböző technológiáknál, és miért hasonló, például:</w:t>
      </w:r>
    </w:p>
    <w:p w14:paraId="282DC24F" w14:textId="77777777" w:rsidR="006B45D5" w:rsidRDefault="006B45D5" w:rsidP="00B82F95">
      <w:pPr>
        <w:pStyle w:val="FootnoteText"/>
        <w:numPr>
          <w:ilvl w:val="0"/>
          <w:numId w:val="31"/>
        </w:numPr>
      </w:pPr>
      <w:r>
        <w:t>A feltételek (például szerződési feltételek és időtartam, beruházási határidők, a támogatási kifizetések inflációhoz indexáltsága vagy annak hiánya) hasonlók voltak a bejelentett intézkedésben javasoltakhoz?</w:t>
      </w:r>
    </w:p>
    <w:p w14:paraId="7E841389" w14:textId="77777777" w:rsidR="006B45D5" w:rsidRDefault="006B45D5" w:rsidP="00B82F95">
      <w:pPr>
        <w:pStyle w:val="FootnoteText"/>
        <w:numPr>
          <w:ilvl w:val="0"/>
          <w:numId w:val="31"/>
        </w:numPr>
      </w:pPr>
      <w:r>
        <w:t>A versenyeztetéses eljárást hasonló makrogazdasági környezetben folytatták le?</w:t>
      </w:r>
    </w:p>
    <w:p w14:paraId="2BEE57E5" w14:textId="77777777" w:rsidR="006B45D5" w:rsidRDefault="006B45D5" w:rsidP="00B82F95">
      <w:pPr>
        <w:pStyle w:val="FootnoteText"/>
        <w:numPr>
          <w:ilvl w:val="0"/>
          <w:numId w:val="31"/>
        </w:numPr>
      </w:pPr>
      <w:r>
        <w:t>Hasonlók voltak a technológiák/projekttípusok?</w:t>
      </w:r>
    </w:p>
  </w:footnote>
  <w:footnote w:id="9">
    <w:p w14:paraId="590F3FC7" w14:textId="30CB4935" w:rsidR="005B06D6" w:rsidRDefault="005B06D6" w:rsidP="00821F07">
      <w:pPr>
        <w:pStyle w:val="FootnoteText"/>
      </w:pPr>
      <w:r>
        <w:rPr>
          <w:rStyle w:val="FootnoteReference"/>
        </w:rPr>
        <w:footnoteRef/>
      </w:r>
      <w:r>
        <w:tab/>
        <w:t>Az iránymutatás 19. pontjának 89. alpontja szerint az „uniós szabvány”:</w:t>
      </w:r>
    </w:p>
    <w:p w14:paraId="340A0B20" w14:textId="77777777" w:rsidR="005B06D6" w:rsidRPr="004B74BC" w:rsidRDefault="005B06D6" w:rsidP="00B82F95">
      <w:pPr>
        <w:pStyle w:val="FootnoteText"/>
        <w:numPr>
          <w:ilvl w:val="0"/>
          <w:numId w:val="27"/>
        </w:numPr>
        <w:rPr>
          <w:i/>
        </w:rPr>
      </w:pPr>
      <w:r>
        <w:rPr>
          <w:i/>
        </w:rPr>
        <w:t>olyan kötelező uniós szabvány, amely meghatározza az egyes vállalkozások által környezeti szempontból elérendő szinteket, kivéve az uniós szinten meghatározott olyan normákat vagy célokat, amelyek a tagállamokra kötelezőek, de az egyes vállalkozásokra nem;</w:t>
      </w:r>
    </w:p>
    <w:p w14:paraId="02AC4E0B" w14:textId="266BC460" w:rsidR="005B06D6" w:rsidRDefault="005B06D6" w:rsidP="00B82F95">
      <w:pPr>
        <w:pStyle w:val="FootnoteText"/>
        <w:numPr>
          <w:ilvl w:val="0"/>
          <w:numId w:val="27"/>
        </w:numPr>
      </w:pPr>
      <w:r>
        <w:rPr>
          <w:i/>
        </w:rPr>
        <w:t>a 2010/75/EU irányelvben meghatározott elérhető legjobb technikák (BAT) használatának, valamint annak biztosítása kötelezettsége, hogy a kibocsátási szintek ne haladják meg a BAT alkalmazása során elérhető szinteket; amennyiben az elérhető legjobb technikához kapcsolódó kibocsátási szintet a 2010/75/EU irányelv vagy más vonatkozó irányelvek alapján elfogadott végrehajtási jogi aktus tartalmazza, ezen iránymutatás alkalmazásában az adott szintet kell használni; amennyiben az említett szinteket tartományban állapítják meg, az a korlát alkalmazandó, amelynél az adott vállalkozásnál az elérhető legjobb technikákat először elérték.</w:t>
      </w:r>
    </w:p>
  </w:footnote>
  <w:footnote w:id="10">
    <w:p w14:paraId="411ACB68" w14:textId="497824F8" w:rsidR="005B06D6" w:rsidRPr="003379AF" w:rsidRDefault="005B06D6">
      <w:pPr>
        <w:pStyle w:val="FootnoteText"/>
      </w:pPr>
      <w:r>
        <w:rPr>
          <w:rStyle w:val="FootnoteReference"/>
        </w:rPr>
        <w:footnoteRef/>
      </w:r>
      <w:r>
        <w:tab/>
        <w:t>Az elemzés elvégezhető többek között az adott ágazat termékár-rugalmasságának becslése alapján, többek között az elmaradt eladásokra, valamint azoknak a kedvezményezett nyereségességére gyakorolt hatására vonatkozó becslések alapján.</w:t>
      </w:r>
    </w:p>
  </w:footnote>
  <w:footnote w:id="11">
    <w:p w14:paraId="1464609F" w14:textId="77777777" w:rsidR="00611EA4" w:rsidRPr="0012122C" w:rsidRDefault="00611EA4" w:rsidP="00611EA4">
      <w:pPr>
        <w:pStyle w:val="FootnoteText"/>
      </w:pPr>
      <w:r>
        <w:rPr>
          <w:rStyle w:val="FootnoteReference"/>
        </w:rPr>
        <w:footnoteRef/>
      </w:r>
      <w:r>
        <w:tab/>
        <w:t>Az újdonságot a tagállamok például az innováció, valamint a bevezetés és elterjesztés piaci viszonyainak pontos leírása alapján igazolhatják, összevetve az ugyanazon iparágban tevékenykedő más vállalkozások által általában alkalmazott legkorszerűbb folyamatokkal vagy szervezési technikákkal.</w:t>
      </w:r>
    </w:p>
  </w:footnote>
  <w:footnote w:id="12">
    <w:p w14:paraId="69DB6703" w14:textId="77777777" w:rsidR="00611EA4" w:rsidRPr="003E2299" w:rsidRDefault="00611EA4" w:rsidP="00611EA4">
      <w:pPr>
        <w:pStyle w:val="FootnoteText"/>
      </w:pPr>
      <w:r>
        <w:rPr>
          <w:rStyle w:val="FootnoteReference"/>
        </w:rPr>
        <w:footnoteRef/>
      </w:r>
      <w:r>
        <w:tab/>
        <w:t>Ha mennyiségi paraméterek alkalmazhatók az ökoinnovációs tevékenységek szabványos, nem innovatív tevékenységekkel való összehasonlítására, a „jelentős mértékben meghaladja” azt jelenti, hogy az ökoinnovációs tevékenységektől elvárt marginális javulás – a csökkent környezeti kockázat vagy szennyezés, vagy az energia- vagy erőforrás-felhasználás nagyobb hatékonysága tekintetében – legalább kétszer akkora, mint a hasonló jellegű, nem innovatív tevékenységek általános fejlődésétől elvárt marginális javulás. Amennyiben a javasolt megközelítés valamely esetben nem alkalmazható, vagy a számszerű összehasonlítás elvégzése nem lehetséges, az állami támogatásra irányuló kérelemnek tartalmaznia kell az e szempont értékeléséhez használt módszer részletes leírását, amely biztosítja, hogy a javasolt módszernek megfelelő szabványt használjanak.</w:t>
      </w:r>
    </w:p>
  </w:footnote>
  <w:footnote w:id="13">
    <w:p w14:paraId="210BC139" w14:textId="77777777" w:rsidR="00611EA4" w:rsidRPr="003E2299" w:rsidRDefault="00611EA4" w:rsidP="00611EA4">
      <w:pPr>
        <w:pStyle w:val="FootnoteText"/>
      </w:pPr>
      <w:r>
        <w:rPr>
          <w:rStyle w:val="FootnoteReference"/>
        </w:rPr>
        <w:footnoteRef/>
      </w:r>
      <w:r>
        <w:tab/>
        <w:t>A tagállamok ezt a kockázatot például a következőkön keresztül szemléltethetik: a vállalkozás forgalmához viszonyított költségek, a fejlesztéshez szükséges idő, az ökoinnovációból várt haszon a költségekkel összevetve, valamint a meghiúsulás valószínűsége.</w:t>
      </w:r>
    </w:p>
  </w:footnote>
  <w:footnote w:id="14">
    <w:p w14:paraId="5747D8E4" w14:textId="650D733F" w:rsidR="00E766C0" w:rsidRPr="0095488F" w:rsidRDefault="00E766C0" w:rsidP="00E766C0">
      <w:pPr>
        <w:pStyle w:val="FootnoteText"/>
      </w:pPr>
      <w:r>
        <w:rPr>
          <w:rStyle w:val="FootnoteReference"/>
        </w:rPr>
        <w:footnoteRef/>
      </w:r>
      <w:r>
        <w:tab/>
        <w:t>Lásd még az iránymutatás 51–53. pontjában, valamint (45) és (46) lábjegyzetében foglalt további információkat.</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ab/>
        <w:t>Kérjük, vegye figyelembe, hogy az iránymutatás (44) lábjegyzete a következőképpen rendelkezik:</w:t>
      </w:r>
    </w:p>
    <w:p w14:paraId="193F0D8D" w14:textId="77777777" w:rsidR="005B06D6" w:rsidRDefault="005B06D6" w:rsidP="00E50157">
      <w:pPr>
        <w:pStyle w:val="FootnoteText"/>
      </w:pPr>
      <w:r>
        <w:tab/>
      </w:r>
      <w:r>
        <w:rPr>
          <w:i/>
        </w:rPr>
        <w:t>„</w:t>
      </w:r>
      <w:r>
        <w:rPr>
          <w:i/>
          <w:color w:val="000000"/>
          <w:sz w:val="19"/>
          <w:shd w:val="clear" w:color="auto" w:fill="FFFFFF"/>
        </w:rPr>
        <w:t>A környezetvédelmi egységek értékelésekor a tagállamok például olyan módszertant dolgozhatnak ki, amely figyelembe veszi a támogatott gazdasági tevékenység különböző szakaszaiban előforduló kibocsátásokat vagy egyéb szennyezéseket, a projekt megvalósításához szükséges időt vagy a rendszerintegrációs költségeket. Amikor a tagállamok az igényelt támogatási összeget a fő célkitűzésekhez való hozzájáruláshoz viszonyítják, például súlyozhatják a különböző objektív kritériumokat, és az objektív kritériumok súlyozott átlagának egységenkénti összege alapján választhatnak, vagy az objektív kritériumok közül a legalacsonyabb egységnyi támogatási összeggel rendelkező ajánlatok közül választhatják ki azokat, amelyek az objektív kritériumok alapján a legmagasabb pontszámot kapják. Az ilyen megközelítés paramétereit úgy kell kalibrálni, hogy az ajánlattételi eljárás megkülönböztetéstől mentes legyen, tényleges versenyt eredményezzen és a gazdasági értéket tükrözze.”</w:t>
      </w:r>
    </w:p>
  </w:footnote>
  <w:footnote w:id="17">
    <w:p w14:paraId="086AD512" w14:textId="70BC3A35" w:rsidR="005B06D6" w:rsidRDefault="005B06D6">
      <w:pPr>
        <w:pStyle w:val="FootnoteText"/>
      </w:pPr>
      <w:r>
        <w:rPr>
          <w:rStyle w:val="FootnoteReference"/>
        </w:rPr>
        <w:footnoteRef/>
      </w:r>
      <w:r>
        <w:tab/>
        <w:t>A központilag kezelt uniós finanszírozás az európai uniós intézmények, ügynökségek, közös vállalkozások és egyéb szervek által központilag kezelt uniós finanszírozás, amely sem közvetlenül, sem közvetve nem tartozik a tagállam ellenőrzése alá.</w:t>
      </w:r>
    </w:p>
  </w:footnote>
  <w:footnote w:id="18">
    <w:p w14:paraId="02AA3570" w14:textId="77777777" w:rsidR="005B06D6" w:rsidRPr="008772CC" w:rsidRDefault="005B06D6" w:rsidP="004B2EF3">
      <w:pPr>
        <w:pStyle w:val="FootnoteText"/>
      </w:pPr>
      <w:r>
        <w:rPr>
          <w:rStyle w:val="FootnoteReference"/>
        </w:rPr>
        <w:footnoteRef/>
      </w:r>
      <w:r>
        <w:tab/>
        <w:t>Az Európai Parlament és a Tanács (EU) 2020/852 rendelete (2020. június 18.) a fenntartható befektetések előmozdítását célzó keret létrehozásáról, valamint az (EU) 2019/2088 rendelet módosításáról (HL L 198., 2020.6.22., 13. o.).</w:t>
      </w:r>
    </w:p>
  </w:footnote>
  <w:footnote w:id="19">
    <w:p w14:paraId="05B1881A" w14:textId="77777777" w:rsidR="008472A5" w:rsidRDefault="008472A5" w:rsidP="008472A5">
      <w:pPr>
        <w:pStyle w:val="FootnoteText"/>
      </w:pPr>
      <w:r>
        <w:rPr>
          <w:rStyle w:val="FootnoteReference"/>
        </w:rPr>
        <w:footnoteRef/>
      </w:r>
      <w:r>
        <w:tab/>
        <w:t xml:space="preserve">Az értékelési terv bejelentésére szolgáló kiegészítő adatlap (III.8. rész) sablonja a következő internetcímen érhető el: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4410"/>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645"/>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22B"/>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3BA8"/>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100A"/>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u-HU"/>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u-HU"/>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21</Pages>
  <Words>4946</Words>
  <Characters>36107</Characters>
  <DocSecurity>0</DocSecurity>
  <Lines>752</Lines>
  <Paragraphs>229</Paragraphs>
  <ScaleCrop>false</ScaleCrop>
  <HeadingPairs>
    <vt:vector size="2" baseType="variant">
      <vt:variant>
        <vt:lpstr>Title</vt:lpstr>
      </vt:variant>
      <vt:variant>
        <vt:i4>1</vt:i4>
      </vt:variant>
    </vt:vector>
  </HeadingPairs>
  <TitlesOfParts>
    <vt:vector size="1" baseType="lpstr">
      <vt:lpstr>4.5 Notification form - clean-A3.docx</vt:lpstr>
    </vt:vector>
  </TitlesOfParts>
  <LinksUpToDate>false</LinksUpToDate>
  <CharactersWithSpaces>40824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2024-11-28T11:11:00Z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