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E4401D">
            <w:pPr>
              <w:pStyle w:val="Heading2"/>
              <w:spacing w:before="240" w:after="240"/>
              <w:ind w:left="720" w:hanging="720"/>
              <w:jc w:val="center"/>
              <w:rPr>
                <w:sz w:val="32"/>
                <w:szCs w:val="32"/>
              </w:rPr>
            </w:pPr>
            <w:bookmarkStart w:id="0" w:name="_Toc414370364"/>
            <w:bookmarkStart w:id="1" w:name="_Toc416949016"/>
            <w:r>
              <w:rPr>
                <w:sz w:val="32"/>
              </w:rPr>
              <w:t xml:space="preserve">Dio III.6. </w:t>
            </w:r>
          </w:p>
          <w:p w14:paraId="1C239D2C" w14:textId="79113717" w:rsidR="000442F5" w:rsidRPr="00080012" w:rsidRDefault="00BA39B3" w:rsidP="007B485D">
            <w:pPr>
              <w:pStyle w:val="Heading2"/>
              <w:spacing w:before="240" w:after="240"/>
              <w:jc w:val="center"/>
              <w:rPr>
                <w:sz w:val="32"/>
                <w:szCs w:val="32"/>
              </w:rPr>
            </w:pPr>
            <w:r>
              <w:rPr>
                <w:sz w:val="32"/>
              </w:rPr>
              <w:t>Ažurirani* obrazac o dodatnim podacima za državne potpore dodijeljene na temelju Smjernica o državnim potporama za klimu, zaštitu okoliša i energiju za 2022. (CEEAG)</w:t>
            </w:r>
            <w:r>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Poglavlje 4.5. – Potpore za sprječavanje ili smanjenje onečišćenja koje nije uzrokovano stakleničkim plinovima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Još nije službeno donesen.</w:t>
            </w:r>
          </w:p>
        </w:tc>
      </w:tr>
    </w:tbl>
    <w:p w14:paraId="5F26D476" w14:textId="4F5B65DA" w:rsidR="000442F5" w:rsidRPr="00711243" w:rsidRDefault="000442F5" w:rsidP="000442F5">
      <w:pPr>
        <w:spacing w:before="120" w:after="120"/>
        <w:ind w:right="-142"/>
        <w:jc w:val="both"/>
        <w:rPr>
          <w:i/>
          <w:iCs/>
        </w:rPr>
      </w:pPr>
      <w:r>
        <w:rPr>
          <w:i/>
        </w:rPr>
        <w:t>Obrazac o dodatnim podacima mora se upotrebljavati za prijavu potpore obuhvaćene Smjernicama o državnim potporama za klimu, zaštitu okoliša i energiju za 2022. (dalje u tekstu „CEEAG”).</w:t>
      </w:r>
    </w:p>
    <w:p w14:paraId="1B60656B" w14:textId="37F96FA1" w:rsidR="009E2EA1" w:rsidRPr="00711243" w:rsidRDefault="0072538B" w:rsidP="009E2EA1">
      <w:pPr>
        <w:spacing w:before="120" w:after="120"/>
        <w:ind w:right="-142"/>
        <w:jc w:val="both"/>
        <w:rPr>
          <w:i/>
          <w:iCs/>
        </w:rPr>
      </w:pPr>
      <w:r>
        <w:rPr>
          <w:i/>
        </w:rPr>
        <w:t xml:space="preserve">Ovaj obrazac o dodatnim podacima odnosi se na mjere obuhvaćene poglavljem 4.5. CEEAG-a. Ako prijava uključuje mjere na koje se odnosi više poglavlja CEEAG-a, nakon što postane dostupan ispunite i odgovarajući obrazac o dodatnim podacima koji se odnosi na odgovarajuće poglavlje CEEAG-a. </w:t>
      </w:r>
    </w:p>
    <w:p w14:paraId="05E36007" w14:textId="5E24D00F" w:rsidR="009E2EA1" w:rsidRPr="00711243" w:rsidRDefault="009E2EA1" w:rsidP="009E2EA1">
      <w:pPr>
        <w:spacing w:before="120" w:after="120"/>
        <w:ind w:right="-142"/>
        <w:jc w:val="both"/>
        <w:rPr>
          <w:i/>
          <w:iCs/>
        </w:rPr>
      </w:pPr>
      <w:r>
        <w:rPr>
          <w:i/>
        </w:rPr>
        <w:t>Svi dokumenti koje države članice prilažu obrascu o dodatnim podacima moraju biti označeni brojevima, a brojevi dokumenata navode se u odgovarajućim odjeljcima ovog obrasca o dodatnim podacima.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Odjeljak A: Sažetak glavnih obilježja prijavljenih mjera</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Kontekst i ciljevi prijavljenih mjera</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Ako se o tome već nije raspravljalo u odjeljku 5.2. obrasca o općim podacima (dio I.), navedite kontekst i glavni cilj, uključujući eventualne ciljeve Unije povezane s okolišnim ciljevima koje se mjerom namjerava poduprijeti.</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Navedite sve druge ciljeve koji se nastoje postići mjerom. Ako je riječ o ciljevima koji nisu isključivo okolišni, objasnite mogu li dovesti do narušavanja tržišnog natjecanja na unutarnjem tržištu.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Stupanje na snagu i trajanje</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Ako već nije naveden u odjeljku 5.5. obrasca o općim podacima (dio I.), navedite datum na koji bi program potpore trebao stupiti na snagu.</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Navedite trajanje programa</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Korisnici</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Ako već nisu opisani u odjeljku 3. obrasca o općim podacima (dio I.), opišite (potencijalne) korisnike mjera.</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Navedite lokaciju korisnika (tj. jesu li za sudjelovanje u mjeri prihvatljivi samo gospodarski subjekti koji se nalaze u predmetnoj državi članici ili i oni iz drugih država članica).</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Ako se dodjeljuje, navedite podatke o iznosu potpore koji još nije vraćen kako bi ga Komisija uzela u obzir pri ocjeni mjere potpore.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lastRenderedPageBreak/>
        <w:t>Potvrdite da mjera ne uključuje potporu za djelatnosti koje nisu obuhvaćene područjem primjene CEEAG-a (vidjeti točku 13. CEEAG-a). U protivnom navedite pojedinosti.</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Proračun i financiranje mjera</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Ako već nije naveden u tablici u odjeljku 7.1. obrasca o općim podacima (dio I.), navedite godišnji i/ili ukupni proračun za cijelo trajanje mjera, a ako ukupni proračun nije poznat (npr. jer ovisi o rezultatima natječaja), navedite procijenjeni proračun, uključujući pretpostavke na temelju kojih je izračunan</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Ako se mjera financira iz davanja, pojasnite:</w:t>
      </w:r>
      <w:bookmarkEnd w:id="3"/>
      <w:r>
        <w:t xml:space="preserve"> </w:t>
      </w:r>
    </w:p>
    <w:p w14:paraId="7D9CD5BC" w14:textId="068D7587" w:rsidR="004D34AD" w:rsidRDefault="00AD0976" w:rsidP="00B82F95">
      <w:pPr>
        <w:pStyle w:val="ListParagraph"/>
        <w:numPr>
          <w:ilvl w:val="1"/>
          <w:numId w:val="21"/>
        </w:numPr>
        <w:spacing w:before="120" w:after="120"/>
        <w:contextualSpacing w:val="0"/>
        <w:jc w:val="both"/>
        <w:rPr>
          <w:rFonts w:cs="Arial Unicode MS"/>
          <w:bCs/>
        </w:rPr>
      </w:pPr>
      <w:r>
        <w:t>je li davanje utvrđeno zakonom ili drugim zakonodavnim aktom. Ako jest, navedite relevantan pravni akt, broj i datum donošenja i stupanja na snagu te poveznicu na njega</w:t>
      </w:r>
      <w:r w:rsidR="00EB0BEE">
        <w:t>;</w:t>
      </w:r>
    </w:p>
    <w:p w14:paraId="1AB3FA42" w14:textId="72255969" w:rsidR="00C90797" w:rsidRDefault="00C90797" w:rsidP="00C90797">
      <w:pPr>
        <w:tabs>
          <w:tab w:val="left" w:leader="dot" w:pos="9072"/>
        </w:tabs>
        <w:spacing w:before="120" w:after="120"/>
        <w:ind w:left="567"/>
        <w:jc w:val="both"/>
      </w:pPr>
      <w:r>
        <w:tab/>
      </w:r>
    </w:p>
    <w:p w14:paraId="5449BAE9" w14:textId="3B021A4A" w:rsidR="00ED4BB5" w:rsidRDefault="00ED4BB5" w:rsidP="00B82F95">
      <w:pPr>
        <w:pStyle w:val="ListParagraph"/>
        <w:numPr>
          <w:ilvl w:val="1"/>
          <w:numId w:val="21"/>
        </w:numPr>
        <w:spacing w:before="120" w:after="120"/>
        <w:contextualSpacing w:val="0"/>
        <w:jc w:val="both"/>
        <w:rPr>
          <w:rFonts w:cs="Arial Unicode MS"/>
          <w:bCs/>
        </w:rPr>
      </w:pPr>
      <w:r>
        <w:t>je li davanje predviđeno u jednakoj mjeri za domaće i uvezene proizvode</w:t>
      </w:r>
      <w:r w:rsidR="00EB0BEE">
        <w:t>;</w:t>
      </w:r>
    </w:p>
    <w:p w14:paraId="3881C491" w14:textId="77777777" w:rsidR="00ED4BB5" w:rsidRDefault="00ED4BB5" w:rsidP="00425CC6">
      <w:pPr>
        <w:tabs>
          <w:tab w:val="left" w:leader="dot" w:pos="9072"/>
        </w:tabs>
        <w:spacing w:before="120" w:after="120"/>
        <w:ind w:left="567"/>
        <w:jc w:val="both"/>
      </w:pPr>
      <w:r>
        <w:tab/>
      </w:r>
    </w:p>
    <w:p w14:paraId="030E6EB4" w14:textId="70E11A77" w:rsidR="00ED4BB5" w:rsidRDefault="00ED4BB5" w:rsidP="00B82F95">
      <w:pPr>
        <w:pStyle w:val="ListParagraph"/>
        <w:numPr>
          <w:ilvl w:val="1"/>
          <w:numId w:val="21"/>
        </w:numPr>
        <w:spacing w:before="120" w:after="120"/>
        <w:contextualSpacing w:val="0"/>
        <w:jc w:val="both"/>
        <w:rPr>
          <w:rFonts w:cs="Arial Unicode MS"/>
          <w:bCs/>
        </w:rPr>
      </w:pPr>
      <w:r>
        <w:t>hoće li prijavljena mjera koristiti jednako domaćim i uvoznim proizvođačima</w:t>
      </w:r>
      <w:r w:rsidR="00EB0BEE">
        <w:t>;</w:t>
      </w:r>
    </w:p>
    <w:p w14:paraId="7282F728" w14:textId="0B8D937A" w:rsidR="00ED4BB5" w:rsidRDefault="00ED4BB5" w:rsidP="00425CC6">
      <w:pPr>
        <w:tabs>
          <w:tab w:val="left" w:leader="dot" w:pos="9072"/>
        </w:tabs>
        <w:spacing w:before="120" w:after="120"/>
        <w:ind w:left="567"/>
        <w:jc w:val="both"/>
      </w:pPr>
      <w:r>
        <w:tab/>
      </w:r>
    </w:p>
    <w:p w14:paraId="311AB37F" w14:textId="3C85A59C" w:rsidR="00ED4BB5" w:rsidRDefault="00ED4BB5" w:rsidP="00B82F95">
      <w:pPr>
        <w:pStyle w:val="ListParagraph"/>
        <w:numPr>
          <w:ilvl w:val="1"/>
          <w:numId w:val="21"/>
        </w:numPr>
        <w:spacing w:before="120" w:after="120"/>
        <w:contextualSpacing w:val="0"/>
        <w:jc w:val="both"/>
        <w:rPr>
          <w:rFonts w:cs="Arial Unicode MS"/>
          <w:bCs/>
        </w:rPr>
      </w:pPr>
      <w:r>
        <w:t>financira li se davanjem mjera u cijelosti ili samo djelomično. Ako se davanjem financira samo djelomično, navedite druge izvore financiranja mjere i njihov odgovarajući udio</w:t>
      </w:r>
      <w:r w:rsidR="00EB0BEE">
        <w:t>;</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financiraju li se davanjem kojim se financira prijavljena mjera i druge mjere potpore. Ako je odgovor potvrdan, navedite te mjere.</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Odjeljak B: Ocjena spojivosti potpore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Pozitivni uvjet: potpora mora olakšavati razvoj gospodarske djelatnosti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Doprinos razvoju gospodarske djelatnosti</w:t>
            </w:r>
          </w:p>
        </w:tc>
      </w:tr>
    </w:tbl>
    <w:p w14:paraId="1E2599D2" w14:textId="2E38BD96" w:rsidR="000442F5" w:rsidRPr="00DB40A5" w:rsidRDefault="000442F5" w:rsidP="000442F5">
      <w:pPr>
        <w:spacing w:before="360" w:after="120"/>
        <w:jc w:val="both"/>
        <w:rPr>
          <w:i/>
        </w:rPr>
      </w:pPr>
      <w:r>
        <w:rPr>
          <w:i/>
        </w:rPr>
        <w:t xml:space="preserve">Za unos podataka u ovom odjeljku vidjeti odjeljke 3.1.1. (točke od 23. do 25.), 4.5.1. (točke 253. i 254.) i 4.5.2. (točke od 255. do 259.) CEEAG-a.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UFEU-a mora pridonositi razvoju određene gospodarske djelatnosti. </w:t>
      </w:r>
    </w:p>
    <w:p w14:paraId="1D59B711" w14:textId="015DAACF" w:rsidR="002A11D4" w:rsidRDefault="00E75ECB" w:rsidP="00864DCD">
      <w:pPr>
        <w:pStyle w:val="ListParagraph"/>
        <w:spacing w:before="120" w:after="120"/>
        <w:ind w:left="567"/>
        <w:contextualSpacing w:val="0"/>
        <w:jc w:val="both"/>
      </w:pPr>
      <w:r>
        <w:t xml:space="preserve">Kako bi se ocijenila usklađenost s točkom 23. CEEAG-a, utvrdite gospodarske djelatnosti koje će potpora olakšati i način na koji se podupire razvoj tih djelatnosti.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Osim toga, istaknite u kojoj se mjeri potpora odnosi na politike opisane u točkama 253. i 254. CEEAG-a.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Opišite uvjete prihvatljivosti koji se primjenjuju na korisnike (na primjer navedite sve uvjete povezane s tehničkim značajkama, okolišem (tj. dozvole), financijama (tj. dodatna jamstva) ili druge uvjete koje korisnici moraju ispuniti).</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Navedite podatke o točnom području primjene i djelatnostima koje se podupiru iz mjera potpore, kako je navedeno u odjeljku 4.5.2. (točke od 255. do 259.) CEEAG-a. Navedite koje su od sljedećih kategorija ulaganja prihvatljive u okviru mjere potpore:</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ulaganja kojima se poduzetnicima omogućuje sprječavanje ili smanjenje onečišćenja koje nije uzrokovano stakleničkim plinovima i premašivanje normi Unije za zaštitu okoliša, </w:t>
      </w:r>
    </w:p>
    <w:p w14:paraId="291F9177" w14:textId="07226D94" w:rsidR="0073048C" w:rsidRDefault="00021C73" w:rsidP="00451471">
      <w:pPr>
        <w:pStyle w:val="ListParagraph"/>
        <w:numPr>
          <w:ilvl w:val="1"/>
          <w:numId w:val="4"/>
        </w:numPr>
        <w:spacing w:before="120" w:after="120"/>
        <w:ind w:left="1276" w:hanging="567"/>
        <w:contextualSpacing w:val="0"/>
        <w:jc w:val="both"/>
      </w:pPr>
      <w:r>
        <w:t>ulaganja kojima se poduzetnicima omogućuje sprječavanje ili smanjenje onečišćenja koje nije uzrokovano stakleničkim plinovima ako norme Unije ne postoje,</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ulaganja kojima se poduzetnicima omogućuje usklađivanje s normama Unije koje su donesene, ali još nisu na snazi. </w:t>
      </w:r>
    </w:p>
    <w:p w14:paraId="12AEF70E" w14:textId="4ED26CFA" w:rsidR="000B0680" w:rsidRDefault="000B0680" w:rsidP="00C47CAC">
      <w:pPr>
        <w:tabs>
          <w:tab w:val="left" w:leader="dot" w:pos="9072"/>
        </w:tabs>
        <w:spacing w:before="120" w:after="120"/>
        <w:ind w:left="567"/>
        <w:jc w:val="both"/>
      </w:pPr>
      <w:r>
        <w:lastRenderedPageBreak/>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Ako je potpora u obliku dozvola za emisije stakleničkih plinova</w:t>
      </w:r>
      <w:r>
        <w:rPr>
          <w:rStyle w:val="FootnoteReference"/>
          <w:lang w:eastAsia="en-GB"/>
        </w:rPr>
        <w:footnoteReference w:id="5"/>
      </w:r>
      <w:r>
        <w:t>:</w:t>
      </w:r>
    </w:p>
    <w:p w14:paraId="0AE58B8D" w14:textId="23B0663D" w:rsidR="007E3B07" w:rsidRPr="00F15324" w:rsidRDefault="002F69D6" w:rsidP="00E27781">
      <w:pPr>
        <w:pStyle w:val="ListParagraph"/>
        <w:numPr>
          <w:ilvl w:val="1"/>
          <w:numId w:val="4"/>
        </w:numPr>
        <w:spacing w:before="120" w:after="120"/>
        <w:ind w:left="1276" w:hanging="567"/>
        <w:contextualSpacing w:val="0"/>
        <w:jc w:val="both"/>
        <w:rPr>
          <w:noProof/>
        </w:rPr>
      </w:pPr>
      <w:r>
        <w:t>detaljno opišite program trgovanja dozvolama, uključujući između ostalog njegove ciljeve, metodologiju dodjele, javna tijela ili subjekte koji su uključeni, ulogu države, korisnike i sam postupak</w:t>
      </w:r>
      <w:r w:rsidR="00EB0BEE">
        <w:t>;</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opišite kako je sustav trgovanja dozvolama osmišljen na način da se onečišćenje spriječi ili smanji na niže razine od onih predviđenih normama Unije koje su obvezne za predmetne poduzetnike.</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Potvrdite da je potpora usmjerena na sprječavanje ili smanjenje onečišćenja koje je izravno povezano s djelatnostima samih korisnika.</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Opišite kako će se osigurati da se potporom onečišćenje neće samo premjestiti iz jednog sektora u drugi ili s jednog okolišnog medija na drugi te da će se postići ukupno smanjenje onečišćenja.</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Za pojedinačne potpore i programe potpore koji su namijenjeni vrlo ograničenom broju korisnika ili postojećih korisnika i čiji je cilj smanjiti njihovo onečišćenje koje nije uzrokovano stakleničkim plinovima, navedite mjerenje ušteda emisija/onečišćujućih tvari koje se očekuju od mjere i objasnite metodu njihova mjerenja.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Navedite pridonosi li mjera potpore sprječavanju ili smanjenju emisija stakleničkih plinova.</w:t>
      </w:r>
    </w:p>
    <w:p w14:paraId="14FEE27F" w14:textId="31209AEC" w:rsidR="008A47DB" w:rsidRDefault="00BE3AB2" w:rsidP="00644D98">
      <w:pPr>
        <w:pStyle w:val="ListParagraph"/>
        <w:spacing w:before="120" w:after="120"/>
        <w:ind w:left="567"/>
        <w:contextualSpacing w:val="0"/>
        <w:jc w:val="both"/>
      </w:pPr>
      <w:r>
        <w:t>Ako je odgovor potvrdan, navedite usporedbu očekivanih rezultata mjere u smislu sprječavanja ili smanjenja emisija stakleničkih plinova i emisija drugih onečišćujućih tvari na temelju vjerodostojnih i detaljnih mjerenja.</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Ako je sprječavanje ili smanjenje emisija stakleničkih plinova prevladavajući cilj mjere potpore, pogledajte obrazac o dodatnim podacima za odjeljak 4.1. jer će se spojivost ocijeniti na temelju odjeljka 4.1. Međutim, ako je prevladavajući cilj mjere sprječavanje ili smanjenje onečišćenja koje nije uzrokovano emisijama stakleničkih plinova, spojivost će se ocijeniti na temelju odjeljka 4.5. (točka 259. CEEAG-a).</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Učinak poticaja</w:t>
            </w:r>
          </w:p>
        </w:tc>
      </w:tr>
    </w:tbl>
    <w:p w14:paraId="20915284" w14:textId="40B64390" w:rsidR="00015E2B" w:rsidRPr="00A05235" w:rsidRDefault="00B15313" w:rsidP="00015E2B">
      <w:pPr>
        <w:spacing w:before="360" w:after="120"/>
        <w:jc w:val="both"/>
        <w:rPr>
          <w:i/>
        </w:rPr>
      </w:pPr>
      <w:r>
        <w:rPr>
          <w:i/>
        </w:rPr>
        <w:t xml:space="preserve">Za unos podataka u ovom odjeljku vidjeti odjeljke 3.1.2. (točke od 26. do 32.) i 4.5.3. (točke od 260. do 262.) CEEAG-a.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lastRenderedPageBreak/>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U skladu s točkom 28. CEEAG-a:</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Detaljno opišite činjenični scenarij za koji se očekuje da će proizaći iz mjere potpore i vjerojatne protučinjenične scenarije bez mjere potpore</w:t>
      </w:r>
      <w:r>
        <w:rPr>
          <w:vertAlign w:val="superscript"/>
        </w:rPr>
        <w:footnoteReference w:id="6"/>
      </w:r>
      <w:r>
        <w:t>. Ako očekujete da će potporu dobiti različite kategorije korisnika, pobrinite se da je protučinjenični scenarij vjerodostojan za svaku od tih kategorija.</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Uzmite u obzir zahtjeve povezane s protučinjeničnim scenarijem iz točke 266. i točaka od 226. do 230. CEEAG-a, a posebno:</w:t>
      </w:r>
      <w:bookmarkStart w:id="6" w:name="_Ref116917289"/>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protučinjenični scenarij općenito odgovara ulaganju istog kapaciteta, trajanja i prema potrebi drugih relevantnih tehničkih obilježja kao u slučaju ulaganja koje je prihvatljivo za okoliš, ali vodi do niže razine zaštite okoliša,</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protučinjenični scenarij može biti i jedan od sljedećih scenarija: </w:t>
      </w:r>
    </w:p>
    <w:p w14:paraId="74EED86D" w14:textId="522BD070" w:rsidR="00494C68" w:rsidRPr="00E374B9" w:rsidRDefault="00494C68" w:rsidP="00B82F95">
      <w:pPr>
        <w:pStyle w:val="ListParagraph"/>
        <w:numPr>
          <w:ilvl w:val="1"/>
          <w:numId w:val="39"/>
        </w:numPr>
        <w:spacing w:before="120" w:after="120"/>
        <w:contextualSpacing w:val="0"/>
        <w:jc w:val="both"/>
      </w:pPr>
      <w:r>
        <w:t>održavanje postojećih postrojenja ili opreme u funkciji tijekom razdoblja koje odgovara trajanju ulaganja prihvatljivog za okoliš. U tom bi se slučaju trebali uzeti u obzir diskontirani troškovi održavanja, popravka i modernizacije u tom razdoblju (točka 227. CEEAG-a),</w:t>
      </w:r>
    </w:p>
    <w:p w14:paraId="4DB35D28" w14:textId="724607C2" w:rsidR="00494C68" w:rsidRPr="00E374B9" w:rsidRDefault="00494C68" w:rsidP="00B82F95">
      <w:pPr>
        <w:pStyle w:val="ListParagraph"/>
        <w:numPr>
          <w:ilvl w:val="1"/>
          <w:numId w:val="39"/>
        </w:numPr>
        <w:spacing w:before="120" w:after="120"/>
        <w:contextualSpacing w:val="0"/>
        <w:jc w:val="both"/>
      </w:pPr>
      <w:r>
        <w:t>kasnija zamjena instalacija ili opreme. U tom slučaju treba uzeti u obzir diskontiranu vrijednost postrojenja i opreme, a razliku u ekonomskom vijeku trajanja postrojenja ili opreme treba izjednačiti u skladu s točkom 228. CEEAG-a,</w:t>
      </w:r>
    </w:p>
    <w:p w14:paraId="4CFA180B" w14:textId="391048A9" w:rsidR="00494C68" w:rsidRPr="00E374B9" w:rsidRDefault="00494C68" w:rsidP="00B82F95">
      <w:pPr>
        <w:pStyle w:val="ListParagraph"/>
        <w:numPr>
          <w:ilvl w:val="1"/>
          <w:numId w:val="39"/>
        </w:numPr>
        <w:spacing w:before="120" w:after="120"/>
        <w:contextualSpacing w:val="0"/>
        <w:jc w:val="both"/>
      </w:pPr>
      <w:r>
        <w:t>leasing opreme koja je manje prihvatljiva za okoliš i koja bi se upotrebljavala da nema potpore. U tom bi slučaju trebalo uzeti u obzir diskontiranu vrijednost leasinga opreme koja je manje prihvatljiva za okoliš u skladu s točkom 229. CEEAG-a,</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nepostojanje alternativnog projekta, posebno ako se ulaganje kojem je dodijeljena potpora sastoji od dodavanja postrojenja ili opreme postojećim postrojenjima ili opremi.  </w:t>
      </w:r>
    </w:p>
    <w:bookmarkEnd w:id="6"/>
    <w:p w14:paraId="6257C278" w14:textId="77777777" w:rsidR="00CC7B7B" w:rsidRPr="00CC7B7B" w:rsidRDefault="00CC7B7B" w:rsidP="00CC7B7B">
      <w:pPr>
        <w:pStyle w:val="ListParagraph"/>
        <w:spacing w:before="120" w:after="120"/>
        <w:ind w:left="1418"/>
        <w:contextualSpacing w:val="0"/>
        <w:jc w:val="both"/>
      </w:pPr>
      <w:r>
        <w:t xml:space="preserve">Pri opisivanju činjeničnog scenarija i vjerojatnih protučinjeničnih scenarija navedite kapacitet, vijek trajanja i druga tehnička obilježja ulaganja za činjenični scenarij i protučinjenične scenarije.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Prema potrebi ukratko objasnite razloge za odabir vjerojatnih protučinjeničnih scenarija s obzirom na predložene različite kategorije korisnika.</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lastRenderedPageBreak/>
        <w:t>Kvantificirajte troškove i prihode činjeničnog i protučinjeničnog scenarija i prema potrebi obrazložite promjenu ponašanja za svaku kategoriju korisnika, na temelju sljedećeg:</w:t>
      </w:r>
    </w:p>
    <w:p w14:paraId="10227AFD" w14:textId="5FED30DA" w:rsidR="002158CE" w:rsidRDefault="00BF736D" w:rsidP="00B82F95">
      <w:pPr>
        <w:pStyle w:val="ListParagraph"/>
        <w:numPr>
          <w:ilvl w:val="0"/>
          <w:numId w:val="23"/>
        </w:numPr>
        <w:spacing w:before="120" w:after="120"/>
        <w:ind w:left="1276" w:hanging="284"/>
        <w:contextualSpacing w:val="0"/>
        <w:jc w:val="both"/>
      </w:pPr>
      <w:r>
        <w:t>odgovarajući referentni projekt</w:t>
      </w:r>
      <w:r>
        <w:rPr>
          <w:rStyle w:val="FootnoteReference"/>
        </w:rPr>
        <w:footnoteReference w:id="7"/>
      </w:r>
      <w:r>
        <w:t>, odgovarajući protučinjenični scenariji i nastali manjak financijskih sredstava</w:t>
      </w:r>
      <w:r w:rsidR="00EB0BEE">
        <w:t>;</w:t>
      </w:r>
    </w:p>
    <w:p w14:paraId="2B4E89F9" w14:textId="77777777" w:rsidR="002158CE" w:rsidRPr="00B70424" w:rsidRDefault="002158CE" w:rsidP="002158CE">
      <w:pPr>
        <w:pStyle w:val="ListParagraph"/>
        <w:spacing w:before="120" w:after="120"/>
        <w:ind w:left="949"/>
        <w:contextualSpacing w:val="0"/>
        <w:jc w:val="both"/>
        <w:rPr>
          <w:i/>
          <w:iCs/>
        </w:rPr>
      </w:pPr>
      <w:r>
        <w:rPr>
          <w:i/>
        </w:rPr>
        <w:t>ILI</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relevantni kvantitativni dokazi koji se temelje na studijama tržišta, planovima ulagača, financijskim izvješća ili drugim kvantitativnim dokazima, uključujući ponude za slične projekte u nedavnim usporedivim natječajnim postupcima</w:t>
      </w:r>
      <w:r>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Kako bi se dokazala usklađenost s točkama od 29. i 31. CEEAG-a:</w:t>
      </w:r>
    </w:p>
    <w:p w14:paraId="48499390" w14:textId="7E025DC5" w:rsidR="006445C3" w:rsidRPr="00471B74" w:rsidRDefault="00677805" w:rsidP="00B82F95">
      <w:pPr>
        <w:pStyle w:val="ListParagraph"/>
        <w:numPr>
          <w:ilvl w:val="0"/>
          <w:numId w:val="40"/>
        </w:numPr>
        <w:spacing w:before="120" w:after="120"/>
        <w:ind w:left="1276" w:hanging="283"/>
        <w:contextualSpacing w:val="0"/>
        <w:jc w:val="both"/>
      </w:pPr>
      <w:r>
        <w:t>potvrdite da radovi na projektu ili djelatnosti nisu započeli prije nego što je korisnik nacionalnim tijelima podnio pisani zahtjev za potporu</w:t>
      </w:r>
      <w:r w:rsidR="00EB0BEE">
        <w:t>;</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ILI</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za projekte koji su započeli prije podnošenja zahtjeva za potporu dokažite da je projekt obuhvaćen jednim od iznimnih slučajeva iz točke 31. CEEAG-a (podtočke (a), (b) ili (c)).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Kako biste dokazali usklađenost s točkom 30. CEEAG-a, potvrdite da zahtjev za potporu sadržava barem ime podnositelja zahtjeva, opis projekta ili djelatnosti, uključujući njihovu lokaciju, i iznos potpore potrebne za njihovu provedbu.</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Kako bi se dokazala usklađenost s točkama 32., 261. i 262. CEEAG-a:</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navedite postoje li norme Unije</w:t>
      </w:r>
      <w:r>
        <w:rPr>
          <w:rStyle w:val="FootnoteReference"/>
          <w:lang w:val="en-IE" w:eastAsia="en-GB"/>
        </w:rPr>
        <w:footnoteReference w:id="9"/>
      </w:r>
      <w:r>
        <w:t xml:space="preserve"> primjenjive na prijavljene mjere, obvezne nacionalne norme koje su strože ili ambicioznije od odgovarajućih normi Unije ili obvezne nacionalne norme donesene u nedostatku normi Unije.</w:t>
      </w:r>
    </w:p>
    <w:p w14:paraId="5CE9EEA0" w14:textId="420E9645" w:rsidR="009B2A4B" w:rsidRPr="00864350" w:rsidRDefault="00D039B4" w:rsidP="007947ED">
      <w:pPr>
        <w:pStyle w:val="ListParagraph"/>
        <w:tabs>
          <w:tab w:val="left" w:pos="1134"/>
        </w:tabs>
        <w:spacing w:before="120" w:after="120"/>
        <w:ind w:left="1276"/>
        <w:contextualSpacing w:val="0"/>
        <w:jc w:val="both"/>
      </w:pPr>
      <w:r>
        <w:lastRenderedPageBreak/>
        <w:t xml:space="preserve">U tom kontekstu navedite informacije za dokazivanje učinka poticaja.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U slučajevima u kojima je relevantna norma Unije već donesena, ali još nije na snazi, dokažite da potpora ima učinak poticaja jer potiče ulaganje koje treba provesti i dovršiti najmanje 18 mjeseci prije nego što norma stupi na snagu u skladu s točkom 262. CEEAG-a.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Nepostojanje povrede bilo koje relevantne odredbe prava Unije</w:t>
            </w:r>
          </w:p>
        </w:tc>
      </w:tr>
    </w:tbl>
    <w:p w14:paraId="665FE026" w14:textId="5AC3641E" w:rsidR="00DE1D68" w:rsidRDefault="00DE1D68" w:rsidP="00DE1D68">
      <w:pPr>
        <w:spacing w:before="360" w:after="120"/>
        <w:jc w:val="both"/>
        <w:rPr>
          <w:i/>
        </w:rPr>
      </w:pPr>
      <w:r>
        <w:rPr>
          <w:i/>
        </w:rPr>
        <w:t xml:space="preserve">Za unos podataka u ovom odjeljku vidjeti odjeljak 3.1.3. (točka 33.) CEEAG-a. </w:t>
      </w:r>
    </w:p>
    <w:p w14:paraId="3E98C3D7" w14:textId="29B82232" w:rsidR="00BE702A" w:rsidRDefault="0023543E" w:rsidP="00451471">
      <w:pPr>
        <w:pStyle w:val="ListParagraph"/>
        <w:numPr>
          <w:ilvl w:val="0"/>
          <w:numId w:val="4"/>
        </w:numPr>
        <w:spacing w:before="120" w:after="120"/>
        <w:ind w:left="567" w:hanging="567"/>
        <w:contextualSpacing w:val="0"/>
        <w:jc w:val="both"/>
      </w:pPr>
      <w:r>
        <w:t>Unesite podatke koji potvrđuju usklađenost s relevantnim odredbama prava EU-a u skladu s točkom 33. CEEAG-a.</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4253AEFE" w:rsidR="00544B04" w:rsidRPr="00424B44" w:rsidRDefault="00BE702A" w:rsidP="00451471">
      <w:pPr>
        <w:pStyle w:val="ListParagraph"/>
        <w:numPr>
          <w:ilvl w:val="0"/>
          <w:numId w:val="4"/>
        </w:numPr>
        <w:spacing w:before="120" w:after="120"/>
        <w:ind w:left="567" w:hanging="567"/>
        <w:contextualSpacing w:val="0"/>
        <w:jc w:val="both"/>
        <w:rPr>
          <w:color w:val="000000"/>
        </w:rPr>
      </w:pPr>
      <w:r>
        <w:t>Ako se za financiranje mjera upotrebljava davanje, pojasnite je li potrebno provesti procjenu usklađenosti s člancima 30. i 110. UFEU-a. Ako jest, dokažite na koji je način mjera u skladu s odredbama članaka 30. i 110. UFEU-a.</w:t>
      </w:r>
      <w:r>
        <w:rPr>
          <w:i/>
        </w:rPr>
        <w:t xml:space="preserve"> </w:t>
      </w:r>
      <w:r>
        <w:t xml:space="preserve">U tom kontekstu, ako se prijavljene mjere financiraju iz davanja, može se uputiti na podatke dostavljene u </w:t>
      </w:r>
      <w:r w:rsidR="00E4401D">
        <w:t>pitanju</w:t>
      </w:r>
      <w:r>
        <w:t> </w:t>
      </w:r>
      <w:r>
        <w:fldChar w:fldCharType="begin"/>
      </w:r>
      <w:r>
        <w:instrText xml:space="preserve"> REF _Ref126829229 \w \h  \* MERGEFORMAT </w:instrText>
      </w:r>
      <w:r>
        <w:fldChar w:fldCharType="separate"/>
      </w:r>
      <w:r>
        <w:t>5</w:t>
      </w:r>
      <w:r>
        <w:fldChar w:fldCharType="end"/>
      </w:r>
      <w:r>
        <w:t>. točki </w:t>
      </w:r>
      <w:r>
        <w:fldChar w:fldCharType="begin"/>
      </w:r>
      <w:r>
        <w:instrText xml:space="preserve"> REF _Ref126829235 \w \h  \* MERGEFORMAT </w:instrText>
      </w:r>
      <w:r>
        <w:fldChar w:fldCharType="separate"/>
      </w:r>
      <w:r>
        <w:t>ii</w:t>
      </w:r>
      <w:r>
        <w:fldChar w:fldCharType="end"/>
      </w:r>
      <w:r>
        <w:t>.</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Negativni uvjet: potpora ne smije imati neopravdan utjecaj na trgovinske uvjete u mjeri u kojoj bi to bilo suprotno zajedničkom interesu</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Svođenje narušavanja tržišnog natjecanja i trgovine na najmanju moguću mjeru</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Nužnost potpore</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Za unos podataka u ovom odjeljku vidjeti odjeljke 3.2.1.1. (točke od 34. do 38.) i 4.5.4.1. (točka 264.) CEEAG-a.</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Objasnite koje su tržišne nedostatke koji sprječavaju postizanje dostatne razine zaštite okoliša utvrdila vaša nadležna tijela. Navedite kojoj kategoriji pripadaju ti nedostaci tako što ćete uputiti na točku 34. podtočku (a), (b), (c) ili (d) CEEAG-a.</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t>U skladu s točkom 35. CEEAG-a navedite podatke o eventualnim postojećim politikama i mjerama koje su vaša tijela utvrdila, a koje se već primjenjuju na ispravljanje utvrđenih regulatornih ili tržišnih nedostataka.</w:t>
      </w:r>
    </w:p>
    <w:p w14:paraId="1F515EEE" w14:textId="77777777" w:rsidR="00836816" w:rsidRPr="00B547CC" w:rsidRDefault="00836816" w:rsidP="00836816">
      <w:pPr>
        <w:tabs>
          <w:tab w:val="left" w:leader="dot" w:pos="9072"/>
        </w:tabs>
        <w:spacing w:before="120" w:after="120"/>
        <w:ind w:left="567"/>
        <w:jc w:val="both"/>
      </w:pPr>
      <w:r>
        <w:lastRenderedPageBreak/>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Kako bi se dokazala usklađenost s točkom 36. CEEAG-a, navedite podatke koji dokazuju da se potpora učinkovito primjenjuje na ispravljanje preostalih tržišnih nedostataka, uzimajući u obzir i sve druge politike i mjere koje su već na snazi radi ispravljanja nekih utvrđenih tržišnih nedostataka.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 Ako je odgovor potvrdan, dostavite dodatne dokaze o potrebi za državnom potporom.</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Kako bi se dokazala usklađenost s točkom 38. CEEAG-a, osvrnite se na kvantitativne dokaze navedene u pitanju 17.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Ako je potpora u obliku dozvola za emisije stakleničkih plinova, dostavite dokaze da su ispunjeni sljedeći kumulativni uvjeti u skladu s točkom 264. CEEAG-a:</w:t>
      </w:r>
    </w:p>
    <w:p w14:paraId="6A67C252" w14:textId="7385312A" w:rsidR="00071540" w:rsidRDefault="00F60556" w:rsidP="00B82F95">
      <w:pPr>
        <w:numPr>
          <w:ilvl w:val="1"/>
          <w:numId w:val="37"/>
        </w:numPr>
        <w:ind w:left="1701" w:hanging="567"/>
      </w:pPr>
      <w:r>
        <w:t>prodaja na dražbi dovodi do znatnog povećanja troškova proizvodnje za svaki sektor ili kategoriju pojedinačnih korisnika</w:t>
      </w:r>
      <w:r w:rsidR="00EB0BEE">
        <w:t>;</w:t>
      </w:r>
    </w:p>
    <w:p w14:paraId="216ED8EF" w14:textId="3664ED7C" w:rsidR="00071540" w:rsidRDefault="00071540" w:rsidP="00071540">
      <w:pPr>
        <w:tabs>
          <w:tab w:val="left" w:leader="dot" w:pos="9072"/>
        </w:tabs>
        <w:spacing w:before="120" w:after="120"/>
        <w:ind w:left="567"/>
        <w:jc w:val="both"/>
      </w:pPr>
      <w:r>
        <w:tab/>
      </w:r>
    </w:p>
    <w:p w14:paraId="630B3100" w14:textId="61F8672B" w:rsidR="00071540" w:rsidRDefault="004438D6" w:rsidP="00B82F95">
      <w:pPr>
        <w:numPr>
          <w:ilvl w:val="1"/>
          <w:numId w:val="37"/>
        </w:numPr>
        <w:ind w:left="1701" w:hanging="567"/>
      </w:pPr>
      <w:r>
        <w:t>znatno povećanje proizvodnih troškova ne može se prenijeti na kupce bez znatnih smanjenja prihoda od prodaje</w:t>
      </w:r>
      <w:r>
        <w:rPr>
          <w:rStyle w:val="FootnoteReference"/>
          <w:lang w:eastAsia="en-GB"/>
        </w:rPr>
        <w:footnoteReference w:id="10"/>
      </w:r>
      <w:r w:rsidR="00EB0BEE">
        <w:t>;</w:t>
      </w:r>
    </w:p>
    <w:p w14:paraId="6059E992" w14:textId="27C967CF" w:rsidR="00071540" w:rsidRDefault="00071540" w:rsidP="00071540">
      <w:pPr>
        <w:tabs>
          <w:tab w:val="left" w:leader="dot" w:pos="9072"/>
        </w:tabs>
        <w:spacing w:before="120" w:after="120"/>
        <w:ind w:left="567"/>
        <w:jc w:val="both"/>
      </w:pPr>
      <w:r>
        <w:tab/>
      </w:r>
    </w:p>
    <w:p w14:paraId="4188584F" w14:textId="119AD6C2" w:rsidR="00071540" w:rsidRPr="00B91C09" w:rsidRDefault="00D71E9E" w:rsidP="00B82F95">
      <w:pPr>
        <w:numPr>
          <w:ilvl w:val="1"/>
          <w:numId w:val="37"/>
        </w:numPr>
        <w:ind w:left="1701" w:hanging="567"/>
      </w:pPr>
      <w:r>
        <w:t>pojedinačni poduzetnici u sektoru nemaju mogućnost smanjivanja razina emisija kako bi se cijena certifikata / dozvola za emisije stakleničkih plinova smanjila na razinu koja je prihvatljiva za ta poduzeća. To se može pokazati usporedbom razine emisija potencijalnih korisnika s razinama emisija postignutima primjenom najučinkovitije tehnike i dokazivanjem da je najučinkovitija tehnika u EGP-u upotrijebljena kao referentna vrijednost za razinu dodijeljenih emisijskih jedinica.</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Primjerenost </w:t>
            </w:r>
          </w:p>
        </w:tc>
      </w:tr>
    </w:tbl>
    <w:p w14:paraId="4C2D927B" w14:textId="2ECE2CFC" w:rsidR="00EA354A" w:rsidRPr="00F83660" w:rsidRDefault="00EA354A" w:rsidP="00EA354A">
      <w:pPr>
        <w:spacing w:before="360" w:after="120"/>
        <w:jc w:val="both"/>
        <w:rPr>
          <w:i/>
          <w:color w:val="000000"/>
        </w:rPr>
      </w:pPr>
      <w:r>
        <w:rPr>
          <w:i/>
        </w:rPr>
        <w:t>Za unos podataka u ovom odjeljku vidjeti odjeljak 3.2.1.2. (točke od 39. do 46.) CEEAG-a.</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Kako biste provjerili usklađenost s točkom 40. CEEAG-a, dokažite da ne postoje primjereniji instrumenti kojima se manje narušava tržišno natjecanje.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lastRenderedPageBreak/>
        <w:t>Kako bi se provjerila usklađenost s točkom 41. CEEAG-a, dokažite da je mjera potpore osmišljena tako da ne ugrožava učinkovitost drugih mjera kojima se ispravlja isti tržišni nedostatak, kao što su mehanizmi koji se temelje na tržištu (npr. ETS EU-a).</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Kako bi se provjerila usklađenost s točkom 42. CEEAG-a, potvrdite da se nijedan korisnik mjera potpore ne može smatrati odgovornim za onečišćenje u skladu s postojećim pravom Unije ili nacionalnim pravom (</w:t>
      </w:r>
      <w:r>
        <w:rPr>
          <w:i/>
        </w:rPr>
        <w:t>načelo „onečišćivač plaća”</w:t>
      </w:r>
      <w: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Kako bi se provjerila usklađenost s točkama od 43. do 46. CEEAG-a i dokazala primjerenost potpore među različitim instrumentima potpore, navedite sljedeće podatke: </w:t>
      </w:r>
    </w:p>
    <w:p w14:paraId="4F88C324" w14:textId="25F70CCC" w:rsidR="00EF1F6E" w:rsidRPr="00ED71CB" w:rsidRDefault="00D97CBE" w:rsidP="00B82F95">
      <w:pPr>
        <w:pStyle w:val="ListParagraph"/>
        <w:numPr>
          <w:ilvl w:val="0"/>
          <w:numId w:val="32"/>
        </w:numPr>
        <w:spacing w:before="120" w:after="120"/>
        <w:contextualSpacing w:val="0"/>
        <w:jc w:val="both"/>
      </w:pPr>
      <w:r>
        <w:t>objasnite zašto su drugi oblici potpore koji potencijalno manje narušavaju tržišno natjecanje manje primjereni, kako je propisano točkom 44. CEEAG-a. Oblici potpore koji potencijalno manje narušavaju tržišno natjecanja mogu biti povratni predujmovi u usporedbi s izravnim bespovratnim sredstvima, porezne olakšice u usporedbi sa smanjenjem poreza ili oblici potpore koji se temelje na financijskim instrumentima kao što su dužnički instrumenti u usporedbi s vlasničkim instrumentima, uključujući, na primjer, zajmove s niskim kamatama ili popuste na kamate, državna jamstva ili alternativno financiranje po povoljnim uvjetima</w:t>
      </w:r>
      <w:r w:rsidR="00EB0BEE">
        <w:t>;</w:t>
      </w:r>
    </w:p>
    <w:p w14:paraId="4CB3170A" w14:textId="77777777" w:rsidR="00EF1F6E" w:rsidRPr="00ED71CB" w:rsidRDefault="00EF1F6E" w:rsidP="00EF1F6E">
      <w:pPr>
        <w:tabs>
          <w:tab w:val="left" w:leader="dot" w:pos="9072"/>
        </w:tabs>
        <w:spacing w:before="120" w:after="120"/>
        <w:ind w:left="567"/>
        <w:jc w:val="both"/>
      </w:pPr>
      <w:r>
        <w:tab/>
      </w:r>
    </w:p>
    <w:p w14:paraId="1AC5661D" w14:textId="0DA00CA7" w:rsidR="00EF1F6E" w:rsidRPr="00ED71CB" w:rsidRDefault="00F6400A" w:rsidP="00B82F95">
      <w:pPr>
        <w:pStyle w:val="ListParagraph"/>
        <w:numPr>
          <w:ilvl w:val="0"/>
          <w:numId w:val="32"/>
        </w:numPr>
        <w:spacing w:before="120" w:after="120"/>
        <w:contextualSpacing w:val="0"/>
        <w:jc w:val="both"/>
      </w:pPr>
      <w:r>
        <w:t>dokažite da je odabrani instrument potpore primjeren tržišnom nedostatku koji se namjerava ispraviti mjerom potpore, kako se zahtijeva u točki 45. CEEAG-a</w:t>
      </w:r>
      <w:r w:rsidR="00EB0BEE">
        <w:t>;</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rPr>
          <w:color w:val="000000"/>
          <w:shd w:val="clear" w:color="auto" w:fill="FFFFFF"/>
        </w:rPr>
        <w:t xml:space="preserve"> objasnite na koji su način mjera potpore i njezin oblik primjereni za postizanje cilja mjere (točka 46. CEEAG-a).</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Proporcionalnost </w:t>
            </w:r>
          </w:p>
        </w:tc>
      </w:tr>
    </w:tbl>
    <w:p w14:paraId="5A2A77DE" w14:textId="629E0C5C" w:rsidR="00451471" w:rsidRDefault="00863406" w:rsidP="00864350">
      <w:pPr>
        <w:spacing w:before="360" w:after="120"/>
        <w:jc w:val="both"/>
        <w:rPr>
          <w:i/>
        </w:rPr>
      </w:pPr>
      <w:r>
        <w:rPr>
          <w:i/>
        </w:rPr>
        <w:t xml:space="preserve">Za unos podataka u ovom odjeljku vidjeti odjeljke 3.2.1.3. (točke od 47. do 57.) i 4.5.4.2. (točke od 265. do 273.) CEEAG-a. Napominjemo da se odjeljci </w:t>
      </w:r>
      <w:r>
        <w:rPr>
          <w:i/>
          <w:u w:val="single"/>
        </w:rPr>
        <w:t>2.1.3.2., 2.1.3.3. i 2.1.3.4. međusobno isključuju</w:t>
      </w:r>
      <w:r>
        <w:rPr>
          <w:i/>
        </w:rPr>
        <w:t xml:space="preserve">. Ispunite samo onaj odjeljak koji odgovara načinu na koji je predložena mjera osmišljena. Za potpore dodijeljene u obliku dozvola za emisije stakleničkih plinova kojima se može trgovati odgovorite i na pitanje 33. (odjeljak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Proporcionalnost potpore dodijeljene u obliku dozvola za emisije stakleničkih plinova </w:t>
            </w:r>
          </w:p>
        </w:tc>
      </w:tr>
    </w:tbl>
    <w:p w14:paraId="64E0C18A" w14:textId="5D959274" w:rsidR="00F60556" w:rsidRDefault="00F60556" w:rsidP="002B019C">
      <w:pPr>
        <w:pStyle w:val="ListParagraph"/>
        <w:numPr>
          <w:ilvl w:val="0"/>
          <w:numId w:val="4"/>
        </w:numPr>
        <w:spacing w:before="120" w:after="120"/>
        <w:ind w:left="567" w:hanging="567"/>
        <w:contextualSpacing w:val="0"/>
      </w:pPr>
      <w:r>
        <w:t>Ako je potpora u obliku dozvola za emisije stakleničkih plinova, u skladu s točkom 273. objasnite kako:</w:t>
      </w:r>
    </w:p>
    <w:p w14:paraId="379BD600" w14:textId="02F93090" w:rsidR="00F60556" w:rsidRDefault="00F60556" w:rsidP="00B82F95">
      <w:pPr>
        <w:numPr>
          <w:ilvl w:val="0"/>
          <w:numId w:val="42"/>
        </w:numPr>
        <w:ind w:left="1418" w:hanging="284"/>
      </w:pPr>
      <w:r>
        <w:t>će se raspodjela provoditi na transparentan način, na temelju objektivnih kriterija i podataka iz najkvalitetnijih dostupnih izvora</w:t>
      </w:r>
      <w:r w:rsidR="00EB0BEE">
        <w:t>;</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 xml:space="preserve">ukupni iznos dozvola za emisije stakleničkih plinova ili emisijskih jedinica dodijeljenih svakom poduzetniku po cijeni ispod tržišne vrijednosti nije veći </w:t>
      </w:r>
      <w:r>
        <w:lastRenderedPageBreak/>
        <w:t>od njihovih očekivanih potreba, procijenjenih na temelju slučaja u kojem ne postoji sustav trgovanja emisijama.</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Proporcionalnost potpore na temelju intenziteta potpore iz točaka od 265. do 273. CEEAG-a</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Za opis prihvatljivih troškova u okviru mjere navedite dodatne troškove ulaganja koji su izravno povezani s postizanjem više razine zaštite okoliša. U tu svrhu vidjeti relevantni protučinjenični scenarij, kako je utvrđen u odgovoru na pitanje 17., te točku 266. i točke od 226. do 230. CEEAG-a.</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Objasnite kako će se utvrditi i provjeriti troškovi ulaganja iz činjeničnog i protučinjeničnog scenarija.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Navedite maksimalne intenzitete potpore primjenjive u okviru mjere i navedite primjenjuju li se povećanja (točke od 267. do 270. CEEAG-a).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Za aktivnosti povezane s ekološkim inovacijama dokažite da su ispunjeni kumulativni uvjeti navedeni u nastavku (točka 270. CEEAG-a): </w:t>
      </w:r>
    </w:p>
    <w:p w14:paraId="00DF35DD" w14:textId="77777777" w:rsidR="00611EA4" w:rsidRDefault="00611EA4" w:rsidP="00B82F95">
      <w:pPr>
        <w:pStyle w:val="ListParagraph"/>
        <w:numPr>
          <w:ilvl w:val="0"/>
          <w:numId w:val="36"/>
        </w:numPr>
        <w:spacing w:before="120" w:after="120"/>
        <w:contextualSpacing w:val="0"/>
        <w:jc w:val="both"/>
      </w:pPr>
      <w:r>
        <w:t>djelatnost ekoloških inovacija mora biti nova ili znatno poboljšana u usporedbi s vrhunskom tehnologijom u toj industriji u Uniji</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očekivana korist za okoliš znatno je veća od poboljšanja koje proizlazi iz općeg razvoja vrhunske tehnologije u usporedivim djelatnostima</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inovativna priroda djelatnosti uključuje jasan stupanj rizika u tehnološkom, tržišnom ili financijskom smislu, koji je viši od rizika koji se općenito pripisuje usporedivim neinovativnim djelatnostima</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Ako se odstupajući od točaka od 267. do 270. CEEAG-a smatra da je potrebna potpora koja premašuje maksimalne intenzitete potpore utvrđene u odjeljku 4.5.4.2., navedite razinu potpore koja se smatra potrebnom i obrazložite je na temelju analize manjka financijskih sredstava za referentne projekte u činjeničnom i protučinjeničnom scenariju </w:t>
      </w:r>
      <w:r>
        <w:lastRenderedPageBreak/>
        <w:t xml:space="preserve">kako je utvrđeno u odgovoru na pitanje 17. točku C, u skladu s točkama 51. i 52. CEEAG-a. </w:t>
      </w:r>
    </w:p>
    <w:p w14:paraId="25D9B659" w14:textId="6A94171C" w:rsidR="00E766C0" w:rsidRPr="00451471" w:rsidRDefault="00E766C0" w:rsidP="00451471">
      <w:pPr>
        <w:pStyle w:val="ListParagraph"/>
        <w:spacing w:before="120" w:after="120"/>
        <w:ind w:left="567"/>
        <w:contextualSpacing w:val="0"/>
        <w:jc w:val="both"/>
      </w:pPr>
      <w:r>
        <w:t>Za potrebe te analize manjka financijskih sredstava dostavite za činjenične scenarije i realne protučinjenične scenarije</w:t>
      </w:r>
      <w:r>
        <w:rPr>
          <w:vertAlign w:val="superscript"/>
          <w:lang w:val="en-IE" w:eastAsia="en-GB"/>
        </w:rPr>
        <w:footnoteReference w:id="14"/>
      </w:r>
      <w:r>
        <w:t xml:space="preserve"> utvrđene u odgovoru na pitanje 17. točku C, mjerenje svih glavnih troškova i prihoda, procijenjeni ponderirani prosječni trošak kapitala korisnika (ili referentnih projekata) za diskontiranje budućih novčanih tokova te neto sadašnju vrijednost za činjenični i protučinjenični scenarij tijekom provedbe projekta / referentnog projekta.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Te podatke dostavite u prilogu ovom obrascu o dodatnim podacima (u datoteci formata Excel u kojoj su vidljive sve formule).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Navedite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U slučajevima pojedinačnih potpora i programa koji su namijenjeni vrlo ograničenom broju korisnika ili postojećih korisnika država članica mora dostaviti popratne dokaze na razini detaljnog poslovnog plana projekta.</w:t>
      </w:r>
    </w:p>
    <w:p w14:paraId="2EE300C8" w14:textId="77777777" w:rsidR="00E766C0" w:rsidRPr="00AC286A" w:rsidRDefault="00E766C0" w:rsidP="00E766C0">
      <w:pPr>
        <w:ind w:left="1080"/>
        <w:jc w:val="both"/>
        <w:rPr>
          <w:shd w:val="clear" w:color="auto" w:fill="FFFFFF"/>
        </w:rPr>
      </w:pPr>
      <w:r>
        <w:rPr>
          <w:shd w:val="clear" w:color="auto" w:fill="FFFFFF"/>
        </w:rPr>
        <w:t>U slučajevima programa potpore država članica mora dostaviti popratne dokaze na temelju jednog ili više referentnih projekata.</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Obrascu o dodatnim podacima možete priložiti i dokumente navedene u bilješci 39. CEEAG-a. Dokumenti odbora mogu biti posebno korisni za pojedinačne mjere ili programe potpore namijenjene vrlo ograničenom broju korisnika. Ako obrascu o dodatnim podacima prilažete takve dokumente, u nastavku navedite popis tih dokumenata te autora, datum sastavljanja i kontekst u kojem su upotrijebljeni.</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Dokažite i da primjena većeg intenziteta potpore utvrđenog kako je navedeno u pitanju 38. ne bi dovela do toga da potpora premaši manjak financijskih sredstava.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Ako se primjenjuje točka 52. CEEAG-a, tj. u najvjerojatnijem protučinjeničnom scenariju korisnik ne obavlja djelatnost ili ne ulaže ili nastavlja poslovanje bez promjena, dostavite dokaze u prilog toj pretpostavci</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U svim slučajevima u kojima se proporcionalnost opravdaa upućivanjem na analizu manjka financijskih sredstava, potvrdite da će vaša nadležna tijela provesti </w:t>
      </w:r>
      <w:r>
        <w:rPr>
          <w:i/>
        </w:rPr>
        <w:t xml:space="preserve">ex post </w:t>
      </w:r>
      <w:r>
        <w:t xml:space="preserve">praćenje kako bi provjerila pretpostavke o razini potrebne potpore i da će uspostaviti mehanizam za povrat prekomjernih sredstava. Opišite i praćenje i mehanizam za povrat </w:t>
      </w:r>
      <w:r>
        <w:lastRenderedPageBreak/>
        <w:t xml:space="preserve">prekomjernih sredstava koji vaša nadležna tijela namjeravaju primijeniti (točka 271. CEEAG-a).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Proporcionalnost potpora dodijeljenih u okviru konkurentnog natječajnog postupka </w:t>
            </w:r>
          </w:p>
        </w:tc>
      </w:tr>
    </w:tbl>
    <w:p w14:paraId="02145BB2" w14:textId="77777777" w:rsidR="00E50157" w:rsidRPr="00441F0B" w:rsidRDefault="00E50157" w:rsidP="00E50157">
      <w:pPr>
        <w:pStyle w:val="ListParagraph"/>
        <w:spacing w:before="360" w:after="120"/>
        <w:ind w:left="0"/>
        <w:contextualSpacing w:val="0"/>
        <w:jc w:val="both"/>
      </w:pPr>
      <w:r>
        <w:rPr>
          <w:i/>
        </w:rPr>
        <w:t>Za unos podataka u ovom odjeljku vidjeti točke 49. i 50. i točku 272. CEEAG-a.</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Kako bi se potvrdila usklađenost s točkama 49. i 50. CEEAG-a:</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objasnite kako nadležna tijela osiguravaju da je natječajni postupak otvoren, jasan, transparentan i nediskriminirajući i da se temelji na objektivnim kriterijima definiranima </w:t>
      </w:r>
      <w:r>
        <w:rPr>
          <w:i/>
          <w:iCs/>
        </w:rPr>
        <w:t>ex ante</w:t>
      </w:r>
      <w:r>
        <w:t xml:space="preserve"> u skladu s ciljem mjere i svođenjem rizika strateškog dostavljanja ponuda na najmanju moguću mjeru (točka 49. podtočka (a) CEEAG-a);</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navedite kriterije odabira koji se upotrebljavaju za rangiranje ponuda i, u konačnici, utvrđivanje razine potpore u konkurentnom natječajnom postupku. Konkretnije: </w:t>
      </w:r>
    </w:p>
    <w:p w14:paraId="383A3E34" w14:textId="2C36C6F0" w:rsidR="00E50157" w:rsidRPr="00050EB9" w:rsidRDefault="00E50157" w:rsidP="00B82F95">
      <w:pPr>
        <w:pStyle w:val="ListParagraph"/>
        <w:numPr>
          <w:ilvl w:val="1"/>
          <w:numId w:val="25"/>
        </w:numPr>
        <w:spacing w:before="120" w:after="120"/>
        <w:contextualSpacing w:val="0"/>
        <w:jc w:val="both"/>
      </w:pPr>
      <w:r>
        <w:t>navedite popis kriterija odabira i navedite koji od njih jesu/nisu izravno ili neizravno povezani s glavnim ciljevima mjera. Navedite njihov ponder</w:t>
      </w:r>
      <w:r w:rsidR="00EB0BEE">
        <w:t>;</w:t>
      </w:r>
    </w:p>
    <w:p w14:paraId="2D712E1A" w14:textId="77777777" w:rsidR="00E50157" w:rsidRPr="00050EB9" w:rsidRDefault="00E50157" w:rsidP="00E50157">
      <w:pPr>
        <w:tabs>
          <w:tab w:val="left" w:leader="dot" w:pos="9072"/>
        </w:tabs>
        <w:spacing w:before="120" w:after="120"/>
        <w:ind w:left="567"/>
        <w:jc w:val="both"/>
      </w:pPr>
      <w:r>
        <w:tab/>
      </w:r>
    </w:p>
    <w:p w14:paraId="6A0273C9" w14:textId="18420C48" w:rsidR="00E50157" w:rsidRPr="00050EB9" w:rsidRDefault="00E50157" w:rsidP="00B82F95">
      <w:pPr>
        <w:pStyle w:val="ListParagraph"/>
        <w:numPr>
          <w:ilvl w:val="1"/>
          <w:numId w:val="25"/>
        </w:numPr>
        <w:spacing w:before="120" w:after="120"/>
        <w:contextualSpacing w:val="0"/>
        <w:jc w:val="both"/>
      </w:pPr>
      <w:r>
        <w:t>objasnite kako kriteriji odabira stavljaju doprinos glavnim ciljevima mjera u izravan ili neizravan odnos s iznosom potpore koji je zatražio podnositelj zahtjeva. To se može izraziti, na primjer, u obliku potpore po jedinici zaštite okoliša</w:t>
      </w:r>
      <w:r>
        <w:rPr>
          <w:rStyle w:val="FootnoteReference"/>
          <w:lang w:eastAsia="en-GB"/>
        </w:rPr>
        <w:footnoteReference w:id="16"/>
      </w:r>
      <w:r>
        <w:t xml:space="preserve"> (točka 50. i bilješka 44. CEEAG-a)</w:t>
      </w:r>
      <w:r w:rsidR="00EB0BEE">
        <w:t>;</w:t>
      </w:r>
    </w:p>
    <w:p w14:paraId="7B20C5C6" w14:textId="77777777" w:rsidR="00E50157" w:rsidRPr="00050EB9" w:rsidRDefault="00E50157" w:rsidP="00E50157">
      <w:pPr>
        <w:tabs>
          <w:tab w:val="left" w:leader="dot" w:pos="9072"/>
        </w:tabs>
        <w:spacing w:before="120" w:after="120"/>
        <w:ind w:left="567"/>
        <w:jc w:val="both"/>
      </w:pPr>
      <w:r>
        <w:tab/>
      </w:r>
    </w:p>
    <w:p w14:paraId="33504261" w14:textId="36511B37" w:rsidR="00E50157" w:rsidRPr="00050EB9" w:rsidRDefault="00E50157" w:rsidP="00B82F95">
      <w:pPr>
        <w:pStyle w:val="ListParagraph"/>
        <w:numPr>
          <w:ilvl w:val="1"/>
          <w:numId w:val="25"/>
        </w:numPr>
        <w:spacing w:before="120" w:after="120"/>
        <w:contextualSpacing w:val="0"/>
        <w:jc w:val="both"/>
      </w:pPr>
      <w:r>
        <w:t>ako postoje drugi kriteriji za odabir koji nisu izravno ili neizravno povezani s glavnim ciljevima mjera, navedite razloge za predloženi pristup i objasnite što ga čini primjerenim za ciljeve mjera. Potvrdite i da ti kriteriji ne čine više od 30 % pondera svih kriterija odabira (točka 50. CEEAG-a)</w:t>
      </w:r>
      <w:r w:rsidR="00EB0BEE">
        <w:t>;</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 xml:space="preserve">objasnite koliko će se prije roka za podnošenje zahtjeva u svakom konkurentnom natječajnom postupku </w:t>
      </w:r>
      <w:r>
        <w:rPr>
          <w:color w:val="000000"/>
          <w:shd w:val="clear" w:color="auto" w:fill="FFFFFF"/>
        </w:rPr>
        <w:t xml:space="preserve">objaviti kriteriji odabira </w:t>
      </w:r>
      <w:r>
        <w:t>(točka 49. podtočka (b) i bilješka 43. CEEAG-a)</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lastRenderedPageBreak/>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Objasnite elemente na kojima ste temeljili pretpostavku da će natječajni postupak biti otvoren i imati dovoljan broj ponuda, tj. da se može očekivati da neće svi ponuditelji primiti potporu i da je očekivani broj ponuditelja dovoljan za osiguravanje učinkovitog tržišnog natjecanja tijekom provedbe programa (točka 49. podtočka (c) CEEAG-a).</w:t>
      </w:r>
      <w:r>
        <w:rPr>
          <w:shd w:val="clear" w:color="auto" w:fill="FFFFFF"/>
        </w:rPr>
        <w:t xml:space="preserve"> U objašnjenju uzmite u obzir proračun ili opseg programa. Prema potrebi navedite dokaze dostavljene kao odgovore na pitanje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Navedite podatke o predviđenom broju krugova natječajnog postupka i očekivanom broju ponuditelja u prvom krugu i ukupno.</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shd w:val="clear" w:color="auto" w:fill="FFFFFF"/>
        </w:rPr>
        <w:t xml:space="preserve">Potvrdite da se izbjegavaju </w:t>
      </w:r>
      <w:r>
        <w:rPr>
          <w:rStyle w:val="oj-italic"/>
          <w:i/>
          <w:shd w:val="clear" w:color="auto" w:fill="FFFFFF"/>
        </w:rPr>
        <w:t>ex post</w:t>
      </w:r>
      <w:r>
        <w:rPr>
          <w:shd w:val="clear" w:color="auto" w:fill="FFFFFF"/>
        </w:rPr>
        <w:t xml:space="preserve"> prilagodbe ishoda natječajnog postupka (kao što su naknadni pregovori o rezultatima ponuda ili racioniranje) </w:t>
      </w:r>
      <w:r>
        <w:t>(točka 49. podtočka (d) CEEAG-a).</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Ako postoji mogućnost „ponuda s nultim subvencijama”, objasnite kako će se osigurati proporcionalnost (vidjeti točku 49. bilješku 42. CEEAG-a).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Pojasnite predviđaju li nadležna tijela primjenu najnižih cijena ili gornjih granica u konkurentnom natječajnom postupku. Ako je odgovor potvrdan, obrazložite njihovu primjenu i objasnite na koji način ne ograničavaju konkurentni natječajni postupak (točka 49. i bilješka 42. CEEAG-a).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Zbrajanje</w:t>
            </w:r>
          </w:p>
        </w:tc>
      </w:tr>
    </w:tbl>
    <w:p w14:paraId="2346A85D" w14:textId="05ED6D8A" w:rsidR="00B21377" w:rsidRPr="002A3B51" w:rsidRDefault="00B21377" w:rsidP="00B21377">
      <w:pPr>
        <w:pStyle w:val="ListParagraph"/>
        <w:spacing w:before="120" w:after="120"/>
        <w:ind w:left="567"/>
        <w:contextualSpacing w:val="0"/>
        <w:jc w:val="both"/>
      </w:pPr>
      <w:r>
        <w:rPr>
          <w:i/>
        </w:rPr>
        <w:t>Za unos podataka u ovom odjeljku vidjeti točke 56. i 57. CEEAG-a.</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Ako to već nije navedeno u dijelu I. općeg obrasca prijave i kako bi se provjerila usklađenost s točkom 56. CEEAG-a, objasnite može li se potpora u okviru prijavljenih mjera dodijeliti istodobno u okviru nekoliko programa potpore ili zbrajati s jednokratnim ili </w:t>
      </w:r>
      <w:r>
        <w:rPr>
          <w:i/>
        </w:rPr>
        <w:t>de minimis</w:t>
      </w:r>
      <w:r>
        <w:t xml:space="preserve"> potporama za iste prihvatljive troškove. Ako je tako, navedite pojedinosti o tim programima potpore, jednokratnim potporama ili </w:t>
      </w:r>
      <w:r>
        <w:rPr>
          <w:i/>
        </w:rPr>
        <w:t>de minimis</w:t>
      </w:r>
      <w:r>
        <w:t xml:space="preserve"> potporama te o tome kako će se potpora zbrajati.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Ako se primjenjuje točka 56. CEEAG-a, obrazložite kako ukupni iznos potpore dodijeljene na temelju prijavljenih mjera za projekt ili djelatnost ne dovodi do prekomjerne naknade ili ne premašuje maksimalni iznos potpore dopušten u skladu s točkama od 267. do 273. CEEAG-a. Za svaku mjeru s kojom se potpora dodijeljena u </w:t>
      </w:r>
      <w:r>
        <w:lastRenderedPageBreak/>
        <w:t>okviru prijavljenih mjera potpore može zbrajati, navedite metodu kojom se osigurala usklađenost s uvjetima utvrđenima u točki 56. CEEAG-a.</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Ako se primjenjuje točka 57. CEEAG-a, tj. potpora dodijeljena u okviru prijavljenih mjera kombinira se s financijskim sredstvima Unije kojima se centralizirano upravlja</w:t>
      </w:r>
      <w:r>
        <w:rPr>
          <w:rStyle w:val="FootnoteReference"/>
          <w:lang w:eastAsia="en-GB"/>
        </w:rPr>
        <w:footnoteReference w:id="17"/>
      </w:r>
      <w:r>
        <w:t xml:space="preserve"> (koja nisu državna potpora), obrazložite kako ukupni iznos javnog financiranja dodijeljenog za iste prihvatljive troškove ne dovodi do prekomjerne naknade.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Transparentnost</w:t>
            </w:r>
          </w:p>
        </w:tc>
      </w:tr>
    </w:tbl>
    <w:p w14:paraId="07229A8F" w14:textId="25E21DE5" w:rsidR="006773CE" w:rsidRPr="007C0A44" w:rsidRDefault="006773CE" w:rsidP="006773CE">
      <w:pPr>
        <w:spacing w:before="360" w:after="120"/>
        <w:jc w:val="both"/>
        <w:rPr>
          <w:i/>
        </w:rPr>
      </w:pPr>
      <w:r>
        <w:rPr>
          <w:i/>
        </w:rPr>
        <w:t xml:space="preserve">Za unos podataka u ovom odjeljku vidjeti odjeljak 3.2.1.4. (točke od 58. do 62.) CEEAG-a.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Potvrdite da će država članica ispuniti zahtjeve za transparentnost navedene u točkama od 58. do 61. CEEAG-a.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Navedite poveznicu na internetske stranice na kojima </w:t>
      </w:r>
      <w:r>
        <w:rPr>
          <w:rFonts w:ascii="inherit" w:hAnsi="inherit"/>
        </w:rPr>
        <w:t xml:space="preserve">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Izbjegavanje nepotrebnih negativnih učinaka na tržišno natjecanje i trgovinu te uravnoteženje</w:t>
            </w:r>
          </w:p>
        </w:tc>
      </w:tr>
    </w:tbl>
    <w:p w14:paraId="6CD3884F" w14:textId="47FB2DEE" w:rsidR="00F83660" w:rsidRPr="00B215FD" w:rsidRDefault="00F83660" w:rsidP="00F83660">
      <w:pPr>
        <w:spacing w:before="360" w:after="120"/>
        <w:jc w:val="both"/>
        <w:rPr>
          <w:i/>
        </w:rPr>
      </w:pPr>
      <w:r>
        <w:rPr>
          <w:i/>
        </w:rPr>
        <w:t xml:space="preserve">Za unos podataka u ovom odjeljku vidjeti odjeljke 3.2.2. (točke od 63. do 70.) i 4.5.5. (točke od 274. do 275.) CEEAG-a.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Kako bi se provjerila usklađenost s točkom 67. CEEAG-a, navedite informacije o mogućim kratkoročnim i dugoročnim negativnim učincima prijavljenih mjera na tržišno natjecanje i trgovinu.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Objasnite je li mjera obuhvaćena nekom od sljedećih situacija: </w:t>
      </w:r>
    </w:p>
    <w:p w14:paraId="554349FE" w14:textId="4004EAA4" w:rsidR="00397D3C" w:rsidRPr="002178F0" w:rsidRDefault="00397D3C" w:rsidP="00B82F95">
      <w:pPr>
        <w:pStyle w:val="ListParagraph"/>
        <w:numPr>
          <w:ilvl w:val="1"/>
          <w:numId w:val="28"/>
        </w:numPr>
        <w:spacing w:before="120" w:after="120"/>
        <w:contextualSpacing w:val="0"/>
        <w:jc w:val="both"/>
      </w:pPr>
      <w:r>
        <w:t>odnosi se na tržište (ili tržišta) na kojem su pozicionirani subjekti stekli tržišnu snagu prije liberalizacije tržišta</w:t>
      </w:r>
      <w:r w:rsidR="00EB0BEE">
        <w:t>;</w:t>
      </w:r>
    </w:p>
    <w:p w14:paraId="09418AF0" w14:textId="77777777" w:rsidR="00397D3C" w:rsidRPr="002178F0" w:rsidRDefault="00397D3C" w:rsidP="00397D3C">
      <w:pPr>
        <w:tabs>
          <w:tab w:val="left" w:leader="dot" w:pos="9072"/>
        </w:tabs>
        <w:spacing w:before="120" w:after="120"/>
        <w:ind w:left="567"/>
        <w:jc w:val="both"/>
      </w:pPr>
      <w:r>
        <w:tab/>
      </w:r>
    </w:p>
    <w:p w14:paraId="746354B7" w14:textId="00111297" w:rsidR="00397D3C" w:rsidRPr="002178F0" w:rsidRDefault="00397D3C" w:rsidP="00B82F95">
      <w:pPr>
        <w:pStyle w:val="ListParagraph"/>
        <w:numPr>
          <w:ilvl w:val="1"/>
          <w:numId w:val="28"/>
        </w:numPr>
        <w:spacing w:before="120" w:after="120"/>
        <w:contextualSpacing w:val="0"/>
        <w:jc w:val="both"/>
      </w:pPr>
      <w:r>
        <w:t>obuhvaća konkurentne natječajne postupke na tržištima u nastajanju ako postoji sudionik s čvrstim položajem na tržištu</w:t>
      </w:r>
      <w:r w:rsidR="00EB0BEE">
        <w:t>;</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lastRenderedPageBreak/>
        <w:t>namijenjena je samo jednom korisniku ili vrlo ograničenom broju korisnika.</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Ako je mjera potpore usmjerena na određeni tehnološki izbor/put, obrazložite zašto je ta tehnologija odabrana i kako taj odabir neće obeshrabriti uvođenje čišćih tehnologija.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Ako su prijavljene mjere namijenjene samo jednom korisniku ili vrlo ograničenom broju korisnika, kako bi se provjerila usklađenost s točkom 68. CEEAG-a:</w:t>
      </w:r>
    </w:p>
    <w:p w14:paraId="05892635" w14:textId="4C1DC8C8" w:rsidR="00F83660" w:rsidRPr="00B215FD" w:rsidRDefault="00D4206D" w:rsidP="008A6F77">
      <w:pPr>
        <w:pStyle w:val="ListParagraph"/>
        <w:numPr>
          <w:ilvl w:val="0"/>
          <w:numId w:val="43"/>
        </w:numPr>
        <w:spacing w:before="120" w:after="120"/>
        <w:contextualSpacing w:val="0"/>
        <w:jc w:val="both"/>
      </w:pPr>
      <w:r>
        <w:t>objasnite jačaju li ili održavaju li prijavljene mjere tržišnu snagu korisnika ili odvraćaju od širenja postojećih konkurenata ili potiču njihov izlazak s tržišta ili odvraćaju nove konkurente od ulaska na tržište. U tom pogledu objasnite i hoće li mjera potpore dovesti do povećanja proizvodnog kapaciteta korisnika</w:t>
      </w:r>
      <w:r w:rsidR="00EB0BEE">
        <w:t>;</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opišite mjere uvedene kako bi se ograničilo moguće narušavanje tržišnog natjecanja uzrokovano dodjelom potpore korisnicima.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Kako bi se provjerila usklađenost s točkom 69. CEEAG-a, objasnite:</w:t>
      </w:r>
    </w:p>
    <w:p w14:paraId="4FA1E951" w14:textId="427BDBC6" w:rsidR="00787938" w:rsidRDefault="00787938" w:rsidP="008A6F77">
      <w:pPr>
        <w:pStyle w:val="ListParagraph"/>
        <w:numPr>
          <w:ilvl w:val="0"/>
          <w:numId w:val="44"/>
        </w:numPr>
        <w:spacing w:before="120" w:after="120"/>
        <w:contextualSpacing w:val="0"/>
        <w:jc w:val="both"/>
      </w:pPr>
      <w:r>
        <w:t>je li cilj potpore dodijeljene u okviru prijavljenih mjera očuvanje gospodarske djelatnosti u jednoj regiji ili njezino odvlačenje iz drugih regija na unutarnjem tržištu</w:t>
      </w:r>
      <w:r w:rsidR="00EB0BEE">
        <w:t>;</w:t>
      </w:r>
    </w:p>
    <w:p w14:paraId="20D1C08A" w14:textId="77777777" w:rsidR="00787938" w:rsidRPr="009E0FCA" w:rsidRDefault="00787938" w:rsidP="00787938">
      <w:pPr>
        <w:tabs>
          <w:tab w:val="left" w:leader="dot" w:pos="9072"/>
        </w:tabs>
        <w:spacing w:before="120" w:after="120"/>
        <w:ind w:left="567"/>
        <w:jc w:val="both"/>
      </w:pPr>
      <w:r>
        <w:tab/>
      </w:r>
    </w:p>
    <w:p w14:paraId="648EA6BC" w14:textId="4FA239C2" w:rsidR="00F83660" w:rsidRPr="009E0FCA" w:rsidRDefault="00F83660" w:rsidP="008A6F77">
      <w:pPr>
        <w:pStyle w:val="ListParagraph"/>
        <w:numPr>
          <w:ilvl w:val="0"/>
          <w:numId w:val="44"/>
        </w:numPr>
        <w:spacing w:before="120" w:after="120"/>
        <w:contextualSpacing w:val="0"/>
        <w:jc w:val="both"/>
      </w:pPr>
      <w:r>
        <w:t>ako je odgovor potvrdan, navedite koji je neto učinak na okoliš prijavljenih mjera i kako se prijavljenim mjerama poboljšava postojeća razina zaštite okoliša u državama članicama</w:t>
      </w:r>
      <w:r w:rsidR="00EB0BEE">
        <w:t>;</w:t>
      </w:r>
    </w:p>
    <w:p w14:paraId="4F9F5FD3" w14:textId="77777777" w:rsidR="00F83660" w:rsidRPr="009E0FCA" w:rsidRDefault="00F83660" w:rsidP="00F83660">
      <w:pPr>
        <w:tabs>
          <w:tab w:val="left" w:leader="dot" w:pos="9072"/>
        </w:tabs>
        <w:spacing w:before="120" w:after="120"/>
        <w:ind w:left="567"/>
        <w:jc w:val="both"/>
      </w:pPr>
      <w:r>
        <w:tab/>
      </w:r>
    </w:p>
    <w:p w14:paraId="302C0037" w14:textId="3C34FB73" w:rsidR="00F83660" w:rsidRPr="001D7B55" w:rsidRDefault="00787938" w:rsidP="008A6F77">
      <w:pPr>
        <w:pStyle w:val="ListParagraph"/>
        <w:numPr>
          <w:ilvl w:val="0"/>
          <w:numId w:val="44"/>
        </w:numPr>
        <w:spacing w:before="120" w:after="120"/>
        <w:contextualSpacing w:val="0"/>
        <w:jc w:val="both"/>
      </w:pPr>
      <w:r>
        <w:t>kako potpora dodijeljena u okviru prijavljenih mjera nema očite negativne učinke na tržišno natjecanje i trgovinu</w:t>
      </w:r>
      <w:r w:rsidR="00EB0BEE">
        <w:t>;</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kad je riječ o pojedinačnoj potpori, glavne razloge zbog kojih je korisnik odabrao određenu lokaciju za ulaganja.</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Kako bi se provjerila usklađenost s točkom 70. CEEAG-a:</w:t>
      </w:r>
    </w:p>
    <w:p w14:paraId="2E397074" w14:textId="75023407" w:rsidR="00E84057" w:rsidRPr="00AC286A" w:rsidRDefault="00E84057" w:rsidP="008A6F77">
      <w:pPr>
        <w:pStyle w:val="ListParagraph"/>
        <w:numPr>
          <w:ilvl w:val="0"/>
          <w:numId w:val="45"/>
        </w:numPr>
        <w:spacing w:before="120" w:after="120"/>
        <w:contextualSpacing w:val="0"/>
        <w:jc w:val="both"/>
      </w:pPr>
      <w:r>
        <w:t>potvrdite da se potpora može dodijeliti u okviru prijavljenog programa na razdoblje od najviše 10 godina od datuma objave odluke Komisije kojom se državna potpora proglašava spojivom</w:t>
      </w:r>
      <w:r w:rsidR="00EB0BEE">
        <w:t>;</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potvrdite da će vaša nadležna tijela ponovno prijaviti mjeru ako žele produljiti trajanje programa nakon isteka maksimalnog razdoblja.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lastRenderedPageBreak/>
        <w:t xml:space="preserve">Ako je potpora u obliku dozvola za emisije stakleničkih plinova, kako bi se provjerila usklađenost s točkom 275. CEEAG-a, potvrdite da je mjera u skladu sa svim sljedećim kriterijima: </w:t>
      </w:r>
    </w:p>
    <w:p w14:paraId="77783B19" w14:textId="5027C156" w:rsidR="002C45A2" w:rsidRDefault="00F60556" w:rsidP="008A6F77">
      <w:pPr>
        <w:pStyle w:val="ListParagraph"/>
        <w:numPr>
          <w:ilvl w:val="0"/>
          <w:numId w:val="46"/>
        </w:numPr>
        <w:spacing w:before="120" w:after="120"/>
        <w:contextualSpacing w:val="0"/>
        <w:jc w:val="both"/>
      </w:pPr>
      <w:r>
        <w:t>odabir korisnika potpore temelji se na objektivnim i transparentnim kriterijima, a potpore se u načelu dodjeljuju na isti način svim konkurentima u istom sektoru ako se nalaze u sličnoj činjeničnoj situaciji</w:t>
      </w:r>
      <w:r w:rsidR="00EB0BEE">
        <w:t>;</w:t>
      </w:r>
    </w:p>
    <w:p w14:paraId="42AB8BE5" w14:textId="77777777" w:rsidR="00970586" w:rsidRPr="009E0FCA" w:rsidRDefault="00970586" w:rsidP="00C47CAC">
      <w:pPr>
        <w:tabs>
          <w:tab w:val="left" w:leader="dot" w:pos="9072"/>
        </w:tabs>
        <w:spacing w:before="120" w:after="120"/>
        <w:ind w:left="567"/>
        <w:jc w:val="both"/>
      </w:pPr>
      <w:r>
        <w:tab/>
      </w:r>
    </w:p>
    <w:p w14:paraId="025C871A" w14:textId="74C5E68E" w:rsidR="004438D6" w:rsidRDefault="00F60556" w:rsidP="008A6F77">
      <w:pPr>
        <w:pStyle w:val="ListParagraph"/>
        <w:numPr>
          <w:ilvl w:val="0"/>
          <w:numId w:val="46"/>
        </w:numPr>
        <w:spacing w:before="120" w:after="120"/>
        <w:jc w:val="both"/>
      </w:pPr>
      <w:r>
        <w:t>metodologijom raspodjele ne pogoduje se određenim poduzetnicima ili određenim sektorima</w:t>
      </w:r>
      <w:r w:rsidR="00EB0BEE">
        <w:t>;</w:t>
      </w:r>
    </w:p>
    <w:p w14:paraId="0B143733" w14:textId="1D395331" w:rsidR="004438D6" w:rsidRDefault="004438D6" w:rsidP="004438D6">
      <w:pPr>
        <w:tabs>
          <w:tab w:val="left" w:leader="dot" w:pos="9072"/>
        </w:tabs>
        <w:spacing w:before="120" w:after="120"/>
        <w:ind w:left="567"/>
        <w:jc w:val="both"/>
      </w:pPr>
      <w:r>
        <w:tab/>
      </w:r>
    </w:p>
    <w:p w14:paraId="6780162A" w14:textId="715B57EC" w:rsidR="00970586" w:rsidRDefault="004438D6" w:rsidP="008A6F77">
      <w:pPr>
        <w:pStyle w:val="ListParagraph"/>
        <w:numPr>
          <w:ilvl w:val="0"/>
          <w:numId w:val="46"/>
        </w:numPr>
        <w:spacing w:before="120" w:after="120"/>
        <w:jc w:val="both"/>
      </w:pPr>
      <w:r>
        <w:t>ako se metodologijom raspodjele pogoduje određenim poduzetnicima ili određenim sektorima, objasnite kako se to opravdava logikom zaštite okoliša u samom programu trgovanja ili je pogodovanje potrebno da bi se osigurala dosljednost s ostalim politikama zaštite okoliša</w:t>
      </w:r>
      <w:r w:rsidR="00EB0BEE">
        <w:t>;</w:t>
      </w:r>
    </w:p>
    <w:p w14:paraId="745AC9B6" w14:textId="77777777" w:rsidR="00970586" w:rsidRPr="009E0FCA" w:rsidRDefault="00970586" w:rsidP="00C47CAC">
      <w:pPr>
        <w:tabs>
          <w:tab w:val="left" w:leader="dot" w:pos="9072"/>
        </w:tabs>
        <w:spacing w:before="120" w:after="120"/>
        <w:ind w:left="567"/>
        <w:jc w:val="both"/>
      </w:pPr>
      <w:r>
        <w:tab/>
      </w:r>
    </w:p>
    <w:p w14:paraId="1A782ED2" w14:textId="01D388E7" w:rsidR="00970586" w:rsidRDefault="004438D6" w:rsidP="008A6F77">
      <w:pPr>
        <w:pStyle w:val="ListParagraph"/>
        <w:numPr>
          <w:ilvl w:val="0"/>
          <w:numId w:val="46"/>
        </w:numPr>
        <w:spacing w:before="120" w:after="120"/>
        <w:jc w:val="both"/>
      </w:pPr>
      <w:r>
        <w:t>novi sudionici na tržištu ne dobivaju dozvole ili emisijske jedinice po povoljnijim uvjetima od postojećih poduzetnika koji djeluju na tim istim tržištima</w:t>
      </w:r>
      <w:r w:rsidR="00EB0BEE">
        <w:t>;</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dodjela većeg broja potpora postojećim postrojenjima u usporedbi s novim sudionicima ne prouzročuje neopravdane ulazne prepreke.</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Razmatranje pozitivnih učinaka potpore u odnosu na negativne učinke na tržišno natjecanje i trgovinu</w:t>
            </w:r>
          </w:p>
        </w:tc>
      </w:tr>
    </w:tbl>
    <w:p w14:paraId="2BA426DC" w14:textId="2EBC55A9" w:rsidR="00265702" w:rsidRPr="00863406" w:rsidRDefault="00265702" w:rsidP="00265702">
      <w:pPr>
        <w:spacing w:before="360" w:after="120"/>
        <w:jc w:val="both"/>
        <w:rPr>
          <w:i/>
          <w:color w:val="000000"/>
        </w:rPr>
      </w:pPr>
      <w:r>
        <w:rPr>
          <w:i/>
        </w:rPr>
        <w:t>Za unos podataka u ovom odjeljku vidjeti odjeljak 3.3. (točke od 71. do 76.) CEEAG-a.</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Kako bi se provjerila usklađenost s točkom 72. CEEAG-a, objasnite ispunjavaju li djelatnosti koje se podupiru u okviru prijavljene mjere kriterije za okolišno održive gospodarske djelatnosti iz članka 3. Uredbe (EU) 2020/852 Europskog parlamenta i Vijeća</w:t>
      </w:r>
      <w:r>
        <w:rPr>
          <w:rStyle w:val="FootnoteReference"/>
          <w:lang w:eastAsia="en-GB"/>
        </w:rPr>
        <w:footnoteReference w:id="18"/>
      </w:r>
      <w:r>
        <w:t>, uključujući načelo „ne nanosi bitnu štetu”, ili druge usporedive metodologije.</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(U slučaju konkurentnog natječajnog postupka) Objasnite sadrže li prijavljene mjere značajke za olakšavanje sudjelovanja MSP-ova u konkurentnim natječajnim postupcima. Ako je odgovor potvrdan, navedite podatke o tim značajkama i obrazložite kako pozitivni učinci kojima se osigurava sudjelovanje MSP-ova u prijavljenim mjerama nadmašuju moguće narušavajuće učinke.</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Odjeljak C: Evaluacija</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Za unos podataka u ovom odjeljku vidjeti poglavlje 5. (točke od 455. do 463.) CEEAG-a.</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Ako prijavljene mjere premašuju pragove proračuna/rashoda iz točke 456. CEEAG-a, objasnite zašto smatrate da bi se trebalo primjenjivati odstupanje iz točke 457. CEEAG-a ili ovom obrascu o dodatnim podacima priložite nacrt plana evaluacije koji obuhvaća područje primjene navedeno u točki 458. CEEAG-a</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Ako je dostavljen nacrt plana evaluacije:</w:t>
      </w:r>
    </w:p>
    <w:p w14:paraId="61554CC9" w14:textId="2330E0F0" w:rsidR="00571769" w:rsidRDefault="00571769" w:rsidP="00B82F95">
      <w:pPr>
        <w:pStyle w:val="ListParagraph"/>
        <w:numPr>
          <w:ilvl w:val="0"/>
          <w:numId w:val="33"/>
        </w:numPr>
        <w:spacing w:before="120" w:after="120"/>
        <w:contextualSpacing w:val="0"/>
        <w:jc w:val="both"/>
      </w:pPr>
      <w:r>
        <w:t>sažeto opišite nacrt plana evaluacije iz Priloga</w:t>
      </w:r>
      <w:r w:rsidR="00EB0BEE">
        <w:t>;</w:t>
      </w:r>
    </w:p>
    <w:p w14:paraId="206F9456" w14:textId="77777777" w:rsidR="00571769" w:rsidRDefault="00571769" w:rsidP="00571769">
      <w:pPr>
        <w:pStyle w:val="ListParagraph"/>
        <w:spacing w:before="120" w:after="120"/>
        <w:ind w:left="1440"/>
        <w:contextualSpacing w:val="0"/>
        <w:jc w:val="both"/>
      </w:pPr>
      <w:r>
        <w:t>………………………………………………………………………………….</w:t>
      </w:r>
    </w:p>
    <w:p w14:paraId="739A6E7F" w14:textId="0CB02358" w:rsidR="00571769" w:rsidRDefault="00571769" w:rsidP="00B82F95">
      <w:pPr>
        <w:pStyle w:val="ListParagraph"/>
        <w:numPr>
          <w:ilvl w:val="0"/>
          <w:numId w:val="33"/>
        </w:numPr>
        <w:spacing w:before="120" w:after="120"/>
        <w:contextualSpacing w:val="0"/>
        <w:jc w:val="both"/>
      </w:pPr>
      <w:r>
        <w:t>potvrdite da će se poštovati točka 460. CEEAG-a</w:t>
      </w:r>
      <w:r w:rsidR="00EB0BEE">
        <w:t>;</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6BDAB0BC" w:rsidR="00571769" w:rsidRDefault="00571769" w:rsidP="00B82F95">
      <w:pPr>
        <w:pStyle w:val="ListParagraph"/>
        <w:numPr>
          <w:ilvl w:val="0"/>
          <w:numId w:val="33"/>
        </w:numPr>
        <w:spacing w:before="120" w:after="120"/>
        <w:contextualSpacing w:val="0"/>
        <w:jc w:val="both"/>
      </w:pPr>
      <w:r>
        <w:t>navedite datum i poveznicu na internetske stranice na kojima će plan evaluacije biti javno dostupan</w:t>
      </w:r>
      <w:r w:rsidR="00EB0BEE">
        <w:t>.</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Kako bi se potvrdila usklađenost s točkom 459. podtočkom (b) CEEAG-a, ako za program potpore trenutačno nije potrebna </w:t>
      </w:r>
      <w:r>
        <w:rPr>
          <w:i/>
        </w:rPr>
        <w:t>ex post</w:t>
      </w:r>
      <w:r>
        <w:t xml:space="preserve"> evaluacija, a traje dulje od tri godine, potvrdite da ćete dostaviti nacrt plana evaluacije u roku od 30 radnih dana nakon znatne izmjene kojom se proračun programa povećava na više od 150 milijuna EUR u bilo kojoj godini ili 750 milijuna EUR tijekom ukupnog trajanja programa.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Kako bi se potvrdila usklađenost s točkom 459. podtočkom (c) CEEAG-a, ako za program potpore trenutačno nije potrebna </w:t>
      </w:r>
      <w:r>
        <w:rPr>
          <w:i/>
        </w:rPr>
        <w:t>ex post</w:t>
      </w:r>
      <w:r>
        <w:t xml:space="preserve"> evaluacija, u nastavku potvrdite da se država članica obvezuje dostaviti nacrt plana evaluacije u roku od 30 radnih dana nakon što su u službenoj računovodstvenoj dokumentaciji uknjiženi rashodi veći od 150 milijuna EUR u prethodnoj godini.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Kako bi se potvrdila usklađenost s točkom 461. CEEAG-a:</w:t>
      </w:r>
    </w:p>
    <w:p w14:paraId="3A9B542E" w14:textId="05390F2B" w:rsidR="00277BC0" w:rsidRPr="0051324D" w:rsidRDefault="00277BC0" w:rsidP="008A6F77">
      <w:pPr>
        <w:pStyle w:val="ListParagraph"/>
        <w:numPr>
          <w:ilvl w:val="0"/>
          <w:numId w:val="47"/>
        </w:numPr>
        <w:spacing w:before="120" w:after="120"/>
        <w:contextualSpacing w:val="0"/>
        <w:jc w:val="both"/>
      </w:pPr>
      <w:r>
        <w:t>navedite je li neovisni stručnjak već odabran ili će biti odabran u budućnosti</w:t>
      </w:r>
      <w:r w:rsidR="00EB0BEE">
        <w:t>;</w:t>
      </w:r>
    </w:p>
    <w:p w14:paraId="11C2DACA" w14:textId="77777777" w:rsidR="004165E0" w:rsidRPr="0051324D" w:rsidRDefault="004165E0" w:rsidP="004165E0">
      <w:pPr>
        <w:tabs>
          <w:tab w:val="left" w:leader="dot" w:pos="9072"/>
        </w:tabs>
        <w:spacing w:before="120" w:after="120"/>
        <w:ind w:left="567"/>
        <w:jc w:val="both"/>
      </w:pPr>
      <w:r>
        <w:tab/>
      </w:r>
    </w:p>
    <w:p w14:paraId="2FFFD5BA" w14:textId="34629D3F" w:rsidR="00277BC0" w:rsidRPr="0051324D" w:rsidRDefault="00277BC0" w:rsidP="008A6F77">
      <w:pPr>
        <w:pStyle w:val="ListParagraph"/>
        <w:numPr>
          <w:ilvl w:val="0"/>
          <w:numId w:val="47"/>
        </w:numPr>
        <w:spacing w:before="120" w:after="120"/>
        <w:contextualSpacing w:val="0"/>
        <w:jc w:val="both"/>
      </w:pPr>
      <w:r>
        <w:t>unesite podatke o postupku odabira stručnjaka</w:t>
      </w:r>
      <w:r w:rsidR="00EB0BEE">
        <w:t>;</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obrazložite na koji je način stručnjak neovisan o davatelju potpore. </w:t>
      </w:r>
    </w:p>
    <w:p w14:paraId="43CB3832" w14:textId="77777777" w:rsidR="004165E0" w:rsidRPr="0051324D" w:rsidRDefault="004165E0" w:rsidP="004165E0">
      <w:pPr>
        <w:tabs>
          <w:tab w:val="left" w:leader="dot" w:pos="9072"/>
        </w:tabs>
        <w:spacing w:before="120" w:after="120"/>
        <w:ind w:left="567"/>
        <w:jc w:val="both"/>
      </w:pPr>
      <w:r>
        <w:lastRenderedPageBreak/>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Kako bi se potvrdila usklađenost s točkom 461. CEEAG-a: </w:t>
      </w:r>
    </w:p>
    <w:p w14:paraId="342FFFFA" w14:textId="62A42954" w:rsidR="0036428C" w:rsidRPr="0051324D" w:rsidRDefault="002C0264" w:rsidP="008A6F77">
      <w:pPr>
        <w:pStyle w:val="ListParagraph"/>
        <w:numPr>
          <w:ilvl w:val="0"/>
          <w:numId w:val="48"/>
        </w:numPr>
        <w:spacing w:before="120" w:after="120"/>
        <w:contextualSpacing w:val="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Potvrdite da će privremeno i završno izvješće o evaluaciji biti javno objavljeno. Unesite datum i poveznicu na internetske stranice na kojima će ta izvješća biti javno dostupna.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Odjeljak D – Izvješćivanje i praćenje</w:t>
            </w:r>
          </w:p>
        </w:tc>
      </w:tr>
    </w:tbl>
    <w:p w14:paraId="1C16B3DB" w14:textId="77777777" w:rsidR="006F0AE2" w:rsidRPr="0051324D" w:rsidRDefault="006F0AE2" w:rsidP="006F0AE2">
      <w:pPr>
        <w:tabs>
          <w:tab w:val="left" w:leader="dot" w:pos="9072"/>
        </w:tabs>
        <w:spacing w:before="120" w:after="120"/>
        <w:ind w:left="567"/>
        <w:jc w:val="both"/>
      </w:pPr>
      <w:r>
        <w:rPr>
          <w:i/>
        </w:rPr>
        <w:t>Za unos podataka u ovom odjeljku vidjeti odjeljak 6. (točke 464. i 465.) CEEAG-a.</w:t>
      </w:r>
    </w:p>
    <w:p w14:paraId="0AD3805C" w14:textId="48B92343" w:rsidR="006F0AE2" w:rsidRDefault="006F0AE2" w:rsidP="00451471">
      <w:pPr>
        <w:pStyle w:val="ListParagraph"/>
        <w:numPr>
          <w:ilvl w:val="0"/>
          <w:numId w:val="4"/>
        </w:numPr>
        <w:spacing w:before="120" w:after="120"/>
        <w:ind w:left="567" w:hanging="567"/>
        <w:contextualSpacing w:val="0"/>
        <w:jc w:val="both"/>
      </w:pPr>
      <w:r>
        <w:t>Potvrdite da će država članica ispuniti zahtjeve za izvješćivanje i praćenje iz odjeljka 6. točaka 464. i 465. CEEAG-a.</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SL C 80, 18.2.2022., str. 1.</w:t>
      </w:r>
    </w:p>
  </w:footnote>
  <w:footnote w:id="3">
    <w:p w14:paraId="721B2C3E" w14:textId="5CF0F3FA" w:rsidR="005B06D6" w:rsidRDefault="005B06D6" w:rsidP="002A2C73">
      <w:pPr>
        <w:pStyle w:val="FootnoteText"/>
      </w:pPr>
      <w:r>
        <w:rPr>
          <w:rStyle w:val="FootnoteReference"/>
        </w:rPr>
        <w:footnoteRef/>
      </w:r>
      <w:r>
        <w:tab/>
        <w:t xml:space="preserve">Napominjemo da se za program potpore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 </w:t>
      </w:r>
    </w:p>
  </w:footnote>
  <w:footnote w:id="4">
    <w:p w14:paraId="51CA7B9F" w14:textId="77777777" w:rsidR="00A53EBB" w:rsidRPr="0067348B" w:rsidRDefault="00A53EBB" w:rsidP="00A53EBB">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49ADDF87" w14:textId="3332A17A" w:rsidR="005B06D6" w:rsidRPr="009204DA" w:rsidRDefault="005B06D6">
      <w:pPr>
        <w:pStyle w:val="FootnoteText"/>
      </w:pPr>
      <w:r>
        <w:rPr>
          <w:rStyle w:val="FootnoteReference"/>
        </w:rPr>
        <w:footnoteRef/>
      </w:r>
      <w:r>
        <w:t xml:space="preserve"> </w:t>
      </w:r>
      <w:r>
        <w:tab/>
        <w:t>Dozvole za emisije stakleničkih plinova mogu uključivati državne potpore, posebno ako države članice odobravaju dozvole i emisijske jedinice ispod njihove tržišne vrijednosti.</w:t>
      </w:r>
    </w:p>
  </w:footnote>
  <w:footnote w:id="6">
    <w:p w14:paraId="7AC0A709" w14:textId="328426FA" w:rsidR="007F5A4A" w:rsidRPr="00CF158B" w:rsidRDefault="007F5A4A" w:rsidP="007F5A4A">
      <w:pPr>
        <w:pStyle w:val="FootnoteText"/>
      </w:pPr>
      <w:r>
        <w:rPr>
          <w:rStyle w:val="FootnoteReference"/>
        </w:rPr>
        <w:footnoteRef/>
      </w:r>
      <w:r>
        <w:t xml:space="preserve"> </w:t>
      </w:r>
      <w:r>
        <w:tab/>
        <w:t>Napominjemo da točke 38. i 52. te bilješke 39. i 45. CEEAG-a sadržavaju dodatne smjernice za utvrđivanje vjerojatnog protučinjeničnog scenarija.</w:t>
      </w:r>
    </w:p>
  </w:footnote>
  <w:footnote w:id="7">
    <w:p w14:paraId="40AD96A8" w14:textId="77777777" w:rsidR="00BF736D" w:rsidRPr="00114695" w:rsidRDefault="00BF736D" w:rsidP="00BF736D">
      <w:pPr>
        <w:pStyle w:val="FootnoteText"/>
      </w:pPr>
      <w:r>
        <w:rPr>
          <w:rStyle w:val="FootnoteReference"/>
        </w:rPr>
        <w:footnoteRef/>
      </w:r>
      <w:r>
        <w:t xml:space="preserve"> </w:t>
      </w:r>
      <w:r>
        <w:tab/>
        <w:t>„Referentni projekt” definiran je u točki 19. podtočki 63. CEEAG-a.</w:t>
      </w:r>
    </w:p>
  </w:footnote>
  <w:footnote w:id="8">
    <w:p w14:paraId="0035BA03" w14:textId="77777777" w:rsidR="006B45D5" w:rsidRDefault="006B45D5" w:rsidP="006B45D5">
      <w:pPr>
        <w:pStyle w:val="FootnoteText"/>
      </w:pPr>
      <w:r>
        <w:rPr>
          <w:rStyle w:val="FootnoteReference"/>
        </w:rPr>
        <w:footnoteRef/>
      </w:r>
      <w:r>
        <w:t xml:space="preserve"> </w:t>
      </w:r>
      <w:r>
        <w:tab/>
        <w:t>Ako se oslanjate na nedavni natječajni postupak, objasnite kako se on može smatrati konkurentnim, uključujući način na koji je izbjegnuta nepredviđena dobit za različite tehnologije uključene u njega, ako je primjenjivo, i na temelju čega je usporediv, na primjer:</w:t>
      </w:r>
    </w:p>
    <w:p w14:paraId="282DC24F" w14:textId="77777777" w:rsidR="006B45D5" w:rsidRDefault="006B45D5" w:rsidP="00B82F95">
      <w:pPr>
        <w:pStyle w:val="FootnoteText"/>
        <w:numPr>
          <w:ilvl w:val="0"/>
          <w:numId w:val="31"/>
        </w:numPr>
      </w:pPr>
      <w:r>
        <w:t>Jesu li uvjeti (npr. uvjeti i trajanje ugovora, rokovi ulaganja, jesu li plaćanja potpore indeksirana prema inflaciji ili ne) slični onima predloženima u prijavljenoj mjeri?</w:t>
      </w:r>
    </w:p>
    <w:p w14:paraId="7E841389" w14:textId="77777777" w:rsidR="006B45D5" w:rsidRDefault="006B45D5" w:rsidP="00B82F95">
      <w:pPr>
        <w:pStyle w:val="FootnoteText"/>
        <w:numPr>
          <w:ilvl w:val="0"/>
          <w:numId w:val="31"/>
        </w:numPr>
      </w:pPr>
      <w:r>
        <w:t>Je li natječajni postupak proveden u sličnim makroekonomskim uvjetima?</w:t>
      </w:r>
    </w:p>
    <w:p w14:paraId="2BEE57E5" w14:textId="77777777" w:rsidR="006B45D5" w:rsidRDefault="006B45D5" w:rsidP="00B82F95">
      <w:pPr>
        <w:pStyle w:val="FootnoteText"/>
        <w:numPr>
          <w:ilvl w:val="0"/>
          <w:numId w:val="31"/>
        </w:numPr>
      </w:pPr>
      <w:r>
        <w:t>Jesu li tehnologije / vrste projekata slične?</w:t>
      </w:r>
    </w:p>
  </w:footnote>
  <w:footnote w:id="9">
    <w:p w14:paraId="590F3FC7" w14:textId="30CB4935" w:rsidR="005B06D6" w:rsidRDefault="005B06D6" w:rsidP="00821F07">
      <w:pPr>
        <w:pStyle w:val="FootnoteText"/>
      </w:pPr>
      <w:r>
        <w:rPr>
          <w:rStyle w:val="FootnoteReference"/>
        </w:rPr>
        <w:footnoteRef/>
      </w:r>
      <w:r>
        <w:t xml:space="preserve"> </w:t>
      </w:r>
      <w:r>
        <w:tab/>
        <w:t>U skladu s točkom 19. podtočkom 89. CEEAG-a „‚norma Unije’ znači:</w:t>
      </w:r>
    </w:p>
    <w:p w14:paraId="340A0B20" w14:textId="77777777" w:rsidR="005B06D6" w:rsidRPr="00EB0BEE" w:rsidRDefault="005B06D6" w:rsidP="00B82F95">
      <w:pPr>
        <w:pStyle w:val="FootnoteText"/>
        <w:numPr>
          <w:ilvl w:val="0"/>
          <w:numId w:val="27"/>
        </w:numPr>
        <w:rPr>
          <w:iCs/>
        </w:rPr>
      </w:pPr>
      <w:r w:rsidRPr="00EB0BEE">
        <w:rPr>
          <w:iCs/>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02AC4E0B" w14:textId="266BC460" w:rsidR="005B06D6" w:rsidRDefault="005B06D6" w:rsidP="00B82F95">
      <w:pPr>
        <w:pStyle w:val="FootnoteText"/>
        <w:numPr>
          <w:ilvl w:val="0"/>
          <w:numId w:val="27"/>
        </w:numPr>
      </w:pPr>
      <w:r w:rsidRPr="00EB0BEE">
        <w:rPr>
          <w:iCs/>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10">
    <w:p w14:paraId="411ACB68" w14:textId="497824F8" w:rsidR="005B06D6" w:rsidRPr="003379AF" w:rsidRDefault="005B06D6">
      <w:pPr>
        <w:pStyle w:val="FootnoteText"/>
      </w:pPr>
      <w:r>
        <w:rPr>
          <w:rStyle w:val="FootnoteReference"/>
        </w:rPr>
        <w:footnoteRef/>
      </w:r>
      <w:r>
        <w:t xml:space="preserve"> </w:t>
      </w:r>
      <w:r>
        <w:tab/>
        <w:t>Analiza se, među ostalim čimbenicima, može provesti na temelju procjena elastičnosti cijene proizvoda u predmetnom sektoru kao i procjena izgubljenih prihoda od prodaje te njihova učinka na profitabilnost korisnika.</w:t>
      </w:r>
    </w:p>
  </w:footnote>
  <w:footnote w:id="11">
    <w:p w14:paraId="1464609F" w14:textId="77777777" w:rsidR="00611EA4" w:rsidRPr="0012122C" w:rsidRDefault="00611EA4" w:rsidP="00611EA4">
      <w:pPr>
        <w:pStyle w:val="FootnoteText"/>
      </w:pPr>
      <w:r>
        <w:rPr>
          <w:rStyle w:val="FootnoteReference"/>
        </w:rPr>
        <w:footnoteRef/>
      </w:r>
      <w:r>
        <w:t xml:space="preserve"> </w:t>
      </w:r>
      <w:r>
        <w:tab/>
        <w:t>Te bi se osobine mogle na primjer dokazati na osnovi detaljnog opisa inovacije i tržišnih uvjeta za njezino uvođenje ili širenje, uspoređujući je s postupcima ili organizacijskim tehnikama koji se smatraju vrhunskom tehnologijom i koje općenito upotrebljavaju drugi poduzetnici u istoj industriji.</w:t>
      </w:r>
    </w:p>
  </w:footnote>
  <w:footnote w:id="12">
    <w:p w14:paraId="69DB6703" w14:textId="77777777" w:rsidR="00611EA4" w:rsidRPr="003E2299" w:rsidRDefault="00611EA4" w:rsidP="00611EA4">
      <w:pPr>
        <w:pStyle w:val="FootnoteText"/>
      </w:pPr>
      <w:r>
        <w:rPr>
          <w:rStyle w:val="FootnoteReference"/>
        </w:rPr>
        <w:footnoteRef/>
      </w:r>
      <w:r>
        <w:t xml:space="preserve"> </w:t>
      </w:r>
      <w:r>
        <w:tab/>
        <w:t>Ako se za usporedbu ekološki inovativnih djelatnosti sa standardnim, neinovativnim djelatnostima mogu upotrebljavati količinski parametri, „znatno viši” znači da bi granično poboljšanje koje se očekuje od ekološki inovativnih djelatnosti u pogledu smanjenog ekološkog rizika ili onečišćenja ili poboljšane učinkovitosti u potrošnji energije ili resursa trebalo biti najmanje dvostruko više od graničnog poboljšanja koje se očekuje od općeg razvoja usporedivih neinovativnih djelatnosti. Ako predloženi pristup nije primjeren za određeni slučaj ili ako nije moguća količinska usporedba, zahtjev za državnu potporu trebao bi sadržavati detaljan opis metode koja se upotrebljava za procjenu tog kriterija i kojom se osigurava standard usporediv sa standardom predložene metode.</w:t>
      </w:r>
    </w:p>
  </w:footnote>
  <w:footnote w:id="13">
    <w:p w14:paraId="210BC139" w14:textId="77777777" w:rsidR="00611EA4" w:rsidRPr="003E2299" w:rsidRDefault="00611EA4" w:rsidP="00611EA4">
      <w:pPr>
        <w:pStyle w:val="FootnoteText"/>
      </w:pPr>
      <w:r>
        <w:rPr>
          <w:rStyle w:val="FootnoteReference"/>
        </w:rPr>
        <w:footnoteRef/>
      </w:r>
      <w:r>
        <w:t xml:space="preserve"> </w:t>
      </w:r>
      <w:r>
        <w:tab/>
        <w:t>Taj rizik država članica može na primjer dokazati u obliku troškova u odnosu na promet poduzetnika, vremena potrebnog za razvoj, očekivane dobiti od djelatnosti ekoloških inovacija u usporedbi s troškovima i vjerojatnosti neuspjeha.</w:t>
      </w:r>
    </w:p>
  </w:footnote>
  <w:footnote w:id="14">
    <w:p w14:paraId="5747D8E4" w14:textId="650D733F" w:rsidR="00E766C0" w:rsidRPr="0095488F" w:rsidRDefault="00E766C0" w:rsidP="00E766C0">
      <w:pPr>
        <w:pStyle w:val="FootnoteText"/>
      </w:pPr>
      <w:r>
        <w:rPr>
          <w:rStyle w:val="FootnoteReference"/>
        </w:rPr>
        <w:footnoteRef/>
      </w:r>
      <w:r>
        <w:t xml:space="preserve"> </w:t>
      </w:r>
      <w:r>
        <w:tab/>
        <w:t>Vidjeti i dodatne informacije u točkama od 51. do 53. te bilješkama 45. i 46. CEEAG-a.</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Napominjemo da se u bilješci 44. CEEAG-a navodi sljedeće:</w:t>
      </w:r>
    </w:p>
    <w:p w14:paraId="193F0D8D" w14:textId="77777777" w:rsidR="005B06D6" w:rsidRPr="00EB0BEE" w:rsidRDefault="005B06D6" w:rsidP="00E50157">
      <w:pPr>
        <w:pStyle w:val="FootnoteText"/>
        <w:rPr>
          <w:iCs/>
        </w:rPr>
      </w:pPr>
      <w:r>
        <w:tab/>
      </w:r>
      <w:r w:rsidRPr="00EB0BEE">
        <w:rPr>
          <w:iCs/>
        </w:rPr>
        <w:t>„Pri ocjeni jedinica zaštite okoliša države članice mogu na primjer razviti metodologiju koja uzima u obzir emisije ili druge oblike zagađenja u različitim fazama gospodarske djelatnosti koja se podupire, trajanje ostvarivanja projekta ili troškove integracije sustava.</w:t>
      </w:r>
      <w:r w:rsidRPr="00EB0BEE">
        <w:rPr>
          <w:iCs/>
          <w:color w:val="000000"/>
          <w:sz w:val="19"/>
          <w:shd w:val="clear" w:color="auto" w:fill="FFFFFF"/>
        </w:rPr>
        <w:t xml:space="preserve"> Pri analizi doprinosa glavnim ciljevima u odnosu na zatraženi iznos potpore, države članice mogu, na primjer, odvagnuti različite objektivne kriterije te na temelju iznosa potpore po jedinici ponderiranog prosjeka objektivnih kriterija ili među ograničenim rasponom ponuda s najnižim iznosom potpore po jedinici objektivnih kriterija odabrati projekte s najvećim brojem bodova na temelju objektivnih kriterija. Parametri svakog takvog pristupa moraju se prilagoditi kako bi se osiguralo da natječajni postupak ostane nediskriminirajući i stvarno konkurentan te da odražava ekonomsku vrijednost.”</w:t>
      </w:r>
    </w:p>
  </w:footnote>
  <w:footnote w:id="17">
    <w:p w14:paraId="086AD512" w14:textId="70BC3A35" w:rsidR="005B06D6" w:rsidRDefault="005B06D6">
      <w:pPr>
        <w:pStyle w:val="FootnoteText"/>
      </w:pPr>
      <w:r>
        <w:rPr>
          <w:rStyle w:val="FootnoteReference"/>
        </w:rPr>
        <w:footnoteRef/>
      </w:r>
      <w:r>
        <w:t xml:space="preserve"> </w:t>
      </w:r>
      <w:r>
        <w:tab/>
        <w:t>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18">
    <w:p w14:paraId="02AA3570" w14:textId="77777777" w:rsidR="005B06D6" w:rsidRPr="008772CC" w:rsidRDefault="005B06D6" w:rsidP="004B2EF3">
      <w:pPr>
        <w:pStyle w:val="FootnoteText"/>
      </w:pPr>
      <w:r>
        <w:rPr>
          <w:rStyle w:val="FootnoteReference"/>
        </w:rPr>
        <w:footnoteRef/>
      </w:r>
      <w:r>
        <w:t xml:space="preserve"> </w:t>
      </w:r>
      <w:r>
        <w:tab/>
        <w:t>Uredba (EU) 2020/852 Europskog parlamenta i Vijeća od 18. lipnja 2020. o uspostavi okvira za olakšavanje održivih ulaganja i izmjeni Uredbe (EU) 2019/2088 (SL L 198, 22.6.2020., str. 13.).</w:t>
      </w:r>
    </w:p>
  </w:footnote>
  <w:footnote w:id="19">
    <w:p w14:paraId="05B1881A" w14:textId="77777777" w:rsidR="008472A5" w:rsidRDefault="008472A5" w:rsidP="008472A5">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01D"/>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0BEE"/>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5053</Words>
  <Characters>29865</Characters>
  <DocSecurity>0</DocSecurity>
  <Lines>663</Lines>
  <Paragraphs>235</Paragraphs>
  <ScaleCrop>false</ScaleCrop>
  <LinksUpToDate>false</LinksUpToDate>
  <CharactersWithSpaces>34683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