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Posodobljeni*</w:t>
            </w:r>
            <w:r>
              <w:rPr>
                <w:sz w:val="32"/>
              </w:rPr>
              <w:t xml:space="preserve"> obrazec za dodatne informacije o državni pomoči, dodeljeni na podlagi Smernic o državni pomoči za podnebje, varstvo okolja in energijo iz leta 2022 (CEEAG)</w:t>
            </w:r>
            <w:r>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Poglavje 4.5 – Pomoč za preprečevanje ali zmanjšanje onesnaževanja, ki ni onesnaževanje s toplogrednimi plini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Še ni uradno sprejeto.</w:t>
            </w:r>
          </w:p>
        </w:tc>
      </w:tr>
    </w:tbl>
    <w:p w14:paraId="5F26D476" w14:textId="4F5B65DA" w:rsidR="000442F5" w:rsidRPr="00711243" w:rsidRDefault="000442F5" w:rsidP="000442F5">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1B60656B" w14:textId="37F96FA1" w:rsidR="009E2EA1" w:rsidRPr="00711243" w:rsidRDefault="0072538B" w:rsidP="009E2EA1">
      <w:pPr>
        <w:spacing w:before="120" w:after="120"/>
        <w:ind w:right="-142"/>
        <w:jc w:val="both"/>
        <w:rPr>
          <w:i/>
          <w:iCs/>
        </w:rPr>
      </w:pPr>
      <w:r>
        <w:rPr>
          <w:i/>
        </w:rPr>
        <w:t xml:space="preserve">Ta obrazec za dodatne informacije se nanaša na ukrepe iz poglavja 4.5 Smernic. Če so v priglasitev vključeni ukrepi, ki so zajeti v več kot enem poglavju Smernic, izpolnite tudi ustrezni obrazec za dodatne informacije, ki se nanaša na zadevno poglavje Smernic, ko bo na voljo. </w:t>
      </w:r>
    </w:p>
    <w:p w14:paraId="05E36007" w14:textId="5E24D00F" w:rsidR="009E2EA1" w:rsidRPr="00711243" w:rsidRDefault="009E2EA1" w:rsidP="009E2EA1">
      <w:pPr>
        <w:spacing w:before="120" w:after="120"/>
        <w:ind w:right="-142"/>
        <w:jc w:val="both"/>
        <w:rPr>
          <w:i/>
          <w:iCs/>
        </w:rPr>
      </w:pPr>
      <w:r>
        <w:rPr>
          <w:i/>
        </w:rPr>
        <w:t>Vse dokumente, ki jih države članice zagotovijo kot priloge k temu obrazcu za dodatne informacije, je treba oštevilčiti in številke dokumentov navesti v ustreznih oddelkih tega obrazca za dodatne informacije.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Oddelek A: Povzetek glavnih značilnosti priglašenega ukrepa</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Ozadje in cilji priglašenega ukrepa.</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 xml:space="preserve">Če to še ni bilo obravnavano v oddelku 5.2 obrazca za splošne informacije (del I), navedite ozadje in glavni cilj, vključno z morebitnimi cilji Unije na področju </w:t>
      </w:r>
      <w:proofErr w:type="spellStart"/>
      <w:r>
        <w:t>okoljskih</w:t>
      </w:r>
      <w:proofErr w:type="spellEnd"/>
      <w:r>
        <w:t xml:space="preserve"> ciljev, ki naj bi jih ukrep podprl.</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Navedite vse druge cilje ukrepa. Za vse cilje, ki niso izključno </w:t>
      </w:r>
      <w:proofErr w:type="spellStart"/>
      <w:r>
        <w:t>okoljski</w:t>
      </w:r>
      <w:proofErr w:type="spellEnd"/>
      <w:r>
        <w:t xml:space="preserve">, pojasnite, ali bi lahko povzročili kakršno koli izkrivljanje konkurence na notranjem trgu.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Začetek veljavnosti in trajanje</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Če to še ni bilo navedeno v oddelku 5.5 obrazca za splošne informacije (del I), navedite datum, na katerega naj bi shema pomoči začela veljati.</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Navedite trajanje sheme</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Upravičenci</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Če to še ni bilo navedeno v oddelku 3 obrazca za splošne informacije (del I), opišite (potencialne) upravičence ukrepa.</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Navedite lokacijo upravičencev (tj. če so do sodelovanja v ukrepu upravičeni le gospodarski subjekti s sedežem v zadevni državi članici ali tudi tisti, ki imajo sedež v drugih državah članicah).</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Za presojo skladnosti s točko 15 Smernic navedite, ali se pomoč v okviru ukrepa dodeljuje podjetju (individualno ali v okviru sheme), ki je naslovnik neporavnanega naloga za vračilo na podlagi predhodnega sklepa Komisije, s katerim je bila pomoč razglašena za nezakonito in nezdružljivo z notranjim trgom.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Če je odgovor pritrdilen, zagotovite informacije o znesku pomoči, ki ga je še treba vrniti, da ga Komisija upošteva pri presoji ukrepa pomoči.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Potrdite, da ukrep ne vključuje pomoči za dejavnosti, ki ne spadajo na področje uporabe Smernic (glej točko 13 Smernic). Sicer navedite podrobnosti.</w:t>
      </w:r>
    </w:p>
    <w:p w14:paraId="6780EF79" w14:textId="17E52AF7" w:rsidR="00577AF5" w:rsidRPr="00C55D4C" w:rsidRDefault="009368F1" w:rsidP="000442F5">
      <w:pPr>
        <w:tabs>
          <w:tab w:val="left" w:leader="dot" w:pos="9072"/>
        </w:tabs>
        <w:spacing w:before="120" w:after="120"/>
        <w:ind w:left="567"/>
        <w:jc w:val="both"/>
      </w:pPr>
      <w:r>
        <w:lastRenderedPageBreak/>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Proračun in financiranje ukrepa</w:t>
      </w:r>
      <w:r>
        <w:t>.</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Če se ukrep financira z dajatvijo, pojasnite, ali:</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se dajatev v enaki meri naloži na domače in uvožene proizvode;</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bo priglašeni ukrep enako koristil domačim in uvoženim proizvodom;</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se ukrep z dajatvijo financira v celoti ali le delno. Če se ukrep z dajatvijo financira le delno, navedite druge vire financiranja ukrepa in njihov ustrezni delež;</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se z dajatvijo, s katero se financira priglašeni ukrep, financirajo tudi drugi ukrepi pomoči. Če je odgovor pritrdilen, navedite druge ukrepe pomoči, ki se financirajo z zadevno dajatvijo.</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Oddelek B: Ocena združljivosti pomoči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Pozitivni pogoj: pomoč mora pospeševati razvoj gospodarske dejavnosti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Prispevek k razvoju gospodarske dejavnosti</w:t>
            </w:r>
          </w:p>
        </w:tc>
      </w:tr>
    </w:tbl>
    <w:p w14:paraId="1E2599D2" w14:textId="2E38BD96" w:rsidR="000442F5" w:rsidRPr="00DB40A5" w:rsidRDefault="000442F5" w:rsidP="000442F5">
      <w:pPr>
        <w:spacing w:before="360" w:after="120"/>
        <w:jc w:val="both"/>
        <w:rPr>
          <w:i/>
        </w:rPr>
      </w:pPr>
      <w:r>
        <w:rPr>
          <w:i/>
        </w:rPr>
        <w:t xml:space="preserve">Za zagotovitev informacij v tem oddelku glej oddelek 3.1.1 (točke 23–25) ter </w:t>
      </w:r>
      <w:r>
        <w:rPr>
          <w:i/>
          <w:color w:val="000000"/>
        </w:rPr>
        <w:t>oddelka 4.5.1 (točki 253 in 254) in 4.5.2 (točke 255–259)</w:t>
      </w:r>
      <w:r>
        <w:rPr>
          <w:i/>
        </w:rPr>
        <w:t xml:space="preserve"> Smernic.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Člen 107(3), točka (c), Pogodbe o delovanju Evropske unije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določene gospodarske dejavnosti. </w:t>
      </w:r>
    </w:p>
    <w:p w14:paraId="1D59B711" w14:textId="015DAACF" w:rsidR="002A11D4" w:rsidRDefault="00E75ECB" w:rsidP="00864DCD">
      <w:pPr>
        <w:pStyle w:val="ListParagraph"/>
        <w:spacing w:before="120" w:after="120"/>
        <w:ind w:left="567"/>
        <w:contextualSpacing w:val="0"/>
        <w:jc w:val="both"/>
      </w:pPr>
      <w:r>
        <w:t xml:space="preserve">Za presojo skladnosti s točko 23 Smernic opredelite gospodarske dejavnosti, ki se bodo pospeševale s pomočjo, in navedite, kako se bo podpiral razvoj navedenih dejavnosti.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w:t>
      </w:r>
      <w:proofErr w:type="spellStart"/>
      <w:r>
        <w:t>okoljske</w:t>
      </w:r>
      <w:proofErr w:type="spellEnd"/>
      <w:r>
        <w:t xml:space="preserve"> in energetske politike Unije, ter [opišite], kako, ter, natančneje, pričakovane koristi pomoči v smislu njenega konkretnega prispevka k varstvu okolja, vključno z blažitvijo podnebnih sprememb, ali učinkovitemu delovanju notranjega trga z energijo“.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Poleg tega navedite, v kolikšni meri je pomoč povezana s politikami, opisanimi v točkah 253 in 254 Smernic.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Opišite zahteve za upravičenost, ki se uporabljajo za upravičence (na primer z vključitvijo tehničnih, </w:t>
      </w:r>
      <w:proofErr w:type="spellStart"/>
      <w:r>
        <w:t>okoljskih</w:t>
      </w:r>
      <w:proofErr w:type="spellEnd"/>
      <w:r>
        <w:t xml:space="preserve"> (tj. dovoljenja), finančnih (tj. zavarovanja s premoženjem) ali drugih zahtev, ki jih morajo upravičenci izpolnjevati).</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Zagotovite informacije o točnem obsegu in podprtih dejavnostih ukrepa pomoči, kot je določeno v oddelku 4.5.2 (točke 255–259) Smernic. Navedite, katere od naslednjih kategorij naložb so upravičene v okviru ukrepa pomoči:</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naložbe, ki podjetjem omogočajo, da preprečijo ali zmanjšajo onesnaževanje, ki ne izhaja iz toplogrednih plinov, s čimer presežejo standarde Unije za varstvo okolja; </w:t>
      </w:r>
    </w:p>
    <w:p w14:paraId="291F9177" w14:textId="07226D94" w:rsidR="0073048C" w:rsidRDefault="00021C73" w:rsidP="00451471">
      <w:pPr>
        <w:pStyle w:val="ListParagraph"/>
        <w:numPr>
          <w:ilvl w:val="1"/>
          <w:numId w:val="4"/>
        </w:numPr>
        <w:spacing w:before="120" w:after="120"/>
        <w:ind w:left="1276" w:hanging="567"/>
        <w:contextualSpacing w:val="0"/>
        <w:jc w:val="both"/>
      </w:pPr>
      <w:r>
        <w:t>naložbe, ki podjetjem omogočajo, da preprečijo ali zmanjšajo onesnaževanje, ki ne izhaja iz toplogrednih plinov, kadar standardov Unije ni;</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naložbe, ki podjetjem omogočajo, da dosežejo standarde Unije, ki so sprejeti, vendar še ne veljajo.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lastRenderedPageBreak/>
        <w:t>Če je pomoč v obliki prenosnih emisijskih dovoljenj</w:t>
      </w:r>
      <w:r>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Podrobno opišite shemo prenosnih emisijskih dovoljenj, med drugim tudi cilje, metodologijo dodeljevanja, vključene organe/subjekte, vlogo države, upravičence in postopkovne vidike.</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Pojasnite, kako je zagotovljeno, da je shema prenosnih emisijskih dovoljenj oblikovana tako, da dosežena raven preprečevanja ali zmanjšanja onesnaževanja presega raven na podlagi standardov Unije, obveznih za zadevna podjetja.</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Potrdite, da je pomoč namenjena preprečevanju ali zmanjševanju onesnaževanja, neposredno povezanega z dejavnostmi upravičenca.</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Opišite, kako bo zagotovljeno, da se ne bo onesnaževanje s pomočjo zgolj preselilo iz enega sektorja v drugega ali iz enega </w:t>
      </w:r>
      <w:proofErr w:type="spellStart"/>
      <w:r>
        <w:t>okoljskega</w:t>
      </w:r>
      <w:proofErr w:type="spellEnd"/>
      <w:r>
        <w:t xml:space="preserve"> medija v drugega ter da bo doseženo splošno zmanjšanje onesnaževanja.</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Za individualno pomoč in sheme pomoči, ki koristijo precej omejenemu številu upravičencev ali upravičencu, ki je prvotni akter, in so namenjene zmanjšanju njihovega onesnaževanja, ki ni onesnaževanje s toplogrednimi plini, navedite količinsko opredelitev prihrankov emisij/onesnaževal, ki se pričakujejo od ukrepa, in pojasnite metodo, ki je bila uporabljena za njihovo količinsko opredelitev.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Navedite, ali ukrep pomoči prispeva tudi k preprečevanju ali zmanjševanju emisij toplogrednih plinov.</w:t>
      </w:r>
    </w:p>
    <w:p w14:paraId="14FEE27F" w14:textId="31209AEC" w:rsidR="008A47DB" w:rsidRDefault="00BE3AB2" w:rsidP="00644D98">
      <w:pPr>
        <w:pStyle w:val="ListParagraph"/>
        <w:spacing w:before="120" w:after="120"/>
        <w:ind w:left="567"/>
        <w:contextualSpacing w:val="0"/>
        <w:jc w:val="both"/>
      </w:pPr>
      <w:r>
        <w:t>Če je tako, predložite primerjavo pričakovanih rezultatov ukrepa v smislu preprečevanja ali zmanjševanja emisij toplogrednih plinov in drugih onesnaževal na podlagi verodostojnih in podrobnih količinskih opredelitev.</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Če je preprečevanje ali zmanjšanje emisij toplogrednih plinov glavni cilj ukrepa pomoči, glej obrazec za dodatne informacije za oddelek 4.1, saj se bo njegova združljivost presojala na podlagi oddelka 4.1. Če pa je glavni cilj ukrepa preprečevanje ali zmanjšanje onesnaževanja, ki ni onesnaževanje zaradi emisij toplogrednih plinov, se bo združljivost presojala na podlagi oddelka 4.5 (točka 259 Smernic).</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Spodbujevalni učinek</w:t>
            </w:r>
          </w:p>
        </w:tc>
      </w:tr>
    </w:tbl>
    <w:p w14:paraId="20915284" w14:textId="40B64390" w:rsidR="00015E2B" w:rsidRPr="00A05235" w:rsidRDefault="00B15313" w:rsidP="00015E2B">
      <w:pPr>
        <w:spacing w:before="360" w:after="120"/>
        <w:jc w:val="both"/>
        <w:rPr>
          <w:i/>
        </w:rPr>
      </w:pPr>
      <w:r>
        <w:rPr>
          <w:i/>
        </w:rPr>
        <w:t xml:space="preserve">Za zagotovitev informacij v tem oddelku glej oddelek 3.1.2 (točke 26–32) in oddelek 4.5.3 (točke 260–262) Smernic.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Za pomoč se lahko šteje, da pospešuje gospodarsko dejavnost, samo, če ima spodbujevalni učinek. Za presojo skladnosti s točko 26 Smernic pojasnite, kako ukrep </w:t>
      </w:r>
      <w:r>
        <w:lastRenderedPageBreak/>
        <w:t>upravičenca „spodbudi k spremembi ravnanja ali izvajanju dodatne gospodarske dejavnosti ali okolju prijaznejše gospodarske dejavnosti, ki je brez pomoči ne bi izvajal ali bi jo izvajal v omejenem obsegu ali na drugačen način“.</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V skladu s točko 28 Smernic:</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Izčrpno opišite dejanski scenarij, ki naj bi se dosegel z ukrepom pomoči, in verjetni hipotetični scenarij brez ukrepa pomoči.</w:t>
      </w:r>
      <w:r>
        <w:rPr>
          <w:vertAlign w:val="superscript"/>
        </w:rPr>
        <w:footnoteReference w:id="6"/>
      </w:r>
      <w:r>
        <w:t xml:space="preserve"> Če pričakujete, da bodo podprte različne kategorije upravičencev, zagotovite verodostojnost hipotetičnega scenarija za vsako od teh kategorij.</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Upoštevajte </w:t>
      </w:r>
      <w:bookmarkStart w:id="6" w:name="_Ref116917289"/>
      <w:r>
        <w:t>zahteve glede hipotetičnega scenarija iz točk 266 in 226–230 Smernic, zlasti:</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hipotetični scenarij na splošno ustreza naložbi z enako zmogljivostjo, življenjsko dobo in po potrebi drugimi ustreznimi tehničnimi značilnostmi kot pri okolju prijazni naložbi, vendar vodi do nižje ravni varstva okolja;</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namesto tega lahko hipotetični scenarij ustreza tudi kateremu od naslednjih scenarijev: </w:t>
      </w:r>
    </w:p>
    <w:p w14:paraId="74EED86D" w14:textId="522BD070" w:rsidR="00494C68" w:rsidRPr="00E374B9" w:rsidRDefault="00494C68" w:rsidP="00B82F95">
      <w:pPr>
        <w:pStyle w:val="ListParagraph"/>
        <w:numPr>
          <w:ilvl w:val="1"/>
          <w:numId w:val="39"/>
        </w:numPr>
        <w:spacing w:before="120" w:after="120"/>
        <w:contextualSpacing w:val="0"/>
        <w:jc w:val="both"/>
      </w:pPr>
      <w:r>
        <w:t>ohranjanje obratovanja obstoječih naprav ali opreme za obdobje, ki ustreza življenjski dobi okolju prijazne naložbe; v tem primeru bi bilo treba upoštevati diskontirane stroške vzdrževanja, popravil in posodobitve v navedenem obdobju (točka 227 Smernic);</w:t>
      </w:r>
    </w:p>
    <w:p w14:paraId="4DB35D28" w14:textId="724607C2" w:rsidR="00494C68" w:rsidRPr="00E374B9" w:rsidRDefault="00494C68" w:rsidP="00B82F95">
      <w:pPr>
        <w:pStyle w:val="ListParagraph"/>
        <w:numPr>
          <w:ilvl w:val="1"/>
          <w:numId w:val="39"/>
        </w:numPr>
        <w:spacing w:before="120" w:after="120"/>
        <w:contextualSpacing w:val="0"/>
        <w:jc w:val="both"/>
      </w:pPr>
      <w:r>
        <w:t>poznejšo zamenjavo naprav ali opreme; v tem primeru je treba v skladu s točko 228 Smernic upoštevati diskontirano vrednost naprav in opreme ter izravnati razliko v zadevni ekonomski življenjski dobi naprav ali opreme;</w:t>
      </w:r>
    </w:p>
    <w:p w14:paraId="4CFA180B" w14:textId="391048A9" w:rsidR="00494C68" w:rsidRPr="00E374B9" w:rsidRDefault="00494C68" w:rsidP="00B82F95">
      <w:pPr>
        <w:pStyle w:val="ListParagraph"/>
        <w:numPr>
          <w:ilvl w:val="1"/>
          <w:numId w:val="39"/>
        </w:numPr>
        <w:spacing w:before="120" w:after="120"/>
        <w:contextualSpacing w:val="0"/>
        <w:jc w:val="both"/>
      </w:pPr>
      <w:r>
        <w:t>najem okolju manj prijazne opreme, ki bi se uporabljala brez pomoči; v tem primeru bi bilo treba v skladu s točko 229 Smernic upoštevati diskontirano vrednost najema okolju manj prijazne opreme;</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kadar ni alternativnega projekta, zlasti kadar naložba, za katero je bila dodeljena pomoč, vključuje dodajanje naprav ali opreme obstoječim objektom, napravam ali opremi.  </w:t>
      </w:r>
    </w:p>
    <w:bookmarkEnd w:id="6"/>
    <w:p w14:paraId="6257C278" w14:textId="77777777" w:rsidR="00CC7B7B" w:rsidRPr="00CC7B7B" w:rsidRDefault="00CC7B7B" w:rsidP="00CC7B7B">
      <w:pPr>
        <w:pStyle w:val="ListParagraph"/>
        <w:spacing w:before="120" w:after="120"/>
        <w:ind w:left="1418"/>
        <w:contextualSpacing w:val="0"/>
        <w:jc w:val="both"/>
      </w:pPr>
      <w:r>
        <w:t xml:space="preserve">Pri opisu dejanskega scenarija in verjetnih hipotetičnih scenarijev navedite zmogljivost, življenjsko dobo in druge tehnične značilnosti naložbe za dejanske in hipotetične scenarije.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Na kratko pojasnite razloge za izbiro verjetnih hipotetičnih scenarijev glede na predlagane različne kategorije upravičencev, če je ustrezno.</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Količinsko opredelite stroške in prihodke pri dejanskem in hipotetičnem scenariju ter, kadar je to ustrezno, za vsako kategorijo upravičenca utemeljite spremembo ravnanja na podlagi:</w:t>
      </w:r>
    </w:p>
    <w:p w14:paraId="10227AFD" w14:textId="34C797B9" w:rsidR="002158CE" w:rsidRDefault="00BF736D" w:rsidP="00B82F95">
      <w:pPr>
        <w:pStyle w:val="ListParagraph"/>
        <w:numPr>
          <w:ilvl w:val="0"/>
          <w:numId w:val="23"/>
        </w:numPr>
        <w:spacing w:before="120" w:after="120"/>
        <w:ind w:left="1276" w:hanging="284"/>
        <w:contextualSpacing w:val="0"/>
        <w:jc w:val="both"/>
      </w:pPr>
      <w:r>
        <w:lastRenderedPageBreak/>
        <w:t>zadevnega referenčnega projekta</w:t>
      </w:r>
      <w:r>
        <w:rPr>
          <w:rStyle w:val="FootnoteReference"/>
        </w:rPr>
        <w:footnoteReference w:id="7"/>
      </w:r>
      <w:r>
        <w:t xml:space="preserve">, ustreznih hipotetičnih scenarijev in posledične vrzeli v financiranju; </w:t>
      </w:r>
    </w:p>
    <w:p w14:paraId="2B4E89F9" w14:textId="77777777" w:rsidR="002158CE" w:rsidRPr="00B70424" w:rsidRDefault="002158CE" w:rsidP="002158CE">
      <w:pPr>
        <w:pStyle w:val="ListParagraph"/>
        <w:spacing w:before="120" w:after="120"/>
        <w:ind w:left="949"/>
        <w:contextualSpacing w:val="0"/>
        <w:jc w:val="both"/>
        <w:rPr>
          <w:i/>
          <w:iCs/>
        </w:rPr>
      </w:pPr>
      <w:r>
        <w:rPr>
          <w:i/>
        </w:rPr>
        <w:t>ALI</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ustreznih kvantitativnih dokazov, ki temeljijo na tržnih študijah, načrtov vlagateljev, finančnih poročil ali drugih kvantitativnih dokazov, vključno s ponudbami za podobne projekte v nedavnih primerljivih konkurenčnih postopkih zbiranja ponudb.</w:t>
      </w:r>
      <w:r>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Za dokazovanje skladnosti s točkama 29 in 31 Smernic:</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potrdite, da se dela na projektu ali dejavnosti niso začela, preden je upravičenec nacionalnim organom predložil pisno vlogo za pomoč;</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ALI</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za projekte, ki so se začeli pred vložitvijo vloge za pomoč, dokažite, da projekt spada v enega od izjemnih primerov iz točke 31 Smernic ((a), (b) ali (c)).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potreben za izvedbo.</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Za dokazovanje skladnosti s točkami 32, 261 in 262 Smernic:</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Navedite, ali se za priglašeni ukrep uporabljajo standardi Unije</w:t>
      </w:r>
      <w:r>
        <w:rPr>
          <w:rStyle w:val="FootnoteReference"/>
          <w:lang w:val="en-IE" w:eastAsia="en-GB"/>
        </w:rPr>
        <w:footnoteReference w:id="9"/>
      </w:r>
      <w:r>
        <w:t>, obvezni nacionalni standardi, ki so strožji ali ambicioznejši od ustreznih standardov Unije, ali obvezni nacionalni standardi, sprejeti v primeru neobstoja standardov Unije.</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V zvezi s tem zagotovite informacije za dokaz spodbujevalnega učinka.  </w:t>
      </w:r>
    </w:p>
    <w:p w14:paraId="0E3763A8" w14:textId="17FA829E" w:rsidR="0025374D" w:rsidRPr="00471B74" w:rsidRDefault="00300D5F" w:rsidP="00424B44">
      <w:pPr>
        <w:tabs>
          <w:tab w:val="left" w:leader="dot" w:pos="9072"/>
        </w:tabs>
        <w:spacing w:before="120" w:after="120"/>
        <w:ind w:left="567"/>
        <w:jc w:val="both"/>
      </w:pPr>
      <w:r>
        <w:lastRenderedPageBreak/>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Če je bil ustrezni standard Unije že sprejet, vendar še ni začel veljati, dokažite, da ima pomoč spodbujevalni učinek, ker spodbuja naložbo, ki jo je treba izvesti in dokončati vsaj 18 mesecev pred začetkom veljavnosti standarda v skladu s točko 262 Smernic.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Neobstoj kršitve ustreznih določb prava Unije</w:t>
            </w:r>
          </w:p>
        </w:tc>
      </w:tr>
    </w:tbl>
    <w:p w14:paraId="665FE026" w14:textId="5AC3641E" w:rsidR="00DE1D68" w:rsidRDefault="00DE1D68" w:rsidP="00DE1D68">
      <w:pPr>
        <w:spacing w:before="360" w:after="120"/>
        <w:jc w:val="both"/>
        <w:rPr>
          <w:i/>
        </w:rPr>
      </w:pPr>
      <w:r>
        <w:rPr>
          <w:i/>
        </w:rPr>
        <w:t xml:space="preserve">Za zagotovitev informacij v tem oddelku glej oddelek 3.1.3 (točka 33) Smernic. </w:t>
      </w:r>
    </w:p>
    <w:p w14:paraId="3E98C3D7" w14:textId="29B82232" w:rsidR="00BE702A" w:rsidRDefault="0023543E" w:rsidP="00451471">
      <w:pPr>
        <w:pStyle w:val="ListParagraph"/>
        <w:numPr>
          <w:ilvl w:val="0"/>
          <w:numId w:val="4"/>
        </w:numPr>
        <w:spacing w:before="120" w:after="120"/>
        <w:ind w:left="567" w:hanging="567"/>
        <w:contextualSpacing w:val="0"/>
        <w:jc w:val="both"/>
      </w:pPr>
      <w:r>
        <w:t>Zagotovite informacije za potrditev skladnosti z ustreznimi določbami prava EU v skladu s točko 33 Smernic.</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Če se za financiranje ukrepa uporablja dajatev, pojasnite, ali je potrebna presoja skladnosti s členoma 30 in 110 PDEU. Če je odgovor pritrdilen, dokažite, kako ukrep izpolnjuje določbe členov 30 in 110 PDEU.</w:t>
      </w:r>
      <w:r>
        <w:rPr>
          <w:i/>
        </w:rPr>
        <w:t xml:space="preserve"> </w:t>
      </w:r>
      <w:r>
        <w:t>V zvezi s tem se je mogoče sklicevati na informacije, predložene v okviru vprašanja </w:t>
      </w:r>
      <w:r>
        <w:fldChar w:fldCharType="begin"/>
      </w:r>
      <w:r>
        <w:instrText xml:space="preserve"> REF _Ref126829229 \w \h  \* MERGEFORMAT </w:instrText>
      </w:r>
      <w:r>
        <w:fldChar w:fldCharType="separate"/>
      </w:r>
      <w:r>
        <w:t>5</w:t>
      </w:r>
      <w:r>
        <w:fldChar w:fldCharType="end"/>
      </w:r>
      <w:r>
        <w:t>(</w:t>
      </w:r>
      <w:r>
        <w:fldChar w:fldCharType="begin"/>
      </w:r>
      <w:r>
        <w:instrText xml:space="preserve"> REF _Ref126829235 \w \h  \* MERGEFORMAT </w:instrText>
      </w:r>
      <w:r>
        <w:fldChar w:fldCharType="separate"/>
      </w:r>
      <w:r>
        <w:t>ii</w:t>
      </w:r>
      <w:r>
        <w:fldChar w:fldCharType="end"/>
      </w:r>
      <w:r>
        <w:t>) zgoraj, če se priglašeni ukrep financira z dajatvijo.</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Negativni pogoj: pomoč ne sme neupravičeno spreminjati trgovinskih pogojev v obsegu, ki bi bil v nasprotju s skupnimi interesi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Čim večje zmanjšanje izkrivljanja konkurence in trgovine</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Nujnost pomoči</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Za zagotovitev informacij v tem oddelku glej oddelek 3.2.1.1 (točke 34–38) in oddelek 4.5.4.1 (točka 264) Smernic.</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Pojasnite, kakšno nedelovanje trga, ki preprečuje doseganje ustrezne ravni varstva okolja, so ugotovili organi vaše države. Navedite, v katero kategorijo spada ugotovljeno nedelovanje trga, in sicer s sklicevanjem na točke (a), (b), (c) ali (d) točke 34 Smernic.</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V skladu</w:t>
      </w:r>
      <w:r>
        <w:rPr>
          <w:rStyle w:val="normaltextrun"/>
        </w:rPr>
        <w:t xml:space="preserve"> s točko 35 Smernic</w:t>
      </w:r>
      <w:r>
        <w:t xml:space="preserve"> zagotovite informacije</w:t>
      </w:r>
      <w:r>
        <w:rPr>
          <w:shd w:val="clear" w:color="auto" w:fill="FFFFFF"/>
        </w:rPr>
        <w:t xml:space="preserve"> o vseh obstoječih politikah in ukrepih, ki so jih organi vaše države opredelili in ki so že namenjeni odpravi ugotovljenih regulativnih pomanjkljivosti ali nedelovanja trga.</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lastRenderedPageBreak/>
        <w:t xml:space="preserve">Za dokazovanje skladnosti s točko 36 Smernic zagotovite informacije, ki dokazujejo, da je pomoč dejansko ciljno usmerjena v preostala nedelovanja trga, tudi ob upoštevanju vseh morebitnih drugih politik in ukrepov, ki so že vzpostavljeni za obravnavo nekaterih opredeljenih nedelovanj trga.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Za dokazovanje skladnosti s točko 37 Smernic pojasnite, ali se po informacijah organov vaše države </w:t>
      </w:r>
      <w:r>
        <w:rPr>
          <w:color w:val="000000"/>
          <w:shd w:val="clear" w:color="auto" w:fill="FFFFFF"/>
        </w:rPr>
        <w:t>projekti ali dejavnosti</w:t>
      </w:r>
      <w:r>
        <w:t>, ki so po t</w:t>
      </w:r>
      <w:r>
        <w:rPr>
          <w:color w:val="000000"/>
          <w:shd w:val="clear" w:color="auto" w:fill="FFFFFF"/>
        </w:rPr>
        <w:t>ehnološki vsebini, stopnji tveganja in obsegu</w:t>
      </w:r>
      <w:r>
        <w:t xml:space="preserve"> </w:t>
      </w:r>
      <w:r>
        <w:rPr>
          <w:color w:val="000000"/>
          <w:shd w:val="clear" w:color="auto" w:fill="FFFFFF"/>
        </w:rPr>
        <w:t>podobni</w:t>
      </w:r>
      <w:r>
        <w:t xml:space="preserve"> priglašenemu ukrepu, že izvajajo </w:t>
      </w:r>
      <w:r>
        <w:rPr>
          <w:color w:val="000000"/>
          <w:shd w:val="clear" w:color="auto" w:fill="FFFFFF"/>
        </w:rPr>
        <w:t>v Uniji pod tržnimi pogoji</w:t>
      </w:r>
      <w:r>
        <w:t>. Če je odgovor pritrdilen, predložite dodatne dokaze, da je državna pomoč potrebna.</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Za dokazovanje skladnosti s točko 38 Smernic, glej kvantitativne dokaze, predložene pri vprašanju 17 zgoraj.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Če je pomoč v obliki prenosnih emisijskih dovoljenj, predložite dokaze, da so v skladu s točko 264 Smernic izpolnjeni naslednji kumulativni pogoji:</w:t>
      </w:r>
    </w:p>
    <w:p w14:paraId="6A67C252" w14:textId="5E5711BB" w:rsidR="00071540" w:rsidRDefault="00F60556" w:rsidP="00B82F95">
      <w:pPr>
        <w:numPr>
          <w:ilvl w:val="1"/>
          <w:numId w:val="37"/>
        </w:numPr>
        <w:ind w:left="1701" w:hanging="567"/>
      </w:pPr>
      <w:r>
        <w:t>prodaja vseh pravic na dražbi povzroči precejšnje zvišanje proizvodnih stroškov za vsak sektor ali kategorijo posameznih upravičencev;</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precejšnjega povišanja proizvodnih stroškov se ne da prenesti na kupce, ne da bi to povzročilo znatno zmanjšanje prodaje</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posamezna podjetja v sektorju nimajo možnosti, da znižajo ravni emisij, da bi se stroški certifikatov/prenosnih emisijskih dovoljenj znižali na raven, sprejemljivo za ta podjetja. To se lahko dokaže s primerjavo ravni emisij potencialnih upravičencev z ravnmi emisij, doseženimi z izvajanjem najučinkovitejše tehnike, in prikazom, da je bila najučinkovitejša tehnika v EGP uporabljena kot referenčna vrednost za stopnjo dodeljenega nadomestila.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Ustreznost </w:t>
            </w:r>
          </w:p>
        </w:tc>
      </w:tr>
    </w:tbl>
    <w:p w14:paraId="4C2D927B" w14:textId="2ECE2CFC" w:rsidR="00EA354A" w:rsidRPr="00F83660" w:rsidRDefault="00EA354A" w:rsidP="00EA354A">
      <w:pPr>
        <w:spacing w:before="360" w:after="120"/>
        <w:jc w:val="both"/>
        <w:rPr>
          <w:i/>
          <w:color w:val="000000"/>
        </w:rPr>
      </w:pPr>
      <w:r>
        <w:rPr>
          <w:i/>
        </w:rPr>
        <w:t>Za zagotovitev informacij v tem oddelku glej oddelek 3.2.1.2 (točke 39–46) Smernic.</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Za preverjanje skladnosti s točko 40 Smernic dokažite, da ni na voljo noben manj izkrivljajoč instrument, ki bi bil primernejši.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Za preverjanje skladnosti s točko 41 Smernic dokažite, da je ukrep pomoči zasnovan tako, da ne ogroža učinkovitosti drugih ukrepov za odpravo istega nedelovanja trga, kot so tržni mehanizmi (npr. EU ETS).</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lastRenderedPageBreak/>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Za preverjanje skladnosti s točko 42 Smernic potrdite, da nobenemu od upravičencev do </w:t>
      </w:r>
      <w:r>
        <w:rPr>
          <w:shd w:val="clear" w:color="auto" w:fill="FFFFFF"/>
        </w:rPr>
        <w:t>ukrepa pomoči ni mogoče na podlagi obstoječe zakonodaje Unije ali nacionalne zakonodaje pripisati odgovornosti za onesnaževanje (</w:t>
      </w:r>
      <w:r>
        <w:rPr>
          <w:i/>
          <w:shd w:val="clear" w:color="auto" w:fill="FFFFFF"/>
        </w:rPr>
        <w:t>načelo „onesnaževalec plača“</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Za preverjanje skladnosti s točkami 43 do 46 Smernic in dokazovanje ustreznosti pomoči med različnimi instrumenti pomoči zagotovitev naslednje informacije: </w:t>
      </w:r>
    </w:p>
    <w:p w14:paraId="4F88C324" w14:textId="2B3F690B" w:rsidR="00EF1F6E" w:rsidRPr="00ED71CB" w:rsidRDefault="00D97CBE" w:rsidP="00B82F95">
      <w:pPr>
        <w:pStyle w:val="ListParagraph"/>
        <w:numPr>
          <w:ilvl w:val="0"/>
          <w:numId w:val="32"/>
        </w:numPr>
        <w:spacing w:before="120" w:after="120"/>
        <w:contextualSpacing w:val="0"/>
        <w:jc w:val="both"/>
      </w:pPr>
      <w:r>
        <w:t>Pojasnite, zakaj so druge, morebitno manj izkrivljajoče oblike pomoči manj ustrezne,</w:t>
      </w:r>
      <w:r>
        <w:rPr>
          <w:rStyle w:val="normaltextrun"/>
        </w:rPr>
        <w:t xml:space="preserve"> kot se zahteva v točki 44 Smernic</w:t>
      </w:r>
      <w:r>
        <w:t>. Manj izkrivljajoče oblike pomoči so lahko vračljiva predplačila v primerjavi z neposrednimi nepovratnimi sredstvi, davčni dobropisi v primerjavi z nižjo obdavčitvijo; ali oblike pomoči, ki temeljijo na finančnih instrumentih, kot so dolžniški instrumenti v primerjavi z lastniškimi, vključno na primer s posojili z nizko obrestno mero ali subvencijami obrestne mere, državnimi jamstvi ali drugačnim financiranjem pod ugodnimi pogoji.</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Dokažite, da izbira instrumenta pomoči ustreza nedelovanju trga, ki naj bi se z ukrepom pomoči odpravilo, kot določa točka 45 Smernic.</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Pojasnite,</w:t>
      </w:r>
      <w:r>
        <w:rPr>
          <w:color w:val="000000"/>
          <w:shd w:val="clear" w:color="auto" w:fill="FFFFFF"/>
        </w:rPr>
        <w:t xml:space="preserve"> </w:t>
      </w:r>
      <w:r>
        <w:t xml:space="preserve">kako sta </w:t>
      </w:r>
      <w:r>
        <w:rPr>
          <w:color w:val="000000"/>
          <w:shd w:val="clear" w:color="auto" w:fill="FFFFFF"/>
        </w:rPr>
        <w:t>ukrep pomoči in njegova zasnova ustrezna za doseganje cilja</w:t>
      </w:r>
      <w:r>
        <w:rPr>
          <w:shd w:val="clear" w:color="auto" w:fill="FFFFFF"/>
        </w:rPr>
        <w:t xml:space="preserve"> </w:t>
      </w:r>
      <w:r>
        <w:rPr>
          <w:rStyle w:val="normaltextrun"/>
          <w:shd w:val="clear" w:color="auto" w:fill="FFFFFF"/>
        </w:rPr>
        <w:t>(točka 46 Smernic)</w:t>
      </w:r>
      <w:r>
        <w:rPr>
          <w:shd w:val="clear" w:color="auto" w:fill="FFFFFF"/>
        </w:rP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Sorazmernost </w:t>
            </w:r>
          </w:p>
        </w:tc>
      </w:tr>
    </w:tbl>
    <w:p w14:paraId="5A2A77DE" w14:textId="629E0C5C" w:rsidR="00451471" w:rsidRDefault="00863406" w:rsidP="00864350">
      <w:pPr>
        <w:spacing w:before="360" w:after="120"/>
        <w:jc w:val="both"/>
        <w:rPr>
          <w:i/>
        </w:rPr>
      </w:pPr>
      <w:r>
        <w:rPr>
          <w:i/>
        </w:rPr>
        <w:t xml:space="preserve">Za zagotovitev informacij v tem oddelku glej oddelek 3.2.1.3 (točke 47–57) in oddelek 4.5.4.2 (točke 265–273) Smernic. Upoštevajte, da so </w:t>
      </w:r>
      <w:r>
        <w:rPr>
          <w:i/>
          <w:u w:val="single"/>
        </w:rPr>
        <w:t>naslednji trije oddelki 2.1.3.2, 2.1.3.3 in 2.1.3.4 izbirni</w:t>
      </w:r>
      <w:r>
        <w:rPr>
          <w:i/>
        </w:rPr>
        <w:t xml:space="preserve">. Odgovarjajte samo na ustrezni oddelek, odvisno od zasnove predlaganega ukrepa. Za pomoč, dodeljeno v obliki prenosnih emisijskih dovoljenj, odgovorite tudi na vprašanje 33 (oddelek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Sorazmernost pomoči v obliki prenosnih emisijskih dovoljenj </w:t>
            </w:r>
          </w:p>
        </w:tc>
      </w:tr>
    </w:tbl>
    <w:p w14:paraId="64E0C18A" w14:textId="5D959274" w:rsidR="00F60556" w:rsidRDefault="00F60556" w:rsidP="002B019C">
      <w:pPr>
        <w:pStyle w:val="ListParagraph"/>
        <w:numPr>
          <w:ilvl w:val="0"/>
          <w:numId w:val="4"/>
        </w:numPr>
        <w:spacing w:before="120" w:after="120"/>
        <w:ind w:left="567" w:hanging="567"/>
        <w:contextualSpacing w:val="0"/>
      </w:pPr>
      <w:r>
        <w:t>Če je pomoč v obliki prenosnih emisijskih dovoljenj, v skladu s točko 273 pojasnite, kako:</w:t>
      </w:r>
    </w:p>
    <w:p w14:paraId="379BD600" w14:textId="77777777" w:rsidR="00F60556" w:rsidRDefault="00F60556" w:rsidP="00B82F95">
      <w:pPr>
        <w:numPr>
          <w:ilvl w:val="0"/>
          <w:numId w:val="42"/>
        </w:numPr>
        <w:ind w:left="1418" w:hanging="284"/>
      </w:pPr>
      <w:r>
        <w:t xml:space="preserve">bo dodelitev izvedena pregledno, na podlagi objektivnih meril in podatkovnih virov najvišje razpoložljive kakovosti;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skupna količina prenosnih emisijskih dovoljenj ali pravic, dodeljenih vsakemu podjetju po ceni, ki je nižja od njihove tržne vrednosti, presega njegove predvidene potrebe, kot so ocenjene glede na stanje brez sheme trgovanja.</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lastRenderedPageBreak/>
              <w:t>Sorazmernost pomoči na podlagi intenzivnosti pomoči iz točk 265–273 Smernic</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Za opis upravičenih stroškov v okviru ukrepa pomoči opredelite dodatne stroške naložbe, ki so neposredno povezani z doseganjem višje ravni varstva okolja. V ta namen glej ustrezni hipotetični scenarij, kot je opredeljen v odgovoru na vprašanje 17 ter točke 266 in 226–230 Smernic.</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Pojasnite, kako se bodo določili in preverili stroški naložbe v dejanskih in hipotetičnih scenarijih.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Navedite največje intenzivnosti pomoči, ki se uporabljajo v okviru ukrepa, in ali se uporabljajo bonusi (točke 267–270 Smernic).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Za </w:t>
      </w:r>
      <w:proofErr w:type="spellStart"/>
      <w:r>
        <w:t>ekoinovativne</w:t>
      </w:r>
      <w:proofErr w:type="spellEnd"/>
      <w:r>
        <w:t xml:space="preserve"> dejavnosti dokažite, da so izpolnjeni naslednji kumulativni pogoji (točka 270 Smernic): </w:t>
      </w:r>
    </w:p>
    <w:p w14:paraId="00DF35DD" w14:textId="77777777" w:rsidR="00611EA4" w:rsidRDefault="00611EA4" w:rsidP="00B82F95">
      <w:pPr>
        <w:pStyle w:val="ListParagraph"/>
        <w:numPr>
          <w:ilvl w:val="0"/>
          <w:numId w:val="36"/>
        </w:numPr>
        <w:spacing w:before="120" w:after="120"/>
        <w:contextualSpacing w:val="0"/>
        <w:jc w:val="both"/>
      </w:pPr>
      <w:proofErr w:type="spellStart"/>
      <w:r>
        <w:t>ekoinovativna</w:t>
      </w:r>
      <w:proofErr w:type="spellEnd"/>
      <w:r>
        <w:t xml:space="preserve"> dejavnost je nova ali bistveno izboljšana v primerjavi z najsodobnejšimi v svojem sektorju v Uniji</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 xml:space="preserve">pričakovana </w:t>
      </w:r>
      <w:proofErr w:type="spellStart"/>
      <w:r>
        <w:t>okoljska</w:t>
      </w:r>
      <w:proofErr w:type="spellEnd"/>
      <w:r>
        <w:t xml:space="preserve"> korist je bistveno večja od izboljšanja, ki je posledica splošnega razvoja najsodobnejših projektov v primerljivih dejavnostih</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inovativna narava dejavnosti vključuje jasno stopnjo tveganja v tehnološkem, tržnem ali finančnem smislu, ki je višja od tveganja, ki se običajno povezuje s primerljivimi </w:t>
      </w:r>
      <w:proofErr w:type="spellStart"/>
      <w:r>
        <w:t>neinovativnimi</w:t>
      </w:r>
      <w:proofErr w:type="spellEnd"/>
      <w:r>
        <w:t xml:space="preserve"> dejavnostmi</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Če se z odstopanjem od točk 267–270 Smernic šteje, da je potrebna pomoč, ki presega največje intenzivnosti pomoči, določene v oddelku 4.5.4.2, navedite raven pomoči, ki se šteje za potrebno, in jo utemeljite na podlagi analize vrzeli v financiranju za referenčne projekte po dejanskem in hipotetičnem scenariju, kot je opredeljeno v odgovoru na vprašanje 17 (C) zgoraj, v skladu s točkama 51 in 52 Smernic. </w:t>
      </w:r>
    </w:p>
    <w:p w14:paraId="25D9B659" w14:textId="6A94171C" w:rsidR="00E766C0" w:rsidRPr="00451471" w:rsidRDefault="00E766C0" w:rsidP="00451471">
      <w:pPr>
        <w:pStyle w:val="ListParagraph"/>
        <w:spacing w:before="120" w:after="120"/>
        <w:ind w:left="567"/>
        <w:contextualSpacing w:val="0"/>
        <w:jc w:val="both"/>
      </w:pPr>
      <w:r>
        <w:t>Za to analizo vrzeli v financiranju predložite za dejanski scenarij in realističen hipotetični scenarij</w:t>
      </w:r>
      <w:r>
        <w:rPr>
          <w:vertAlign w:val="superscript"/>
          <w:lang w:val="en-IE" w:eastAsia="en-GB"/>
        </w:rPr>
        <w:footnoteReference w:id="14"/>
      </w:r>
      <w:r>
        <w:t xml:space="preserve">, opredeljena v odgovoru na vprašanje 17(C) zgoraj, količinsko opredelitev vseh </w:t>
      </w:r>
      <w:r>
        <w:lastRenderedPageBreak/>
        <w:t xml:space="preserve">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To navedite v prilogi k temu obrazcu za dodatne informacije (z uporabo Excelove datoteke, </w:t>
      </w:r>
      <w:r>
        <w:rPr>
          <w:shd w:val="clear" w:color="auto" w:fill="FFFFFF"/>
        </w:rPr>
        <w:t>v kateri so vidne vse formule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Vključite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Za primere individualne pomoči in shem, ki koristijo precej omejenemu številu upravičencev, mora država članica predložiti ustrezna dokazila na ravni podrobnega poslovnega načrta projekta.</w:t>
      </w:r>
    </w:p>
    <w:p w14:paraId="2EE300C8" w14:textId="77777777" w:rsidR="00E766C0" w:rsidRPr="00AC286A" w:rsidRDefault="00E766C0" w:rsidP="00E766C0">
      <w:pPr>
        <w:ind w:left="1080"/>
        <w:jc w:val="both"/>
        <w:rPr>
          <w:shd w:val="clear" w:color="auto" w:fill="FFFFFF"/>
        </w:rPr>
      </w:pPr>
      <w:r>
        <w:rPr>
          <w:shd w:val="clear" w:color="auto" w:fill="FFFFFF"/>
        </w:rPr>
        <w:t>Za primere shem pomoči mora država članica predložiti ustrezna dokazila na podlagi enega ali več referenčnih projektov.</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Temu obrazcu za dodatne informacije lahko priložite tudi dokumente, navedene v opombi 39 Smernic. Dokumenti uprav so lahko posebej uporabni pri ukrepih individualne pomoči ali shem, ki koristijo precej omejenemu številu upravičencev. Če so takšni dokumenti priloženi obrazcu za dodatne informacije, v nadaljevanju navedite seznam teh dokumentov, pri čemer navedite avtorja, datum njihove priprave in kontekst, v katerem so bili uporabljeni.</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Dokažite tudi, da zaradi uporabe višje ravni pomoči, določene, kot je navedeno v vprašanju 38, pomoč ne bi presegla vrzeli v financiranju.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rPr>
          <w:shd w:val="clear" w:color="auto" w:fill="FFFFFF"/>
        </w:rPr>
        <w:t>Če se uporablja</w:t>
      </w:r>
      <w:r>
        <w:t xml:space="preserve"> točka 52 Smernic, tj. </w:t>
      </w:r>
      <w:r>
        <w:rPr>
          <w:shd w:val="clear" w:color="auto" w:fill="FFFFFF"/>
        </w:rPr>
        <w:t>upravičenec po najverjetnejšem hipotetičnem scenariju ne izvede dejavnosti ali naložbe</w:t>
      </w:r>
      <w:r>
        <w:t xml:space="preserve"> ali </w:t>
      </w:r>
      <w:r>
        <w:rPr>
          <w:shd w:val="clear" w:color="auto" w:fill="FFFFFF"/>
        </w:rPr>
        <w:t>posluje brez sprememb</w:t>
      </w:r>
      <w:r>
        <w:t>, predložite dokaze v podporo tej predpostavki</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Kadar koli</w:t>
      </w:r>
      <w:r>
        <w:t xml:space="preserve"> se sorazmernost upravičuje </w:t>
      </w:r>
      <w:r>
        <w:rPr>
          <w:shd w:val="clear" w:color="auto" w:fill="FFFFFF"/>
        </w:rPr>
        <w:t>s sklicevanjem na analizo vrzeli v financiranju</w:t>
      </w:r>
      <w:r>
        <w:t xml:space="preserve">, potrdite, da bodo organi vaše države izvajali naknadno spremljanje, da bi preverili predpostavke o potrebni ravni pomoči in vzpostavili mehanizem za vračanje sredstev. Poleg tega opišite mehanizem za spremljanje in vračanje sredstev, </w:t>
      </w:r>
      <w:r>
        <w:rPr>
          <w:shd w:val="clear" w:color="auto" w:fill="FFFFFF"/>
        </w:rPr>
        <w:t>ki ga nameravajo uporabljati organi vaše države</w:t>
      </w:r>
      <w:r>
        <w:t xml:space="preserve"> (točka 271 Smernic).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lastRenderedPageBreak/>
              <w:t xml:space="preserve">Sorazmernost pomoči, dodeljene na podlagi konkurenčnega postopka zbiranja ponudb </w:t>
            </w:r>
          </w:p>
        </w:tc>
      </w:tr>
    </w:tbl>
    <w:p w14:paraId="02145BB2" w14:textId="77777777" w:rsidR="00E50157" w:rsidRPr="00441F0B" w:rsidRDefault="00E50157" w:rsidP="00E50157">
      <w:pPr>
        <w:pStyle w:val="ListParagraph"/>
        <w:spacing w:before="360" w:after="120"/>
        <w:ind w:left="0"/>
        <w:contextualSpacing w:val="0"/>
        <w:jc w:val="both"/>
      </w:pPr>
      <w:r>
        <w:rPr>
          <w:i/>
        </w:rPr>
        <w:t>Za zagotovitev informacij v tem oddelku glej točke 49, 50 in 272 Smernic</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Za preverjanje skladnosti s točkama 49 in 50 Smernic zagotovite naslednje:</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Pojasnite, kako organi zagotavljajo, da je postopek zbiranja ponudb odprt, jasen, pregleden in </w:t>
      </w:r>
      <w:proofErr w:type="spellStart"/>
      <w:r>
        <w:t>nediskriminatoren</w:t>
      </w:r>
      <w:proofErr w:type="spellEnd"/>
      <w:r>
        <w:t>, temelji na objektivnih merilih, ki so predhodno določena v skladu s ciljem ukrepa ter zagotavljajo čim manjše tveganje strateških ponudb (točka 49(a) Smernic).</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Navedite pogoje za sodelovanje, ki se uporabljajo za razvrščanje ponudb in nazadnje za določitev ravni pomoči v konkurenčnem postopku zbiranja ponudb. Natančneje: </w:t>
      </w:r>
    </w:p>
    <w:p w14:paraId="383A3E34" w14:textId="77777777" w:rsidR="00E50157" w:rsidRPr="00050EB9" w:rsidRDefault="00E50157" w:rsidP="00B82F95">
      <w:pPr>
        <w:pStyle w:val="ListParagraph"/>
        <w:numPr>
          <w:ilvl w:val="1"/>
          <w:numId w:val="25"/>
        </w:numPr>
        <w:spacing w:before="120" w:after="120"/>
        <w:contextualSpacing w:val="0"/>
        <w:jc w:val="both"/>
      </w:pPr>
      <w:r>
        <w:t xml:space="preserve">Navedite seznam pogojev za sodelovanje in natančno opredelite, kateri od njih so neposredno ali posredno povezani z glavnimi cilji ukrepa in kateri ne. Navedite tudi njihove </w:t>
      </w:r>
      <w:proofErr w:type="spellStart"/>
      <w:r>
        <w:t>ponderje</w:t>
      </w:r>
      <w:proofErr w:type="spellEnd"/>
      <w:r>
        <w:t>.</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Pojasnite, kako pogoji za sodelovanje zagotavljajo prispevek h glavnim ciljem ukrepa, ki je neposredno ali posredno povezan z zneskom pomoči, ki ga prosilec zahteva. To se lahko izrazi na primer kot pomoč na enoto varstva okolja</w:t>
      </w:r>
      <w:r>
        <w:rPr>
          <w:rStyle w:val="FootnoteReference"/>
          <w:lang w:eastAsia="en-GB"/>
        </w:rPr>
        <w:footnoteReference w:id="16"/>
      </w:r>
      <w:r>
        <w:t xml:space="preserve"> (točka 50 Smernic in opomba 44 Smernic).</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Če obstajajo drugi pogoji za sodelovanje, ki niso neposredno ali posredno povezani z glavnimi cilji ukrepa, navedite razloge za predlagani pristop in pojasnite, kako ustreza doseganju ciljev ukrepa. Potrdite tudi, da navedeni pogoji ne predstavljajo več kot 30 % </w:t>
      </w:r>
      <w:proofErr w:type="spellStart"/>
      <w:r>
        <w:t>ponderjev</w:t>
      </w:r>
      <w:proofErr w:type="spellEnd"/>
      <w:r>
        <w:t xml:space="preserve"> vseh pogojev za sodelovanje (točka 50 Smernic).</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Pojasnite, koliko časa pred rokom za predložitev ponudb v vsakem konkurenčnem postopku zbiranja ponudb bodo objavljeni </w:t>
      </w:r>
      <w:r>
        <w:rPr>
          <w:color w:val="000000"/>
          <w:shd w:val="clear" w:color="auto" w:fill="FFFFFF"/>
        </w:rPr>
        <w:t>pogoji za sodelovanje</w:t>
      </w:r>
      <w:r>
        <w:rPr>
          <w:color w:val="000000"/>
        </w:rPr>
        <w:t xml:space="preserve"> </w:t>
      </w:r>
      <w:r>
        <w:t>(točka 49(b) in opomba 43 Smernic)</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rPr>
          <w:shd w:val="clear" w:color="auto" w:fill="FFFFFF"/>
        </w:rPr>
        <w:t xml:space="preserve">Pojasnite, na katerih elementih temelji vaša predpostavka, da bo postopek zbiranja ponudb odprt in bo prejetih dovolj ponudb, tj. da je mogoče pričakovati, da pomoči ne bodo prejeli vsi ponudniki in da pričakovano število ponudnikov zadostuje za zagotovitev učinkovite konkurence v času trajanja sheme (točka 49(c) Smernic). Pri pojasnitvi </w:t>
      </w:r>
      <w:r>
        <w:rPr>
          <w:shd w:val="clear" w:color="auto" w:fill="FFFFFF"/>
        </w:rPr>
        <w:lastRenderedPageBreak/>
        <w:t>upoštevajte proračun ali obseg sheme. Če je primerno, glej dokazila, predložena v odgovorih na vprašanje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Zagotovite informacije o predvidenem številu krogov zbiranja ponudb in pričakovanem številu ponudnikov</w:t>
      </w:r>
      <w:r>
        <w:t xml:space="preserve"> v </w:t>
      </w:r>
      <w:r>
        <w:rPr>
          <w:shd w:val="clear" w:color="auto" w:fill="FFFFFF"/>
        </w:rPr>
        <w:t>prvem krogu in v nadaljevanju.</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V</w:t>
      </w:r>
      <w:r>
        <w:t xml:space="preserve"> </w:t>
      </w:r>
      <w:r>
        <w:rPr>
          <w:shd w:val="clear" w:color="auto" w:fill="FFFFFF"/>
        </w:rPr>
        <w:t>primeru enega ali več postopkov zbiranja ponudb, pri katerih ni prejetih dovolj ponudb, pojasnite, kako in kdaj se bo med izvajanjem sheme popravila zasnova postopkov zbiranja ponudb, da se ponovno vzpostavi učinkovita konkurenca</w:t>
      </w:r>
      <w:r>
        <w:t xml:space="preserve"> (točka 49(c) Smernic)</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t>Potrdite</w:t>
      </w:r>
      <w:r>
        <w:rPr>
          <w:color w:val="000000"/>
          <w:shd w:val="clear" w:color="auto" w:fill="FFFFFF"/>
        </w:rPr>
        <w:t>, da bodo preprečene naknadne prilagoditve rezultata postopka zbiranja ponudb (kot so poznejša</w:t>
      </w:r>
      <w:r>
        <w:t xml:space="preserve"> pogajanja </w:t>
      </w:r>
      <w:r>
        <w:rPr>
          <w:shd w:val="clear" w:color="auto" w:fill="FFFFFF"/>
        </w:rPr>
        <w:t>o rezultatih ponudb ali racioniranje</w:t>
      </w:r>
      <w:r>
        <w:t>) (točka 49(d) Smernic)</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Če obstaja možnost „ponudb z ničelnimi subvencijami“, pojasnite, kako bo zagotovljena sorazmernost (glej točko 49, opomba 42, Smernic).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Pojasnite, ali organi načrtujejo uporabo spodnjih ali zgornjih mej cen v konkurenčnem postopku zbiranja ponudb. Če je odgovor pritrdilen, utemeljite njihovo uporabo in pojasnite, kako ne omejujejo konkurenčnega postopka zbiranja ponudb (točka 49 in opomba 42 Smernic).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Kumulacija</w:t>
            </w:r>
          </w:p>
        </w:tc>
      </w:tr>
    </w:tbl>
    <w:p w14:paraId="2346A85D" w14:textId="05ED6D8A" w:rsidR="00B21377" w:rsidRPr="002A3B51" w:rsidRDefault="00B21377" w:rsidP="00B21377">
      <w:pPr>
        <w:pStyle w:val="ListParagraph"/>
        <w:spacing w:before="120" w:after="120"/>
        <w:ind w:left="567"/>
        <w:contextualSpacing w:val="0"/>
        <w:jc w:val="both"/>
      </w:pPr>
      <w:r>
        <w:rPr>
          <w:i/>
        </w:rPr>
        <w:t>Za zagotovitev informacij v tem oddelku glej točki 56 in 57 Smernic</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Če še ni tako določeno v delu I splošnega obrazca za priglasitev in da se preveri skladnost s točko 56 Smernic, pojasnite, ali se lahko pomoč v okviru priglašenega ukrepa dodeli sočasno na podlagi več shem pomoči ali skupaj z </w:t>
      </w:r>
      <w:r>
        <w:rPr>
          <w:i/>
        </w:rPr>
        <w:t>ad hoc</w:t>
      </w:r>
      <w:r>
        <w:t xml:space="preserve"> pomočjo ali pomočjo </w:t>
      </w:r>
      <w:r>
        <w:rPr>
          <w:i/>
        </w:rPr>
        <w:t xml:space="preserve">de </w:t>
      </w:r>
      <w:proofErr w:type="spellStart"/>
      <w:r>
        <w:rPr>
          <w:i/>
        </w:rPr>
        <w:t>minimis</w:t>
      </w:r>
      <w:proofErr w:type="spellEnd"/>
      <w:r>
        <w:t xml:space="preserve"> v zvezi z istimi upravičenimi stroški. Če je tako, navedite podrobnosti o navedenih shemah pomoči, </w:t>
      </w:r>
      <w:r>
        <w:rPr>
          <w:i/>
        </w:rPr>
        <w:t>ad hoc</w:t>
      </w:r>
      <w:r>
        <w:t xml:space="preserve"> pomoči ali pomoči </w:t>
      </w:r>
      <w:r>
        <w:rPr>
          <w:i/>
        </w:rPr>
        <w:t xml:space="preserve">de </w:t>
      </w:r>
      <w:proofErr w:type="spellStart"/>
      <w:r>
        <w:rPr>
          <w:i/>
        </w:rPr>
        <w:t>minimis</w:t>
      </w:r>
      <w:proofErr w:type="spellEnd"/>
      <w:r>
        <w:t xml:space="preserve"> in o tem, kako se bo pomoč kumulirala.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Če se uporablja točka 56 Smernic, pojasnite, kako skupni znesek pomoči za posamezni priglašeni projekt ali dejavnost ne vodi do prekomernega nadomestila ali ne presega najvišjega zneska pomoči, dovoljenega na podlagi točk 267–273 Smernic. Za vsak ukrep, pri katerem se lahko pomoč, dodeljena na podlagi priglašenega ukrepa pomoči, kumulira, navedite metodo, uporabljeno za zagotovitev skladnosti s pogoji iz točke 56 Smernic.</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lastRenderedPageBreak/>
        <w:t>Če se uporablja točka 57 Smernic, tj. pomoč, dodeljena na podlagi priglašenega ukrepa, se kombinira s centralno upravljanimi sredstvi Unije</w:t>
      </w:r>
      <w:r>
        <w:rPr>
          <w:rStyle w:val="FootnoteReference"/>
          <w:lang w:eastAsia="en-GB"/>
        </w:rPr>
        <w:footnoteReference w:id="17"/>
      </w:r>
      <w:r>
        <w:t xml:space="preserve"> (ki ne pomenijo državne pomoči), utemeljite, </w:t>
      </w:r>
      <w:r>
        <w:rPr>
          <w:shd w:val="clear" w:color="auto" w:fill="FFFFFF"/>
        </w:rPr>
        <w:t>kako skupni znesek javnega financiranja, dodeljen v zvezi z istimi upravičenimi stroški, ne privede do prekomernega nadomestila.</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Preglednost</w:t>
            </w:r>
          </w:p>
        </w:tc>
      </w:tr>
    </w:tbl>
    <w:p w14:paraId="07229A8F" w14:textId="25E21DE5" w:rsidR="006773CE" w:rsidRPr="007C0A44" w:rsidRDefault="006773CE" w:rsidP="006773CE">
      <w:pPr>
        <w:spacing w:before="360" w:after="120"/>
        <w:jc w:val="both"/>
        <w:rPr>
          <w:i/>
        </w:rPr>
      </w:pPr>
      <w:r>
        <w:rPr>
          <w:i/>
        </w:rPr>
        <w:t xml:space="preserve">Za zagotovitev informacij v tem oddelku glej oddelek 3.2.1.4 (točke 58–62) Smernic.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Navedite spletno povezavo, </w:t>
      </w:r>
      <w:r>
        <w:rPr>
          <w:rFonts w:ascii="inherit" w:hAnsi="inherit"/>
        </w:rPr>
        <w:t xml:space="preserve">na kateri bodo objavljeni celotno besedilo odobrene sheme pomoči ali </w:t>
      </w:r>
      <w:r>
        <w:rPr>
          <w:rFonts w:ascii="inherit" w:hAnsi="inherit"/>
          <w:color w:val="000000"/>
        </w:rPr>
        <w:t>sklepa o dodelitvi individualne pomoči in njegovih izvedbenih določb ter</w:t>
      </w:r>
      <w:r>
        <w:rPr>
          <w:rFonts w:ascii="inherit" w:hAnsi="inherit"/>
        </w:rPr>
        <w:t xml:space="preserve"> informacije</w:t>
      </w:r>
      <w:r>
        <w:rPr>
          <w:rFonts w:ascii="inherit" w:hAnsi="inherit"/>
          <w:color w:val="000000"/>
        </w:rPr>
        <w:t xml:space="preserve"> o vsaki individualni pomoči, ki je bila dodeljena </w:t>
      </w:r>
      <w:r>
        <w:rPr>
          <w:rFonts w:ascii="inherit" w:hAnsi="inherit"/>
          <w:i/>
          <w:color w:val="000000"/>
        </w:rPr>
        <w:t>ad hoc</w:t>
      </w:r>
      <w:r>
        <w:rPr>
          <w:rFonts w:ascii="inherit" w:hAnsi="inherit"/>
          <w:color w:val="000000"/>
        </w:rPr>
        <w:t xml:space="preserve"> ali v okviru sheme pomoči, odobrene na podlagi Smernic</w:t>
      </w:r>
      <w:r>
        <w:rPr>
          <w:rFonts w:ascii="inherit" w:hAnsi="inherit"/>
        </w:rPr>
        <w:t xml:space="preserve">, in ki presega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Preprečevanje neupravičenih negativnih učinkov pomoči na konkurenco in trgovino ter test tehtanja</w:t>
            </w:r>
          </w:p>
        </w:tc>
      </w:tr>
    </w:tbl>
    <w:p w14:paraId="6CD3884F" w14:textId="47FB2DEE" w:rsidR="00F83660" w:rsidRPr="00B215FD" w:rsidRDefault="00F83660" w:rsidP="00F83660">
      <w:pPr>
        <w:spacing w:before="360" w:after="120"/>
        <w:jc w:val="both"/>
        <w:rPr>
          <w:i/>
        </w:rPr>
      </w:pPr>
      <w:r>
        <w:rPr>
          <w:i/>
        </w:rPr>
        <w:t xml:space="preserve">Za zagotovitev informacij v tem oddelku glej oddelek 3.2.2 (točke 63–70) in oddelek 4.5.5 (točke 274–275) Smernic.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Za preverjanje skladnosti s točko 67 Smernic zagotovite informacije o morebitnih kratkoročnih in dolgoročnih negativnih učinkih priglašenega ukrepa na konkurenco in trgovino.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Pojasnite, ali ukrep spada v katerega od naslednjih primerov: </w:t>
      </w:r>
    </w:p>
    <w:p w14:paraId="554349FE" w14:textId="7696EC86" w:rsidR="00397D3C" w:rsidRPr="002178F0" w:rsidRDefault="00397D3C" w:rsidP="00B82F95">
      <w:pPr>
        <w:pStyle w:val="ListParagraph"/>
        <w:numPr>
          <w:ilvl w:val="1"/>
          <w:numId w:val="28"/>
        </w:numPr>
        <w:spacing w:before="120" w:after="120"/>
        <w:contextualSpacing w:val="0"/>
        <w:jc w:val="both"/>
      </w:pPr>
      <w:r>
        <w:t>zadeva trg (ali trge), na katerem so prvotni akterji pridobili tržno moč pred liberalizacijo trga;</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vključuje konkurenčne postopke zbiranja ponudb na nastajajočih trgih, kadar obstaja akter z močnim tržnim položajem;</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ukrep bo koristil le enemu upravičencu ali precej omejenemu številu upravičencev.</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lastRenderedPageBreak/>
        <w:t xml:space="preserve">Če se ukrep pomoči osredotoča na določeno tehnološko izbiro/pot, utemeljite razlog za tehnološko izbiro in potrdite, da ukrep ne bo odvračal od uporabe čistejših tehnologij.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Če bo priglašeni ukrep koristil le enemu upravičencu ali precej omejenemu številu upravičencev, za preverjanje skladnosti s točko 68 Smernic:</w:t>
      </w:r>
    </w:p>
    <w:p w14:paraId="05892635" w14:textId="438AD58D" w:rsidR="00F83660" w:rsidRPr="00B215FD" w:rsidRDefault="00D4206D" w:rsidP="008A6F77">
      <w:pPr>
        <w:pStyle w:val="ListParagraph"/>
        <w:numPr>
          <w:ilvl w:val="0"/>
          <w:numId w:val="43"/>
        </w:numPr>
        <w:spacing w:before="120" w:after="120"/>
        <w:contextualSpacing w:val="0"/>
        <w:jc w:val="both"/>
      </w:pPr>
      <w: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Opišite ukrepe, ki so bili sprejeti za omejitev morebitnega izkrivljanja konkurence, ki bi ga lahko povzročila dodelitev pomoči upravičencem.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Za preverjanje skladnosti s točko 69 Smernic pojasnite naslednje:</w:t>
      </w:r>
    </w:p>
    <w:p w14:paraId="4FA1E951" w14:textId="7EB570EA" w:rsidR="00787938" w:rsidRDefault="00787938" w:rsidP="008A6F77">
      <w:pPr>
        <w:pStyle w:val="ListParagraph"/>
        <w:numPr>
          <w:ilvl w:val="0"/>
          <w:numId w:val="44"/>
        </w:numPr>
        <w:spacing w:before="120" w:after="120"/>
        <w:contextualSpacing w:val="0"/>
        <w:jc w:val="both"/>
      </w:pPr>
      <w:r>
        <w:t xml:space="preserve">Ali je pomoč, ki se dodeli na podlagi priglašenega ukrepa, namenjena ohranjanju gospodarske dejavnosti v eni regiji ali privabljanju dejavnosti iz drugih regij na notranjem trgu.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Če je odgovor pritrdilen, navedite neto vpliv priglašenega ukrepa na okolje in kako priglašeni ukrep izboljšuje obstoječo raven varstva okolja v državah članicah.</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Kako pomoč, ki se dodeli na podlagi priglašenega ukrepa, nima očitno negativnih učinkov na konkurenco in trgovino.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V primeru individualne pomoči, kateri so glavni dejavniki, na podlagi katerih upravičenec izbere lokacijo za naložbe.</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Za preverjanje skladnosti s točko 70 Smernic:</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Potrdite, da se lahko pomoč na podlagi priglašene sheme dodeli za največ deset let </w:t>
      </w:r>
      <w:r>
        <w:rPr>
          <w:color w:val="000000"/>
          <w:shd w:val="clear" w:color="auto" w:fill="FFFFFF"/>
        </w:rPr>
        <w:t>od datuma obvestila o sklepu Komisije o razglasitvi državne pomoči za združljivo</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Potrdite, da bodo organi vaše države ponovno priglasili ukrep, če bi želeli podaljšati trajanje sheme prek tega najdaljšega obdobja.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Če je pomoč v obliki prenosnih emisijskih dovoljenj, potem za preverjanje skladnosti s točko 275 Smernic potrdite, da ukrep izpolnjuje vsa naslednja merila: </w:t>
      </w:r>
    </w:p>
    <w:p w14:paraId="77783B19" w14:textId="5624D437" w:rsidR="002C45A2" w:rsidRDefault="00F60556" w:rsidP="008A6F77">
      <w:pPr>
        <w:pStyle w:val="ListParagraph"/>
        <w:numPr>
          <w:ilvl w:val="0"/>
          <w:numId w:val="46"/>
        </w:numPr>
        <w:spacing w:before="120" w:after="120"/>
        <w:contextualSpacing w:val="0"/>
        <w:jc w:val="both"/>
      </w:pPr>
      <w:r>
        <w:lastRenderedPageBreak/>
        <w:t>izbira upravičencev temelji na objektivnih in preglednih merilih, pomoč pa se načeloma dodeli enako za vse konkurente v istem sektorju, če so v podobnem dejanskem položaju;</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metodologija dodeljevanja ne daje prednosti določenim podjetjem ali sektorjem;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če metodologija dodeljevanja daje prednost določenim podjetjem ali sektorjem, pojasnite, kako to upravičuje </w:t>
      </w:r>
      <w:proofErr w:type="spellStart"/>
      <w:r>
        <w:t>okoljska</w:t>
      </w:r>
      <w:proofErr w:type="spellEnd"/>
      <w:r>
        <w:t xml:space="preserve"> logika same sheme ali zakaj je to potrebno za skladnost z drugimi </w:t>
      </w:r>
      <w:proofErr w:type="spellStart"/>
      <w:r>
        <w:t>okoljskimi</w:t>
      </w:r>
      <w:proofErr w:type="spellEnd"/>
      <w:r>
        <w:t xml:space="preserve"> politikami;</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novi udeleženci ne prejemajo dovoljenj ali pravic pod ugodnejšimi pogoji kot obstoječa podjetja, ki delujejo na istih trgih;</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odobritev višjih dodelitev obstoječim napravam v primerjavi z novimi udeleženci ne ustvarja neupravičenih ovir za vstop.</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Primerjava pozitivnih učinkov pomoči z negativnimi učinki na konkurenco in trgovino</w:t>
            </w:r>
          </w:p>
        </w:tc>
      </w:tr>
    </w:tbl>
    <w:p w14:paraId="2BA426DC" w14:textId="2EBC55A9" w:rsidR="00265702" w:rsidRPr="00863406" w:rsidRDefault="00265702" w:rsidP="00265702">
      <w:pPr>
        <w:spacing w:before="360" w:after="120"/>
        <w:jc w:val="both"/>
        <w:rPr>
          <w:i/>
          <w:color w:val="000000"/>
        </w:rPr>
      </w:pPr>
      <w:r>
        <w:rPr>
          <w:i/>
        </w:rPr>
        <w:t>Za zagotovitev informacij v tem oddelku glej oddelek 3.3 (točke 71–76) Smernic.</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Za preverjanje skladnosti s točko 72 Smernic pojasnite, ali dejavnosti, za katere se na podlagi priglašenega ukrepa zagotavlja podpora, izpolnjujejo merila za </w:t>
      </w:r>
      <w:proofErr w:type="spellStart"/>
      <w:r>
        <w:t>okoljsko</w:t>
      </w:r>
      <w:proofErr w:type="spellEnd"/>
      <w:r>
        <w:t xml:space="preserve"> trajnostne gospodarske dejavnosti </w:t>
      </w:r>
      <w:r>
        <w:rPr>
          <w:shd w:val="clear" w:color="auto" w:fill="FFFFFF"/>
        </w:rPr>
        <w:t xml:space="preserve">iz </w:t>
      </w:r>
      <w:r>
        <w:t>člena 3 Uredbe (EU) 2020/852 Evropskega parlamenta in Sveta</w:t>
      </w:r>
      <w:r>
        <w:rPr>
          <w:rStyle w:val="FootnoteReference"/>
          <w:lang w:eastAsia="en-GB"/>
        </w:rPr>
        <w:footnoteReference w:id="18"/>
      </w:r>
      <w:r>
        <w:t xml:space="preserve">, </w:t>
      </w:r>
      <w:r>
        <w:rPr>
          <w:shd w:val="clear" w:color="auto" w:fill="FFFFFF"/>
        </w:rPr>
        <w:t>vključno z načelom, da se ne škoduje bistveno, ali iz drugih primerljivih metodologij.</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(V primeru konkurenčnega postopka zbiranja ponudb) Pojasnite, ali priglašeni ukrep vključuje značilnosti za olajšanje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Oddelek C: Ocenjevanje</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Za zagotovitev informacij v tem oddelku glej poglavje 5 (točke 455–463) Smernic.</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Če je predložen osnutek načrta ocenjevanja:</w:t>
      </w:r>
    </w:p>
    <w:p w14:paraId="61554CC9" w14:textId="77777777" w:rsidR="00571769" w:rsidRDefault="00571769" w:rsidP="00B82F95">
      <w:pPr>
        <w:pStyle w:val="ListParagraph"/>
        <w:numPr>
          <w:ilvl w:val="0"/>
          <w:numId w:val="33"/>
        </w:numPr>
        <w:spacing w:before="120" w:after="120"/>
        <w:contextualSpacing w:val="0"/>
        <w:jc w:val="both"/>
      </w:pPr>
      <w:r>
        <w:t>v nadaljevanju predložite povzetek navedenega osnutka načrta ocenjevanja, vključenega v Prilogo;</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potrdite, da se bo pri tem upoštevala točka 460 Smernic;</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navedite datum in spletno povezavo, na kateri bo načrt ocenjevanja javno dostopen.</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pomembni spremembi, s katero se je proračun sheme povečal na več kot 150 milijonov EUR v katerem koli zadevnem letu ali 750 milijonov EUR v celotnem obdobju trajanja sheme.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Za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Za preverjanje skladnosti s točko 461 Smernic:</w:t>
      </w:r>
    </w:p>
    <w:p w14:paraId="3A9B542E" w14:textId="089343AF" w:rsidR="00277BC0" w:rsidRPr="0051324D" w:rsidRDefault="00277BC0" w:rsidP="008A6F77">
      <w:pPr>
        <w:pStyle w:val="ListParagraph"/>
        <w:numPr>
          <w:ilvl w:val="0"/>
          <w:numId w:val="47"/>
        </w:numPr>
        <w:spacing w:before="120" w:after="120"/>
        <w:contextualSpacing w:val="0"/>
        <w:jc w:val="both"/>
      </w:pPr>
      <w:r>
        <w:t>pojasnite, ali je bil neodvisni strokovnjak že izbran ali bo izbran v prihodnosti;</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zagotovite informacije o postopku za izbiro strokovnjaka;</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utemeljite, kako je zagotovljena strokovnjakova neodvisnost od organa, ki dodeli pomoč.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Za preverjanje skladnosti s točko 461 Smernic: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Navedite predlagane roke za predložitev vmesnega in končnega ocenjevalnega poročila. Upoštevajte, da je treba v skladu s točko 463 Smernic končno ocenjevalno poročilo Komisiji predložiti pravočasno, da ta lahko presoja o </w:t>
      </w:r>
      <w:r>
        <w:lastRenderedPageBreak/>
        <w:t>morebitnem podaljšanju sheme pomoči, in najpozneje devet mesecev pred njenim iztekom. Upoštevajte, da se lahko navedeni rok skrajša za sheme, ki sprožijo zahtevo za ocenjevanje v zadnjih dveh letih izvajanja.</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Potrdite, da bosta vmesno in končno ocenjevalno poročilo objavljeni. Navedite datum in spletno povezavo, na kateri bosta navedeni poročili javno dostopni.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Oddelek D – Poročanje in spremljanje</w:t>
            </w:r>
          </w:p>
        </w:tc>
      </w:tr>
    </w:tbl>
    <w:p w14:paraId="1C16B3DB" w14:textId="77777777" w:rsidR="006F0AE2" w:rsidRPr="0051324D" w:rsidRDefault="006F0AE2" w:rsidP="006F0AE2">
      <w:pPr>
        <w:tabs>
          <w:tab w:val="left" w:leader="dot" w:pos="9072"/>
        </w:tabs>
        <w:spacing w:before="120" w:after="120"/>
        <w:ind w:left="567"/>
        <w:jc w:val="both"/>
      </w:pPr>
      <w:r>
        <w:rPr>
          <w:i/>
        </w:rPr>
        <w:t>Za zagotovitev informacij v tem oddelku glej oddelek 6 (točki 464 in 465) Smernic.</w:t>
      </w:r>
    </w:p>
    <w:p w14:paraId="0AD3805C" w14:textId="48B92343" w:rsidR="006F0AE2" w:rsidRDefault="006F0AE2" w:rsidP="00451471">
      <w:pPr>
        <w:pStyle w:val="ListParagraph"/>
        <w:numPr>
          <w:ilvl w:val="0"/>
          <w:numId w:val="4"/>
        </w:numPr>
        <w:spacing w:before="120" w:after="120"/>
        <w:ind w:left="567" w:hanging="567"/>
        <w:contextualSpacing w:val="0"/>
        <w:jc w:val="both"/>
      </w:pPr>
      <w:r>
        <w:t>Potrdite, da bo država članica izpolnjevala zahteve glede poročanja in spremljanja iz oddelka 6, točki 464 in 465 Smernic.</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(UL C 80, 18.2.2022, str. 1).</w:t>
      </w:r>
    </w:p>
  </w:footnote>
  <w:footnote w:id="3">
    <w:p w14:paraId="721B2C3E" w14:textId="5CF0F3FA" w:rsidR="005B06D6" w:rsidRDefault="005B06D6" w:rsidP="002A2C73">
      <w:pPr>
        <w:pStyle w:val="FootnoteText"/>
      </w:pPr>
      <w:r>
        <w:rPr>
          <w:rStyle w:val="FootnoteReference"/>
        </w:rPr>
        <w:footnoteRef/>
      </w:r>
      <w:r>
        <w:tab/>
      </w:r>
      <w:r>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4">
    <w:p w14:paraId="51CA7B9F" w14:textId="77777777" w:rsidR="00A53EBB" w:rsidRPr="0067348B" w:rsidRDefault="00A53EBB" w:rsidP="00A53EBB">
      <w:pPr>
        <w:pStyle w:val="FootnoteText"/>
      </w:pPr>
      <w:r>
        <w:rPr>
          <w:rStyle w:val="FootnoteReference"/>
        </w:rPr>
        <w:footnoteRef/>
      </w:r>
      <w:r>
        <w:tab/>
      </w:r>
      <w:r>
        <w:t>Upoštevajte, da lahko sprememba dejanskega proračuna ali ocene proračuna pomeni spremembo pomoči, ki jo je treba na novo priglasiti.</w:t>
      </w:r>
    </w:p>
  </w:footnote>
  <w:footnote w:id="5">
    <w:p w14:paraId="49ADDF87" w14:textId="3332A17A" w:rsidR="005B06D6" w:rsidRPr="009204DA" w:rsidRDefault="005B06D6">
      <w:pPr>
        <w:pStyle w:val="FootnoteText"/>
      </w:pPr>
      <w:r>
        <w:rPr>
          <w:rStyle w:val="FootnoteReference"/>
        </w:rPr>
        <w:footnoteRef/>
      </w:r>
      <w:r>
        <w:t xml:space="preserve"> </w:t>
      </w:r>
      <w:r>
        <w:tab/>
      </w:r>
      <w:r>
        <w:t>Prenosna emisijska dovoljenja lahko vključujejo državno pomoč, zlasti kadar države članice dodelijo dovoljenja in pravice pod njihovo tržno vrednostjo.</w:t>
      </w:r>
    </w:p>
  </w:footnote>
  <w:footnote w:id="6">
    <w:p w14:paraId="7AC0A709" w14:textId="328426FA" w:rsidR="007F5A4A" w:rsidRPr="00CF158B" w:rsidRDefault="007F5A4A" w:rsidP="007F5A4A">
      <w:pPr>
        <w:pStyle w:val="FootnoteText"/>
      </w:pPr>
      <w:r>
        <w:rPr>
          <w:rStyle w:val="FootnoteReference"/>
        </w:rPr>
        <w:footnoteRef/>
      </w:r>
      <w:r>
        <w:t xml:space="preserve"> </w:t>
      </w:r>
      <w:r>
        <w:tab/>
      </w:r>
      <w:r>
        <w:t>Upoštevajte, da točki 38 in 52 ter opombi 39 in 45 Smernic vsebujejo dodatna navodila glede tega, kako bi bilo treba razviti verjetni hipotetični scenarij.</w:t>
      </w:r>
    </w:p>
  </w:footnote>
  <w:footnote w:id="7">
    <w:p w14:paraId="40AD96A8" w14:textId="77777777" w:rsidR="00BF736D" w:rsidRPr="00114695" w:rsidRDefault="00BF736D" w:rsidP="00BF736D">
      <w:pPr>
        <w:pStyle w:val="FootnoteText"/>
      </w:pPr>
      <w:r>
        <w:rPr>
          <w:rStyle w:val="FootnoteReference"/>
        </w:rPr>
        <w:footnoteRef/>
      </w:r>
      <w:r>
        <w:t xml:space="preserve"> </w:t>
      </w:r>
      <w:r>
        <w:tab/>
      </w:r>
      <w:r>
        <w:t>„Referenčni projekt“ je opredeljen v točki 19(63) Smernic.</w:t>
      </w:r>
    </w:p>
  </w:footnote>
  <w:footnote w:id="8">
    <w:p w14:paraId="0035BA03" w14:textId="77777777" w:rsidR="006B45D5" w:rsidRDefault="006B45D5" w:rsidP="006B45D5">
      <w:pPr>
        <w:pStyle w:val="FootnoteText"/>
      </w:pPr>
      <w:r>
        <w:rPr>
          <w:rStyle w:val="FootnoteReference"/>
        </w:rPr>
        <w:footnoteRef/>
      </w:r>
      <w:r>
        <w:tab/>
      </w:r>
      <w:r>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282DC24F" w14:textId="77777777" w:rsidR="006B45D5" w:rsidRDefault="006B45D5" w:rsidP="00B82F95">
      <w:pPr>
        <w:pStyle w:val="FootnoteText"/>
        <w:numPr>
          <w:ilvl w:val="0"/>
          <w:numId w:val="31"/>
        </w:numPr>
      </w:pPr>
      <w:r>
        <w:t>Ali so bili pogoji (npr. pogodbeni pogoji in trajanje, naložbeni roki, ali so bila plačila podpore indeksirana z inflacijo ali ne) podobni pogojem, ki se predlagajo v priglašenem ukrepu?</w:t>
      </w:r>
    </w:p>
    <w:p w14:paraId="7E841389" w14:textId="77777777" w:rsidR="006B45D5" w:rsidRDefault="006B45D5" w:rsidP="00B82F95">
      <w:pPr>
        <w:pStyle w:val="FootnoteText"/>
        <w:numPr>
          <w:ilvl w:val="0"/>
          <w:numId w:val="31"/>
        </w:numPr>
      </w:pPr>
      <w:r>
        <w:t>Ali se je konkurenčni postopek izvajal v podobnem makroekonomskem okolju?</w:t>
      </w:r>
    </w:p>
    <w:p w14:paraId="2BEE57E5" w14:textId="77777777" w:rsidR="006B45D5" w:rsidRDefault="006B45D5" w:rsidP="00B82F95">
      <w:pPr>
        <w:pStyle w:val="FootnoteText"/>
        <w:numPr>
          <w:ilvl w:val="0"/>
          <w:numId w:val="31"/>
        </w:numPr>
      </w:pPr>
      <w:r>
        <w:t>Ali so bile tehnologije / vrste projektov podobne?</w:t>
      </w:r>
    </w:p>
  </w:footnote>
  <w:footnote w:id="9">
    <w:p w14:paraId="590F3FC7" w14:textId="30CB4935" w:rsidR="005B06D6" w:rsidRDefault="005B06D6" w:rsidP="00821F07">
      <w:pPr>
        <w:pStyle w:val="FootnoteText"/>
      </w:pPr>
      <w:r>
        <w:rPr>
          <w:rStyle w:val="FootnoteReference"/>
        </w:rPr>
        <w:footnoteRef/>
      </w:r>
      <w:r>
        <w:t xml:space="preserve"> </w:t>
      </w:r>
      <w:r>
        <w:tab/>
      </w:r>
      <w:r>
        <w:t>V skladu s točko 19(89) Smernic „standard Unije“ pomeni:</w:t>
      </w:r>
    </w:p>
    <w:p w14:paraId="340A0B20" w14:textId="77777777" w:rsidR="005B06D6" w:rsidRPr="004B74BC" w:rsidRDefault="005B06D6" w:rsidP="00B82F95">
      <w:pPr>
        <w:pStyle w:val="FootnoteText"/>
        <w:numPr>
          <w:ilvl w:val="0"/>
          <w:numId w:val="27"/>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02AC4E0B" w14:textId="266BC460" w:rsidR="005B06D6" w:rsidRDefault="005B06D6" w:rsidP="00B82F95">
      <w:pPr>
        <w:pStyle w:val="FootnoteText"/>
        <w:numPr>
          <w:ilvl w:val="0"/>
          <w:numId w:val="27"/>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za katero se prvič doseže najboljša razpoložljiva tehnologija za zadevno podjetje.</w:t>
      </w:r>
    </w:p>
  </w:footnote>
  <w:footnote w:id="10">
    <w:p w14:paraId="411ACB68" w14:textId="497824F8" w:rsidR="005B06D6" w:rsidRPr="003379AF" w:rsidRDefault="005B06D6">
      <w:pPr>
        <w:pStyle w:val="FootnoteText"/>
      </w:pPr>
      <w:r>
        <w:rPr>
          <w:rStyle w:val="FootnoteReference"/>
        </w:rPr>
        <w:footnoteRef/>
      </w:r>
      <w:r>
        <w:t xml:space="preserve"> </w:t>
      </w:r>
      <w:r>
        <w:tab/>
      </w:r>
      <w:r>
        <w:t>Analiza se lahko opravi na podlagi ocen cenovne elastičnosti izdelkov zadevnega sektorja, poleg drugih dejavnikov, ter ocen izgube prodaje in njenega vpliva na dobičkonosnost upravičenca.</w:t>
      </w:r>
    </w:p>
  </w:footnote>
  <w:footnote w:id="11">
    <w:p w14:paraId="1464609F" w14:textId="77777777" w:rsidR="00611EA4" w:rsidRPr="0012122C" w:rsidRDefault="00611EA4" w:rsidP="00611EA4">
      <w:pPr>
        <w:pStyle w:val="FootnoteText"/>
      </w:pPr>
      <w:r>
        <w:rPr>
          <w:rStyle w:val="FootnoteReference"/>
        </w:rPr>
        <w:footnoteRef/>
      </w:r>
      <w:r>
        <w:t xml:space="preserve"> </w:t>
      </w:r>
      <w:r>
        <w:tab/>
      </w:r>
      <w:r>
        <w:t>Novost se lahko dokaže na primer na podlagi natančnega opisa inovacije in tržnih pogojev za njeno uvedbo ali razširjanje ter s primerjavo z najsodobnejšimi postopki ali organizacijskimi tehnikami, ki jih navadno uporabljajo druga podjetja v istem sektorju.</w:t>
      </w:r>
    </w:p>
  </w:footnote>
  <w:footnote w:id="12">
    <w:p w14:paraId="69DB6703" w14:textId="77777777" w:rsidR="00611EA4" w:rsidRPr="003E2299" w:rsidRDefault="00611EA4" w:rsidP="00611EA4">
      <w:pPr>
        <w:pStyle w:val="FootnoteText"/>
      </w:pPr>
      <w:r>
        <w:rPr>
          <w:rStyle w:val="FootnoteReference"/>
        </w:rPr>
        <w:footnoteRef/>
      </w:r>
      <w:r>
        <w:t xml:space="preserve"> </w:t>
      </w:r>
      <w:r>
        <w:tab/>
      </w:r>
      <w:r>
        <w:t xml:space="preserve">Če je mogoče uporabljati kvantitativne parametre za primerjavo </w:t>
      </w:r>
      <w:proofErr w:type="spellStart"/>
      <w:r>
        <w:t>ekoinovativnih</w:t>
      </w:r>
      <w:proofErr w:type="spellEnd"/>
      <w:r>
        <w:t xml:space="preserve"> dejavnosti z običajnimi, </w:t>
      </w:r>
      <w:proofErr w:type="spellStart"/>
      <w:r>
        <w:t>neinovativnimi</w:t>
      </w:r>
      <w:proofErr w:type="spellEnd"/>
      <w:r>
        <w:t xml:space="preserve"> dejavnostmi, „bistveno večja“ pomeni, da bi moralo biti majhno izboljšanje, ki se pričakuje od </w:t>
      </w:r>
      <w:proofErr w:type="spellStart"/>
      <w:r>
        <w:t>ekoinovativnih</w:t>
      </w:r>
      <w:proofErr w:type="spellEnd"/>
      <w:r>
        <w:t xml:space="preserve"> dejavnosti v smislu manjšega </w:t>
      </w:r>
      <w:proofErr w:type="spellStart"/>
      <w:r>
        <w:t>okoljskega</w:t>
      </w:r>
      <w:proofErr w:type="spellEnd"/>
      <w:r>
        <w:t xml:space="preserve"> tveganja ali onesnaževanja ali izboljšane energijske učinkovitosti ali učinkovitosti rabe virov, vsaj dvakrat večje od majhnega izboljšanja, ki se pričakuje od splošnega razvoja primerljivih </w:t>
      </w:r>
      <w:proofErr w:type="spellStart"/>
      <w:r>
        <w:t>neinovativnih</w:t>
      </w:r>
      <w:proofErr w:type="spellEnd"/>
      <w:r>
        <w:t xml:space="preserve"> dejavnosti. Če predlagani pristop ni ustrezen za zadevni primer ali če ni možna kvantitativna primerjava, bi morala vloga za državno pomoč vsebovati podroben opis metode, ki je bila uporabljena za oceno tega merila in ki zagotavlja standard, primerljiv s standardom predlagane metode.</w:t>
      </w:r>
    </w:p>
  </w:footnote>
  <w:footnote w:id="13">
    <w:p w14:paraId="210BC139" w14:textId="77777777" w:rsidR="00611EA4" w:rsidRPr="003E2299" w:rsidRDefault="00611EA4" w:rsidP="00611EA4">
      <w:pPr>
        <w:pStyle w:val="FootnoteText"/>
      </w:pPr>
      <w:r>
        <w:rPr>
          <w:rStyle w:val="FootnoteReference"/>
        </w:rPr>
        <w:footnoteRef/>
      </w:r>
      <w:r>
        <w:t xml:space="preserve"> </w:t>
      </w:r>
      <w:r>
        <w:tab/>
      </w:r>
      <w:r>
        <w:t xml:space="preserve">To tveganje lahko države članice prikažejo na primer v obliki: stroškov v zvezi s prometom družbe, časa, potrebnega za razvoj, pričakovanih koristi od </w:t>
      </w:r>
      <w:proofErr w:type="spellStart"/>
      <w:r>
        <w:t>ekoinovativne</w:t>
      </w:r>
      <w:proofErr w:type="spellEnd"/>
      <w:r>
        <w:t xml:space="preserve"> dejavnosti v primerjavi s stroški in verjetnosti neuspeha.</w:t>
      </w:r>
    </w:p>
  </w:footnote>
  <w:footnote w:id="14">
    <w:p w14:paraId="5747D8E4" w14:textId="650D733F" w:rsidR="00E766C0" w:rsidRPr="0095488F" w:rsidRDefault="00E766C0" w:rsidP="00E766C0">
      <w:pPr>
        <w:pStyle w:val="FootnoteText"/>
      </w:pPr>
      <w:r>
        <w:rPr>
          <w:rStyle w:val="FootnoteReference"/>
        </w:rPr>
        <w:footnoteRef/>
      </w:r>
      <w:r>
        <w:t xml:space="preserve"> </w:t>
      </w:r>
      <w:r>
        <w:tab/>
      </w:r>
      <w:r>
        <w:t>Glej tudi dodatne informacije v točkah 51–53 ter opombah 45 in 46 Smernic.</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r>
      <w:r>
        <w:t>Opomba 44 Smernic določa:</w:t>
      </w:r>
    </w:p>
    <w:p w14:paraId="193F0D8D" w14:textId="77777777" w:rsidR="005B06D6" w:rsidRDefault="005B06D6" w:rsidP="00E50157">
      <w:pPr>
        <w:pStyle w:val="FootnoteText"/>
      </w:pPr>
      <w:r>
        <w:tab/>
      </w:r>
      <w:r>
        <w:rPr>
          <w:i/>
        </w:rPr>
        <w:t>„</w:t>
      </w:r>
      <w:r>
        <w:rPr>
          <w:i/>
          <w:color w:val="000000"/>
          <w:sz w:val="19"/>
          <w:shd w:val="clear" w:color="auto" w:fill="FFFFFF"/>
        </w:rPr>
        <w:t xml:space="preserve">Pri ocenjevanju enot varstva okolja lahko države članice na primer razvijejo metodologijo, ki upošteva emisije ali drugo onesnaževanje na različnih stopnjah podprte gospodarske dejavnosti, čas izvedbe projekta ali stroške povezovanja sistemov. Pri zagotavljanju prispevka h glavnim ciljem v zvezi z zahtevanim zneskom pomoči lahko države članice na primer pretehtajo različna objektivna merila in izbirajo na podlagi zneska pomoči na enoto tehtanega povprečja objektivnih meril ali pa med omejenim obsegom ponudb z najnižjim zneskom pomoči na enoto objektivnih meril izberejo tiste z najvišjimi ocenami objektivnih meril. Parametri katerega koli od teh pristopov morajo biti umerjeni, da se zagotovi </w:t>
      </w:r>
      <w:proofErr w:type="spellStart"/>
      <w:r>
        <w:rPr>
          <w:i/>
          <w:color w:val="000000"/>
          <w:sz w:val="19"/>
          <w:shd w:val="clear" w:color="auto" w:fill="FFFFFF"/>
        </w:rPr>
        <w:t>nediskriminatornost</w:t>
      </w:r>
      <w:proofErr w:type="spellEnd"/>
      <w:r>
        <w:rPr>
          <w:i/>
          <w:color w:val="000000"/>
          <w:sz w:val="19"/>
          <w:shd w:val="clear" w:color="auto" w:fill="FFFFFF"/>
        </w:rPr>
        <w:t>, učinkovita konkurenčnost in odražanje gospodarskega pomena postopka zbiranja ponudb.“</w:t>
      </w:r>
    </w:p>
  </w:footnote>
  <w:footnote w:id="17">
    <w:p w14:paraId="086AD512" w14:textId="70BC3A35" w:rsidR="005B06D6" w:rsidRDefault="005B06D6">
      <w:pPr>
        <w:pStyle w:val="FootnoteText"/>
      </w:pPr>
      <w:r>
        <w:rPr>
          <w:rStyle w:val="FootnoteReference"/>
        </w:rPr>
        <w:footnoteRef/>
      </w:r>
      <w:r>
        <w:t xml:space="preserve"> </w:t>
      </w:r>
      <w:r>
        <w:tab/>
      </w:r>
      <w:r>
        <w:t>Centralno upravljana sredstva Unije so sredstva Unije, ki jih centralno upravljajo institucije, agencije, skupna podjetja ali drugi organi Evropske unije, ki niso pod neposrednim ali posrednim nadzorom držav članic.</w:t>
      </w:r>
    </w:p>
  </w:footnote>
  <w:footnote w:id="18">
    <w:p w14:paraId="02AA3570" w14:textId="77777777" w:rsidR="005B06D6" w:rsidRPr="008772CC" w:rsidRDefault="005B06D6" w:rsidP="004B2EF3">
      <w:pPr>
        <w:pStyle w:val="FootnoteText"/>
      </w:pPr>
      <w:r>
        <w:rPr>
          <w:rStyle w:val="FootnoteReference"/>
        </w:rPr>
        <w:footnoteRef/>
      </w:r>
      <w:r>
        <w:t xml:space="preserve"> </w:t>
      </w:r>
      <w:r>
        <w:tab/>
      </w:r>
      <w:r>
        <w:t>Uredba (EU) 2020/852 Evropskega parlamenta in Sveta z dne 18. junija 2020 o vzpostavitvi okvira za spodbujanje trajnostnih naložb ter spremembi Uredbe (EU) 2019/2088 (UL L 198, 22.6.2020, str. 13).</w:t>
      </w:r>
    </w:p>
  </w:footnote>
  <w:footnote w:id="19">
    <w:p w14:paraId="05B1881A" w14:textId="77777777" w:rsidR="008472A5" w:rsidRDefault="008472A5" w:rsidP="008472A5">
      <w:pPr>
        <w:pStyle w:val="FootnoteText"/>
      </w:pPr>
      <w:r>
        <w:rPr>
          <w:rStyle w:val="FootnoteReference"/>
        </w:rPr>
        <w:footnoteRef/>
      </w:r>
      <w:r>
        <w:t xml:space="preserve"> </w:t>
      </w:r>
      <w:r>
        <w:tab/>
      </w:r>
      <w:r>
        <w:t xml:space="preserve">Predloga obrazca za dodatne informacije za priglasitev načrta ocenjevanja (del III.8) je na voljo tukaj: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685613F6"/>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6EB23B78"/>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9A02AD70"/>
    <w:lvl w:ilvl="0" w:tplc="4404A89A">
      <w:start w:val="1"/>
      <w:numFmt w:val="lowerRoman"/>
      <w:lvlText w:val="(%1.)"/>
      <w:lvlJc w:val="righ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7E3E7102"/>
    <w:lvl w:ilvl="0" w:tplc="4404A89A">
      <w:start w:val="1"/>
      <w:numFmt w:val="lowerRoman"/>
      <w:lvlText w:val="(%1.)"/>
      <w:lvlJc w:val="righ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2C6ED1D4"/>
    <w:lvl w:ilvl="0" w:tplc="0EEE22A0">
      <w:start w:val="1"/>
      <w:numFmt w:val="lowerRoman"/>
      <w:lvlText w:val="%1."/>
      <w:lvlJc w:val="left"/>
      <w:pPr>
        <w:ind w:left="1287" w:hanging="360"/>
      </w:pPr>
      <w:rPr>
        <w:rFonts w:ascii="Times New Roman" w:hAnsi="Times New Roman" w:hint="default"/>
        <w:b w:val="0"/>
        <w:i w:val="0"/>
        <w:sz w:val="24"/>
      </w:rPr>
    </w:lvl>
    <w:lvl w:ilvl="1" w:tplc="43F20880">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0846E5D2"/>
    <w:lvl w:ilvl="0" w:tplc="C99CEE36">
      <w:start w:val="1"/>
      <w:numFmt w:val="lowerRoman"/>
      <w:lvlText w:val="%1."/>
      <w:lvlJc w:val="left"/>
      <w:pPr>
        <w:ind w:left="1080" w:hanging="360"/>
      </w:pPr>
      <w:rPr>
        <w:rFonts w:ascii="Times New Roman" w:hAnsi="Times New Roman" w:hint="default"/>
        <w:b w:val="0"/>
        <w:i w:val="0"/>
        <w:sz w:val="24"/>
      </w:rPr>
    </w:lvl>
    <w:lvl w:ilvl="1" w:tplc="43F20880">
      <w:start w:val="1"/>
      <w:numFmt w:val="lowerLetter"/>
      <w:lvlText w:val="(%2)"/>
      <w:lvlJc w:val="left"/>
      <w:pPr>
        <w:ind w:left="1440"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0F9AC740"/>
    <w:lvl w:ilvl="0" w:tplc="FFFFFFFF">
      <w:start w:val="1"/>
      <w:numFmt w:val="decimal"/>
      <w:lvlText w:val="%1."/>
      <w:lvlJc w:val="left"/>
      <w:pPr>
        <w:ind w:left="1287" w:hanging="360"/>
      </w:pPr>
      <w:rPr>
        <w:rFonts w:hint="default"/>
        <w:b/>
        <w:i w:val="0"/>
      </w:rPr>
    </w:lvl>
    <w:lvl w:ilvl="1" w:tplc="43F20880">
      <w:start w:val="1"/>
      <w:numFmt w:val="lowerLetter"/>
      <w:lvlText w:val="(%2)"/>
      <w:lvlJc w:val="left"/>
      <w:pPr>
        <w:ind w:left="2007" w:hanging="360"/>
      </w:pPr>
      <w:rPr>
        <w:rFonts w:hint="default"/>
      </w:r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FD1A944A"/>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9216E1B4"/>
    <w:lvl w:ilvl="0" w:tplc="4404A89A">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D7B4CB12"/>
    <w:lvl w:ilvl="0" w:tplc="9B4884B4">
      <w:start w:val="43"/>
      <w:numFmt w:val="decimal"/>
      <w:lvlText w:val="%1."/>
      <w:lvlJc w:val="left"/>
      <w:pPr>
        <w:ind w:left="501" w:hanging="360"/>
      </w:pPr>
      <w:rPr>
        <w:rFonts w:hint="default"/>
        <w:b/>
        <w:i w:val="0"/>
      </w:rPr>
    </w:lvl>
    <w:lvl w:ilvl="1" w:tplc="4404A89A">
      <w:start w:val="1"/>
      <w:numFmt w:val="lowerRoman"/>
      <w:lvlText w:val="(%2.)"/>
      <w:lvlJc w:val="right"/>
      <w:pPr>
        <w:ind w:left="1080" w:hanging="360"/>
      </w:pPr>
      <w:rPr>
        <w:rFonts w:ascii="Times New Roman" w:hAnsi="Times New Roman" w:hint="default"/>
        <w:b w:val="0"/>
        <w:i w:val="0"/>
        <w:sz w:val="24"/>
        <w:szCs w:val="18"/>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0B9A6E68"/>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6790882E"/>
    <w:lvl w:ilvl="0" w:tplc="4404A89A">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E83AB4A8"/>
    <w:lvl w:ilvl="0" w:tplc="4404A89A">
      <w:start w:val="1"/>
      <w:numFmt w:val="lowerRoman"/>
      <w:lvlText w:val="(%1.)"/>
      <w:lvlJc w:val="right"/>
      <w:pPr>
        <w:ind w:left="1080" w:hanging="360"/>
      </w:pPr>
      <w:rPr>
        <w:rFonts w:ascii="Times New Roman" w:hAnsi="Times New Roman" w:hint="default"/>
        <w:b w:val="0"/>
        <w:i w:val="0"/>
        <w:sz w:val="24"/>
        <w:szCs w:val="1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9A2E81F6"/>
    <w:lvl w:ilvl="0" w:tplc="4404A89A">
      <w:start w:val="1"/>
      <w:numFmt w:val="lowerRoman"/>
      <w:lvlText w:val="(%1.)"/>
      <w:lvlJc w:val="righ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89D412E4"/>
    <w:lvl w:ilvl="0" w:tplc="4404A89A">
      <w:start w:val="1"/>
      <w:numFmt w:val="lowerRoman"/>
      <w:lvlText w:val="(%1.)"/>
      <w:lvlJc w:val="righ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70A88046"/>
    <w:lvl w:ilvl="0" w:tplc="4404A89A">
      <w:start w:val="1"/>
      <w:numFmt w:val="lowerRoman"/>
      <w:lvlText w:val="(%1.)"/>
      <w:lvlJc w:val="right"/>
      <w:pPr>
        <w:ind w:left="1080" w:hanging="360"/>
      </w:pPr>
      <w:rPr>
        <w:rFonts w:ascii="Times New Roman" w:hAnsi="Times New Roman" w:hint="default"/>
        <w:b w:val="0"/>
        <w:i w:val="0"/>
        <w:sz w:val="24"/>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79983340"/>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C7AA52EA"/>
    <w:lvl w:ilvl="0" w:tplc="43F20880">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1E7E2C34"/>
    <w:lvl w:ilvl="0" w:tplc="CEF0777A">
      <w:start w:val="1"/>
      <w:numFmt w:val="lowerRoman"/>
      <w:lvlText w:val="(%1.)"/>
      <w:lvlJc w:val="right"/>
      <w:pPr>
        <w:ind w:left="1440" w:hanging="360"/>
      </w:pPr>
      <w:rPr>
        <w:rFonts w:ascii="Times New Roman" w:hAnsi="Times New Roman" w:hint="default"/>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69C655B0"/>
    <w:lvl w:ilvl="0" w:tplc="82A46EEA">
      <w:start w:val="1"/>
      <w:numFmt w:val="decimal"/>
      <w:lvlText w:val="%1."/>
      <w:lvlJc w:val="left"/>
      <w:pPr>
        <w:ind w:left="5256" w:hanging="360"/>
      </w:pPr>
      <w:rPr>
        <w:rFonts w:hint="default"/>
        <w:b/>
        <w:i w:val="0"/>
      </w:rPr>
    </w:lvl>
    <w:lvl w:ilvl="1" w:tplc="4404A89A">
      <w:start w:val="1"/>
      <w:numFmt w:val="lowerRoman"/>
      <w:lvlText w:val="(%2.)"/>
      <w:lvlJc w:val="righ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CF92C8CC"/>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D12655A0"/>
    <w:lvl w:ilvl="0" w:tplc="E424D0A2">
      <w:start w:val="1"/>
      <w:numFmt w:val="lowerRoman"/>
      <w:lvlText w:val="%1."/>
      <w:lvlJc w:val="left"/>
      <w:pPr>
        <w:ind w:left="1080" w:hanging="720"/>
      </w:pPr>
      <w:rPr>
        <w:rFonts w:hint="default"/>
      </w:rPr>
    </w:lvl>
    <w:lvl w:ilvl="1" w:tplc="43F20880">
      <w:start w:val="1"/>
      <w:numFmt w:val="lowerLetter"/>
      <w:lvlText w:val="(%2)"/>
      <w:lvlJc w:val="left"/>
      <w:pPr>
        <w:ind w:left="2007"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1D8A"/>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4864</Words>
  <Characters>28844</Characters>
  <DocSecurity>0</DocSecurity>
  <Lines>640</Lines>
  <Paragraphs>235</Paragraphs>
  <ScaleCrop>false</ScaleCrop>
  <LinksUpToDate>false</LinksUpToDate>
  <CharactersWithSpaces>33473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