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Osa III.6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Päivitetty* </w:t>
            </w:r>
            <w:r>
              <w:rPr>
                <w:sz w:val="32"/>
              </w:rPr>
              <w:t>Lisätietolomake – Ilmastotoimiin, ympäristönsuojeluun ja energia-alalle myönnettävää valtiontukea koskevien vuoden 2022 suuntaviivojen</w:t>
            </w:r>
            <w:r>
              <w:rPr>
                <w:sz w:val="32"/>
                <w:szCs w:val="32"/>
                <w:vertAlign w:val="superscript"/>
              </w:rPr>
              <w:footnoteReference w:id="2"/>
            </w:r>
            <w:r>
              <w:rPr>
                <w:sz w:val="32"/>
              </w:rPr>
              <w:t xml:space="preserve"> mukaisesti myönnetty valtiontuki </w:t>
            </w:r>
            <w:bookmarkEnd w:id="0"/>
            <w:bookmarkEnd w:id="1"/>
          </w:p>
          <w:p w14:paraId="467EC4F2" w14:textId="77777777" w:rsidR="002B52B3" w:rsidRDefault="002B52B3" w:rsidP="008D75A6">
            <w:pPr>
              <w:jc w:val="center"/>
              <w:rPr>
                <w:sz w:val="32"/>
                <w:szCs w:val="32"/>
              </w:rPr>
            </w:pPr>
            <w:r>
              <w:rPr>
                <w:sz w:val="32"/>
              </w:rPr>
              <w:t xml:space="preserve">4.5 luku – Tuki muiden kuin kasvihuonekaasujen aiheuttaman pilaantumisen ehkäisemiseen tai vähentämiseen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Ei vielä virallisesti hyväksytty.</w:t>
            </w:r>
          </w:p>
        </w:tc>
      </w:tr>
    </w:tbl>
    <w:p w14:paraId="5F26D476" w14:textId="4F5B65DA" w:rsidR="000442F5" w:rsidRPr="00711243" w:rsidRDefault="000442F5" w:rsidP="000442F5">
      <w:pPr>
        <w:spacing w:before="120" w:after="120"/>
        <w:ind w:right="-142"/>
        <w:jc w:val="both"/>
        <w:rPr>
          <w:i/>
          <w:iCs/>
        </w:rPr>
      </w:pPr>
      <w:r>
        <w:rPr>
          <w:i/>
        </w:rPr>
        <w:t>Tätä lisätietolomaketta on käytettävä ilmoitettaessa tuesta, joka kuuluu ilmastotoimiin, ympäristönsuojeluun ja energia-alalle myönnettävää valtiontukea koskevien vuoden 2022 suuntaviivojen, jäljempänä ’suuntaviivat’, soveltamisalaan.</w:t>
      </w:r>
    </w:p>
    <w:p w14:paraId="1B60656B" w14:textId="37F96FA1" w:rsidR="009E2EA1" w:rsidRPr="00711243" w:rsidRDefault="0072538B" w:rsidP="009E2EA1">
      <w:pPr>
        <w:spacing w:before="120" w:after="120"/>
        <w:ind w:right="-142"/>
        <w:jc w:val="both"/>
        <w:rPr>
          <w:i/>
          <w:iCs/>
        </w:rPr>
      </w:pPr>
      <w:r>
        <w:rPr>
          <w:i/>
        </w:rPr>
        <w:t xml:space="preserve">Tämä lisätietolomake koskee suuntaviivojen 4.5 luvun piiriin kuuluvia toimenpiteitä. Jos ilmoitus koskee toimenpiteitä, jotka kuuluvat useamman kuin yhden suuntaviivojen luvun piiriin, täyttäkää kaikkia kyseeseen tulevia lukuja koskevat lisätietolomakkeet, kun ne tulevat saataville. </w:t>
      </w:r>
    </w:p>
    <w:p w14:paraId="05E36007" w14:textId="5E24D00F" w:rsidR="009E2EA1" w:rsidRPr="00711243" w:rsidRDefault="009E2EA1" w:rsidP="009E2EA1">
      <w:pPr>
        <w:spacing w:before="120" w:after="120"/>
        <w:ind w:right="-142"/>
        <w:jc w:val="both"/>
        <w:rPr>
          <w:i/>
          <w:iCs/>
        </w:rPr>
      </w:pPr>
      <w:r>
        <w:rPr>
          <w:i/>
        </w:rPr>
        <w:t>Kaikki asiakirjat, jotka jäsenvaltiot esittävät tämän lisätietolomakkeen liitteinä, on numeroitava, ja asiakirjojen numerot on mainittava tämän lisätietolomakkeen asianomaisissa jaksoissa.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Jakso A: Yhteenveto ilmoitetun toimenpiteen tärkeimmistä ominaispiirteistä</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Ilmoitetun toimenpiteen tausta ja tavoitteet</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Ilmoittakaa tausta ja päätavoite, mukaan lukien mahdolliset ympäristöä koskevat unionin tavoitteet, joita toimenpiteellä on tarkoitus tukea, jos tätä ei ole jo käsitelty yleistietolomakkeen (osa I) kohdassa 5.2.</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Ilmoittakaa toimenpiteen mahdolliset muut tavoitteet. Jos tavoitteet eivät liity ainoastaan ympäristöön, selittäkää, voivatko ne johtaa kilpailun vääristymiseen sisämarkkinoilla.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Voimaantulo ja kesto</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Ilmoittakaa päivämäärä, josta alkaen tukiohjelman on tarkoitus tulla voimaan, jos sitä ei ole jo ilmoitettu yleistietolomakkeen (osa I) kohdassa 5.5.</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Ilmoittakaa ohjelman kesto.</w:t>
      </w:r>
      <w:r>
        <w:rPr>
          <w:rStyle w:val="FootnoteReference"/>
          <w:rFonts w:cs="Arial Unicode MS"/>
          <w:bCs/>
          <w:lang w:bidi="si-LK"/>
        </w:rPr>
        <w:footnoteReference w:id="3"/>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Tuensaaja(t)</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Kuvailkaa toimenpiteen (mahdolliset) tuensaajat, ellei niitä ole jo ilmoitettu yleistietolomakkeen (osa I) kohdassa 3.</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Ilmoittakaa tuensaajien sijainti (ts. voivatko toimenpiteeseen osallistua ainoastaan asianomaisessa jäsenvaltiossa vai myös muissa jäsenvaltioissa sijaitsevat taloudelliset yksiköt).</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Jos kyllä, antakaa tiedot vielä perimättä olevan tuen määrästä, jotta komissio voi ottaa sen huomioon arvioidessaan tukitoimenpidettä. </w:t>
      </w:r>
    </w:p>
    <w:p w14:paraId="5BE9C845" w14:textId="77777777" w:rsidR="003C33B1" w:rsidRDefault="003C33B1" w:rsidP="003C33B1">
      <w:pPr>
        <w:tabs>
          <w:tab w:val="left" w:leader="dot" w:pos="9072"/>
        </w:tabs>
        <w:spacing w:before="120" w:after="120"/>
        <w:ind w:left="567"/>
        <w:jc w:val="both"/>
      </w:pPr>
      <w:r>
        <w:lastRenderedPageBreak/>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Vahvistakaa, että toimenpiteeseen ei sisälly tukea toimintoihin, jotka eivät kuulu suuntaviivojen soveltamisalaan (ks. suuntaviivojen 13 kappale). Muussa tapauksessa antakaa lisätietoa.</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Toimenpiteen budjetti ja rahoitus</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Jos toimenpiteen rahoittamiseksi peritään maksuja, täsmentäkää,</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säädetäänkö maksusta laissa tai muussa säädöksessä; jos kyllä, ilmoittakaa säädöksen nimi, numero, antamis- ja voimaantulopäivä sekä linkki säädökseen;</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kohdistuuko maksu yhtäläisesti kotimaisiin tuotteisiin ja tuontituotteisiin;</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hyödyttääkö ilmoitettu toimenpide yhtä lailla kotimaisia tuottajia ja tuontituotteiden tuottajia;</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rahoitetaanko toimenpide maksuilla kokonaan vai vain osittain. Jos toimenpide rahoitetaan maksuilla vain osittain, ilmoittakaa toimenpiteen muut rahoituslähteet ja niiden osuudet;</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rahoitetaanko ilmoitetun toimenpiteen rahoittamiseksi perittävillä maksuilla myös muita tukitoimenpiteitä. Jos kyllä, luetelkaa tässä muut kyseisillä maksuilla rahoitettavat tukitoimenpiteet.</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Jakso B: Tuen sisämarkkinoille soveltuvuuden arviointi</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Positiivinen edellytys: tuen on edistettävä tietyn taloudellisen toiminnan kehitystä</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Tietyn taloudellisen toiminnan kehityksen edistäminen</w:t>
            </w:r>
          </w:p>
        </w:tc>
      </w:tr>
    </w:tbl>
    <w:p w14:paraId="1E2599D2" w14:textId="2E38BD96" w:rsidR="000442F5" w:rsidRPr="00DB40A5" w:rsidRDefault="000442F5" w:rsidP="000442F5">
      <w:pPr>
        <w:spacing w:before="360" w:after="120"/>
        <w:jc w:val="both"/>
        <w:rPr>
          <w:i/>
        </w:rPr>
      </w:pPr>
      <w:r>
        <w:rPr>
          <w:i/>
        </w:rPr>
        <w:t xml:space="preserve">Tämän jakson tietoja varten ks. suuntaviivojen 3.1.1 kohta (23–25 kappale), 4.5.1 kohta (253–254 kappale) ja 4.5.2 kohta (255–259 kappale).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Euroopan unionin toiminnasta tehdyn sopimuksen (SEUT) 107 artiklan 3 kohdan c alakohdan mukaan komissio voi pitää sisämarkkinoille soveltuvana ”</w:t>
      </w:r>
      <w:r>
        <w:rPr>
          <w:i/>
        </w:rPr>
        <w:t>tukea tietyn taloudellisen toiminnan tai talousalueen kehityksen edistämiseen, jos tuki ei muuta kaupankäynnin edellytyksiä yhteisen edun kanssa ristiriitaisella tavalla</w:t>
      </w:r>
      <w:r>
        <w:t xml:space="preserve">”. Sen vuoksi kyseisen määräyksen mukaisen tuen on edistettävä tietyn taloudellisen toiminnan kehitystä. </w:t>
      </w:r>
    </w:p>
    <w:p w14:paraId="1D59B711" w14:textId="015DAACF" w:rsidR="002A11D4" w:rsidRDefault="00E75ECB" w:rsidP="00864DCD">
      <w:pPr>
        <w:pStyle w:val="ListParagraph"/>
        <w:spacing w:before="120" w:after="120"/>
        <w:ind w:left="567"/>
        <w:contextualSpacing w:val="0"/>
        <w:jc w:val="both"/>
      </w:pPr>
      <w:r>
        <w:t xml:space="preserve">Yksilöikää suuntaviivojen 23 kappaleen noudattamisen arvioimiseksi taloudellinen toiminta, jota tuella edistetään, ja se, miten kyseistä toimintaa tuetaan.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Kuvatkaa suuntaviivojen 25 kappaleen noudattamisen arvioimiseksi ”</w:t>
      </w:r>
      <w:r>
        <w:rPr>
          <w:i/>
        </w:rPr>
        <w:t>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Lisäksi täsmentäkää, missä määrin tuki liittyy suuntaviivojen 253–254 kappaleessa kuvattuihin toimintapolitiikkoihin.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Kuvailkaa tuensaajiin sovellettavat tukikelpoisuusvaatimukset ilmoittaen muun muassa kaikki tekniset, ympäristöön liittyvät (eli ympäristöluvat), rahoitukseen liittyvät (eli vakuudet) tai muut vaatimukset, joita tuensaajien on noudatettava.</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Antakaa täsmälliset tiedot tukitoimenpiteen laajuudesta ja sillä tuetusta toiminnasta suuntaviivojen 4.5.2 kohdan (255–259 kappale) mukaisesti. Ilmoittakaa, mihin seuraavista investointiluokista voidaan myöntää tukitoimenpiteen mukaista tukea:</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Investoinnit, joiden avulla yritykset voivat ehkäistä tai vähentää muiden kuin kasvihuonekaasujen aiheuttamaa pilaantumista enemmän kuin mikä on tarpeen unionin ympäristönsuojelunormien nojalla. </w:t>
      </w:r>
    </w:p>
    <w:p w14:paraId="291F9177" w14:textId="07226D94" w:rsidR="0073048C" w:rsidRDefault="00021C73" w:rsidP="00451471">
      <w:pPr>
        <w:pStyle w:val="ListParagraph"/>
        <w:numPr>
          <w:ilvl w:val="1"/>
          <w:numId w:val="4"/>
        </w:numPr>
        <w:spacing w:before="120" w:after="120"/>
        <w:ind w:left="1276" w:hanging="567"/>
        <w:contextualSpacing w:val="0"/>
        <w:jc w:val="both"/>
      </w:pPr>
      <w:r>
        <w:t>Investoinnit, joiden avulla yritykset voivat ehkäistä tai vähentää muiden kuin kasvihuonekaasujen aiheuttamaa pilaantumista unionin normien puuttuessa.</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Investoinnit, joiden avulla yritykset voivat noudattaa unionin normeja, jotka on hyväksytty mutta eivät vielä voimassa. </w:t>
      </w:r>
    </w:p>
    <w:p w14:paraId="12AEF70E" w14:textId="4ED26CFA" w:rsidR="000B0680" w:rsidRDefault="000B0680" w:rsidP="00C47CAC">
      <w:pPr>
        <w:tabs>
          <w:tab w:val="left" w:leader="dot" w:pos="9072"/>
        </w:tabs>
        <w:spacing w:before="120" w:after="120"/>
        <w:ind w:left="567"/>
        <w:jc w:val="both"/>
      </w:pPr>
      <w:r>
        <w:lastRenderedPageBreak/>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Jos tuki myönnetään kaupattavien lupien</w:t>
      </w:r>
      <w:r>
        <w:rPr>
          <w:rStyle w:val="FootnoteReference"/>
          <w:lang w:eastAsia="en-GB"/>
        </w:rPr>
        <w:footnoteReference w:id="5"/>
      </w:r>
      <w:r>
        <w:t xml:space="preserve"> muodossa:</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Kuvailkaa yksityiskohtaisesti kaupattavien lupien järjestelmää, mukaan lukien muun muassa tavoitteet, jakomenettely, järjestelmään osallistuvat viranomaiset/laitokset, valtion rooli, tuensaajat ja menettelyyn liittyvät seikat.</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Selittäkää, miten kaupattavien lupien järjestelmä on suunniteltu siten, että sillä voidaan ehkäistä tai vähentää pilaantumista enemmän kuin mikä on tarpeen kyseisten yritysten kannalta velvoittavien unionin normien nojalla.</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Vahvistakaa, että tuki kohdistuu tuensaajan omaan toimintaan suoraan liittyvän pilaantumisen ehkäisemiseen tai vähentämiseen.</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Kuvailkaa, miten varmistetaan, että tuella ei pelkästään siirretä pilaamista alalta toiselle tai yhdestä ympäristön kantaja-aineesta toiseen ja että tuella vähennetään pilaantumista kokonaisuudessaan.</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Esittäkää määrällinen arvio toimenpiteestä odotetuista päästö-/epäpuhtausvähennyksistä, kun on kyse yksittäisistä tuista ja tukiohjelmista, jotka hyödyttävät erityisen vähäistä määrää tuensaajia tai vakiintuneessa asemassa olevaa tuensaajaa ja joiden tavoitteena on vähentää niistä johtuvaa muiden kuin kasvihuonekaasujen aiheuttamaa pilaantumista, ja selittäkää niiden määrittämiseen käytetty menetelmä.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Ilmoittakaa, edistääkö tukitoimenpide myös kasvihuonekaasupäästöjen ehkäisemistä tai vähentämistä.</w:t>
      </w:r>
    </w:p>
    <w:p w14:paraId="14FEE27F" w14:textId="31209AEC" w:rsidR="008A47DB" w:rsidRDefault="00BE3AB2" w:rsidP="00644D98">
      <w:pPr>
        <w:pStyle w:val="ListParagraph"/>
        <w:spacing w:before="120" w:after="120"/>
        <w:ind w:left="567"/>
        <w:contextualSpacing w:val="0"/>
        <w:jc w:val="both"/>
      </w:pPr>
      <w:r>
        <w:t>Jos kyllä, esittäkää vertailu kasvihuonekaasupäästöjen ja muiden epäpuhtauspäästöjen ehkäisemiseen tai vähentämiseen liittyvistä toimenpiteen odotetuista tuloksista käyttäen perustana uskottavia ja yksityiskohtaisia määrällisiä arvioita.</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Jos tukitoimenpiteen ensisijainen tavoite on kasvihuonekaasupäästöjen ehkäiseminen tai vähentäminen, katso 4.1 kohtaa koskeva lisätietolomake, koska tällaisten toimenpiteiden soveltuvuutta sisämarkkinoille arvioidaan 4.1 kohdan perusteella. Jos toimenpiteen ensisijaisena tavoitteena on muiden kuin kasvihuonekaasujen aiheuttaman pilaantumisen ehkäiseminen tai vähentäminen, sitä arvioidaan 4.5 kohdan perusteella (suuntaviivojen 259 kappale).</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Kannustava vaikutus</w:t>
            </w:r>
          </w:p>
        </w:tc>
      </w:tr>
    </w:tbl>
    <w:p w14:paraId="20915284" w14:textId="40B64390" w:rsidR="00015E2B" w:rsidRPr="00A05235" w:rsidRDefault="00B15313" w:rsidP="00015E2B">
      <w:pPr>
        <w:spacing w:before="360" w:after="120"/>
        <w:jc w:val="both"/>
        <w:rPr>
          <w:i/>
        </w:rPr>
      </w:pPr>
      <w:r>
        <w:rPr>
          <w:i/>
        </w:rPr>
        <w:lastRenderedPageBreak/>
        <w:t xml:space="preserve">Tämän jakson tietoja varten ks. suuntaviivojen 3.1.2 kohta (26–32 kappale) ja 4.5.3 kohta (260–262 kappale).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Tuen voidaan katsoa edistävän taloudellista toimintaa vain, jos sillä on kannustava vaikutus. Selostakaa suuntaviivojen 26 kappaleen noudattamisen arvioimiseksi, miten toimenpide ”</w:t>
      </w:r>
      <w:r>
        <w:rPr>
          <w:i/>
        </w:rPr>
        <w:t>kannustaa tuensaajaa muuttamaan käyttäytymistään, harjoittamaan lisää taloudellista toimintaa tai harjoittamaan ympäristöystävällisempää taloudellista toimintaa, jota se ei harjoittaisi ilman tukea tai harjoittaisi rajallisemmin tai eri tavalla</w:t>
      </w:r>
      <w:r>
        <w:t>”.</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Suuntaviivojen 28 kappaleen mukaisesti:</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Esittäkää kattava kuvaus tosiasiallisesta skenaariosta, joka tukitoimenpiteestä odotetaan seuraavan, ja ilman tukea todennäköisesti toteutuvasta vaihtoehtoisesta skenaariosta</w:t>
      </w:r>
      <w:r>
        <w:rPr>
          <w:vertAlign w:val="superscript"/>
        </w:rPr>
        <w:footnoteReference w:id="6"/>
      </w:r>
      <w:r>
        <w:t>. Jos odotatte, että tukea voidaan myöntää eri tuensaajaryhmille, varmistakaa, että vaihtoehtoinen skenaario on uskottava kunkin ryhmän osalta.</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Huomioikaa </w:t>
      </w:r>
      <w:bookmarkStart w:id="6" w:name="_Ref116917289"/>
      <w:r>
        <w:t>suuntaviivojen 266 ja 226–230 kappaleeseen sisältyvät vaihtoehtoista skenaariota koskevat vaatimukset, erityisesti seuraavat:</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Yleensä vaihtoehtoisena skenaariona on investointi, jolla on sama kapasiteetti, elinikä ja tarvittaessa muut asiaankuuluvat tekniset ominaisuudet kuin ympäristöystävällisellä investoinnilla mutta joka kuitenkin johtaisi matalampaan ympäristönsuojelun tasoon.</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Vaihtoehtoisesti vaihtoehtoinen skenaario voi vastata yhtä seuraavista skenaarioista: </w:t>
      </w:r>
    </w:p>
    <w:p w14:paraId="74EED86D" w14:textId="522BD070" w:rsidR="00494C68" w:rsidRPr="00E374B9" w:rsidRDefault="00494C68" w:rsidP="00B82F95">
      <w:pPr>
        <w:pStyle w:val="ListParagraph"/>
        <w:numPr>
          <w:ilvl w:val="1"/>
          <w:numId w:val="39"/>
        </w:numPr>
        <w:spacing w:before="120" w:after="120"/>
        <w:contextualSpacing w:val="0"/>
        <w:jc w:val="both"/>
      </w:pPr>
      <w:r>
        <w:t>olemassa olevien laitosten tai laitteistojen pitäminen käytössä ympäristöystävällisen investoinnin eliniän ajan; tässä tapauksessa olisi otettava huomioon diskontatut huolto-, korjaus- ja uusimiskustannukset kyseisenä ajanjaksona (suuntaviivojen 227 kappale);</w:t>
      </w:r>
    </w:p>
    <w:p w14:paraId="4DB35D28" w14:textId="724607C2" w:rsidR="00494C68" w:rsidRPr="00E374B9" w:rsidRDefault="00494C68" w:rsidP="00B82F95">
      <w:pPr>
        <w:pStyle w:val="ListParagraph"/>
        <w:numPr>
          <w:ilvl w:val="1"/>
          <w:numId w:val="39"/>
        </w:numPr>
        <w:spacing w:before="120" w:after="120"/>
        <w:contextualSpacing w:val="0"/>
        <w:jc w:val="both"/>
      </w:pPr>
      <w:r>
        <w:t>laitosten tai laitteistojen myöhempi korvaaminen; tässä tapauksessa on otettava huomioon laitosten ja laitteistojen diskontattu arvo ja laitosten tai laitteistojen taloudellisen käyttöiän ero on tasattava suuntaviivojen 228 kappaleen mukaisesti;</w:t>
      </w:r>
    </w:p>
    <w:p w14:paraId="4CFA180B" w14:textId="391048A9" w:rsidR="00494C68" w:rsidRPr="00E374B9" w:rsidRDefault="00494C68" w:rsidP="00B82F95">
      <w:pPr>
        <w:pStyle w:val="ListParagraph"/>
        <w:numPr>
          <w:ilvl w:val="1"/>
          <w:numId w:val="39"/>
        </w:numPr>
        <w:spacing w:before="120" w:after="120"/>
        <w:contextualSpacing w:val="0"/>
        <w:jc w:val="both"/>
      </w:pPr>
      <w:r>
        <w:t>sellaisen vähemmän ympäristöystävällisen laitteiston vuokraus, jota käytettäisiin ilman tukea; siinä tapauksessa olisi otettava huomioon vähemmän ympäristöystävällisen laitteiston vuokrauksen diskontattu arvo suuntaviivojen 229 kappaleen mukaisesti;</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vaihtoehtoisen hankkeen puuttuminen erityisesti siinä tapauksessa, että tuettu investointi koostuu rakenteiden tai laitteiden lisäämisestä olemassa oleviin tiloihin, laitoksiin tai laitteistoihin.  </w:t>
      </w:r>
    </w:p>
    <w:bookmarkEnd w:id="6"/>
    <w:p w14:paraId="6257C278" w14:textId="77777777" w:rsidR="00CC7B7B" w:rsidRPr="00CC7B7B" w:rsidRDefault="00CC7B7B" w:rsidP="00CC7B7B">
      <w:pPr>
        <w:pStyle w:val="ListParagraph"/>
        <w:spacing w:before="120" w:after="120"/>
        <w:ind w:left="1418"/>
        <w:contextualSpacing w:val="0"/>
        <w:jc w:val="both"/>
      </w:pPr>
      <w:r>
        <w:t xml:space="preserve">Kun kuvaatte tosiasiallista skenaariota ja todennäköistä vaihtoehtoista skenaariota, ilmoittakaa investoinnin kapasiteetti, elinikä ja muut tekniset ominaisuudet sekä tosiasiallisen että vaihtoehtoisen skenaarion osalta.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lastRenderedPageBreak/>
        <w:t>Esittäkää lyhyesti perustelut todennäköisen vaihtoehtoisen skenaarion valinnalle ottaen tarvittaessa huomioon ehdotetut eri tuensaajaryhmät.</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Määrittäkää tosiasiallisten ja vaihtoehtoisten skenaarioiden kustannukset ja tulot ja perustelkaa käyttäytymisen muutos, tarvittaessa kunkin tuensaajaryhmän osalta, seuraavien perusteella:</w:t>
      </w:r>
    </w:p>
    <w:p w14:paraId="10227AFD" w14:textId="34C797B9" w:rsidR="002158CE" w:rsidRDefault="00BF736D" w:rsidP="00B82F95">
      <w:pPr>
        <w:pStyle w:val="ListParagraph"/>
        <w:numPr>
          <w:ilvl w:val="0"/>
          <w:numId w:val="23"/>
        </w:numPr>
        <w:spacing w:before="120" w:after="120"/>
        <w:ind w:left="1276" w:hanging="284"/>
        <w:contextualSpacing w:val="0"/>
        <w:jc w:val="both"/>
      </w:pPr>
      <w:r>
        <w:t>Asianomainen viitehanke</w:t>
      </w:r>
      <w:r>
        <w:rPr>
          <w:rStyle w:val="FootnoteReference"/>
        </w:rPr>
        <w:footnoteReference w:id="7"/>
      </w:r>
      <w:r>
        <w:t xml:space="preserve">, vastaavat vaihtoehtoiset skenaariot ja niihin perustuva rahoitusvaje; </w:t>
      </w:r>
    </w:p>
    <w:p w14:paraId="2B4E89F9" w14:textId="77777777" w:rsidR="002158CE" w:rsidRPr="00B70424" w:rsidRDefault="002158CE" w:rsidP="002158CE">
      <w:pPr>
        <w:pStyle w:val="ListParagraph"/>
        <w:spacing w:before="120" w:after="120"/>
        <w:ind w:left="949"/>
        <w:contextualSpacing w:val="0"/>
        <w:jc w:val="both"/>
        <w:rPr>
          <w:i/>
          <w:iCs/>
        </w:rPr>
      </w:pPr>
      <w:r>
        <w:rPr>
          <w:i/>
        </w:rPr>
        <w:t>TAI</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Asiaa koskeva määrällinen näyttö, joka perustuu markkinaselvityksiin, sijoittajasuunnitelmiin, tilinpäätöksiin tai muuhun määrälliseen näyttöön, mukaan lukien vastaaviin hankkeisiin tehdyt viimeaikaiset tarjoukset tarjouskilpailumenettelyissä</w:t>
      </w:r>
      <w:r>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Suuntaviivojen 29 ja 31 kappaleen noudattamisen osoittamiseksi:</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Vahvistakaa, että hankkeeseen tai toimintaan liittyviä töitä ei ollut aloitettu ennen kuin tuensaaja jätti kirjallisen tukihakemuksen kansallisille viranomaisille;</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TAI</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Osoittakaa, että jos hanke on alkanut ennen tukihakemuksen jättämistä, sitä koskee jokin suuntaviivojen 31 kappaleessa tarkoitetuista poikkeustapauksista (a, b tai c kohta).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Vahvistakaa suuntaviivojen 30 kappaleen noudattamisen osoittamiseksi, että tukihakemuksessa on vähintään hakijan nimi, kuvaus hankkeesta tai toiminnasta, mukaan lukien sen sijainti, sekä hankkeen tai toiminnan toteuttamiseen tarvittavan tuen määrä.</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Suuntaviivojen 32, 261 ja 262 kappaleen noudattamisen osoittamiseksi:</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Ilmoittakaa, sovelletaanko ilmoitettuihin toimenpiteisiin unionin normeja</w:t>
      </w:r>
      <w:r>
        <w:rPr>
          <w:rStyle w:val="FootnoteReference"/>
          <w:lang w:val="en-IE" w:eastAsia="en-GB"/>
        </w:rPr>
        <w:footnoteReference w:id="9"/>
      </w:r>
      <w:r>
        <w:t xml:space="preserve">, velvoittavia kansallisia normeja, jotka ovat tiukempia tai kunnianhimoisempia </w:t>
      </w:r>
      <w:r>
        <w:lastRenderedPageBreak/>
        <w:t>kuin vastaavat unionin normit, tai unionin normien puuttuessa hyväksyttyjä velvoittavia kansallisia normeja.</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Esittäkää tässä yhteydessä tietoa kannustavan vaikutuksen osoittamiseksi.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Jos kyseinen unionin normi on jo hyväksytty mutta ei vielä voimassa, osoittakaa suuntaviivojen 262 kappaleen mukaisesti, että tuella on kannustava vaikutus, koska se kannustaa investoinnin toteuttamiseen ja loppuunsaattamiseen vähintään 18 kuukautta ennen normin voimaantuloa.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Mitään asiaan liittyvää unionin oikeuden säännöstä ei rikota</w:t>
            </w:r>
          </w:p>
        </w:tc>
      </w:tr>
    </w:tbl>
    <w:p w14:paraId="665FE026" w14:textId="5AC3641E" w:rsidR="00DE1D68" w:rsidRDefault="00DE1D68" w:rsidP="00DE1D68">
      <w:pPr>
        <w:spacing w:before="360" w:after="120"/>
        <w:jc w:val="both"/>
        <w:rPr>
          <w:i/>
        </w:rPr>
      </w:pPr>
      <w:r>
        <w:rPr>
          <w:i/>
        </w:rPr>
        <w:t xml:space="preserve">Tämän jakson tietoja varten ks. suuntaviivojen 3.1.3 kohta (33 kappale). </w:t>
      </w:r>
    </w:p>
    <w:p w14:paraId="3E98C3D7" w14:textId="29B82232" w:rsidR="00BE702A" w:rsidRDefault="0023543E" w:rsidP="00451471">
      <w:pPr>
        <w:pStyle w:val="ListParagraph"/>
        <w:numPr>
          <w:ilvl w:val="0"/>
          <w:numId w:val="4"/>
        </w:numPr>
        <w:spacing w:before="120" w:after="120"/>
        <w:ind w:left="567" w:hanging="567"/>
        <w:contextualSpacing w:val="0"/>
        <w:jc w:val="both"/>
      </w:pPr>
      <w:r>
        <w:t>Antakaa tiedot, jotka vahvistavat, että asiaa koskevia EU:n lainsäädännön säännöksiä on noudatettu suuntaviivojen 33 kappaleen mukaisesti.</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Jos toimenpiteen rahoittamiseksi peritään maksuja, täsmentäkää, onko toimenpidettä tarpeen arvioida SEUT-sopimuksen 30 ja 110 artiklan näkökulmasta. Jos kyllä, osoittakaa, millä tavoin toimenpide on SEUT-sopimuksen 30 ja 110 artiklan määräysten mukainen.</w:t>
      </w:r>
      <w:r>
        <w:rPr>
          <w:i/>
        </w:rPr>
        <w:t xml:space="preserve"> </w:t>
      </w:r>
      <w:r>
        <w:t xml:space="preserve">Tässä yhteydessä voidaan viitata kysymyksen </w:t>
      </w:r>
      <w:r>
        <w:fldChar w:fldCharType="begin"/>
      </w:r>
      <w:r>
        <w:instrText xml:space="preserve"> REF _Ref126829229 \w \h  \* MERGEFORMAT </w:instrText>
      </w:r>
      <w:r>
        <w:fldChar w:fldCharType="separate"/>
      </w:r>
      <w:r>
        <w:t>5</w:t>
      </w:r>
      <w:r>
        <w:fldChar w:fldCharType="end"/>
      </w:r>
      <w:r>
        <w:t xml:space="preserve"> luetelmakohdan </w:t>
      </w:r>
      <w:r>
        <w:fldChar w:fldCharType="begin"/>
      </w:r>
      <w:r>
        <w:instrText xml:space="preserve"> REF _Ref126829235 \w \h  \* MERGEFORMAT </w:instrText>
      </w:r>
      <w:r>
        <w:fldChar w:fldCharType="separate"/>
      </w:r>
      <w:r>
        <w:t>ii</w:t>
      </w:r>
      <w:r>
        <w:fldChar w:fldCharType="end"/>
      </w:r>
      <w:r>
        <w:t xml:space="preserve"> yhteydessä esitettyihin tietoihin, jos ilmoitetun toimenpiteen rahoittamiseksi peritään maksuja.</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Negatiivinen edellytys: tuki ei saa perusteettomasti vaikuttaa kaupankäynnin edellytyksiin yhteisen edun vastaisesti</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Kilpailun ja kaupan vääristymien minimointi</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lastRenderedPageBreak/>
              <w:t>Tuen tarpeellisuus</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Tämän jakson tietoja varten ks. suuntaviivojen 3.2.1.1 kohta (34–38 kappale) ja 4.5.4.1 kohta (264 kappale).</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Selittäkää, minkä markkinoiden toimintapuutteen maanne viranomaiset ovat havainneet estävän riittävän ympäristönsuojelun tason saavuttamisen. Täsmentäkää, mihin luokkaan havaitut markkinoiden toimintapuutteet kuuluvat, viitaten suuntaviivojen 34 kappaleen a, b, c tai d kohtaan.</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color w:val="000000"/>
          <w:shd w:val="clear" w:color="auto" w:fill="FFFFFF"/>
        </w:rPr>
        <w:t>Esittäkää</w:t>
      </w:r>
      <w:r>
        <w:t xml:space="preserve"> suuntaviivojen 35 kappaleen mukaisesti tiedot mahdollisista olemassa olevista toimintapolitiikoista ja toimenpiteistä, joita maanne viranomaiset ovat määritelleet ja jotka jo kohdistuvat havaittuihin sääntely- tai markkinapuutteisiin</w:t>
      </w:r>
      <w:r>
        <w:rPr>
          <w:shd w:val="clear" w:color="auto" w:fill="FFFFFF"/>
        </w:rPr>
        <w:t>.</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Esittäkää suuntaviivojen 36 kappaleen noudattamisen osoittamiseksi tiedot, jotka osoittavat, että tuki kohdistuu tuloksellisesti markkinoiden jäljellä oleviin toimintapuutteisiin, ottaen huomioon myös muut jo käytössä olevat toimintapolitiikat ja toimenpiteet, joilla puututaan osaan havaituista markkinoiden toimintapuutteista.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Selittäkää suuntaviivojen 37 kappaleen noudattamisen osoittamiseksi, ovatko ilmoitetun toimenpiteen piiriin kuuluvat hankkeet tai toiminnot maanne viranomaisten tiedon mukaan tekniseltä sisällöltään, riskitasoltaan ja kooltaan samantapaisia kuin ne hankkeet, joita jo toteutetaan unionissa markkinaehdoin. Jos kyllä, esittäkää lisänäyttöä valtiontuen tarpeellisuuden osoittamiseksi.</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Osoittakaa suuntaviivojen 38 kappaleen noudattaminen viittaamalla kysymyksen 17 yhteydessä jo esitettyyn määrälliseen näyttöön.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Jos tuki myönnetään kaupattavien lupien muodossa, esittäkää suuntaviivojen 264 kappaleen mukaisesti näyttöä siitä, että seuraavat kumulatiiviset edellytykset täyttyvät:</w:t>
      </w:r>
    </w:p>
    <w:p w14:paraId="6A67C252" w14:textId="5E5711BB" w:rsidR="00071540" w:rsidRDefault="00F60556" w:rsidP="00B82F95">
      <w:pPr>
        <w:numPr>
          <w:ilvl w:val="1"/>
          <w:numId w:val="37"/>
        </w:numPr>
        <w:ind w:left="1701" w:hanging="567"/>
      </w:pPr>
      <w:r>
        <w:t>kaikkien päästöoikeuksien huutokauppaaminen johtaa tuotantokustannusten merkittävään nousuun kunkin toimialan tai yksittäisten tuensaajien luokan osalta;</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tuotantokustannusten merkittävää nousua ei ole mahdollista siirtää asiakkaille ilman myynnin merkittävää pienentymistä sen seurauksena;</w:t>
      </w:r>
      <w:r>
        <w:rPr>
          <w:rStyle w:val="FootnoteReference"/>
          <w:lang w:eastAsia="en-GB"/>
        </w:rPr>
        <w:footnoteReference w:id="10"/>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toimialalla toimivat yksittäiset yritykset eivät pysty pienentämään päästötasoja siten, että sertifikaattien / kaupattavien lupien kustannukset </w:t>
      </w:r>
      <w:r>
        <w:lastRenderedPageBreak/>
        <w:t xml:space="preserve">laskisivat tasolle, joka on kyseisten yritysten kantokyvyn rajoissa. Tämä voidaan osoittaa vertaamalla mahdollisten tuensaajien päästötasoa parhaiten suoriutuneen tekniikan avulla saavutettuihin päästötasoihin ja osoittamalla, että myönnetyn päästöoikeuden tason vertailuarvona käytettiin ETA:n parhaiten suoriutunutta tekniikkaa.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Tarkoituksenmukaisuus </w:t>
            </w:r>
          </w:p>
        </w:tc>
      </w:tr>
    </w:tbl>
    <w:p w14:paraId="4C2D927B" w14:textId="2ECE2CFC" w:rsidR="00EA354A" w:rsidRPr="00F83660" w:rsidRDefault="00EA354A" w:rsidP="00EA354A">
      <w:pPr>
        <w:spacing w:before="360" w:after="120"/>
        <w:jc w:val="both"/>
        <w:rPr>
          <w:i/>
          <w:color w:val="000000"/>
        </w:rPr>
      </w:pPr>
      <w:r>
        <w:rPr>
          <w:i/>
        </w:rPr>
        <w:t>Tämän jakson tietoja varten ks. suuntaviivojen 3.2.1.2 kohta (39–46 kappale).</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Osoittakaa suuntaviivojen 40 kappaleen noudattamisen todentamiseksi, että käytettävissä ei ole vähemmän vääristäviä välineitä, jotka ovat tarkoituksenmukaisempia.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Osoittakaa suuntaviivojen 41 kappaleen noudattamisen todentamiseksi, että tukitoimenpide on suunniteltu siten, että se ei heikennä muiden sellaisten toimenpiteiden tehokkuutta, joilla pyritään korjaamaan samoja markkinoiden toimintapuutteita, kuten markkinapohjaiset mekanismit (esim. EU:n päästökauppajärjestelmä).</w:t>
      </w:r>
      <w:r>
        <w:rPr>
          <w:rStyle w:val="normaltextrun"/>
          <w:color w:val="000000"/>
          <w:shd w:val="clear" w:color="auto" w:fill="FFFFFF"/>
        </w:rPr>
        <w:t xml:space="preserve">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Vahvistakaa suuntaviivojen 42 kappaleen noudattamisen todentamiseksi, että tukitoimenpiteen yhdenkään tuensaajan ei voida katsoa olevan vastuussa kyseessä olevasta saastumisesta voimassa olevan unionin tai jäsenvaltion lainsäädännön nojalla (</w:t>
      </w:r>
      <w:r>
        <w:rPr>
          <w:i/>
        </w:rPr>
        <w:t>”saastuttaja maksaa” -periaate</w:t>
      </w:r>
      <w:r>
        <w:t>).</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Esittäkää seuraavat tiedot suuntaviivojen 43–46 kappaleen noudattamisen todentamiseksi ja sen osoittamiseksi, että valittu tukimuoto on eri tukimuodoista tarkoituksenmukaisin: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Osoittakaa, </w:t>
      </w:r>
      <w:r>
        <w:rPr>
          <w:rStyle w:val="normaltextrun"/>
        </w:rPr>
        <w:t>kuten suuntaviivojen 44 kappaleessa edellytetään</w:t>
      </w:r>
      <w:r>
        <w:t>, miksi muut mahdollisesti kilpailua vähemmän vääristävät tukimuodot ovat vähemmän tarkoituksenmukaisia. Vähemmän vääristävät tukimuodot voivat olla takaisinmaksettavia ennakkoja suorien avustusten sijasta, verohyvityksiä veronalennusten sijasta tai tukimuotoja, jotka perustuvat rahoitusinstrumentteihin, vieraan tai oman pääoman ehtoisten instrumenttien sijasta, esimerkiksi matalakorkoiset lainat tai korkotuet, valtion takaukset tai jokin vaihtoehtoinen tapa tarjota rahoitusta suotuisin ehdoin.</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Osoittakaa, kuten suuntaviivojen 45 kappaleessa edellytetään, että valittu tukiväline on tarkoituksenmukainen suhteessa markkinoiden toimintapuutteeseen, jota tukitoimenpiteellä pyritään korjaamaan.</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rPr>
          <w:shd w:val="clear" w:color="auto" w:fill="FFFFFF"/>
        </w:rPr>
        <w:t xml:space="preserve">Selittäkää, miten tukitoimenpide ja sen rakenne soveltuvat toimenpiteen tavoitteen saavuttamiseen </w:t>
      </w:r>
      <w:r>
        <w:rPr>
          <w:rStyle w:val="normaltextrun"/>
          <w:shd w:val="clear" w:color="auto" w:fill="FFFFFF"/>
        </w:rPr>
        <w:t>(suuntaviivojen 46 kappale)</w:t>
      </w:r>
      <w:r>
        <w:rPr>
          <w:shd w:val="clear" w:color="auto" w:fill="FFFFFF"/>
        </w:rP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lastRenderedPageBreak/>
              <w:t xml:space="preserve">Oikeasuhteisuus </w:t>
            </w:r>
          </w:p>
        </w:tc>
      </w:tr>
    </w:tbl>
    <w:p w14:paraId="5A2A77DE" w14:textId="629E0C5C" w:rsidR="00451471" w:rsidRDefault="00863406" w:rsidP="00864350">
      <w:pPr>
        <w:spacing w:before="360" w:after="120"/>
        <w:jc w:val="both"/>
        <w:rPr>
          <w:i/>
        </w:rPr>
      </w:pPr>
      <w:r>
        <w:rPr>
          <w:i/>
        </w:rPr>
        <w:t xml:space="preserve">Tämän jakson tietoja varten ks. suuntaviivojen 3.2.1.3 kohta (47–57 kappale) ja 4.5.4.2 kohta (265–273 kappale). Huom. </w:t>
      </w:r>
      <w:r>
        <w:rPr>
          <w:i/>
          <w:u w:val="single"/>
        </w:rPr>
        <w:t>Seuraavat jaksot 2.1.3.2, 2.1.3.3 ja 2.1.3.4 ovat toisilleen vaihtoehtoisia</w:t>
      </w:r>
      <w:r>
        <w:rPr>
          <w:i/>
        </w:rPr>
        <w:t xml:space="preserve">. Vastatkaa vain ehdotetun toimenpiteen rakenteen mukaiseen jaksoon. Jos kyseessä on kaupattavien lupien muodossa myönnettävä tuki, vastatkaa myös kysymykseen 33 (jakso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Kaupattavien lupien muodossa myönnettävän tuen oikeasuhteisuus </w:t>
            </w:r>
          </w:p>
        </w:tc>
      </w:tr>
    </w:tbl>
    <w:p w14:paraId="64E0C18A" w14:textId="5D959274" w:rsidR="00F60556" w:rsidRDefault="00F60556" w:rsidP="002B019C">
      <w:pPr>
        <w:pStyle w:val="ListParagraph"/>
        <w:numPr>
          <w:ilvl w:val="0"/>
          <w:numId w:val="4"/>
        </w:numPr>
        <w:spacing w:before="120" w:after="120"/>
        <w:ind w:left="567" w:hanging="567"/>
        <w:contextualSpacing w:val="0"/>
      </w:pPr>
      <w:r>
        <w:t>Jos tuki myönnetään kaupattavien lupien muodossa, selittäkää 273 kappaleen mukaisesti seuraavat:</w:t>
      </w:r>
    </w:p>
    <w:p w14:paraId="379BD600" w14:textId="77777777" w:rsidR="00F60556" w:rsidRDefault="00F60556" w:rsidP="00B82F95">
      <w:pPr>
        <w:numPr>
          <w:ilvl w:val="0"/>
          <w:numId w:val="42"/>
        </w:numPr>
        <w:ind w:left="1418" w:hanging="284"/>
      </w:pPr>
      <w:r>
        <w:t xml:space="preserve">Miten jako tapahtuu avoimella tavalla ja perustuu objektiivisiin perusteisiin ja mahdollisimman laadukkaisiin tietolähteisiin?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Miten kullekin yritykselle markkina-arvon alittavaan hintaan jaettavien kaupattavien lupien tai oikeuksien kokonaismäärä ei ylitä sen odotettavissa olevia tarpeita niiden arvioiden mukaan, jotka koskevat tilannetta ilman kauppajärjestelmää?</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Tuen oikeasuhteisuus suuntaviivojen 265–273 kappaleessa vahvistettujen tuki-intensiteettien perusteella</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Niiden kustannusten kuvaamiseksi, joihin voidaan myöntää rahoitusta toimenpiteestä, yksilöikää ylimääräiset investointikustannukset, jotka liittyvät suoraan ympäristönsuojelun tason nostamiseen. Tätä varten viitatkaa asiaankuuluvaan vaihtoehtoiseen skenaarioon, joka on yksilöity kysymyksen 17 yhteydessä, sekä suuntaviivojen 266 ja 226–230 kappaleeseen.</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Selittäkää, miten tosiasiallisten ja vaihtoehtoisten skenaarioiden investointikustannukset määritetään ja todennetaan.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Ilmoittakaa toimenpiteen mukaiset tuen enimmäisintensiteetit ja ilmoittakaa, sovelletaanko korotuksia (suuntaviivojen 267–270 kappale).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Osoittakaa ekoinnovointitoiminnan osalta, että seuraavat kumulatiiviset edellytykset täyttyvät (suuntaviivojen 270 kappale): </w:t>
      </w:r>
    </w:p>
    <w:p w14:paraId="00DF35DD" w14:textId="77777777" w:rsidR="00611EA4" w:rsidRDefault="00611EA4" w:rsidP="00B82F95">
      <w:pPr>
        <w:pStyle w:val="ListParagraph"/>
        <w:numPr>
          <w:ilvl w:val="0"/>
          <w:numId w:val="36"/>
        </w:numPr>
        <w:spacing w:before="120" w:after="120"/>
        <w:contextualSpacing w:val="0"/>
        <w:jc w:val="both"/>
      </w:pPr>
      <w:r>
        <w:t>ekoinnovointitoiminta on uutta tai merkittävästi parempaa verrattuna alan viimeisimpään kehitykseen unionissa;</w:t>
      </w:r>
      <w:r>
        <w:rPr>
          <w:rStyle w:val="FootnoteReference"/>
        </w:rPr>
        <w:footnoteReference w:id="11"/>
      </w:r>
    </w:p>
    <w:p w14:paraId="0E220A72" w14:textId="77777777" w:rsidR="00611EA4" w:rsidRDefault="00611EA4" w:rsidP="00B82F95">
      <w:pPr>
        <w:pStyle w:val="ListParagraph"/>
        <w:numPr>
          <w:ilvl w:val="0"/>
          <w:numId w:val="36"/>
        </w:numPr>
        <w:spacing w:before="120" w:after="120"/>
        <w:contextualSpacing w:val="0"/>
        <w:jc w:val="both"/>
      </w:pPr>
      <w:r>
        <w:lastRenderedPageBreak/>
        <w:t>odotettavissa oleva ympäristöhyöty on merkittävästi suurempi kuin vastaavien toimintojen yleisen teknisen kehityksen tuloksena saatava hyöty;</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toiminnan innovatiiviseen luonteeseen sisältyy ilmeinen teknologinen, taloudellinen tai markkinariski, joka on suurempi kuin vertailukelpoiseen mutta ei-innovatiiviseen toimintaan yleensä liittyvä riski.</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Jos katsotaan, että suuntaviivojen 267–270 kappaleesta poiketen tarvitaan tukea, joka ylittää 4.5.4.2 kohdassa esitetyt tuen enimmäisintensiteetit, ilmoittakaa tarpeelliseksi katsotun tuen taso ja perustelkaa se rahoitusvajeanalyysillä, joka koskee viitehankkeita kysymyksen 17 kohdan C yhteydessä yksilöidyissä tosiasiallisissa ja vaihtoehtoisissa skenaarioissa, suuntaviivojen 51–52 kappaleen mukaisesti. </w:t>
      </w:r>
    </w:p>
    <w:p w14:paraId="25D9B659" w14:textId="6A94171C" w:rsidR="00E766C0" w:rsidRPr="00451471" w:rsidRDefault="00E766C0" w:rsidP="00451471">
      <w:pPr>
        <w:pStyle w:val="ListParagraph"/>
        <w:spacing w:before="120" w:after="120"/>
        <w:ind w:left="567"/>
        <w:contextualSpacing w:val="0"/>
        <w:jc w:val="both"/>
      </w:pPr>
      <w:r>
        <w:t>Esittäkää tätä rahoitusvajeanalyysiä varten kysymyksen 17 kohdan C yhteydessä yksilöityjen tosiasiallisten skenaarioiden ja realististen vaihtoehtoisten skenaarioiden</w:t>
      </w:r>
      <w:r>
        <w:rPr>
          <w:vertAlign w:val="superscript"/>
          <w:lang w:val="en-IE" w:eastAsia="en-GB"/>
        </w:rPr>
        <w:footnoteReference w:id="14"/>
      </w:r>
      <w:r>
        <w:t xml:space="preserve"> osalta määrällinen arvio kaikista pääasiallisista kustannuksista ja tuloista, tuensaajien (tai viitehankkeiden) arvioiduista painotetuista keskimääräisistä pääomakustannuksista tulevien kassavirtojen diskonttaamiseksi sekä tosiasiallisten ja vaihtoehtoisten skenaarioiden nettonykyarvosta hankkeen/viitehankkeen elinkaaren ajalta.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Ilmoittakaa nämä tiedot tämän lisätietolomakkeen liitteessä (käyttäkää Excel-tiedostoa, </w:t>
      </w:r>
      <w:r>
        <w:rPr>
          <w:shd w:val="clear" w:color="auto" w:fill="FFFFFF"/>
        </w:rPr>
        <w:t>jossa kaikki kaavat ovat näkyvissä</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Esittäkää yksityiskohtaiset tiedot oletuksista, menetelmistä, perusteluista ja niiden taustalla olevista lähteistä, joita on käytetty kustannusten ja tulojen kvantifioinnin kunkin osa-alueen osalta tosiasiallisessa skenaariossa ja todennäköisessä vaihtoehtoisessa skenaariossa (esittäkää esimerkiksi skenaarioiden laatimisessa käytetyt oletukset ja näiden oletusten lähde/perustelut).</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Kun on kyse yksittäisistä tuista ja ohjelmista, jotka hyödyttävät erityisen vähäistä määrää tuensaajia, jäsenvaltion on esitettävä asiaa tukeva näyttö hankekohtaisen liiketoimintasuunnitelman tasolla.</w:t>
      </w:r>
    </w:p>
    <w:p w14:paraId="2EE300C8" w14:textId="77777777" w:rsidR="00E766C0" w:rsidRPr="00AC286A" w:rsidRDefault="00E766C0" w:rsidP="00E766C0">
      <w:pPr>
        <w:ind w:left="1080"/>
        <w:jc w:val="both"/>
        <w:rPr>
          <w:shd w:val="clear" w:color="auto" w:fill="FFFFFF"/>
        </w:rPr>
      </w:pPr>
      <w:r>
        <w:rPr>
          <w:shd w:val="clear" w:color="auto" w:fill="FFFFFF"/>
        </w:rPr>
        <w:t>Tukiohjelmien osalta jäsenvaltion on esitettävä asiaa tukeva näyttö yhden tai useamman viitehankkeen perusteella.</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Voitte liittää tähän lisätietolomakkeeseen myös suuntaviivojen alaviitteessä 39 mainitut asiakirjat. Yritysten hallintoelinten asiakirjat voivat olla erityisen </w:t>
      </w:r>
      <w:r>
        <w:lastRenderedPageBreak/>
        <w:t>hyödyllisiä, kun on kyse yksittäisistä tukitoimenpiteistä tai tukiohjelmista, jotka hyödyttävät erityisen vähäistä määrää tuensaajia. Jos lisätietolomakkeeseen liitetään tällaisia asiakirjoja, luetelkaa ne alla ja ilmoittakaa laatija, laatimispäivä ja asiayhteys, jossa asiakirjaa käytettiin.</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Osoittakaa myös, että kysymyksen 38 yhteydessä esitetyn mukaisesti määritetyn korkeamman tuen soveltaminen ei johtaisi siihen, että tuki ylittää rahoitusvajeen.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Jos kyseessä on suuntaviivojen 52 kappaleen mukainen tilanne eli todennäköisin vaihtoehtoinen skenaario muodostuu siitä, että tuensaaja ei toteuta tiettyä toimenpidettä tai investointia tai jatkaa toimintaansa muutoksitta, esittäkää näyttöä tämän oletuksen tueksi.</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t xml:space="preserve">Kaikissa tapauksissa, joissa oikeasuhteisuus on perusteltu rahoitusvajeanalyysin perusteella, vahvistakaa myös, että maanne viranomaiset toteuttavat jälkikäteisvalvonnan tarvittavan tuen tasoa koskevien oletusten todentamiseksi ja ottavat käyttöön takaisinperintämekanismin. Kuvailkaa valvonta- ja takaisinperintämekanismit, jota maanne viranomaiset aikovat käyttää (suuntaviivojen 271 kappale).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Tarjouskilpailumenettelyssä myönnettävän tuen oikeasuhteisuus </w:t>
            </w:r>
          </w:p>
        </w:tc>
      </w:tr>
    </w:tbl>
    <w:p w14:paraId="02145BB2" w14:textId="77777777" w:rsidR="00E50157" w:rsidRPr="00441F0B" w:rsidRDefault="00E50157" w:rsidP="00E50157">
      <w:pPr>
        <w:pStyle w:val="ListParagraph"/>
        <w:spacing w:before="360" w:after="120"/>
        <w:ind w:left="0"/>
        <w:contextualSpacing w:val="0"/>
        <w:jc w:val="both"/>
      </w:pPr>
      <w:r>
        <w:rPr>
          <w:i/>
        </w:rPr>
        <w:t>Tämän jakson tietoja varten ks. suuntaviivojen 49, 50 ja 272 kappale</w:t>
      </w:r>
      <w:r>
        <w: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Selittäkää suuntaviivojen 49 ja 50 kappaleen noudattamisen todentamiseksi seuraavat:</w:t>
      </w:r>
    </w:p>
    <w:p w14:paraId="60545808" w14:textId="3F8A7121" w:rsidR="00E50157" w:rsidRPr="00441F0B" w:rsidRDefault="006F48C7" w:rsidP="00B82F95">
      <w:pPr>
        <w:pStyle w:val="ListParagraph"/>
        <w:numPr>
          <w:ilvl w:val="0"/>
          <w:numId w:val="24"/>
        </w:numPr>
        <w:spacing w:before="120" w:after="120"/>
        <w:contextualSpacing w:val="0"/>
        <w:jc w:val="both"/>
      </w:pPr>
      <w:r>
        <w:t>Selostakaa, miten viranomaiset varmistavat, että tarjouskilpailumenettely on avoin, selkeä, läpinäkyvä ja syrjimätön ja pohjautuu puolueettomiin perusteisiin, jotka määritellään etukäteen toimenpiteen tavoitteen mukaisesti ja joilla minimoidaan strategisten tarjousten riski (suuntaviivojen 49 kappaleen a kohta).</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Valintaperusteet, joita käytetään tarjousten paremmuusjärjestykseen asettamiseen ja viime kädessä tuen tason määrittämiseen tarjouskilpailumenettelyssä. Eli: </w:t>
      </w:r>
    </w:p>
    <w:p w14:paraId="383A3E34" w14:textId="77777777" w:rsidR="00E50157" w:rsidRPr="00050EB9" w:rsidRDefault="00E50157" w:rsidP="00B82F95">
      <w:pPr>
        <w:pStyle w:val="ListParagraph"/>
        <w:numPr>
          <w:ilvl w:val="1"/>
          <w:numId w:val="25"/>
        </w:numPr>
        <w:spacing w:before="120" w:after="120"/>
        <w:contextualSpacing w:val="0"/>
        <w:jc w:val="both"/>
      </w:pPr>
      <w:r>
        <w:t>Luetelkaa valintaperusteet ja täsmentäkää, mitkä niistä liittyvät ja mitkä eivät liity suoraan tai välillisesti toimenpiteen päätavoitteisiin. Ilmoittakaa eri perusteiden painotukset.</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 xml:space="preserve">Selittäkää, miten valintaperusteissa suhteutetaan myötävaikutus toimenpiteen päätavoitteisiin suoraan tai välillisesti hakijan pyytämään tukimäärään. Tämä voidaan ilmaista esimerkiksi tukena </w:t>
      </w:r>
      <w:r>
        <w:lastRenderedPageBreak/>
        <w:t>ympäristönsuojeluyksikköä kohti</w:t>
      </w:r>
      <w:r>
        <w:rPr>
          <w:rStyle w:val="FootnoteReference"/>
          <w:lang w:eastAsia="en-GB"/>
        </w:rPr>
        <w:footnoteReference w:id="16"/>
      </w:r>
      <w:r>
        <w:t xml:space="preserve"> (suuntaviivojen 50 kappale ja alaviite 44).</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Jos on muita valintaperusteita, jotka eivät suoraan tai välillisesti liity toimenpiteen päätavoitteisiin, esittäkää perustelut ehdotetulle lähestymistavalle ja selittäkää, miten se on asianmukainen toimenpiteen tavoitteiden kannalta. Vahvistakaa myös, että näiden perusteiden osuus on enintään 30 prosenttia kaikkien valintaperusteiden painotuksesta (suuntaviivojen 50 kappale).</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Selittäkää, kuinka paljon ennen kunkin tarjouskilpailumenettelyn hakemusten jättämisen määräaikaa</w:t>
      </w:r>
      <w:r>
        <w:rPr>
          <w:color w:val="000000"/>
          <w:shd w:val="clear" w:color="auto" w:fill="FFFFFF"/>
        </w:rPr>
        <w:t xml:space="preserve"> valintaperusteet julkaistaan</w:t>
      </w:r>
      <w:r>
        <w:t xml:space="preserve"> (suuntaviivojen 49 kappaleen b kohta ja alaviite 43)</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rPr>
          <w:shd w:val="clear" w:color="auto" w:fill="FFFFFF"/>
        </w:rPr>
        <w:t xml:space="preserve">Selittäkää seikat, joihin perustatte oletuksenne siitä, että tarjouskilpailu on avoin ja tarjoajien määrä tarkoituksenmukainen eli että voidaan olettaa, että kaikki tarjoajat eivät tule saamaan tukea ja että tarjoajien odotettu määrä on riittävä tosiasiallisen kilpailun varmistamiseksi koko ohjelman ajan </w:t>
      </w:r>
      <w:r>
        <w:t>(suuntaviivojen 49 kappaleen c kohta).</w:t>
      </w:r>
      <w:r>
        <w:rPr>
          <w:shd w:val="clear" w:color="auto" w:fill="FFFFFF"/>
        </w:rPr>
        <w:t xml:space="preserve"> Huomioikaa selvityksessänne ohjelman budjetti tai volyymi. Viitatkaa tarvittaessa näyttöön, jonka esititte kysymyksen 17 yhteydessä.</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t>Antakaa tiedot suunniteltujen tarjouskierrosten määrästä ja tarjoajien odotetusta määrästä ensimmäisellä kierroksella ja ajan mittaan.</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t>Jos yksi tai useampi tarjousprosessi on alitarjottu, selittäkää, miten tarjousmenettelyjen rakennetta korjataan ohjelman aikana tosiasiallisen kilpailun palauttamiseksi ja milloin nämä korjaukset tehdään (suuntaviivojen 49 kappaleen c kohta).</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shd w:val="clear" w:color="auto" w:fill="FFFFFF"/>
        </w:rPr>
        <w:t>Vahvistakaa, että tarjousprosessin tulokseen jälkikäteen tehtävät muutokset (kuten myöhemmät neuvottelut tarjoustuloksista tai pisteytyksistä) vältetään</w:t>
      </w:r>
      <w:r>
        <w:t xml:space="preserve"> (suuntaviivojen 49 kappaleen d kohta)</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Jos ns. nollatukitarjoukset ovat mahdollisia, selittäkää, miten oikeasuhteisuus varmistetaan (ks. suuntaviivojen 49 kappaleen alaviite 42). </w:t>
      </w:r>
    </w:p>
    <w:p w14:paraId="1E4A45E3" w14:textId="0DB0F887" w:rsidR="004312C0" w:rsidRDefault="004312C0" w:rsidP="004312C0">
      <w:pPr>
        <w:tabs>
          <w:tab w:val="left" w:leader="dot" w:pos="9072"/>
        </w:tabs>
        <w:spacing w:before="120" w:after="120"/>
        <w:ind w:left="720"/>
        <w:jc w:val="both"/>
      </w:pPr>
      <w:r>
        <w:lastRenderedPageBreak/>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Täsmentäkää, suunnittelevatko viranomaiset pohjahintojen tai hintakattojen käyttöä tarjouskilpailumenettelyssä. Jos kyllä, perustelkaa niiden käyttö ja selittäkää, miten ne eivät rajoita tarjouskilpailumenettelyä (suuntaviivojen 49 kappale ja alaviite 42).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Kasautuminen</w:t>
            </w:r>
          </w:p>
        </w:tc>
      </w:tr>
    </w:tbl>
    <w:p w14:paraId="2346A85D" w14:textId="05ED6D8A" w:rsidR="00B21377" w:rsidRPr="002A3B51" w:rsidRDefault="00B21377" w:rsidP="00B21377">
      <w:pPr>
        <w:pStyle w:val="ListParagraph"/>
        <w:spacing w:before="120" w:after="120"/>
        <w:ind w:left="567"/>
        <w:contextualSpacing w:val="0"/>
        <w:jc w:val="both"/>
      </w:pPr>
      <w:r>
        <w:rPr>
          <w:i/>
        </w:rPr>
        <w:t>Tämän jakson tietoja varten ks. suuntaviivojen 56–57 kappale</w:t>
      </w:r>
      <w:r>
        <w:t>.</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yleisen ilmoituslomakkeen osassa I. Jos näin on, esittäkää tiedot kyseisistä tukiohjelmista, tapauskohtaisesta tuesta tai vähämerkityksisestä tuesta sekä siitä, miten tuki kasautuu.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Jos kyseessä on suuntaviivojen 56 kappaleen mukainen tilanne, perustelkaa, miten ilmoitetusta toimenpiteestä hankkeelle tai toiminnalle myönnettävän tuen kokonaismäärä ei johda ylikompensaatioon tai ylitä suuntaviivojen 267–273 kappaleessa kuvattuja sallittuja tuen enimmäismääriä. Täsmentäkää kullekin toimenpiteelle, jonka kanssa ilmoitetusta toimenpiteestä myönnetty tuki voi kasautua, menetelmä, jolla varmistetaan suuntaviivojen 56 kappaleessa kuvattujen ehtojen täyttyminen.</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Jos kyseessä on suuntaviivojen 57 kappaleen mukainen tilanne eli jos ilmoitetusta toimenpiteestä myönnetty tuki yhdistetään keskitetysti hallinnoituun unionin rahoitukseen</w:t>
      </w:r>
      <w:r>
        <w:rPr>
          <w:rStyle w:val="FootnoteReference"/>
          <w:lang w:eastAsia="en-GB"/>
        </w:rPr>
        <w:footnoteReference w:id="17"/>
      </w:r>
      <w:r>
        <w:t xml:space="preserve"> (joka ei ole valtiontukea), perustelkaa, miten </w:t>
      </w:r>
      <w:r>
        <w:rPr>
          <w:shd w:val="clear" w:color="auto" w:fill="FFFFFF"/>
        </w:rPr>
        <w:t>samoihin tukikelpoisiin kustannuksiin myönnetyn julkisen rahoituksen kokonaismäärä ei johda ylikompensaatioon</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Läpinäkyvyys</w:t>
            </w:r>
          </w:p>
        </w:tc>
      </w:tr>
    </w:tbl>
    <w:p w14:paraId="07229A8F" w14:textId="25E21DE5" w:rsidR="006773CE" w:rsidRPr="007C0A44" w:rsidRDefault="006773CE" w:rsidP="006773CE">
      <w:pPr>
        <w:spacing w:before="360" w:after="120"/>
        <w:jc w:val="both"/>
        <w:rPr>
          <w:i/>
        </w:rPr>
      </w:pPr>
      <w:r>
        <w:rPr>
          <w:i/>
        </w:rPr>
        <w:t xml:space="preserve">Tämän jakson tietoja varten ks. suuntaviivojen 3.2.1.4 kohta (58–62 kappale).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Vahvistakaa, että jäsenvaltio noudattaa suuntaviivojen 58–61 kappaleessa kuvattuja läpinäkyvyysvaatimuksia.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lastRenderedPageBreak/>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Kilpailuun ja kauppaan kohdistuvien tuen kohtuuttomien kielteisten vaikutusten välttäminen ja punninta</w:t>
            </w:r>
          </w:p>
        </w:tc>
      </w:tr>
    </w:tbl>
    <w:p w14:paraId="6CD3884F" w14:textId="47FB2DEE" w:rsidR="00F83660" w:rsidRPr="00B215FD" w:rsidRDefault="00F83660" w:rsidP="00F83660">
      <w:pPr>
        <w:spacing w:before="360" w:after="120"/>
        <w:jc w:val="both"/>
        <w:rPr>
          <w:i/>
        </w:rPr>
      </w:pPr>
      <w:r>
        <w:rPr>
          <w:i/>
        </w:rPr>
        <w:t xml:space="preserve">Tämän jakson tietoja varten ks. suuntaviivojen 3.2.2 kohta (63–70 kappale) ja 4.5.5 kohta (274–275 kappale).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Antakaa suuntaviivojen 67 kappaleen noudattamisen todentamiseksi tiedot ilmoitettujen toimenpiteiden mahdollisista kilpailuun ja kauppaan kohdistuvista lyhyen ja pitkän aikavälin kielteisistä vaikutuksista.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Selittäkää, päteekö toimenpiteeseen jokin seuraavista: </w:t>
      </w:r>
    </w:p>
    <w:p w14:paraId="554349FE" w14:textId="7696EC86" w:rsidR="00397D3C" w:rsidRPr="002178F0" w:rsidRDefault="00397D3C" w:rsidP="00B82F95">
      <w:pPr>
        <w:pStyle w:val="ListParagraph"/>
        <w:numPr>
          <w:ilvl w:val="1"/>
          <w:numId w:val="28"/>
        </w:numPr>
        <w:spacing w:before="120" w:after="120"/>
        <w:contextualSpacing w:val="0"/>
        <w:jc w:val="both"/>
      </w:pPr>
      <w:r>
        <w:t>Se koskee markkinoita, joilla vakiintuneet toimijat ovat saaneet markkinavoimansa ennen markkinoiden vapauttamista.</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Siinä on kyse tarjouskilpailumenettelyistä vasta kehittymässä olevilla markkinoilla, joilla on vahvan markkina-aseman omaava toimija.</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Se hyödyttää vain yhtä tuensaajaa tai erityisen vähäistä määrää tuensaajia.</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Jos tukitoimenpide keskittyy tiettyyn teknologiavalintaan/-polkuun, perustelkaa teknologiavalinnan syy ja selittäkää, miksi se ei estä puhtaampien teknologioiden käyttöönottoa.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Antakaa suuntaviivojen 68 kappaleen noudattamisen todentamiseksi seuraavat tiedot, jos ilmoitettu toimenpide hyödyttää vain yhtä tuensaajaa tai erityisen vähäistä määrää tuensaajia:</w:t>
      </w:r>
    </w:p>
    <w:p w14:paraId="05892635" w14:textId="438AD58D" w:rsidR="00F83660" w:rsidRPr="00B215FD" w:rsidRDefault="00D4206D" w:rsidP="008A6F77">
      <w:pPr>
        <w:pStyle w:val="ListParagraph"/>
        <w:numPr>
          <w:ilvl w:val="0"/>
          <w:numId w:val="43"/>
        </w:numPr>
        <w:spacing w:before="120" w:after="120"/>
        <w:contextualSpacing w:val="0"/>
        <w:jc w:val="both"/>
      </w:pPr>
      <w:r>
        <w:t>Selittäkää, lisääkö tai ylläpitääkö ilmoitettu toimenpide tuensaajan markkinavoimaa, estääkö se olemassa olevien kilpailijoiden laajentumista, aiheuttaako se niiden poistumista markkinoilta tai estääkö se uusien kilpailijoiden tuloa markkinoille. Selittäkää tässä yhteydessä myös, lisääkö tukitoimenpide tuensaajan tuotantokapasiteettia.</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Kuvatkaa toimenpiteet, joiden tarkoituksena on rajoittaa kilpailun vääristymistä, jota tuen myöntäminen tuensaajalle mahdollisesti aiheuttaa.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Selittäkää suuntaviivojen 69 kappaleen noudattamisen todentamiseksi seuraavat:</w:t>
      </w:r>
    </w:p>
    <w:p w14:paraId="4FA1E951" w14:textId="7EB570EA" w:rsidR="00787938" w:rsidRDefault="00787938" w:rsidP="008A6F77">
      <w:pPr>
        <w:pStyle w:val="ListParagraph"/>
        <w:numPr>
          <w:ilvl w:val="0"/>
          <w:numId w:val="44"/>
        </w:numPr>
        <w:spacing w:before="120" w:after="120"/>
        <w:contextualSpacing w:val="0"/>
        <w:jc w:val="both"/>
      </w:pPr>
      <w:r>
        <w:t xml:space="preserve">Pyritäänkö ilmoitetusta toimenpiteestä myönnetyllä tuella säilyttämään taloudellista toimintaa tietyllä alueella tai houkuttelemaan sitä pois muilta alueilta sisämarkkinoilla? </w:t>
      </w:r>
    </w:p>
    <w:p w14:paraId="20D1C08A" w14:textId="77777777" w:rsidR="00787938" w:rsidRPr="009E0FCA" w:rsidRDefault="00787938" w:rsidP="00787938">
      <w:pPr>
        <w:tabs>
          <w:tab w:val="left" w:leader="dot" w:pos="9072"/>
        </w:tabs>
        <w:spacing w:before="120" w:after="120"/>
        <w:ind w:left="567"/>
        <w:jc w:val="both"/>
      </w:pPr>
      <w:r>
        <w:lastRenderedPageBreak/>
        <w:tab/>
      </w:r>
    </w:p>
    <w:p w14:paraId="648EA6BC" w14:textId="3ADC28CF" w:rsidR="00F83660" w:rsidRPr="009E0FCA" w:rsidRDefault="00F83660" w:rsidP="008A6F77">
      <w:pPr>
        <w:pStyle w:val="ListParagraph"/>
        <w:numPr>
          <w:ilvl w:val="0"/>
          <w:numId w:val="44"/>
        </w:numPr>
        <w:spacing w:before="120" w:after="120"/>
        <w:contextualSpacing w:val="0"/>
        <w:jc w:val="both"/>
      </w:pPr>
      <w:r>
        <w:t>Jos kyllä, täsmentäkää, mikä on ilmoitetun toimenpiteen nettovaikutus ympäristöön ja miten ilmoitettu toimenpide parantaa ympäristönsuojelun nykytasoa jäsenvaltioissa.</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Miten ilmoitetusta toimenpiteestä myönnetyllä tuella ei ole ilmeisen kielteisiä vaikutuksia kilpailuun ja kauppaan?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Jos kyseessä on yksittäinen tuki, tärkeimmät tekijät, jotka vaikuttavat tuensaajan tekemien investointien sijaintipaikan valintaan.</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Suuntaviivojen 70 kappaleen noudattamisen todentamiseksi:</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Vahvistakaa, että ilmoitetusta toimenpiteestä voidaan myöntää tukea enintään 10 vuoden ajan siitä, kun komissio on antanut tiedoksi päätöksensä, jolla se toteaa tuen sisämarkkinoille soveltuvaksi.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Vahvistakaa, että jos maanne viranomaiset haluavat jatkaa toimenpiteen kestoa yli tämän enimmäisajan, ne ilmoittavat toimenpiteestä uudelleen.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Jos tuki myönnetään kaupattavien lupien muodossa, vahvistakaa suuntaviivojen 275 kappaleen noudattamisen todentamiseksi, että toimenpide täyttää kaikki seuraavat kriteerit: </w:t>
      </w:r>
    </w:p>
    <w:p w14:paraId="77783B19" w14:textId="5624D437" w:rsidR="002C45A2" w:rsidRDefault="00F60556" w:rsidP="008A6F77">
      <w:pPr>
        <w:pStyle w:val="ListParagraph"/>
        <w:numPr>
          <w:ilvl w:val="0"/>
          <w:numId w:val="46"/>
        </w:numPr>
        <w:spacing w:before="120" w:after="120"/>
        <w:contextualSpacing w:val="0"/>
        <w:jc w:val="both"/>
      </w:pPr>
      <w:r>
        <w:t>Tuensaajat valitaan objektiivisten ja läpinäkyvien kriteerien perusteella ja tukea myönnetään periaatteessa samalla tavoin kaikille samalla toimialalla toimiville kilpailijoille, jos ne ovat samanlaisessa tilanteessa.</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Jakomenetelmät eivät suosi tiettyjä yrityksiä tai tiettyjä aloja.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Jos jakomenetelmä suosii tiettyjä yrityksiä tai tiettyjä aloja, selittäkää, kuinka se on perusteltua järjestelmän ympäristönsuojelua koskevan sisäisen logiikan perusteella tai johdonmukaisuus muun ympäristöpolitiikan kanssa edellyttää sitä.</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Uudet tulokkaat eivät saa lupia tai oikeuksia suotuisammilla ehdoilla kuin samoilla markkinoilla jo toimivat yritykset.</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Nykyisille laitoksille myönnettävien lupien suurempi määrä uusiin tulokkaisiin verrattuna ei johda kohtuuttomiin markkinoille tulon esteisiin.</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Tuen myönteisten vaikutusten punnitseminen suhteessa kilpailuun ja kauppaan kohdistuviin kielteisiin vaikutuksiin</w:t>
            </w:r>
          </w:p>
        </w:tc>
      </w:tr>
    </w:tbl>
    <w:p w14:paraId="2BA426DC" w14:textId="2EBC55A9" w:rsidR="00265702" w:rsidRPr="00863406" w:rsidRDefault="00265702" w:rsidP="00265702">
      <w:pPr>
        <w:spacing w:before="360" w:after="120"/>
        <w:jc w:val="both"/>
        <w:rPr>
          <w:i/>
          <w:color w:val="000000"/>
        </w:rPr>
      </w:pPr>
      <w:r>
        <w:rPr>
          <w:i/>
        </w:rPr>
        <w:t>Tämän jakson tietoja varten ks. suuntaviivojen 3.3 kohta (71–76 kappale).</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Selittäkää suuntaviivojen 72 kappaleen noudattamisen todentamiseksi, täyttävätkö ilmoitetun toimenpiteen nojalla tuetut toiminnot Euroopan parlamentin ja neuvoston asetuksen (EU) 2020/852</w:t>
      </w:r>
      <w:r>
        <w:rPr>
          <w:rStyle w:val="FootnoteReference"/>
          <w:lang w:eastAsia="en-GB"/>
        </w:rPr>
        <w:footnoteReference w:id="18"/>
      </w:r>
      <w:r>
        <w:t xml:space="preserve"> 3 artiklassa säädetyt ympäristön kannalta kestäviä taloudellisia toimintoja koskevat kriteerit, mukaan lukien ”ei merkittävää haittaa” -periaate, tai muiden vastaavien arviointitapojen kriteerit.</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(Jos kyseessä on tarjouskilpailumenettely:) Selittäkää, sisältyykö ilmoitettuun toimenpiteeseen ominaisuuksia, jotka helpottavat pk-yritysten osallistumista tarjouskilpailumenettelyihin. Jos kyllä, antakaa tiedot näistä ominaisuuksista ja perustelkaa, miten myönteiset vaikutukset siitä, että varmistetaan pk-yritysten osallistuminen ilmoitettuun toimenpiteeseen, ovat suuremmat kuin mahdolliset kilpailua vääristävät vaikutukset.</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Jakso C: Arviointi</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Tämän jakson tietoja varten ks. suuntaviivojen 5 luku (455–463 kappale).</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Jos ilmoitettu toimenpide ylittää suuntaviivojen 456 kappaleessa esitetyt budjetin/menojen kynnysarvot, selittäkää, miksi mielestänne olisi sovellettava suuntaviivojen 457 kappaleen mukaista poikkeusta, tai liittäkää tähän lisätietolomakkeeseen liite, joka sisältää luonnoksen suuntaviivojen 458 kappaleessa mainitut seikat kattavaksi arviointisuunnitelmaksi</w:t>
      </w:r>
      <w:r>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Jos toimitatte arviointisuunnitelman luonnoksen,</w:t>
      </w:r>
    </w:p>
    <w:p w14:paraId="61554CC9" w14:textId="77777777" w:rsidR="00571769" w:rsidRDefault="00571769" w:rsidP="00B82F95">
      <w:pPr>
        <w:pStyle w:val="ListParagraph"/>
        <w:numPr>
          <w:ilvl w:val="0"/>
          <w:numId w:val="33"/>
        </w:numPr>
        <w:spacing w:before="120" w:after="120"/>
        <w:contextualSpacing w:val="0"/>
        <w:jc w:val="both"/>
      </w:pPr>
      <w:r>
        <w:t>esittäkää alla yhteenveto liitteessä olevasta arviointisuunnitelman luonnoksesta;</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vahvistakaa, että suuntaviivojen 460 kappaletta noudatetaan;</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lastRenderedPageBreak/>
        <w:t>antakaa linkki verkkosivulle, jolla arviointisuunnitelma julkaistaan, ja ilmoittakaa julkaisemisen päivämäärä.</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Suuntaviivojen 461 kappaleen noudattamisen todentamiseksi:</w:t>
      </w:r>
    </w:p>
    <w:p w14:paraId="3A9B542E" w14:textId="089343AF" w:rsidR="00277BC0" w:rsidRPr="0051324D" w:rsidRDefault="00277BC0" w:rsidP="008A6F77">
      <w:pPr>
        <w:pStyle w:val="ListParagraph"/>
        <w:numPr>
          <w:ilvl w:val="0"/>
          <w:numId w:val="47"/>
        </w:numPr>
        <w:spacing w:before="120" w:after="120"/>
        <w:contextualSpacing w:val="0"/>
        <w:jc w:val="both"/>
      </w:pPr>
      <w:r>
        <w:t>täsmentäkää, onko riippumaton asiantuntija jo valittu vai valitaanko tämä tulevaisuudessa;</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antakaa tiedot asiantuntijan valintamenettelystä;</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perustelkaa, miten asiantuntija on riippumaton tuen myöntävästä viranomaisesta.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Suuntaviivojen 461 kappaleen noudattamisen todentamiseksi: </w:t>
      </w:r>
    </w:p>
    <w:p w14:paraId="342FFFFA" w14:textId="62A42954" w:rsidR="0036428C" w:rsidRPr="0051324D" w:rsidRDefault="002C0264" w:rsidP="008A6F77">
      <w:pPr>
        <w:pStyle w:val="ListParagraph"/>
        <w:numPr>
          <w:ilvl w:val="0"/>
          <w:numId w:val="48"/>
        </w:numPr>
        <w:spacing w:before="120" w:after="120"/>
        <w:contextualSpacing w:val="0"/>
        <w:jc w:val="both"/>
      </w:pPr>
      <w:r>
        <w:t>Ilmoittakaa ehdottamanne määräajat väliarviointiraportin ja lopullisen arviointiraportin toimittamiselle. Huomatkaa, että suuntaviivojen 463 kappaleen mukaan jälkiarviointiraportti on toimitettava komissiolle riittävän ajoissa, jotta komissio voi arvioida tukiohjelman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Vahvistakaa, että väliarviointiraportti ja lopullinen arviointiraportti julkistetaan. Antakaa linkki verkkosivulle, jolla raportit julkaistaan, ja ilmoittakaa julkaisemisen päivämäärä.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Jakso D: Raportointi ja seuranta</w:t>
            </w:r>
          </w:p>
        </w:tc>
      </w:tr>
    </w:tbl>
    <w:p w14:paraId="1C16B3DB" w14:textId="77777777" w:rsidR="006F0AE2" w:rsidRPr="0051324D" w:rsidRDefault="006F0AE2" w:rsidP="006F0AE2">
      <w:pPr>
        <w:tabs>
          <w:tab w:val="left" w:leader="dot" w:pos="9072"/>
        </w:tabs>
        <w:spacing w:before="120" w:after="120"/>
        <w:ind w:left="567"/>
        <w:jc w:val="both"/>
      </w:pPr>
      <w:r>
        <w:rPr>
          <w:i/>
        </w:rPr>
        <w:t>Tämän jakson tietoja varten ks. suuntaviivojen 6 luku (464 ja 465 kappale).</w:t>
      </w:r>
    </w:p>
    <w:p w14:paraId="0AD3805C" w14:textId="48B92343" w:rsidR="006F0AE2" w:rsidRDefault="006F0AE2" w:rsidP="00451471">
      <w:pPr>
        <w:pStyle w:val="ListParagraph"/>
        <w:numPr>
          <w:ilvl w:val="0"/>
          <w:numId w:val="4"/>
        </w:numPr>
        <w:spacing w:before="120" w:after="120"/>
        <w:ind w:left="567" w:hanging="567"/>
        <w:contextualSpacing w:val="0"/>
        <w:jc w:val="both"/>
      </w:pPr>
      <w:r>
        <w:lastRenderedPageBreak/>
        <w:t>Vahvistakaa, että jäsenvaltio noudattaa suuntaviivojen 6 luvun 464 ja 465 kappaleessa esitettyjä raportointi- ja seurantavaatimuksia.</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EUVL C 80, 18.2.2022, s. 1.</w:t>
      </w:r>
    </w:p>
  </w:footnote>
  <w:footnote w:id="3">
    <w:p w14:paraId="721B2C3E" w14:textId="5CF0F3FA" w:rsidR="005B06D6" w:rsidRDefault="005B06D6" w:rsidP="002A2C73">
      <w:pPr>
        <w:pStyle w:val="FootnoteText"/>
      </w:pPr>
      <w:r>
        <w:rPr>
          <w:rStyle w:val="FootnoteReference"/>
        </w:rPr>
        <w:footnoteRef/>
      </w:r>
      <w:r>
        <w:t xml:space="preserve"> </w:t>
      </w:r>
      <w:r>
        <w:tab/>
        <w:t xml:space="preserve">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 </w:t>
      </w:r>
    </w:p>
  </w:footnote>
  <w:footnote w:id="4">
    <w:p w14:paraId="51CA7B9F" w14:textId="77777777" w:rsidR="00A53EBB" w:rsidRPr="0067348B" w:rsidRDefault="00A53EBB" w:rsidP="00A53EBB">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49ADDF87" w14:textId="3332A17A" w:rsidR="005B06D6" w:rsidRPr="009204DA" w:rsidRDefault="005B06D6">
      <w:pPr>
        <w:pStyle w:val="FootnoteText"/>
      </w:pPr>
      <w:r>
        <w:rPr>
          <w:rStyle w:val="FootnoteReference"/>
        </w:rPr>
        <w:footnoteRef/>
      </w:r>
      <w:r>
        <w:t xml:space="preserve"> </w:t>
      </w:r>
      <w:r>
        <w:tab/>
        <w:t>Kaupattaviin lupiin voi sisältyä valtiontukea erityisesti silloin, kun jäsenvaltiot myöntävät päästölupia ja -oikeuksia markkina-arvoa alhaisempaan hintaan.</w:t>
      </w:r>
    </w:p>
  </w:footnote>
  <w:footnote w:id="6">
    <w:p w14:paraId="7AC0A709" w14:textId="328426FA" w:rsidR="007F5A4A" w:rsidRPr="00CF158B" w:rsidRDefault="007F5A4A" w:rsidP="007F5A4A">
      <w:pPr>
        <w:pStyle w:val="FootnoteText"/>
      </w:pPr>
      <w:r>
        <w:rPr>
          <w:rStyle w:val="FootnoteReference"/>
        </w:rPr>
        <w:footnoteRef/>
      </w:r>
      <w:r>
        <w:tab/>
        <w:t>Huomatkaa, että suuntaviivojen 38 ja 52 kappaleessa sekä alaviitteissä 39 ja 45 annetaan lisäohjeita siitä, miten todennäköinen vaihtoehtoinen skenaario olisi laadittava.</w:t>
      </w:r>
    </w:p>
  </w:footnote>
  <w:footnote w:id="7">
    <w:p w14:paraId="40AD96A8" w14:textId="77777777" w:rsidR="00BF736D" w:rsidRPr="00114695" w:rsidRDefault="00BF736D" w:rsidP="00BF736D">
      <w:pPr>
        <w:pStyle w:val="FootnoteText"/>
      </w:pPr>
      <w:r>
        <w:rPr>
          <w:rStyle w:val="FootnoteReference"/>
        </w:rPr>
        <w:footnoteRef/>
      </w:r>
      <w:r>
        <w:tab/>
        <w:t>’Viitehanke’ määritellään suuntaviivojen 19 kappaleen 63 kohdassa.</w:t>
      </w:r>
    </w:p>
  </w:footnote>
  <w:footnote w:id="8">
    <w:p w14:paraId="0035BA03" w14:textId="77777777" w:rsidR="006B45D5" w:rsidRDefault="006B45D5" w:rsidP="006B45D5">
      <w:pPr>
        <w:pStyle w:val="FootnoteText"/>
      </w:pPr>
      <w:r>
        <w:rPr>
          <w:rStyle w:val="FootnoteReference"/>
        </w:rPr>
        <w:footnoteRef/>
      </w:r>
      <w:r>
        <w:tab/>
        <w:t>Jos tukeudutaan viimeaikaiseen tarjouskilpailumenettelyyn, selittäkää, millä perusteella kyseinen menettely voidaan katsoa kilpailulliseksi, mukaan lukien se, miten satunnaiset voitot vältettiin tarjouskilpailumenettelyyn sisällytettyjen eri teknologioiden osalta, ja miten menettely on vertailukelpoinen. Vastatkaa muun muassa seuraaviin kysymyksiin:</w:t>
      </w:r>
    </w:p>
    <w:p w14:paraId="282DC24F" w14:textId="77777777" w:rsidR="006B45D5" w:rsidRDefault="006B45D5" w:rsidP="00B82F95">
      <w:pPr>
        <w:pStyle w:val="FootnoteText"/>
        <w:numPr>
          <w:ilvl w:val="0"/>
          <w:numId w:val="31"/>
        </w:numPr>
      </w:pPr>
      <w:r>
        <w:t>Vastasivatko olosuhteet (esim. sopimuksen ehdot ja kesto, investointien määräajat, se, onko tukimaksut indeksoitu inflaatioon vai ei) ilmoitetussa toimenpiteessä ehdotettuja olosuhteita?</w:t>
      </w:r>
    </w:p>
    <w:p w14:paraId="7E841389" w14:textId="77777777" w:rsidR="006B45D5" w:rsidRDefault="006B45D5" w:rsidP="00B82F95">
      <w:pPr>
        <w:pStyle w:val="FootnoteText"/>
        <w:numPr>
          <w:ilvl w:val="0"/>
          <w:numId w:val="31"/>
        </w:numPr>
      </w:pPr>
      <w:r>
        <w:t>Toteutettiinko kilpailuprosessi samankaltaisissa makrotaloudellisissa olosuhteissa?</w:t>
      </w:r>
    </w:p>
    <w:p w14:paraId="2BEE57E5" w14:textId="77777777" w:rsidR="006B45D5" w:rsidRDefault="006B45D5" w:rsidP="00B82F95">
      <w:pPr>
        <w:pStyle w:val="FootnoteText"/>
        <w:numPr>
          <w:ilvl w:val="0"/>
          <w:numId w:val="31"/>
        </w:numPr>
      </w:pPr>
      <w:r>
        <w:t>Olivatko teknologiat/hanketyypit samankaltaisia?</w:t>
      </w:r>
    </w:p>
  </w:footnote>
  <w:footnote w:id="9">
    <w:p w14:paraId="590F3FC7" w14:textId="30CB4935" w:rsidR="005B06D6" w:rsidRDefault="005B06D6" w:rsidP="00821F07">
      <w:pPr>
        <w:pStyle w:val="FootnoteText"/>
      </w:pPr>
      <w:r>
        <w:rPr>
          <w:rStyle w:val="FootnoteReference"/>
        </w:rPr>
        <w:footnoteRef/>
      </w:r>
      <w:r>
        <w:tab/>
        <w:t>Suuntaviivojen 19 kappaleen 89 kohdan mukaan ’unionin normilla’ tarkoitetaan</w:t>
      </w:r>
    </w:p>
    <w:p w14:paraId="340A0B20" w14:textId="77777777" w:rsidR="005B06D6" w:rsidRPr="004B74BC" w:rsidRDefault="005B06D6" w:rsidP="00B82F95">
      <w:pPr>
        <w:pStyle w:val="FootnoteText"/>
        <w:numPr>
          <w:ilvl w:val="0"/>
          <w:numId w:val="27"/>
        </w:numPr>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02AC4E0B" w14:textId="266BC460" w:rsidR="005B06D6" w:rsidRDefault="005B06D6" w:rsidP="00B82F95">
      <w:pPr>
        <w:pStyle w:val="FootnoteText"/>
        <w:numPr>
          <w:ilvl w:val="0"/>
          <w:numId w:val="27"/>
        </w:numPr>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10">
    <w:p w14:paraId="411ACB68" w14:textId="497824F8" w:rsidR="005B06D6" w:rsidRPr="003379AF" w:rsidRDefault="005B06D6">
      <w:pPr>
        <w:pStyle w:val="FootnoteText"/>
      </w:pPr>
      <w:r>
        <w:rPr>
          <w:rStyle w:val="FootnoteReference"/>
        </w:rPr>
        <w:footnoteRef/>
      </w:r>
      <w:r>
        <w:t xml:space="preserve"> </w:t>
      </w:r>
      <w:r>
        <w:tab/>
        <w:t>Analyysi voidaan tehdä muiden tekijöiden lisäksi kyseisen toimialan tuotteiden hintajoustoa koskevien arvioiden, myynnin menetystä koskevien arvioiden ja näiden vaikutusta tuensaajan kannattavuuteen koskevien arvioiden perusteella.</w:t>
      </w:r>
    </w:p>
  </w:footnote>
  <w:footnote w:id="11">
    <w:p w14:paraId="1464609F" w14:textId="77777777" w:rsidR="00611EA4" w:rsidRPr="0012122C" w:rsidRDefault="00611EA4" w:rsidP="00611EA4">
      <w:pPr>
        <w:pStyle w:val="FootnoteText"/>
      </w:pPr>
      <w:r>
        <w:rPr>
          <w:rStyle w:val="FootnoteReference"/>
        </w:rPr>
        <w:footnoteRef/>
      </w:r>
      <w:r>
        <w:t xml:space="preserve"> </w:t>
      </w:r>
      <w:r>
        <w:tab/>
        <w:t>Hyödykkeen tai hankkeen uutuus voidaan osoittaa esimerkiksi kuvaamalla tarkasti innovaatio ja sen markkinoille tuomista tai levittämistä koskevat markkinaedellytykset ja vertaamalla sitä alan viimeisimmän kehityksen mukaisiin prosesseihin tai organisatoriseen tekniikkaan, jota muut saman alan yritykset yleensä käyttävät.</w:t>
      </w:r>
    </w:p>
  </w:footnote>
  <w:footnote w:id="12">
    <w:p w14:paraId="69DB6703" w14:textId="77777777" w:rsidR="00611EA4" w:rsidRPr="003E2299" w:rsidRDefault="00611EA4" w:rsidP="00611EA4">
      <w:pPr>
        <w:pStyle w:val="FootnoteText"/>
      </w:pPr>
      <w:r>
        <w:rPr>
          <w:rStyle w:val="FootnoteReference"/>
        </w:rPr>
        <w:footnoteRef/>
      </w:r>
      <w:r>
        <w:t xml:space="preserve"> </w:t>
      </w:r>
      <w:r>
        <w:tab/>
        <w:t>Jos määrällisiä muuttujia voidaan käyttää ekoinnovaatiotoiminnan vertaamiseksi standarditoimintaan, joka ei ole innovatiivista, ’merkittävästi suuremmalla’ tarkoitetaan sitä, että ekoinnovaatiotoiminnasta odotettavissa olevan ympäristöriskin pienenemisen tai pilaantumisen vähenemisen taikka energian tai energiaresurssien käytön tehostumisen muodossa odotettavissa olevan parannuksen on oltava vähintään kaksi kertaa niin suuri kuin parannus, joka on odotettavissa vertailukelpoisen, mutta ei-innovatiivisen toiminnan yleisestä kehityksestä. Jos tämä lähestymistapa ei sovellu käytettäväksi tietyssä tapauksessa tai jos määrällinen vertailu on mahdotonta, valtiontukihakemukseen olisi liitettävä yksityiskohtainen kuvaus tämän kriteerin arvioinnissa käytetystä menetelmästä, joka on verrattavissa ehdotettuun menetelmään.</w:t>
      </w:r>
    </w:p>
  </w:footnote>
  <w:footnote w:id="13">
    <w:p w14:paraId="210BC139" w14:textId="77777777" w:rsidR="00611EA4" w:rsidRPr="003E2299" w:rsidRDefault="00611EA4" w:rsidP="00611EA4">
      <w:pPr>
        <w:pStyle w:val="FootnoteText"/>
      </w:pPr>
      <w:r>
        <w:rPr>
          <w:rStyle w:val="FootnoteReference"/>
        </w:rPr>
        <w:footnoteRef/>
      </w:r>
      <w:r>
        <w:t xml:space="preserve"> </w:t>
      </w:r>
      <w:r>
        <w:tab/>
        <w:t>Jäsenvaltio voi osoittaa tämän riskin esimerkiksi seuraavien tekijöiden avulla: kustannukset suhteessa yrityksen liikevaihtoon, kehittämiseen vaadittu aika, ekoinnovointitoiminnasta odotettavissa olevat hyödyt verrattuna kustannuksiin ja epäonnistumisen todennäköisyys.</w:t>
      </w:r>
    </w:p>
  </w:footnote>
  <w:footnote w:id="14">
    <w:p w14:paraId="5747D8E4" w14:textId="650D733F" w:rsidR="00E766C0" w:rsidRPr="0095488F" w:rsidRDefault="00E766C0" w:rsidP="00E766C0">
      <w:pPr>
        <w:pStyle w:val="FootnoteText"/>
      </w:pPr>
      <w:r>
        <w:rPr>
          <w:rStyle w:val="FootnoteReference"/>
        </w:rPr>
        <w:footnoteRef/>
      </w:r>
      <w:r>
        <w:tab/>
        <w:t>Ks. myös lisätiedot suuntaviivojen 51–53 kappaleessa sekä alaviitteissä 45 ja 46.</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Huomatkaa, että suuntaviivojen alaviitteessä 44 todetaan seuraavaa:</w:t>
      </w:r>
    </w:p>
    <w:p w14:paraId="193F0D8D" w14:textId="77777777" w:rsidR="005B06D6" w:rsidRDefault="005B06D6" w:rsidP="00E50157">
      <w:pPr>
        <w:pStyle w:val="FootnoteText"/>
      </w:pPr>
      <w:r>
        <w:tab/>
      </w:r>
      <w:r>
        <w:rPr>
          <w:i/>
        </w:rPr>
        <w:t>”</w:t>
      </w:r>
      <w:r>
        <w:rPr>
          <w:i/>
          <w:color w:val="000000"/>
          <w:sz w:val="19"/>
          <w:shd w:val="clear" w:color="auto" w:fill="FFFFFF"/>
        </w:rPr>
        <w:t>Jäsenvaltiot voivat kehittää ympäristönsuojeluyksikköjen arviointia varten esimerkiksi menetelmän, jossa otetaan huomioon päästöt tai muu pilaantuminen tukea saavan taloudellisen toiminnan eri vaiheissa, hankkeen toteuttamisen kesto tai järjestelmäintegroinnin kustannukset. Kun jäsenvaltiot arvioivat päätavoitteiden saavuttamista suhteessa haettuun tukimäärään, ne voivat esimerkiksi painottaa eri objektiivisia kriteerejä ja tehdä valinnan objektiivisten kriteerien painotetun keskiarvon yksikkökohtaisen tuen määrän perusteella tai valita objektiivisista kriteereistä eniten pisteitä saaneen tarjouksen niiden tarjousten joukosta, joissa tuen määrä objektiivisten kriteerien yksikköä kohti on alhaisin. Tällaisessa lähestymistavassa parametrit on säädettävä sellaisiksi, että tarjousmenettely pysyy syrjimättömänä ja tosiasiallisesti kilpailullisena ja kuvastaa taloudellista arvoa.”</w:t>
      </w:r>
    </w:p>
  </w:footnote>
  <w:footnote w:id="17">
    <w:p w14:paraId="086AD512" w14:textId="70BC3A35" w:rsidR="005B06D6" w:rsidRDefault="005B06D6">
      <w:pPr>
        <w:pStyle w:val="FootnoteText"/>
      </w:pPr>
      <w:r>
        <w:rPr>
          <w:rStyle w:val="FootnoteReference"/>
        </w:rPr>
        <w:footnoteRef/>
      </w:r>
      <w:r>
        <w:t xml:space="preserve"> </w:t>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18">
    <w:p w14:paraId="02AA3570" w14:textId="77777777" w:rsidR="005B06D6" w:rsidRPr="008772CC" w:rsidRDefault="005B06D6" w:rsidP="004B2EF3">
      <w:pPr>
        <w:pStyle w:val="FootnoteText"/>
      </w:pPr>
      <w:r>
        <w:rPr>
          <w:rStyle w:val="FootnoteReference"/>
        </w:rPr>
        <w:footnoteRef/>
      </w:r>
      <w:r>
        <w:tab/>
        <w:t>Euroopan parlamentin ja neuvoston asetus (EU) 2020/852, annettu 18 päivänä kesäkuuta 2020, kestävää sijoittamista helpottavasta kehyksestä ja asetuksen (EU) 2019/2088 muuttamisesta (EUVL L 198, 22.6.2020, s. 13).</w:t>
      </w:r>
    </w:p>
  </w:footnote>
  <w:footnote w:id="19">
    <w:p w14:paraId="05B1881A" w14:textId="31AF954D" w:rsidR="008472A5" w:rsidRDefault="008472A5" w:rsidP="008472A5">
      <w:pPr>
        <w:pStyle w:val="FootnoteText"/>
      </w:pPr>
      <w:r>
        <w:rPr>
          <w:rStyle w:val="FootnoteReference"/>
        </w:rPr>
        <w:footnoteRef/>
      </w:r>
      <w:r>
        <w:t xml:space="preserve"> </w:t>
      </w:r>
      <w:r>
        <w:tab/>
        <w:t xml:space="preserve">Arviointisuunnitelman ilmoittamiseen käytettävän lisätietolomakkeen malli (osa III.8) on saatavilla täällä: </w:t>
      </w:r>
      <w:hyperlink r:id="rId1" w:anchor="evaluation-plan" w:history="1">
        <w:r w:rsidR="00F17FE8">
          <w:rPr>
            <w:rStyle w:val="Hyperlink"/>
            <w:color w:val="auto"/>
          </w:rPr>
          <w:t>https://competition-policy.ec.europa.eu/state-aid/legislation/forms-notifications-and-reporting_fi#evaluation-plan</w:t>
        </w:r>
      </w:hyperlink>
      <w:r w:rsidR="00C01760" w:rsidRPr="00C01760">
        <w:rPr>
          <w:rStyle w:val="Hyperlink"/>
          <w:color w:val="auto"/>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8"/>
  <w:proofState w:spelling="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1760"/>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FE8"/>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prefLang=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5794</Words>
  <Characters>30656</Characters>
  <DocSecurity>0</DocSecurity>
  <Lines>666</Lines>
  <Paragraphs>236</Paragraphs>
  <ScaleCrop>false</ScaleCrop>
  <LinksUpToDate>false</LinksUpToDate>
  <CharactersWithSpaces>36214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