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353411E8">
        <w:trPr>
          <w:trHeight w:val="1134"/>
        </w:trPr>
        <w:tc>
          <w:tcPr>
            <w:tcW w:w="9214" w:type="dxa"/>
            <w:shd w:val="clear" w:color="auto" w:fill="auto"/>
          </w:tcPr>
          <w:p w14:paraId="522D7E84" w14:textId="6733C1F9" w:rsidR="00BA39B3" w:rsidRDefault="00FA1F8A" w:rsidP="007B485D">
            <w:pPr>
              <w:pStyle w:val="Heading2"/>
              <w:spacing w:before="240" w:after="240"/>
              <w:jc w:val="center"/>
              <w:rPr>
                <w:sz w:val="32"/>
                <w:szCs w:val="32"/>
              </w:rPr>
            </w:pPr>
            <w:bookmarkStart w:id="0" w:name="_Toc414370364"/>
            <w:bookmarkStart w:id="1" w:name="_Toc416949016"/>
            <w:r>
              <w:rPr>
                <w:sz w:val="32"/>
              </w:rPr>
              <w:t xml:space="preserve">Del III.6 –</w:t>
            </w:r>
            <w:r>
              <w:rPr>
                <w:sz w:val="32"/>
              </w:rPr>
              <w:t xml:space="preserve"> </w:t>
            </w:r>
          </w:p>
          <w:p w14:paraId="1C239D2C" w14:textId="79113717" w:rsidR="000442F5" w:rsidRPr="00080012" w:rsidRDefault="00BA39B3" w:rsidP="007B485D">
            <w:pPr>
              <w:pStyle w:val="Heading2"/>
              <w:spacing w:before="240" w:after="240"/>
              <w:jc w:val="center"/>
              <w:rPr>
                <w:sz w:val="32"/>
                <w:szCs w:val="32"/>
              </w:rPr>
            </w:pPr>
            <w:r>
              <w:rPr>
                <w:sz w:val="32"/>
                <w:rStyle w:val="normaltextrun"/>
                <w:color w:val="000000"/>
                <w:bdr w:val="none" w:sz="0" w:space="0" w:color="auto" w:frame="1"/>
              </w:rPr>
              <w:t xml:space="preserve">Uppdaterat*</w:t>
            </w:r>
            <w:r>
              <w:rPr>
                <w:sz w:val="32"/>
              </w:rPr>
              <w:t xml:space="preserve"> formulär för kompletterande information om statligt stöd som beviljas enligt riktlinjerna för statligt stöd till klimat, miljöskydd och energi 2022 (</w:t>
            </w:r>
            <w:r>
              <w:rPr>
                <w:sz w:val="32"/>
                <w:i/>
              </w:rPr>
              <w:t xml:space="preserve">riktlinjerna</w:t>
            </w:r>
            <w:r>
              <w:rPr>
                <w:sz w:val="32"/>
              </w:rPr>
              <w:t xml:space="preserve">)</w:t>
            </w:r>
            <w:r w:rsidR="007B485D" w:rsidRPr="00080012">
              <w:rPr>
                <w:sz w:val="32"/>
                <w:szCs w:val="32"/>
                <w:vertAlign w:val="superscript"/>
              </w:rPr>
              <w:footnoteReference w:id="2"/>
            </w:r>
            <w:r>
              <w:rPr>
                <w:sz w:val="32"/>
              </w:rPr>
              <w:t xml:space="preserve"> </w:t>
            </w:r>
            <w:bookmarkEnd w:id="0"/>
            <w:bookmarkEnd w:id="1"/>
          </w:p>
          <w:p w14:paraId="467EC4F2" w14:textId="77777777" w:rsidR="002B52B3" w:rsidRDefault="002B52B3" w:rsidP="008D75A6">
            <w:pPr>
              <w:jc w:val="center"/>
              <w:rPr>
                <w:sz w:val="32"/>
                <w:szCs w:val="32"/>
              </w:rPr>
            </w:pPr>
            <w:r>
              <w:rPr>
                <w:sz w:val="32"/>
              </w:rPr>
              <w:t xml:space="preserve">Kapitel 4.5 – Stöd för förebyggande och minskning av andra föroreningar än växthusgaser</w:t>
            </w:r>
            <w:r>
              <w:rPr>
                <w:sz w:val="32"/>
              </w:rPr>
              <w:t xml:space="preserve">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 xml:space="preserve">* Ännu inte formellt antaget.</w:t>
            </w:r>
          </w:p>
        </w:tc>
      </w:tr>
    </w:tbl>
    <w:p w14:paraId="5F26D476" w14:textId="4F5B65DA" w:rsidR="000442F5" w:rsidRPr="00711243" w:rsidRDefault="000442F5" w:rsidP="000442F5">
      <w:pPr>
        <w:spacing w:before="120" w:after="120"/>
        <w:ind w:right="-142"/>
        <w:jc w:val="both"/>
        <w:rPr>
          <w:i/>
          <w:iCs/>
        </w:rPr>
      </w:pPr>
      <w:r>
        <w:rPr>
          <w:i/>
        </w:rPr>
        <w:t xml:space="preserve">Detta formulär för kompletterande information ska användas för anmälan av stöd som omfattas av riktlinjerna för statligt stöd till klimat, miljöskydd och energi 2022 (energiriktlinjerna).</w:t>
      </w:r>
    </w:p>
    <w:p w14:paraId="1B60656B" w14:textId="37F96FA1" w:rsidR="009E2EA1" w:rsidRPr="00711243" w:rsidRDefault="0072538B" w:rsidP="009E2EA1">
      <w:pPr>
        <w:spacing w:before="120" w:after="120"/>
        <w:ind w:right="-142"/>
        <w:jc w:val="both"/>
        <w:rPr>
          <w:i/>
          <w:iCs/>
        </w:rPr>
      </w:pPr>
      <w:r>
        <w:rPr>
          <w:i/>
        </w:rPr>
        <w:t xml:space="preserve">Detta formulär för kompletterande information avser åtgärder som omfattas av kapitel 4.5 i riktlinjerna.</w:t>
      </w:r>
      <w:r>
        <w:rPr>
          <w:i/>
        </w:rPr>
        <w:t xml:space="preserve"> </w:t>
      </w:r>
      <w:r>
        <w:rPr>
          <w:i/>
        </w:rPr>
        <w:t xml:space="preserve">Om anmälan inbegriper åtgärder som omfattas av mer än ett kapitel i riktlinjerna ska även det formulär för kompletterande information som rör det aktuella kapitel i riktlinjerna fyllas i när det finns tillgängligt.</w:t>
      </w:r>
      <w:r>
        <w:rPr>
          <w:i/>
        </w:rPr>
        <w:t xml:space="preserve"> </w:t>
      </w:r>
    </w:p>
    <w:p w14:paraId="05E36007" w14:textId="5E24D00F" w:rsidR="009E2EA1" w:rsidRPr="00711243" w:rsidRDefault="009E2EA1" w:rsidP="009E2EA1">
      <w:pPr>
        <w:spacing w:before="120" w:after="120"/>
        <w:ind w:right="-142"/>
        <w:jc w:val="both"/>
        <w:rPr>
          <w:i/>
          <w:iCs/>
        </w:rPr>
      </w:pPr>
      <w:r>
        <w:rPr>
          <w:i/>
        </w:rPr>
        <w:t xml:space="preserve">Alla dokument som medlemsstaterna bifogar detta formulär för kompletterande information som bilagor måste numreras, och dokumentnumren måste anges i de tillämpliga avsnitten av detta formulär.</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 xml:space="preserve">Avsnitt A:</w:t>
            </w:r>
            <w:r>
              <w:rPr>
                <w:b/>
                <w:sz w:val="32"/>
              </w:rPr>
              <w:t xml:space="preserve"> </w:t>
            </w:r>
            <w:r>
              <w:rPr>
                <w:b/>
                <w:sz w:val="32"/>
              </w:rPr>
              <w:t xml:space="preserve">Sammanfattning av huvuddragen i den eller de anmälda åtgärderna</w:t>
            </w:r>
          </w:p>
        </w:tc>
      </w:tr>
    </w:tbl>
    <w:p w14:paraId="58CA5BA7" w14:textId="77777777" w:rsidR="00564D5B" w:rsidRDefault="00564D5B" w:rsidP="00564D5B">
      <w:pPr>
        <w:pStyle w:val="ListParagraph"/>
        <w:spacing w:before="120" w:after="120"/>
        <w:ind w:left="567"/>
        <w:contextualSpacing w:val="0"/>
        <w:jc w:val="both"/>
        <w:rPr>
          <w:b/>
        </w:rPr>
      </w:pPr>
    </w:p>
    <w:p w14:paraId="4B9EEEE5" w14:textId="21526587" w:rsidR="00B615AA" w:rsidRPr="00A33990" w:rsidRDefault="007302C9" w:rsidP="00A33990">
      <w:pPr>
        <w:pStyle w:val="ListParagraph"/>
        <w:numPr>
          <w:ilvl w:val="0"/>
          <w:numId w:val="4"/>
        </w:numPr>
        <w:spacing w:before="120" w:after="120"/>
        <w:ind w:left="567" w:hanging="567"/>
        <w:contextualSpacing w:val="0"/>
        <w:jc w:val="both"/>
        <w:rPr>
          <w:b/>
        </w:rPr>
      </w:pPr>
      <w:r>
        <w:rPr>
          <w:b/>
        </w:rPr>
        <w:t xml:space="preserve">Bakgrund och mål för den eller de anmälda åtgärderna:</w:t>
      </w:r>
    </w:p>
    <w:p w14:paraId="66C78946" w14:textId="24620289" w:rsidR="004725A8" w:rsidRPr="004725A8" w:rsidRDefault="00293E15" w:rsidP="00451471">
      <w:pPr>
        <w:pStyle w:val="ListParagraph"/>
        <w:numPr>
          <w:ilvl w:val="1"/>
          <w:numId w:val="4"/>
        </w:numPr>
        <w:spacing w:before="120" w:after="120"/>
        <w:ind w:left="1276" w:hanging="567"/>
        <w:contextualSpacing w:val="0"/>
        <w:jc w:val="both"/>
      </w:pPr>
      <w:r>
        <w:t xml:space="preserve">Om det inte redan tagits upp i avsnitt 5.2 i formuläret för allmän information (del I), ange bakgrund och huvudsakligt mål, inklusive eventuella unionsmål för miljömål, som åtgärden är avsedd att stödja.</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7915DAF9" w:rsidR="00C0702F" w:rsidRPr="00F656BE" w:rsidRDefault="00C0702F" w:rsidP="00451471">
      <w:pPr>
        <w:pStyle w:val="ListParagraph"/>
        <w:numPr>
          <w:ilvl w:val="1"/>
          <w:numId w:val="4"/>
        </w:numPr>
        <w:spacing w:before="120" w:after="120"/>
        <w:ind w:left="1276" w:hanging="567"/>
        <w:contextualSpacing w:val="0"/>
        <w:jc w:val="both"/>
      </w:pPr>
      <w:r>
        <w:t xml:space="preserve">Ange eventuella andra mål som eftersträvas med åtgärden.</w:t>
      </w:r>
      <w:r>
        <w:t xml:space="preserve"> </w:t>
      </w:r>
      <w:r>
        <w:t xml:space="preserve">För alla mål som inte är rent miljömässiga, ange om de kan leda till snedvridningar av konkurrensen på den inre marknaden.</w:t>
      </w:r>
      <w:r>
        <w:t xml:space="preserve"> </w:t>
      </w:r>
    </w:p>
    <w:p w14:paraId="29915C83" w14:textId="77777777" w:rsidR="00C0702F" w:rsidRPr="00711243" w:rsidRDefault="00C0702F" w:rsidP="00C0702F">
      <w:pPr>
        <w:tabs>
          <w:tab w:val="left" w:leader="dot" w:pos="9072"/>
        </w:tabs>
        <w:spacing w:before="120" w:after="120"/>
        <w:ind w:left="567"/>
        <w:jc w:val="both"/>
      </w:pPr>
      <w:r>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Pr>
          <w:b/>
        </w:rPr>
        <w:t xml:space="preserve">Ikraftträdande och varaktighet:</w:t>
      </w:r>
    </w:p>
    <w:p w14:paraId="3951E532" w14:textId="3CF5B57E" w:rsidR="00FD5F79" w:rsidRPr="00CF4A34" w:rsidRDefault="00826128" w:rsidP="00451471">
      <w:pPr>
        <w:pStyle w:val="ListParagraph"/>
        <w:numPr>
          <w:ilvl w:val="1"/>
          <w:numId w:val="4"/>
        </w:numPr>
        <w:spacing w:before="120" w:after="120"/>
        <w:ind w:left="1276" w:hanging="567"/>
        <w:contextualSpacing w:val="0"/>
        <w:jc w:val="both"/>
        <w:rPr>
          <w:szCs w:val="24"/>
        </w:rPr>
      </w:pPr>
      <w:r>
        <w:t xml:space="preserve">Om det inte redan har uppgetts under avsnitt 5.5 i formuläret för allmän information (del I), ange det datum från och med vilket stödordningen planeras träda i kraft.</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 xml:space="preserve">Ange stödordningens varaktighet.</w:t>
      </w:r>
      <w:r w:rsidRPr="0096487F">
        <w:rPr>
          <w:rStyle w:val="FootnoteReference"/>
          <w:rFonts w:cs="Arial Unicode MS"/>
          <w:bCs/>
          <w:lang w:bidi="si-LK"/>
        </w:rPr>
        <w:footnoteReference w:id="3"/>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b/>
          <w:bCs/>
          <w:rFonts w:cs="Arial Unicode MS"/>
        </w:rPr>
      </w:pPr>
      <w:r>
        <w:rPr>
          <w:b/>
        </w:rPr>
        <w:t xml:space="preserve">Stödmottagare</w:t>
      </w:r>
      <w:r>
        <w:rPr>
          <w:b/>
        </w:rPr>
        <w:tab/>
      </w:r>
    </w:p>
    <w:p w14:paraId="0B353EA4" w14:textId="54B645BD" w:rsidR="00BC5DDD" w:rsidRDefault="0008415C" w:rsidP="00451471">
      <w:pPr>
        <w:pStyle w:val="ListParagraph"/>
        <w:numPr>
          <w:ilvl w:val="1"/>
          <w:numId w:val="4"/>
        </w:numPr>
        <w:spacing w:before="120" w:after="120"/>
        <w:ind w:left="1276" w:hanging="567"/>
        <w:contextualSpacing w:val="0"/>
        <w:jc w:val="both"/>
        <w:rPr>
          <w:szCs w:val="24"/>
        </w:rPr>
      </w:pPr>
      <w:r>
        <w:t xml:space="preserve">Om det inte redan har uppgetts under avsnitt 3 i formuläret för allmän information (del I), beskriv (den potentiella) stödmottagaren eller (de potentiella) stödmottagarna för åtgärden/åtgärderna.</w:t>
      </w:r>
    </w:p>
    <w:p w14:paraId="364AE839" w14:textId="2258C142" w:rsidR="00C90797" w:rsidRPr="00564D5B" w:rsidRDefault="00564D5B" w:rsidP="00564D5B">
      <w:pPr>
        <w:tabs>
          <w:tab w:val="left" w:leader="dot" w:pos="9072"/>
        </w:tabs>
        <w:spacing w:before="120" w:after="120"/>
        <w:ind w:left="567"/>
        <w:jc w:val="both"/>
      </w:pPr>
      <w:r>
        <w:tab/>
      </w:r>
    </w:p>
    <w:p w14:paraId="06F08713" w14:textId="0F59663A" w:rsidR="00F33CC0" w:rsidRPr="00C55D4C" w:rsidRDefault="00DB40A5" w:rsidP="00451471">
      <w:pPr>
        <w:pStyle w:val="ListParagraph"/>
        <w:numPr>
          <w:ilvl w:val="1"/>
          <w:numId w:val="4"/>
        </w:numPr>
        <w:spacing w:before="120" w:after="120"/>
        <w:ind w:left="1276" w:hanging="567"/>
        <w:contextualSpacing w:val="0"/>
        <w:jc w:val="both"/>
        <w:rPr>
          <w:szCs w:val="24"/>
        </w:rPr>
      </w:pPr>
      <w:r>
        <w:t xml:space="preserve">Ange var stödmottagarna är belägna (dvs. om endast ekonomiska enheter belägna i respektive medlemsstat får delta i åtgärden eller även ekonomiska enheter i andra medlemsstater).</w:t>
      </w:r>
    </w:p>
    <w:p w14:paraId="51412974" w14:textId="5EFBD0ED" w:rsidR="000442F5" w:rsidRDefault="000442F5" w:rsidP="000442F5">
      <w:pPr>
        <w:tabs>
          <w:tab w:val="left" w:leader="dot" w:pos="9072"/>
        </w:tabs>
        <w:spacing w:before="120" w:after="120"/>
        <w:ind w:left="567"/>
        <w:jc w:val="both"/>
      </w:pPr>
      <w:r>
        <w:tab/>
      </w:r>
    </w:p>
    <w:p w14:paraId="27DDBE9A" w14:textId="579719EF" w:rsidR="00E4424D" w:rsidRDefault="003C33B1" w:rsidP="00451471">
      <w:pPr>
        <w:pStyle w:val="ListParagraph"/>
        <w:numPr>
          <w:ilvl w:val="1"/>
          <w:numId w:val="4"/>
        </w:numPr>
        <w:spacing w:before="120" w:after="120"/>
        <w:ind w:left="1276" w:hanging="567"/>
        <w:contextualSpacing w:val="0"/>
        <w:jc w:val="both"/>
        <w:rPr>
          <w:szCs w:val="24"/>
        </w:rPr>
      </w:pPr>
      <w:r>
        <w:t xml:space="preserve">För att det ska gå att bedöma om punkt 15 i riktlinjerna efterlevs, ange om stöd genom denna åtgärd beviljas företag (enskilt eller som del av en stödordning) som är föremål för ett oreglerat återbetalningskrav till följd av ett tidigare kommissionsbeslut som förklarat ett stöd olagligt och oförenligt med den inre marknaden.</w:t>
      </w:r>
      <w:r>
        <w:t xml:space="preserve"> </w:t>
      </w:r>
    </w:p>
    <w:p w14:paraId="7EAFEF40" w14:textId="77777777" w:rsidR="00E4424D" w:rsidRDefault="00E4424D" w:rsidP="00E4424D">
      <w:pPr>
        <w:pStyle w:val="ListParagraph"/>
        <w:rPr>
          <w:szCs w:val="24"/>
        </w:rPr>
      </w:pPr>
    </w:p>
    <w:p w14:paraId="6DA13136" w14:textId="1E67BBAE" w:rsidR="003C33B1" w:rsidRPr="00E4424D" w:rsidRDefault="00181BB0" w:rsidP="00E4424D">
      <w:pPr>
        <w:pStyle w:val="ListParagraph"/>
        <w:spacing w:after="240"/>
        <w:ind w:left="1080"/>
        <w:jc w:val="both"/>
        <w:rPr>
          <w:szCs w:val="24"/>
        </w:rPr>
      </w:pPr>
      <w:r>
        <w:t xml:space="preserve">Om så är fallet, ange det stödbelopp som återstår att återbetala så att kommissionen tar hänsyn till detta vid bedömningen av stödåtgärden/stödåtgärderna.</w:t>
      </w:r>
      <w:r>
        <w:t xml:space="preserve"> </w:t>
      </w:r>
    </w:p>
    <w:p w14:paraId="5BE9C845" w14:textId="77777777" w:rsidR="003C33B1" w:rsidRDefault="003C33B1" w:rsidP="003C33B1">
      <w:pPr>
        <w:tabs>
          <w:tab w:val="left" w:leader="dot" w:pos="9072"/>
        </w:tabs>
        <w:spacing w:before="120" w:after="120"/>
        <w:ind w:left="567"/>
        <w:jc w:val="both"/>
      </w:pPr>
      <w:r>
        <w:tab/>
      </w:r>
    </w:p>
    <w:p w14:paraId="2C10575C" w14:textId="0C97CBB8" w:rsidR="002E10AC" w:rsidRPr="00FC4A9E" w:rsidRDefault="003F0F81" w:rsidP="00FE7025">
      <w:pPr>
        <w:pStyle w:val="ListParagraph"/>
        <w:numPr>
          <w:ilvl w:val="0"/>
          <w:numId w:val="4"/>
        </w:numPr>
        <w:spacing w:before="120" w:after="120"/>
        <w:ind w:left="567" w:hanging="567"/>
        <w:contextualSpacing w:val="0"/>
        <w:jc w:val="both"/>
      </w:pPr>
      <w:r>
        <w:t xml:space="preserve">Bekräfta att åtgärden/åtgärderna inte inbegriper stöd till verksamheter som inte ingår i riktlinjernas tillämpningsområde (se punkt 13 i riktlinjerna).</w:t>
      </w:r>
      <w:r>
        <w:t xml:space="preserve"> </w:t>
      </w:r>
      <w:r>
        <w:t xml:space="preserve">I annat fall, lämna närmare uppgifter.</w:t>
      </w:r>
    </w:p>
    <w:p w14:paraId="6780EF79" w14:textId="17E52AF7" w:rsidR="00577AF5" w:rsidRPr="00C55D4C" w:rsidRDefault="009368F1" w:rsidP="000442F5">
      <w:pPr>
        <w:tabs>
          <w:tab w:val="left" w:leader="dot" w:pos="9072"/>
        </w:tabs>
        <w:spacing w:before="120" w:after="120"/>
        <w:ind w:left="567"/>
        <w:jc w:val="both"/>
      </w:pPr>
      <w:r>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bCs/>
          <w:rFonts w:cs="Arial Unicode MS"/>
        </w:rPr>
      </w:pPr>
      <w:bookmarkStart w:id="2" w:name="_Ref126829229"/>
      <w:r>
        <w:rPr>
          <w:b/>
        </w:rPr>
        <w:t xml:space="preserve">Budget för och finansiering av åtgärden/åtgärderna.</w:t>
      </w:r>
      <w:bookmarkEnd w:id="2"/>
    </w:p>
    <w:p w14:paraId="52B28A95" w14:textId="5F08190F" w:rsidR="00115C85" w:rsidRPr="00ED2FA7" w:rsidRDefault="00D65A84" w:rsidP="00451471">
      <w:pPr>
        <w:pStyle w:val="ListParagraph"/>
        <w:numPr>
          <w:ilvl w:val="1"/>
          <w:numId w:val="4"/>
        </w:numPr>
        <w:spacing w:before="120" w:after="120"/>
        <w:ind w:left="1276" w:hanging="567"/>
        <w:contextualSpacing w:val="0"/>
        <w:jc w:val="both"/>
        <w:rPr>
          <w:bCs/>
          <w:rFonts w:cs="Arial Unicode MS"/>
        </w:rPr>
      </w:pPr>
      <w:r>
        <w:t xml:space="preserve">Om det inte redan har uppgetts i tabellen i avsnitt 7.1 i formuläret för allmän information (del I), ange den årliga budgeten och/eller den totala budgeten för åtgärdens eller åtgärdernas hela varaktighet.</w:t>
      </w:r>
      <w:r>
        <w:t xml:space="preserve"> </w:t>
      </w:r>
      <w:r>
        <w:t xml:space="preserve">Om den totala budgeten inte är känd (t.ex. för att den beror på resultaten av upphandlingar), ange en beräknad budget, inklusive de beräkningsantaganden som ligger till grund för denna</w:t>
      </w:r>
      <w:r w:rsidR="00A53EBB" w:rsidRPr="00AC286A">
        <w:rPr>
          <w:rFonts w:cs="Arial Unicode MS"/>
          <w:bCs/>
          <w:vertAlign w:val="superscript"/>
          <w:lang w:bidi="si-LK"/>
        </w:rPr>
        <w:footnoteReference w:id="4"/>
      </w:r>
      <w:r>
        <w:t xml:space="preserve">.</w:t>
      </w:r>
    </w:p>
    <w:p w14:paraId="61879372" w14:textId="77777777" w:rsidR="00D25FB9" w:rsidRPr="00ED2FA7" w:rsidRDefault="00D25FB9" w:rsidP="00D25FB9">
      <w:pPr>
        <w:tabs>
          <w:tab w:val="left" w:leader="dot" w:pos="9072"/>
        </w:tabs>
        <w:spacing w:before="120" w:after="120"/>
        <w:ind w:left="567"/>
        <w:jc w:val="both"/>
      </w:pPr>
      <w:r>
        <w:tab/>
      </w:r>
    </w:p>
    <w:p w14:paraId="328B0642" w14:textId="77777777" w:rsidR="00ED4BB5" w:rsidRDefault="005C2ABA" w:rsidP="00451471">
      <w:pPr>
        <w:pStyle w:val="ListParagraph"/>
        <w:numPr>
          <w:ilvl w:val="1"/>
          <w:numId w:val="4"/>
        </w:numPr>
        <w:spacing w:before="120" w:after="120"/>
        <w:ind w:left="1276" w:hanging="567"/>
        <w:contextualSpacing w:val="0"/>
        <w:jc w:val="both"/>
        <w:rPr>
          <w:bCs/>
          <w:rFonts w:cs="Arial Unicode MS"/>
        </w:rPr>
      </w:pPr>
      <w:bookmarkStart w:id="3" w:name="_Ref126829235"/>
      <w:r>
        <w:t xml:space="preserve">Om åtgärden finansieras genom en avgift, ange huruvida följande gäller:</w:t>
      </w:r>
      <w:bookmarkEnd w:id="3"/>
      <w:r>
        <w:t xml:space="preserve"> </w:t>
      </w:r>
    </w:p>
    <w:p w14:paraId="7D9CD5BC" w14:textId="0464CD8F" w:rsidR="004D34AD" w:rsidRDefault="00AD0976" w:rsidP="00B82F95">
      <w:pPr>
        <w:pStyle w:val="ListParagraph"/>
        <w:numPr>
          <w:ilvl w:val="1"/>
          <w:numId w:val="21"/>
        </w:numPr>
        <w:spacing w:before="120" w:after="120"/>
        <w:contextualSpacing w:val="0"/>
        <w:jc w:val="both"/>
        <w:rPr>
          <w:bCs/>
          <w:rFonts w:cs="Arial Unicode MS"/>
        </w:rPr>
      </w:pPr>
      <w:r>
        <w:t xml:space="preserve">Avgiften fastställs i lag eller någon annan lagstiftningsakt.</w:t>
      </w:r>
      <w:r>
        <w:t xml:space="preserve"> </w:t>
      </w:r>
      <w:r>
        <w:t xml:space="preserve">Om så är fallet, ange rättsaktens nummer och datum för när den antogs och trädde i kraft samt internetlänken till rättsakten.</w:t>
      </w:r>
    </w:p>
    <w:p w14:paraId="1AB3FA42" w14:textId="72255969" w:rsidR="00C90797" w:rsidRDefault="00C90797" w:rsidP="00C90797">
      <w:pPr>
        <w:tabs>
          <w:tab w:val="left" w:leader="dot" w:pos="9072"/>
        </w:tabs>
        <w:spacing w:before="120" w:after="120"/>
        <w:ind w:left="567"/>
        <w:jc w:val="both"/>
      </w:pPr>
      <w:r>
        <w:tab/>
      </w:r>
    </w:p>
    <w:p w14:paraId="5449BAE9" w14:textId="77777777" w:rsidR="00ED4BB5" w:rsidRDefault="00ED4BB5" w:rsidP="00B82F95">
      <w:pPr>
        <w:pStyle w:val="ListParagraph"/>
        <w:numPr>
          <w:ilvl w:val="1"/>
          <w:numId w:val="21"/>
        </w:numPr>
        <w:spacing w:before="120" w:after="120"/>
        <w:contextualSpacing w:val="0"/>
        <w:jc w:val="both"/>
        <w:rPr>
          <w:bCs/>
          <w:rFonts w:cs="Arial Unicode MS"/>
        </w:rPr>
      </w:pPr>
      <w:r>
        <w:t xml:space="preserve">Avgiften tas ut på både inhemska och importerade produkter.</w:t>
      </w:r>
    </w:p>
    <w:p w14:paraId="3881C491" w14:textId="77777777" w:rsidR="00ED4BB5" w:rsidRDefault="00ED4BB5" w:rsidP="00425CC6">
      <w:pPr>
        <w:tabs>
          <w:tab w:val="left" w:leader="dot" w:pos="9072"/>
        </w:tabs>
        <w:spacing w:before="120" w:after="120"/>
        <w:ind w:left="567"/>
        <w:jc w:val="both"/>
      </w:pPr>
      <w:r>
        <w:tab/>
      </w:r>
    </w:p>
    <w:p w14:paraId="030E6EB4" w14:textId="30DA85B9" w:rsidR="00ED4BB5" w:rsidRDefault="00ED4BB5" w:rsidP="00B82F95">
      <w:pPr>
        <w:pStyle w:val="ListParagraph"/>
        <w:numPr>
          <w:ilvl w:val="1"/>
          <w:numId w:val="21"/>
        </w:numPr>
        <w:spacing w:before="120" w:after="120"/>
        <w:contextualSpacing w:val="0"/>
        <w:jc w:val="both"/>
        <w:rPr>
          <w:bCs/>
          <w:rFonts w:cs="Arial Unicode MS"/>
        </w:rPr>
      </w:pPr>
      <w:r>
        <w:t xml:space="preserve">Den anmälda åtgärden kommer att gynna både inhemska och importerade produkter.</w:t>
      </w:r>
    </w:p>
    <w:p w14:paraId="7282F728" w14:textId="0B8D937A" w:rsidR="00ED4BB5" w:rsidRDefault="00ED4BB5" w:rsidP="00425CC6">
      <w:pPr>
        <w:tabs>
          <w:tab w:val="left" w:leader="dot" w:pos="9072"/>
        </w:tabs>
        <w:spacing w:before="120" w:after="120"/>
        <w:ind w:left="567"/>
        <w:jc w:val="both"/>
      </w:pPr>
      <w:r>
        <w:tab/>
      </w:r>
    </w:p>
    <w:p w14:paraId="311AB37F" w14:textId="77777777" w:rsidR="00ED4BB5" w:rsidRDefault="00ED4BB5" w:rsidP="00B82F95">
      <w:pPr>
        <w:pStyle w:val="ListParagraph"/>
        <w:numPr>
          <w:ilvl w:val="1"/>
          <w:numId w:val="21"/>
        </w:numPr>
        <w:spacing w:before="120" w:after="120"/>
        <w:contextualSpacing w:val="0"/>
        <w:jc w:val="both"/>
        <w:rPr>
          <w:bCs/>
          <w:rFonts w:cs="Arial Unicode MS"/>
        </w:rPr>
      </w:pPr>
      <w:r>
        <w:t xml:space="preserve">Avgiften finansierar åtgärden helt eller endast delvis.</w:t>
      </w:r>
      <w:r>
        <w:t xml:space="preserve"> </w:t>
      </w:r>
      <w:r>
        <w:t xml:space="preserve">Om avgiften endast delvis finansierar åtgärden, ange övriga finansieringskällor för åtgärden och deras respektive andel.</w:t>
      </w:r>
    </w:p>
    <w:p w14:paraId="494B272B" w14:textId="77777777" w:rsidR="00ED4BB5" w:rsidRDefault="00ED4BB5" w:rsidP="00425CC6">
      <w:pPr>
        <w:tabs>
          <w:tab w:val="left" w:leader="dot" w:pos="9072"/>
        </w:tabs>
        <w:spacing w:before="120" w:after="120"/>
        <w:ind w:left="567"/>
        <w:jc w:val="both"/>
      </w:pPr>
      <w:r>
        <w:tab/>
      </w:r>
    </w:p>
    <w:p w14:paraId="04379DDF" w14:textId="77777777" w:rsidR="00ED4BB5" w:rsidRDefault="00ED4BB5" w:rsidP="00B82F95">
      <w:pPr>
        <w:pStyle w:val="ListParagraph"/>
        <w:numPr>
          <w:ilvl w:val="1"/>
          <w:numId w:val="21"/>
        </w:numPr>
        <w:spacing w:before="120" w:after="120"/>
        <w:contextualSpacing w:val="0"/>
        <w:jc w:val="both"/>
        <w:rPr>
          <w:bCs/>
          <w:rFonts w:cs="Arial Unicode MS"/>
        </w:rPr>
      </w:pPr>
      <w:r>
        <w:t xml:space="preserve">Den avgift som finansierar den anmälda åtgärden finansierar även andra stödåtgärder.</w:t>
      </w:r>
      <w:r>
        <w:t xml:space="preserve"> </w:t>
      </w:r>
      <w:r>
        <w:t xml:space="preserve">Ange i sådana fall övriga stödåtgärder som finansieras genom den berörda avgiften.</w:t>
      </w:r>
    </w:p>
    <w:p w14:paraId="7F291A69" w14:textId="77777777" w:rsidR="00ED4BB5" w:rsidRDefault="00ED4BB5" w:rsidP="00425CC6">
      <w:pPr>
        <w:tabs>
          <w:tab w:val="left" w:leader="dot" w:pos="9072"/>
        </w:tabs>
        <w:spacing w:before="120" w:after="120"/>
        <w:ind w:left="567"/>
        <w:jc w:val="both"/>
      </w:pPr>
      <w:r>
        <w:tab/>
      </w:r>
    </w:p>
    <w:p w14:paraId="1DE40BF4" w14:textId="77777777" w:rsidR="00ED4BB5" w:rsidRDefault="00ED4BB5" w:rsidP="00C90797">
      <w:pPr>
        <w:tabs>
          <w:tab w:val="left" w:leader="dot" w:pos="9072"/>
        </w:tabs>
        <w:spacing w:before="120" w:after="120"/>
        <w:ind w:left="567"/>
        <w:jc w:val="both"/>
      </w:pPr>
    </w:p>
    <w:p w14:paraId="65388348" w14:textId="77777777" w:rsidR="00BA5751" w:rsidRDefault="00BA5751" w:rsidP="00BA5751">
      <w:pPr>
        <w:pStyle w:val="ListParagraph"/>
        <w:spacing w:before="120" w:after="120"/>
        <w:ind w:left="993"/>
        <w:contextualSpacing w:val="0"/>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 xml:space="preserve">Avsnitt B:</w:t>
            </w:r>
            <w:r>
              <w:rPr>
                <w:b/>
                <w:sz w:val="32"/>
              </w:rPr>
              <w:t xml:space="preserve"> </w:t>
            </w:r>
            <w:r>
              <w:rPr>
                <w:b/>
                <w:sz w:val="32"/>
              </w:rPr>
              <w:t xml:space="preserve">Bedömning av stödets förenlighet med den inre marknaden</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B82F95">
            <w:pPr>
              <w:pStyle w:val="Heading1"/>
              <w:numPr>
                <w:ilvl w:val="0"/>
                <w:numId w:val="22"/>
              </w:numPr>
              <w:rPr>
                <w:i/>
                <w:sz w:val="28"/>
                <w:szCs w:val="28"/>
              </w:rPr>
            </w:pPr>
            <w:r>
              <w:rPr>
                <w:i/>
                <w:sz w:val="28"/>
              </w:rPr>
              <w:t xml:space="preserve">Positivt villkor:</w:t>
            </w:r>
            <w:r>
              <w:rPr>
                <w:i/>
                <w:sz w:val="28"/>
              </w:rPr>
              <w:t xml:space="preserve"> </w:t>
            </w:r>
            <w:r>
              <w:rPr>
                <w:i/>
                <w:sz w:val="28"/>
              </w:rPr>
              <w:t xml:space="preserve">stödet ska underlätta utvecklingen av en näringsverksamhet</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82F95">
            <w:pPr>
              <w:pStyle w:val="Heading1"/>
              <w:numPr>
                <w:ilvl w:val="1"/>
                <w:numId w:val="22"/>
              </w:numPr>
              <w:rPr>
                <w:sz w:val="24"/>
                <w:szCs w:val="24"/>
              </w:rPr>
            </w:pPr>
            <w:r>
              <w:rPr>
                <w:sz w:val="24"/>
              </w:rPr>
              <w:t xml:space="preserve">Bidrag till utvecklingen av en näringsverksamhet</w:t>
            </w:r>
          </w:p>
        </w:tc>
      </w:tr>
    </w:tbl>
    <w:p w14:paraId="1E2599D2" w14:textId="2E38BD96" w:rsidR="000442F5" w:rsidRPr="00DB40A5" w:rsidRDefault="000442F5" w:rsidP="000442F5">
      <w:pPr>
        <w:spacing w:before="360" w:after="120"/>
        <w:jc w:val="both"/>
        <w:rPr>
          <w:i/>
        </w:rPr>
      </w:pPr>
      <w:r>
        <w:rPr>
          <w:i/>
        </w:rPr>
        <w:t xml:space="preserve">För att lämna information i detta avsnitt, se avsnitt 3.1.1 (punkterna 23–25) och avsnitten 4.5.1 (punkt 253–254) och 4.5.2 (punkterna 255–259) i riktlinjerna.</w:t>
      </w:r>
      <w:r>
        <w:rPr>
          <w:i/>
        </w:rPr>
        <w:t xml:space="preserve"> </w:t>
      </w:r>
    </w:p>
    <w:p w14:paraId="05FCD0A3" w14:textId="6D762498" w:rsidR="00864DCD" w:rsidRPr="00DB40A5" w:rsidRDefault="006B6657" w:rsidP="00C52CFD">
      <w:pPr>
        <w:pStyle w:val="ListParagraph"/>
        <w:numPr>
          <w:ilvl w:val="0"/>
          <w:numId w:val="4"/>
        </w:numPr>
        <w:spacing w:before="120" w:after="120"/>
        <w:ind w:left="567" w:hanging="567"/>
        <w:contextualSpacing w:val="0"/>
        <w:jc w:val="both"/>
      </w:pPr>
      <w:r>
        <w:t xml:space="preserve">Enligt artikel 107.3 c i fördraget om Europeiska unionens funktionssätt (EUF-fördraget) får kommissionen förklara som förenligt med den inre marknaden ”stöd för att underlätta utveckling av vissa näringsverksamheter eller vissa regioner, när det inte påverkar handeln i negativ riktning i en omfattning som strider mot det gemensamma intresset”.</w:t>
      </w:r>
      <w:r>
        <w:t xml:space="preserve"> </w:t>
      </w:r>
      <w:r>
        <w:t xml:space="preserve">Därför måste stöd bidra till utvecklingen av en viss näringsverksamhet för att vara förenligt med den inre marknaden enligt denna bestämmelse i EUF-fördraget.</w:t>
      </w:r>
      <w:r>
        <w:t xml:space="preserve"> </w:t>
      </w:r>
    </w:p>
    <w:p w14:paraId="1D59B711" w14:textId="015DAACF" w:rsidR="002A11D4" w:rsidRDefault="00E75ECB" w:rsidP="00864DCD">
      <w:pPr>
        <w:pStyle w:val="ListParagraph"/>
        <w:spacing w:before="120" w:after="120"/>
        <w:ind w:left="567"/>
        <w:contextualSpacing w:val="0"/>
        <w:jc w:val="both"/>
      </w:pPr>
      <w:r>
        <w:t xml:space="preserve">För att det ska gå att bedöma om punkt 23 i riktlinjerna efterlevs, ange vilka näringsverksamheter som kommer att underlättas som en följd av stödet och hur utvecklingen av dessa verksamheter stöds.</w:t>
      </w:r>
      <w:r>
        <w:t xml:space="preserve"> </w:t>
      </w:r>
    </w:p>
    <w:p w14:paraId="43E4572F" w14:textId="77777777" w:rsidR="000442F5" w:rsidRPr="00864DCD" w:rsidRDefault="000442F5" w:rsidP="000442F5">
      <w:pPr>
        <w:tabs>
          <w:tab w:val="left" w:leader="dot" w:pos="9072"/>
        </w:tabs>
        <w:spacing w:before="120" w:after="120"/>
        <w:ind w:left="567"/>
        <w:jc w:val="both"/>
      </w:pPr>
      <w:r>
        <w:tab/>
      </w:r>
    </w:p>
    <w:p w14:paraId="664B5453" w14:textId="016E6DA5" w:rsidR="00622FDD" w:rsidRDefault="00622FDD" w:rsidP="00C47CAC">
      <w:pPr>
        <w:pStyle w:val="ListParagraph"/>
        <w:numPr>
          <w:ilvl w:val="0"/>
          <w:numId w:val="4"/>
        </w:numPr>
        <w:spacing w:before="120" w:after="120"/>
        <w:ind w:left="567" w:hanging="567"/>
        <w:contextualSpacing w:val="0"/>
        <w:jc w:val="both"/>
      </w:pPr>
      <w:r>
        <w:t xml:space="preserve">För att det ska gå att bedöma om punkt 25 i riktlinjerna efterlevs, beskriv om och hur stödet kommer att bidra till uppnåendet av målen i unionens klimatpolitik, miljöpolitik och energipolitik och mer specifikt stödets förväntade fördelar vad gäller dess väsentliga bidrag till miljöskydd, inklusive begränsning av klimatförändringarna, eller en effektivt fungerande inre energimarknad.</w:t>
      </w:r>
      <w:r>
        <w:t xml:space="preserve"> </w:t>
      </w:r>
    </w:p>
    <w:p w14:paraId="6AB99B07" w14:textId="77777777" w:rsidR="002D3097" w:rsidRDefault="002D3097" w:rsidP="002D3097">
      <w:pPr>
        <w:tabs>
          <w:tab w:val="left" w:leader="dot" w:pos="9072"/>
        </w:tabs>
        <w:spacing w:before="120" w:after="120"/>
        <w:ind w:left="567"/>
        <w:jc w:val="both"/>
      </w:pPr>
      <w:r>
        <w:tab/>
      </w:r>
    </w:p>
    <w:p w14:paraId="22490633" w14:textId="0470F566" w:rsidR="00BE3AB2" w:rsidRDefault="00622FDD" w:rsidP="002D3097">
      <w:pPr>
        <w:pStyle w:val="ListParagraph"/>
        <w:numPr>
          <w:ilvl w:val="0"/>
          <w:numId w:val="4"/>
        </w:numPr>
        <w:spacing w:before="120" w:after="120"/>
        <w:ind w:left="567" w:hanging="567"/>
        <w:contextualSpacing w:val="0"/>
        <w:jc w:val="both"/>
      </w:pPr>
      <w:r>
        <w:t xml:space="preserve">Belys dessutom i vilken utsträckning stödet avser den politik som beskrivs i punkterna 253–254 i riktlinjerna.</w:t>
      </w:r>
      <w:r>
        <w:t xml:space="preserve">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 xml:space="preserve">Beskriv de krav för stödberättigande som är tillämpliga på stödmottagaren/stödmottagarna (t.ex. genom att ange eventuella tekniska, miljömässiga (dvs. tillstånd), finansiella (dvs. säkerheter) eller andra krav som stödmottagaren/stödmottagarna måste uppfylla).</w:t>
      </w:r>
    </w:p>
    <w:p w14:paraId="1F1A70B1" w14:textId="0647AF72" w:rsidR="00FC6137" w:rsidRDefault="00FC6137" w:rsidP="002C3ED9">
      <w:pPr>
        <w:tabs>
          <w:tab w:val="left" w:leader="dot" w:pos="9072"/>
        </w:tabs>
        <w:spacing w:before="120" w:after="120"/>
        <w:ind w:left="567"/>
        <w:jc w:val="both"/>
      </w:pPr>
      <w:r>
        <w:tab/>
      </w:r>
    </w:p>
    <w:p w14:paraId="4718CF63" w14:textId="781904B5" w:rsidR="0073048C" w:rsidRDefault="009E5AE0" w:rsidP="009E5AE0">
      <w:pPr>
        <w:pStyle w:val="ListParagraph"/>
        <w:numPr>
          <w:ilvl w:val="0"/>
          <w:numId w:val="4"/>
        </w:numPr>
        <w:spacing w:before="120" w:after="120"/>
        <w:ind w:left="567" w:hanging="567"/>
        <w:contextualSpacing w:val="0"/>
        <w:jc w:val="both"/>
      </w:pPr>
      <w:r>
        <w:t xml:space="preserve">Lämna uppgifter om stödåtgärdens/stödåtgärdernas exakta omfattning och stödverksamhet, i enlighet med avsnitt 4.5.2 (punkterna 255–259) i riktlinjerna.</w:t>
      </w:r>
      <w:r>
        <w:t xml:space="preserve"> </w:t>
      </w:r>
      <w:r>
        <w:t xml:space="preserve">Ange vilka av följande investeringskategorier som är stödberättigande inom ramen för stödåtgärden:</w:t>
      </w:r>
    </w:p>
    <w:p w14:paraId="7A4CF759" w14:textId="218D6D47" w:rsidR="0073048C" w:rsidRDefault="00021C73" w:rsidP="00451471">
      <w:pPr>
        <w:pStyle w:val="ListParagraph"/>
        <w:numPr>
          <w:ilvl w:val="1"/>
          <w:numId w:val="4"/>
        </w:numPr>
        <w:spacing w:before="120" w:after="120"/>
        <w:ind w:left="1276" w:hanging="567"/>
        <w:contextualSpacing w:val="0"/>
        <w:jc w:val="both"/>
      </w:pPr>
      <w:r>
        <w:t xml:space="preserve">Investeringar som gör det möjligt för företag att förebygga eller minska andra föroreningar än växthusgaser utöver unionens normer för miljöskydd.</w:t>
      </w:r>
      <w:r>
        <w:t xml:space="preserve"> </w:t>
      </w:r>
    </w:p>
    <w:p w14:paraId="291F9177" w14:textId="07226D94" w:rsidR="0073048C" w:rsidRDefault="00021C73" w:rsidP="00451471">
      <w:pPr>
        <w:pStyle w:val="ListParagraph"/>
        <w:numPr>
          <w:ilvl w:val="1"/>
          <w:numId w:val="4"/>
        </w:numPr>
        <w:spacing w:before="120" w:after="120"/>
        <w:ind w:left="1276" w:hanging="567"/>
        <w:contextualSpacing w:val="0"/>
        <w:jc w:val="both"/>
      </w:pPr>
      <w:r>
        <w:t xml:space="preserve">Investeringar som gör det möjligt för företag att i avsaknad av unionsnormer förebygga eller minska andra föroreningar än växthusgaser.</w:t>
      </w:r>
    </w:p>
    <w:p w14:paraId="526FF31D" w14:textId="12694C25" w:rsidR="009E5AE0" w:rsidRDefault="00021C73" w:rsidP="00451471">
      <w:pPr>
        <w:pStyle w:val="ListParagraph"/>
        <w:numPr>
          <w:ilvl w:val="1"/>
          <w:numId w:val="4"/>
        </w:numPr>
        <w:spacing w:before="120" w:after="120"/>
        <w:ind w:left="1276" w:hanging="567"/>
        <w:contextualSpacing w:val="0"/>
        <w:jc w:val="both"/>
      </w:pPr>
      <w:r>
        <w:t xml:space="preserve">Investeringar som gör det möjligt för företag att följa unionsnormer som antagits, men ännu inte trätt i kraft.</w:t>
      </w:r>
      <w:r>
        <w:t xml:space="preserve"> </w:t>
      </w:r>
    </w:p>
    <w:p w14:paraId="12AEF70E" w14:textId="4ED26CFA" w:rsidR="000B0680" w:rsidRDefault="000B0680" w:rsidP="00C47CAC">
      <w:pPr>
        <w:tabs>
          <w:tab w:val="left" w:leader="dot" w:pos="9072"/>
        </w:tabs>
        <w:spacing w:before="120" w:after="120"/>
        <w:ind w:left="567"/>
        <w:jc w:val="both"/>
      </w:pPr>
      <w:r>
        <w:tab/>
      </w:r>
    </w:p>
    <w:p w14:paraId="7B335F4B" w14:textId="0EF4F6B5" w:rsidR="002F69D6" w:rsidRDefault="0073048C" w:rsidP="007E3B07">
      <w:pPr>
        <w:pStyle w:val="ListParagraph"/>
        <w:numPr>
          <w:ilvl w:val="0"/>
          <w:numId w:val="4"/>
        </w:numPr>
        <w:spacing w:before="120" w:after="120"/>
        <w:ind w:left="567" w:hanging="567"/>
        <w:contextualSpacing w:val="0"/>
        <w:jc w:val="both"/>
        <w:rPr>
          <w:noProof/>
        </w:rPr>
      </w:pPr>
      <w:r>
        <w:t xml:space="preserve">Om stödet ges i form av utsläppsrätter</w:t>
      </w:r>
      <w:r w:rsidR="009204DA">
        <w:rPr>
          <w:rStyle w:val="FootnoteReference"/>
          <w:lang w:eastAsia="en-GB"/>
        </w:rPr>
        <w:footnoteReference w:id="5"/>
      </w:r>
      <w:r>
        <w:t xml:space="preserve">:</w:t>
      </w:r>
    </w:p>
    <w:p w14:paraId="0AE58B8D" w14:textId="66A929BC" w:rsidR="007E3B07" w:rsidRPr="00F15324" w:rsidRDefault="002F69D6" w:rsidP="00E27781">
      <w:pPr>
        <w:pStyle w:val="ListParagraph"/>
        <w:numPr>
          <w:ilvl w:val="1"/>
          <w:numId w:val="4"/>
        </w:numPr>
        <w:spacing w:before="120" w:after="120"/>
        <w:ind w:left="1276" w:hanging="567"/>
        <w:contextualSpacing w:val="0"/>
        <w:jc w:val="both"/>
        <w:rPr>
          <w:noProof/>
        </w:rPr>
      </w:pPr>
      <w:r>
        <w:t xml:space="preserve">Beskriv i detalj systemet för handel med utsläppsrätter, och ange bland annat målen, metoden för beviljande av utsläppsrätter, berörda myndigheter/organ, statens roll, stödmottagare och aspekter på förfarandet.</w:t>
      </w:r>
    </w:p>
    <w:p w14:paraId="23274863" w14:textId="77777777" w:rsidR="007E3B07" w:rsidRDefault="007E3B07" w:rsidP="007E3B07">
      <w:pPr>
        <w:tabs>
          <w:tab w:val="left" w:leader="dot" w:pos="9072"/>
        </w:tabs>
        <w:spacing w:before="120" w:after="120"/>
        <w:ind w:left="567"/>
        <w:jc w:val="both"/>
        <w:rPr>
          <w:noProof/>
        </w:rPr>
      </w:pPr>
      <w:r>
        <w:tab/>
      </w:r>
    </w:p>
    <w:p w14:paraId="0380AB18" w14:textId="54C03247" w:rsidR="00B729DF" w:rsidRDefault="002F69D6" w:rsidP="00E27781">
      <w:pPr>
        <w:pStyle w:val="ListParagraph"/>
        <w:numPr>
          <w:ilvl w:val="1"/>
          <w:numId w:val="4"/>
        </w:numPr>
        <w:spacing w:before="120" w:after="120"/>
        <w:ind w:left="1276" w:hanging="567"/>
        <w:contextualSpacing w:val="0"/>
        <w:jc w:val="both"/>
      </w:pPr>
      <w:r>
        <w:t xml:space="preserve">Förklara hur systemet för utsläppshandel är inrättat för att förebygga eller minska föroreningarna utöver de nivåer som ska uppnås enligt de unionsnormer som är obligatoriska för de berörda företagen.</w:t>
      </w:r>
    </w:p>
    <w:p w14:paraId="7A3069FE" w14:textId="77777777" w:rsidR="00B729DF" w:rsidRDefault="00B729DF" w:rsidP="00B729DF">
      <w:pPr>
        <w:tabs>
          <w:tab w:val="left" w:leader="dot" w:pos="9072"/>
        </w:tabs>
        <w:spacing w:before="120" w:after="120"/>
        <w:ind w:left="567"/>
        <w:jc w:val="both"/>
      </w:pPr>
      <w:r>
        <w:tab/>
      </w:r>
    </w:p>
    <w:p w14:paraId="7057AFAF" w14:textId="481FE366" w:rsidR="00B56AD4" w:rsidRDefault="00B56AD4" w:rsidP="009E5AE0">
      <w:pPr>
        <w:pStyle w:val="ListParagraph"/>
        <w:numPr>
          <w:ilvl w:val="0"/>
          <w:numId w:val="4"/>
        </w:numPr>
        <w:spacing w:before="120" w:after="120"/>
        <w:ind w:left="567" w:hanging="567"/>
        <w:contextualSpacing w:val="0"/>
        <w:jc w:val="both"/>
      </w:pPr>
      <w:r>
        <w:t xml:space="preserve">Bekräfta att stödet är inriktat på förebyggande eller minskning av föroreningar som är direkt kopplade till stödmottagarens eller stödmottagarnas egen verksamhet.</w:t>
      </w:r>
    </w:p>
    <w:p w14:paraId="32F28140" w14:textId="79ABA515" w:rsidR="00B56AD4" w:rsidRDefault="00B56AD4" w:rsidP="00864350">
      <w:pPr>
        <w:tabs>
          <w:tab w:val="left" w:leader="dot" w:pos="9072"/>
        </w:tabs>
        <w:spacing w:before="120" w:after="120"/>
        <w:ind w:left="567"/>
        <w:jc w:val="both"/>
      </w:pPr>
      <w:r>
        <w:tab/>
      </w:r>
    </w:p>
    <w:p w14:paraId="1174800F" w14:textId="1F204FD0" w:rsidR="00B56AD4" w:rsidRDefault="00B56AD4" w:rsidP="00C47CAC">
      <w:pPr>
        <w:pStyle w:val="ListParagraph"/>
        <w:numPr>
          <w:ilvl w:val="0"/>
          <w:numId w:val="4"/>
        </w:numPr>
        <w:spacing w:before="120" w:after="120"/>
        <w:ind w:left="567" w:hanging="567"/>
        <w:contextualSpacing w:val="0"/>
        <w:jc w:val="both"/>
      </w:pPr>
      <w:r>
        <w:t xml:space="preserve">Beskriv hur det kommer att säkerställas att stödet inte bara förflyttar föroreningar från en sektor till en annan, eller från en del av miljön till en annan, och att det kommer att leda till en total minskning av föroreningarna.</w:t>
      </w:r>
    </w:p>
    <w:p w14:paraId="1ADC83DF" w14:textId="48E916E8" w:rsidR="008A47DB" w:rsidRDefault="008A47DB" w:rsidP="00C47CAC">
      <w:pPr>
        <w:tabs>
          <w:tab w:val="left" w:leader="dot" w:pos="9072"/>
        </w:tabs>
        <w:spacing w:before="120" w:after="120"/>
        <w:ind w:left="567"/>
        <w:jc w:val="both"/>
      </w:pPr>
      <w:r>
        <w:tab/>
      </w:r>
    </w:p>
    <w:p w14:paraId="6B5B3820" w14:textId="77777777" w:rsidR="004428D6" w:rsidRPr="002C79ED" w:rsidRDefault="004428D6" w:rsidP="004428D6">
      <w:pPr>
        <w:pStyle w:val="ListParagraph"/>
        <w:numPr>
          <w:ilvl w:val="0"/>
          <w:numId w:val="4"/>
        </w:numPr>
        <w:spacing w:before="120" w:after="120"/>
        <w:ind w:left="567" w:hanging="567"/>
        <w:jc w:val="both"/>
      </w:pPr>
      <w:r>
        <w:t xml:space="preserve">För individuellt stöd och stödordningar som gynnar ett särskilt begränsat antal stödmottagare, eller en befintlig stödmottagare, och som syftar till att minska stödmottagarnas andra föroreningar än växthusgaser, ange en kvantifiering av de minskningar av utsläpp och föroreningar som förväntas genom åtgärden och förklara den metod som använts för att kvantifiera dem.</w:t>
      </w:r>
      <w:r>
        <w:t xml:space="preserve"> </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 xml:space="preserve">Ange om stödåtgärden också bidrar till att förebygga eller minska utsläppen av växthusgaser.</w:t>
      </w:r>
    </w:p>
    <w:p w14:paraId="14FEE27F" w14:textId="31209AEC" w:rsidR="008A47DB" w:rsidRDefault="00BE3AB2" w:rsidP="00644D98">
      <w:pPr>
        <w:pStyle w:val="ListParagraph"/>
        <w:spacing w:before="120" w:after="120"/>
        <w:ind w:left="567"/>
        <w:contextualSpacing w:val="0"/>
        <w:jc w:val="both"/>
      </w:pPr>
      <w:r>
        <w:t xml:space="preserve">Om så är fallet, lämna en jämförelse mellan åtgärdens förväntade resultat när det gäller förebyggande eller minskning av växthusgasutsläpp och utsläpp av andra föroreningar på grundval av trovärdiga, detaljerade kvantifieringar.</w:t>
      </w:r>
    </w:p>
    <w:p w14:paraId="2BCE8BBC" w14:textId="77777777" w:rsidR="009E5AE0" w:rsidRDefault="009E5AE0" w:rsidP="009E5AE0">
      <w:pPr>
        <w:tabs>
          <w:tab w:val="left" w:leader="dot" w:pos="9072"/>
        </w:tabs>
        <w:spacing w:before="120" w:after="120"/>
        <w:ind w:left="567"/>
        <w:jc w:val="both"/>
      </w:pPr>
      <w:r>
        <w:tab/>
      </w:r>
    </w:p>
    <w:p w14:paraId="098039E0" w14:textId="78F14F4D" w:rsidR="008A47DB" w:rsidRDefault="008A47DB" w:rsidP="008A47DB">
      <w:pPr>
        <w:pStyle w:val="ListParagraph"/>
        <w:spacing w:before="120" w:after="120"/>
        <w:ind w:left="567"/>
        <w:contextualSpacing w:val="0"/>
        <w:jc w:val="both"/>
      </w:pPr>
      <w:r>
        <w:t xml:space="preserve">Om det huvudsakliga syftet med stödåtgärden är att förebygga eller minska utsläppen av växthusgaser, se formuläret för kompletterande information i avsnitt 4.1, eftersom stödåtgärdens förenlighet kommer att bedömas på grundval av avsnitt 4.1.</w:t>
      </w:r>
      <w:r>
        <w:t xml:space="preserve"> </w:t>
      </w:r>
      <w:r>
        <w:t xml:space="preserve">Om det huvudsakliga syftet med åtgärden är att förebygga eller minska andra föroreningar än utsläpp av växthusgaser kommer åtgärden dock att bedömas på grundval av avsnitt 4.5 (punkt 259 i riktlinjerna).</w:t>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rPr>
              <w:t xml:space="preserve">Stimulanseffekt</w:t>
            </w:r>
          </w:p>
        </w:tc>
      </w:tr>
    </w:tbl>
    <w:p w14:paraId="20915284" w14:textId="40B64390" w:rsidR="00015E2B" w:rsidRPr="00A05235" w:rsidRDefault="00B15313" w:rsidP="00015E2B">
      <w:pPr>
        <w:spacing w:before="360" w:after="120"/>
        <w:jc w:val="both"/>
        <w:rPr>
          <w:i/>
        </w:rPr>
      </w:pPr>
      <w:r>
        <w:rPr>
          <w:i/>
        </w:rPr>
        <w:t xml:space="preserve">För att lämna information i detta avsnitt, se avsnitt 3.1.2 (punkterna 26–32) och avsnitt 4.5.3 (punkterna 260–262) i riktlinjerna.</w:t>
      </w:r>
      <w:r>
        <w:rPr>
          <w:i/>
        </w:rPr>
        <w:t xml:space="preserve"> </w:t>
      </w:r>
    </w:p>
    <w:p w14:paraId="1EB5279D" w14:textId="4E856EB4" w:rsidR="00210BE0" w:rsidRPr="00864DCD" w:rsidRDefault="004B676F" w:rsidP="00560BD5">
      <w:pPr>
        <w:pStyle w:val="ListParagraph"/>
        <w:numPr>
          <w:ilvl w:val="0"/>
          <w:numId w:val="4"/>
        </w:numPr>
        <w:spacing w:before="120" w:after="120"/>
        <w:ind w:left="567" w:hanging="567"/>
        <w:contextualSpacing w:val="0"/>
        <w:jc w:val="both"/>
      </w:pPr>
      <w:r>
        <w:t xml:space="preserve">Stöd kan endast anses underlätta en näringsverksamhet om det har en stimulanseffekt.</w:t>
      </w:r>
      <w:r>
        <w:t xml:space="preserve"> </w:t>
      </w:r>
      <w:r>
        <w:t xml:space="preserve">För att det ska gå att bedöma om punkt 26 i riktlinjerna efterlevs, förklara hur åtgärden eller åtgärderna stimulerar ”stödmottagaren att ändra sitt beteende, delta i andra näringsverksamheter eller delta i en mer miljövänlig näringsverksamhet, och om stödmottagaren inte skulle göra det utan stödet eller göra det på ett begränsat eller annorlunda sätt”.</w:t>
      </w:r>
      <w:r>
        <w:rPr>
          <w:i/>
        </w:rPr>
        <w:t xml:space="preserve"> </w:t>
      </w:r>
    </w:p>
    <w:p w14:paraId="26BD861B" w14:textId="77777777" w:rsidR="00210BE0" w:rsidRPr="00864DCD" w:rsidRDefault="00210BE0" w:rsidP="00210BE0">
      <w:pPr>
        <w:tabs>
          <w:tab w:val="left" w:leader="dot" w:pos="9072"/>
        </w:tabs>
        <w:spacing w:before="120" w:after="120"/>
        <w:ind w:left="567"/>
        <w:jc w:val="both"/>
      </w:pPr>
      <w:r>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 xml:space="preserve">Enligt punkt 28 i riktlinjerna ska följande göras:</w:t>
      </w:r>
      <w:bookmarkEnd w:id="4"/>
    </w:p>
    <w:p w14:paraId="7E7CF517" w14:textId="77777777" w:rsidR="00F05E31" w:rsidRDefault="00AE74BC" w:rsidP="00EF6E64">
      <w:pPr>
        <w:pStyle w:val="ListParagraph"/>
        <w:numPr>
          <w:ilvl w:val="5"/>
          <w:numId w:val="34"/>
        </w:numPr>
        <w:spacing w:before="120" w:after="120"/>
        <w:ind w:left="993" w:hanging="426"/>
        <w:contextualSpacing w:val="0"/>
        <w:jc w:val="both"/>
      </w:pPr>
      <w:r>
        <w:t xml:space="preserve">Lämna en utförlig beskrivning av det faktiska scenario som förväntas bli resultatet av stödåtgärden och det eller de sannolika kontrafaktiska scenarierna i avsaknad av stöd.</w:t>
      </w:r>
      <w:r w:rsidR="007F5A4A" w:rsidRPr="00574891">
        <w:rPr>
          <w:vertAlign w:val="superscript"/>
        </w:rPr>
        <w:footnoteReference w:id="6"/>
      </w:r>
      <w:r>
        <w:t xml:space="preserve"> </w:t>
      </w:r>
      <w:r>
        <w:t xml:space="preserve">Om du förväntar dig att olika kategorier av stödmottagare kan få stöd, säkerställ att det kontrafaktiska scenariot är trovärdigt för var och en av dessa kategorier.</w:t>
      </w:r>
      <w:bookmarkEnd w:id="5"/>
      <w:r>
        <w:t xml:space="preserve"> </w:t>
      </w:r>
    </w:p>
    <w:p w14:paraId="36B6033F" w14:textId="4C0532DC" w:rsidR="00494C68" w:rsidRPr="00E374B9" w:rsidRDefault="00E374B9" w:rsidP="00F05E31">
      <w:pPr>
        <w:pStyle w:val="ListParagraph"/>
        <w:spacing w:before="120" w:after="120"/>
        <w:ind w:left="993"/>
        <w:contextualSpacing w:val="0"/>
        <w:jc w:val="both"/>
      </w:pPr>
      <w:r>
        <w:t xml:space="preserve">Ta </w:t>
      </w:r>
      <w:bookmarkStart w:id="6" w:name="_Ref116917289"/>
      <w:r>
        <w:t xml:space="preserve">hänsyn till kraven på det kontrafaktiska scenariot i punkterna 266 och 226–230 i riktlinjerna, särskilt följande:</w:t>
      </w:r>
    </w:p>
    <w:p w14:paraId="63EF89AB" w14:textId="2F887ED4" w:rsidR="00494C68" w:rsidRPr="006E6B4D" w:rsidRDefault="005A3EEA" w:rsidP="00A40CD8">
      <w:pPr>
        <w:pStyle w:val="ListParagraph"/>
        <w:numPr>
          <w:ilvl w:val="1"/>
          <w:numId w:val="4"/>
        </w:numPr>
        <w:spacing w:before="120" w:after="120"/>
        <w:ind w:left="1418" w:hanging="425"/>
        <w:contextualSpacing w:val="0"/>
        <w:jc w:val="both"/>
      </w:pPr>
      <w:r>
        <w:t xml:space="preserve">Generellt sett motsvarar ett kontrafaktiskt scenario en investering med samma kapacitet, livslängd och, i tillämpliga fall, andra relevanta tekniska egenskaper som den miljövänliga investeringen, men det leder dock till sämre miljöskydd.</w:t>
      </w:r>
    </w:p>
    <w:p w14:paraId="689CD081" w14:textId="77777777" w:rsidR="00780A9F" w:rsidRPr="006E6B4D" w:rsidRDefault="00DB54D4" w:rsidP="00A40CD8">
      <w:pPr>
        <w:pStyle w:val="ListParagraph"/>
        <w:numPr>
          <w:ilvl w:val="1"/>
          <w:numId w:val="4"/>
        </w:numPr>
        <w:spacing w:before="120" w:after="120"/>
        <w:ind w:left="1418" w:hanging="425"/>
        <w:contextualSpacing w:val="0"/>
        <w:jc w:val="both"/>
      </w:pPr>
      <w:r>
        <w:t xml:space="preserve">Alternativt kan det kontrafaktiska scenariot också motsvara ett av följande scenarier:</w:t>
      </w:r>
      <w:r>
        <w:t xml:space="preserve"> </w:t>
      </w:r>
    </w:p>
    <w:p w14:paraId="74EED86D" w14:textId="522BD070" w:rsidR="00494C68" w:rsidRPr="00E374B9" w:rsidRDefault="00494C68" w:rsidP="00B82F95">
      <w:pPr>
        <w:pStyle w:val="ListParagraph"/>
        <w:numPr>
          <w:ilvl w:val="1"/>
          <w:numId w:val="39"/>
        </w:numPr>
        <w:spacing w:before="120" w:after="120"/>
        <w:contextualSpacing w:val="0"/>
        <w:jc w:val="both"/>
      </w:pPr>
      <w:r>
        <w:t xml:space="preserve">Underhåll av de befintliga anläggningar eller den befintliga utrustning som är i drift under en period motsvarande den miljövänliga investeringens livstid.</w:t>
      </w:r>
      <w:r>
        <w:t xml:space="preserve"> </w:t>
      </w:r>
      <w:r>
        <w:t xml:space="preserve">I sådana fall bör hänsyn tas till de diskonterade underhålls-, reparations- och moderniseringskostnaderna under samma period (punkt 227 i riktlinjerna).</w:t>
      </w:r>
    </w:p>
    <w:p w14:paraId="4DB35D28" w14:textId="724607C2" w:rsidR="00494C68" w:rsidRPr="00E374B9" w:rsidRDefault="00494C68" w:rsidP="00B82F95">
      <w:pPr>
        <w:pStyle w:val="ListParagraph"/>
        <w:numPr>
          <w:ilvl w:val="1"/>
          <w:numId w:val="39"/>
        </w:numPr>
        <w:spacing w:before="120" w:after="120"/>
        <w:contextualSpacing w:val="0"/>
        <w:jc w:val="both"/>
      </w:pPr>
      <w:r>
        <w:t xml:space="preserve">Ett senare utbyte av anläggningarna eller utrustningen.</w:t>
      </w:r>
      <w:r>
        <w:t xml:space="preserve"> </w:t>
      </w:r>
      <w:r>
        <w:t xml:space="preserve">I sådana fall måste det diskonterade värdet av anläggningarna och utrustningen beaktas, och skillnaden i anläggningarnas eller utrustningens ekonomiska livslängd måste utjämnas i enlighet med punkt 228 i riktlinjerna.</w:t>
      </w:r>
    </w:p>
    <w:p w14:paraId="4CFA180B" w14:textId="391048A9" w:rsidR="00494C68" w:rsidRPr="00E374B9" w:rsidRDefault="00494C68" w:rsidP="00B82F95">
      <w:pPr>
        <w:pStyle w:val="ListParagraph"/>
        <w:numPr>
          <w:ilvl w:val="1"/>
          <w:numId w:val="39"/>
        </w:numPr>
        <w:spacing w:before="120" w:after="120"/>
        <w:contextualSpacing w:val="0"/>
        <w:jc w:val="both"/>
      </w:pPr>
      <w:r>
        <w:t xml:space="preserve">Leasing av en mindre miljövänlig utrustning som skulle användas om stödet inte fanns.</w:t>
      </w:r>
      <w:r>
        <w:t xml:space="preserve"> </w:t>
      </w:r>
      <w:r>
        <w:t xml:space="preserve">I sådana fall bör det diskonterade värdet av leasing av den mindre miljövänliga utrustningen beaktas i enlighet med punkt 229 i riktlinjerna.</w:t>
      </w:r>
    </w:p>
    <w:p w14:paraId="62D61257" w14:textId="772346DC" w:rsidR="00494C68" w:rsidRPr="00E374B9" w:rsidRDefault="00494C68" w:rsidP="00B82F95">
      <w:pPr>
        <w:pStyle w:val="ListParagraph"/>
        <w:numPr>
          <w:ilvl w:val="1"/>
          <w:numId w:val="39"/>
        </w:numPr>
        <w:spacing w:before="120" w:after="120"/>
        <w:contextualSpacing w:val="0"/>
        <w:jc w:val="both"/>
      </w:pPr>
      <w:r>
        <w:t xml:space="preserve">Avsaknad av ett alternativt projekt, särskilt om den understödda investeringen består i att lägga till anläggningar eller utrustning till befintliga anläggningar, installationer eller befintlig utrustning.</w:t>
      </w:r>
      <w:r>
        <w:t xml:space="preserve">  </w:t>
      </w:r>
    </w:p>
    <w:bookmarkEnd w:id="6"/>
    <w:p w14:paraId="6257C278" w14:textId="77777777" w:rsidR="00CC7B7B" w:rsidRPr="00CC7B7B" w:rsidRDefault="00CC7B7B" w:rsidP="00CC7B7B">
      <w:pPr>
        <w:pStyle w:val="ListParagraph"/>
        <w:spacing w:before="120" w:after="120"/>
        <w:ind w:left="1418"/>
        <w:contextualSpacing w:val="0"/>
        <w:jc w:val="both"/>
      </w:pPr>
      <w:r>
        <w:t xml:space="preserve">Vid beskrivningen av det faktiska scenariot och det eller de sannolika kontrafaktiska scenarierna, ange investeringens kapacitet, livslängd och andra tekniska egenskaper för både det faktiska och det kontrafaktiska scenariot/scenarierna.</w:t>
      </w:r>
      <w:r>
        <w:t xml:space="preserve"> </w:t>
      </w:r>
    </w:p>
    <w:p w14:paraId="5BCC59EC" w14:textId="77777777" w:rsidR="00CC7B7B" w:rsidRPr="00DD0932" w:rsidRDefault="00CC7B7B" w:rsidP="00CC7B7B">
      <w:pPr>
        <w:tabs>
          <w:tab w:val="left" w:leader="dot" w:pos="9072"/>
        </w:tabs>
        <w:spacing w:before="120" w:after="120"/>
        <w:ind w:left="567"/>
        <w:jc w:val="both"/>
      </w:pPr>
      <w:r>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B82F95">
      <w:pPr>
        <w:pStyle w:val="ListParagraph"/>
        <w:numPr>
          <w:ilvl w:val="0"/>
          <w:numId w:val="38"/>
        </w:numPr>
        <w:spacing w:before="120" w:after="120"/>
        <w:ind w:left="993" w:hanging="426"/>
        <w:contextualSpacing w:val="0"/>
        <w:jc w:val="both"/>
      </w:pPr>
      <w:r>
        <w:t xml:space="preserve">Ange kortfattat motiveringen till valet av sannolika kontrafaktiska scenarion, i tillämpliga fall med tanke på de olika kategorier av stödmottagare som föreslås.</w:t>
      </w:r>
    </w:p>
    <w:p w14:paraId="526D2EBB" w14:textId="77777777" w:rsidR="000665D4" w:rsidRPr="00DD0932" w:rsidRDefault="000665D4" w:rsidP="000665D4">
      <w:pPr>
        <w:tabs>
          <w:tab w:val="left" w:leader="dot" w:pos="9072"/>
        </w:tabs>
        <w:spacing w:before="120" w:after="120"/>
        <w:ind w:left="567"/>
        <w:jc w:val="both"/>
      </w:pPr>
      <w:r>
        <w:tab/>
      </w:r>
    </w:p>
    <w:p w14:paraId="307BCDB5" w14:textId="49859C28" w:rsidR="00B70424" w:rsidRDefault="00AE74BC" w:rsidP="00B82F95">
      <w:pPr>
        <w:pStyle w:val="ListParagraph"/>
        <w:numPr>
          <w:ilvl w:val="0"/>
          <w:numId w:val="38"/>
        </w:numPr>
        <w:spacing w:before="120" w:after="120"/>
        <w:ind w:left="993" w:hanging="426"/>
        <w:contextualSpacing w:val="0"/>
        <w:jc w:val="both"/>
      </w:pPr>
      <w:bookmarkStart w:id="7" w:name="_Ref164673945"/>
      <w:r>
        <w:t xml:space="preserve">Kvantifiera kostnaderna och intäkterna för de faktiska och kontrafaktiska scenarierna och motivera det ändrade beteendet när det är relevant för varje kategori av stödmottagare, på grundval av följande:</w:t>
      </w:r>
    </w:p>
    <w:p w14:paraId="10227AFD" w14:textId="34C797B9" w:rsidR="002158CE" w:rsidRDefault="00BF736D" w:rsidP="00B82F95">
      <w:pPr>
        <w:pStyle w:val="ListParagraph"/>
        <w:numPr>
          <w:ilvl w:val="0"/>
          <w:numId w:val="23"/>
        </w:numPr>
        <w:spacing w:before="120" w:after="120"/>
        <w:ind w:left="1276" w:hanging="284"/>
        <w:contextualSpacing w:val="0"/>
        <w:jc w:val="both"/>
      </w:pPr>
      <w:r>
        <w:t xml:space="preserve">Respektive referensprojekt</w:t>
      </w:r>
      <w:r w:rsidRPr="00BD16E2">
        <w:rPr>
          <w:rStyle w:val="FootnoteReference"/>
        </w:rPr>
        <w:footnoteReference w:id="7"/>
      </w:r>
      <w:r>
        <w:t xml:space="preserve">, motsvarande kontrafaktiska scenarier och resulterande finansieringsunderskott.</w:t>
      </w:r>
      <w:r>
        <w:t xml:space="preserve"> </w:t>
      </w:r>
    </w:p>
    <w:p w14:paraId="2B4E89F9" w14:textId="77777777" w:rsidR="002158CE" w:rsidRPr="00B70424" w:rsidRDefault="002158CE" w:rsidP="002158CE">
      <w:pPr>
        <w:pStyle w:val="ListParagraph"/>
        <w:spacing w:before="120" w:after="120"/>
        <w:ind w:left="949"/>
        <w:contextualSpacing w:val="0"/>
        <w:jc w:val="both"/>
        <w:rPr>
          <w:i/>
          <w:iCs/>
        </w:rPr>
      </w:pPr>
      <w:r>
        <w:rPr>
          <w:i/>
        </w:rPr>
        <w:t xml:space="preserve">ELLER</w:t>
      </w:r>
    </w:p>
    <w:p w14:paraId="6E21EA8B" w14:textId="324FC2D4" w:rsidR="00451471" w:rsidRPr="000C7906" w:rsidRDefault="006B45D5" w:rsidP="00B82F95">
      <w:pPr>
        <w:pStyle w:val="ListParagraph"/>
        <w:numPr>
          <w:ilvl w:val="0"/>
          <w:numId w:val="23"/>
        </w:numPr>
        <w:spacing w:before="120" w:after="120"/>
        <w:ind w:left="1276" w:hanging="284"/>
        <w:contextualSpacing w:val="0"/>
        <w:jc w:val="both"/>
      </w:pPr>
      <w:r>
        <w:t xml:space="preserve">Relevant kvantitativ bevisning baserad på marknadsundersökningar, investerarplaner, finansiella rapporter eller annan kvantitativ bevisning, inbegripet anbud för liknande projekt i nyligen genomförda jämförbara konkurrensutsatta anbudsförfaranden.</w:t>
      </w:r>
      <w:r w:rsidRPr="002158CE">
        <w:rPr>
          <w:vertAlign w:val="superscript"/>
          <w:lang w:eastAsia="en-GB"/>
        </w:rPr>
        <w:footnoteReference w:id="8"/>
      </w:r>
      <w:r>
        <w:t xml:space="preserve">  </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t xml:space="preserve">För att visa att punkterna 29 och 31 i riktlinjerna efterlevs ska följande göras:</w:t>
      </w:r>
    </w:p>
    <w:p w14:paraId="48499390" w14:textId="47E7D7F7" w:rsidR="006445C3" w:rsidRPr="00471B74" w:rsidRDefault="00677805" w:rsidP="00B82F95">
      <w:pPr>
        <w:pStyle w:val="ListParagraph"/>
        <w:numPr>
          <w:ilvl w:val="0"/>
          <w:numId w:val="40"/>
        </w:numPr>
        <w:spacing w:before="120" w:after="120"/>
        <w:ind w:left="1276" w:hanging="283"/>
        <w:contextualSpacing w:val="0"/>
        <w:jc w:val="both"/>
      </w:pPr>
      <w:r>
        <w:t xml:space="preserve">Bekräfta att arbetet med projektet eller verksamheten inte inleddes innan stödmottagaren lämnat in en skriftlig stödansökan till de nationella myndigheterna.</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B70424" w:rsidRDefault="006445C3" w:rsidP="006445C3">
      <w:pPr>
        <w:pStyle w:val="ListParagraph"/>
        <w:spacing w:before="120" w:after="120"/>
        <w:ind w:left="993"/>
        <w:contextualSpacing w:val="0"/>
        <w:jc w:val="both"/>
        <w:rPr>
          <w:i/>
          <w:iCs/>
        </w:rPr>
      </w:pPr>
      <w:r>
        <w:rPr>
          <w:i/>
        </w:rPr>
        <w:t xml:space="preserve">ELLER</w:t>
      </w:r>
    </w:p>
    <w:p w14:paraId="0252AF86" w14:textId="6DF0E7A1" w:rsidR="000442F5" w:rsidRPr="00471B74" w:rsidRDefault="00FE5362" w:rsidP="00B82F95">
      <w:pPr>
        <w:pStyle w:val="ListParagraph"/>
        <w:numPr>
          <w:ilvl w:val="0"/>
          <w:numId w:val="40"/>
        </w:numPr>
        <w:spacing w:before="120" w:after="120"/>
        <w:ind w:left="1276" w:hanging="283"/>
        <w:contextualSpacing w:val="0"/>
        <w:jc w:val="both"/>
      </w:pPr>
      <w:r>
        <w:t xml:space="preserve">När det gäller projekt som inleddes innan stödansökan lämnades in, visa att projektet faller inom ramen för något av de undantagsfall som anges i punkt 31 (a, b eller c) i riktlinjerna.</w:t>
      </w:r>
      <w:r>
        <w:t xml:space="preserve"> </w:t>
      </w:r>
    </w:p>
    <w:p w14:paraId="76275A84" w14:textId="77777777" w:rsidR="00FC1BCC" w:rsidRPr="00864DCD" w:rsidRDefault="00FC1BCC" w:rsidP="00FC1BCC">
      <w:pPr>
        <w:tabs>
          <w:tab w:val="left" w:leader="dot" w:pos="9072"/>
        </w:tabs>
        <w:spacing w:before="120" w:after="120"/>
        <w:ind w:left="567"/>
        <w:jc w:val="both"/>
      </w:pPr>
      <w:r>
        <w:tab/>
      </w:r>
    </w:p>
    <w:p w14:paraId="6F7E35DB" w14:textId="77777777" w:rsidR="00842188" w:rsidRDefault="00842188" w:rsidP="00842188">
      <w:pPr>
        <w:numPr>
          <w:ilvl w:val="0"/>
          <w:numId w:val="4"/>
        </w:numPr>
        <w:spacing w:before="120" w:after="120"/>
        <w:ind w:left="567" w:hanging="567"/>
        <w:jc w:val="both"/>
      </w:pPr>
      <w:r>
        <w:t xml:space="preserve">För att visa att punkt 30 i riktlinjerna efterlevs, bekräfta att stödansökan åtminstone innehåller sökandens namn, en beskrivning av projektet eller verksamheten, inklusive dess plats, och det stödbelopp som behövs för att genomföra projektet eller verksamheten.</w:t>
      </w:r>
    </w:p>
    <w:p w14:paraId="053E0A10" w14:textId="75ADB4FB" w:rsidR="00842188" w:rsidRPr="00842188" w:rsidRDefault="00842188" w:rsidP="00842188">
      <w:pPr>
        <w:tabs>
          <w:tab w:val="left" w:leader="dot" w:pos="9072"/>
        </w:tabs>
        <w:spacing w:before="120" w:after="120"/>
        <w:ind w:left="567"/>
        <w:jc w:val="both"/>
      </w:pPr>
      <w:r>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t xml:space="preserve">Följande krävs för att visa att punkterna 32, 261 och 262 i riktlinjerna efterlevs:</w:t>
      </w:r>
    </w:p>
    <w:p w14:paraId="2F32664D" w14:textId="28D97C1C"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r>
      <w:r>
        <w:t xml:space="preserve">Ange om det finns unionsnormer</w:t>
      </w:r>
      <w:r w:rsidR="005B7DF0">
        <w:rPr>
          <w:rStyle w:val="FootnoteReference"/>
          <w:lang w:val="en-IE" w:eastAsia="en-GB"/>
        </w:rPr>
        <w:footnoteReference w:id="9"/>
      </w:r>
      <w:r>
        <w:t xml:space="preserve">som är tillämpliga på den eller de anmälda åtgärderna, obligatoriska nationella normer som är strängare eller ambitiösare än motsvarande unionsnormer eller obligatoriska nationella normer som antagits i avsaknad av unionsnormer.</w:t>
      </w:r>
    </w:p>
    <w:p w14:paraId="5CE9EEA0" w14:textId="420E9645" w:rsidR="009B2A4B" w:rsidRPr="00864350" w:rsidRDefault="00D039B4" w:rsidP="007947ED">
      <w:pPr>
        <w:pStyle w:val="ListParagraph"/>
        <w:tabs>
          <w:tab w:val="left" w:pos="1134"/>
        </w:tabs>
        <w:spacing w:before="120" w:after="120"/>
        <w:ind w:left="1276"/>
        <w:contextualSpacing w:val="0"/>
        <w:jc w:val="both"/>
      </w:pPr>
      <w:r>
        <w:t xml:space="preserve">Lämna i detta sammanhang information för att påvisa stimulanseffekten.</w:t>
      </w:r>
      <w:r>
        <w:t xml:space="preserve">  </w:t>
      </w:r>
    </w:p>
    <w:p w14:paraId="0E3763A8" w14:textId="17FA829E" w:rsidR="0025374D" w:rsidRPr="00471B74" w:rsidRDefault="00300D5F" w:rsidP="00424B44">
      <w:pPr>
        <w:tabs>
          <w:tab w:val="left" w:leader="dot" w:pos="9072"/>
        </w:tabs>
        <w:spacing w:before="120" w:after="120"/>
        <w:ind w:left="567"/>
        <w:jc w:val="both"/>
      </w:pPr>
      <w:r>
        <w:tab/>
      </w:r>
    </w:p>
    <w:p w14:paraId="175931F9" w14:textId="5D30884A" w:rsidR="00C86C53" w:rsidRDefault="00DF0130" w:rsidP="00B82F95">
      <w:pPr>
        <w:pStyle w:val="ListParagraph"/>
        <w:numPr>
          <w:ilvl w:val="0"/>
          <w:numId w:val="41"/>
        </w:numPr>
        <w:tabs>
          <w:tab w:val="left" w:pos="1134"/>
        </w:tabs>
        <w:spacing w:before="120" w:after="120"/>
        <w:ind w:left="1276" w:hanging="283"/>
        <w:contextualSpacing w:val="0"/>
        <w:jc w:val="both"/>
      </w:pPr>
      <w:r>
        <w:t xml:space="preserve">Om den relevanta unionsnormen redan har antagits men inte trätt i kraft än, visa då att stödet har en stimulanseffekt genom att det bidrar till att investeringen görs och slutförs minst 18 månader innan normen träder i kraft i enlighet med punkt 262 i riktlinjerna.</w:t>
      </w:r>
      <w:r>
        <w:t xml:space="preserve"> </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82F95">
            <w:pPr>
              <w:pStyle w:val="Heading1"/>
              <w:numPr>
                <w:ilvl w:val="1"/>
                <w:numId w:val="22"/>
              </w:numPr>
              <w:rPr>
                <w:sz w:val="24"/>
                <w:szCs w:val="24"/>
              </w:rPr>
            </w:pPr>
            <w:r>
              <w:rPr>
                <w:sz w:val="24"/>
              </w:rPr>
              <w:t xml:space="preserve">Ingen överträdelse av någon relevant bestämmelse i unionsrätten</w:t>
            </w:r>
          </w:p>
        </w:tc>
      </w:tr>
    </w:tbl>
    <w:p w14:paraId="665FE026" w14:textId="5AC3641E" w:rsidR="00DE1D68" w:rsidRDefault="00DE1D68" w:rsidP="00DE1D68">
      <w:pPr>
        <w:spacing w:before="360" w:after="120"/>
        <w:jc w:val="both"/>
        <w:rPr>
          <w:i/>
        </w:rPr>
      </w:pPr>
      <w:r>
        <w:rPr>
          <w:i/>
        </w:rPr>
        <w:t xml:space="preserve">För att lämna information i detta avsnitt, se avsnitt 3.1.3 (punkt 33) i riktlinjerna.</w:t>
      </w:r>
      <w:r>
        <w:rPr>
          <w:i/>
        </w:rPr>
        <w:t xml:space="preserve"> </w:t>
      </w:r>
    </w:p>
    <w:p w14:paraId="3E98C3D7" w14:textId="29B82232" w:rsidR="00BE702A" w:rsidRDefault="0023543E" w:rsidP="00451471">
      <w:pPr>
        <w:pStyle w:val="ListParagraph"/>
        <w:numPr>
          <w:ilvl w:val="0"/>
          <w:numId w:val="4"/>
        </w:numPr>
        <w:spacing w:before="120" w:after="120"/>
        <w:ind w:left="567" w:hanging="567"/>
        <w:contextualSpacing w:val="0"/>
        <w:jc w:val="both"/>
      </w:pPr>
      <w:r>
        <w:t xml:space="preserve">Lämna information för att bekräfta efterlevnaden av tillämpliga bestämmelser i EU-rätten, i enlighet med punkt 33 i riktlinjerna.</w:t>
      </w:r>
    </w:p>
    <w:p w14:paraId="1698F3A1" w14:textId="77777777" w:rsidR="00424B44" w:rsidRDefault="00424B44" w:rsidP="00425CC6">
      <w:pPr>
        <w:tabs>
          <w:tab w:val="left" w:leader="dot" w:pos="9072"/>
        </w:tabs>
        <w:spacing w:before="120" w:after="120"/>
        <w:ind w:left="567"/>
        <w:jc w:val="both"/>
        <w:rPr>
          <w:color w:val="000000"/>
        </w:rPr>
      </w:pPr>
      <w:r>
        <w:rPr>
          <w:color w:val="000000"/>
        </w:rPr>
        <w:tab/>
      </w:r>
    </w:p>
    <w:p w14:paraId="48458E54" w14:textId="1D7AB21A" w:rsidR="00544B04" w:rsidRPr="00424B44" w:rsidRDefault="00BE702A" w:rsidP="00451471">
      <w:pPr>
        <w:pStyle w:val="ListParagraph"/>
        <w:numPr>
          <w:ilvl w:val="0"/>
          <w:numId w:val="4"/>
        </w:numPr>
        <w:spacing w:before="120" w:after="120"/>
        <w:ind w:left="567" w:hanging="567"/>
        <w:contextualSpacing w:val="0"/>
        <w:jc w:val="both"/>
        <w:rPr>
          <w:color w:val="000000"/>
        </w:rPr>
      </w:pPr>
      <w:r>
        <w:t xml:space="preserve">Om en avgift används för att finansiera åtgärden/åtgärderna, ange om en bedömning av efterlevnaden av artiklarna 30 och 110 i EUF-fördraget behöver göras.</w:t>
      </w:r>
      <w:r>
        <w:t xml:space="preserve"> </w:t>
      </w:r>
      <w:r>
        <w:t xml:space="preserve">Om en bedömning behövs, visa hur åtgärden är förenlig med bestämmelserna i artiklarna 30 och 110 i EUF-fördraget.</w:t>
      </w:r>
      <w:r>
        <w:rPr>
          <w:i/>
        </w:rPr>
        <w:t xml:space="preserve"> </w:t>
      </w:r>
      <w:r>
        <w:t xml:space="preserve">I detta sammanhang kan det hänvisas till de uppgifter som lämnats under fråga </w:t>
      </w:r>
      <w:r w:rsidR="00CF64F1" w:rsidRPr="008B0B2B">
        <w:fldChar w:fldCharType="begin" w:dirty="true"/>
      </w:r>
      <w:r w:rsidR="00CF64F1" w:rsidRPr="008B0B2B">
        <w:instrText xml:space="preserve"> REF _Ref126829229 \w \h </w:instrText>
      </w:r>
      <w:r w:rsidR="008B0B2B">
        <w:instrText xml:space="preserve"> \* MERGEFORMAT </w:instrText>
      </w:r>
      <w:r w:rsidR="00CF64F1" w:rsidRPr="008B0B2B"/>
      <w:r w:rsidR="00CF64F1" w:rsidRPr="008B0B2B">
        <w:fldChar w:fldCharType="separate"/>
      </w:r>
      <w:r w:rsidR="001565DA" w:rsidRPr="008B0B2B">
        <w:t>5</w:t>
      </w:r>
      <w:r w:rsidR="00CF64F1" w:rsidRPr="008B0B2B">
        <w:fldChar w:fldCharType="end"/>
      </w:r>
      <w:r w:rsidR="00CF64F1" w:rsidRPr="008B0B2B">
        <w:fldChar w:fldCharType="begin" w:dirty="true"/>
      </w:r>
      <w:r w:rsidR="00CF64F1" w:rsidRPr="008B0B2B">
        <w:instrText xml:space="preserve"> REF _Ref126829235 \w \h </w:instrText>
      </w:r>
      <w:r w:rsidR="008B0B2B">
        <w:instrText xml:space="preserve"> \* MERGEFORMAT </w:instrText>
      </w:r>
      <w:r w:rsidR="00CF64F1" w:rsidRPr="008B0B2B"/>
      <w:r w:rsidR="00CF64F1" w:rsidRPr="008B0B2B">
        <w:fldChar w:fldCharType="separate"/>
      </w:r>
      <w:r w:rsidR="001565DA" w:rsidRPr="008B0B2B">
        <w:t>ii</w:t>
      </w:r>
      <w:r w:rsidR="00CF64F1" w:rsidRPr="008B0B2B">
        <w:fldChar w:fldCharType="end"/>
      </w:r>
      <w:r>
        <w:t xml:space="preserve"> ovan, om den eller de anmälda åtgärderna finansieras genom en avgift.</w:t>
      </w:r>
    </w:p>
    <w:p w14:paraId="54F4831B" w14:textId="69B14E43" w:rsidR="00C501C5" w:rsidRDefault="00544B04" w:rsidP="00544B04">
      <w:pPr>
        <w:tabs>
          <w:tab w:val="left" w:leader="dot" w:pos="9072"/>
        </w:tabs>
        <w:spacing w:before="120" w:after="120"/>
        <w:ind w:left="567"/>
        <w:jc w:val="both"/>
        <w:rPr>
          <w:color w:val="000000"/>
        </w:rPr>
      </w:pPr>
      <w:r>
        <w:rPr>
          <w:color w:val="000000"/>
        </w:rPr>
        <w:tab/>
      </w:r>
    </w:p>
    <w:p w14:paraId="12BBBE61" w14:textId="5214445E" w:rsidR="00663008" w:rsidRPr="00F8366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82F95">
            <w:pPr>
              <w:pStyle w:val="Heading1"/>
              <w:numPr>
                <w:ilvl w:val="0"/>
                <w:numId w:val="22"/>
              </w:numPr>
              <w:rPr>
                <w:i/>
                <w:color w:val="000000"/>
                <w:sz w:val="28"/>
                <w:szCs w:val="28"/>
              </w:rPr>
            </w:pPr>
            <w:r>
              <w:rPr>
                <w:i/>
                <w:color w:val="000000"/>
                <w:sz w:val="28"/>
              </w:rPr>
              <w:t xml:space="preserve">Negativt villkor:</w:t>
            </w:r>
            <w:r>
              <w:rPr>
                <w:i/>
                <w:color w:val="000000"/>
                <w:sz w:val="28"/>
              </w:rPr>
              <w:t xml:space="preserve"> </w:t>
            </w:r>
            <w:r>
              <w:rPr>
                <w:i/>
                <w:color w:val="000000"/>
                <w:sz w:val="28"/>
              </w:rPr>
              <w:t xml:space="preserve">stödet får inte påverka handeln på ett otillbörligt sätt i en omfattning som strider mot det gemensamma intresset</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299764FB" w:rsidR="00164ADE" w:rsidRDefault="00164ADE" w:rsidP="00B82F95">
            <w:pPr>
              <w:pStyle w:val="Heading2"/>
              <w:numPr>
                <w:ilvl w:val="1"/>
                <w:numId w:val="22"/>
              </w:numPr>
              <w:spacing w:before="0"/>
              <w:ind w:left="788" w:hanging="431"/>
              <w:jc w:val="center"/>
            </w:pPr>
            <w:r>
              <w:t xml:space="preserve">Minimering av snedvridning av konkurrens och handel</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Default="00C45342" w:rsidP="00B82F95">
            <w:pPr>
              <w:pStyle w:val="Heading2"/>
              <w:numPr>
                <w:ilvl w:val="2"/>
                <w:numId w:val="22"/>
              </w:numPr>
              <w:jc w:val="center"/>
            </w:pPr>
            <w:r>
              <w:t xml:space="preserve">Stödets nödvändighet</w:t>
            </w:r>
          </w:p>
          <w:p w14:paraId="5FBF20D3" w14:textId="16263FD7" w:rsidR="00B91C09" w:rsidRPr="00B91C09" w:rsidRDefault="00B91C09" w:rsidP="00B91C09"/>
        </w:tc>
      </w:tr>
    </w:tbl>
    <w:p w14:paraId="3C23674F" w14:textId="16D90932" w:rsidR="00663008" w:rsidRPr="00F83660" w:rsidRDefault="00663008" w:rsidP="00663008">
      <w:pPr>
        <w:spacing w:before="360" w:after="120"/>
        <w:jc w:val="both"/>
        <w:rPr>
          <w:i/>
          <w:color w:val="000000"/>
        </w:rPr>
      </w:pPr>
      <w:r>
        <w:rPr>
          <w:i/>
        </w:rPr>
        <w:t xml:space="preserve">För att lämna information i detta avsnitt, se avsnitt 3.2.1.1 (punkterna 34–38) och avsnitt 4.3.1.4.1 (punkt 264) i riktlinjerna.</w:t>
      </w:r>
      <w:r>
        <w:rPr>
          <w:i/>
          <w:color w:val="000000"/>
        </w:rPr>
        <w:t xml:space="preserve"> </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t xml:space="preserve">Ange vilket eller vilka marknadsmisslyckanden som era myndigheter har identifierat och som hindrar att en tillräcklig miljöskyddsnivå uppnås.</w:t>
      </w:r>
      <w:r>
        <w:t xml:space="preserve"> </w:t>
      </w:r>
      <w:r>
        <w:t xml:space="preserve">Ange vilken kategori de identifierade marknadsmisslyckandena hör till, genom att hänvisa till punkt 34 a, b, c eller d i riktlinjerna.</w:t>
      </w:r>
    </w:p>
    <w:p w14:paraId="621A86A8" w14:textId="77777777" w:rsidR="00663008" w:rsidRPr="00836816" w:rsidRDefault="00663008" w:rsidP="00663008">
      <w:pPr>
        <w:tabs>
          <w:tab w:val="left" w:leader="dot" w:pos="9072"/>
        </w:tabs>
        <w:spacing w:before="120" w:after="120"/>
        <w:ind w:left="567"/>
        <w:jc w:val="both"/>
      </w:pPr>
      <w:r>
        <w:tab/>
      </w:r>
    </w:p>
    <w:p w14:paraId="6FBF7751" w14:textId="78759A4E" w:rsidR="00836816" w:rsidRPr="00B547CC" w:rsidRDefault="00406F04" w:rsidP="00451471">
      <w:pPr>
        <w:pStyle w:val="ListParagraph"/>
        <w:numPr>
          <w:ilvl w:val="0"/>
          <w:numId w:val="4"/>
        </w:numPr>
        <w:spacing w:before="120" w:after="120"/>
        <w:ind w:left="567" w:hanging="567"/>
        <w:contextualSpacing w:val="0"/>
        <w:jc w:val="both"/>
      </w:pPr>
      <w:r>
        <w:t xml:space="preserve">Lämna, i enlighet med punkt 35 i riktlinjerna, information om eventuella befintliga strategier och åtgärder som era myndigheter har identifierat och som redan är inriktade på de identifierade reglerings- eller marknadsmisslyckandena.</w:t>
      </w:r>
    </w:p>
    <w:p w14:paraId="1F515EEE" w14:textId="77777777" w:rsidR="00836816" w:rsidRPr="00B547CC" w:rsidRDefault="00836816" w:rsidP="00836816">
      <w:pPr>
        <w:tabs>
          <w:tab w:val="left" w:leader="dot" w:pos="9072"/>
        </w:tabs>
        <w:spacing w:before="120" w:after="120"/>
        <w:ind w:left="567"/>
        <w:jc w:val="both"/>
      </w:pPr>
      <w:r>
        <w:tab/>
      </w:r>
    </w:p>
    <w:p w14:paraId="4143972C" w14:textId="01DFCA07" w:rsidR="00AE4020" w:rsidRPr="00B547CC" w:rsidRDefault="00AE4020" w:rsidP="00451471">
      <w:pPr>
        <w:pStyle w:val="ListParagraph"/>
        <w:numPr>
          <w:ilvl w:val="0"/>
          <w:numId w:val="4"/>
        </w:numPr>
        <w:spacing w:before="120" w:after="120"/>
        <w:ind w:left="567" w:hanging="567"/>
        <w:contextualSpacing w:val="0"/>
        <w:jc w:val="both"/>
      </w:pPr>
      <w:r>
        <w:t xml:space="preserve">För att visa att punkt 36 i riktlinjerna efterlevs, lämna information som visar att stödet effektivt inriktas på återstående marknadsmisslyckanden, även med beaktande av eventuella andra politiska strategier och åtgärder som redan har införts för att hantera vissa av de marknadsmisslyckanden som identifierats.</w:t>
      </w:r>
      <w:r>
        <w:t xml:space="preserve"> </w:t>
      </w:r>
    </w:p>
    <w:p w14:paraId="2346D88A" w14:textId="77777777" w:rsidR="00AE4020" w:rsidRPr="00502FC2" w:rsidRDefault="00AE4020" w:rsidP="00AE4020">
      <w:pPr>
        <w:tabs>
          <w:tab w:val="left" w:leader="dot" w:pos="9072"/>
        </w:tabs>
        <w:spacing w:before="120" w:after="120"/>
        <w:ind w:left="567"/>
        <w:jc w:val="both"/>
      </w:pPr>
      <w:r>
        <w:tab/>
      </w:r>
    </w:p>
    <w:p w14:paraId="02D9B40A" w14:textId="52AD8EC2" w:rsidR="00502FC2" w:rsidRPr="00502FC2" w:rsidRDefault="00502FC2" w:rsidP="00451471">
      <w:pPr>
        <w:pStyle w:val="ListParagraph"/>
        <w:numPr>
          <w:ilvl w:val="0"/>
          <w:numId w:val="4"/>
        </w:numPr>
        <w:spacing w:before="120" w:after="120"/>
        <w:ind w:left="567" w:hanging="567"/>
        <w:contextualSpacing w:val="0"/>
        <w:jc w:val="both"/>
      </w:pPr>
      <w:r>
        <w:t xml:space="preserve">För att visa att punkt 37 i riktlinjerna efterlevs, ange om era myndigheter har vetskap om huruvida projekt eller verksamheter som liknar dem som omfattas av den eller de anmälda åtgärderna med avseende på deras teknologiska innehåll, risknivå och storlek redan har genomförts inom unionen på marknadsmässiga villkor.</w:t>
      </w:r>
      <w:r>
        <w:t xml:space="preserve"> </w:t>
      </w:r>
      <w:r>
        <w:t xml:space="preserve">Om så är fallet, lämna ytterligare bevisning som visar att det finns ett behov av statligt stöd.</w:t>
      </w:r>
    </w:p>
    <w:p w14:paraId="61BF0D7C" w14:textId="539EDEFB" w:rsidR="00AE4020" w:rsidRPr="002C6BE5" w:rsidRDefault="004152C3" w:rsidP="004152C3">
      <w:pPr>
        <w:tabs>
          <w:tab w:val="left" w:leader="dot" w:pos="9072"/>
        </w:tabs>
        <w:spacing w:before="120" w:after="120"/>
        <w:ind w:left="567"/>
        <w:jc w:val="both"/>
      </w:pPr>
      <w:r>
        <w:tab/>
      </w:r>
    </w:p>
    <w:p w14:paraId="61F1F1CB" w14:textId="2941852F" w:rsidR="0016585C" w:rsidRPr="00936276" w:rsidRDefault="00D90307" w:rsidP="00451471">
      <w:pPr>
        <w:pStyle w:val="ListParagraph"/>
        <w:numPr>
          <w:ilvl w:val="0"/>
          <w:numId w:val="4"/>
        </w:numPr>
        <w:spacing w:before="120" w:after="120"/>
        <w:ind w:left="567" w:hanging="567"/>
        <w:contextualSpacing w:val="0"/>
        <w:jc w:val="both"/>
      </w:pPr>
      <w:r>
        <w:t xml:space="preserve">För att visa att punkt 38 i riktlinjerna efterlevs, hänvisa till den kvantitativa bevisning som redan lämnats under fråga 17 ovan.</w:t>
      </w:r>
      <w:r>
        <w:t xml:space="preserve"> </w:t>
      </w:r>
    </w:p>
    <w:p w14:paraId="6C2C6881" w14:textId="75FBF64A" w:rsidR="004E1CCE" w:rsidRDefault="0016585C" w:rsidP="00B876B2">
      <w:pPr>
        <w:tabs>
          <w:tab w:val="left" w:leader="dot" w:pos="9072"/>
        </w:tabs>
        <w:spacing w:before="120" w:after="120"/>
        <w:ind w:left="360"/>
        <w:jc w:val="both"/>
      </w:pPr>
      <w:r>
        <w:tab/>
      </w:r>
    </w:p>
    <w:p w14:paraId="07CD1CB9" w14:textId="2D84E522" w:rsidR="00300D5F" w:rsidRDefault="0073048C" w:rsidP="00451471">
      <w:pPr>
        <w:pStyle w:val="ListParagraph"/>
        <w:numPr>
          <w:ilvl w:val="0"/>
          <w:numId w:val="4"/>
        </w:numPr>
        <w:spacing w:before="120" w:after="120"/>
        <w:ind w:left="567" w:hanging="567"/>
        <w:contextualSpacing w:val="0"/>
        <w:jc w:val="both"/>
      </w:pPr>
      <w:r>
        <w:t xml:space="preserve">Om stödet ges i form av utsläppsrätter, lämna bevis som visar att följande kumulativa villkor är uppfyllda, i enlighet med punkt 264 i riktlinjerna:</w:t>
      </w:r>
    </w:p>
    <w:p w14:paraId="6A67C252" w14:textId="5E5711BB" w:rsidR="00071540" w:rsidRDefault="00F60556" w:rsidP="00B82F95">
      <w:pPr>
        <w:numPr>
          <w:ilvl w:val="1"/>
          <w:numId w:val="37"/>
        </w:numPr>
        <w:ind w:left="1701" w:hanging="567"/>
      </w:pPr>
      <w:r>
        <w:t xml:space="preserve">En fullständig auktionering leder till en väsentlig ökning av produktionskostnaderna för varje sektor eller kategori av enskilda stödmottagare.</w:t>
      </w:r>
    </w:p>
    <w:p w14:paraId="216ED8EF" w14:textId="3664ED7C" w:rsidR="00071540" w:rsidRDefault="00071540" w:rsidP="00071540">
      <w:pPr>
        <w:tabs>
          <w:tab w:val="left" w:leader="dot" w:pos="9072"/>
        </w:tabs>
        <w:spacing w:before="120" w:after="120"/>
        <w:ind w:left="567"/>
        <w:jc w:val="both"/>
      </w:pPr>
      <w:r>
        <w:tab/>
      </w:r>
    </w:p>
    <w:p w14:paraId="630B3100" w14:textId="4D501E9B" w:rsidR="00071540" w:rsidRDefault="004438D6" w:rsidP="00B82F95">
      <w:pPr>
        <w:numPr>
          <w:ilvl w:val="1"/>
          <w:numId w:val="37"/>
        </w:numPr>
        <w:ind w:left="1701" w:hanging="567"/>
      </w:pPr>
      <w:r>
        <w:t xml:space="preserve">Den väsentliga ökningen av produktionskostnaderna kan inte föras över på kunderna utan att det leder till en betydande minskning av försäljningen</w:t>
      </w:r>
      <w:r w:rsidR="003379AF">
        <w:rPr>
          <w:rStyle w:val="FootnoteReference"/>
          <w:lang w:eastAsia="en-GB"/>
        </w:rPr>
        <w:footnoteReference w:id="10"/>
      </w:r>
      <w:r>
        <w:t xml:space="preserve">.</w:t>
      </w:r>
    </w:p>
    <w:p w14:paraId="6059E992" w14:textId="27C967CF" w:rsidR="00071540" w:rsidRDefault="00071540" w:rsidP="00071540">
      <w:pPr>
        <w:tabs>
          <w:tab w:val="left" w:leader="dot" w:pos="9072"/>
        </w:tabs>
        <w:spacing w:before="120" w:after="120"/>
        <w:ind w:left="567"/>
        <w:jc w:val="both"/>
      </w:pPr>
      <w:r>
        <w:tab/>
      </w:r>
    </w:p>
    <w:p w14:paraId="4188584F" w14:textId="74A027CB" w:rsidR="00071540" w:rsidRPr="00B91C09" w:rsidRDefault="00D71E9E" w:rsidP="00B82F95">
      <w:pPr>
        <w:numPr>
          <w:ilvl w:val="1"/>
          <w:numId w:val="37"/>
        </w:numPr>
        <w:ind w:left="1701" w:hanging="567"/>
      </w:pPr>
      <w:r>
        <w:t xml:space="preserve">Enskilda företag inom sektorn har inte möjlighet att minska utsläppsnivåerna i syfte att sänka kostnaden för certifikaten/utsläppsrätterna till en mer uthärdlig nivå för de företagen.</w:t>
      </w:r>
      <w:r>
        <w:t xml:space="preserve"> </w:t>
      </w:r>
      <w:r>
        <w:t xml:space="preserve">Detta kan visas genom att man jämför de potentiella stödmottagarnas utsläppsnivåer med de utsläppsnivåer som uppnåtts genom man tillämpat den bästa tekniken och visat att den bästa tekniken inom EES användes som riktmärke för nivån på den beviljade utsläppsrätten.</w:t>
      </w:r>
      <w:r>
        <w:t xml:space="preserve"> </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rPr>
              <w:t xml:space="preserve">Lämplighet</w:t>
            </w:r>
            <w:r>
              <w:rPr>
                <w:color w:val="000000"/>
              </w:rPr>
              <w:t xml:space="preserve"> </w:t>
            </w:r>
          </w:p>
        </w:tc>
      </w:tr>
    </w:tbl>
    <w:p w14:paraId="4C2D927B" w14:textId="2ECE2CFC" w:rsidR="00EA354A" w:rsidRPr="00F83660" w:rsidRDefault="00EA354A" w:rsidP="00EA354A">
      <w:pPr>
        <w:spacing w:before="360" w:after="120"/>
        <w:jc w:val="both"/>
        <w:rPr>
          <w:i/>
          <w:color w:val="000000"/>
        </w:rPr>
      </w:pPr>
      <w:r>
        <w:rPr>
          <w:i/>
        </w:rPr>
        <w:t xml:space="preserve">För att lämna information i detta avsnitt, se avsnitt 3.2.1.2 (punkterna 39–46) i riktlinjerna.</w:t>
      </w:r>
      <w:r>
        <w:rPr>
          <w:i/>
          <w:color w:val="000000"/>
        </w:rPr>
        <w:t xml:space="preserve"> </w:t>
      </w:r>
    </w:p>
    <w:p w14:paraId="58095579" w14:textId="77777777" w:rsidR="0004786A" w:rsidRPr="00900825" w:rsidRDefault="0004786A" w:rsidP="00451471">
      <w:pPr>
        <w:pStyle w:val="ListParagraph"/>
        <w:numPr>
          <w:ilvl w:val="0"/>
          <w:numId w:val="4"/>
        </w:numPr>
        <w:spacing w:before="120" w:after="120"/>
        <w:ind w:left="567" w:hanging="567"/>
        <w:contextualSpacing w:val="0"/>
        <w:jc w:val="both"/>
      </w:pPr>
      <w:r>
        <w:t xml:space="preserve">För att visa att punkt 40 i riktlinjerna efterlevs, visa att det inte finns några mindre snedvridande instrument tillgängliga som är lämpligare.</w:t>
      </w:r>
      <w:r>
        <w:t xml:space="preserve"> </w:t>
      </w:r>
    </w:p>
    <w:p w14:paraId="7920EB54" w14:textId="77777777" w:rsidR="0004786A" w:rsidRPr="00900825" w:rsidRDefault="0004786A" w:rsidP="0004786A">
      <w:pPr>
        <w:tabs>
          <w:tab w:val="left" w:leader="dot" w:pos="9072"/>
        </w:tabs>
        <w:spacing w:before="120" w:after="120"/>
        <w:ind w:left="360"/>
        <w:jc w:val="both"/>
      </w:pPr>
      <w:r>
        <w:tab/>
      </w:r>
    </w:p>
    <w:p w14:paraId="7DD683CE" w14:textId="62AF1989" w:rsidR="00EA354A" w:rsidRPr="00900825" w:rsidRDefault="003D433B" w:rsidP="00451471">
      <w:pPr>
        <w:pStyle w:val="ListParagraph"/>
        <w:numPr>
          <w:ilvl w:val="0"/>
          <w:numId w:val="4"/>
        </w:numPr>
        <w:spacing w:before="120" w:after="120"/>
        <w:ind w:left="567" w:hanging="567"/>
        <w:contextualSpacing w:val="0"/>
        <w:jc w:val="both"/>
      </w:pPr>
      <w:r>
        <w:t xml:space="preserve">För att visa att punkt 41 i riktlinjerna efterlevs, visa att stödåtgärden är utformad på ett sådant sätt att den inte undergräver effektiviteten hos andra åtgärder som rättar till samma marknadsmisslyckande, såsom marknadsbaserade mekanismer (t.ex. EU:s utsläppshandelssystem).</w:t>
      </w:r>
      <w:r>
        <w:rPr>
          <w:rStyle w:val="normaltextrun"/>
          <w:color w:val="000000"/>
          <w:shd w:val="clear" w:color="auto" w:fill="FFFFFF"/>
        </w:rPr>
        <w:t xml:space="preserve"> </w:t>
      </w:r>
      <w:r>
        <w:t xml:space="preserve"> </w:t>
      </w:r>
    </w:p>
    <w:p w14:paraId="298B657B" w14:textId="77777777" w:rsidR="00EA354A" w:rsidRPr="00900825" w:rsidRDefault="00EA354A" w:rsidP="00EA354A">
      <w:pPr>
        <w:tabs>
          <w:tab w:val="left" w:leader="dot" w:pos="9072"/>
        </w:tabs>
        <w:spacing w:before="120" w:after="120"/>
        <w:ind w:left="567"/>
        <w:jc w:val="both"/>
      </w:pPr>
      <w:r>
        <w:tab/>
      </w:r>
    </w:p>
    <w:p w14:paraId="5E99B968" w14:textId="09E2A74F" w:rsidR="00E02B81" w:rsidRPr="00E80F06" w:rsidRDefault="00E02B81" w:rsidP="00451471">
      <w:pPr>
        <w:pStyle w:val="ListParagraph"/>
        <w:numPr>
          <w:ilvl w:val="0"/>
          <w:numId w:val="4"/>
        </w:numPr>
        <w:spacing w:before="120" w:after="120"/>
        <w:ind w:left="567" w:hanging="567"/>
        <w:contextualSpacing w:val="0"/>
        <w:jc w:val="both"/>
      </w:pPr>
      <w:r>
        <w:t xml:space="preserve">För att visa att punkt 42 i riktlinjerna efterlevs, bekräfta att ingen av stödmottagarna i stödåtgärden/stödåtgärderna kan hållas ansvarig för föroreningen enligt befintlig unionsrätt eller nationell lagstiftning (principen att</w:t>
      </w:r>
      <w:r>
        <w:br/>
      </w:r>
      <w:r>
        <w:t xml:space="preserve"> förorenaren betalar).</w:t>
      </w:r>
      <w:r>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tab/>
      </w:r>
    </w:p>
    <w:p w14:paraId="6E8078B3" w14:textId="5739371F" w:rsidR="00F6400A" w:rsidRDefault="002F5939" w:rsidP="00451471">
      <w:pPr>
        <w:pStyle w:val="ListParagraph"/>
        <w:numPr>
          <w:ilvl w:val="0"/>
          <w:numId w:val="4"/>
        </w:numPr>
        <w:spacing w:before="120" w:after="120"/>
        <w:ind w:left="567" w:hanging="567"/>
        <w:contextualSpacing w:val="0"/>
        <w:jc w:val="both"/>
      </w:pPr>
      <w:r>
        <w:t xml:space="preserve">För att visa att punkterna 43–46 i riktlinjerna efterlevs, ange följande för att visa stödets lämplighet i förhållande till olika stödinstrument:</w:t>
      </w:r>
      <w:r>
        <w:t xml:space="preserve"> </w:t>
      </w:r>
    </w:p>
    <w:p w14:paraId="4F88C324" w14:textId="2B3F690B" w:rsidR="00EF1F6E" w:rsidRPr="00ED71CB" w:rsidRDefault="00D97CBE" w:rsidP="00B82F95">
      <w:pPr>
        <w:pStyle w:val="ListParagraph"/>
        <w:numPr>
          <w:ilvl w:val="0"/>
          <w:numId w:val="32"/>
        </w:numPr>
        <w:spacing w:before="120" w:after="120"/>
        <w:contextualSpacing w:val="0"/>
        <w:jc w:val="both"/>
      </w:pPr>
      <w:r>
        <w:t xml:space="preserve">Förklara varför andra, potentiellt mindre snedvridande stödformer, är mindre lämpliga</w:t>
      </w:r>
      <w:r>
        <w:rPr>
          <w:rStyle w:val="normaltextrun"/>
        </w:rPr>
        <w:t xml:space="preserve">, såsom krävs i punkt 44 i riktlinjerna</w:t>
      </w:r>
      <w:r>
        <w:t xml:space="preserve">.</w:t>
      </w:r>
      <w:r>
        <w:t xml:space="preserve"> </w:t>
      </w:r>
      <w:r>
        <w:t xml:space="preserve">Mindre snedvridande stödformer kan vara förskott med återbetalningsskyldighet jämfört med direkta bidrag,</w:t>
      </w:r>
      <w:r>
        <w:t xml:space="preserve"> </w:t>
      </w:r>
      <w:r>
        <w:t xml:space="preserve">skatteavdrag jämfört med skattelättnader,</w:t>
      </w:r>
      <w:r>
        <w:t xml:space="preserve"> </w:t>
      </w:r>
      <w:r>
        <w:t xml:space="preserve">eller stödformer som baseras på finansiella instrument såsom skuldinstrument jämfört med kapitalinstrument, innehållande t.ex. lågräntelån eller räntesubventioner, statliga garantier eller annan finansiering på förmånliga villkor.</w:t>
      </w:r>
    </w:p>
    <w:p w14:paraId="4CB3170A" w14:textId="77777777" w:rsidR="00EF1F6E" w:rsidRPr="00ED71CB" w:rsidRDefault="00EF1F6E" w:rsidP="00EF1F6E">
      <w:pPr>
        <w:tabs>
          <w:tab w:val="left" w:leader="dot" w:pos="9072"/>
        </w:tabs>
        <w:spacing w:before="120" w:after="120"/>
        <w:ind w:left="567"/>
        <w:jc w:val="both"/>
      </w:pPr>
      <w:r>
        <w:tab/>
      </w:r>
    </w:p>
    <w:p w14:paraId="1AC5661D" w14:textId="73F7D8A9" w:rsidR="00EF1F6E" w:rsidRPr="00ED71CB" w:rsidRDefault="00F6400A" w:rsidP="00B82F95">
      <w:pPr>
        <w:pStyle w:val="ListParagraph"/>
        <w:numPr>
          <w:ilvl w:val="0"/>
          <w:numId w:val="32"/>
        </w:numPr>
        <w:spacing w:before="120" w:after="120"/>
        <w:contextualSpacing w:val="0"/>
        <w:jc w:val="both"/>
      </w:pPr>
      <w:r>
        <w:t xml:space="preserve">Visa att valet av stödinstrument är lämpligt med tanke på det marknadsmisslyckande som stödåtgärden/stödåtgärderna syftar till att korrigera, i enlighet med punkt 45 i riktlinjerna.</w:t>
      </w:r>
    </w:p>
    <w:p w14:paraId="57DB0283" w14:textId="77777777" w:rsidR="00EF1F6E" w:rsidRPr="00ED71CB" w:rsidRDefault="00EF1F6E" w:rsidP="00EF1F6E">
      <w:pPr>
        <w:tabs>
          <w:tab w:val="left" w:leader="dot" w:pos="9072"/>
        </w:tabs>
        <w:spacing w:before="120" w:after="120"/>
        <w:ind w:left="567"/>
        <w:jc w:val="both"/>
      </w:pPr>
      <w:r>
        <w:tab/>
      </w:r>
    </w:p>
    <w:p w14:paraId="423A4CB4" w14:textId="382D70C6" w:rsidR="00ED71CB" w:rsidRPr="00ED71CB" w:rsidRDefault="00F6400A" w:rsidP="00B82F95">
      <w:pPr>
        <w:pStyle w:val="ListParagraph"/>
        <w:numPr>
          <w:ilvl w:val="0"/>
          <w:numId w:val="32"/>
        </w:numPr>
        <w:spacing w:before="120" w:after="120"/>
        <w:contextualSpacing w:val="0"/>
        <w:jc w:val="both"/>
      </w:pPr>
      <w:r>
        <w:t xml:space="preserve">Förklara hur</w:t>
      </w:r>
      <w:r>
        <w:rPr>
          <w:color w:val="000000"/>
          <w:shd w:val="clear" w:color="auto" w:fill="FFFFFF"/>
        </w:rPr>
        <w:t xml:space="preserve"> </w:t>
      </w:r>
      <w:r>
        <w:rPr>
          <w:color w:val="000000"/>
        </w:rPr>
        <w:t xml:space="preserve"> stödåtgärden och dess utformning är lämplig för att uppnå dess mål </w:t>
      </w:r>
      <w:r>
        <w:rPr>
          <w:rStyle w:val="normaltextrun"/>
        </w:rPr>
        <w:t xml:space="preserve">(punkt 46 i riktlinjerna)</w:t>
      </w:r>
      <w:r>
        <w:t xml:space="preserve">.</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863406"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t xml:space="preserve">Proportionalitet</w:t>
            </w:r>
            <w:r>
              <w:t xml:space="preserve"> </w:t>
            </w:r>
          </w:p>
        </w:tc>
      </w:tr>
    </w:tbl>
    <w:p w14:paraId="5A2A77DE" w14:textId="629E0C5C" w:rsidR="00451471" w:rsidRDefault="00863406" w:rsidP="00864350">
      <w:pPr>
        <w:spacing w:before="360" w:after="120"/>
        <w:jc w:val="both"/>
        <w:rPr>
          <w:i/>
        </w:rPr>
      </w:pPr>
      <w:r>
        <w:rPr>
          <w:i/>
        </w:rPr>
        <w:t xml:space="preserve">För att lämna information i detta avsnitt, se avsnitt 3.2.1.3 (punkterna 47–57) och avsnitt 4.5.4.2 (punkterna 265–273) i riktlinjerna.</w:t>
      </w:r>
      <w:r>
        <w:rPr>
          <w:i/>
        </w:rPr>
        <w:t xml:space="preserve"> </w:t>
      </w:r>
      <w:r>
        <w:rPr>
          <w:i/>
        </w:rPr>
        <w:t xml:space="preserve">Observera att följande tre avsnitt 2.1.3.2, 2.1.3.3 och 2.1.3.4 är alternativa.</w:t>
      </w:r>
      <w:r>
        <w:rPr>
          <w:i/>
        </w:rPr>
        <w:t xml:space="preserve"> </w:t>
      </w:r>
      <w:r>
        <w:rPr>
          <w:i/>
        </w:rPr>
        <w:t xml:space="preserve">Lämna endast svar på det relevanta avsnittet, beroende på den föreslagna åtgärdens utformning.</w:t>
      </w:r>
      <w:r>
        <w:rPr>
          <w:i/>
        </w:rPr>
        <w:t xml:space="preserve"> </w:t>
      </w:r>
      <w:r>
        <w:rPr>
          <w:i/>
        </w:rPr>
        <w:t xml:space="preserve">För stöd som beviljas i form av utsläppsrätter, besvara även fråga 33 (avsnitt 2.1.3.1).</w:t>
      </w:r>
      <w:r>
        <w:rPr>
          <w:i/>
        </w:rPr>
        <w:t xml:space="preserve">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87250F" w:rsidRDefault="0087250F" w:rsidP="00B82F95">
            <w:pPr>
              <w:pStyle w:val="ListParagraph"/>
              <w:numPr>
                <w:ilvl w:val="3"/>
                <w:numId w:val="22"/>
              </w:numPr>
              <w:rPr>
                <w:b/>
                <w:szCs w:val="24"/>
                <w:rFonts w:eastAsia="Times New Roman"/>
              </w:rPr>
            </w:pPr>
            <w:r>
              <w:rPr>
                <w:b/>
              </w:rPr>
              <w:t xml:space="preserve">Proportionaliteten hos stöd som beviljas i form av utsläppsrätter</w:t>
            </w:r>
            <w:r>
              <w:rPr>
                <w:b/>
              </w:rPr>
              <w:t xml:space="preserve"> </w:t>
            </w:r>
          </w:p>
        </w:tc>
      </w:tr>
    </w:tbl>
    <w:p w14:paraId="64E0C18A" w14:textId="5D959274" w:rsidR="00F60556" w:rsidRDefault="00F60556" w:rsidP="002B019C">
      <w:pPr>
        <w:pStyle w:val="ListParagraph"/>
        <w:numPr>
          <w:ilvl w:val="0"/>
          <w:numId w:val="4"/>
        </w:numPr>
        <w:spacing w:before="120" w:after="120"/>
        <w:ind w:left="567" w:hanging="567"/>
        <w:contextualSpacing w:val="0"/>
      </w:pPr>
      <w:r>
        <w:t xml:space="preserve">Om stödet ges i form av utsläppsrätter, förklara i enlighet med punkt 273 hur följande kommer att ske:</w:t>
      </w:r>
    </w:p>
    <w:p w14:paraId="379BD600" w14:textId="77777777" w:rsidR="00F60556" w:rsidRDefault="00F60556" w:rsidP="00B82F95">
      <w:pPr>
        <w:numPr>
          <w:ilvl w:val="0"/>
          <w:numId w:val="42"/>
        </w:numPr>
        <w:ind w:left="1418" w:hanging="284"/>
      </w:pPr>
      <w:r>
        <w:t xml:space="preserve">Att tilldelningen sker på ett öppet sätt och grundar sig på objektiva kriterier och uppgiftskällor av den högsta kvalitet som står till buds,</w:t>
      </w:r>
      <w:r>
        <w:t xml:space="preserve"> </w:t>
      </w:r>
    </w:p>
    <w:p w14:paraId="1D6DB95B" w14:textId="4E204574" w:rsidR="00F60556" w:rsidRDefault="00F60556" w:rsidP="00F60556">
      <w:pPr>
        <w:tabs>
          <w:tab w:val="left" w:leader="dot" w:pos="9072"/>
        </w:tabs>
        <w:spacing w:before="120" w:after="120"/>
        <w:ind w:left="567"/>
        <w:jc w:val="both"/>
      </w:pPr>
      <w:r>
        <w:tab/>
      </w:r>
    </w:p>
    <w:p w14:paraId="156C92F5" w14:textId="52C32324" w:rsidR="00F60556" w:rsidRDefault="00F60556" w:rsidP="00B82F95">
      <w:pPr>
        <w:numPr>
          <w:ilvl w:val="0"/>
          <w:numId w:val="42"/>
        </w:numPr>
      </w:pPr>
      <w:r>
        <w:t xml:space="preserve">Att den totala mängden utsläppsrätter eller tillstånd som beviljas ett företag till ett pris under marknadsvärdet inte överskrider företagets beräknade förväntade behov i en situation utan system för handel med utsläppsrätter.</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A73A9AC" w:rsidR="001620DB" w:rsidRPr="00FC6878" w:rsidRDefault="006A73D2" w:rsidP="00B82F95">
            <w:pPr>
              <w:pStyle w:val="Heading1"/>
              <w:numPr>
                <w:ilvl w:val="3"/>
                <w:numId w:val="22"/>
              </w:numPr>
              <w:rPr>
                <w:sz w:val="24"/>
                <w:szCs w:val="24"/>
              </w:rPr>
            </w:pPr>
            <w:r>
              <w:rPr>
                <w:sz w:val="24"/>
              </w:rPr>
              <w:t xml:space="preserve">Stödets proportionalitet på grundval av de stödnivåer som anges i punkterna 265–273 i riktlinjerna</w:t>
            </w:r>
          </w:p>
        </w:tc>
      </w:tr>
    </w:tbl>
    <w:p w14:paraId="1A6F0AC7" w14:textId="58F3D46D" w:rsidR="00E50157" w:rsidRPr="00E72618" w:rsidRDefault="00E50157" w:rsidP="00451471">
      <w:pPr>
        <w:pStyle w:val="ListParagraph"/>
        <w:numPr>
          <w:ilvl w:val="0"/>
          <w:numId w:val="4"/>
        </w:numPr>
        <w:spacing w:before="120" w:after="120"/>
        <w:ind w:left="567" w:hanging="567"/>
        <w:contextualSpacing w:val="0"/>
        <w:jc w:val="both"/>
      </w:pPr>
      <w:r>
        <w:t xml:space="preserve">Som beskrivning av vilka kostnader som är stödberättigande inom ramen för åtgärden, ange de extra investeringskostnader som är direkt kopplade till uppnåendet av en högre miljöskyddsnivå.</w:t>
      </w:r>
      <w:r>
        <w:t xml:space="preserve"> </w:t>
      </w:r>
      <w:r>
        <w:t xml:space="preserve">När det görs, hänvisa till det relevanta kontrafaktiska scenario som anges i svaret på fråga 17, och till punkterna 266 och 226–230 i riktlinjerna för statligt stöd.</w:t>
      </w:r>
    </w:p>
    <w:p w14:paraId="7CAECDEE" w14:textId="77777777" w:rsidR="00E50157" w:rsidRDefault="00E50157" w:rsidP="00E50157">
      <w:pPr>
        <w:tabs>
          <w:tab w:val="left" w:leader="dot" w:pos="9072"/>
        </w:tabs>
        <w:spacing w:before="120" w:after="120"/>
        <w:ind w:left="567"/>
        <w:jc w:val="both"/>
      </w:pPr>
      <w:r>
        <w:tab/>
      </w:r>
    </w:p>
    <w:p w14:paraId="61339ACB" w14:textId="77777777" w:rsidR="008E0F56" w:rsidRDefault="008E0F56" w:rsidP="008E0F56">
      <w:pPr>
        <w:pStyle w:val="ListParagraph"/>
        <w:numPr>
          <w:ilvl w:val="0"/>
          <w:numId w:val="4"/>
        </w:numPr>
        <w:spacing w:before="120" w:after="120"/>
        <w:ind w:left="567" w:hanging="567"/>
        <w:contextualSpacing w:val="0"/>
        <w:jc w:val="both"/>
      </w:pPr>
      <w:r>
        <w:t xml:space="preserve">Förklara hur investeringskostnaderna ifråga om de faktiska och kontrafaktiska scenarierna kommer att fastställas och verifieras.</w:t>
      </w:r>
      <w:r>
        <w:t xml:space="preserve"> </w:t>
      </w:r>
    </w:p>
    <w:p w14:paraId="5F482D19" w14:textId="2BA9946C" w:rsidR="008E0F56" w:rsidRDefault="008E0F56" w:rsidP="008E0F56">
      <w:pPr>
        <w:tabs>
          <w:tab w:val="left" w:leader="dot" w:pos="9072"/>
        </w:tabs>
        <w:spacing w:before="120" w:after="120"/>
        <w:ind w:left="567"/>
        <w:jc w:val="both"/>
      </w:pPr>
      <w:r>
        <w:tab/>
      </w:r>
    </w:p>
    <w:p w14:paraId="533F9BDE" w14:textId="54D8335C" w:rsidR="005416C4" w:rsidRPr="000575C3" w:rsidRDefault="005416C4" w:rsidP="00451471">
      <w:pPr>
        <w:pStyle w:val="ListParagraph"/>
        <w:numPr>
          <w:ilvl w:val="0"/>
          <w:numId w:val="4"/>
        </w:numPr>
        <w:spacing w:before="120" w:after="120"/>
        <w:ind w:left="567" w:hanging="567"/>
        <w:contextualSpacing w:val="0"/>
        <w:jc w:val="both"/>
      </w:pPr>
      <w:r>
        <w:t xml:space="preserve">Ange de högsta stödnivåer som är tillämpliga enligt åtgärden och ange om eventuella bonusar (punkterna 267–270 i riktlinjerna) är tillämpliga.</w:t>
      </w:r>
      <w:r>
        <w:t xml:space="preserve"> </w:t>
      </w:r>
    </w:p>
    <w:p w14:paraId="4A4B66D2" w14:textId="77777777" w:rsidR="005416C4" w:rsidRDefault="005416C4" w:rsidP="005416C4">
      <w:pPr>
        <w:tabs>
          <w:tab w:val="left" w:leader="dot" w:pos="9072"/>
        </w:tabs>
        <w:spacing w:before="120" w:after="120"/>
        <w:ind w:left="567"/>
        <w:jc w:val="both"/>
      </w:pPr>
      <w:r>
        <w:tab/>
      </w:r>
    </w:p>
    <w:p w14:paraId="44D37FEB" w14:textId="05372DDD" w:rsidR="00611EA4" w:rsidRDefault="00611EA4" w:rsidP="00611EA4">
      <w:pPr>
        <w:pStyle w:val="ListParagraph"/>
        <w:numPr>
          <w:ilvl w:val="0"/>
          <w:numId w:val="4"/>
        </w:numPr>
        <w:spacing w:before="120" w:after="120"/>
        <w:ind w:left="567" w:hanging="567"/>
        <w:contextualSpacing w:val="0"/>
        <w:jc w:val="both"/>
      </w:pPr>
      <w:r>
        <w:t xml:space="preserve">För miljöinnovationsverksamhet, visa att följande kumulativa villkor är uppfyllda (punkt 270 i riktlinjerna):</w:t>
      </w:r>
      <w:r>
        <w:t xml:space="preserve"> </w:t>
      </w:r>
    </w:p>
    <w:p w14:paraId="00DF35DD" w14:textId="77777777" w:rsidR="00611EA4" w:rsidRDefault="00611EA4" w:rsidP="00B82F95">
      <w:pPr>
        <w:pStyle w:val="ListParagraph"/>
        <w:numPr>
          <w:ilvl w:val="0"/>
          <w:numId w:val="36"/>
        </w:numPr>
        <w:spacing w:before="120" w:after="120"/>
        <w:contextualSpacing w:val="0"/>
        <w:jc w:val="both"/>
      </w:pPr>
      <w:r>
        <w:t xml:space="preserve">Den miljöinnovativa verksamheten är ny eller innebär en väsentlig förbättring jämfört med den senaste utvecklingen inom branschen i unionen</w:t>
      </w:r>
      <w:r>
        <w:rPr>
          <w:rStyle w:val="FootnoteReference"/>
        </w:rPr>
        <w:footnoteReference w:id="11"/>
      </w:r>
      <w:r>
        <w:t xml:space="preserve">.</w:t>
      </w:r>
    </w:p>
    <w:p w14:paraId="0E220A72" w14:textId="77777777" w:rsidR="00611EA4" w:rsidRDefault="00611EA4" w:rsidP="00B82F95">
      <w:pPr>
        <w:pStyle w:val="ListParagraph"/>
        <w:numPr>
          <w:ilvl w:val="0"/>
          <w:numId w:val="36"/>
        </w:numPr>
        <w:spacing w:before="120" w:after="120"/>
        <w:contextualSpacing w:val="0"/>
        <w:jc w:val="both"/>
      </w:pPr>
      <w:r>
        <w:t xml:space="preserve">De förväntade miljövinsterna är betydligt större än den förbättring som den allmänna tekniska utvecklingen i jämförbara verksamheter ger upphov till</w:t>
      </w:r>
      <w:r>
        <w:rPr>
          <w:rStyle w:val="FootnoteReference"/>
        </w:rPr>
        <w:footnoteReference w:id="12"/>
      </w:r>
      <w:r>
        <w:t xml:space="preserve">.</w:t>
      </w:r>
      <w:r>
        <w:t xml:space="preserve"> </w:t>
      </w:r>
    </w:p>
    <w:p w14:paraId="4AF782DE" w14:textId="77777777" w:rsidR="00611EA4" w:rsidRDefault="00611EA4" w:rsidP="00B82F95">
      <w:pPr>
        <w:pStyle w:val="ListParagraph"/>
        <w:numPr>
          <w:ilvl w:val="0"/>
          <w:numId w:val="36"/>
        </w:numPr>
        <w:spacing w:before="120" w:after="120"/>
        <w:contextualSpacing w:val="0"/>
        <w:jc w:val="both"/>
      </w:pPr>
      <w:r>
        <w:t xml:space="preserve">Verksamhetens innovativa karaktär innebär en uppenbar risk i tekniskt, marknadsmässigt eller ekonomiskt hänseende som är större än den risk som vanligen förknippas med jämförbar verksamhet som inte är innovativ</w:t>
      </w:r>
      <w:r>
        <w:rPr>
          <w:rStyle w:val="FootnoteReference"/>
        </w:rPr>
        <w:footnoteReference w:id="13"/>
      </w:r>
      <w:r>
        <w:t xml:space="preserve">.</w:t>
      </w:r>
      <w:r>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0F8D290F" w:rsidR="005416C4" w:rsidRPr="00451471" w:rsidRDefault="005416C4" w:rsidP="00451471">
      <w:pPr>
        <w:pStyle w:val="ListParagraph"/>
        <w:numPr>
          <w:ilvl w:val="0"/>
          <w:numId w:val="4"/>
        </w:numPr>
        <w:spacing w:before="120" w:after="120"/>
        <w:ind w:left="567" w:hanging="567"/>
        <w:contextualSpacing w:val="0"/>
        <w:jc w:val="both"/>
      </w:pPr>
      <w:r>
        <w:t xml:space="preserve">Om det genom undantag från punkterna 267–270 i riktlinjerna anses att det krävs stöd utöver de högsta stödnivåer som fastställs i avsnitt 4.5.4.2, ange då den stödnivå som anses nödvändig och motivera den på grundval av en analys av finansieringsunderskottet för referensprojekt i de faktiska och kontrafaktiska scenarier som anges i svaret på fråga 17 C ovan, i enlighet med punkterna 51–52 i riktlinjerna.</w:t>
      </w:r>
      <w:r>
        <w:t xml:space="preserve"> </w:t>
      </w:r>
    </w:p>
    <w:p w14:paraId="25D9B659" w14:textId="6A94171C" w:rsidR="00E766C0" w:rsidRPr="00451471" w:rsidRDefault="00E766C0" w:rsidP="00451471">
      <w:pPr>
        <w:pStyle w:val="ListParagraph"/>
        <w:spacing w:before="120" w:after="120"/>
        <w:ind w:left="567"/>
        <w:contextualSpacing w:val="0"/>
        <w:jc w:val="both"/>
      </w:pPr>
      <w:r>
        <w:t xml:space="preserve">För analysen av detta finansieringsunderskott, lämna in en kvantifiering, för det eller de faktiska scenarier och realistiska kontrafaktiska scenarier</w:t>
      </w:r>
      <w:r w:rsidRPr="00451471">
        <w:rPr>
          <w:vertAlign w:val="superscript"/>
          <w:lang w:val="en-IE" w:eastAsia="en-GB"/>
        </w:rPr>
        <w:footnoteReference w:id="14"/>
      </w:r>
      <w:r>
        <w:t xml:space="preserve"> som identifierats i svaret på fråga 17 C ovan, av alla huvudsakliga kostnader och intäkter, stödmottagarnas (eller referensprojektens) beräknade vägda genomsnittliga kapitalkostnad (WACC) för att diskontera framtida kassaflöden samt nettonuvärdet för de faktiska och kontrafaktiska scenarierna under projektets/referensprojektets livstid.</w:t>
      </w:r>
      <w:r>
        <w:t xml:space="preserve"> </w:t>
      </w:r>
    </w:p>
    <w:p w14:paraId="2C354854" w14:textId="6371928B" w:rsidR="00E766C0" w:rsidRPr="008E430F" w:rsidRDefault="00E766C0" w:rsidP="00B82F95">
      <w:pPr>
        <w:pStyle w:val="ListParagraph"/>
        <w:numPr>
          <w:ilvl w:val="0"/>
          <w:numId w:val="35"/>
        </w:numPr>
        <w:spacing w:before="120" w:after="120"/>
        <w:contextualSpacing w:val="0"/>
        <w:jc w:val="both"/>
      </w:pPr>
      <w:r>
        <w:t xml:space="preserve">Bifoga detta som en bilaga till detta formulär för kompletterande information (i form av en Excel-fil där alla formler är synliga).</w:t>
      </w:r>
      <w:r>
        <w:t xml:space="preserve"> </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77777777" w:rsidR="00E766C0" w:rsidRPr="00443E1F" w:rsidRDefault="00E766C0" w:rsidP="00B82F95">
      <w:pPr>
        <w:pStyle w:val="ListParagraph"/>
        <w:numPr>
          <w:ilvl w:val="0"/>
          <w:numId w:val="35"/>
        </w:numPr>
        <w:spacing w:before="120" w:after="120"/>
        <w:contextualSpacing w:val="0"/>
        <w:jc w:val="both"/>
      </w:pPr>
      <w:r>
        <w:t xml:space="preserve">Lämna detaljerad information om de antaganden, metoder, skäl och underliggande källor till dessa som används för varje aspekt av kvantifieringen av kostnader och intäkter i det faktiska scenariot och det sannolika kontrafaktiska scenariot (ange t.ex. de antaganden som används för att utveckla dessa scenarier och källan/skälen till dessa antaganden).</w:t>
      </w:r>
    </w:p>
    <w:p w14:paraId="554DB2A5" w14:textId="77777777" w:rsidR="00E766C0" w:rsidRPr="00AC286A" w:rsidRDefault="00E766C0" w:rsidP="00E766C0">
      <w:pPr>
        <w:tabs>
          <w:tab w:val="left" w:leader="dot" w:pos="9072"/>
        </w:tabs>
        <w:spacing w:before="120" w:after="120"/>
        <w:ind w:left="1080"/>
        <w:jc w:val="both"/>
      </w:pPr>
      <w:r>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t xml:space="preserve">När det gäller individuellt stöd och stödordningar som gynnar ett särskilt begränsat antal stödmottagare, måste medlemsstaten lägga fram styrkande underlag på nivån för projektets detaljerade affärsplan.</w:t>
      </w:r>
    </w:p>
    <w:p w14:paraId="2EE300C8" w14:textId="77777777" w:rsidR="00E766C0" w:rsidRPr="00AC286A" w:rsidRDefault="00E766C0" w:rsidP="00E766C0">
      <w:pPr>
        <w:ind w:left="1080"/>
        <w:jc w:val="both"/>
        <w:rPr>
          <w:shd w:val="clear" w:color="auto" w:fill="FFFFFF"/>
        </w:rPr>
      </w:pPr>
      <w:r>
        <w:rPr>
          <w:shd w:val="clear" w:color="auto" w:fill="FFFFFF"/>
        </w:rPr>
        <w:t xml:space="preserve">När det gäller stödordningar, måste medlemsstaten lägga fram styrkande underlag på grundval av ett eller flera referensprojekt.</w:t>
      </w:r>
    </w:p>
    <w:p w14:paraId="55A1B246" w14:textId="77777777" w:rsidR="00E766C0" w:rsidRPr="00AC286A" w:rsidRDefault="00E766C0" w:rsidP="00E766C0">
      <w:pPr>
        <w:tabs>
          <w:tab w:val="left" w:leader="dot" w:pos="9072"/>
        </w:tabs>
        <w:spacing w:before="120" w:after="120"/>
        <w:ind w:left="1080"/>
        <w:jc w:val="both"/>
      </w:pPr>
      <w:r>
        <w:tab/>
      </w:r>
    </w:p>
    <w:p w14:paraId="37411B6B" w14:textId="20AE5668" w:rsidR="00E766C0" w:rsidRPr="00AC286A" w:rsidRDefault="00E766C0" w:rsidP="00B82F95">
      <w:pPr>
        <w:pStyle w:val="ListParagraph"/>
        <w:numPr>
          <w:ilvl w:val="0"/>
          <w:numId w:val="35"/>
        </w:numPr>
        <w:spacing w:before="120" w:after="120"/>
        <w:contextualSpacing w:val="0"/>
        <w:jc w:val="both"/>
      </w:pPr>
      <w:r>
        <w:t xml:space="preserve">Till detta formulär för kompletterande information går det även att bifoga de handlingar som anges i fotnot 39 i riktlinjerna.</w:t>
      </w:r>
      <w:r>
        <w:t xml:space="preserve"> </w:t>
      </w:r>
      <w:r>
        <w:t xml:space="preserve">Styrelsedokument kan vara särskilt användbara för individuella stödåtgärder eller stödordningar som gynnar ett särskilt begränsat antal stödmottagare.</w:t>
      </w:r>
      <w:r>
        <w:t xml:space="preserve"> </w:t>
      </w:r>
      <w:r>
        <w:t xml:space="preserve">Om sådana handlingar bifogas formuläret för kompletterande information, ange nedan en förteckning över dem med uppgift om vem som upprättade dem, datum då de upprättades och i vilket sammanhang de har använts.</w:t>
      </w:r>
    </w:p>
    <w:p w14:paraId="28FF917C" w14:textId="65EC2E38" w:rsidR="00C849BA" w:rsidRPr="00E766C0" w:rsidRDefault="00E766C0" w:rsidP="00E766C0">
      <w:pPr>
        <w:tabs>
          <w:tab w:val="left" w:leader="dot" w:pos="9072"/>
        </w:tabs>
        <w:spacing w:before="120" w:after="120"/>
        <w:ind w:left="1080"/>
        <w:jc w:val="both"/>
        <w:rPr>
          <w:color w:val="000000"/>
        </w:rPr>
      </w:pPr>
      <w:r>
        <w:rPr>
          <w:color w:val="000000"/>
        </w:rPr>
        <w:tab/>
      </w:r>
    </w:p>
    <w:p w14:paraId="2A0ACA5D" w14:textId="63EAFE58" w:rsidR="00123CB2" w:rsidRDefault="00123CB2" w:rsidP="00204CF1">
      <w:pPr>
        <w:pStyle w:val="ListParagraph"/>
        <w:numPr>
          <w:ilvl w:val="0"/>
          <w:numId w:val="4"/>
        </w:numPr>
        <w:spacing w:before="120" w:after="120"/>
        <w:ind w:left="567" w:hanging="567"/>
        <w:contextualSpacing w:val="0"/>
        <w:jc w:val="both"/>
      </w:pPr>
      <w:r>
        <w:t xml:space="preserve">Visa också att tillämpningen av en högre stödnivå enligt fråga 38 inte leder till att stödet överskrider finansieringsunderskottet.</w:t>
      </w:r>
      <w:r>
        <w:t xml:space="preserve">  </w:t>
      </w:r>
    </w:p>
    <w:p w14:paraId="7B020F73" w14:textId="77777777" w:rsidR="00123CB2" w:rsidRDefault="00123CB2" w:rsidP="00123CB2">
      <w:pPr>
        <w:tabs>
          <w:tab w:val="left" w:leader="dot" w:pos="9072"/>
        </w:tabs>
        <w:spacing w:before="120" w:after="120"/>
        <w:ind w:left="567"/>
        <w:jc w:val="both"/>
      </w:pPr>
      <w:r>
        <w:tab/>
      </w:r>
    </w:p>
    <w:p w14:paraId="5957E472" w14:textId="77777777" w:rsidR="00A67B98" w:rsidRDefault="00A67B98" w:rsidP="00204CF1">
      <w:pPr>
        <w:pStyle w:val="ListParagraph"/>
        <w:numPr>
          <w:ilvl w:val="0"/>
          <w:numId w:val="4"/>
        </w:numPr>
        <w:spacing w:before="120" w:after="120"/>
        <w:ind w:left="567" w:hanging="567"/>
        <w:contextualSpacing w:val="0"/>
        <w:jc w:val="both"/>
      </w:pPr>
      <w:r>
        <w:t xml:space="preserve">Om punkt 52 i riktlinjerna är tillämplig, dvs. om det mest sannolika kontrafaktiska scenariot består av att stödmottagaren inte genomför någon verksamhet eller investering eller fortsätter med sin verksamhet utan ändringar, lämna bevisning som stöder detta antagande</w:t>
      </w:r>
      <w:r w:rsidRPr="00AC286A">
        <w:rPr>
          <w:rStyle w:val="FootnoteReference"/>
          <w:lang w:eastAsia="en-GB"/>
        </w:rPr>
        <w:footnoteReference w:id="15"/>
      </w:r>
      <w:r>
        <w:t xml:space="preserve">.</w:t>
      </w:r>
      <w:r>
        <w:t xml:space="preserve"> </w:t>
      </w:r>
    </w:p>
    <w:p w14:paraId="57402B45" w14:textId="77777777" w:rsidR="00C0082A" w:rsidRDefault="00C0082A" w:rsidP="00C0082A">
      <w:pPr>
        <w:tabs>
          <w:tab w:val="left" w:leader="dot" w:pos="9072"/>
        </w:tabs>
        <w:spacing w:before="120" w:after="120"/>
        <w:jc w:val="both"/>
      </w:pPr>
      <w:r>
        <w:tab/>
      </w:r>
    </w:p>
    <w:p w14:paraId="0600DB0F" w14:textId="02992D82" w:rsidR="005416C4" w:rsidRPr="00451471" w:rsidRDefault="009D7827" w:rsidP="00451471">
      <w:pPr>
        <w:pStyle w:val="ListParagraph"/>
        <w:numPr>
          <w:ilvl w:val="0"/>
          <w:numId w:val="4"/>
        </w:numPr>
        <w:spacing w:before="120" w:after="120"/>
        <w:ind w:left="567" w:hanging="567"/>
        <w:contextualSpacing w:val="0"/>
        <w:jc w:val="both"/>
      </w:pPr>
      <w:r>
        <w:t xml:space="preserve">I samtliga fall där proportionaliteten är motiverad med hänvisning till en analys av finansieringsunderskottet, bekräfta att era myndigheter kommer att genomföra en övervakning i efterhand för att kontrollera de antaganden som gjorts om den stödnivå som krävs och införa en återbetalningsmekanism.</w:t>
      </w:r>
      <w:r>
        <w:t xml:space="preserve"> </w:t>
      </w:r>
      <w:r>
        <w:t xml:space="preserve">Beskriv även den övervaknings- och återbetalningsmekanism som era myndigheter avser att tillämpa (punkt 271 i riktlinjerna).</w:t>
      </w:r>
      <w:r>
        <w:t xml:space="preserve">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FC6878" w:rsidRDefault="007C39F8" w:rsidP="00B82F95">
            <w:pPr>
              <w:pStyle w:val="Heading1"/>
              <w:numPr>
                <w:ilvl w:val="3"/>
                <w:numId w:val="22"/>
              </w:numPr>
              <w:rPr>
                <w:sz w:val="24"/>
                <w:szCs w:val="24"/>
              </w:rPr>
            </w:pPr>
            <w:r>
              <w:rPr>
                <w:sz w:val="24"/>
              </w:rPr>
              <w:t xml:space="preserve">Proportionalitet hos stöd som beviljas genom ett konkurrensutsatt anbudsförfarande</w:t>
            </w:r>
            <w:r>
              <w:rPr>
                <w:sz w:val="24"/>
              </w:rPr>
              <w:t xml:space="preserve"> </w:t>
            </w:r>
          </w:p>
        </w:tc>
      </w:tr>
    </w:tbl>
    <w:p w14:paraId="02145BB2" w14:textId="77777777" w:rsidR="00E50157" w:rsidRPr="00441F0B" w:rsidRDefault="00E50157" w:rsidP="00E50157">
      <w:pPr>
        <w:pStyle w:val="ListParagraph"/>
        <w:spacing w:before="360" w:after="120"/>
        <w:ind w:left="0"/>
        <w:contextualSpacing w:val="0"/>
        <w:jc w:val="both"/>
      </w:pPr>
      <w:r>
        <w:rPr>
          <w:i/>
        </w:rPr>
        <w:t xml:space="preserve">För att lämna information i detta avsnitt, se punkterna 49–50 och 272 i riktlinjerna.</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pPr>
      <w:r>
        <w:t xml:space="preserve">För att visa att punkterna 49 och 50 i riktlinjerna efterlevs gör följande:</w:t>
      </w:r>
    </w:p>
    <w:p w14:paraId="60545808" w14:textId="3F8A7121" w:rsidR="00E50157" w:rsidRPr="00441F0B" w:rsidRDefault="006F48C7" w:rsidP="00B82F95">
      <w:pPr>
        <w:pStyle w:val="ListParagraph"/>
        <w:numPr>
          <w:ilvl w:val="0"/>
          <w:numId w:val="24"/>
        </w:numPr>
        <w:spacing w:before="120" w:after="120"/>
        <w:contextualSpacing w:val="0"/>
        <w:jc w:val="both"/>
      </w:pPr>
      <w:r>
        <w:t xml:space="preserve">Förklara hur myndigheterna säkerställer att anbudsförfarandet är öppet, klart, transparent och icke-diskriminerande, bygger på objektiva kriterier som har fastställts på förhand i enlighet med åtgärdens mål och minimerar risken för strategisk budgivning (punkt 49 a i riktlinjerna).</w:t>
      </w:r>
    </w:p>
    <w:p w14:paraId="1EC2262A" w14:textId="77777777" w:rsidR="00E50157" w:rsidRPr="00441F0B" w:rsidRDefault="00E50157" w:rsidP="00E50157">
      <w:pPr>
        <w:tabs>
          <w:tab w:val="left" w:leader="dot" w:pos="9072"/>
        </w:tabs>
        <w:spacing w:before="120" w:after="120"/>
        <w:ind w:left="567"/>
        <w:jc w:val="both"/>
      </w:pPr>
      <w:r>
        <w:tab/>
      </w:r>
    </w:p>
    <w:p w14:paraId="200D45C4" w14:textId="07C5986F" w:rsidR="00E50157" w:rsidRPr="00050EB9" w:rsidRDefault="00E50157" w:rsidP="00B82F95">
      <w:pPr>
        <w:pStyle w:val="ListParagraph"/>
        <w:numPr>
          <w:ilvl w:val="0"/>
          <w:numId w:val="24"/>
        </w:numPr>
        <w:spacing w:before="120" w:after="120"/>
        <w:contextualSpacing w:val="0"/>
        <w:jc w:val="both"/>
      </w:pPr>
      <w:r>
        <w:t xml:space="preserve">De urvalskriterier som använts för att rangordna anbuden och slutligen identifiera stödnivån i det konkurrensutsatta anbudsförfarandet</w:t>
      </w:r>
      <w:r>
        <w:t xml:space="preserve"> </w:t>
      </w:r>
      <w:r>
        <w:t xml:space="preserve">på följande sätt:</w:t>
      </w:r>
      <w:r>
        <w:t xml:space="preserve"> </w:t>
      </w:r>
    </w:p>
    <w:p w14:paraId="383A3E34" w14:textId="77777777" w:rsidR="00E50157" w:rsidRPr="00050EB9" w:rsidRDefault="00E50157" w:rsidP="00B82F95">
      <w:pPr>
        <w:pStyle w:val="ListParagraph"/>
        <w:numPr>
          <w:ilvl w:val="1"/>
          <w:numId w:val="25"/>
        </w:numPr>
        <w:spacing w:before="120" w:after="120"/>
        <w:contextualSpacing w:val="0"/>
        <w:jc w:val="both"/>
      </w:pPr>
      <w:r>
        <w:t xml:space="preserve">Lämna en förteckning över urvalskriterierna och ange vilka av dem som är/inte är direkt eller indirekt kopplade till de huvudsakliga målen för åtgärden eller åtgärderna.</w:t>
      </w:r>
      <w:r>
        <w:t xml:space="preserve"> </w:t>
      </w:r>
      <w:r>
        <w:t xml:space="preserve">Ange deras viktning.</w:t>
      </w:r>
    </w:p>
    <w:p w14:paraId="2D712E1A" w14:textId="77777777" w:rsidR="00E50157" w:rsidRPr="00050EB9" w:rsidRDefault="00E50157" w:rsidP="00E50157">
      <w:pPr>
        <w:tabs>
          <w:tab w:val="left" w:leader="dot" w:pos="9072"/>
        </w:tabs>
        <w:spacing w:before="120" w:after="120"/>
        <w:ind w:left="567"/>
        <w:jc w:val="both"/>
      </w:pPr>
      <w:r>
        <w:tab/>
      </w:r>
    </w:p>
    <w:p w14:paraId="6A0273C9" w14:textId="7D8047B3" w:rsidR="00E50157" w:rsidRPr="00050EB9" w:rsidRDefault="00E50157" w:rsidP="00B82F95">
      <w:pPr>
        <w:pStyle w:val="ListParagraph"/>
        <w:numPr>
          <w:ilvl w:val="1"/>
          <w:numId w:val="25"/>
        </w:numPr>
        <w:spacing w:before="120" w:after="120"/>
        <w:contextualSpacing w:val="0"/>
        <w:jc w:val="both"/>
      </w:pPr>
      <w:r>
        <w:t xml:space="preserve">Förklara hur urvalskriterierna ställer bidraget till de huvudsakliga målen för åtgärden eller åtgärderna i direkt eller indirekt relation till det stödbelopp som sökanden begär.</w:t>
      </w:r>
      <w:r>
        <w:t xml:space="preserve"> </w:t>
      </w:r>
      <w:r>
        <w:t xml:space="preserve">Detta kan exempelvis uttryckas i stöd per miljöskyddsenhet</w:t>
      </w:r>
      <w:r w:rsidRPr="00050EB9">
        <w:rPr>
          <w:rStyle w:val="FootnoteReference"/>
          <w:lang w:eastAsia="en-GB"/>
        </w:rPr>
        <w:footnoteReference w:id="16"/>
      </w:r>
      <w:r>
        <w:t xml:space="preserve"> (punkt 50 och fotnot 44 i riktlinjerna).</w:t>
      </w:r>
    </w:p>
    <w:p w14:paraId="7B20C5C6" w14:textId="77777777" w:rsidR="00E50157" w:rsidRPr="00050EB9" w:rsidRDefault="00E50157" w:rsidP="00E50157">
      <w:pPr>
        <w:tabs>
          <w:tab w:val="left" w:leader="dot" w:pos="9072"/>
        </w:tabs>
        <w:spacing w:before="120" w:after="120"/>
        <w:ind w:left="567"/>
        <w:jc w:val="both"/>
      </w:pPr>
      <w:r>
        <w:tab/>
      </w:r>
    </w:p>
    <w:p w14:paraId="33504261" w14:textId="1A1602C5" w:rsidR="00E50157" w:rsidRPr="00050EB9" w:rsidRDefault="00E50157" w:rsidP="00B82F95">
      <w:pPr>
        <w:pStyle w:val="ListParagraph"/>
        <w:numPr>
          <w:ilvl w:val="1"/>
          <w:numId w:val="25"/>
        </w:numPr>
        <w:spacing w:before="120" w:after="120"/>
        <w:contextualSpacing w:val="0"/>
        <w:jc w:val="both"/>
      </w:pPr>
      <w:r>
        <w:t xml:space="preserve">Om det finns andra urvalskriterier som inte är direkt eller indirekt kopplade till de huvudsakliga målen för åtgärden eller åtgärderna, ange då skälen för det föreslagna tillvägagångssättet och förklara på vilket sätt det är lämpligt för de mål som eftersträvas genom åtgärden eller åtgärderna.</w:t>
      </w:r>
      <w:r>
        <w:t xml:space="preserve"> </w:t>
      </w:r>
      <w:r>
        <w:t xml:space="preserve">Bekräfta också att dessa kriterier inte utgör mer än 30 % av viktningen för alla urvalskriterier (punkt 50 i riktlinjerna).</w:t>
      </w:r>
    </w:p>
    <w:p w14:paraId="290F4A0C" w14:textId="77777777" w:rsidR="00E50157" w:rsidRPr="00050EB9" w:rsidRDefault="00E50157" w:rsidP="00E50157">
      <w:pPr>
        <w:tabs>
          <w:tab w:val="left" w:leader="dot" w:pos="9072"/>
        </w:tabs>
        <w:spacing w:before="120" w:after="120"/>
        <w:ind w:left="567"/>
        <w:jc w:val="both"/>
      </w:pPr>
      <w:r>
        <w:tab/>
      </w:r>
    </w:p>
    <w:p w14:paraId="4A987AC9" w14:textId="5974ED92" w:rsidR="00E50157" w:rsidRPr="00B35F1C" w:rsidRDefault="0063791A" w:rsidP="00B82F95">
      <w:pPr>
        <w:pStyle w:val="ListParagraph"/>
        <w:numPr>
          <w:ilvl w:val="1"/>
          <w:numId w:val="25"/>
        </w:numPr>
        <w:spacing w:before="120" w:after="120"/>
        <w:contextualSpacing w:val="0"/>
        <w:jc w:val="both"/>
      </w:pPr>
      <w:r>
        <w:t xml:space="preserve">Ange hur långt före sista dagen för inlämning av ansökningar i varje konkurrensutsatt anbudsförfarande urvalskriterierna kommer att offentliggöras (punkt 49 b och fotnot 43 i riktlinjerna).</w:t>
      </w:r>
    </w:p>
    <w:p w14:paraId="56AB5559" w14:textId="77777777" w:rsidR="00E50157" w:rsidRPr="00B35F1C" w:rsidRDefault="00E50157" w:rsidP="00E50157">
      <w:pPr>
        <w:tabs>
          <w:tab w:val="left" w:leader="dot" w:pos="9072"/>
        </w:tabs>
        <w:spacing w:before="120" w:after="120"/>
        <w:ind w:left="567"/>
        <w:jc w:val="both"/>
      </w:pPr>
      <w:r>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pPr>
      <w:r>
        <w:t xml:space="preserve">Förklara närmare på vilka grunder du utgår från att anbudsförfarandet kommer att vara öppet och undertecknat på föreskrivet sätt, dvs. att det kan förväntas att inte alla anbudsgivare kommer att få stöd och att antalet förväntade anbudsgivare är tillräckligt för att säkerställa effektiv konkurrens under stödordningens varaktighet (punkt 49 c i riktlinjerna).</w:t>
      </w:r>
      <w:r>
        <w:rPr>
          <w:shd w:val="clear" w:color="auto" w:fill="FFFFFF"/>
        </w:rPr>
        <w:t xml:space="preserve"> </w:t>
      </w:r>
      <w:r>
        <w:rPr>
          <w:shd w:val="clear" w:color="auto" w:fill="FFFFFF"/>
        </w:rPr>
        <w:t xml:space="preserve">Beakta i din förklaring stödordningens budget eller volym.</w:t>
      </w:r>
      <w:r>
        <w:rPr>
          <w:shd w:val="clear" w:color="auto" w:fill="FFFFFF"/>
        </w:rPr>
        <w:t xml:space="preserve"> </w:t>
      </w:r>
      <w:r>
        <w:rPr>
          <w:shd w:val="clear" w:color="auto" w:fill="FFFFFF"/>
        </w:rPr>
        <w:t xml:space="preserve">Hänvisa i relevanta fall till den bevisning som lämnats i svaret på fråga 17.</w:t>
      </w:r>
    </w:p>
    <w:p w14:paraId="4D3CA84D" w14:textId="77777777" w:rsidR="00E50157" w:rsidRPr="00B35F1C" w:rsidRDefault="00E50157" w:rsidP="00E50157">
      <w:pPr>
        <w:tabs>
          <w:tab w:val="left" w:leader="dot" w:pos="9072"/>
        </w:tabs>
        <w:spacing w:before="120" w:after="120"/>
        <w:ind w:left="567"/>
        <w:jc w:val="both"/>
      </w:pPr>
      <w:r>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pPr>
      <w:r>
        <w:t xml:space="preserve">Lämna information om antalet planerade anbudsomgångar och förväntat antal anbudsgivare i första omgången och över tid.</w:t>
      </w:r>
    </w:p>
    <w:p w14:paraId="56C0B7F7" w14:textId="77777777" w:rsidR="00E50157" w:rsidRPr="00B35F1C" w:rsidRDefault="00E50157" w:rsidP="00E50157">
      <w:pPr>
        <w:tabs>
          <w:tab w:val="left" w:leader="dot" w:pos="9072"/>
        </w:tabs>
        <w:spacing w:before="120" w:after="120"/>
        <w:ind w:left="567"/>
        <w:jc w:val="both"/>
      </w:pPr>
      <w:r>
        <w:tab/>
      </w:r>
    </w:p>
    <w:p w14:paraId="3A5E6994" w14:textId="5DC07519" w:rsidR="00E50157" w:rsidRPr="00B35F1C" w:rsidRDefault="00E50157" w:rsidP="00451471">
      <w:pPr>
        <w:pStyle w:val="ListParagraph"/>
        <w:numPr>
          <w:ilvl w:val="0"/>
          <w:numId w:val="4"/>
        </w:numPr>
        <w:spacing w:before="120" w:after="120"/>
        <w:ind w:left="567" w:hanging="567"/>
        <w:contextualSpacing w:val="0"/>
        <w:jc w:val="both"/>
      </w:pPr>
      <w:r>
        <w:t xml:space="preserve">Om det rör sig om ett eller flera anbudsförfaranden med för få sökande, förklara hur och när utformningen av anbudsförfaranden kommer att korrigeras under genomförandet av stödordningen i syfte att återställa effektiv konkurrens (punkt 49 c i riktlinjerna).</w:t>
      </w:r>
      <w:r>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pPr>
      <w:r>
        <w:rPr>
          <w:shd w:val="clear" w:color="auto" w:fill="FFFFFF"/>
          <w:color w:val="000000"/>
          <w:shd w:val="clear" w:color="auto" w:fill="FFFFFF"/>
        </w:rPr>
        <w:t xml:space="preserve">Bekräfta att efterhandsjusteringar av resultatet av anbudsförfarandet (såsom efterföljande</w:t>
      </w:r>
      <w:r>
        <w:rPr>
          <w:shd w:val="clear" w:color="auto" w:fill="FFFFFF"/>
        </w:rPr>
        <w:t xml:space="preserve"> förhandlingar om anbudsresultat eller ransonering) undviks</w:t>
      </w:r>
      <w:r>
        <w:t xml:space="preserve"> (punkt 49 d i riktlinjerna)</w:t>
      </w:r>
      <w:r>
        <w:rPr>
          <w:shd w:val="clear" w:color="auto" w:fill="FFFFFF"/>
        </w:rPr>
        <w:t xml:space="preserve">.</w:t>
      </w:r>
    </w:p>
    <w:p w14:paraId="7438247A" w14:textId="77777777" w:rsidR="00E50157" w:rsidRPr="009D65D3" w:rsidRDefault="00E50157" w:rsidP="00E50157">
      <w:pPr>
        <w:tabs>
          <w:tab w:val="left" w:leader="dot" w:pos="9072"/>
        </w:tabs>
        <w:spacing w:before="120" w:after="120"/>
        <w:ind w:left="567"/>
        <w:jc w:val="both"/>
      </w:pPr>
      <w:r>
        <w:tab/>
      </w:r>
    </w:p>
    <w:p w14:paraId="75000EF2" w14:textId="4AA0A612" w:rsidR="004312C0" w:rsidRDefault="00E50157" w:rsidP="00451471">
      <w:pPr>
        <w:pStyle w:val="ListParagraph"/>
        <w:numPr>
          <w:ilvl w:val="0"/>
          <w:numId w:val="4"/>
        </w:numPr>
        <w:spacing w:before="120" w:after="120"/>
        <w:ind w:left="567" w:hanging="567"/>
        <w:contextualSpacing w:val="0"/>
        <w:jc w:val="both"/>
      </w:pPr>
      <w:r>
        <w:t xml:space="preserve">Om ”anbud utan subvention” kan förekomma, förklara hur proportionaliteten kommer att säkerställas (se punkt 49 och fotnot 42 i riktlinjerna).</w:t>
      </w:r>
      <w:r>
        <w:t xml:space="preserve"> </w:t>
      </w:r>
    </w:p>
    <w:p w14:paraId="1E4A45E3" w14:textId="0DB0F887" w:rsidR="004312C0" w:rsidRDefault="004312C0" w:rsidP="004312C0">
      <w:pPr>
        <w:tabs>
          <w:tab w:val="left" w:leader="dot" w:pos="9072"/>
        </w:tabs>
        <w:spacing w:before="120" w:after="120"/>
        <w:ind w:left="720"/>
        <w:jc w:val="both"/>
      </w:pPr>
      <w:r>
        <w:tab/>
      </w:r>
    </w:p>
    <w:p w14:paraId="28DC54A8" w14:textId="1DFFF416" w:rsidR="00E50157" w:rsidRPr="009D65D3" w:rsidRDefault="00C432AE" w:rsidP="00451471">
      <w:pPr>
        <w:pStyle w:val="ListParagraph"/>
        <w:numPr>
          <w:ilvl w:val="0"/>
          <w:numId w:val="4"/>
        </w:numPr>
        <w:spacing w:before="120" w:after="120"/>
        <w:ind w:left="567" w:hanging="567"/>
        <w:contextualSpacing w:val="0"/>
        <w:jc w:val="both"/>
      </w:pPr>
      <w:r>
        <w:t xml:space="preserve">Ange om myndigheterna planerar att använda lägsta prisgränser eller pristak i det konkurrensutsatta anbudsförfarandet.</w:t>
      </w:r>
      <w:r>
        <w:t xml:space="preserve"> </w:t>
      </w:r>
      <w:r>
        <w:t xml:space="preserve">Om så är fallet, motivera varför de används och förklara hur de inte inskränker det konkurrensutsatta anbudsförfarandet (punkt 49 och fotnot 42 i riktlinjerna).</w:t>
      </w:r>
      <w:r>
        <w:t xml:space="preserve"> </w:t>
      </w:r>
    </w:p>
    <w:p w14:paraId="2BD40BEB" w14:textId="2F36864B" w:rsidR="00C04541" w:rsidRPr="009D65D3" w:rsidRDefault="00E50157" w:rsidP="00DB52AD">
      <w:pPr>
        <w:tabs>
          <w:tab w:val="left" w:leader="dot" w:pos="9072"/>
        </w:tabs>
        <w:spacing w:before="120" w:after="120"/>
        <w:ind w:left="567"/>
        <w:jc w:val="both"/>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82F95">
            <w:pPr>
              <w:pStyle w:val="Heading1"/>
              <w:numPr>
                <w:ilvl w:val="2"/>
                <w:numId w:val="22"/>
              </w:numPr>
              <w:rPr>
                <w:sz w:val="24"/>
                <w:szCs w:val="24"/>
              </w:rPr>
            </w:pPr>
            <w:r>
              <w:rPr>
                <w:sz w:val="24"/>
              </w:rPr>
              <w:t xml:space="preserve">Kumulering</w:t>
            </w:r>
          </w:p>
        </w:tc>
      </w:tr>
    </w:tbl>
    <w:p w14:paraId="2346A85D" w14:textId="05ED6D8A" w:rsidR="00B21377" w:rsidRPr="002A3B51" w:rsidRDefault="00B21377" w:rsidP="00B21377">
      <w:pPr>
        <w:pStyle w:val="ListParagraph"/>
        <w:spacing w:before="120" w:after="120"/>
        <w:ind w:left="567"/>
        <w:contextualSpacing w:val="0"/>
        <w:jc w:val="both"/>
      </w:pPr>
      <w:r>
        <w:rPr>
          <w:i/>
        </w:rPr>
        <w:t xml:space="preserve">För att lämna information i detta avsnitt, se punkterna 56–57 i riktlinjerna</w:t>
      </w:r>
      <w:r>
        <w:t xml:space="preserve">.</w:t>
      </w:r>
    </w:p>
    <w:p w14:paraId="7159B0AA" w14:textId="1598DDBE" w:rsidR="00E5484B" w:rsidRPr="002A3B51" w:rsidRDefault="00D71498" w:rsidP="00451471">
      <w:pPr>
        <w:pStyle w:val="ListParagraph"/>
        <w:numPr>
          <w:ilvl w:val="0"/>
          <w:numId w:val="4"/>
        </w:numPr>
        <w:spacing w:before="120" w:after="120"/>
        <w:ind w:left="567" w:hanging="567"/>
        <w:contextualSpacing w:val="0"/>
        <w:jc w:val="both"/>
      </w:pPr>
      <w:r>
        <w:t xml:space="preserve">Klargör om stödet inom ramen för den anmälda åtgärden eller de anmälda åtgärderna kan beviljas samtidigt inom ramen för flera stödordningar eller kumuleras med stöd för särskilda ändamål eller stöd av mindre betydelse i förhållande till samma stödberättigande kostnader, om detta inte redan anges i del I i det allmänna anmälningsformuläret och för att visa att punkt 56 i riktlinjerna efterlevs.</w:t>
      </w:r>
      <w:r>
        <w:t xml:space="preserve"> </w:t>
      </w:r>
      <w:r>
        <w:t xml:space="preserve">Om så är fallet, lämna närmare uppgifter om dessa stödordningar, stöd för särskilda ändamål eller stöd av mindre betydelse och hur stödet kommer att kumuleras.</w:t>
      </w:r>
      <w:r>
        <w:t xml:space="preserve"> </w:t>
      </w:r>
    </w:p>
    <w:p w14:paraId="4EA350F2" w14:textId="6700FB40" w:rsidR="00D13239" w:rsidRPr="002A3B51" w:rsidRDefault="002A3B51" w:rsidP="002A3B51">
      <w:pPr>
        <w:tabs>
          <w:tab w:val="left" w:leader="dot" w:pos="9072"/>
        </w:tabs>
        <w:spacing w:before="120" w:after="120"/>
        <w:ind w:left="567"/>
        <w:jc w:val="both"/>
      </w:pPr>
      <w:r>
        <w:tab/>
      </w:r>
    </w:p>
    <w:p w14:paraId="113EC6AF" w14:textId="3115A184" w:rsidR="007257F0" w:rsidRPr="00EE2D70" w:rsidRDefault="00720951" w:rsidP="00451471">
      <w:pPr>
        <w:pStyle w:val="ListParagraph"/>
        <w:numPr>
          <w:ilvl w:val="0"/>
          <w:numId w:val="4"/>
        </w:numPr>
        <w:spacing w:before="120" w:after="120"/>
        <w:ind w:left="567" w:hanging="567"/>
        <w:contextualSpacing w:val="0"/>
        <w:jc w:val="both"/>
      </w:pPr>
      <w:r>
        <w:t xml:space="preserve">Om punkt 56 i riktlinjerna är tillämplig, motivera hur det totala stödbelopp som beviljas inom ramen för den eller de anmälda åtgärderna till ett projekt eller en verksamhet inte leder till överkompensation eller överskrider det högsta stödbelopp som tillåts enligt punkterna 267–273 i riktlinjerna.</w:t>
      </w:r>
      <w:r>
        <w:t xml:space="preserve"> </w:t>
      </w:r>
      <w:r>
        <w:t xml:space="preserve">Ange, för varje åtgärd med vilken det stöd som beviljas inom ramen för den eller de anmälda stödåtgärderna kan kumuleras, den metod som används för att säkerställa att villkoren i punkt 56 i riktlinjerna efterlevs.</w:t>
      </w:r>
    </w:p>
    <w:p w14:paraId="5A4E851C" w14:textId="1587758B" w:rsidR="007257F0" w:rsidRPr="00EE2D70" w:rsidRDefault="007257F0" w:rsidP="007257F0">
      <w:pPr>
        <w:tabs>
          <w:tab w:val="left" w:leader="dot" w:pos="9072"/>
        </w:tabs>
        <w:spacing w:before="120" w:after="120"/>
        <w:ind w:left="567"/>
        <w:jc w:val="both"/>
      </w:pPr>
      <w:r>
        <w:tab/>
      </w:r>
    </w:p>
    <w:p w14:paraId="4B762428" w14:textId="4F92B787" w:rsidR="009861F5" w:rsidRPr="00EE2D70" w:rsidRDefault="00562354" w:rsidP="00451471">
      <w:pPr>
        <w:pStyle w:val="ListParagraph"/>
        <w:numPr>
          <w:ilvl w:val="0"/>
          <w:numId w:val="4"/>
        </w:numPr>
        <w:spacing w:before="120" w:after="120"/>
        <w:ind w:left="567" w:hanging="567"/>
        <w:contextualSpacing w:val="0"/>
        <w:jc w:val="both"/>
      </w:pPr>
      <w:r>
        <w:t xml:space="preserve">Om punkt 57 i riktlinjerna är tillämplig, dvs. om det stöd som beviljas inom ramen för den eller de anmälda åtgärderna kombineras med en centralt förvaltad unionsfinansiering</w:t>
      </w:r>
      <w:r w:rsidR="009B2F61">
        <w:rPr>
          <w:rStyle w:val="FootnoteReference"/>
          <w:lang w:eastAsia="en-GB"/>
        </w:rPr>
        <w:footnoteReference w:id="17"/>
      </w:r>
      <w:r>
        <w:t xml:space="preserve"> (som inte utgör statligt stöd), motivera hur den totala offentliga finansiering som beviljas för samma stödberättigande kostnader inte leder till överkompensation.</w:t>
      </w:r>
      <w:r>
        <w:t xml:space="preserve"> </w:t>
      </w:r>
    </w:p>
    <w:p w14:paraId="4A76BA85" w14:textId="5308E4AE" w:rsidR="0078387C" w:rsidRDefault="009861F5" w:rsidP="0078387C">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Pr>
                <w:sz w:val="24"/>
              </w:rPr>
              <w:t xml:space="preserve">Öppenhet</w:t>
            </w:r>
          </w:p>
        </w:tc>
      </w:tr>
    </w:tbl>
    <w:p w14:paraId="07229A8F" w14:textId="25E21DE5" w:rsidR="006773CE" w:rsidRPr="007C0A44" w:rsidRDefault="006773CE" w:rsidP="006773CE">
      <w:pPr>
        <w:spacing w:before="360" w:after="120"/>
        <w:jc w:val="both"/>
        <w:rPr>
          <w:i/>
        </w:rPr>
      </w:pPr>
      <w:r>
        <w:rPr>
          <w:i/>
        </w:rPr>
        <w:t xml:space="preserve">För att lämna information i detta avsnitt, se avsnitt 3.2.1.4 (punkterna 58–62) i riktlinjerna.</w:t>
      </w:r>
      <w:r>
        <w:rPr>
          <w:i/>
        </w:rPr>
        <w:t xml:space="preserve"> </w:t>
      </w:r>
    </w:p>
    <w:p w14:paraId="2F90DC37" w14:textId="29443E0A" w:rsidR="00726BC8" w:rsidRPr="0000648C" w:rsidRDefault="00726BC8" w:rsidP="00451471">
      <w:pPr>
        <w:pStyle w:val="ListParagraph"/>
        <w:numPr>
          <w:ilvl w:val="0"/>
          <w:numId w:val="4"/>
        </w:numPr>
        <w:spacing w:before="120" w:after="120"/>
        <w:ind w:left="567" w:hanging="567"/>
        <w:contextualSpacing w:val="0"/>
        <w:jc w:val="both"/>
        <w:rPr>
          <w:szCs w:val="24"/>
          <w:rFonts w:eastAsia="Times New Roman"/>
        </w:rPr>
      </w:pPr>
      <w:r>
        <w:t xml:space="preserve">Bekräfta att medlemsstaten kommer att efterleva de krav på öppenhet som fastställs i punkterna 58–61 i riktlinjerna.</w:t>
      </w:r>
      <w:r>
        <w:t xml:space="preserve"> </w:t>
      </w:r>
    </w:p>
    <w:p w14:paraId="635CE9AB" w14:textId="77777777" w:rsidR="00726BC8" w:rsidRPr="00AB745F" w:rsidRDefault="00726BC8" w:rsidP="00726BC8">
      <w:pPr>
        <w:tabs>
          <w:tab w:val="left" w:leader="dot" w:pos="9072"/>
        </w:tabs>
        <w:spacing w:before="120" w:after="120"/>
        <w:ind w:left="567"/>
        <w:jc w:val="both"/>
      </w:pPr>
      <w:r>
        <w:tab/>
      </w:r>
    </w:p>
    <w:p w14:paraId="7E7D2E18" w14:textId="63EA59A0" w:rsidR="00726BC8" w:rsidRPr="00AB745F" w:rsidRDefault="00726BC8" w:rsidP="00451471">
      <w:pPr>
        <w:pStyle w:val="ListParagraph"/>
        <w:numPr>
          <w:ilvl w:val="0"/>
          <w:numId w:val="4"/>
        </w:numPr>
        <w:spacing w:before="120" w:after="120"/>
        <w:ind w:left="567" w:hanging="567"/>
        <w:contextualSpacing w:val="0"/>
        <w:jc w:val="both"/>
      </w:pPr>
      <w:r>
        <w:t xml:space="preserve">Ange den internetlänk där man kommer att offentliggöra den fullständiga texten till den godkända stödordningen eller beslutet om beviljande av individuellt stöd och dess genomförandebestämmelser, och information om varje individuellt stöd som beviljats för särskilda ändamål eller inom ramen för en stödordning som godkänts på grundval av riktlinjerna och som överstiger 100 000 euro.</w:t>
      </w:r>
      <w:r>
        <w:rPr>
          <w:rFonts w:ascii="inherit" w:hAnsi="inherit"/>
        </w:rPr>
        <w:t xml:space="preserve"> </w:t>
      </w:r>
    </w:p>
    <w:p w14:paraId="235E3AEB" w14:textId="77777777" w:rsidR="00726BC8" w:rsidRDefault="00726BC8" w:rsidP="00726BC8">
      <w:pPr>
        <w:tabs>
          <w:tab w:val="left" w:leader="dot" w:pos="9072"/>
        </w:tabs>
        <w:spacing w:before="120" w:after="120"/>
        <w:ind w:left="567"/>
        <w:jc w:val="both"/>
      </w:pPr>
      <w:r>
        <w:tab/>
      </w:r>
    </w:p>
    <w:p w14:paraId="14FE0B14" w14:textId="672006CA" w:rsidR="007C0A44" w:rsidRPr="00164ADE"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C7ECB" w:rsidRDefault="00011908" w:rsidP="00B82F95">
            <w:pPr>
              <w:pStyle w:val="Heading2"/>
              <w:numPr>
                <w:ilvl w:val="1"/>
                <w:numId w:val="22"/>
              </w:numPr>
              <w:jc w:val="center"/>
              <w:rPr>
                <w:iCs/>
                <w:color w:val="000000"/>
                <w:szCs w:val="24"/>
              </w:rPr>
            </w:pPr>
            <w:r>
              <w:rPr>
                <w:color w:val="000000"/>
              </w:rPr>
              <w:t xml:space="preserve">Undvikande av otillbörliga negativa effekter av stödet på handel och konkurrens och balansering</w:t>
            </w:r>
          </w:p>
        </w:tc>
      </w:tr>
    </w:tbl>
    <w:p w14:paraId="6CD3884F" w14:textId="47FB2DEE" w:rsidR="00F83660" w:rsidRPr="00B215FD" w:rsidRDefault="00F83660" w:rsidP="00F83660">
      <w:pPr>
        <w:spacing w:before="360" w:after="120"/>
        <w:jc w:val="both"/>
        <w:rPr>
          <w:i/>
        </w:rPr>
      </w:pPr>
      <w:r>
        <w:rPr>
          <w:i/>
        </w:rPr>
        <w:t xml:space="preserve">För att lämna information i detta avsnitt, se avsnitt 3.2.2 (punkterna 63–70) och avsnitt 4.5.5 (punkterna 274–275) i riktlinjerna.</w:t>
      </w:r>
      <w:r>
        <w:rPr>
          <w:i/>
        </w:rPr>
        <w:t xml:space="preserve"> </w:t>
      </w:r>
    </w:p>
    <w:p w14:paraId="0A211E3D" w14:textId="3B9DF17B" w:rsidR="00F83660" w:rsidRPr="002178F0" w:rsidRDefault="00F83660" w:rsidP="008A6F77">
      <w:pPr>
        <w:pStyle w:val="ListParagraph"/>
        <w:numPr>
          <w:ilvl w:val="0"/>
          <w:numId w:val="4"/>
        </w:numPr>
        <w:spacing w:before="120" w:after="120"/>
        <w:ind w:left="567" w:hanging="567"/>
        <w:contextualSpacing w:val="0"/>
        <w:jc w:val="both"/>
      </w:pPr>
      <w:r>
        <w:t xml:space="preserve">För att visa att punkt 67 i riktlinjerna efterlevs, lämna information om den eller de anmälda åtgärdernas eventuella negativa effekter på konkurrensen och handeln, både på kort och lång sikt.</w:t>
      </w:r>
      <w:r>
        <w:t xml:space="preserve"> </w:t>
      </w:r>
    </w:p>
    <w:p w14:paraId="3391AE0D" w14:textId="77777777" w:rsidR="00F83660" w:rsidRPr="002178F0" w:rsidRDefault="00F83660" w:rsidP="00F83660">
      <w:pPr>
        <w:tabs>
          <w:tab w:val="left" w:leader="dot" w:pos="9072"/>
        </w:tabs>
        <w:spacing w:before="120" w:after="120"/>
        <w:ind w:left="567"/>
        <w:jc w:val="both"/>
      </w:pPr>
      <w:r>
        <w:tab/>
      </w:r>
    </w:p>
    <w:p w14:paraId="6F1F194C" w14:textId="4EC1B488" w:rsidR="00397D3C" w:rsidRPr="002178F0" w:rsidRDefault="00397D3C" w:rsidP="008A6F77">
      <w:pPr>
        <w:pStyle w:val="ListParagraph"/>
        <w:numPr>
          <w:ilvl w:val="0"/>
          <w:numId w:val="4"/>
        </w:numPr>
        <w:spacing w:before="120" w:after="120"/>
        <w:ind w:left="567" w:hanging="567"/>
        <w:contextualSpacing w:val="0"/>
        <w:jc w:val="both"/>
      </w:pPr>
      <w:r>
        <w:t xml:space="preserve">Ange om åtgärden täcks av någon av följande situationer:</w:t>
      </w:r>
      <w:r>
        <w:t xml:space="preserve"> </w:t>
      </w:r>
    </w:p>
    <w:p w14:paraId="554349FE" w14:textId="7696EC86" w:rsidR="00397D3C" w:rsidRPr="002178F0" w:rsidRDefault="00397D3C" w:rsidP="00B82F95">
      <w:pPr>
        <w:pStyle w:val="ListParagraph"/>
        <w:numPr>
          <w:ilvl w:val="1"/>
          <w:numId w:val="28"/>
        </w:numPr>
        <w:spacing w:before="120" w:after="120"/>
        <w:contextualSpacing w:val="0"/>
        <w:jc w:val="both"/>
      </w:pPr>
      <w:r>
        <w:t xml:space="preserve">Den gäller en marknad (eller marknader) där etablerade aktörer lyckades vinna marknadsinflytande före avregleringen av marknaden.</w:t>
      </w:r>
    </w:p>
    <w:p w14:paraId="09418AF0" w14:textId="77777777" w:rsidR="00397D3C" w:rsidRPr="002178F0" w:rsidRDefault="00397D3C" w:rsidP="00397D3C">
      <w:pPr>
        <w:tabs>
          <w:tab w:val="left" w:leader="dot" w:pos="9072"/>
        </w:tabs>
        <w:spacing w:before="120" w:after="120"/>
        <w:ind w:left="567"/>
        <w:jc w:val="both"/>
      </w:pPr>
      <w:r>
        <w:tab/>
      </w:r>
    </w:p>
    <w:p w14:paraId="746354B7" w14:textId="4054375D" w:rsidR="00397D3C" w:rsidRPr="002178F0" w:rsidRDefault="00397D3C" w:rsidP="00B82F95">
      <w:pPr>
        <w:pStyle w:val="ListParagraph"/>
        <w:numPr>
          <w:ilvl w:val="1"/>
          <w:numId w:val="28"/>
        </w:numPr>
        <w:spacing w:before="120" w:after="120"/>
        <w:contextualSpacing w:val="0"/>
        <w:jc w:val="both"/>
      </w:pPr>
      <w:r>
        <w:t xml:space="preserve">Den inbegriper konkurrensutsatta anbudsförfaranden på en eller flera framväxande marknader, om det finns en aktör med stark marknadsställning.</w:t>
      </w:r>
    </w:p>
    <w:p w14:paraId="1396D52A" w14:textId="77777777" w:rsidR="00397D3C" w:rsidRPr="002178F0" w:rsidRDefault="00397D3C" w:rsidP="00397D3C">
      <w:pPr>
        <w:tabs>
          <w:tab w:val="left" w:leader="dot" w:pos="9072"/>
        </w:tabs>
        <w:spacing w:before="120" w:after="120"/>
        <w:ind w:left="567"/>
        <w:jc w:val="both"/>
      </w:pPr>
      <w:r>
        <w:tab/>
      </w:r>
    </w:p>
    <w:p w14:paraId="5A4A2360" w14:textId="20DC659F" w:rsidR="00397D3C" w:rsidRPr="002178F0" w:rsidRDefault="00397D3C" w:rsidP="00B82F95">
      <w:pPr>
        <w:pStyle w:val="ListParagraph"/>
        <w:numPr>
          <w:ilvl w:val="1"/>
          <w:numId w:val="28"/>
        </w:numPr>
        <w:spacing w:before="120" w:after="120"/>
        <w:contextualSpacing w:val="0"/>
        <w:jc w:val="both"/>
      </w:pPr>
      <w:r>
        <w:t xml:space="preserve">Den kommer endast att gynna en eller ett särskilt begränsat antal stödmottagare.</w:t>
      </w:r>
    </w:p>
    <w:p w14:paraId="400965A9" w14:textId="2D2C5BAD" w:rsidR="00C546A0" w:rsidRPr="002178F0" w:rsidRDefault="00C546A0" w:rsidP="00C546A0">
      <w:pPr>
        <w:tabs>
          <w:tab w:val="left" w:leader="dot" w:pos="9072"/>
        </w:tabs>
        <w:spacing w:before="120" w:after="120"/>
        <w:ind w:left="567"/>
        <w:jc w:val="both"/>
      </w:pPr>
      <w:r>
        <w:tab/>
      </w:r>
    </w:p>
    <w:p w14:paraId="3C7AA24B" w14:textId="5B3ED28B" w:rsidR="00A404D9" w:rsidRPr="002178F0" w:rsidRDefault="00F85F88" w:rsidP="008A6F77">
      <w:pPr>
        <w:pStyle w:val="ListParagraph"/>
        <w:numPr>
          <w:ilvl w:val="0"/>
          <w:numId w:val="4"/>
        </w:numPr>
        <w:spacing w:before="120" w:after="120"/>
        <w:ind w:left="567" w:hanging="567"/>
        <w:contextualSpacing w:val="0"/>
        <w:jc w:val="both"/>
      </w:pPr>
      <w:r>
        <w:t xml:space="preserve">Om stödåtgärden är inriktad på ett specifikt tekniskt val/en specifik teknisk metod, beskriv anledningen till det tekniska valet och motivera att det inte kommer att motverka införandet av renare teknik.</w:t>
      </w:r>
      <w:r>
        <w:t xml:space="preserve"> </w:t>
      </w:r>
    </w:p>
    <w:p w14:paraId="38340427" w14:textId="77777777" w:rsidR="00397D3C" w:rsidRPr="00B215FD" w:rsidRDefault="00397D3C" w:rsidP="00397D3C">
      <w:pPr>
        <w:tabs>
          <w:tab w:val="left" w:leader="dot" w:pos="9072"/>
        </w:tabs>
        <w:spacing w:before="120" w:after="120"/>
        <w:ind w:left="567"/>
        <w:jc w:val="both"/>
      </w:pPr>
      <w:r>
        <w:tab/>
      </w:r>
    </w:p>
    <w:p w14:paraId="76CF02C9" w14:textId="2E60066A" w:rsidR="00F83660" w:rsidRPr="00B215FD" w:rsidRDefault="00D74293" w:rsidP="008A6F77">
      <w:pPr>
        <w:pStyle w:val="ListParagraph"/>
        <w:numPr>
          <w:ilvl w:val="0"/>
          <w:numId w:val="4"/>
        </w:numPr>
        <w:spacing w:before="120" w:after="120"/>
        <w:ind w:left="567" w:hanging="567"/>
        <w:contextualSpacing w:val="0"/>
        <w:jc w:val="both"/>
      </w:pPr>
      <w:r>
        <w:t xml:space="preserve">Om den eller de anmälda åtgärderna endast kommer att gynna en eller ett särskilt begränsat antal stödmottagare, ange följande för att visa att punkt 68 i riktlinjerna efterlevs:</w:t>
      </w:r>
    </w:p>
    <w:p w14:paraId="05892635" w14:textId="438AD58D" w:rsidR="00F83660" w:rsidRPr="00B215FD" w:rsidRDefault="00D4206D" w:rsidP="008A6F77">
      <w:pPr>
        <w:pStyle w:val="ListParagraph"/>
        <w:numPr>
          <w:ilvl w:val="0"/>
          <w:numId w:val="43"/>
        </w:numPr>
        <w:spacing w:before="120" w:after="120"/>
        <w:contextualSpacing w:val="0"/>
        <w:jc w:val="both"/>
      </w:pPr>
      <w:r>
        <w:t xml:space="preserve">Ange huruvida den eller de anmälda åtgärderna stärker eller upprätthåller stödmottagarens eller stödmottagarnas marknadsinflytande, avskräcker befintliga konkurrenter från att utöka sin verksamhet eller innebär att de lämnar marknaden eller avskräcker nya konkurrenter från att komma in på marknaden.</w:t>
      </w:r>
      <w:r>
        <w:t xml:space="preserve"> </w:t>
      </w:r>
      <w:r>
        <w:t xml:space="preserve">Ange i detta avseende också om stödåtgärden kommer att leda till en ökning av stödmottagarens eller stödmottagarnas produktionskapacitet.</w:t>
      </w:r>
    </w:p>
    <w:p w14:paraId="798B76FF" w14:textId="77777777" w:rsidR="00F83660" w:rsidRPr="00B215FD" w:rsidRDefault="00F83660" w:rsidP="00F83660">
      <w:pPr>
        <w:tabs>
          <w:tab w:val="left" w:leader="dot" w:pos="9072"/>
        </w:tabs>
        <w:spacing w:before="120" w:after="120"/>
        <w:ind w:left="567"/>
        <w:jc w:val="both"/>
      </w:pPr>
      <w:r>
        <w:tab/>
      </w:r>
    </w:p>
    <w:p w14:paraId="76611A3B" w14:textId="42022102" w:rsidR="00F83660" w:rsidRPr="00B215FD" w:rsidRDefault="00D4206D" w:rsidP="008A6F77">
      <w:pPr>
        <w:pStyle w:val="ListParagraph"/>
        <w:numPr>
          <w:ilvl w:val="0"/>
          <w:numId w:val="43"/>
        </w:numPr>
        <w:spacing w:before="120" w:after="120"/>
        <w:contextualSpacing w:val="0"/>
        <w:jc w:val="both"/>
      </w:pPr>
      <w:r>
        <w:t xml:space="preserve">Beskriv den eller de åtgärder som vidtagits för att begränsa den potentiella snedvridningen av konkurrensen till följd av att stödmottagaren/stödmottagarna beviljas stöd.</w:t>
      </w:r>
      <w:r>
        <w:t xml:space="preserve"> </w:t>
      </w:r>
    </w:p>
    <w:p w14:paraId="0638448B" w14:textId="77777777" w:rsidR="00F83660" w:rsidRPr="00B7309F" w:rsidRDefault="00F83660" w:rsidP="00F83660">
      <w:pPr>
        <w:tabs>
          <w:tab w:val="left" w:leader="dot" w:pos="9072"/>
        </w:tabs>
        <w:spacing w:before="120" w:after="120"/>
        <w:ind w:left="567"/>
        <w:jc w:val="both"/>
      </w:pPr>
      <w:r>
        <w:tab/>
      </w:r>
    </w:p>
    <w:p w14:paraId="7EA03E9A" w14:textId="5223C3B6" w:rsidR="00F83660" w:rsidRPr="009E0FCA" w:rsidRDefault="00F83660" w:rsidP="008A6F77">
      <w:pPr>
        <w:pStyle w:val="ListParagraph"/>
        <w:numPr>
          <w:ilvl w:val="0"/>
          <w:numId w:val="4"/>
        </w:numPr>
        <w:spacing w:before="120" w:after="120"/>
        <w:ind w:left="567" w:hanging="567"/>
        <w:contextualSpacing w:val="0"/>
        <w:jc w:val="both"/>
      </w:pPr>
      <w:r>
        <w:t xml:space="preserve">För att visa att punkt 69 i riktlinjerna efterlevs, förklara följande:</w:t>
      </w:r>
    </w:p>
    <w:p w14:paraId="4FA1E951" w14:textId="7EB570EA" w:rsidR="00787938" w:rsidRDefault="00787938" w:rsidP="008A6F77">
      <w:pPr>
        <w:pStyle w:val="ListParagraph"/>
        <w:numPr>
          <w:ilvl w:val="0"/>
          <w:numId w:val="44"/>
        </w:numPr>
        <w:spacing w:before="120" w:after="120"/>
        <w:contextualSpacing w:val="0"/>
        <w:jc w:val="both"/>
      </w:pPr>
      <w:r>
        <w:t xml:space="preserve">Om det stöd som beviljas inom ramen för den eller de anmälda åtgärderna syftar till att upprätthålla näringsverksamheten i en region eller locka bort den från andra regioner på den inre marknaden.</w:t>
      </w:r>
      <w:r>
        <w:t xml:space="preserve"> </w:t>
      </w:r>
    </w:p>
    <w:p w14:paraId="20D1C08A" w14:textId="77777777" w:rsidR="00787938" w:rsidRPr="009E0FCA" w:rsidRDefault="00787938" w:rsidP="00787938">
      <w:pPr>
        <w:tabs>
          <w:tab w:val="left" w:leader="dot" w:pos="9072"/>
        </w:tabs>
        <w:spacing w:before="120" w:after="120"/>
        <w:ind w:left="567"/>
        <w:jc w:val="both"/>
      </w:pPr>
      <w:r>
        <w:tab/>
      </w:r>
    </w:p>
    <w:p w14:paraId="648EA6BC" w14:textId="3ADC28CF" w:rsidR="00F83660" w:rsidRPr="009E0FCA" w:rsidRDefault="00F83660" w:rsidP="008A6F77">
      <w:pPr>
        <w:pStyle w:val="ListParagraph"/>
        <w:numPr>
          <w:ilvl w:val="0"/>
          <w:numId w:val="44"/>
        </w:numPr>
        <w:spacing w:before="120" w:after="120"/>
        <w:contextualSpacing w:val="0"/>
        <w:jc w:val="both"/>
      </w:pPr>
      <w:r>
        <w:t xml:space="preserve">Om så är fallet, specificera den eller de anmälda åtgärdernas nettoeffekt på miljön och hur den eller de anmälda åtgärderna förbättrar den befintliga nivån på miljöskyddet i medlemsstaterna.</w:t>
      </w:r>
    </w:p>
    <w:p w14:paraId="4F9F5FD3" w14:textId="77777777" w:rsidR="00F83660" w:rsidRPr="009E0FCA" w:rsidRDefault="00F83660" w:rsidP="00F83660">
      <w:pPr>
        <w:tabs>
          <w:tab w:val="left" w:leader="dot" w:pos="9072"/>
        </w:tabs>
        <w:spacing w:before="120" w:after="120"/>
        <w:ind w:left="567"/>
        <w:jc w:val="both"/>
      </w:pPr>
      <w:r>
        <w:tab/>
      </w:r>
    </w:p>
    <w:p w14:paraId="302C0037" w14:textId="11B9BE71" w:rsidR="00F83660" w:rsidRPr="001D7B55" w:rsidRDefault="00787938" w:rsidP="008A6F77">
      <w:pPr>
        <w:pStyle w:val="ListParagraph"/>
        <w:numPr>
          <w:ilvl w:val="0"/>
          <w:numId w:val="44"/>
        </w:numPr>
        <w:spacing w:before="120" w:after="120"/>
        <w:contextualSpacing w:val="0"/>
        <w:jc w:val="both"/>
      </w:pPr>
      <w:r>
        <w:t xml:space="preserve">Hur det stöd som beviljas inom ramen för den eller de anmälda åtgärderna inte leder till några uppenbart negativa effekter på konkurrensen och handeln.</w:t>
      </w:r>
      <w:r>
        <w:t xml:space="preserve"> </w:t>
      </w:r>
    </w:p>
    <w:p w14:paraId="2310FA4D" w14:textId="77777777" w:rsidR="00F83660" w:rsidRDefault="00F83660" w:rsidP="00F83660">
      <w:pPr>
        <w:tabs>
          <w:tab w:val="left" w:leader="dot" w:pos="9072"/>
        </w:tabs>
        <w:spacing w:before="120" w:after="120"/>
        <w:ind w:left="567"/>
        <w:jc w:val="both"/>
      </w:pPr>
      <w:r>
        <w:tab/>
      </w:r>
    </w:p>
    <w:p w14:paraId="1BCC9B75" w14:textId="5ADE6A98" w:rsidR="00787938" w:rsidRPr="00D74293" w:rsidRDefault="00787938" w:rsidP="008A6F77">
      <w:pPr>
        <w:pStyle w:val="ListParagraph"/>
        <w:numPr>
          <w:ilvl w:val="0"/>
          <w:numId w:val="44"/>
        </w:numPr>
        <w:spacing w:before="120" w:after="120"/>
        <w:contextualSpacing w:val="0"/>
        <w:jc w:val="both"/>
      </w:pPr>
      <w:r>
        <w:t xml:space="preserve">När det gäller individuellt stöd, de främsta drivkrafterna bakom stödmottagarens val av lokaliseringsort för investeringarna.</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t xml:space="preserve">För att kunna fastställa om punkt 70 i riktlinjerna efterlevs krävs följande:</w:t>
      </w:r>
    </w:p>
    <w:p w14:paraId="2E397074" w14:textId="77777777" w:rsidR="00E84057" w:rsidRPr="00AC286A" w:rsidRDefault="00E84057" w:rsidP="008A6F77">
      <w:pPr>
        <w:pStyle w:val="ListParagraph"/>
        <w:numPr>
          <w:ilvl w:val="0"/>
          <w:numId w:val="45"/>
        </w:numPr>
        <w:spacing w:before="120" w:after="120"/>
        <w:contextualSpacing w:val="0"/>
        <w:jc w:val="both"/>
      </w:pPr>
      <w:r>
        <w:t xml:space="preserve">Bekräfta att stöd får beviljas inom ramen för den anmälda stödordningen under högst tio år från och med den dag då kommissionen meddelar sitt beslut om att förklara stödet förenligt med den inre marknaden.</w:t>
      </w:r>
      <w:r>
        <w:t xml:space="preserve">  </w:t>
      </w:r>
    </w:p>
    <w:p w14:paraId="6C9BCC6F" w14:textId="77777777" w:rsidR="00E84057" w:rsidRPr="00AC286A" w:rsidRDefault="00E84057" w:rsidP="00E84057">
      <w:pPr>
        <w:tabs>
          <w:tab w:val="left" w:leader="dot" w:pos="9072"/>
        </w:tabs>
        <w:spacing w:before="120" w:after="120"/>
        <w:ind w:left="1440"/>
        <w:jc w:val="both"/>
      </w:pPr>
      <w:r>
        <w:tab/>
      </w:r>
    </w:p>
    <w:p w14:paraId="2FFEA44E" w14:textId="77777777" w:rsidR="00E84057" w:rsidRPr="00AC286A" w:rsidRDefault="00E84057" w:rsidP="008A6F77">
      <w:pPr>
        <w:pStyle w:val="ListParagraph"/>
        <w:numPr>
          <w:ilvl w:val="0"/>
          <w:numId w:val="45"/>
        </w:numPr>
        <w:spacing w:before="120" w:after="120"/>
        <w:contextualSpacing w:val="0"/>
        <w:jc w:val="both"/>
      </w:pPr>
      <w:r>
        <w:t xml:space="preserve">Bekräfta att era myndigheter kommer att anmäla åtgärden på nytt om de vill förlänga stödordningens varaktighet utöver den maxperioden.</w:t>
      </w:r>
      <w:r>
        <w:t xml:space="preserve"> </w:t>
      </w:r>
    </w:p>
    <w:p w14:paraId="56F2000D" w14:textId="77777777" w:rsidR="00E84057" w:rsidRPr="00AC286A" w:rsidRDefault="00E84057" w:rsidP="00E84057">
      <w:pPr>
        <w:tabs>
          <w:tab w:val="left" w:leader="dot" w:pos="9072"/>
        </w:tabs>
        <w:spacing w:before="120" w:after="120"/>
        <w:ind w:left="720"/>
        <w:jc w:val="both"/>
      </w:pPr>
      <w:r>
        <w:tab/>
      </w:r>
    </w:p>
    <w:p w14:paraId="37787B1E" w14:textId="398F3568" w:rsidR="002C45A2" w:rsidRDefault="002C45A2" w:rsidP="008A6F77">
      <w:pPr>
        <w:pStyle w:val="ListParagraph"/>
        <w:numPr>
          <w:ilvl w:val="0"/>
          <w:numId w:val="4"/>
        </w:numPr>
        <w:spacing w:before="120" w:after="120"/>
        <w:ind w:left="567" w:hanging="567"/>
        <w:contextualSpacing w:val="0"/>
        <w:jc w:val="both"/>
      </w:pPr>
      <w:r>
        <w:t xml:space="preserve">Om stödet ges i form av utsläppsrätter, och för att det ska gå att verifiera efterlevnaden av punkt 275 i riktlinjerna, bekräfta att åtgärden uppfyller samtliga följande kriterier:</w:t>
      </w:r>
      <w:r>
        <w:t xml:space="preserve"> </w:t>
      </w:r>
    </w:p>
    <w:p w14:paraId="77783B19" w14:textId="5624D437" w:rsidR="002C45A2" w:rsidRDefault="00F60556" w:rsidP="008A6F77">
      <w:pPr>
        <w:pStyle w:val="ListParagraph"/>
        <w:numPr>
          <w:ilvl w:val="0"/>
          <w:numId w:val="46"/>
        </w:numPr>
        <w:spacing w:before="120" w:after="120"/>
        <w:contextualSpacing w:val="0"/>
        <w:jc w:val="both"/>
      </w:pPr>
      <w:r>
        <w:t xml:space="preserve">Stödmottagarna väljs utifrån objektiva och öppna kriterier och stödet beviljas i princip på samma sätt för alla konkurrenter inom samma sektor eller på samma relevanta marknad om de är i en liknande faktisk situation,</w:t>
      </w:r>
    </w:p>
    <w:p w14:paraId="42AB8BE5" w14:textId="77777777" w:rsidR="00970586" w:rsidRPr="009E0FCA" w:rsidRDefault="00970586" w:rsidP="00C47CAC">
      <w:pPr>
        <w:tabs>
          <w:tab w:val="left" w:leader="dot" w:pos="9072"/>
        </w:tabs>
        <w:spacing w:before="120" w:after="120"/>
        <w:ind w:left="567"/>
        <w:jc w:val="both"/>
      </w:pPr>
      <w:r>
        <w:tab/>
      </w:r>
    </w:p>
    <w:p w14:paraId="025C871A" w14:textId="5DEE3345" w:rsidR="004438D6" w:rsidRDefault="00F60556" w:rsidP="008A6F77">
      <w:pPr>
        <w:pStyle w:val="ListParagraph"/>
        <w:numPr>
          <w:ilvl w:val="0"/>
          <w:numId w:val="46"/>
        </w:numPr>
        <w:spacing w:before="120" w:after="120"/>
        <w:jc w:val="both"/>
      </w:pPr>
      <w:r>
        <w:t xml:space="preserve">Tilldelningsmetoden gynnar inte vissa företag eller vissa sektorer,</w:t>
      </w:r>
      <w:r>
        <w:t xml:space="preserve"> </w:t>
      </w:r>
    </w:p>
    <w:p w14:paraId="0B143733" w14:textId="1D395331" w:rsidR="004438D6" w:rsidRDefault="004438D6" w:rsidP="004438D6">
      <w:pPr>
        <w:tabs>
          <w:tab w:val="left" w:leader="dot" w:pos="9072"/>
        </w:tabs>
        <w:spacing w:before="120" w:after="120"/>
        <w:ind w:left="567"/>
        <w:jc w:val="both"/>
      </w:pPr>
      <w:r>
        <w:tab/>
      </w:r>
    </w:p>
    <w:p w14:paraId="6780162A" w14:textId="7FF3E62A" w:rsidR="00970586" w:rsidRDefault="004438D6" w:rsidP="008A6F77">
      <w:pPr>
        <w:pStyle w:val="ListParagraph"/>
        <w:numPr>
          <w:ilvl w:val="0"/>
          <w:numId w:val="46"/>
        </w:numPr>
        <w:spacing w:before="120" w:after="120"/>
        <w:jc w:val="both"/>
      </w:pPr>
      <w:r>
        <w:t xml:space="preserve">Om tilldelningsmetoden gynnar vissa företag eller vissa sektorer, förklara hur detta är motiverat på grundval av stödordningens egen miljölogik eller på vilket sätt det är nödvändigt för att vara förenlig med annan miljöpolitik.</w:t>
      </w:r>
    </w:p>
    <w:p w14:paraId="745AC9B6" w14:textId="77777777" w:rsidR="00970586" w:rsidRPr="009E0FCA" w:rsidRDefault="00970586" w:rsidP="00C47CAC">
      <w:pPr>
        <w:tabs>
          <w:tab w:val="left" w:leader="dot" w:pos="9072"/>
        </w:tabs>
        <w:spacing w:before="120" w:after="120"/>
        <w:ind w:left="567"/>
        <w:jc w:val="both"/>
      </w:pPr>
      <w:r>
        <w:tab/>
      </w:r>
    </w:p>
    <w:p w14:paraId="1A782ED2" w14:textId="6EFDBC22" w:rsidR="00970586" w:rsidRDefault="004438D6" w:rsidP="008A6F77">
      <w:pPr>
        <w:pStyle w:val="ListParagraph"/>
        <w:numPr>
          <w:ilvl w:val="0"/>
          <w:numId w:val="46"/>
        </w:numPr>
        <w:spacing w:before="120" w:after="120"/>
        <w:jc w:val="both"/>
      </w:pPr>
      <w:r>
        <w:t xml:space="preserve">Nya aktörer ges inte utsläppsrätter eller tillstånd på förmånligare villkor än befintliga företag som är verksamma på samma marknad,</w:t>
      </w:r>
    </w:p>
    <w:p w14:paraId="3F707495" w14:textId="09709D0F" w:rsidR="00970586" w:rsidRDefault="00970586" w:rsidP="00C47CAC">
      <w:pPr>
        <w:tabs>
          <w:tab w:val="left" w:leader="dot" w:pos="9072"/>
        </w:tabs>
        <w:spacing w:before="120" w:after="120"/>
        <w:ind w:left="567"/>
        <w:jc w:val="both"/>
      </w:pPr>
      <w:r>
        <w:tab/>
      </w:r>
    </w:p>
    <w:p w14:paraId="418DBCD7" w14:textId="71B66ECC" w:rsidR="00970586" w:rsidRDefault="004438D6" w:rsidP="008A6F77">
      <w:pPr>
        <w:pStyle w:val="ListParagraph"/>
        <w:numPr>
          <w:ilvl w:val="0"/>
          <w:numId w:val="46"/>
        </w:numPr>
        <w:spacing w:before="120" w:after="120"/>
        <w:jc w:val="both"/>
      </w:pPr>
      <w:r>
        <w:t xml:space="preserve">Om befintliga anläggningar ges en större tilldelning än nya aktörer, får detta inte leda till onödiga inträdeshinder.</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B82F95">
            <w:pPr>
              <w:pStyle w:val="Heading1"/>
              <w:numPr>
                <w:ilvl w:val="0"/>
                <w:numId w:val="22"/>
              </w:numPr>
              <w:rPr>
                <w:i/>
                <w:color w:val="000000"/>
                <w:sz w:val="28"/>
                <w:szCs w:val="28"/>
              </w:rPr>
            </w:pPr>
            <w:r>
              <w:rPr>
                <w:i/>
                <w:color w:val="000000"/>
                <w:sz w:val="28"/>
              </w:rPr>
              <w:t xml:space="preserve">Vägning av de positiva effekterna av stödet mot de negativa effekterna på konkurrens och handel</w:t>
            </w:r>
          </w:p>
        </w:tc>
      </w:tr>
    </w:tbl>
    <w:p w14:paraId="2BA426DC" w14:textId="2EBC55A9" w:rsidR="00265702" w:rsidRPr="00863406" w:rsidRDefault="00265702" w:rsidP="00265702">
      <w:pPr>
        <w:spacing w:before="360" w:after="120"/>
        <w:jc w:val="both"/>
        <w:rPr>
          <w:i/>
          <w:color w:val="000000"/>
        </w:rPr>
      </w:pPr>
      <w:r>
        <w:rPr>
          <w:i/>
        </w:rPr>
        <w:t xml:space="preserve">För att lämna information i detta avsnitt, se avsnitt 3.3 (punkterna 71–76) i riktlinjerna.</w:t>
      </w:r>
      <w:r>
        <w:rPr>
          <w:i/>
          <w:color w:val="000000"/>
        </w:rPr>
        <w:t xml:space="preserve"> </w:t>
      </w:r>
    </w:p>
    <w:p w14:paraId="693D9200" w14:textId="7DE58251" w:rsidR="004B2EF3" w:rsidRPr="00564B1B" w:rsidRDefault="004B2EF3" w:rsidP="008A6F77">
      <w:pPr>
        <w:pStyle w:val="ListParagraph"/>
        <w:numPr>
          <w:ilvl w:val="0"/>
          <w:numId w:val="4"/>
        </w:numPr>
        <w:spacing w:before="120" w:after="120"/>
        <w:ind w:left="567" w:hanging="567"/>
        <w:contextualSpacing w:val="0"/>
        <w:jc w:val="both"/>
      </w:pPr>
      <w:r>
        <w:t xml:space="preserve">För att visa att punkt 72 i riktlinjerna efterlevs, ange om den verksamhet som får stöd enligt den anmälda åtgärden uppfyller kriterierna för miljömässigt hållbara ekonomiska verksamheter enligt artikel 3 i Europaparlamentets och rådets förordning (EU) 2020/852</w:t>
      </w:r>
      <w:r w:rsidRPr="008772CC">
        <w:rPr>
          <w:rStyle w:val="FootnoteReference"/>
          <w:lang w:eastAsia="en-GB"/>
        </w:rPr>
        <w:footnoteReference w:id="18"/>
      </w:r>
      <w:r>
        <w:t xml:space="preserve">, inklusive principen om att inte orsaka betydande skada, eller enligt andra jämförbara metoder.</w:t>
      </w:r>
    </w:p>
    <w:p w14:paraId="7A16EB41" w14:textId="77777777" w:rsidR="004B2EF3" w:rsidRPr="00564B1B" w:rsidRDefault="004B2EF3" w:rsidP="004B2EF3">
      <w:pPr>
        <w:tabs>
          <w:tab w:val="left" w:leader="dot" w:pos="9072"/>
        </w:tabs>
        <w:spacing w:before="120" w:after="120"/>
        <w:ind w:left="567"/>
        <w:jc w:val="both"/>
      </w:pPr>
      <w:r>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pPr>
      <w:r>
        <w:t xml:space="preserve">(I fråga om konkurrensutsatta anbudsförfaranden) Ange om den eller de anmälda åtgärderna rymmer inslag som underlättar små och medelstora företags deltagande i konkurrensutsatta anbudsförfaranden.</w:t>
      </w:r>
      <w:r>
        <w:t xml:space="preserve"> </w:t>
      </w:r>
      <w:r>
        <w:t xml:space="preserve">Om så är fallet, lämna information om dessa inslag och motivera hur de positiva effekterna av att säkerställa små och medelstora företags deltagande i den eller de anmälda åtgärderna uppväger de eventuella snedvridande effekterna.</w:t>
      </w:r>
    </w:p>
    <w:p w14:paraId="2C6E14C8" w14:textId="77777777" w:rsidR="004B2EF3" w:rsidRPr="00AC1973" w:rsidRDefault="004B2EF3" w:rsidP="004B2EF3">
      <w:pPr>
        <w:tabs>
          <w:tab w:val="left" w:leader="dot" w:pos="9072"/>
        </w:tabs>
        <w:spacing w:before="120" w:after="120"/>
        <w:ind w:left="567"/>
        <w:jc w:val="both"/>
      </w:pPr>
      <w:r>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Pr>
                <w:b/>
                <w:sz w:val="32"/>
              </w:rPr>
              <w:t xml:space="preserve">Avsnitt C:</w:t>
            </w:r>
            <w:r>
              <w:rPr>
                <w:b/>
                <w:sz w:val="32"/>
              </w:rPr>
              <w:t xml:space="preserve"> </w:t>
            </w:r>
            <w:r>
              <w:rPr>
                <w:b/>
                <w:sz w:val="32"/>
              </w:rPr>
              <w:t xml:space="preserve">Utvärdering</w:t>
            </w:r>
            <w:r>
              <w:rPr>
                <w:i/>
                <w:color w:val="000000"/>
                <w:sz w:val="28"/>
              </w:rPr>
              <w:t xml:space="preserve"> </w:t>
            </w:r>
          </w:p>
        </w:tc>
      </w:tr>
    </w:tbl>
    <w:p w14:paraId="10688268" w14:textId="77777777" w:rsidR="00C33721" w:rsidRPr="0096537D" w:rsidRDefault="00C33721" w:rsidP="00C33721">
      <w:pPr>
        <w:ind w:left="-567" w:firstLine="1412"/>
        <w:rPr>
          <w:i/>
          <w:color w:val="000000"/>
        </w:rPr>
      </w:pPr>
    </w:p>
    <w:p w14:paraId="78AC9B95" w14:textId="0A2F0B2A" w:rsidR="00C33721" w:rsidRPr="0051324D" w:rsidRDefault="00C33721" w:rsidP="00C47CAC">
      <w:pPr>
        <w:tabs>
          <w:tab w:val="left" w:leader="dot" w:pos="9072"/>
        </w:tabs>
        <w:spacing w:before="120" w:after="120"/>
        <w:jc w:val="both"/>
      </w:pPr>
      <w:r>
        <w:rPr>
          <w:i/>
        </w:rPr>
        <w:t xml:space="preserve">För att lämna information i detta avsnitt, se kapitel 5 (punkterna 455–463) i riktlinjerna.</w:t>
      </w:r>
    </w:p>
    <w:p w14:paraId="2F5E6798" w14:textId="4524BCC0" w:rsidR="007F5375" w:rsidRPr="0051324D" w:rsidRDefault="007F5375" w:rsidP="00392A3E">
      <w:pPr>
        <w:pStyle w:val="ListParagraph"/>
        <w:spacing w:before="120" w:after="120"/>
        <w:ind w:left="567"/>
        <w:jc w:val="both"/>
        <w:rPr>
          <w:lang w:eastAsia="en-GB"/>
        </w:rPr>
      </w:pPr>
    </w:p>
    <w:p w14:paraId="6689FEB5" w14:textId="35703D04" w:rsidR="00571769" w:rsidRDefault="00571769" w:rsidP="00451471">
      <w:pPr>
        <w:pStyle w:val="ListParagraph"/>
        <w:numPr>
          <w:ilvl w:val="0"/>
          <w:numId w:val="4"/>
        </w:numPr>
        <w:spacing w:before="120" w:after="120"/>
        <w:ind w:left="567" w:hanging="567"/>
        <w:contextualSpacing w:val="0"/>
        <w:jc w:val="both"/>
      </w:pPr>
      <w:r>
        <w:t xml:space="preserve">Om den eller de anmälda åtgärderna överskrider de budget-/utgiftströskelvärdena som avses i punkt 456 i riktlinjerna, ange antingen varför undantaget i punkt 457 i riktlinjerna bör tillämpas eller bifoga en bilaga till detta formulär för kompletterande information som innehåller ett utkast till utvärderingsplan som täcker det tillämpningsområde som anges i punkt 458 i riktlinjerna</w:t>
      </w:r>
      <w:r w:rsidR="008472A5" w:rsidRPr="00AC286A">
        <w:rPr>
          <w:rStyle w:val="FootnoteReference"/>
          <w:lang w:eastAsia="en-GB"/>
        </w:rPr>
        <w:footnoteReference w:id="19"/>
      </w:r>
      <w:r>
        <w:t xml:space="preserve">.</w:t>
      </w:r>
    </w:p>
    <w:p w14:paraId="56FD497B" w14:textId="77777777" w:rsidR="00571769" w:rsidRDefault="00571769" w:rsidP="00571769">
      <w:pPr>
        <w:pStyle w:val="ListParagraph"/>
        <w:spacing w:before="120" w:after="120"/>
        <w:ind w:left="0" w:firstLine="567"/>
        <w:contextualSpacing w:val="0"/>
        <w:jc w:val="both"/>
      </w:pPr>
      <w:r>
        <w:t xml:space="preserve">……………………………………………………………………………………………</w:t>
      </w:r>
    </w:p>
    <w:p w14:paraId="4DF8EAD2" w14:textId="77777777" w:rsidR="00571769" w:rsidRDefault="00571769" w:rsidP="00451471">
      <w:pPr>
        <w:pStyle w:val="ListParagraph"/>
        <w:numPr>
          <w:ilvl w:val="0"/>
          <w:numId w:val="4"/>
        </w:numPr>
        <w:spacing w:before="120" w:after="120"/>
        <w:ind w:left="567" w:hanging="567"/>
        <w:contextualSpacing w:val="0"/>
        <w:jc w:val="both"/>
      </w:pPr>
      <w:r>
        <w:t xml:space="preserve">Om ett utkast till utvärderingsplan tillhandahålls, ska följande göras:</w:t>
      </w:r>
    </w:p>
    <w:p w14:paraId="61554CC9" w14:textId="77777777" w:rsidR="00571769" w:rsidRDefault="00571769" w:rsidP="00B82F95">
      <w:pPr>
        <w:pStyle w:val="ListParagraph"/>
        <w:numPr>
          <w:ilvl w:val="0"/>
          <w:numId w:val="33"/>
        </w:numPr>
        <w:spacing w:before="120" w:after="120"/>
        <w:contextualSpacing w:val="0"/>
        <w:jc w:val="both"/>
      </w:pPr>
      <w:r>
        <w:t xml:space="preserve">Lämna nedan en sammanfattning av det utkast till utvärderingsplan som finns i bilagan.</w:t>
      </w:r>
    </w:p>
    <w:p w14:paraId="206F9456" w14:textId="77777777" w:rsidR="00571769" w:rsidRDefault="00571769" w:rsidP="00571769">
      <w:pPr>
        <w:pStyle w:val="ListParagraph"/>
        <w:spacing w:before="120" w:after="120"/>
        <w:ind w:left="1440"/>
        <w:contextualSpacing w:val="0"/>
        <w:jc w:val="both"/>
      </w:pPr>
      <w:r>
        <w:t xml:space="preserve">………………………………………………………………………………….</w:t>
      </w:r>
    </w:p>
    <w:p w14:paraId="739A6E7F" w14:textId="77777777" w:rsidR="00571769" w:rsidRDefault="00571769" w:rsidP="00B82F95">
      <w:pPr>
        <w:pStyle w:val="ListParagraph"/>
        <w:numPr>
          <w:ilvl w:val="0"/>
          <w:numId w:val="33"/>
        </w:numPr>
        <w:spacing w:before="120" w:after="120"/>
        <w:contextualSpacing w:val="0"/>
        <w:jc w:val="both"/>
      </w:pPr>
      <w:r>
        <w:t xml:space="preserve">Bekräfta att punkt 460 i riktlinjerna kommer att iakttas.</w:t>
      </w:r>
    </w:p>
    <w:p w14:paraId="068DF461" w14:textId="77777777" w:rsidR="00571769" w:rsidRPr="0051324D" w:rsidRDefault="00571769" w:rsidP="00571769">
      <w:pPr>
        <w:pStyle w:val="ListParagraph"/>
        <w:spacing w:before="120" w:after="120"/>
        <w:ind w:left="1440"/>
        <w:contextualSpacing w:val="0"/>
        <w:jc w:val="both"/>
      </w:pPr>
      <w:r>
        <w:t xml:space="preserve">………………………………………………………………………………….</w:t>
      </w:r>
      <w:r>
        <w:t xml:space="preserve"> </w:t>
      </w:r>
    </w:p>
    <w:p w14:paraId="0EE4D2A1" w14:textId="77777777" w:rsidR="00571769" w:rsidRDefault="00571769" w:rsidP="00B82F95">
      <w:pPr>
        <w:pStyle w:val="ListParagraph"/>
        <w:numPr>
          <w:ilvl w:val="0"/>
          <w:numId w:val="33"/>
        </w:numPr>
        <w:spacing w:before="120" w:after="120"/>
        <w:contextualSpacing w:val="0"/>
        <w:jc w:val="both"/>
      </w:pPr>
      <w:r>
        <w:t xml:space="preserve">Ange datum och internetlänk där utvärderingsplanen kommer att finnas tillgänglig för allmänheten.</w:t>
      </w:r>
    </w:p>
    <w:p w14:paraId="7B713676" w14:textId="77777777" w:rsidR="00571769" w:rsidRPr="0051324D" w:rsidRDefault="00571769" w:rsidP="00571769">
      <w:pPr>
        <w:pStyle w:val="ListParagraph"/>
        <w:spacing w:before="120" w:after="120"/>
        <w:ind w:left="1440"/>
        <w:contextualSpacing w:val="0"/>
        <w:jc w:val="both"/>
      </w:pPr>
      <w:r>
        <w:t xml:space="preserve">………………………………………………………………………………….</w:t>
      </w:r>
      <w:r>
        <w:t xml:space="preserve"> </w:t>
      </w:r>
    </w:p>
    <w:p w14:paraId="43746EE1" w14:textId="2DE1A463" w:rsidR="00576C43" w:rsidRPr="0051324D" w:rsidRDefault="00576C43" w:rsidP="008A6F77">
      <w:pPr>
        <w:pStyle w:val="ListParagraph"/>
        <w:numPr>
          <w:ilvl w:val="0"/>
          <w:numId w:val="4"/>
        </w:numPr>
        <w:spacing w:before="120" w:after="120"/>
        <w:ind w:left="567" w:hanging="567"/>
        <w:contextualSpacing w:val="0"/>
        <w:jc w:val="both"/>
      </w:pPr>
      <w:r>
        <w:t xml:space="preserve">För att visa att punkt 459 b i riktlinjerna efterlevs, och om stödordningen för närvarande inte är föremål för en efterhandsutvärdering och dess varaktighet överstiger tre år, bekräfta att ni kommer att anmäla ett utkast till utvärderingsplan inom 30 arbetsdagar efter en betydande ändring som ökar stödordningens budget till mer än 150 miljoner euro under ett givet år eller till mer än 750 miljoner euro under stödordningens totala varaktighet.</w:t>
      </w:r>
      <w:r>
        <w:t xml:space="preserve"> </w:t>
      </w:r>
    </w:p>
    <w:p w14:paraId="64CE86FA" w14:textId="77777777" w:rsidR="00576C43" w:rsidRPr="0051324D" w:rsidRDefault="00576C43" w:rsidP="00576C43">
      <w:pPr>
        <w:tabs>
          <w:tab w:val="left" w:leader="dot" w:pos="9072"/>
        </w:tabs>
        <w:spacing w:before="120" w:after="120"/>
        <w:ind w:left="567"/>
        <w:jc w:val="both"/>
      </w:pPr>
      <w:r>
        <w:tab/>
      </w:r>
    </w:p>
    <w:p w14:paraId="621D0B78" w14:textId="446C2CF3" w:rsidR="00576C43" w:rsidRPr="0051324D" w:rsidRDefault="00576C43" w:rsidP="008A6F77">
      <w:pPr>
        <w:pStyle w:val="ListParagraph"/>
        <w:numPr>
          <w:ilvl w:val="0"/>
          <w:numId w:val="4"/>
        </w:numPr>
        <w:spacing w:before="120" w:after="120"/>
        <w:ind w:left="567" w:hanging="567"/>
        <w:contextualSpacing w:val="0"/>
        <w:jc w:val="both"/>
      </w:pPr>
      <w:r>
        <w:t xml:space="preserve">För att visa att punkt 459 c i riktlinjerna efterlevs, och om stödordningen för närvarande inte är föremål för en efterhandsutvärdering, ange nedan ett åtagande om att medlemsstaten kommer att anmäla ett utkast till utvärderingsplan inom 30 arbetsdagar efter att i de officiella räkenskaperna ha redovisat utgifter på över 150 miljoner euro under föregående år.</w:t>
      </w:r>
      <w:r>
        <w:t xml:space="preserve"> </w:t>
      </w:r>
    </w:p>
    <w:p w14:paraId="0F4DF4F4" w14:textId="77777777" w:rsidR="00576C43" w:rsidRPr="0051324D" w:rsidRDefault="00576C43" w:rsidP="00576C43">
      <w:pPr>
        <w:tabs>
          <w:tab w:val="left" w:leader="dot" w:pos="9072"/>
        </w:tabs>
        <w:spacing w:before="120" w:after="120"/>
        <w:ind w:left="567"/>
        <w:jc w:val="both"/>
      </w:pPr>
      <w:r>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t xml:space="preserve">För att det ska bli möjligt att fastställa om punkt 461 i riktlinjerna efterlevs, gör följande:</w:t>
      </w:r>
    </w:p>
    <w:p w14:paraId="3A9B542E" w14:textId="089343AF" w:rsidR="00277BC0" w:rsidRPr="0051324D" w:rsidRDefault="00277BC0" w:rsidP="008A6F77">
      <w:pPr>
        <w:pStyle w:val="ListParagraph"/>
        <w:numPr>
          <w:ilvl w:val="0"/>
          <w:numId w:val="47"/>
        </w:numPr>
        <w:spacing w:before="120" w:after="120"/>
        <w:contextualSpacing w:val="0"/>
        <w:jc w:val="both"/>
      </w:pPr>
      <w:r>
        <w:t xml:space="preserve">Klargör om den oberoende experten redan har valts eller kommer att väljas i framtiden.</w:t>
      </w:r>
    </w:p>
    <w:p w14:paraId="11C2DACA" w14:textId="77777777" w:rsidR="004165E0" w:rsidRPr="0051324D" w:rsidRDefault="004165E0" w:rsidP="004165E0">
      <w:pPr>
        <w:tabs>
          <w:tab w:val="left" w:leader="dot" w:pos="9072"/>
        </w:tabs>
        <w:spacing w:before="120" w:after="120"/>
        <w:ind w:left="567"/>
        <w:jc w:val="both"/>
      </w:pPr>
      <w:r>
        <w:tab/>
      </w:r>
    </w:p>
    <w:p w14:paraId="2FFFD5BA" w14:textId="10702D47" w:rsidR="00277BC0" w:rsidRPr="0051324D" w:rsidRDefault="00277BC0" w:rsidP="008A6F77">
      <w:pPr>
        <w:pStyle w:val="ListParagraph"/>
        <w:numPr>
          <w:ilvl w:val="0"/>
          <w:numId w:val="47"/>
        </w:numPr>
        <w:spacing w:before="120" w:after="120"/>
        <w:contextualSpacing w:val="0"/>
        <w:jc w:val="both"/>
      </w:pPr>
      <w:r>
        <w:t xml:space="preserve">Lämna information om förfarandet för val av expert.</w:t>
      </w:r>
    </w:p>
    <w:p w14:paraId="3A85B5D0" w14:textId="29760030" w:rsidR="004165E0" w:rsidRPr="0051324D" w:rsidRDefault="004165E0" w:rsidP="004165E0">
      <w:pPr>
        <w:tabs>
          <w:tab w:val="left" w:leader="dot" w:pos="9072"/>
        </w:tabs>
        <w:spacing w:before="120" w:after="120"/>
        <w:ind w:left="567"/>
        <w:jc w:val="both"/>
      </w:pPr>
      <w:r>
        <w:tab/>
      </w:r>
    </w:p>
    <w:p w14:paraId="6615DE04" w14:textId="2086DBF7" w:rsidR="004165E0" w:rsidRPr="0051324D" w:rsidRDefault="00277BC0" w:rsidP="008A6F77">
      <w:pPr>
        <w:pStyle w:val="ListParagraph"/>
        <w:numPr>
          <w:ilvl w:val="0"/>
          <w:numId w:val="47"/>
        </w:numPr>
        <w:spacing w:before="120" w:after="120"/>
        <w:contextualSpacing w:val="0"/>
        <w:jc w:val="both"/>
      </w:pPr>
      <w:r>
        <w:t xml:space="preserve">Förklara hur experten är oberoende av den beviljande myndigheten.</w:t>
      </w:r>
      <w:r>
        <w:t xml:space="preserve"> </w:t>
      </w:r>
    </w:p>
    <w:p w14:paraId="43CB3832" w14:textId="77777777" w:rsidR="004165E0" w:rsidRPr="0051324D" w:rsidRDefault="004165E0" w:rsidP="004165E0">
      <w:pPr>
        <w:tabs>
          <w:tab w:val="left" w:leader="dot" w:pos="9072"/>
        </w:tabs>
        <w:spacing w:before="120" w:after="120"/>
        <w:ind w:left="567"/>
        <w:jc w:val="both"/>
      </w:pPr>
      <w:r>
        <w:tab/>
      </w:r>
    </w:p>
    <w:p w14:paraId="14172C76" w14:textId="37B2B6F7" w:rsidR="00A42834" w:rsidRPr="0051324D" w:rsidRDefault="006F0AE2" w:rsidP="008A6F77">
      <w:pPr>
        <w:pStyle w:val="ListParagraph"/>
        <w:numPr>
          <w:ilvl w:val="0"/>
          <w:numId w:val="4"/>
        </w:numPr>
        <w:spacing w:before="120" w:after="120"/>
        <w:ind w:left="567" w:hanging="567"/>
        <w:contextualSpacing w:val="0"/>
        <w:jc w:val="both"/>
      </w:pPr>
      <w:r>
        <w:t xml:space="preserve">För att det ska bli möjligt att fastställa om punkt 461 i riktlinjerna efterlevs, gör följande:</w:t>
      </w:r>
      <w:r>
        <w:t xml:space="preserve"> </w:t>
      </w:r>
    </w:p>
    <w:p w14:paraId="342FFFFA" w14:textId="62A42954" w:rsidR="0036428C" w:rsidRPr="0051324D" w:rsidRDefault="002C0264" w:rsidP="008A6F77">
      <w:pPr>
        <w:pStyle w:val="ListParagraph"/>
        <w:numPr>
          <w:ilvl w:val="0"/>
          <w:numId w:val="48"/>
        </w:numPr>
        <w:spacing w:before="120" w:after="120"/>
        <w:contextualSpacing w:val="0"/>
        <w:jc w:val="both"/>
      </w:pPr>
      <w:r>
        <w:t xml:space="preserve">Ange de föreslagna tidsfristerna för inlämning av interimsutvärderingsrapporten och den slutliga utvärderingsrapporten.</w:t>
      </w:r>
      <w:r>
        <w:t xml:space="preserve"> </w:t>
      </w:r>
      <w:r>
        <w:t xml:space="preserve">Observera att den slutliga utvärderingsrapporten ska lämnas till kommissionen i god tid så att det kan bedömas om stödordningen kan förlängas och senast nio månader före dess upphörande, i enlighet med punkt 463 i riktlinjerna.</w:t>
      </w:r>
      <w:r>
        <w:t xml:space="preserve"> </w:t>
      </w:r>
      <w:r>
        <w:t xml:space="preserve">Observera att denna frist kan förkortas för stödordningar som utlöser utvärderingskravet under de två sista genomförandeåren.</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6F743DBC" w:rsidR="001169CB" w:rsidRPr="0051324D" w:rsidRDefault="0036428C" w:rsidP="008A6F77">
      <w:pPr>
        <w:pStyle w:val="ListParagraph"/>
        <w:numPr>
          <w:ilvl w:val="0"/>
          <w:numId w:val="48"/>
        </w:numPr>
        <w:spacing w:before="120" w:after="120"/>
        <w:contextualSpacing w:val="0"/>
        <w:jc w:val="both"/>
      </w:pPr>
      <w:r>
        <w:t xml:space="preserve">Bekräfta att interimsutvärderingsrapporten och den slutliga utvärderingsrapporten kommer att offentliggöras.</w:t>
      </w:r>
      <w:r>
        <w:t xml:space="preserve"> </w:t>
      </w:r>
      <w:r>
        <w:t xml:space="preserve">Ange datum och internetlänk där dessa rapporter kommer att finnas tillgängliga för allmänheten.</w:t>
      </w:r>
      <w:r>
        <w:t xml:space="preserve"> </w:t>
      </w:r>
    </w:p>
    <w:p w14:paraId="3784DF29" w14:textId="0F23C278" w:rsidR="00B2631C" w:rsidRPr="0051324D" w:rsidRDefault="001169CB">
      <w:pPr>
        <w:tabs>
          <w:tab w:val="left" w:leader="dot" w:pos="9072"/>
        </w:tabs>
        <w:spacing w:before="120" w:after="120"/>
        <w:ind w:left="567"/>
        <w:jc w:val="both"/>
      </w:pPr>
      <w:r>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491994" w:rsidRDefault="00491994">
            <w:pPr>
              <w:ind w:left="360"/>
              <w:jc w:val="center"/>
              <w:rPr>
                <w:b/>
                <w:iCs/>
                <w:sz w:val="32"/>
                <w:szCs w:val="32"/>
                <w:rFonts w:eastAsia="Times New Roman"/>
              </w:rPr>
            </w:pPr>
            <w:r>
              <w:rPr>
                <w:b/>
                <w:sz w:val="32"/>
              </w:rPr>
              <w:t xml:space="preserve">Avsnitt D – Rapportering och övervakning</w:t>
            </w:r>
          </w:p>
        </w:tc>
      </w:tr>
    </w:tbl>
    <w:p w14:paraId="1C16B3DB" w14:textId="77777777" w:rsidR="006F0AE2" w:rsidRPr="0051324D" w:rsidRDefault="006F0AE2" w:rsidP="006F0AE2">
      <w:pPr>
        <w:tabs>
          <w:tab w:val="left" w:leader="dot" w:pos="9072"/>
        </w:tabs>
        <w:spacing w:before="120" w:after="120"/>
        <w:ind w:left="567"/>
        <w:jc w:val="both"/>
      </w:pPr>
      <w:r>
        <w:rPr>
          <w:i/>
        </w:rPr>
        <w:t xml:space="preserve">För att lämna information i detta avsnitt, se avsnitt 6 (punkterna 464 och 465) i riktlinjerna.</w:t>
      </w:r>
    </w:p>
    <w:p w14:paraId="0AD3805C" w14:textId="48B92343" w:rsidR="006F0AE2" w:rsidRDefault="006F0AE2" w:rsidP="00451471">
      <w:pPr>
        <w:pStyle w:val="ListParagraph"/>
        <w:numPr>
          <w:ilvl w:val="0"/>
          <w:numId w:val="4"/>
        </w:numPr>
        <w:spacing w:before="120" w:after="120"/>
        <w:ind w:left="567" w:hanging="567"/>
        <w:contextualSpacing w:val="0"/>
        <w:jc w:val="both"/>
      </w:pPr>
      <w:r>
        <w:t xml:space="preserve">Bekräfta att medlemsstaten kommer att efterleva de krav på rapportering och övervakning som anges i avsnitt 6, punkterna 464 och 465, i riktlinjerna.</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w:t>
      </w: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67862" w14:textId="77777777" w:rsidR="00251B85" w:rsidRDefault="00251B85" w:rsidP="000442F5">
      <w:r>
        <w:separator/>
      </w:r>
    </w:p>
  </w:endnote>
  <w:endnote w:type="continuationSeparator" w:id="0">
    <w:p w14:paraId="2DCE915B" w14:textId="77777777" w:rsidR="00251B85" w:rsidRDefault="00251B85" w:rsidP="000442F5">
      <w:r>
        <w:continuationSeparator/>
      </w:r>
    </w:p>
  </w:endnote>
  <w:endnote w:type="continuationNotice" w:id="1">
    <w:p w14:paraId="0728C89D" w14:textId="77777777" w:rsidR="00251B85" w:rsidRDefault="00251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F90B" w14:textId="77777777" w:rsidR="00251B85" w:rsidRDefault="00251B85" w:rsidP="000442F5">
      <w:r>
        <w:separator/>
      </w:r>
    </w:p>
  </w:footnote>
  <w:footnote w:type="continuationSeparator" w:id="0">
    <w:p w14:paraId="008F71E6" w14:textId="77777777" w:rsidR="00251B85" w:rsidRDefault="00251B85" w:rsidP="000442F5">
      <w:r>
        <w:continuationSeparator/>
      </w:r>
    </w:p>
  </w:footnote>
  <w:footnote w:type="continuationNotice" w:id="1">
    <w:p w14:paraId="2051EB95" w14:textId="77777777" w:rsidR="00251B85" w:rsidRDefault="00251B85"/>
  </w:footnote>
  <w:footnote w:id="2">
    <w:p w14:paraId="2E1DAC13" w14:textId="108E9C5E" w:rsidR="005B06D6" w:rsidRPr="0067348B" w:rsidRDefault="005B06D6" w:rsidP="007B485D">
      <w:pPr>
        <w:pStyle w:val="FootnoteText"/>
      </w:pPr>
      <w:r>
        <w:rPr>
          <w:rStyle w:val="FootnoteReference"/>
        </w:rPr>
        <w:footnoteRef/>
      </w:r>
      <w:r>
        <w:tab/>
      </w:r>
      <w:r>
        <w:t xml:space="preserve">EUT C 80, 18.2.2022, s. 1.</w:t>
      </w:r>
    </w:p>
  </w:footnote>
  <w:footnote w:id="3">
    <w:p w14:paraId="721B2C3E" w14:textId="5CF0F3FA" w:rsidR="005B06D6" w:rsidRDefault="005B06D6" w:rsidP="002A2C73">
      <w:pPr>
        <w:pStyle w:val="FootnoteText"/>
      </w:pPr>
      <w:r>
        <w:rPr>
          <w:rStyle w:val="FootnoteReference"/>
        </w:rPr>
        <w:footnoteRef/>
      </w:r>
      <w:r>
        <w:tab/>
      </w:r>
      <w:r>
        <w:t xml:space="preserve">Observera att varaktigheten för en stödordning är den period under vilken stöd kan sökas och det kan fattas beslut om (och därför omfattar den tid som krävs för de nationella myndigheternas godkännande av stödansökningarna).</w:t>
      </w:r>
      <w:r>
        <w:t xml:space="preserve"> </w:t>
      </w:r>
      <w:r>
        <w:t xml:space="preserve">Med varaktighet avses här inte varaktigheten för de avtal som ingås inom ramen för stödordningen och som kan fortsätta att löpa efter åtgärdens varaktighet.</w:t>
      </w:r>
      <w:r>
        <w:t xml:space="preserve"> </w:t>
      </w:r>
    </w:p>
  </w:footnote>
  <w:footnote w:id="4">
    <w:p w14:paraId="51CA7B9F" w14:textId="77777777" w:rsidR="00A53EBB" w:rsidRPr="0067348B" w:rsidRDefault="00A53EBB" w:rsidP="00A53EBB">
      <w:pPr>
        <w:pStyle w:val="FootnoteText"/>
      </w:pPr>
      <w:r>
        <w:rPr>
          <w:rStyle w:val="FootnoteReference"/>
        </w:rPr>
        <w:footnoteRef/>
      </w:r>
      <w:r>
        <w:tab/>
      </w:r>
      <w:r>
        <w:t xml:space="preserve">Observera att en ändring av den faktiska eller beräknade budgeten kan utgöra en ändring av stöd, vilket kräver en ny anmälan.</w:t>
      </w:r>
    </w:p>
  </w:footnote>
  <w:footnote w:id="5">
    <w:p w14:paraId="49ADDF87" w14:textId="3332A17A" w:rsidR="005B06D6" w:rsidRPr="009204DA" w:rsidRDefault="005B06D6">
      <w:pPr>
        <w:pStyle w:val="FootnoteText"/>
      </w:pPr>
      <w:r>
        <w:rPr>
          <w:rStyle w:val="FootnoteReference"/>
        </w:rPr>
        <w:footnoteRef/>
      </w:r>
      <w:r>
        <w:tab/>
      </w:r>
      <w:r>
        <w:t xml:space="preserve">Utsläppsrätterna kan omfatta statligt stöd, särskilt när medlemsstaterna beviljar tillstånd och rätter under deras marknadsvärde.</w:t>
      </w:r>
    </w:p>
  </w:footnote>
  <w:footnote w:id="6">
    <w:p w14:paraId="7AC0A709" w14:textId="328426FA" w:rsidR="007F5A4A" w:rsidRPr="00CF158B" w:rsidRDefault="007F5A4A" w:rsidP="007F5A4A">
      <w:pPr>
        <w:pStyle w:val="FootnoteText"/>
      </w:pPr>
      <w:r>
        <w:rPr>
          <w:rStyle w:val="FootnoteReference"/>
        </w:rPr>
        <w:footnoteRef/>
      </w:r>
      <w:r>
        <w:tab/>
      </w:r>
      <w:r>
        <w:t xml:space="preserve">Observera att punkterna 38 och 52 samt fotnoterna 39 och 45 i riktlinjerna ger ytterligare vägledning om hur det sannolika kontrafaktiska scenariot bör utvecklas.</w:t>
      </w:r>
    </w:p>
  </w:footnote>
  <w:footnote w:id="7">
    <w:p w14:paraId="40AD96A8" w14:textId="77777777" w:rsidR="00BF736D" w:rsidRPr="00114695" w:rsidRDefault="00BF736D" w:rsidP="00BF736D">
      <w:pPr>
        <w:pStyle w:val="FootnoteText"/>
      </w:pPr>
      <w:r>
        <w:rPr>
          <w:rStyle w:val="FootnoteReference"/>
        </w:rPr>
        <w:footnoteRef/>
      </w:r>
      <w:r>
        <w:tab/>
      </w:r>
      <w:r>
        <w:t xml:space="preserve">”Referensprojekt” definieras i punkt 19.63 i riktlinjerna.</w:t>
      </w:r>
    </w:p>
  </w:footnote>
  <w:footnote w:id="8">
    <w:p w14:paraId="0035BA03" w14:textId="77777777" w:rsidR="006B45D5" w:rsidRDefault="006B45D5" w:rsidP="006B45D5">
      <w:pPr>
        <w:pStyle w:val="FootnoteText"/>
      </w:pPr>
      <w:r>
        <w:rPr>
          <w:rStyle w:val="FootnoteReference"/>
        </w:rPr>
        <w:footnoteRef/>
      </w:r>
      <w:r>
        <w:tab/>
      </w:r>
      <w:r>
        <w:t xml:space="preserve">Vid användning av ett nyligen genomfört konkurrensutsatt förfarande, förklara hur detta anbudsförfarande kan anses vara konkurrensutsatt, inklusive hur oväntade intäkter undveks för olika tekniker som ingick i det konkurrensutsatta anbudsförfarandet i tillämpliga fall, och hur det är jämförbart, till exempel:</w:t>
      </w:r>
    </w:p>
    <w:p w14:paraId="282DC24F" w14:textId="77777777" w:rsidR="006B45D5" w:rsidRDefault="006B45D5" w:rsidP="00B82F95">
      <w:pPr>
        <w:pStyle w:val="FootnoteText"/>
        <w:numPr>
          <w:ilvl w:val="0"/>
          <w:numId w:val="31"/>
        </w:numPr>
      </w:pPr>
      <w:r>
        <w:t xml:space="preserve">Liknade villkoren (t.ex. avtalsvillkor och varaktighet, investeringsfrister, huruvida stödutbetalningarna indexerades mot inflationen eller inte) de villkor som föreslås i den anmälda åtgärden?</w:t>
      </w:r>
    </w:p>
    <w:p w14:paraId="7E841389" w14:textId="77777777" w:rsidR="006B45D5" w:rsidRDefault="006B45D5" w:rsidP="00B82F95">
      <w:pPr>
        <w:pStyle w:val="FootnoteText"/>
        <w:numPr>
          <w:ilvl w:val="0"/>
          <w:numId w:val="31"/>
        </w:numPr>
      </w:pPr>
      <w:r>
        <w:t xml:space="preserve">Genomfördes det konkurrensutsatta förfarandet under liknande makroekonomiska förhållanden?</w:t>
      </w:r>
    </w:p>
    <w:p w14:paraId="2BEE57E5" w14:textId="77777777" w:rsidR="006B45D5" w:rsidRDefault="006B45D5" w:rsidP="00B82F95">
      <w:pPr>
        <w:pStyle w:val="FootnoteText"/>
        <w:numPr>
          <w:ilvl w:val="0"/>
          <w:numId w:val="31"/>
        </w:numPr>
      </w:pPr>
      <w:r>
        <w:t xml:space="preserve">Var teknikerna/projekttyperna likartade?</w:t>
      </w:r>
    </w:p>
  </w:footnote>
  <w:footnote w:id="9">
    <w:p w14:paraId="590F3FC7" w14:textId="30CB4935" w:rsidR="005B06D6" w:rsidRDefault="005B06D6" w:rsidP="00821F07">
      <w:pPr>
        <w:pStyle w:val="FootnoteText"/>
      </w:pPr>
      <w:r>
        <w:rPr>
          <w:rStyle w:val="FootnoteReference"/>
        </w:rPr>
        <w:footnoteRef/>
      </w:r>
      <w:r>
        <w:tab/>
      </w:r>
      <w:r>
        <w:t xml:space="preserve">Enligt punkt 19.89 i riktlinjerna avses med unionsnorm följande:</w:t>
      </w:r>
    </w:p>
    <w:p w14:paraId="340A0B20" w14:textId="77777777" w:rsidR="005B06D6" w:rsidRPr="004B74BC" w:rsidRDefault="005B06D6" w:rsidP="00B82F95">
      <w:pPr>
        <w:pStyle w:val="FootnoteText"/>
        <w:numPr>
          <w:ilvl w:val="0"/>
          <w:numId w:val="27"/>
        </w:numPr>
        <w:rPr>
          <w:i/>
        </w:rPr>
      </w:pPr>
      <w:r>
        <w:rPr>
          <w:i/>
        </w:rPr>
        <w:t xml:space="preserve">Obligatorisk unionsnorm som anger vilka nivåer som enskilda företag ska uppnå i miljöavseende, med undantag för normer eller mål som fastställs på unionsnivå och som är bindande för medlemsstaterna men inte för enskilda företag.</w:t>
      </w:r>
    </w:p>
    <w:p w14:paraId="02AC4E0B" w14:textId="266BC460" w:rsidR="005B06D6" w:rsidRDefault="005B06D6" w:rsidP="00B82F95">
      <w:pPr>
        <w:pStyle w:val="FootnoteText"/>
        <w:numPr>
          <w:ilvl w:val="0"/>
          <w:numId w:val="27"/>
        </w:numPr>
      </w:pPr>
      <w:r>
        <w:rPr>
          <w:i/>
        </w:rPr>
        <w:t xml:space="preserve">Skyldigheten att använda bästa tillgängliga teknik enligt definitionen i direktiv 2010/75/EU och att säkerställa att utsläppsnivåerna inte överstiger de som skulle uppnås vid tillämpning av bästa tillgängliga teknik;</w:t>
      </w:r>
      <w:r>
        <w:rPr>
          <w:i/>
        </w:rPr>
        <w:t xml:space="preserve"> </w:t>
      </w:r>
      <w:r>
        <w:rPr>
          <w:i/>
        </w:rPr>
        <w:t xml:space="preserve">om utsläppsnivåer som motsvarar bästa tillgängliga teknik har definierats i genomförandeakter som antagits enligt direktiv 2010/75/EU, eller enligt andra tillämpliga direktiv, ska dessa nivåer gälla vid tillämpningen av dessa riktlinjer;</w:t>
      </w:r>
      <w:r>
        <w:rPr>
          <w:i/>
        </w:rPr>
        <w:t xml:space="preserve"> </w:t>
      </w:r>
      <w:r>
        <w:rPr>
          <w:i/>
        </w:rPr>
        <w:t xml:space="preserve">om nivåerna uttrycks i form av ett intervall ska den gräns för vilken den bästa tillämpliga tekniken först uppnås för det berörda företaget vara tillämplig.</w:t>
      </w:r>
    </w:p>
  </w:footnote>
  <w:footnote w:id="10">
    <w:p w14:paraId="411ACB68" w14:textId="497824F8" w:rsidR="005B06D6" w:rsidRPr="003379AF" w:rsidRDefault="005B06D6">
      <w:pPr>
        <w:pStyle w:val="FootnoteText"/>
      </w:pPr>
      <w:r>
        <w:rPr>
          <w:rStyle w:val="FootnoteReference"/>
        </w:rPr>
        <w:footnoteRef/>
      </w:r>
      <w:r>
        <w:tab/>
      </w:r>
      <w:r>
        <w:t xml:space="preserve">Analysen kan göras på grundval av uppskattningar av produktpriselasticiteten inom den berörda sektorn, bland andra faktorer, och uppskattningar av utebliven försäljning och dess inverkan på stödmottagarens lönsamhet.</w:t>
      </w:r>
    </w:p>
  </w:footnote>
  <w:footnote w:id="11">
    <w:p w14:paraId="1464609F" w14:textId="77777777" w:rsidR="00611EA4" w:rsidRPr="0012122C" w:rsidRDefault="00611EA4" w:rsidP="00611EA4">
      <w:pPr>
        <w:pStyle w:val="FootnoteText"/>
      </w:pPr>
      <w:r>
        <w:rPr>
          <w:rStyle w:val="FootnoteReference"/>
        </w:rPr>
        <w:footnoteRef/>
      </w:r>
      <w:r>
        <w:tab/>
      </w:r>
      <w:r>
        <w:t xml:space="preserve">Nyheten kan t.ex. visas med hjälp av en exakt beskrivning av innovationen och av marknadsvillkoren för att lansera eller sprida den, där den jämförs med den senaste process- eller organisationsteknik som i allmänhet används av andra företag inom samma bransch.</w:t>
      </w:r>
    </w:p>
  </w:footnote>
  <w:footnote w:id="12">
    <w:p w14:paraId="69DB6703" w14:textId="77777777" w:rsidR="00611EA4" w:rsidRPr="003E2299" w:rsidRDefault="00611EA4" w:rsidP="00611EA4">
      <w:pPr>
        <w:pStyle w:val="FootnoteText"/>
      </w:pPr>
      <w:r>
        <w:rPr>
          <w:rStyle w:val="FootnoteReference"/>
        </w:rPr>
        <w:footnoteRef/>
      </w:r>
      <w:r>
        <w:tab/>
      </w:r>
      <w:r>
        <w:t xml:space="preserve">Om kvantitativa parametrar kan användas för att jämföra miljöinnovativ verksamhet med normal verksamhet som inte är innovativ, avses med ”betydligt större” att den marginella förbättring som kan förväntas av miljöinnovativ verksamhet i form av minskade miljörisker eller föroreningar eller förbättrad energi- eller resurseffektivitet bör vara minst dubbelt så stor som den marginella förbättring som kan förväntas till följd av den allmänna utvecklingen av jämförbar verksamhet som inte är innovativ.</w:t>
      </w:r>
      <w:r>
        <w:t xml:space="preserve"> </w:t>
      </w:r>
      <w:r>
        <w:t xml:space="preserve">Om det föreslagna tillvägagångssättet inte lämpar sig i ett visst fall, eller om ingen kvantitativ jämförelse är möjlig, bör ansökan om statligt stöd innehålla en detaljerad beskrivning av den metod som används för att bedöma detta kriterium, för att garantera ett tillvägagångssätt som kan jämföras med den föreslagna metoden.</w:t>
      </w:r>
    </w:p>
  </w:footnote>
  <w:footnote w:id="13">
    <w:p w14:paraId="210BC139" w14:textId="77777777" w:rsidR="00611EA4" w:rsidRPr="003E2299" w:rsidRDefault="00611EA4" w:rsidP="00611EA4">
      <w:pPr>
        <w:pStyle w:val="FootnoteText"/>
      </w:pPr>
      <w:r>
        <w:rPr>
          <w:rStyle w:val="FootnoteReference"/>
        </w:rPr>
        <w:footnoteRef/>
      </w:r>
      <w:r>
        <w:tab/>
      </w:r>
      <w:r>
        <w:t xml:space="preserve">Medlemsstaten ska kunna påvisa denna risk t.ex. med hjälp av följande faktorer:</w:t>
      </w:r>
      <w:r>
        <w:t xml:space="preserve"> </w:t>
      </w:r>
      <w:r>
        <w:t xml:space="preserve">kostnaderna i förhållande till företagets omsättning, den tid som krävs för utvecklingen, väntade fördelar med den miljöinnovativa verksamheten jämfört med kostnaderna, och sannolikheten för ett misslyckande.</w:t>
      </w:r>
    </w:p>
  </w:footnote>
  <w:footnote w:id="14">
    <w:p w14:paraId="5747D8E4" w14:textId="650D733F" w:rsidR="00E766C0" w:rsidRPr="0095488F" w:rsidRDefault="00E766C0" w:rsidP="00E766C0">
      <w:pPr>
        <w:pStyle w:val="FootnoteText"/>
      </w:pPr>
      <w:r>
        <w:rPr>
          <w:rStyle w:val="FootnoteReference"/>
        </w:rPr>
        <w:footnoteRef/>
      </w:r>
      <w:r>
        <w:t xml:space="preserve"> </w:t>
      </w:r>
      <w:r>
        <w:tab/>
      </w:r>
      <w:r>
        <w:t xml:space="preserve">Se även ytterligare information i punkterna 51–53 samt fotnoterna 45 och 46 i riktlinjerna.</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ab/>
      </w:r>
      <w:r>
        <w:t xml:space="preserve">Observera att i fotnot 44 i riktlinjerna sägs följande:</w:t>
      </w:r>
    </w:p>
    <w:p w14:paraId="193F0D8D" w14:textId="77777777" w:rsidR="005B06D6" w:rsidRDefault="005B06D6" w:rsidP="00E50157">
      <w:pPr>
        <w:pStyle w:val="FootnoteText"/>
      </w:pPr>
      <w:r>
        <w:tab/>
      </w:r>
      <w:r>
        <w:rPr>
          <w:i/>
        </w:rPr>
        <w:t xml:space="preserve">Vid bedömningen av miljöskyddsenheter kan medlemsstaterna till exempel utarbeta en metod som tar hänsyn till utsläpp eller andra föroreningar i olika steg av den näringsverksamhet, den projektgenomförandetid eller de kostnader för systemintegration som beviljats stöd.</w:t>
      </w:r>
      <w:r>
        <w:rPr>
          <w:i/>
          <w:color w:val="000000"/>
          <w:sz w:val="19"/>
          <w:shd w:val="clear" w:color="auto" w:fill="FFFFFF"/>
        </w:rPr>
        <w:t xml:space="preserve"> </w:t>
      </w:r>
      <w:r>
        <w:rPr>
          <w:i/>
          <w:color w:val="000000"/>
          <w:sz w:val="19"/>
          <w:shd w:val="clear" w:color="auto" w:fill="FFFFFF"/>
        </w:rPr>
        <w:t xml:space="preserve">När bidraget till de huvudsakliga målen sätts i förhållande till det begärda stödbeloppet kan medlemsstaterna till exempel väga de olika objektiva kriterierna och på grundval av stödbeloppet per enhet välja ut det vägda genomsnittet av de objektiva kriterierna, eller bland ett begränsat urval anbud med det lägsta stödbeloppet per enhet av de objektiva kriterierna välja ut de anbud som har högst poäng på de objektiva kriterierna.</w:t>
      </w:r>
      <w:r>
        <w:rPr>
          <w:i/>
          <w:color w:val="000000"/>
          <w:sz w:val="19"/>
          <w:shd w:val="clear" w:color="auto" w:fill="FFFFFF"/>
        </w:rPr>
        <w:t xml:space="preserve"> </w:t>
      </w:r>
      <w:r>
        <w:rPr>
          <w:i/>
          <w:color w:val="000000"/>
          <w:sz w:val="19"/>
          <w:shd w:val="clear" w:color="auto" w:fill="FFFFFF"/>
        </w:rPr>
        <w:t xml:space="preserve">Parametrarna för ett sådant tillvägagångssätt måste kalibreras för att säkerställa att anbudsförfarandet förblir icke-diskriminerande, ändamålsenligt konkurrenskraftigt och återspeglar det ekonomiska värdet.</w:t>
      </w:r>
    </w:p>
  </w:footnote>
  <w:footnote w:id="17">
    <w:p w14:paraId="086AD512" w14:textId="70BC3A35" w:rsidR="005B06D6" w:rsidRDefault="005B06D6">
      <w:pPr>
        <w:pStyle w:val="FootnoteText"/>
      </w:pPr>
      <w:r>
        <w:rPr>
          <w:rStyle w:val="FootnoteReference"/>
        </w:rPr>
        <w:footnoteRef/>
      </w:r>
      <w:r>
        <w:tab/>
      </w:r>
      <w:r>
        <w:t xml:space="preserve">Centralt förvaltad unionsfinansiering är unionsfinansiering som förvaltas centralt av Europeiska unionens institutioner, byråer, gemensamma företag eller dess andra organ som inte direkt eller indirekt står under medlemsstatens kontroll.</w:t>
      </w:r>
    </w:p>
  </w:footnote>
  <w:footnote w:id="18">
    <w:p w14:paraId="02AA3570" w14:textId="77777777" w:rsidR="005B06D6" w:rsidRPr="008772CC" w:rsidRDefault="005B06D6" w:rsidP="004B2EF3">
      <w:pPr>
        <w:pStyle w:val="FootnoteText"/>
      </w:pPr>
      <w:r>
        <w:rPr>
          <w:rStyle w:val="FootnoteReference"/>
        </w:rPr>
        <w:footnoteRef/>
      </w:r>
      <w:r>
        <w:tab/>
      </w:r>
      <w:r>
        <w:t xml:space="preserve">Europaparlamentets och rådets förordning (EU) 2020/852 av den 18 juni 2020 om inrättande av en ram för att underlätta hållbara investeringar och om ändring av förordning (EU) 2019/2088 (EUT L 198, 22.6.2020, s. 13).</w:t>
      </w:r>
    </w:p>
  </w:footnote>
  <w:footnote w:id="19">
    <w:p w14:paraId="05B1881A" w14:textId="77777777" w:rsidR="008472A5" w:rsidRDefault="008472A5" w:rsidP="008472A5">
      <w:pPr>
        <w:pStyle w:val="FootnoteText"/>
      </w:pPr>
      <w:r>
        <w:rPr>
          <w:rStyle w:val="FootnoteReference"/>
        </w:rPr>
        <w:footnoteRef/>
      </w:r>
      <w:r>
        <w:tab/>
      </w:r>
      <w:r>
        <w:t xml:space="preserve">Mallen till formuläret för kompletterande information för anmälan av en utvärderingsplan (del III.8) finns här:</w:t>
      </w:r>
      <w:r>
        <w:t xml:space="preserve"> </w:t>
      </w:r>
      <w:hyperlink w:anchor="evaluation-plan" w:history="1">
        <w:r>
          <w:rPr>
            <w:rStyle w:val="Hyperlink"/>
            <w:color w:val="auto"/>
          </w:rPr>
          <w:t xml:space="preserve">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B6C894FE"/>
    <w:lvl w:ilvl="0" w:tplc="5B30B910">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EF809A08"/>
    <w:lvl w:ilvl="0" w:tplc="C7A0D2A8">
      <w:start w:val="1"/>
      <w:numFmt w:val="lowerRoman"/>
      <w:lvlText w:val="%1."/>
      <w:lvlJc w:val="right"/>
      <w:pPr>
        <w:ind w:left="144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828EE462"/>
    <w:lvl w:ilvl="0" w:tplc="82A46EEA">
      <w:start w:val="1"/>
      <w:numFmt w:val="decimal"/>
      <w:lvlText w:val="%1."/>
      <w:lvlJc w:val="left"/>
      <w:pPr>
        <w:ind w:left="5256" w:hanging="360"/>
      </w:pPr>
      <w:rPr>
        <w:rFonts w:hint="default"/>
        <w:b/>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06C5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80B"/>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1B85"/>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E7129"/>
    <w:rsid w:val="002F08C2"/>
    <w:rsid w:val="002F16BD"/>
    <w:rsid w:val="002F4845"/>
    <w:rsid w:val="002F4F73"/>
    <w:rsid w:val="002F5939"/>
    <w:rsid w:val="002F60C7"/>
    <w:rsid w:val="002F69D6"/>
    <w:rsid w:val="0030040A"/>
    <w:rsid w:val="00300D5F"/>
    <w:rsid w:val="0030108D"/>
    <w:rsid w:val="00304535"/>
    <w:rsid w:val="00305DC0"/>
    <w:rsid w:val="00306BDA"/>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678FE"/>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52"/>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2212"/>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66329"/>
    <w:rsid w:val="00571769"/>
    <w:rsid w:val="00571910"/>
    <w:rsid w:val="00571DED"/>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7DB"/>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20E0"/>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4A0B"/>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4D45"/>
    <w:rsid w:val="007754A5"/>
    <w:rsid w:val="00775A33"/>
    <w:rsid w:val="00775A7E"/>
    <w:rsid w:val="00780A9F"/>
    <w:rsid w:val="0078179E"/>
    <w:rsid w:val="00781DA3"/>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7417E"/>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1F6E"/>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1715"/>
    <w:rsid w:val="00A05235"/>
    <w:rsid w:val="00A06698"/>
    <w:rsid w:val="00A141F3"/>
    <w:rsid w:val="00A2108A"/>
    <w:rsid w:val="00A22402"/>
    <w:rsid w:val="00A24694"/>
    <w:rsid w:val="00A255BF"/>
    <w:rsid w:val="00A25D46"/>
    <w:rsid w:val="00A27330"/>
    <w:rsid w:val="00A27600"/>
    <w:rsid w:val="00A27E0C"/>
    <w:rsid w:val="00A33990"/>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7677"/>
    <w:rsid w:val="00A77F76"/>
    <w:rsid w:val="00A811AA"/>
    <w:rsid w:val="00A81CE4"/>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37E83"/>
    <w:rsid w:val="00B40159"/>
    <w:rsid w:val="00B418CC"/>
    <w:rsid w:val="00B420EA"/>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7A47"/>
    <w:rsid w:val="00B70355"/>
    <w:rsid w:val="00B70424"/>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28D3"/>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6B38"/>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5BDE"/>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4CBE"/>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1634"/>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018"/>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4A3"/>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6F4F"/>
    <w:rsid w:val="0F9DD026"/>
    <w:rsid w:val="353411E8"/>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v-SE"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v-SE"/>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val="sv-SE"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sv-SE"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v-S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sv-SE"/>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val="sv-SE"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4.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5B55702-6B3C-41B6-A0AC-D5378EA82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5980</Words>
  <Characters>31042</Characters>
  <DocSecurity>0</DocSecurity>
  <Lines>689</Lines>
  <Paragraphs>228</Paragraphs>
  <ScaleCrop>false</ScaleCrop>
  <LinksUpToDate>false</LinksUpToDate>
  <CharactersWithSpaces>36794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2024-10-28T10:33:00Z</dcterms:created>
  <dcterms:modified xsi:type="dcterms:W3CDTF">2024-10-28T11:13:00Z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