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Pr="007A4B3C" w:rsidRDefault="00FA1F8A" w:rsidP="007B485D">
            <w:pPr>
              <w:pStyle w:val="Heading2"/>
              <w:spacing w:before="240" w:after="240"/>
              <w:jc w:val="center"/>
              <w:rPr>
                <w:sz w:val="32"/>
                <w:szCs w:val="32"/>
              </w:rPr>
            </w:pPr>
            <w:bookmarkStart w:id="0" w:name="_Toc414370364"/>
            <w:bookmarkStart w:id="1" w:name="_Toc416949016"/>
            <w:r w:rsidRPr="007A4B3C">
              <w:rPr>
                <w:sz w:val="32"/>
              </w:rPr>
              <w:t xml:space="preserve">Časť III.6 – </w:t>
            </w:r>
          </w:p>
          <w:p w14:paraId="1C239D2C" w14:textId="5E099E6D" w:rsidR="000442F5" w:rsidRPr="007A4B3C" w:rsidRDefault="00BA39B3" w:rsidP="007B485D">
            <w:pPr>
              <w:pStyle w:val="Heading2"/>
              <w:spacing w:before="240" w:after="240"/>
              <w:jc w:val="center"/>
              <w:rPr>
                <w:sz w:val="32"/>
                <w:szCs w:val="32"/>
              </w:rPr>
            </w:pPr>
            <w:r w:rsidRPr="007A4B3C">
              <w:rPr>
                <w:rStyle w:val="normaltextrun"/>
                <w:color w:val="000000"/>
                <w:sz w:val="32"/>
                <w:bdr w:val="none" w:sz="0" w:space="0" w:color="auto" w:frame="1"/>
              </w:rPr>
              <w:t>Aktualizovaný*</w:t>
            </w:r>
            <w:r w:rsidRPr="007A4B3C">
              <w:rPr>
                <w:sz w:val="32"/>
              </w:rPr>
              <w:t xml:space="preserve"> formulár doplňujúcich informácií o štátnej pomoci poskytovanej na základe Usmernení o štátnej pomoci v</w:t>
            </w:r>
            <w:r w:rsidR="009F7E78" w:rsidRPr="007A4B3C">
              <w:rPr>
                <w:sz w:val="32"/>
              </w:rPr>
              <w:t> </w:t>
            </w:r>
            <w:r w:rsidRPr="007A4B3C">
              <w:rPr>
                <w:sz w:val="32"/>
              </w:rPr>
              <w:t>oblasti klímy, ochrany životného prostredia a energetiky na rok 2022 (ďalej len „CEEAG“)</w:t>
            </w:r>
            <w:r w:rsidRPr="007A4B3C">
              <w:rPr>
                <w:sz w:val="32"/>
                <w:szCs w:val="32"/>
                <w:vertAlign w:val="superscript"/>
              </w:rPr>
              <w:footnoteReference w:id="2"/>
            </w:r>
            <w:r w:rsidRPr="007A4B3C">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Kapitola 4.5 – Pomoc v oblasti predchádzania znečisťovaniu alebo znižovania znečistenia inými emisiami ako emisiami skleníkových plynov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zatiaľ formálne neprijatý</w:t>
            </w:r>
          </w:p>
        </w:tc>
      </w:tr>
    </w:tbl>
    <w:p w14:paraId="5F26D476" w14:textId="0F5300A2" w:rsidR="000442F5" w:rsidRPr="007A4B3C" w:rsidRDefault="000442F5" w:rsidP="000442F5">
      <w:pPr>
        <w:spacing w:before="120" w:after="120"/>
        <w:ind w:right="-142"/>
        <w:jc w:val="both"/>
        <w:rPr>
          <w:i/>
          <w:iCs/>
        </w:rPr>
      </w:pPr>
      <w:r w:rsidRPr="007A4B3C">
        <w:rPr>
          <w:i/>
        </w:rPr>
        <w:t>Tento formulár doplňujúcich informácií treba použiť na notifikáciu každej pomoci, na ktorú sa vzťahujú Usmernenia o štátnej pomoci v oblasti klímy, ochrany životného prostredia a energetiky na rok</w:t>
      </w:r>
      <w:r w:rsidR="004370AB" w:rsidRPr="007A4B3C">
        <w:rPr>
          <w:i/>
        </w:rPr>
        <w:t> </w:t>
      </w:r>
      <w:r w:rsidRPr="007A4B3C">
        <w:rPr>
          <w:i/>
        </w:rPr>
        <w:t>2022 (ďalej len „CEEAG“).</w:t>
      </w:r>
    </w:p>
    <w:p w14:paraId="1B60656B" w14:textId="37F96FA1" w:rsidR="009E2EA1" w:rsidRPr="007A4B3C" w:rsidRDefault="0072538B" w:rsidP="009E2EA1">
      <w:pPr>
        <w:spacing w:before="120" w:after="120"/>
        <w:ind w:right="-142"/>
        <w:jc w:val="both"/>
        <w:rPr>
          <w:i/>
          <w:iCs/>
        </w:rPr>
      </w:pPr>
      <w:r w:rsidRPr="007A4B3C">
        <w:rPr>
          <w:i/>
        </w:rPr>
        <w:t xml:space="preserve">Tento formulár doplňujúcich informácií sa týka opatrení, na ktoré sa vzťahuje kapitola 4.5 CEEAG. Ak notifikácia zahŕňa opatrenia, na ktoré sa vzťahuje viac ako jedna kapitola CEEAG, vyplňte aj príslušný formulár doplňujúcich informácií, ktorý sa týka príslušnej kapitoly CEEAG, keď bude k dispozícii. </w:t>
      </w:r>
    </w:p>
    <w:p w14:paraId="05E36007" w14:textId="5E24D00F" w:rsidR="009E2EA1" w:rsidRPr="007A4B3C" w:rsidRDefault="009E2EA1" w:rsidP="009E2EA1">
      <w:pPr>
        <w:spacing w:before="120" w:after="120"/>
        <w:ind w:right="-142"/>
        <w:jc w:val="both"/>
        <w:rPr>
          <w:i/>
          <w:iCs/>
        </w:rPr>
      </w:pPr>
      <w:r w:rsidRPr="007A4B3C">
        <w:rPr>
          <w:i/>
        </w:rPr>
        <w:t>Všetky dokumenty, ktoré členské štáty poskytnú ako prílohy k tomuto formuláru doplňujúcich informácií, musia byť očíslované a čísla dokumentov sa musia uviesť v príslušných oddieloch tohto formulára doplňujúcich informácií.</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7A4B3C" w:rsidRDefault="00193E48" w:rsidP="007B7B48">
            <w:pPr>
              <w:spacing w:before="120" w:after="120"/>
              <w:jc w:val="center"/>
              <w:rPr>
                <w:b/>
                <w:iCs/>
                <w:sz w:val="32"/>
                <w:szCs w:val="32"/>
              </w:rPr>
            </w:pPr>
            <w:r>
              <w:lastRenderedPageBreak/>
              <w:br w:type="page"/>
            </w:r>
            <w:r>
              <w:br w:type="page"/>
            </w:r>
            <w:r w:rsidRPr="007A4B3C">
              <w:rPr>
                <w:b/>
                <w:sz w:val="32"/>
              </w:rPr>
              <w:t>Oddiel A: Zhrnutie hlavných charakteristík notifikovaného opatrenia (notifikovaných opatrení)</w:t>
            </w:r>
          </w:p>
        </w:tc>
      </w:tr>
    </w:tbl>
    <w:p w14:paraId="58CA5BA7" w14:textId="77777777" w:rsidR="00564D5B" w:rsidRPr="007A4B3C" w:rsidRDefault="00564D5B" w:rsidP="00564D5B">
      <w:pPr>
        <w:pStyle w:val="ListParagraph"/>
        <w:spacing w:before="120" w:after="120"/>
        <w:ind w:left="567"/>
        <w:contextualSpacing w:val="0"/>
        <w:jc w:val="both"/>
        <w:rPr>
          <w:b/>
        </w:rPr>
      </w:pPr>
    </w:p>
    <w:p w14:paraId="4B9EEEE5" w14:textId="21526587" w:rsidR="00B615AA" w:rsidRPr="007A4B3C" w:rsidRDefault="007302C9" w:rsidP="00A33990">
      <w:pPr>
        <w:pStyle w:val="ListParagraph"/>
        <w:numPr>
          <w:ilvl w:val="0"/>
          <w:numId w:val="4"/>
        </w:numPr>
        <w:spacing w:before="120" w:after="120"/>
        <w:ind w:left="567" w:hanging="567"/>
        <w:contextualSpacing w:val="0"/>
        <w:jc w:val="both"/>
        <w:rPr>
          <w:b/>
        </w:rPr>
      </w:pPr>
      <w:r w:rsidRPr="007A4B3C">
        <w:rPr>
          <w:b/>
        </w:rPr>
        <w:t>Kontext a cieľ (ciele) notifikovaného opatrenia (notifikovaných opatrení)</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Ak už neboli uvedené v oddiele 5.2 formulára všeobecných informácií (časť I), uveďte kontext a hlavný cieľ vrátane všetkých cieľov Únie v oblasti environmentálnych cieľov, ktoré má opatrenie podporiť.</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1ECA2E7C" w:rsidR="00C0702F" w:rsidRPr="00F656BE" w:rsidRDefault="00C0702F" w:rsidP="00451471">
      <w:pPr>
        <w:pStyle w:val="ListParagraph"/>
        <w:numPr>
          <w:ilvl w:val="1"/>
          <w:numId w:val="4"/>
        </w:numPr>
        <w:spacing w:before="120" w:after="120"/>
        <w:ind w:left="1276" w:hanging="567"/>
        <w:contextualSpacing w:val="0"/>
        <w:jc w:val="both"/>
      </w:pPr>
      <w:r>
        <w:t>Uveďte všetky ďalšie ciele, ktoré opatrenie sleduje. V prípade všetkých cieľov, ktoré nemajú čisto environmentálny charakter, vysvetlite, či môžu viesť k</w:t>
      </w:r>
      <w:r w:rsidR="009F7E78">
        <w:t> </w:t>
      </w:r>
      <w:r>
        <w:t xml:space="preserve">narušeniu hospodárskej súťaže na vnútornom trhu.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sidRPr="007A4B3C">
        <w:rPr>
          <w:b/>
        </w:rPr>
        <w:t>Nadobudnutie účinnosti a trvanie</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Uveďte dátum, od ktorého sa plánuje nadobudnutie účinnosti schémy pomoci, pokiaľ ešte nebol uvedený v oddiele 5.5 formulára všeobecných informácií (časť I).</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Uveďte trvanie schémy</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7A4B3C" w:rsidRDefault="004D14A6" w:rsidP="00C52CFD">
      <w:pPr>
        <w:pStyle w:val="ListParagraph"/>
        <w:numPr>
          <w:ilvl w:val="0"/>
          <w:numId w:val="4"/>
        </w:numPr>
        <w:spacing w:before="120" w:after="120"/>
        <w:ind w:left="567" w:hanging="567"/>
        <w:contextualSpacing w:val="0"/>
        <w:jc w:val="both"/>
        <w:rPr>
          <w:rFonts w:cs="Arial Unicode MS"/>
          <w:b/>
          <w:bCs/>
        </w:rPr>
      </w:pPr>
      <w:r w:rsidRPr="007A4B3C">
        <w:rPr>
          <w:b/>
        </w:rPr>
        <w:t>Príjemca (príjemcovia)</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Ak ste tak ešte nespravili v oddiele 3 formulára všeobecných informácií (časť I), opíšte (potenciálneho) príjemcu, resp. (potenciálnych) príjemcov opatrenia (opatrení).</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Uveďte sídlo príjemcu (príjemcov) (t. j. či sa na opatrení môžu zúčastniť len hospodárske subjekty so sídlom v príslušnom členskom štáte, alebo aj hospodárske subjekty so sídlom v iných členských štátoch).</w:t>
      </w:r>
    </w:p>
    <w:p w14:paraId="51412974" w14:textId="5EFBD0ED" w:rsidR="000442F5" w:rsidRDefault="000442F5" w:rsidP="000442F5">
      <w:pPr>
        <w:tabs>
          <w:tab w:val="left" w:leader="dot" w:pos="9072"/>
        </w:tabs>
        <w:spacing w:before="120" w:after="120"/>
        <w:ind w:left="567"/>
        <w:jc w:val="both"/>
      </w:pPr>
      <w:r>
        <w:tab/>
      </w:r>
    </w:p>
    <w:p w14:paraId="27DDBE9A" w14:textId="20A8AD05" w:rsidR="00E4424D" w:rsidRDefault="003C33B1" w:rsidP="00451471">
      <w:pPr>
        <w:pStyle w:val="ListParagraph"/>
        <w:numPr>
          <w:ilvl w:val="1"/>
          <w:numId w:val="4"/>
        </w:numPr>
        <w:spacing w:before="120" w:after="120"/>
        <w:ind w:left="1276" w:hanging="567"/>
        <w:contextualSpacing w:val="0"/>
        <w:jc w:val="both"/>
        <w:rPr>
          <w:szCs w:val="24"/>
        </w:rPr>
      </w:pPr>
      <w:r>
        <w:t>Na posúdenie súladu s bodom 15 CEEAG uveďte, či sa pomoc poskytuje v rámci opatrenia (opatrení) v prospech podniku (jednotlivca alebo časti schémy), voči ktorému je nárokované vrátenie pomoci na základe predchádzajúceho rozhodnutia Komisie, v ktorom bola táto pomoc označená za neoprávnenú a nezlučiteľnú s</w:t>
      </w:r>
      <w:r w:rsidR="009F7E78">
        <w:t> </w:t>
      </w:r>
      <w:r>
        <w:t xml:space="preserve">vnútorným trhom.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lastRenderedPageBreak/>
        <w:t xml:space="preserve">V prípade kladnej odpovede uveďte informácie o výške pomoci, ktorá sa ešte má vrátiť, aby ju Komisia mohla zohľadniť pri posúdení opatrenia (opatrení) pomoci.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Potvrďte, že opatrenie nezahŕňa (opatrenia nezahŕňajú) pomoc na činnosti, ktoré nepatria do rozsahu pôsobnosti CEEAG (pozri bod 13 CEEAG). V opačnom prípade uveďte podrobnosti.</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sidRPr="007A4B3C">
        <w:rPr>
          <w:b/>
        </w:rPr>
        <w:t>Rozpočet a financovanie opatrenia (opatrení)</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Ak ešte nie je uvedený v tabuľke v oddiele 7.1 formulára všeobecných informácií (časť I), uveďte ročný a/alebo celkový rozpočet na celé obdobie trvania opatrenia (opatrení); ak celkový rozpočet nie je známy (napríklad preto, lebo závisí od výsledkov verejných súťaží), uveďte odhadovaný rozpočet vrátane predpokladov použitých pri výpočte príslušného odhadovaného rozpočtu</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Ak sa opatrenie financuje prostredníctvom poplatku, objasnite, či:</w:t>
      </w:r>
      <w:bookmarkEnd w:id="3"/>
      <w:r>
        <w:t xml:space="preserve"> </w:t>
      </w:r>
    </w:p>
    <w:p w14:paraId="7D9CD5BC" w14:textId="224EBE59" w:rsidR="004D34AD" w:rsidRDefault="00AD0976" w:rsidP="00B82F95">
      <w:pPr>
        <w:pStyle w:val="ListParagraph"/>
        <w:numPr>
          <w:ilvl w:val="1"/>
          <w:numId w:val="21"/>
        </w:numPr>
        <w:spacing w:before="120" w:after="120"/>
        <w:contextualSpacing w:val="0"/>
        <w:jc w:val="both"/>
        <w:rPr>
          <w:rFonts w:cs="Arial Unicode MS"/>
          <w:bCs/>
        </w:rPr>
      </w:pPr>
      <w:r>
        <w:t>je poplatok stanovený zákonom alebo iným legislatívnym aktom; v</w:t>
      </w:r>
      <w:r w:rsidR="009F7E78">
        <w:t> </w:t>
      </w:r>
      <w:r>
        <w:t>prípade kladnej odpovede uveďte právny akt, číslo a dátum jeho prijatia a nadobudnutia účinnosti a internetový odkaz na právny akt;</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sa poplatok ukladá rovnako na domáce aj dovážané výrobky;</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notifikované opatrenie prinesie rovnaké výhody domácim aj dovážaným výrobkom;</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sa z poplatku financuje príslušné opatrenie v plnej výške alebo len čiastočne. Ak sa z poplatku financuje príslušné opatrenie len čiastočne, uveďte ostatné zdroje financovania opatrenia a ich príslušný podiel;</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sa z poplatku, z ktorého sa financuje notifikované opatrenie, financujú aj iné opatrenia pomoci. Ak áno, uveďte ostatné opatrenia pomoci financované z príslušného poplatku.</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7A4B3C" w:rsidRDefault="000442F5" w:rsidP="00DE2433">
            <w:pPr>
              <w:spacing w:before="120" w:after="120"/>
              <w:jc w:val="center"/>
              <w:rPr>
                <w:b/>
                <w:sz w:val="32"/>
                <w:szCs w:val="32"/>
              </w:rPr>
            </w:pPr>
            <w:r w:rsidRPr="007A4B3C">
              <w:rPr>
                <w:b/>
                <w:sz w:val="32"/>
              </w:rPr>
              <w:lastRenderedPageBreak/>
              <w:t>Oddiel B: Posúdenie zlučiteľnosti pomoci</w:t>
            </w:r>
          </w:p>
        </w:tc>
      </w:tr>
    </w:tbl>
    <w:p w14:paraId="07973474" w14:textId="77777777" w:rsidR="000442F5" w:rsidRPr="007A4B3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7A4B3C" w:rsidRDefault="007D1E08" w:rsidP="00B82F95">
            <w:pPr>
              <w:pStyle w:val="Heading1"/>
              <w:numPr>
                <w:ilvl w:val="0"/>
                <w:numId w:val="22"/>
              </w:numPr>
              <w:rPr>
                <w:i/>
                <w:sz w:val="28"/>
                <w:szCs w:val="28"/>
              </w:rPr>
            </w:pPr>
            <w:r w:rsidRPr="007A4B3C">
              <w:rPr>
                <w:i/>
                <w:sz w:val="28"/>
              </w:rPr>
              <w:t>Pozitívna podmienka: pomoc musí uľahčovať rozvoj určitej hospodárskej činnosti</w:t>
            </w:r>
          </w:p>
        </w:tc>
      </w:tr>
    </w:tbl>
    <w:p w14:paraId="51388EE2" w14:textId="77777777" w:rsidR="004B5C2A" w:rsidRPr="007A4B3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7A4B3C" w:rsidRDefault="007D1E08" w:rsidP="00B82F95">
            <w:pPr>
              <w:pStyle w:val="Heading1"/>
              <w:numPr>
                <w:ilvl w:val="1"/>
                <w:numId w:val="22"/>
              </w:numPr>
              <w:rPr>
                <w:sz w:val="24"/>
                <w:szCs w:val="24"/>
              </w:rPr>
            </w:pPr>
            <w:r w:rsidRPr="007A4B3C">
              <w:rPr>
                <w:sz w:val="24"/>
              </w:rPr>
              <w:t>Prispievanie k rozvoju určitej hospodárskej činnosti</w:t>
            </w:r>
          </w:p>
        </w:tc>
      </w:tr>
    </w:tbl>
    <w:p w14:paraId="1E2599D2" w14:textId="2E38BD96" w:rsidR="000442F5" w:rsidRPr="007A4B3C" w:rsidRDefault="000442F5" w:rsidP="000442F5">
      <w:pPr>
        <w:spacing w:before="360" w:after="120"/>
        <w:jc w:val="both"/>
        <w:rPr>
          <w:i/>
        </w:rPr>
      </w:pPr>
      <w:r w:rsidRPr="007A4B3C">
        <w:rPr>
          <w:i/>
        </w:rPr>
        <w:t>Pri vypĺňaní tohto oddielu postupujte podľa informácií v oddiele 3.1.1 (body 23 – 25), oddiele </w:t>
      </w:r>
      <w:r w:rsidRPr="007A4B3C">
        <w:rPr>
          <w:i/>
          <w:color w:val="000000"/>
        </w:rPr>
        <w:t>4.5.1 (body 253 – 254) a oddiele 4.5.2 (body 255 – 259)</w:t>
      </w:r>
      <w:r w:rsidRPr="007A4B3C">
        <w:rPr>
          <w:i/>
        </w:rPr>
        <w:t xml:space="preserve"> CEEAG.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V článku 107 ods. 3 písm. c) Zmluvy o fungovaní Európskej únie (ZFEÚ) sa stanovuje, že Komisia môže za zlučiteľnú vyhlásiť „</w:t>
      </w:r>
      <w:r w:rsidRPr="007A4B3C">
        <w:rPr>
          <w:i/>
        </w:rPr>
        <w:t>pomoc na rozvoj určitých hospodárskych činností alebo určitých hospodárskych oblastí, za predpokladu, že táto podpora nepriaznivo neovplyvní podmienky obchodu tak, že by to bolo v rozpore so spoločným záujmom</w:t>
      </w:r>
      <w:r>
        <w:t xml:space="preserve">“. Zlučiteľná pomoc preto podľa uvedeného ustanovenia ZFEÚ musí prispievať k rozvoju určitej hospodárskej činnosti. </w:t>
      </w:r>
    </w:p>
    <w:p w14:paraId="1D59B711" w14:textId="015DAACF" w:rsidR="002A11D4" w:rsidRDefault="00E75ECB" w:rsidP="00864DCD">
      <w:pPr>
        <w:pStyle w:val="ListParagraph"/>
        <w:spacing w:before="120" w:after="120"/>
        <w:ind w:left="567"/>
        <w:contextualSpacing w:val="0"/>
        <w:jc w:val="both"/>
      </w:pPr>
      <w:r>
        <w:t xml:space="preserve">Na posúdenie súladu s bodom 23 CEEAG uveďte, aké hospodárske činnosti sa v dôsledku pomoci uľahčia a ako sa podporí rozvoj týchto činností. </w:t>
      </w:r>
    </w:p>
    <w:p w14:paraId="43E4572F" w14:textId="77777777" w:rsidR="000442F5" w:rsidRPr="00864DCD" w:rsidRDefault="000442F5" w:rsidP="000442F5">
      <w:pPr>
        <w:tabs>
          <w:tab w:val="left" w:leader="dot" w:pos="9072"/>
        </w:tabs>
        <w:spacing w:before="120" w:after="120"/>
        <w:ind w:left="567"/>
        <w:jc w:val="both"/>
      </w:pPr>
      <w:r>
        <w:tab/>
      </w:r>
    </w:p>
    <w:p w14:paraId="664B5453" w14:textId="6616189D" w:rsidR="00622FDD" w:rsidRDefault="00622FDD" w:rsidP="00C47CAC">
      <w:pPr>
        <w:pStyle w:val="ListParagraph"/>
        <w:numPr>
          <w:ilvl w:val="0"/>
          <w:numId w:val="4"/>
        </w:numPr>
        <w:spacing w:before="120" w:after="120"/>
        <w:ind w:left="567" w:hanging="567"/>
        <w:contextualSpacing w:val="0"/>
        <w:jc w:val="both"/>
      </w:pPr>
      <w:r>
        <w:t>Na posúdenie súladu s bodom 25 CEEAG „</w:t>
      </w:r>
      <w:r w:rsidRPr="007A4B3C">
        <w:rPr>
          <w:i/>
        </w:rPr>
        <w:t>[opíšte], či a ako pomoc prispeje k</w:t>
      </w:r>
      <w:r w:rsidR="009F7E78" w:rsidRPr="007A4B3C">
        <w:rPr>
          <w:i/>
        </w:rPr>
        <w:t> </w:t>
      </w:r>
      <w:r w:rsidRPr="007A4B3C">
        <w:rPr>
          <w:i/>
        </w:rPr>
        <w:t>dosahovaniu cieľov politiky Únie v oblasti klímy, životného prostredia a energetiky, a</w:t>
      </w:r>
      <w:r w:rsidR="009F7E78" w:rsidRPr="007A4B3C">
        <w:rPr>
          <w:i/>
        </w:rPr>
        <w:t> </w:t>
      </w:r>
      <w:r w:rsidRPr="007A4B3C">
        <w:rPr>
          <w:i/>
        </w:rPr>
        <w:t>konkrétnejšie aj očakávané prínosy pomoci, pokiaľ ide o jej významný prínos k ochrane životného prostredia vrátane zmiernenia zmeny klímy alebo efektívne fungovanie vnútorného trhu s energiou</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Okrem toho zdôraznite, do akej miery sa pomoc týka politík opísaných v bodoch 253 – 254 CEEAG.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Opíšte požiadavky na oprávnenosť, ktoré sa vzťahujú na príjemcu (príjemcov) [napríklad uvedením všetkých technických, environmentálnych (t. j. povolení), finančných (t. j. zábezpek) alebo iných požiadaviek, ktoré musí príjemca (musia príjemcovia) splniť].</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Uveďte informácie o presnom rozsahu a činnostiach, ktoré sa z opatrenia (opatrení) pomoci podporia, ako sa uvádzajú v oddiele 4.5.2. (body 255 – 259) CEEAG. Uveďte, ktoré z týchto kategórií investícií sú v rámci opatrenia pomoci oprávnené:</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investície umožňujúce podnikom predchádzať znečisťovaniu inými emisiami ako emisiami skleníkových plynov alebo ho znižovať nad rámec noriem Únie na ochranu životného prostredia;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investície umožňujúce podnikom predchádzať znečisťovaniu inými emisiami ako emisiami skleníkových plynov alebo ho znižovať v prípade, že neexistujú normy Únie;</w:t>
      </w:r>
    </w:p>
    <w:p w14:paraId="526FF31D" w14:textId="12694C25" w:rsidR="009E5AE0" w:rsidRDefault="00021C73" w:rsidP="00451471">
      <w:pPr>
        <w:pStyle w:val="ListParagraph"/>
        <w:numPr>
          <w:ilvl w:val="1"/>
          <w:numId w:val="4"/>
        </w:numPr>
        <w:spacing w:before="120" w:after="120"/>
        <w:ind w:left="1276" w:hanging="567"/>
        <w:contextualSpacing w:val="0"/>
        <w:jc w:val="both"/>
      </w:pPr>
      <w:r>
        <w:lastRenderedPageBreak/>
        <w:t xml:space="preserve">investície umožňujúce podnikom dodržiavať normy Únie, ktoré sú prijaté, ale ešte nenadobudli účinnosť.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Ak má pomoc formu obchodovateľných povolení</w:t>
      </w:r>
      <w:r>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Podrobne opíšte systém obchodovateľných povolení a okrem iného uveďte aj ciele, metodiku prideľovania, zúčastnené orgány alebo subjekty, úlohu štátu, príjemcov a procesné aspekty.</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Vysvetlite, ako je systém obchodovateľných povolení navrhnutý tak, aby sa zabránilo znečisteniu alebo aby sa znížilo znečistenie nad úrovne, ktoré sa majú dosiahnuť na základe noriem Únie, ktoré sú pre dotknuté podniky povinné.</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Potvrďte, že pomoc je zacielená na predchádzanie znečisťovaniu priamo vyplývajúcemu z vlastných činností príjemcu (príjemcov) alebo na znižovanie tohto znečistenia.</w:t>
      </w:r>
    </w:p>
    <w:p w14:paraId="32F28140" w14:textId="79ABA515" w:rsidR="00B56AD4" w:rsidRDefault="00B56AD4" w:rsidP="00864350">
      <w:pPr>
        <w:tabs>
          <w:tab w:val="left" w:leader="dot" w:pos="9072"/>
        </w:tabs>
        <w:spacing w:before="120" w:after="120"/>
        <w:ind w:left="567"/>
        <w:jc w:val="both"/>
      </w:pPr>
      <w:r>
        <w:tab/>
      </w:r>
    </w:p>
    <w:p w14:paraId="1174800F" w14:textId="40CC6BF9" w:rsidR="00B56AD4" w:rsidRDefault="00B56AD4" w:rsidP="00C47CAC">
      <w:pPr>
        <w:pStyle w:val="ListParagraph"/>
        <w:numPr>
          <w:ilvl w:val="0"/>
          <w:numId w:val="4"/>
        </w:numPr>
        <w:spacing w:before="120" w:after="120"/>
        <w:ind w:left="567" w:hanging="567"/>
        <w:contextualSpacing w:val="0"/>
        <w:jc w:val="both"/>
      </w:pPr>
      <w:r>
        <w:t>Opíšte, ako sa zabezpečí, že v dôsledku pomoci nedôjde len k presunutiu znečistenia z</w:t>
      </w:r>
      <w:r w:rsidR="009F7E78">
        <w:t> </w:t>
      </w:r>
      <w:r>
        <w:t>jedného odvetvia do druhého alebo z jednej zložky životného prostredia do inej a že sa dosiahne celkové zníženie znečistenia.</w:t>
      </w:r>
    </w:p>
    <w:p w14:paraId="1ADC83DF" w14:textId="48E916E8" w:rsidR="008A47DB" w:rsidRDefault="008A47DB" w:rsidP="00C47CAC">
      <w:pPr>
        <w:tabs>
          <w:tab w:val="left" w:leader="dot" w:pos="9072"/>
        </w:tabs>
        <w:spacing w:before="120" w:after="120"/>
        <w:ind w:left="567"/>
        <w:jc w:val="both"/>
      </w:pPr>
      <w:r>
        <w:tab/>
      </w:r>
    </w:p>
    <w:p w14:paraId="6B5B3820" w14:textId="0E6B8187" w:rsidR="004428D6" w:rsidRPr="002C79ED" w:rsidRDefault="004428D6" w:rsidP="004428D6">
      <w:pPr>
        <w:pStyle w:val="ListParagraph"/>
        <w:numPr>
          <w:ilvl w:val="0"/>
          <w:numId w:val="4"/>
        </w:numPr>
        <w:spacing w:before="120" w:after="120"/>
        <w:ind w:left="567" w:hanging="567"/>
        <w:jc w:val="both"/>
      </w:pPr>
      <w:r>
        <w:t>V prípade individuálnej pomoci a schém pomoci, ktoré sú prospešné iba pre veľmi obmedzený počet príjemcov alebo etablovaného prevádzkovateľa a ktorých cieľom je znížiť ich znečistenie inými emisiami ako emisiami skleníkových plynov, uveďte kvantifikáciu úspor emisií/znečisťujúcich látok, ktoré sa od opatrenia očakávajú, a</w:t>
      </w:r>
      <w:r w:rsidR="009F7E78">
        <w:t> </w:t>
      </w:r>
      <w:r>
        <w:t xml:space="preserve">vysvetlite metódu použitú na ich kvantifikáciu.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Uveďte, či opatrenie pomoci prispieva aj k prevencii alebo znižovaniu emisií skleníkových plynov.</w:t>
      </w:r>
    </w:p>
    <w:p w14:paraId="14FEE27F" w14:textId="31209AEC" w:rsidR="008A47DB" w:rsidRDefault="00BE3AB2" w:rsidP="00644D98">
      <w:pPr>
        <w:pStyle w:val="ListParagraph"/>
        <w:spacing w:before="120" w:after="120"/>
        <w:ind w:left="567"/>
        <w:contextualSpacing w:val="0"/>
        <w:jc w:val="both"/>
      </w:pPr>
      <w:r>
        <w:t>Ak áno, uveďte porovnanie očakávaných výsledkov opatrenia z hľadiska prevencie alebo znižovania emisií skleníkových plynov a emisií iných znečisťujúcich látok na základe dôveryhodných podrobných kvantifikácií.</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Ak je hlavným cieľom opatrenia pomoci prevencia alebo znižovanie emisií skleníkových plynov, pozrite si oddiel 4.1 formulára doplňujúcich informácií, keďže zlučiteľnosť opatrenia sa posúdi práve na základe oddielu 4.1. Ak je však hlavným cieľom opatrenia prevencia alebo znižovanie znečistenia inými emisiami ako emisiami skleníkových plynov, opatrenie sa posúdi na základe oddielu 4.5 (bod 259 CEEAG).</w:t>
      </w:r>
    </w:p>
    <w:p w14:paraId="2720D3CB" w14:textId="77777777" w:rsidR="00015E2B" w:rsidRPr="007A4B3C" w:rsidRDefault="00015E2B" w:rsidP="00E1791B">
      <w:pPr>
        <w:rPr>
          <w:i/>
          <w:color w:val="FF0000"/>
        </w:rPr>
      </w:pPr>
    </w:p>
    <w:p w14:paraId="02AFBB6E" w14:textId="77777777" w:rsidR="00E169D0" w:rsidRPr="007A4B3C" w:rsidRDefault="00E169D0" w:rsidP="00E1791B">
      <w:pPr>
        <w:rPr>
          <w:i/>
          <w:color w:val="FF0000"/>
        </w:rPr>
      </w:pPr>
    </w:p>
    <w:p w14:paraId="272AC6D4" w14:textId="77777777" w:rsidR="00E169D0" w:rsidRPr="007A4B3C" w:rsidRDefault="00E169D0" w:rsidP="00E1791B">
      <w:pPr>
        <w:rPr>
          <w:i/>
          <w:color w:val="FF0000"/>
        </w:rPr>
      </w:pPr>
    </w:p>
    <w:p w14:paraId="285E21F3" w14:textId="77777777" w:rsidR="00E169D0" w:rsidRPr="007A4B3C" w:rsidRDefault="00E169D0"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7A4B3C" w:rsidRDefault="00015E2B" w:rsidP="00B82F95">
            <w:pPr>
              <w:pStyle w:val="Heading1"/>
              <w:numPr>
                <w:ilvl w:val="1"/>
                <w:numId w:val="22"/>
              </w:numPr>
              <w:rPr>
                <w:sz w:val="24"/>
                <w:szCs w:val="24"/>
              </w:rPr>
            </w:pPr>
            <w:r w:rsidRPr="007A4B3C">
              <w:rPr>
                <w:sz w:val="24"/>
              </w:rPr>
              <w:lastRenderedPageBreak/>
              <w:t>Stimulačný účinok</w:t>
            </w:r>
          </w:p>
        </w:tc>
      </w:tr>
    </w:tbl>
    <w:p w14:paraId="20915284" w14:textId="40B64390" w:rsidR="00015E2B" w:rsidRPr="007A4B3C" w:rsidRDefault="00B15313" w:rsidP="00015E2B">
      <w:pPr>
        <w:spacing w:before="360" w:after="120"/>
        <w:jc w:val="both"/>
        <w:rPr>
          <w:i/>
        </w:rPr>
      </w:pPr>
      <w:r w:rsidRPr="007A4B3C">
        <w:rPr>
          <w:i/>
        </w:rPr>
        <w:t xml:space="preserve">Pri vypĺňaní tohto oddielu postupujte podľa informácií v oddiele 3.1.2 (body 26 – 32) a oddiele 4.5.3 (body 260 – 262) CEEAG.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Len pomoc, ktorá má stimulačný účinok, možno považovať za pomoc uľahčujúcu určitú hospodársku činnosť. Na posúdenie súladu s bodom 26 CEEAG vysvetlite, ako toto opatrenie (tieto opatrenia) „</w:t>
      </w:r>
      <w:r w:rsidRPr="007A4B3C">
        <w:rPr>
          <w:i/>
        </w:rPr>
        <w:t>motivuje [motivujú] príjemcu k zmene správania, zapojeniu do ďalšej hospodárskej činnosti alebo do hospodárskej činnosti šetrnejšej k životnému prostrediu, ktorú by bez pomoci nevykonával alebo ktorú by vykonával v obmedzenej miere či iným spôsobom.</w:t>
      </w:r>
      <w:r>
        <w:t>“</w:t>
      </w:r>
      <w:r w:rsidRPr="007A4B3C">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V súlade s bodom 28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Uveďte komplexný opis faktického scenára, ktorý sa očakáva v dôsledku opatrenia pomoci, a pravdepodobného kontrafaktuálneho scenára (pravdepodobných kontrafaktuálnych scenárov) bez opatrenia pomoci</w:t>
      </w:r>
      <w:r>
        <w:rPr>
          <w:vertAlign w:val="superscript"/>
        </w:rPr>
        <w:footnoteReference w:id="6"/>
      </w:r>
      <w:r>
        <w:t>. Ak očakávate, že podporené môžu byť rôzne kategórie príjemcov, uistite sa, že kontrafaktuálny scenár je dôveryhodný pre každú z týchto kategórií.</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Zohľadnite </w:t>
      </w:r>
      <w:bookmarkStart w:id="6" w:name="_Ref116917289"/>
      <w:r>
        <w:t>požiadavky týkajúce sa kontrafaktuálneho scenára uvedené v bode 266 a bodoch 226 – 230 CEEAG, konkrétne:</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kontrafaktuálny scenár vo všeobecnosti zodpovedá investícii s tou istou kapacitou, životnosťou a prípadne ďalšími relevantnými technickými vlastnosťami ako v prípade investície šetrnej k životnému prostrediu, pričom však vedie k nižšej úrovni ochrany životného prostredia;</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alternatívne môže kontrafaktuálny scenár zodpovedať aj jednému z týchto scenárov: </w:t>
      </w:r>
    </w:p>
    <w:p w14:paraId="74EED86D" w14:textId="491BFE79" w:rsidR="00494C68" w:rsidRPr="00E374B9" w:rsidRDefault="00494C68" w:rsidP="00B82F95">
      <w:pPr>
        <w:pStyle w:val="ListParagraph"/>
        <w:numPr>
          <w:ilvl w:val="1"/>
          <w:numId w:val="39"/>
        </w:numPr>
        <w:spacing w:before="120" w:after="120"/>
        <w:contextualSpacing w:val="0"/>
        <w:jc w:val="both"/>
      </w:pPr>
      <w:r>
        <w:t>zachovanie existujúcich inštalácií alebo zariadení v prevádzke na obdobie zodpovedajúce životnosti investície šetrnej k životnému prostrediu; v</w:t>
      </w:r>
      <w:r w:rsidR="009F7E78">
        <w:t> </w:t>
      </w:r>
      <w:r>
        <w:t>takom prípade by sa malo prihliadnuť na diskontované náklady na údržbu, opravu a modernizáciu za dané obdobie (bod 227 CEEAG);</w:t>
      </w:r>
    </w:p>
    <w:p w14:paraId="4DB35D28" w14:textId="1FA55E03" w:rsidR="00494C68" w:rsidRPr="00E374B9" w:rsidRDefault="00494C68" w:rsidP="00B82F95">
      <w:pPr>
        <w:pStyle w:val="ListParagraph"/>
        <w:numPr>
          <w:ilvl w:val="1"/>
          <w:numId w:val="39"/>
        </w:numPr>
        <w:spacing w:before="120" w:after="120"/>
        <w:contextualSpacing w:val="0"/>
        <w:jc w:val="both"/>
      </w:pPr>
      <w:r>
        <w:t>neskoršie nahradenie inštalácií alebo zariadení; v takom prípade treba prihliadnuť na diskontovanú hodnotu inštalácií a zariadení a rozdiel v</w:t>
      </w:r>
      <w:r w:rsidR="009F7E78">
        <w:t> </w:t>
      </w:r>
      <w:r>
        <w:t>príslušnej hospodárskej životnosti inštalácií alebo zariadení sa musí vyrovnať v súlade s bodom 228 CEEAG;</w:t>
      </w:r>
    </w:p>
    <w:p w14:paraId="4CFA180B" w14:textId="755116C2" w:rsidR="00494C68" w:rsidRPr="00E374B9" w:rsidRDefault="00494C68" w:rsidP="00B82F95">
      <w:pPr>
        <w:pStyle w:val="ListParagraph"/>
        <w:numPr>
          <w:ilvl w:val="1"/>
          <w:numId w:val="39"/>
        </w:numPr>
        <w:spacing w:before="120" w:after="120"/>
        <w:contextualSpacing w:val="0"/>
        <w:jc w:val="both"/>
      </w:pPr>
      <w:r>
        <w:t>lízing zariadenia menej šetrného k životnému prostrediu, ktoré by sa použilo, ak by sa pomoc neposkytla; v takom prípade by sa mala zohľadniť diskontovaná hodnota lízingu zariadenia, ktoré je menej šetrné k</w:t>
      </w:r>
      <w:r w:rsidR="009F7E78">
        <w:t> </w:t>
      </w:r>
      <w:r>
        <w:t>životnému prostrediu, v súlade s bodom 229 CEEAG;</w:t>
      </w:r>
    </w:p>
    <w:p w14:paraId="62D61257" w14:textId="47C52576" w:rsidR="00494C68" w:rsidRPr="00E374B9" w:rsidRDefault="00494C68" w:rsidP="00B82F95">
      <w:pPr>
        <w:pStyle w:val="ListParagraph"/>
        <w:numPr>
          <w:ilvl w:val="1"/>
          <w:numId w:val="39"/>
        </w:numPr>
        <w:spacing w:before="120" w:after="120"/>
        <w:contextualSpacing w:val="0"/>
        <w:jc w:val="both"/>
      </w:pPr>
      <w:r>
        <w:t>absencia alternatívneho projektu, najmä ak podporovaná investícia spočíva v pridaní inštalácií alebo zariadení do existujúcich prevádzok, inštalácií alebo zariadení.</w:t>
      </w:r>
    </w:p>
    <w:bookmarkEnd w:id="6"/>
    <w:p w14:paraId="6257C278" w14:textId="18719E16" w:rsidR="00CC7B7B" w:rsidRPr="00CC7B7B" w:rsidRDefault="00CC7B7B" w:rsidP="00CC7B7B">
      <w:pPr>
        <w:pStyle w:val="ListParagraph"/>
        <w:spacing w:before="120" w:after="120"/>
        <w:ind w:left="1418"/>
        <w:contextualSpacing w:val="0"/>
        <w:jc w:val="both"/>
      </w:pPr>
      <w:r>
        <w:lastRenderedPageBreak/>
        <w:t>Pri opise faktického scenára a pravdepodobného kontrafaktuálneho scenára (pravdepodobných kontrafaktuálnych scenárov) uveďte kapacitu, životnosť a</w:t>
      </w:r>
      <w:r w:rsidR="009F7E78">
        <w:t> </w:t>
      </w:r>
      <w:r>
        <w:t xml:space="preserve">ďalšie technické vlastnosti investície v prípade faktického aj kontrafaktuálneho scenára (pravdepodobných kontrafaktuálnych scenárov).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E169D0">
      <w:pPr>
        <w:pStyle w:val="ListParagraph"/>
        <w:numPr>
          <w:ilvl w:val="5"/>
          <w:numId w:val="34"/>
        </w:numPr>
        <w:spacing w:before="120" w:after="120"/>
        <w:ind w:left="993"/>
        <w:contextualSpacing w:val="0"/>
        <w:jc w:val="both"/>
      </w:pPr>
      <w:r>
        <w:t>V prípade potreby stručne vysvetlite dôvody výberu pravdepodobného kontrafaktuálneho scenára (pravdepodobných kontrafaktuálnych scenárov) vzhľadom na rôzne navrhované kategórie príjemcov.</w:t>
      </w:r>
    </w:p>
    <w:p w14:paraId="526D2EBB" w14:textId="77777777" w:rsidR="000665D4" w:rsidRPr="00DD0932" w:rsidRDefault="000665D4" w:rsidP="000665D4">
      <w:pPr>
        <w:tabs>
          <w:tab w:val="left" w:leader="dot" w:pos="9072"/>
        </w:tabs>
        <w:spacing w:before="120" w:after="120"/>
        <w:ind w:left="567"/>
        <w:jc w:val="both"/>
      </w:pPr>
      <w:r>
        <w:tab/>
      </w:r>
    </w:p>
    <w:p w14:paraId="307BCDB5" w14:textId="00E198AE" w:rsidR="00B70424" w:rsidRDefault="00AE74BC" w:rsidP="00E169D0">
      <w:pPr>
        <w:pStyle w:val="ListParagraph"/>
        <w:numPr>
          <w:ilvl w:val="5"/>
          <w:numId w:val="34"/>
        </w:numPr>
        <w:spacing w:before="120" w:after="120"/>
        <w:ind w:left="993"/>
        <w:contextualSpacing w:val="0"/>
        <w:jc w:val="both"/>
      </w:pPr>
      <w:bookmarkStart w:id="7" w:name="_Ref164673945"/>
      <w:r>
        <w:t>Vyčíslite náklady a príjmy v rámci faktických a kontrafaktuálnych scenárov a</w:t>
      </w:r>
      <w:r w:rsidR="009F7E78">
        <w:t> </w:t>
      </w:r>
      <w:r>
        <w:t>v</w:t>
      </w:r>
      <w:r w:rsidR="009F7E78">
        <w:t> </w:t>
      </w:r>
      <w:r>
        <w:t>prípade potreby zdôvodnite zmenu správania za každú kategóriu príjemcov na základe:</w:t>
      </w:r>
    </w:p>
    <w:p w14:paraId="10227AFD" w14:textId="34C797B9" w:rsidR="002158CE" w:rsidRDefault="00BF736D" w:rsidP="00B82F95">
      <w:pPr>
        <w:pStyle w:val="ListParagraph"/>
        <w:numPr>
          <w:ilvl w:val="0"/>
          <w:numId w:val="23"/>
        </w:numPr>
        <w:spacing w:before="120" w:after="120"/>
        <w:ind w:left="1276" w:hanging="284"/>
        <w:contextualSpacing w:val="0"/>
        <w:jc w:val="both"/>
      </w:pPr>
      <w:r>
        <w:t>príslušného referenčného projektu</w:t>
      </w:r>
      <w:r>
        <w:rPr>
          <w:rStyle w:val="FootnoteReference"/>
        </w:rPr>
        <w:footnoteReference w:id="7"/>
      </w:r>
      <w:r>
        <w:t xml:space="preserve">, zodpovedajúcich kontrafaktuálnych scenárov a výslednej likvidnej medzery </w:t>
      </w:r>
    </w:p>
    <w:p w14:paraId="2B4E89F9" w14:textId="77777777" w:rsidR="002158CE" w:rsidRPr="007A4B3C" w:rsidRDefault="002158CE" w:rsidP="002158CE">
      <w:pPr>
        <w:pStyle w:val="ListParagraph"/>
        <w:spacing w:before="120" w:after="120"/>
        <w:ind w:left="949"/>
        <w:contextualSpacing w:val="0"/>
        <w:jc w:val="both"/>
        <w:rPr>
          <w:i/>
          <w:iCs/>
        </w:rPr>
      </w:pPr>
      <w:r w:rsidRPr="007A4B3C">
        <w:rPr>
          <w:i/>
        </w:rPr>
        <w:t>ALEBO</w:t>
      </w:r>
    </w:p>
    <w:p w14:paraId="6E21EA8B" w14:textId="2FA28F2A" w:rsidR="00451471" w:rsidRPr="000C7906" w:rsidRDefault="006B45D5" w:rsidP="00B82F95">
      <w:pPr>
        <w:pStyle w:val="ListParagraph"/>
        <w:numPr>
          <w:ilvl w:val="0"/>
          <w:numId w:val="23"/>
        </w:numPr>
        <w:spacing w:before="120" w:after="120"/>
        <w:ind w:left="1276" w:hanging="284"/>
        <w:contextualSpacing w:val="0"/>
        <w:jc w:val="both"/>
      </w:pPr>
      <w:r>
        <w:t>relevantných kvantitatívnych dôkazoch založených na trhových štúdiách, investorských plánoch, finančných správach alebo iných kvantitatívnych dôkazoch vrátane ponúk pre podobné projekty v nedávnych porovnateľných súťažných ponukových konaniach</w:t>
      </w:r>
      <w:r>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Na preukázanie súladu s bodmi 29 a 31 CEEAG:</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potvrďte, že práce na projekte alebo činnosti sa nezačali predtým, ako príjemca podal písomnú žiadosť o pomoc vnútroštátnym orgánom,</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7A4B3C" w:rsidRDefault="006445C3" w:rsidP="006445C3">
      <w:pPr>
        <w:pStyle w:val="ListParagraph"/>
        <w:spacing w:before="120" w:after="120"/>
        <w:ind w:left="993"/>
        <w:contextualSpacing w:val="0"/>
        <w:jc w:val="both"/>
        <w:rPr>
          <w:i/>
          <w:iCs/>
        </w:rPr>
      </w:pPr>
      <w:r w:rsidRPr="007A4B3C">
        <w:rPr>
          <w:i/>
        </w:rPr>
        <w:t>ALEBO</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v prípade projektov, ktoré sa začali pred podaním žiadosti o pomoc, preukážte, že projekt patrí do jedného z výnimočných prípadov uvedených v bode 31 CEEAG [písm. a), b) alebo c)].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Na preukázanie súladu s bodom 30 CEEAG potvrďte, že žiadosť o pomoc obsahuje aspoň meno žiadateľa, opis projektu alebo činnosti vrátane miesta, kde sa uskutočnia, a výšku pomoci potrebnej na ich realizáciu.</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lastRenderedPageBreak/>
        <w:t>Na preukázanie súladu s bodmi 32, 261 a 262 CEEAG:</w:t>
      </w:r>
    </w:p>
    <w:p w14:paraId="2F32664D" w14:textId="6C7E5218"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Uveďte, či existujú normy Únie</w:t>
      </w:r>
      <w:r>
        <w:rPr>
          <w:rStyle w:val="FootnoteReference"/>
          <w:lang w:val="en-IE" w:eastAsia="en-GB"/>
        </w:rPr>
        <w:footnoteReference w:id="9"/>
      </w:r>
      <w:r>
        <w:t xml:space="preserve"> uplatniteľné na notifikované opatrenie (opatrenia), povinné vnútroštátne normy, ktoré sú prísnejšie alebo ambicióznejšie ako príslušné normy Únie, alebo povinné vnútroštátne normy prijaté v prípade, že neexistujú normy Únie.</w:t>
      </w:r>
    </w:p>
    <w:p w14:paraId="5CE9EEA0" w14:textId="60570FAE" w:rsidR="009B2A4B" w:rsidRPr="00864350" w:rsidRDefault="00D039B4" w:rsidP="007947ED">
      <w:pPr>
        <w:pStyle w:val="ListParagraph"/>
        <w:tabs>
          <w:tab w:val="left" w:pos="1134"/>
        </w:tabs>
        <w:spacing w:before="120" w:after="120"/>
        <w:ind w:left="1276"/>
        <w:contextualSpacing w:val="0"/>
        <w:jc w:val="both"/>
      </w:pPr>
      <w:r>
        <w:t>V tejto súvislosti uveďte informácie, ktoré preukazujú stimulačný účinok.</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Ak bola príslušná norma Únie už prijatá, ale ešte nenadobudla účinnosť, preukážte, že pomoc má stimulačný účinok, pretože motivuje k uskutočneniu a dokončeniu investície aspoň 18 mesiacov pred nadobudnutím účinnosti normy, v súlade s bodom 262 CEEAG.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A4B3C"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7A4B3C" w:rsidRDefault="00DE1D68" w:rsidP="00B82F95">
            <w:pPr>
              <w:pStyle w:val="Heading1"/>
              <w:numPr>
                <w:ilvl w:val="1"/>
                <w:numId w:val="22"/>
              </w:numPr>
              <w:rPr>
                <w:sz w:val="24"/>
                <w:szCs w:val="24"/>
              </w:rPr>
            </w:pPr>
            <w:r w:rsidRPr="007A4B3C">
              <w:rPr>
                <w:sz w:val="24"/>
              </w:rPr>
              <w:t>Neporušenie žiadneho relevantného ustanovenia právnych predpisov Únie</w:t>
            </w:r>
          </w:p>
        </w:tc>
      </w:tr>
    </w:tbl>
    <w:p w14:paraId="665FE026" w14:textId="5AC3641E" w:rsidR="00DE1D68" w:rsidRPr="007A4B3C" w:rsidRDefault="00DE1D68" w:rsidP="00DE1D68">
      <w:pPr>
        <w:spacing w:before="360" w:after="120"/>
        <w:jc w:val="both"/>
        <w:rPr>
          <w:i/>
        </w:rPr>
      </w:pPr>
      <w:r w:rsidRPr="007A4B3C">
        <w:rPr>
          <w:i/>
        </w:rPr>
        <w:t xml:space="preserve">Pri vypĺňaní tohto oddielu postupujte podľa informácií v oddiele 3.1.3. (bod 33) CEEAG. </w:t>
      </w:r>
    </w:p>
    <w:p w14:paraId="3E98C3D7" w14:textId="29B82232" w:rsidR="00BE702A" w:rsidRDefault="0023543E" w:rsidP="00451471">
      <w:pPr>
        <w:pStyle w:val="ListParagraph"/>
        <w:numPr>
          <w:ilvl w:val="0"/>
          <w:numId w:val="4"/>
        </w:numPr>
        <w:spacing w:before="120" w:after="120"/>
        <w:ind w:left="567" w:hanging="567"/>
        <w:contextualSpacing w:val="0"/>
        <w:jc w:val="both"/>
      </w:pPr>
      <w:r>
        <w:t>Uveďte informácie, ktoré potvrdzujú súlad s príslušnými ustanoveniami právnych predpisov EÚ v súlade s bodom 33 CEEAG.</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Ak sa na financovanie opatrenia (opatrení) používa poplatok, objasnite, či je potrebné vykonať posúdenie súladu s článkami 30 a 110 ZFEÚ. V prípade kladnej odpovede preukážte, ako je opatrenie v súlade s ustanoveniami článkov 30 a 110 ZFEÚ.</w:t>
      </w:r>
      <w:r w:rsidRPr="007A4B3C">
        <w:rPr>
          <w:i/>
        </w:rPr>
        <w:t xml:space="preserve"> </w:t>
      </w:r>
      <w:r>
        <w:t xml:space="preserve">V tejto súvislosti sa možno odvolať na informácie predložené v rámci otázky č. </w:t>
      </w:r>
      <w:r>
        <w:fldChar w:fldCharType="begin"/>
      </w:r>
      <w:r>
        <w:instrText xml:space="preserve"> REF _Ref126829229 \w \h  \* MERGEFORMAT </w:instrText>
      </w:r>
      <w:r>
        <w:fldChar w:fldCharType="separate"/>
      </w:r>
      <w:r>
        <w:t>5</w:t>
      </w:r>
      <w:r>
        <w:fldChar w:fldCharType="end"/>
      </w:r>
      <w:r>
        <w:t xml:space="preserve"> bodu </w:t>
      </w:r>
      <w:r>
        <w:fldChar w:fldCharType="begin"/>
      </w:r>
      <w:r>
        <w:instrText xml:space="preserve"> REF _Ref126829235 \w \h  \* MERGEFORMAT </w:instrText>
      </w:r>
      <w:r>
        <w:fldChar w:fldCharType="separate"/>
      </w:r>
      <w:r>
        <w:t>ii</w:t>
      </w:r>
      <w:r>
        <w:fldChar w:fldCharType="end"/>
      </w:r>
      <w:r>
        <w:t>), ak je notifikované opatrenie (sú notifikované opatrenia) financované prostredníctvom poplatku.</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7A4B3C" w:rsidRDefault="00663008" w:rsidP="00B91C09">
      <w:pPr>
        <w:tabs>
          <w:tab w:val="left" w:leader="dot" w:pos="9072"/>
        </w:tabs>
        <w:spacing w:before="120" w:after="120"/>
        <w:ind w:left="567"/>
        <w:jc w:val="both"/>
        <w:rPr>
          <w:i/>
          <w:color w:val="000000"/>
        </w:rPr>
      </w:pPr>
    </w:p>
    <w:p w14:paraId="090ED52F" w14:textId="77777777" w:rsidR="00E169D0" w:rsidRPr="007A4B3C" w:rsidRDefault="00E169D0" w:rsidP="00B91C09">
      <w:pPr>
        <w:tabs>
          <w:tab w:val="left" w:leader="dot" w:pos="9072"/>
        </w:tabs>
        <w:spacing w:before="120" w:after="120"/>
        <w:ind w:left="567"/>
        <w:jc w:val="both"/>
        <w:rPr>
          <w:i/>
          <w:color w:val="000000"/>
        </w:rPr>
      </w:pPr>
    </w:p>
    <w:p w14:paraId="5820B026" w14:textId="77777777" w:rsidR="00E169D0" w:rsidRPr="007A4B3C" w:rsidRDefault="00E169D0" w:rsidP="00B91C09">
      <w:pPr>
        <w:tabs>
          <w:tab w:val="left" w:leader="dot" w:pos="9072"/>
        </w:tabs>
        <w:spacing w:before="120" w:after="120"/>
        <w:ind w:left="567"/>
        <w:jc w:val="both"/>
        <w:rPr>
          <w:i/>
          <w:color w:val="000000"/>
        </w:rPr>
      </w:pPr>
    </w:p>
    <w:p w14:paraId="53F06831" w14:textId="77777777" w:rsidR="00E169D0" w:rsidRPr="007A4B3C" w:rsidRDefault="00E169D0" w:rsidP="00B91C09">
      <w:pPr>
        <w:tabs>
          <w:tab w:val="left" w:leader="dot" w:pos="9072"/>
        </w:tabs>
        <w:spacing w:before="120" w:after="120"/>
        <w:ind w:left="567"/>
        <w:jc w:val="both"/>
        <w:rPr>
          <w:i/>
          <w:color w:val="000000"/>
        </w:rPr>
      </w:pPr>
    </w:p>
    <w:p w14:paraId="6ED78867" w14:textId="77777777" w:rsidR="00E169D0" w:rsidRPr="007A4B3C" w:rsidRDefault="00E169D0"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7A4B3C" w:rsidRDefault="00663008" w:rsidP="00B82F95">
            <w:pPr>
              <w:pStyle w:val="Heading1"/>
              <w:numPr>
                <w:ilvl w:val="0"/>
                <w:numId w:val="22"/>
              </w:numPr>
              <w:rPr>
                <w:i/>
                <w:color w:val="000000"/>
                <w:sz w:val="28"/>
                <w:szCs w:val="28"/>
              </w:rPr>
            </w:pPr>
            <w:r w:rsidRPr="007A4B3C">
              <w:rPr>
                <w:i/>
                <w:color w:val="000000"/>
                <w:sz w:val="28"/>
              </w:rPr>
              <w:lastRenderedPageBreak/>
              <w:t>Negatívna podmienka: pomoc nemôže neprípustne ovplyvňovať obchodné podmienky v takej miere, že by to bolo v rozpore so spoločným záujmom</w:t>
            </w:r>
          </w:p>
        </w:tc>
      </w:tr>
    </w:tbl>
    <w:p w14:paraId="78513DDC" w14:textId="7983A86C" w:rsidR="00663008" w:rsidRPr="007A4B3C" w:rsidRDefault="00663008" w:rsidP="00663008">
      <w:pPr>
        <w:ind w:left="-567" w:firstLine="1412"/>
        <w:rPr>
          <w:i/>
          <w:color w:val="000000"/>
        </w:rPr>
      </w:pPr>
    </w:p>
    <w:p w14:paraId="567C40B6" w14:textId="77777777" w:rsidR="00164ADE" w:rsidRPr="007A4B3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Pr="007A4B3C" w:rsidRDefault="00B91C09" w:rsidP="00B91C09">
            <w:pPr>
              <w:pStyle w:val="Heading2"/>
              <w:spacing w:before="0"/>
              <w:ind w:left="360"/>
              <w:jc w:val="center"/>
            </w:pPr>
          </w:p>
          <w:p w14:paraId="2877BABE" w14:textId="299764FB" w:rsidR="00164ADE" w:rsidRPr="007A4B3C" w:rsidRDefault="00164ADE" w:rsidP="00B82F95">
            <w:pPr>
              <w:pStyle w:val="Heading2"/>
              <w:numPr>
                <w:ilvl w:val="1"/>
                <w:numId w:val="22"/>
              </w:numPr>
              <w:spacing w:before="0"/>
              <w:ind w:left="788" w:hanging="431"/>
              <w:jc w:val="center"/>
            </w:pPr>
            <w:r w:rsidRPr="007A4B3C">
              <w:t>Minimalizácia narušení hospodárskej súťaže a obchodu</w:t>
            </w:r>
          </w:p>
          <w:p w14:paraId="77CB675F" w14:textId="629AFEE9" w:rsidR="00B91C09" w:rsidRPr="00B91C09" w:rsidRDefault="00B91C09" w:rsidP="00B91C09"/>
        </w:tc>
      </w:tr>
    </w:tbl>
    <w:p w14:paraId="1060B87E" w14:textId="77777777" w:rsidR="00164ADE" w:rsidRPr="007A4B3C" w:rsidRDefault="00164ADE" w:rsidP="00164ADE">
      <w:pPr>
        <w:ind w:left="-567" w:firstLine="1412"/>
        <w:rPr>
          <w:i/>
          <w:color w:val="000000"/>
        </w:rPr>
      </w:pPr>
    </w:p>
    <w:p w14:paraId="7218929B" w14:textId="77777777" w:rsidR="00164ADE" w:rsidRPr="007A4B3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Pr="007A4B3C" w:rsidRDefault="00C45342" w:rsidP="00B82F95">
            <w:pPr>
              <w:pStyle w:val="Heading2"/>
              <w:numPr>
                <w:ilvl w:val="2"/>
                <w:numId w:val="22"/>
              </w:numPr>
              <w:jc w:val="center"/>
            </w:pPr>
            <w:r w:rsidRPr="007A4B3C">
              <w:t>Nevyhnutnosť pomoci</w:t>
            </w:r>
          </w:p>
          <w:p w14:paraId="5FBF20D3" w14:textId="16263FD7" w:rsidR="00B91C09" w:rsidRPr="00B91C09" w:rsidRDefault="00B91C09" w:rsidP="00B91C09"/>
        </w:tc>
      </w:tr>
    </w:tbl>
    <w:p w14:paraId="3C23674F" w14:textId="2A27B93A" w:rsidR="00663008" w:rsidRPr="007A4B3C" w:rsidRDefault="00663008" w:rsidP="00663008">
      <w:pPr>
        <w:spacing w:before="360" w:after="120"/>
        <w:jc w:val="both"/>
        <w:rPr>
          <w:i/>
          <w:color w:val="000000"/>
        </w:rPr>
      </w:pPr>
      <w:r w:rsidRPr="007A4B3C">
        <w:rPr>
          <w:i/>
          <w:color w:val="000000"/>
        </w:rPr>
        <w:t>Pri</w:t>
      </w:r>
      <w:r w:rsidRPr="007A4B3C">
        <w:rPr>
          <w:i/>
        </w:rPr>
        <w:t xml:space="preserve"> vypĺňaní </w:t>
      </w:r>
      <w:r w:rsidRPr="007A4B3C">
        <w:rPr>
          <w:i/>
          <w:color w:val="000000"/>
        </w:rPr>
        <w:t>tohto oddielu postupujte podľa informácií v oddiele 3.2.1.1 (body 34 – 38) a</w:t>
      </w:r>
      <w:r w:rsidR="009F7E78" w:rsidRPr="007A4B3C">
        <w:rPr>
          <w:i/>
          <w:color w:val="000000"/>
        </w:rPr>
        <w:t> </w:t>
      </w:r>
      <w:r w:rsidRPr="007A4B3C">
        <w:rPr>
          <w:i/>
          <w:color w:val="000000"/>
        </w:rPr>
        <w:t>oddiele 4.5.4.1 (bod 264) CEEAG</w:t>
      </w:r>
      <w:r w:rsidRPr="007A4B3C">
        <w:rPr>
          <w:i/>
        </w:rPr>
        <w:t>.</w:t>
      </w:r>
      <w:r w:rsidRPr="007A4B3C">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Vysvetlite, ktoré zlyhanie (zlyhania) trhu, ktoré vaše orgány identifikovali, bránia dosiahnutiu dostatočnej úrovne ochrany životného prostredia. Uveďte, do ktorej kategórie zistené zlyhania trhu patria, s odkazom na písmeno a), b), c) alebo d) bodu 34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1544A1D9"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V </w:t>
      </w:r>
      <w:r>
        <w:rPr>
          <w:rStyle w:val="normaltextrun"/>
          <w:color w:val="000000"/>
          <w:shd w:val="clear" w:color="auto" w:fill="FFFFFF"/>
        </w:rPr>
        <w:t>súlade</w:t>
      </w:r>
      <w:r>
        <w:rPr>
          <w:rStyle w:val="normaltextrun"/>
        </w:rPr>
        <w:t xml:space="preserve"> s bodom 35 CEEAG</w:t>
      </w:r>
      <w:r>
        <w:t xml:space="preserve"> uveďte informácie o </w:t>
      </w:r>
      <w:r>
        <w:rPr>
          <w:shd w:val="clear" w:color="auto" w:fill="FFFFFF"/>
        </w:rPr>
        <w:t>všetkých existujúcich politikách a</w:t>
      </w:r>
      <w:r w:rsidR="009F7E78">
        <w:rPr>
          <w:shd w:val="clear" w:color="auto" w:fill="FFFFFF"/>
        </w:rPr>
        <w:t> </w:t>
      </w:r>
      <w:r>
        <w:rPr>
          <w:shd w:val="clear" w:color="auto" w:fill="FFFFFF"/>
        </w:rPr>
        <w:t>opatreniach, ktoré identifikovali vaše orgány a ktoré sa už zameriavajú na zistené regulačné zlyhania alebo zlyhania trhu.</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Na preukázanie súladu s bodom 36 CEEAG uveďte informácie, ktoré preukazujú, že pomoc sa účinne zameriava na zvyšné zlyhania trhu, pričom zohľadnite aj všetky ostatné už zavedené politiky a opatrenia na riešenie niektorých zistených zlyhaní trhu.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Na preukázanie súladu s bodom 37 CEEAG vysvetlite, či podľa vedomostí vašich orgánov už boli </w:t>
      </w:r>
      <w:r>
        <w:rPr>
          <w:color w:val="000000"/>
          <w:shd w:val="clear" w:color="auto" w:fill="FFFFFF"/>
        </w:rPr>
        <w:t>v rámci Únie za trhových podmienok</w:t>
      </w:r>
      <w:r>
        <w:t xml:space="preserve"> vykonané </w:t>
      </w:r>
      <w:r>
        <w:rPr>
          <w:color w:val="000000"/>
          <w:shd w:val="clear" w:color="auto" w:fill="FFFFFF"/>
        </w:rPr>
        <w:t>projekty alebo činnosti</w:t>
      </w:r>
      <w:r>
        <w:t xml:space="preserve"> podobné tým, na ktoré </w:t>
      </w:r>
      <w:r>
        <w:rPr>
          <w:color w:val="000000"/>
          <w:shd w:val="clear" w:color="auto" w:fill="FFFFFF"/>
        </w:rPr>
        <w:t>sa vzťahuje (vzťahujú)</w:t>
      </w:r>
      <w:r>
        <w:t xml:space="preserve"> notifikované opatrenie (opatrenia), </w:t>
      </w:r>
      <w:r>
        <w:rPr>
          <w:color w:val="000000"/>
          <w:shd w:val="clear" w:color="auto" w:fill="FFFFFF"/>
        </w:rPr>
        <w:t>pokiaľ ide o ich technologický obsah, úroveň rizika a veľkosť</w:t>
      </w:r>
      <w:r>
        <w:t>. V prípade kladnej odpovede poskytnite ďalšie dôkazy na preukázanie potreby štátnej pomoci.</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Na preukázanie súladu s bodom 38 CEEAG uveďte odkaz na kvantitatívne dôkazy, ktoré už boli poskytnuté v rámci odpovede na otázku č. 17.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Ak má pomoc formu obchodovateľných povolení, uveďte dôkazy preukazujúce, že sú splnené tieto kumulatívne podmienky, v súlade s bodom 264 CEEAG:</w:t>
      </w:r>
    </w:p>
    <w:p w14:paraId="6A67C252" w14:textId="5E5711BB" w:rsidR="00071540" w:rsidRDefault="00F60556" w:rsidP="00B82F95">
      <w:pPr>
        <w:numPr>
          <w:ilvl w:val="1"/>
          <w:numId w:val="37"/>
        </w:numPr>
        <w:ind w:left="1701" w:hanging="567"/>
      </w:pPr>
      <w:r>
        <w:t>úplné obchodovanie formou aukcie vedie k výraznému zvýšeniu výrobných nákladov pre každé odvetvie alebo každú kategóriu jednotlivých príjemcov;</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lastRenderedPageBreak/>
        <w:t>podstatné zvýšenie výrobných nákladov nemožno preniesť na zákazníkov bez výrazného poklesu predaja</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jednotlivé podniky v odvetví nemajú možnosť znížiť úrovne emisií s cieľom znížiť náklady na certifikáty/obchodovateľné povolenia na úroveň, ktorá je pre dané podniky znesiteľná. To možno preukázať porovnaním úrovne emisií potenciálnych príjemcov s úrovňami emisií dosiahnutými vďaka uplatňovaniu najvýkonnejšej techniky a dokázaním toho, že ako referenčná hodnota na stanovenie úrovne poskytnutých kvót bola použitá najvýkonnejšia technika v EHP. </w:t>
      </w:r>
    </w:p>
    <w:p w14:paraId="7AF542E9" w14:textId="5D98B78D" w:rsidR="00094738" w:rsidRPr="002C6BE5" w:rsidRDefault="00094738" w:rsidP="00E169D0">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7A4B3C" w:rsidRDefault="00233A2F" w:rsidP="00B82F95">
            <w:pPr>
              <w:pStyle w:val="Heading2"/>
              <w:numPr>
                <w:ilvl w:val="2"/>
                <w:numId w:val="22"/>
              </w:numPr>
              <w:jc w:val="center"/>
              <w:rPr>
                <w:color w:val="000000"/>
                <w:szCs w:val="24"/>
              </w:rPr>
            </w:pPr>
            <w:r w:rsidRPr="007A4B3C">
              <w:rPr>
                <w:color w:val="000000"/>
              </w:rPr>
              <w:t xml:space="preserve">Vhodnosť </w:t>
            </w:r>
          </w:p>
        </w:tc>
      </w:tr>
    </w:tbl>
    <w:p w14:paraId="4C2D927B" w14:textId="2ECE2CFC" w:rsidR="00EA354A" w:rsidRPr="007A4B3C" w:rsidRDefault="00EA354A" w:rsidP="00EA354A">
      <w:pPr>
        <w:spacing w:before="360" w:after="120"/>
        <w:jc w:val="both"/>
        <w:rPr>
          <w:i/>
          <w:color w:val="000000"/>
        </w:rPr>
      </w:pPr>
      <w:r w:rsidRPr="007A4B3C">
        <w:rPr>
          <w:i/>
          <w:color w:val="000000"/>
        </w:rPr>
        <w:t>Pri</w:t>
      </w:r>
      <w:r w:rsidRPr="007A4B3C">
        <w:rPr>
          <w:i/>
        </w:rPr>
        <w:t xml:space="preserve"> vypĺňaní </w:t>
      </w:r>
      <w:r w:rsidRPr="007A4B3C">
        <w:rPr>
          <w:i/>
          <w:color w:val="000000"/>
        </w:rPr>
        <w:t>tohto oddielu postupujte podľa informácií v oddiele 3.2.1.2 (body 39 – 46) CEEAG</w:t>
      </w:r>
      <w:r w:rsidRPr="007A4B3C">
        <w:rPr>
          <w:i/>
        </w:rPr>
        <w:t>.</w:t>
      </w:r>
      <w:r w:rsidRPr="007A4B3C">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Na overenie súladu s bodom 40 CEEAG preukážte, že nie sú k dispozícii menej narušujúce nástroje, ktoré sú vhodnejšie. </w:t>
      </w:r>
    </w:p>
    <w:p w14:paraId="7920EB54" w14:textId="77777777" w:rsidR="0004786A" w:rsidRPr="00900825" w:rsidRDefault="0004786A" w:rsidP="0004786A">
      <w:pPr>
        <w:tabs>
          <w:tab w:val="left" w:leader="dot" w:pos="9072"/>
        </w:tabs>
        <w:spacing w:before="120" w:after="120"/>
        <w:ind w:left="360"/>
        <w:jc w:val="both"/>
      </w:pPr>
      <w:r>
        <w:tab/>
      </w:r>
    </w:p>
    <w:p w14:paraId="7DD683CE" w14:textId="5CA8EF0E" w:rsidR="00EA354A" w:rsidRPr="00900825" w:rsidRDefault="003D433B" w:rsidP="00451471">
      <w:pPr>
        <w:pStyle w:val="ListParagraph"/>
        <w:numPr>
          <w:ilvl w:val="0"/>
          <w:numId w:val="4"/>
        </w:numPr>
        <w:spacing w:before="120" w:after="120"/>
        <w:ind w:left="567" w:hanging="567"/>
        <w:contextualSpacing w:val="0"/>
        <w:jc w:val="both"/>
      </w:pPr>
      <w:r>
        <w:t>Na overenie súladu s bodom 41 CEEAG preukážte, že opatrenie pomoci je navrhnuté tak, aby nenarušilo účinnosť iných opatrení na nápravu toho istého zlyhania trhu, ako sú napríklad trhové mechanizmy (napr. EU ETS).</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Na preukázanie súladu s bodom 42 CEEAG potvrďte, že žiaden z </w:t>
      </w:r>
      <w:r>
        <w:rPr>
          <w:color w:val="000000"/>
          <w:shd w:val="clear" w:color="auto" w:fill="FFFFFF"/>
        </w:rPr>
        <w:t xml:space="preserve">príjemcov opatrenia (opatrení) pomoci by nemohol niesť zodpovednosť za znečistenie podľa </w:t>
      </w:r>
      <w:r>
        <w:rPr>
          <w:shd w:val="clear" w:color="auto" w:fill="FFFFFF"/>
        </w:rPr>
        <w:t xml:space="preserve">platných právnych predpisov Únie alebo vnútroštátnych právnych predpisov (zásada </w:t>
      </w:r>
      <w:r w:rsidRPr="007A4B3C">
        <w:rPr>
          <w:i/>
          <w:shd w:val="clear" w:color="auto" w:fill="FFFFFF"/>
        </w:rPr>
        <w:t>„znečisťovateľ platí“</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Na overenie súladu s bodmi 43 až 46 CEEAG a na preukázanie vhodnosti pomoci spomedzi rôznych nástrojov pomoci uveďte tieto informácie: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Vysvetlite, prečo sú iné, potenciálne menej narušujúce formy pomoci menej vhodné, tak </w:t>
      </w:r>
      <w:r>
        <w:rPr>
          <w:rStyle w:val="normaltextrun"/>
        </w:rPr>
        <w:t>ako sa vyžaduje v bode 44 CEEAG</w:t>
      </w:r>
      <w:r>
        <w:t>. Menej narušujúce formy pomoci môžu byť vratné preddavky namiesto priamych grantov; daňové úľavy namiesto zníženia daňovej sadzby alebo formy pomoci, ktoré sú založené na finančných nástrojoch, ako sú dlhové nástroje namiesto kapitálových, vrátane napríklad nízkoúročených úverov alebo bonifikácie úrokov, štátnych záruk alebo alternatívneho poskytnutia financovania za výhodných podmienok.</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Preukážte, že výber nástroja pomoci je vhodný vzhľadom na zlyhanie trhu, ktoré sa má opatrením (opatreniami) pomoci riešiť, ako sa vyžaduje v bode 45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lastRenderedPageBreak/>
        <w:t>Vysvetlite,</w:t>
      </w:r>
      <w:r>
        <w:rPr>
          <w:color w:val="000000"/>
          <w:shd w:val="clear" w:color="auto" w:fill="FFFFFF"/>
        </w:rPr>
        <w:t xml:space="preserve"> </w:t>
      </w:r>
      <w:r>
        <w:t xml:space="preserve">prečo </w:t>
      </w:r>
      <w:r>
        <w:rPr>
          <w:color w:val="000000"/>
          <w:shd w:val="clear" w:color="auto" w:fill="FFFFFF"/>
        </w:rPr>
        <w:t>sú opatrenie pomoci a jeho štruktúra vhodné na dosiahnutie cieľa opatrenia</w:t>
      </w:r>
      <w:r>
        <w:rPr>
          <w:shd w:val="clear" w:color="auto" w:fill="FFFFFF"/>
        </w:rPr>
        <w:t xml:space="preserve"> </w:t>
      </w:r>
      <w:r>
        <w:rPr>
          <w:rStyle w:val="normaltextrun"/>
          <w:shd w:val="clear" w:color="auto" w:fill="FFFFFF"/>
        </w:rPr>
        <w:t>(bod 46 CEEAG)</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7A4B3C"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7A4B3C" w:rsidRDefault="00190FD9" w:rsidP="00B82F95">
            <w:pPr>
              <w:pStyle w:val="Heading2"/>
              <w:numPr>
                <w:ilvl w:val="2"/>
                <w:numId w:val="22"/>
              </w:numPr>
              <w:jc w:val="center"/>
              <w:rPr>
                <w:szCs w:val="24"/>
              </w:rPr>
            </w:pPr>
            <w:r w:rsidRPr="007A4B3C">
              <w:t xml:space="preserve">Primeranosť </w:t>
            </w:r>
          </w:p>
        </w:tc>
      </w:tr>
    </w:tbl>
    <w:p w14:paraId="5A2A77DE" w14:textId="1CBE83D8" w:rsidR="00451471" w:rsidRPr="007A4B3C" w:rsidRDefault="00863406" w:rsidP="00864350">
      <w:pPr>
        <w:spacing w:before="360" w:after="120"/>
        <w:jc w:val="both"/>
        <w:rPr>
          <w:i/>
        </w:rPr>
      </w:pPr>
      <w:r w:rsidRPr="007A4B3C">
        <w:rPr>
          <w:i/>
        </w:rPr>
        <w:t>Pri vypĺňaní tohto oddielu postupujte podľa informácií v oddiele 3.2.1.3 (body 47 – 57) a</w:t>
      </w:r>
      <w:r w:rsidR="001505F7" w:rsidRPr="007A4B3C">
        <w:rPr>
          <w:i/>
        </w:rPr>
        <w:t> </w:t>
      </w:r>
      <w:r w:rsidRPr="007A4B3C">
        <w:rPr>
          <w:i/>
        </w:rPr>
        <w:t xml:space="preserve">oddiele 4.5.4.2 (body 265 – 273) CEEAG. Upozorňujeme, že </w:t>
      </w:r>
      <w:r w:rsidRPr="007A4B3C">
        <w:rPr>
          <w:i/>
          <w:u w:val="single"/>
        </w:rPr>
        <w:t>nasledujúce tri oddiely 2.1.3.2, 2.1.3.3 a 2.1.3.4 sú alternatívami</w:t>
      </w:r>
      <w:r w:rsidRPr="007A4B3C">
        <w:rPr>
          <w:i/>
        </w:rPr>
        <w:t xml:space="preserve">. V závislosti od štruktúry navrhovaného opatrenia uveďte odpovede len v príslušnom oddiele. V prípade pomoci poskytnutej vo forme obchodovateľných povolení odpovedzte aj na otázku č. 33 (oddiel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7A4B3C" w:rsidRDefault="0087250F" w:rsidP="00E169D0">
            <w:pPr>
              <w:pStyle w:val="ListParagraph"/>
              <w:numPr>
                <w:ilvl w:val="3"/>
                <w:numId w:val="22"/>
              </w:numPr>
              <w:ind w:right="-181"/>
              <w:rPr>
                <w:rFonts w:eastAsia="Times New Roman"/>
                <w:b/>
                <w:szCs w:val="24"/>
              </w:rPr>
            </w:pPr>
            <w:r w:rsidRPr="007A4B3C">
              <w:rPr>
                <w:b/>
              </w:rPr>
              <w:t xml:space="preserve">Primeranosť pomoci poskytnutej vo forme obchodovateľných povolení </w:t>
            </w:r>
          </w:p>
        </w:tc>
      </w:tr>
    </w:tbl>
    <w:p w14:paraId="64E0C18A" w14:textId="5D959274" w:rsidR="00F60556" w:rsidRDefault="00F60556" w:rsidP="002B019C">
      <w:pPr>
        <w:pStyle w:val="ListParagraph"/>
        <w:numPr>
          <w:ilvl w:val="0"/>
          <w:numId w:val="4"/>
        </w:numPr>
        <w:spacing w:before="120" w:after="120"/>
        <w:ind w:left="567" w:hanging="567"/>
        <w:contextualSpacing w:val="0"/>
      </w:pPr>
      <w:r>
        <w:t>Ak má pomoc formu obchodovateľných povolení, v súlade s bodom 273 vysvetlite, ako:</w:t>
      </w:r>
    </w:p>
    <w:p w14:paraId="379BD600" w14:textId="77777777" w:rsidR="00F60556" w:rsidRDefault="00F60556" w:rsidP="00B82F95">
      <w:pPr>
        <w:numPr>
          <w:ilvl w:val="0"/>
          <w:numId w:val="42"/>
        </w:numPr>
        <w:ind w:left="1418" w:hanging="284"/>
      </w:pPr>
      <w:r>
        <w:t xml:space="preserve">sa prideľovanie vykonáva transparentne a na základe objektívnych kritérií a zdrojov údajov najvyššej dostupnej kvality;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celkové množstvo obchodovateľných povolení alebo kvót pridelených jednotlivým podnikom za cenu, ktorá je nižšia ako ich trhová hodnota, nebude vyššie ako predpokladané potreby týchto podnikov podľa odhadov pre situáciu bez systému obchodovania.</w:t>
      </w:r>
    </w:p>
    <w:p w14:paraId="7F470D95" w14:textId="587DE9BB" w:rsidR="00F60556" w:rsidRPr="007A4B3C"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455DFA4B" w:rsidR="001620DB" w:rsidRPr="007A4B3C" w:rsidRDefault="006A73D2" w:rsidP="00B82F95">
            <w:pPr>
              <w:pStyle w:val="Heading1"/>
              <w:numPr>
                <w:ilvl w:val="3"/>
                <w:numId w:val="22"/>
              </w:numPr>
              <w:rPr>
                <w:sz w:val="24"/>
                <w:szCs w:val="24"/>
              </w:rPr>
            </w:pPr>
            <w:r w:rsidRPr="007A4B3C">
              <w:rPr>
                <w:sz w:val="24"/>
              </w:rPr>
              <w:t>Primeranosť pomoci na základe intenzít pomoci stanovených v</w:t>
            </w:r>
            <w:r w:rsidR="009F7E78" w:rsidRPr="007A4B3C">
              <w:rPr>
                <w:sz w:val="24"/>
              </w:rPr>
              <w:t> </w:t>
            </w:r>
            <w:r w:rsidRPr="007A4B3C">
              <w:rPr>
                <w:sz w:val="24"/>
              </w:rPr>
              <w:t>bodoch 265 – 273 CEEAG</w:t>
            </w:r>
          </w:p>
        </w:tc>
      </w:tr>
    </w:tbl>
    <w:p w14:paraId="1A6F0AC7" w14:textId="61E6C192" w:rsidR="00E50157" w:rsidRPr="00E72618" w:rsidRDefault="00E50157" w:rsidP="00451471">
      <w:pPr>
        <w:pStyle w:val="ListParagraph"/>
        <w:numPr>
          <w:ilvl w:val="0"/>
          <w:numId w:val="4"/>
        </w:numPr>
        <w:spacing w:before="120" w:after="120"/>
        <w:ind w:left="567" w:hanging="567"/>
        <w:contextualSpacing w:val="0"/>
        <w:jc w:val="both"/>
      </w:pPr>
      <w:r>
        <w:t>S cieľom opísať oprávnené náklady v rámci príslušného opatrenia uveďte dodatočné investičné náklady priamo súvisiace s dosahovaním vyššej úrovne ochrany životného prostredia. Na tento účel odkážte na príslušný kontrafaktuálny scenár, ako sa uvádza v</w:t>
      </w:r>
      <w:r w:rsidR="009F7E78">
        <w:t> </w:t>
      </w:r>
      <w:r>
        <w:t>odpovedi na otázku č. 17 a v bode 266 a bodoch 226 až 230 CEEAG.</w:t>
      </w:r>
    </w:p>
    <w:p w14:paraId="7CAECDEE" w14:textId="77777777" w:rsidR="00E50157" w:rsidRDefault="00E50157" w:rsidP="00E50157">
      <w:pPr>
        <w:tabs>
          <w:tab w:val="left" w:leader="dot" w:pos="9072"/>
        </w:tabs>
        <w:spacing w:before="120" w:after="120"/>
        <w:ind w:left="567"/>
        <w:jc w:val="both"/>
      </w:pPr>
      <w:r>
        <w:tab/>
      </w:r>
    </w:p>
    <w:p w14:paraId="61339ACB" w14:textId="5BE11891" w:rsidR="008E0F56" w:rsidRDefault="008E0F56" w:rsidP="008E0F56">
      <w:pPr>
        <w:pStyle w:val="ListParagraph"/>
        <w:numPr>
          <w:ilvl w:val="0"/>
          <w:numId w:val="4"/>
        </w:numPr>
        <w:spacing w:before="120" w:after="120"/>
        <w:ind w:left="567" w:hanging="567"/>
        <w:contextualSpacing w:val="0"/>
        <w:jc w:val="both"/>
      </w:pPr>
      <w:r>
        <w:t>Vysvetlite, ako sa stanovia a overia investičné náklady v rámci faktického a</w:t>
      </w:r>
      <w:r w:rsidR="009F7E78">
        <w:t> </w:t>
      </w:r>
      <w:r>
        <w:t xml:space="preserve">kontrafaktuálneho scenára.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Uveďte maximálne intenzity pomoci uplatniteľné v rámci opatrenia a uveďte, či sa uplatňujú aj nejaké bonusy (body 267 – 270 CEEAG).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V prípade činností ekologickej inovácie preukážte, že sú splnené tieto kumulatívne podmienky (bod 270 CEEAG): </w:t>
      </w:r>
    </w:p>
    <w:p w14:paraId="00DF35DD" w14:textId="77777777" w:rsidR="00611EA4" w:rsidRDefault="00611EA4" w:rsidP="00B82F95">
      <w:pPr>
        <w:pStyle w:val="ListParagraph"/>
        <w:numPr>
          <w:ilvl w:val="0"/>
          <w:numId w:val="36"/>
        </w:numPr>
        <w:spacing w:before="120" w:after="120"/>
        <w:contextualSpacing w:val="0"/>
        <w:jc w:val="both"/>
      </w:pPr>
      <w:r>
        <w:lastRenderedPageBreak/>
        <w:t>činnosť ekologickej inovácie je nová alebo výrazne lepšia v porovnaní so stavom techniky v danom odvetví Únie</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očakávaný prínos pre životné prostredie je podstatne vyšší než zlepšenie vyplývajúce zo všeobecného vývoja stavu techniky v porovnateľných činnostiach</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inovačný charakter tejto činnosti so sebou nesie jasný stupeň rizika z technologického, trhového alebo finančného hľadiska, ktoré je vyššie než riziko všeobecne spojené s porovnateľnými činnosťami bez inovácie</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1BDD8596" w:rsidR="005416C4" w:rsidRPr="00451471" w:rsidRDefault="005416C4" w:rsidP="00451471">
      <w:pPr>
        <w:pStyle w:val="ListParagraph"/>
        <w:numPr>
          <w:ilvl w:val="0"/>
          <w:numId w:val="4"/>
        </w:numPr>
        <w:spacing w:before="120" w:after="120"/>
        <w:ind w:left="567" w:hanging="567"/>
        <w:contextualSpacing w:val="0"/>
        <w:jc w:val="both"/>
      </w:pPr>
      <w:r>
        <w:t>Ak sa odchylne od bodov 267 – 270 CEEAG usúdi, že je pomoc presahujúca maximálne intenzity pomoci stanovené v oddiele 4.5.4.2 potrebná, uveďte úroveň pomoci, ktorá sa považuje za nevyhnutnú, a zdôvodnite ju na základe analýzy likvidnej medzery pre referenčné projekty v rámci faktického a kontrafaktuálneho scenára, ako sa uvádza v</w:t>
      </w:r>
      <w:r w:rsidR="009F7E78">
        <w:t> </w:t>
      </w:r>
      <w:r>
        <w:t xml:space="preserve">odpovedi na otázku č. 17 časť C, v súlade s bodmi 51 – 52 CEEAG. </w:t>
      </w:r>
    </w:p>
    <w:p w14:paraId="25D9B659" w14:textId="6A94171C" w:rsidR="00E766C0" w:rsidRPr="00451471" w:rsidRDefault="00E766C0" w:rsidP="00451471">
      <w:pPr>
        <w:pStyle w:val="ListParagraph"/>
        <w:spacing w:before="120" w:after="120"/>
        <w:ind w:left="567"/>
        <w:contextualSpacing w:val="0"/>
        <w:jc w:val="both"/>
      </w:pPr>
      <w:r>
        <w:t>Na účely tejto analýzy likvidnej medzery predložte v rámci faktického scenára (faktických scenárov) a dôveryhodného kontrafaktuálneho scenára (dôveryhodných kontrafaktuálnych scenárov)</w:t>
      </w:r>
      <w:r>
        <w:rPr>
          <w:vertAlign w:val="superscript"/>
          <w:lang w:val="en-IE" w:eastAsia="en-GB"/>
        </w:rPr>
        <w:footnoteReference w:id="14"/>
      </w:r>
      <w:r>
        <w:t xml:space="preserve"> uvedeného (uvedených) v odpovedi na otázku č. 17 časť C kvantifikáciu všetkých hlavných nákladov a príjmov, odhadovaných vážených priemerných kapitálových nákladov príjemcov (alebo referenčných projektov) na diskontovanie hodnoty budúcich peňažných tokov, ako aj čistú súčasnú hodnotu v rámci faktického a kontrafaktuálneho scenára počas celého trvania projektu/referenčného projektu.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Uveďte to v prílohe k tomuto formuláru doplňujúcich informácií (pomocou súboru Excel, </w:t>
      </w:r>
      <w:r>
        <w:rPr>
          <w:shd w:val="clear" w:color="auto" w:fill="FFFFFF"/>
        </w:rPr>
        <w:t>v ktorom budú viditeľné všetky vzorce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Uveďte podrobné informácie o predpokladoch, metodikách, zdôvodneniach a ich základných zdrojoch použitých pre každý aspekt kvantifikácie nákladov a príjmov v rámci faktického scenára a pravdepodobného kontrafaktuálneho scenára (napríklad uveďte predpoklady použité na vypracovanie týchto scenárov a zdroj/zdôvodnenie týchto predpokladov).</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lastRenderedPageBreak/>
        <w:t>V prípade individuálnej pomoci a schém, ktoré využíva veľmi obmedzený počet príjemcov, musí členský štát predložiť podporné dôkazy na úrovni podrobného podnikateľského plánu projektu.</w:t>
      </w:r>
    </w:p>
    <w:p w14:paraId="2EE300C8" w14:textId="77777777" w:rsidR="00E766C0" w:rsidRPr="00AC286A" w:rsidRDefault="00E766C0" w:rsidP="00E766C0">
      <w:pPr>
        <w:ind w:left="1080"/>
        <w:jc w:val="both"/>
        <w:rPr>
          <w:shd w:val="clear" w:color="auto" w:fill="FFFFFF"/>
        </w:rPr>
      </w:pPr>
      <w:r>
        <w:rPr>
          <w:shd w:val="clear" w:color="auto" w:fill="FFFFFF"/>
        </w:rPr>
        <w:t>V prípade schém pomoci musí členský štát predložiť podporné dôkazy na základe jedného alebo viacerých referenčných projektov.</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K tomuto formuláru doplňujúcich informácií môžete pripojiť aj dokumenty uvedené v poznámke pod čiarou č. 39 CEEAG. Dokumenty vedenia môžu byť zvlášť užitočné v prípade opatrení alebo schém individuálnej pomoci, ktoré využíva veľmi obmedzený počet príjemcov. Ak sú takéto dokumenty priložené k formuláru doplňujúcich informácií, uveďte zoznam týchto dokumentov, v ktorom špecifikujete ich autora, dátum vypracovania a kontext, v ktorom boli použité.</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7324F54F" w:rsidR="00123CB2" w:rsidRDefault="00123CB2" w:rsidP="00204CF1">
      <w:pPr>
        <w:pStyle w:val="ListParagraph"/>
        <w:numPr>
          <w:ilvl w:val="0"/>
          <w:numId w:val="4"/>
        </w:numPr>
        <w:spacing w:before="120" w:after="120"/>
        <w:ind w:left="567" w:hanging="567"/>
        <w:contextualSpacing w:val="0"/>
        <w:jc w:val="both"/>
      </w:pPr>
      <w:r>
        <w:t>Takisto preukážte, že uplatnenie vyššej pomoci určenej tak, ako sa uvádza v otázke č. 38, by neviedlo k tomu, že by pomoc presiahla likvidnú medzeru.</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Ak sa uplatňuje bod 52 CEEAG, t. j. </w:t>
      </w:r>
      <w:r>
        <w:rPr>
          <w:shd w:val="clear" w:color="auto" w:fill="FFFFFF"/>
        </w:rPr>
        <w:t>najpravdepodobnejší kontrafaktuálny scenár spočíva v tom</w:t>
      </w:r>
      <w:r>
        <w:t xml:space="preserve">, že </w:t>
      </w:r>
      <w:r>
        <w:rPr>
          <w:shd w:val="clear" w:color="auto" w:fill="FFFFFF"/>
        </w:rPr>
        <w:t>príjemca buď nevykonáva činnosť alebo investíciu, alebo</w:t>
      </w:r>
      <w:r>
        <w:t xml:space="preserve"> pokračuje </w:t>
      </w:r>
      <w:r>
        <w:rPr>
          <w:shd w:val="clear" w:color="auto" w:fill="FFFFFF"/>
        </w:rPr>
        <w:t>vo svojom podnikaní bez zmien</w:t>
      </w:r>
      <w:r>
        <w:t>, uveďte dôkazy na podporu tohto predpokladu</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Vo všetkých prípadoch, keď je</w:t>
      </w:r>
      <w:r>
        <w:t xml:space="preserve"> primeranosť </w:t>
      </w:r>
      <w:r>
        <w:rPr>
          <w:shd w:val="clear" w:color="auto" w:fill="FFFFFF"/>
        </w:rPr>
        <w:t>zdôvodnená odkazom na analýzu likvidnej medzery</w:t>
      </w:r>
      <w:r>
        <w:t xml:space="preserve">, potvrďte, že vaše orgány vykonajú monitorovanie </w:t>
      </w:r>
      <w:r w:rsidRPr="007A4B3C">
        <w:rPr>
          <w:i/>
        </w:rPr>
        <w:t>ex post</w:t>
      </w:r>
      <w:r>
        <w:t xml:space="preserve"> s cieľom overiť predpoklady týkajúce sa úrovne požadovanej pomoci a zavedú mechanizmus spätného vrátenia. Opíšte tiež mechanizmus monitorovania a spätného vrátenia, </w:t>
      </w:r>
      <w:r>
        <w:rPr>
          <w:shd w:val="clear" w:color="auto" w:fill="FFFFFF"/>
        </w:rPr>
        <w:t>ktorý vaše orgány plánujú uplatniť</w:t>
      </w:r>
      <w:r>
        <w:t xml:space="preserve"> (bod 271 CEEAG).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7A4B3C" w:rsidRDefault="007C39F8" w:rsidP="00B82F95">
            <w:pPr>
              <w:pStyle w:val="Heading1"/>
              <w:numPr>
                <w:ilvl w:val="3"/>
                <w:numId w:val="22"/>
              </w:numPr>
              <w:rPr>
                <w:sz w:val="24"/>
                <w:szCs w:val="24"/>
              </w:rPr>
            </w:pPr>
            <w:r w:rsidRPr="007A4B3C">
              <w:rPr>
                <w:sz w:val="24"/>
              </w:rPr>
              <w:t xml:space="preserve">Primeranosť pomoci poskytnutej prostredníctvom súťažného ponukového konania </w:t>
            </w:r>
          </w:p>
        </w:tc>
      </w:tr>
    </w:tbl>
    <w:p w14:paraId="02145BB2" w14:textId="77777777" w:rsidR="00E50157" w:rsidRPr="00441F0B" w:rsidRDefault="00E50157" w:rsidP="00E50157">
      <w:pPr>
        <w:pStyle w:val="ListParagraph"/>
        <w:spacing w:before="360" w:after="120"/>
        <w:ind w:left="0"/>
        <w:contextualSpacing w:val="0"/>
        <w:jc w:val="both"/>
      </w:pPr>
      <w:r w:rsidRPr="007A4B3C">
        <w:rPr>
          <w:i/>
        </w:rPr>
        <w:t>Pri vypĺňaní tohto oddielu postupujte podľa informácií v bodoch 49, 50 a 272 CEEAG</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Na overenie súladu s bodmi 49 a 50 CEEAG uveďte nasledovné:</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Vysvetlite, ako orgány zabezpečujú, aby bolo ponukové konanie otvorené, jednoznačné, transparentné a nediskriminačné, založené na objektívnych kritériách, vymedzené </w:t>
      </w:r>
      <w:r w:rsidRPr="007A4B3C">
        <w:rPr>
          <w:i/>
          <w:iCs/>
        </w:rPr>
        <w:t>ex ante</w:t>
      </w:r>
      <w:r>
        <w:t xml:space="preserve"> v súlade s cieľom opatrenia a ako sa ním minimalizuje riziko strategických ponúk [bod 49 písm. a)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Podmienky účasti uplatnené pri zoradení ponúk a v konečnom dôsledku pri identifikácii úrovne pomoci v súťažnom ponukovom konaní. Konkrétnejšie: </w:t>
      </w:r>
    </w:p>
    <w:p w14:paraId="383A3E34" w14:textId="77777777" w:rsidR="00E50157" w:rsidRPr="00050EB9" w:rsidRDefault="00E50157" w:rsidP="00B82F95">
      <w:pPr>
        <w:pStyle w:val="ListParagraph"/>
        <w:numPr>
          <w:ilvl w:val="1"/>
          <w:numId w:val="25"/>
        </w:numPr>
        <w:spacing w:before="120" w:after="120"/>
        <w:contextualSpacing w:val="0"/>
        <w:jc w:val="both"/>
      </w:pPr>
      <w:r>
        <w:lastRenderedPageBreak/>
        <w:t>Uveďte zoznam podmienok účasti a spresnite, ktoré z nich priamo alebo nepriamo súvisia/nesúvisia s hlavnými cieľmi opatrenia (opatrení). Zahrňte ich váhu.</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Vysvetlite, ako podmienky účasti prispievajú k hlavným cieľom opatrenia (opatrení) v priamom alebo nepriamom vzťahu k výške pomoci, ktorú požaduje žiadateľ. Môže to byť vyjadrené napríklad ako pomoc na jednotku ochrany životného prostredia</w:t>
      </w:r>
      <w:r>
        <w:rPr>
          <w:rStyle w:val="FootnoteReference"/>
          <w:lang w:eastAsia="en-GB"/>
        </w:rPr>
        <w:footnoteReference w:id="16"/>
      </w:r>
      <w:r>
        <w:t xml:space="preserve"> (bod 50 CEEAG a poznámka pod čiarou č. 44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V prípade, že existujú iné podmienky účasti, ktoré priamo ani nepriamo nesúvisia s hlavnými cieľmi opatrenia (opatrení), uveďte dôvody navrhovaného prístupu a vysvetlite, prečo je vhodný vzhľadom na ciele sledované opatrením (opatreniami). Zároveň potvrďte, že tieto podmienky nepredstavujú viac ako 30 % váhy všetkých podmienok účasti (bod 50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0FBC1B6" w:rsidR="00E50157" w:rsidRPr="00B35F1C" w:rsidRDefault="0063791A" w:rsidP="00B82F95">
      <w:pPr>
        <w:pStyle w:val="ListParagraph"/>
        <w:numPr>
          <w:ilvl w:val="1"/>
          <w:numId w:val="25"/>
        </w:numPr>
        <w:spacing w:before="120" w:after="120"/>
        <w:contextualSpacing w:val="0"/>
        <w:jc w:val="both"/>
      </w:pPr>
      <w:r>
        <w:rPr>
          <w:color w:val="000000"/>
        </w:rPr>
        <w:t>Vysvetlite, v akom časovom predstihu pred lehotou na podanie žiadostí v</w:t>
      </w:r>
      <w:r w:rsidR="009F7E78">
        <w:rPr>
          <w:color w:val="000000"/>
        </w:rPr>
        <w:t> </w:t>
      </w:r>
      <w:r>
        <w:rPr>
          <w:color w:val="000000"/>
        </w:rPr>
        <w:t xml:space="preserve">každom súťažnom ponukovom konaní budú </w:t>
      </w:r>
      <w:r>
        <w:rPr>
          <w:color w:val="000000"/>
          <w:shd w:val="clear" w:color="auto" w:fill="FFFFFF"/>
        </w:rPr>
        <w:t xml:space="preserve">podmienky účasti uverejnené </w:t>
      </w:r>
      <w:r>
        <w:t>[bod 49 písm. b) a poznámka pod čiarou č. 43 CEEAG]</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Vysvetlite </w:t>
      </w:r>
      <w:r>
        <w:rPr>
          <w:shd w:val="clear" w:color="auto" w:fill="FFFFFF"/>
        </w:rPr>
        <w:t>prvky, na ktorých ste založili predpoklad, že ponukové konanie bude otvorené a s dostatočným počtom uchádzačov, t. j. že možno očakávať, že pomoc nebude poskytnutá všetkým uchádzačom a že počet očakávaných uchádzačov je dostatočný na zabezpečenie účinnej hospodárskej súťaže počas trvania schémy [bod 49 písm. c) CEEAG]</w:t>
      </w:r>
      <w:r>
        <w:t>.</w:t>
      </w:r>
      <w:r>
        <w:rPr>
          <w:shd w:val="clear" w:color="auto" w:fill="FFFFFF"/>
        </w:rPr>
        <w:t xml:space="preserve"> Vo svojom vysvetlení zohľadnite rozpočet alebo objem schémy. Ak je to relevantné, odvolajte sa na dôkazy poskytnuté v odpovediach na otázku č.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Uveďte informácie o počte plánovaných kôl ponukového konania a očakávanom počte</w:t>
      </w:r>
      <w:r>
        <w:t xml:space="preserve"> uchádzačov </w:t>
      </w:r>
      <w:r>
        <w:rPr>
          <w:shd w:val="clear" w:color="auto" w:fill="FFFFFF"/>
        </w:rPr>
        <w:t>v prvom kole a v priebehu času</w:t>
      </w:r>
      <w:r>
        <w:t>.</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V</w:t>
      </w:r>
      <w:r>
        <w:t xml:space="preserve"> prípade </w:t>
      </w:r>
      <w:r>
        <w:rPr>
          <w:shd w:val="clear" w:color="auto" w:fill="FFFFFF"/>
        </w:rPr>
        <w:t>jedného alebo viacerých ponukových konaní s nedostatočným počtom uchádzačov vysvetlite, ako a kedy bude návrh ponukových konaní počas vykonávania schémy skorigovaný tak, aby sa obnovila účinná hospodárska súťaž</w:t>
      </w:r>
      <w:r>
        <w:t xml:space="preserve"> [bod 49 písm. c) CEEAG]</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lastRenderedPageBreak/>
        <w:t>Potvrďte, že</w:t>
      </w:r>
      <w:r>
        <w:rPr>
          <w:color w:val="000000"/>
          <w:shd w:val="clear" w:color="auto" w:fill="FFFFFF"/>
        </w:rPr>
        <w:t xml:space="preserve"> úpravy </w:t>
      </w:r>
      <w:r w:rsidRPr="007A4B3C">
        <w:rPr>
          <w:i/>
          <w:color w:val="000000"/>
          <w:shd w:val="clear" w:color="auto" w:fill="FFFFFF"/>
        </w:rPr>
        <w:t>ex post</w:t>
      </w:r>
      <w:r>
        <w:rPr>
          <w:color w:val="000000"/>
          <w:shd w:val="clear" w:color="auto" w:fill="FFFFFF"/>
        </w:rPr>
        <w:t> výsledku ponukového konania (napríklad následné</w:t>
      </w:r>
      <w:r>
        <w:t xml:space="preserve"> rokovania </w:t>
      </w:r>
      <w:r>
        <w:rPr>
          <w:shd w:val="clear" w:color="auto" w:fill="FFFFFF"/>
        </w:rPr>
        <w:t>o výsledkoch ponuky alebo odôvodňovanie) nie sú povolené</w:t>
      </w:r>
      <w:r>
        <w:t xml:space="preserve"> [bod 49 písm. d) CEEAG]</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Ak existuje možnosť „</w:t>
      </w:r>
      <w:r w:rsidRPr="007A4B3C">
        <w:rPr>
          <w:i/>
        </w:rPr>
        <w:t>ponúk bez dotácií</w:t>
      </w:r>
      <w:r>
        <w:t xml:space="preserve">“, vysvetlite, ako sa zaistí primeranosť (pozri bod 49, poznámku pod čiarou č. 42 CEEAG).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Objasnite, či orgány predpokladajú, že v súťažnom ponukovom konaní budú použité minimálne alebo maximálne ceny. V prípade kladnej odpovede zdôvodnite ich použitie a vysvetlite, prečo neobmedzujú súťažné ponukové konanie (bod 49 a poznámka pod čiarou č. 42 CEEAG).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7A4B3C"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7A4B3C" w:rsidRDefault="00B21377" w:rsidP="00B82F95">
            <w:pPr>
              <w:pStyle w:val="Heading1"/>
              <w:numPr>
                <w:ilvl w:val="2"/>
                <w:numId w:val="22"/>
              </w:numPr>
              <w:rPr>
                <w:sz w:val="24"/>
                <w:szCs w:val="24"/>
              </w:rPr>
            </w:pPr>
            <w:r w:rsidRPr="007A4B3C">
              <w:rPr>
                <w:sz w:val="24"/>
              </w:rPr>
              <w:t>Kumulácia</w:t>
            </w:r>
          </w:p>
        </w:tc>
      </w:tr>
    </w:tbl>
    <w:p w14:paraId="2346A85D" w14:textId="05ED6D8A" w:rsidR="00B21377" w:rsidRPr="002A3B51" w:rsidRDefault="00B21377" w:rsidP="00B21377">
      <w:pPr>
        <w:pStyle w:val="ListParagraph"/>
        <w:spacing w:before="120" w:after="120"/>
        <w:ind w:left="567"/>
        <w:contextualSpacing w:val="0"/>
        <w:jc w:val="both"/>
      </w:pPr>
      <w:r w:rsidRPr="007A4B3C">
        <w:rPr>
          <w:i/>
        </w:rPr>
        <w:t>Pri vypĺňaní tohto oddielu postupujte podľa informácií v bodoch 56 – 57 CEEAG.</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Ak to ešte nebolo uvedené v časti I všeobecného notifikačného formulára a s cieľom overiť súlad s bodom 56 CEEAG objasnite, či sa pomoc v rámci notifikovaného opatrenia (notifikovaných opatrení) môže poskytovať súbežne v rámci viacerých schém pomoci alebo kumulovať s pomocou </w:t>
      </w:r>
      <w:r w:rsidRPr="007A4B3C">
        <w:rPr>
          <w:i/>
        </w:rPr>
        <w:t>ad hoc</w:t>
      </w:r>
      <w:r>
        <w:t xml:space="preserve"> alebo </w:t>
      </w:r>
      <w:r w:rsidRPr="007A4B3C">
        <w:rPr>
          <w:i/>
        </w:rPr>
        <w:t>de minimis</w:t>
      </w:r>
      <w:r>
        <w:t xml:space="preserve"> v súvislosti s tými istými oprávnenými nákladmi. V takomto prípade uveďte podrobnosti o týchto schémach pomoci, pomoci </w:t>
      </w:r>
      <w:r w:rsidRPr="007A4B3C">
        <w:rPr>
          <w:i/>
        </w:rPr>
        <w:t>ad hoc</w:t>
      </w:r>
      <w:r>
        <w:t xml:space="preserve"> alebo pomoci </w:t>
      </w:r>
      <w:r w:rsidRPr="007A4B3C">
        <w:rPr>
          <w:i/>
        </w:rPr>
        <w:t>de minimis</w:t>
      </w:r>
      <w:r>
        <w:t xml:space="preserve"> a o tom, ako sa bude pomoc kumulovať. </w:t>
      </w:r>
    </w:p>
    <w:p w14:paraId="4EA350F2" w14:textId="6700FB40" w:rsidR="00D13239" w:rsidRPr="002A3B51" w:rsidRDefault="002A3B51" w:rsidP="002A3B51">
      <w:pPr>
        <w:tabs>
          <w:tab w:val="left" w:leader="dot" w:pos="9072"/>
        </w:tabs>
        <w:spacing w:before="120" w:after="120"/>
        <w:ind w:left="567"/>
        <w:jc w:val="both"/>
      </w:pPr>
      <w:r>
        <w:tab/>
      </w:r>
    </w:p>
    <w:p w14:paraId="113EC6AF" w14:textId="3808B5AD" w:rsidR="007257F0" w:rsidRPr="00EE2D70" w:rsidRDefault="00720951" w:rsidP="00451471">
      <w:pPr>
        <w:pStyle w:val="ListParagraph"/>
        <w:numPr>
          <w:ilvl w:val="0"/>
          <w:numId w:val="4"/>
        </w:numPr>
        <w:spacing w:before="120" w:after="120"/>
        <w:ind w:left="567" w:hanging="567"/>
        <w:contextualSpacing w:val="0"/>
        <w:jc w:val="both"/>
      </w:pPr>
      <w:r>
        <w:t>Ak sa bod 56 CEEAG uplatňuje, zdôvodnite, prečo celková výška pomoci poskytnutej v</w:t>
      </w:r>
      <w:r w:rsidR="009F7E78">
        <w:t> </w:t>
      </w:r>
      <w:r>
        <w:t>rámci notifikovaného opatrenia (notifikovaných opatrení) na projekt alebo činnosť nevedie k nadmernej kompenzácii alebo neprekračuje maximálnu výšku pomoci povolenú podľa bodov 267 – 273 CEEAG. Za každé opatrenie, pri ktorom možno pomoc poskytnutú v rámci notifikovaného opatrenia (notifikovaných opatrení) pomoci kumulovať, uveďte metódu použitú na zabezpečenie súladu s podmienkami stanovenými v bode 56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V prípade, že sa uplatňuje bod 57 CEEAG, t. j. pomoc poskytnutá v rámci notifikovaného opatrenia (notifikovaných opatrení) sa kombinuje s centrálne riadeným financovaním Únie</w:t>
      </w:r>
      <w:r>
        <w:rPr>
          <w:rStyle w:val="FootnoteReference"/>
          <w:lang w:eastAsia="en-GB"/>
        </w:rPr>
        <w:footnoteReference w:id="17"/>
      </w:r>
      <w:r>
        <w:t xml:space="preserve"> (ktoré nepredstavuje štátnu pomoc), zdôvodnite, </w:t>
      </w:r>
      <w:r>
        <w:rPr>
          <w:shd w:val="clear" w:color="auto" w:fill="FFFFFF"/>
        </w:rPr>
        <w:t>prečo celková výška verejného financovania poskytnutá v súvislosti s rovnakými oprávnenými nákladmi nevedie k nadmernej kompenzácii</w:t>
      </w:r>
      <w:r>
        <w:t xml:space="preserve">. </w:t>
      </w:r>
    </w:p>
    <w:p w14:paraId="4A76BA85" w14:textId="5308E4AE" w:rsidR="0078387C" w:rsidRDefault="009861F5" w:rsidP="0078387C">
      <w:pPr>
        <w:tabs>
          <w:tab w:val="left" w:leader="dot" w:pos="9072"/>
        </w:tabs>
        <w:spacing w:before="120" w:after="120"/>
        <w:ind w:left="567"/>
        <w:jc w:val="both"/>
      </w:pPr>
      <w:r>
        <w:tab/>
      </w:r>
    </w:p>
    <w:p w14:paraId="48DC6E11" w14:textId="77777777" w:rsidR="007A4B3C" w:rsidRDefault="007A4B3C" w:rsidP="0078387C">
      <w:pPr>
        <w:tabs>
          <w:tab w:val="left" w:leader="dot" w:pos="9072"/>
        </w:tabs>
        <w:spacing w:before="120" w:after="120"/>
        <w:ind w:left="567"/>
        <w:jc w:val="both"/>
      </w:pPr>
    </w:p>
    <w:p w14:paraId="3E6AC79B" w14:textId="77777777" w:rsidR="007A4B3C" w:rsidRDefault="007A4B3C" w:rsidP="0078387C">
      <w:pPr>
        <w:tabs>
          <w:tab w:val="left" w:leader="dot" w:pos="9072"/>
        </w:tabs>
        <w:spacing w:before="120" w:after="120"/>
        <w:ind w:left="567"/>
        <w:jc w:val="both"/>
      </w:pPr>
    </w:p>
    <w:p w14:paraId="2276C003" w14:textId="77777777" w:rsidR="007A4B3C" w:rsidRDefault="007A4B3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7A4B3C" w:rsidRDefault="00571910" w:rsidP="00B82F95">
            <w:pPr>
              <w:pStyle w:val="Heading1"/>
              <w:numPr>
                <w:ilvl w:val="2"/>
                <w:numId w:val="22"/>
              </w:numPr>
              <w:rPr>
                <w:color w:val="000000"/>
                <w:sz w:val="24"/>
                <w:szCs w:val="24"/>
              </w:rPr>
            </w:pPr>
            <w:r w:rsidRPr="007A4B3C">
              <w:rPr>
                <w:sz w:val="24"/>
              </w:rPr>
              <w:lastRenderedPageBreak/>
              <w:t>Transparentnosť</w:t>
            </w:r>
          </w:p>
        </w:tc>
      </w:tr>
    </w:tbl>
    <w:p w14:paraId="07229A8F" w14:textId="25E21DE5" w:rsidR="006773CE" w:rsidRPr="007A4B3C" w:rsidRDefault="006773CE" w:rsidP="006773CE">
      <w:pPr>
        <w:spacing w:before="360" w:after="120"/>
        <w:jc w:val="both"/>
        <w:rPr>
          <w:i/>
        </w:rPr>
      </w:pPr>
      <w:r w:rsidRPr="007A4B3C">
        <w:rPr>
          <w:i/>
          <w:color w:val="000000"/>
        </w:rPr>
        <w:t>Pri</w:t>
      </w:r>
      <w:r w:rsidRPr="007A4B3C">
        <w:rPr>
          <w:i/>
        </w:rPr>
        <w:t xml:space="preserve"> vypĺňaní </w:t>
      </w:r>
      <w:r w:rsidRPr="007A4B3C">
        <w:rPr>
          <w:i/>
          <w:color w:val="000000"/>
        </w:rPr>
        <w:t>tohto oddielu</w:t>
      </w:r>
      <w:r w:rsidRPr="007A4B3C">
        <w:rPr>
          <w:i/>
        </w:rPr>
        <w:t xml:space="preserve"> postupujte podľa informácií v oddiele 3.2.1.4 (body 58 – 62)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Potvrďte, že členský štát splní požiadavky na transparentnosť stanovené v bodoch 58 – 61 CEEAG.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Uveďte internetový odkaz, </w:t>
      </w:r>
      <w:r>
        <w:rPr>
          <w:rFonts w:ascii="inherit" w:hAnsi="inherit"/>
        </w:rPr>
        <w:t>prostredníctvom ktorého bude zverejnené úplné znenie schválenej schémy pomoci alebo rozhodnutia o poskytnutí individuálnej</w:t>
      </w:r>
      <w:r>
        <w:rPr>
          <w:rFonts w:ascii="inherit" w:hAnsi="inherit"/>
          <w:color w:val="000000"/>
        </w:rPr>
        <w:t xml:space="preserve"> pomoci a jeho vykonávacích ustanovení a </w:t>
      </w:r>
      <w:r>
        <w:rPr>
          <w:rFonts w:ascii="inherit" w:hAnsi="inherit"/>
        </w:rPr>
        <w:t>informácie</w:t>
      </w:r>
      <w:r>
        <w:rPr>
          <w:rFonts w:ascii="inherit" w:hAnsi="inherit"/>
          <w:color w:val="000000"/>
        </w:rPr>
        <w:t xml:space="preserve"> o každej individuálnej pomoci poskytnutej </w:t>
      </w:r>
      <w:r w:rsidRPr="007A4B3C">
        <w:rPr>
          <w:rFonts w:ascii="inherit" w:hAnsi="inherit"/>
          <w:i/>
          <w:color w:val="000000"/>
        </w:rPr>
        <w:t>ad hoc</w:t>
      </w:r>
      <w:r>
        <w:rPr>
          <w:rFonts w:ascii="inherit" w:hAnsi="inherit"/>
          <w:color w:val="000000"/>
        </w:rPr>
        <w:t xml:space="preserve"> alebo v rámci schémy pomoci schválenej na základe CEEAG</w:t>
      </w:r>
      <w:r>
        <w:rPr>
          <w:rFonts w:ascii="inherit" w:hAnsi="inherit"/>
        </w:rPr>
        <w:t xml:space="preserve"> a presahujúcej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7A4B3C"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A4B3C" w:rsidRDefault="00011908" w:rsidP="00B82F95">
            <w:pPr>
              <w:pStyle w:val="Heading2"/>
              <w:numPr>
                <w:ilvl w:val="1"/>
                <w:numId w:val="22"/>
              </w:numPr>
              <w:jc w:val="center"/>
              <w:rPr>
                <w:iCs/>
                <w:color w:val="000000"/>
                <w:szCs w:val="24"/>
              </w:rPr>
            </w:pPr>
            <w:r w:rsidRPr="007A4B3C">
              <w:rPr>
                <w:color w:val="000000"/>
              </w:rPr>
              <w:t>Zabránenie neprípustným negatívnym vplyvom na hospodársku súťaž a obchod a vyrovnávanie</w:t>
            </w:r>
          </w:p>
        </w:tc>
      </w:tr>
    </w:tbl>
    <w:p w14:paraId="6CD3884F" w14:textId="47FB2DEE" w:rsidR="00F83660" w:rsidRPr="007A4B3C" w:rsidRDefault="00F83660" w:rsidP="00F83660">
      <w:pPr>
        <w:spacing w:before="360" w:after="120"/>
        <w:jc w:val="both"/>
        <w:rPr>
          <w:i/>
        </w:rPr>
      </w:pPr>
      <w:r w:rsidRPr="007A4B3C">
        <w:rPr>
          <w:i/>
          <w:color w:val="000000"/>
        </w:rPr>
        <w:t>Pri</w:t>
      </w:r>
      <w:r w:rsidRPr="007A4B3C">
        <w:rPr>
          <w:i/>
        </w:rPr>
        <w:t xml:space="preserve"> vypĺňaní tohto oddielu postupujte podľa informácií v oddiele 3.2.2 (body 63 – 70) a oddiele 4.5.5 (body 274 – 275) CEEAG. </w:t>
      </w:r>
    </w:p>
    <w:p w14:paraId="0A211E3D" w14:textId="44DA91B0" w:rsidR="00F83660" w:rsidRPr="002178F0" w:rsidRDefault="00F83660" w:rsidP="008A6F77">
      <w:pPr>
        <w:pStyle w:val="ListParagraph"/>
        <w:numPr>
          <w:ilvl w:val="0"/>
          <w:numId w:val="4"/>
        </w:numPr>
        <w:spacing w:before="120" w:after="120"/>
        <w:ind w:left="567" w:hanging="567"/>
        <w:contextualSpacing w:val="0"/>
        <w:jc w:val="both"/>
      </w:pPr>
      <w:r>
        <w:t>Na overenie súladu s bodom 67 CEEAG uveďte informácie o možných krátkodobých a</w:t>
      </w:r>
      <w:r w:rsidR="009F7E78">
        <w:t> </w:t>
      </w:r>
      <w:r>
        <w:t xml:space="preserve">dlhodobých negatívnych vplyvoch notifikovaného opatrenia (notifikovaných opatrení) na hospodársku súťaž a obchod.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Vysvetlite, či sa na opatrenie vzťahuje niektorá z nasledujúcich situácií: </w:t>
      </w:r>
    </w:p>
    <w:p w14:paraId="554349FE" w14:textId="7696EC86" w:rsidR="00397D3C" w:rsidRPr="002178F0" w:rsidRDefault="00397D3C" w:rsidP="00B82F95">
      <w:pPr>
        <w:pStyle w:val="ListParagraph"/>
        <w:numPr>
          <w:ilvl w:val="1"/>
          <w:numId w:val="28"/>
        </w:numPr>
        <w:spacing w:before="120" w:after="120"/>
        <w:contextualSpacing w:val="0"/>
        <w:jc w:val="both"/>
      </w:pPr>
      <w:r>
        <w:t>Týka sa trhu (alebo trhov), na ktorom (alebo na ktorých) etablovaní prevádzkovatelia nadobudli trhovú silu ešte pred liberalizáciou trhu.</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Zahŕňa súťažné ponukové konania na vznikajúcom trhu (vznikajúcich trhoch), na ktorých je prítomný účastník so silnou pozíciou.</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Bude z neho čerpať výhody len jeden príjemca alebo veľmi obmedzený počet príjemcov.</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Ak sa opatrenie pomoci zameriava na konkrétnu technologickú voľbu/cestu, zdôvodnite túto technologickú voľbu a to, že neodradí od zavádzania ekologickejších technológií.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Ak z notifikovaného opatrenia (notifikovaných opatrení) bude čerpať výhody iba jeden príjemca alebo veľmi obmedzený počet príjemcov, na overenie súladu s bodom 68 CEEAG:</w:t>
      </w:r>
    </w:p>
    <w:p w14:paraId="05892635" w14:textId="1F9EA662" w:rsidR="00F83660" w:rsidRPr="00B215FD" w:rsidRDefault="00D4206D" w:rsidP="008A6F77">
      <w:pPr>
        <w:pStyle w:val="ListParagraph"/>
        <w:numPr>
          <w:ilvl w:val="0"/>
          <w:numId w:val="43"/>
        </w:numPr>
        <w:spacing w:before="120" w:after="120"/>
        <w:contextualSpacing w:val="0"/>
        <w:jc w:val="both"/>
      </w:pPr>
      <w:r>
        <w:lastRenderedPageBreak/>
        <w:t>Vysvetlite, či notifikované opatrenie (opatrenia) posilňuje (posilňujú) alebo zachováva (zachovávajú) trhovú silu príjemcu (príjemcov) alebo či odrádza (odrádzajú) existujúcich konkurentov od expanzie alebo ich núti (nútia) k</w:t>
      </w:r>
      <w:r w:rsidR="009F7E78">
        <w:t> </w:t>
      </w:r>
      <w:r>
        <w:t>odchodu z trhu, prípadne odrádza (odrádzajú) nových konkurentov od vstupu na trh. V tejto súvislosti takisto vysvetlite, či opatrenie pomoci povedie k</w:t>
      </w:r>
      <w:r w:rsidR="001505F7">
        <w:t> </w:t>
      </w:r>
      <w:r>
        <w:t>zvýšeniu výrobnej kapacity príjemcu.</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Opíšte opatrenie (opatrenia) zavedené na obmedzenie možného narušenia hospodárskej súťaže spôsobeného poskytnutím pomoci príjemcovi (príjemcom).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Na overenie súladu s bodom 69 CEEAG vysvetlite:</w:t>
      </w:r>
    </w:p>
    <w:p w14:paraId="4FA1E951" w14:textId="7EB570EA" w:rsidR="00787938" w:rsidRDefault="00787938" w:rsidP="008A6F77">
      <w:pPr>
        <w:pStyle w:val="ListParagraph"/>
        <w:numPr>
          <w:ilvl w:val="0"/>
          <w:numId w:val="44"/>
        </w:numPr>
        <w:spacing w:before="120" w:after="120"/>
        <w:contextualSpacing w:val="0"/>
        <w:jc w:val="both"/>
      </w:pPr>
      <w:r>
        <w:t xml:space="preserve">Či je pomoc udelená v rámci notifikovaného opatrenia (notifikovaných opatrení) zameraná na zachovanie hospodárskej činnosti v jednom regióne alebo jej odlákanie z iných regiónov v rámci vnútorného trhu. </w:t>
      </w:r>
    </w:p>
    <w:p w14:paraId="20D1C08A" w14:textId="77777777" w:rsidR="00787938" w:rsidRPr="009E0FCA" w:rsidRDefault="00787938" w:rsidP="00787938">
      <w:pPr>
        <w:tabs>
          <w:tab w:val="left" w:leader="dot" w:pos="9072"/>
        </w:tabs>
        <w:spacing w:before="120" w:after="120"/>
        <w:ind w:left="567"/>
        <w:jc w:val="both"/>
      </w:pPr>
      <w:r>
        <w:tab/>
      </w:r>
    </w:p>
    <w:p w14:paraId="648EA6BC" w14:textId="6EDB985E" w:rsidR="00F83660" w:rsidRPr="009E0FCA" w:rsidRDefault="00F83660" w:rsidP="008A6F77">
      <w:pPr>
        <w:pStyle w:val="ListParagraph"/>
        <w:numPr>
          <w:ilvl w:val="0"/>
          <w:numId w:val="44"/>
        </w:numPr>
        <w:spacing w:before="120" w:after="120"/>
        <w:contextualSpacing w:val="0"/>
        <w:jc w:val="both"/>
      </w:pPr>
      <w:r>
        <w:t>V prípade kladnej odpovede uveďte, aký je čistý environmentálny vplyv notifikovaného opatrenia (notifikovaných opatrení) a ako notifikované opatrenie (opatrenia) zvyšuje (zvyšujú) existujúcu úroveň ochrany životného prostredia v</w:t>
      </w:r>
      <w:r w:rsidR="009F7E78">
        <w:t> </w:t>
      </w:r>
      <w:r>
        <w:t>členských štátoch.</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Prečo pomoc poskytnutá v rámci notifikovaného opatrenia (notifikovaných opatrení) nemá za následok žiadne preukázateľne negatívne vplyvy na hospodársku súťaž a obchod.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V prípade individuálnej pomoci hlavné faktory, ktoré ovplyvňujú výber umiestnenia investície zo strany príjemcu.</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Na overenie súladu s bodom 70 CEEAG:</w:t>
      </w:r>
    </w:p>
    <w:p w14:paraId="2E397074" w14:textId="1BEA8C9B" w:rsidR="00E84057" w:rsidRPr="00AC286A" w:rsidRDefault="00E84057" w:rsidP="008A6F77">
      <w:pPr>
        <w:pStyle w:val="ListParagraph"/>
        <w:numPr>
          <w:ilvl w:val="0"/>
          <w:numId w:val="45"/>
        </w:numPr>
        <w:spacing w:before="120" w:after="120"/>
        <w:contextualSpacing w:val="0"/>
        <w:jc w:val="both"/>
      </w:pPr>
      <w:r>
        <w:t xml:space="preserve">Potvrďte, že pomoc sa môže v rámci notifikovanej schémy poskytnúť maximálne na desať rokov </w:t>
      </w:r>
      <w:r>
        <w:rPr>
          <w:color w:val="000000"/>
          <w:shd w:val="clear" w:color="auto" w:fill="FFFFFF"/>
        </w:rPr>
        <w:t>od dátumu oznámenia rozhodnutia Komisie, ktorým sa pomoc vyhlásila za zlučiteľnú</w:t>
      </w:r>
      <w:r>
        <w:t>.</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Potvrďte, že ak by vaše orgány chceli predĺžiť trvanie schémy nad rámec uvedeného maximálneho obdobia, opatrenie opäť notifikujú.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Ak má pomoc formu obchodovateľných povolení, na overenie súladu s bodom 275 CEEAG potvrďte, že opatrenie spĺňa všetky tieto kritériá: </w:t>
      </w:r>
    </w:p>
    <w:p w14:paraId="77783B19" w14:textId="5624D437" w:rsidR="002C45A2" w:rsidRDefault="00F60556" w:rsidP="008A6F77">
      <w:pPr>
        <w:pStyle w:val="ListParagraph"/>
        <w:numPr>
          <w:ilvl w:val="0"/>
          <w:numId w:val="46"/>
        </w:numPr>
        <w:spacing w:before="120" w:after="120"/>
        <w:contextualSpacing w:val="0"/>
        <w:jc w:val="both"/>
      </w:pPr>
      <w:r>
        <w:t>výber príjemcov bol založený na objektívnych a transparentných kritériách a pomoc sa poskytne všetkým konkurentom v rovnakom odvetví v zásade rovnako, ak sa nachádzajú v podobnej skutkovej situácii;</w:t>
      </w:r>
    </w:p>
    <w:p w14:paraId="42AB8BE5" w14:textId="77777777" w:rsidR="00970586" w:rsidRPr="009E0FCA" w:rsidRDefault="00970586" w:rsidP="00C47CAC">
      <w:pPr>
        <w:tabs>
          <w:tab w:val="left" w:leader="dot" w:pos="9072"/>
        </w:tabs>
        <w:spacing w:before="120" w:after="120"/>
        <w:ind w:left="567"/>
        <w:jc w:val="both"/>
      </w:pPr>
      <w:r>
        <w:lastRenderedPageBreak/>
        <w:tab/>
      </w:r>
    </w:p>
    <w:p w14:paraId="025C871A" w14:textId="5DEE3345" w:rsidR="004438D6" w:rsidRDefault="00F60556" w:rsidP="008A6F77">
      <w:pPr>
        <w:pStyle w:val="ListParagraph"/>
        <w:numPr>
          <w:ilvl w:val="0"/>
          <w:numId w:val="46"/>
        </w:numPr>
        <w:spacing w:before="120" w:after="120"/>
        <w:jc w:val="both"/>
      </w:pPr>
      <w:r>
        <w:t xml:space="preserve">metodikou prideľovania sa nezvýhodňujú určité podniky ani určité odvetvia;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v prípade, že metodika prideľovania zvýhodňuje určité podniky alebo určité odvetvia, vysvetlite, ako je to zdôvodnené environmentálnou logikou danej schémy alebo nakoľko je to potrebné na zabezpečenie súladu s ostatnými politikami v oblasti ochrany životného prostredia;</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noví účastníci nezískavajú povolenia ani kvóty za výhodnejších podmienok ako existujúce podniky pôsobiace na rovnakých trhoch;</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pridelenie vyššieho počtu povolení existujúcim inštaláciám než novým účastníkom nevedie k vytvoreniu neprimeraných prekážok vstupu na trh.</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7A4B3C" w:rsidRDefault="00265702" w:rsidP="00B82F95">
            <w:pPr>
              <w:pStyle w:val="Heading1"/>
              <w:numPr>
                <w:ilvl w:val="0"/>
                <w:numId w:val="22"/>
              </w:numPr>
              <w:rPr>
                <w:i/>
                <w:color w:val="000000"/>
                <w:sz w:val="28"/>
                <w:szCs w:val="28"/>
              </w:rPr>
            </w:pPr>
            <w:r w:rsidRPr="007A4B3C">
              <w:rPr>
                <w:i/>
                <w:color w:val="000000"/>
                <w:sz w:val="28"/>
              </w:rPr>
              <w:t>Vyváženie pozitívnych vplyvov pomoci a negatívnych vplyvov na hospodársku súťaž a obchod</w:t>
            </w:r>
          </w:p>
        </w:tc>
      </w:tr>
    </w:tbl>
    <w:p w14:paraId="2BA426DC" w14:textId="2EBC55A9" w:rsidR="00265702" w:rsidRPr="007A4B3C" w:rsidRDefault="00265702" w:rsidP="00265702">
      <w:pPr>
        <w:spacing w:before="360" w:after="120"/>
        <w:jc w:val="both"/>
        <w:rPr>
          <w:i/>
          <w:color w:val="000000"/>
        </w:rPr>
      </w:pPr>
      <w:r w:rsidRPr="007A4B3C">
        <w:rPr>
          <w:i/>
          <w:color w:val="000000"/>
        </w:rPr>
        <w:t>Pri</w:t>
      </w:r>
      <w:r w:rsidRPr="007A4B3C">
        <w:rPr>
          <w:i/>
        </w:rPr>
        <w:t xml:space="preserve"> vypĺňaní tohto oddielu postupujte podľa informácií v oddiele 3.3 (body 71 – 76) CEEAG.</w:t>
      </w:r>
      <w:r w:rsidRPr="007A4B3C">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Na overenie súladu s bodom 72 CEEAG vysvetlite, či činnosti podporované v rámci notifikovaného opatrenia spĺňajú kritériá environmentálne udržateľných hospodárskych činností</w:t>
      </w:r>
      <w:r>
        <w:rPr>
          <w:shd w:val="clear" w:color="auto" w:fill="FFFFFF"/>
        </w:rPr>
        <w:t xml:space="preserve"> stanovené v </w:t>
      </w:r>
      <w:r>
        <w:t>článku 3 nariadenia Európskeho parlamentu a Rady (EÚ) 2020/852</w:t>
      </w:r>
      <w:r>
        <w:rPr>
          <w:rStyle w:val="FootnoteReference"/>
          <w:lang w:eastAsia="en-GB"/>
        </w:rPr>
        <w:footnoteReference w:id="18"/>
      </w:r>
      <w:r>
        <w:rPr>
          <w:shd w:val="clear" w:color="auto" w:fill="FFFFFF"/>
        </w:rPr>
        <w:t xml:space="preserve"> vrátane zásady „nespôsobovať významnú škodu“ alebo iných porovnateľných metodík.</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(V prípade súťažného ponukového konania) Vysvetlite, či notifikované opatrenie (opatrenia) obsahuje (obsahujú) prvky na uľahčenie účasti MSP na súťažných ponukových konaniach. V prípade kladnej odpovede uveďte informácie o týchto prvkoch a zdôvodnite, ako pozitívne vplyvy zabezpečenia účasti MSP na notifikovanom opatrení (notifikovaných opatrení) prevažujú nad možnými rušivými vplyvmi.</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p w14:paraId="007F8FA7" w14:textId="77777777" w:rsidR="007A4B3C" w:rsidRDefault="007A4B3C" w:rsidP="004B2EF3">
      <w:pPr>
        <w:tabs>
          <w:tab w:val="left" w:leader="dot" w:pos="9072"/>
        </w:tabs>
        <w:spacing w:before="120" w:after="120"/>
        <w:ind w:left="567"/>
        <w:jc w:val="both"/>
      </w:pPr>
    </w:p>
    <w:p w14:paraId="530ED6C3" w14:textId="77777777" w:rsidR="007A4B3C" w:rsidRDefault="007A4B3C" w:rsidP="004B2EF3">
      <w:pPr>
        <w:tabs>
          <w:tab w:val="left" w:leader="dot" w:pos="9072"/>
        </w:tabs>
        <w:spacing w:before="120" w:after="120"/>
        <w:ind w:left="567"/>
        <w:jc w:val="both"/>
      </w:pPr>
    </w:p>
    <w:p w14:paraId="0BBCC087" w14:textId="77777777" w:rsidR="007A4B3C" w:rsidRDefault="007A4B3C" w:rsidP="004B2EF3">
      <w:pPr>
        <w:tabs>
          <w:tab w:val="left" w:leader="dot" w:pos="9072"/>
        </w:tabs>
        <w:spacing w:before="120" w:after="120"/>
        <w:ind w:left="567"/>
        <w:jc w:val="both"/>
      </w:pPr>
    </w:p>
    <w:p w14:paraId="28640CC0" w14:textId="77777777" w:rsidR="007A4B3C" w:rsidRDefault="007A4B3C" w:rsidP="004B2EF3">
      <w:pPr>
        <w:tabs>
          <w:tab w:val="left" w:leader="dot" w:pos="9072"/>
        </w:tabs>
        <w:spacing w:before="120" w:after="120"/>
        <w:ind w:left="567"/>
        <w:jc w:val="both"/>
      </w:pPr>
    </w:p>
    <w:p w14:paraId="2DAA6883" w14:textId="77777777" w:rsidR="007A4B3C" w:rsidRDefault="007A4B3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7A4B3C" w:rsidRDefault="0086255C">
            <w:pPr>
              <w:spacing w:before="120" w:after="120"/>
              <w:jc w:val="center"/>
              <w:rPr>
                <w:i/>
                <w:color w:val="000000"/>
                <w:sz w:val="28"/>
                <w:szCs w:val="28"/>
              </w:rPr>
            </w:pPr>
            <w:r w:rsidRPr="007A4B3C">
              <w:rPr>
                <w:b/>
                <w:sz w:val="32"/>
              </w:rPr>
              <w:lastRenderedPageBreak/>
              <w:t>Oddiel C: Hodnotenie</w:t>
            </w:r>
            <w:r w:rsidRPr="007A4B3C">
              <w:rPr>
                <w:i/>
                <w:color w:val="000000"/>
                <w:sz w:val="28"/>
              </w:rPr>
              <w:t xml:space="preserve"> </w:t>
            </w:r>
          </w:p>
        </w:tc>
      </w:tr>
    </w:tbl>
    <w:p w14:paraId="10688268" w14:textId="77777777" w:rsidR="00C33721" w:rsidRPr="007A4B3C"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sidRPr="007A4B3C">
        <w:rPr>
          <w:i/>
        </w:rPr>
        <w:t>Pri vypĺňaní tohto oddielu postupujte podľa informácií v kapitole 5 (body 455 – 463)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Ak notifikované opatrenie (opatrenia) prekračuje (prekračujú) prahové hodnoty rozpočtu/výdavkov uvedené v bode 456 CEEAG, buď vysvetlite, prečo by sa podľa vás mala uplatniť výnimka uvedená v bode 457 CEEAG, alebo pripojte k tomuto formuláru doplňujúcich informácií prílohu, ktorá obsahuje návrh plánu hodnotenia pokrývajúci rozsah uvedený v bode 458 CEEAG</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Ak je k dispozícii návrh plánu hodnotenia:</w:t>
      </w:r>
    </w:p>
    <w:p w14:paraId="61554CC9" w14:textId="77777777" w:rsidR="00571769" w:rsidRDefault="00571769" w:rsidP="00B82F95">
      <w:pPr>
        <w:pStyle w:val="ListParagraph"/>
        <w:numPr>
          <w:ilvl w:val="0"/>
          <w:numId w:val="33"/>
        </w:numPr>
        <w:spacing w:before="120" w:after="120"/>
        <w:contextualSpacing w:val="0"/>
        <w:jc w:val="both"/>
      </w:pPr>
      <w:r>
        <w:t>Uveďte zhrnutie daného návrhu plánu hodnotenia, ktorý je súčasťou prílohy.</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Potvrďte, že bude dodržaný bod 460 CEEAG.</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Uveďte dátum a internetový odkaz, prostredníctvom ktorého bude plán hodnotenia verejne dostupný.</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036939C5" w:rsidR="00576C43" w:rsidRPr="0051324D" w:rsidRDefault="00576C43" w:rsidP="008A6F77">
      <w:pPr>
        <w:pStyle w:val="ListParagraph"/>
        <w:numPr>
          <w:ilvl w:val="0"/>
          <w:numId w:val="4"/>
        </w:numPr>
        <w:spacing w:before="120" w:after="120"/>
        <w:ind w:left="567" w:hanging="567"/>
        <w:contextualSpacing w:val="0"/>
        <w:jc w:val="both"/>
      </w:pPr>
      <w:r>
        <w:t>Na overenie súladu s bodom 459 písm. b) CEEAG, v prípade, že schéma pomoci v</w:t>
      </w:r>
      <w:r w:rsidR="009F7E78">
        <w:t> </w:t>
      </w:r>
      <w:r>
        <w:t xml:space="preserve">súčasnosti nepodlieha hodnoteniu </w:t>
      </w:r>
      <w:r w:rsidRPr="007A4B3C">
        <w:rPr>
          <w:i/>
        </w:rPr>
        <w:t>ex post</w:t>
      </w:r>
      <w:r>
        <w:t xml:space="preserve"> a jej trvanie presahuje tri roky, potvrďte, že oznámite návrh plánu hodnotenia do 30 pracovných dní po významnej zmene, ktorou sa zvýši rozpočet schémy na viac ako 150 miliónov EUR v danom roku alebo 750 miliónov EUR počas celého trvania schémy. </w:t>
      </w:r>
    </w:p>
    <w:p w14:paraId="64CE86FA" w14:textId="77777777" w:rsidR="00576C43" w:rsidRPr="0051324D" w:rsidRDefault="00576C43" w:rsidP="00576C43">
      <w:pPr>
        <w:tabs>
          <w:tab w:val="left" w:leader="dot" w:pos="9072"/>
        </w:tabs>
        <w:spacing w:before="120" w:after="120"/>
        <w:ind w:left="567"/>
        <w:jc w:val="both"/>
      </w:pPr>
      <w:r>
        <w:tab/>
      </w:r>
    </w:p>
    <w:p w14:paraId="621D0B78" w14:textId="22710374" w:rsidR="00576C43" w:rsidRPr="0051324D" w:rsidRDefault="00576C43" w:rsidP="008A6F77">
      <w:pPr>
        <w:pStyle w:val="ListParagraph"/>
        <w:numPr>
          <w:ilvl w:val="0"/>
          <w:numId w:val="4"/>
        </w:numPr>
        <w:spacing w:before="120" w:after="120"/>
        <w:ind w:left="567" w:hanging="567"/>
        <w:contextualSpacing w:val="0"/>
        <w:jc w:val="both"/>
      </w:pPr>
      <w:r>
        <w:t>Na overenie súladu s bodom 459 písm. c) CEEAG v prípade, že schéma pomoci v</w:t>
      </w:r>
      <w:r w:rsidR="009F7E78">
        <w:t> </w:t>
      </w:r>
      <w:r>
        <w:t xml:space="preserve">súčasnosti nepodlieha hodnoteniu </w:t>
      </w:r>
      <w:r w:rsidRPr="007A4B3C">
        <w:rPr>
          <w:i/>
        </w:rPr>
        <w:t>ex post</w:t>
      </w:r>
      <w:r>
        <w:t xml:space="preserve">, uveďte záväzok, že členský štát oznámi návrh plánu hodnotenia </w:t>
      </w:r>
      <w:r>
        <w:rPr>
          <w:shd w:val="clear" w:color="auto" w:fill="FFFFFF"/>
        </w:rPr>
        <w:t>do 30 pracovných dní po tom, ako boli v oficiálnych účtoch zaznamenané výdavky, ktoré v predchádzajúcom roku presiahli 150 miliónov EUR</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Na overenie súladu s bodom 461 CEEAG:</w:t>
      </w:r>
    </w:p>
    <w:p w14:paraId="3A9B542E" w14:textId="260819B5" w:rsidR="00277BC0" w:rsidRPr="0051324D" w:rsidRDefault="00277BC0" w:rsidP="008A6F77">
      <w:pPr>
        <w:pStyle w:val="ListParagraph"/>
        <w:numPr>
          <w:ilvl w:val="0"/>
          <w:numId w:val="47"/>
        </w:numPr>
        <w:spacing w:before="120" w:after="120"/>
        <w:contextualSpacing w:val="0"/>
        <w:jc w:val="both"/>
      </w:pPr>
      <w:r>
        <w:t>Objasnite, či už bol vybraný nezávislý znalec alebo či bude vybraný v</w:t>
      </w:r>
      <w:r w:rsidR="009F7E78">
        <w:t> </w:t>
      </w:r>
      <w:r>
        <w:t>budúcnosti.</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Uveďte informácie o výberovom konaní na pozíciu znalca.</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Zdôvodnite, prečo je znalec nezávislý od orgánu poskytujúceho pomoc. </w:t>
      </w:r>
    </w:p>
    <w:p w14:paraId="43CB3832" w14:textId="77777777" w:rsidR="004165E0" w:rsidRPr="0051324D" w:rsidRDefault="004165E0" w:rsidP="004165E0">
      <w:pPr>
        <w:tabs>
          <w:tab w:val="left" w:leader="dot" w:pos="9072"/>
        </w:tabs>
        <w:spacing w:before="120" w:after="120"/>
        <w:ind w:left="567"/>
        <w:jc w:val="both"/>
      </w:pPr>
      <w:r>
        <w:lastRenderedPageBreak/>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Na overenie súladu s bodom 461 CEEAG: </w:t>
      </w:r>
    </w:p>
    <w:p w14:paraId="342FFFFA" w14:textId="62A42954" w:rsidR="0036428C" w:rsidRPr="0051324D" w:rsidRDefault="002C0264" w:rsidP="008A6F77">
      <w:pPr>
        <w:pStyle w:val="ListParagraph"/>
        <w:numPr>
          <w:ilvl w:val="0"/>
          <w:numId w:val="48"/>
        </w:numPr>
        <w:spacing w:before="120" w:after="120"/>
        <w:contextualSpacing w:val="0"/>
        <w:jc w:val="both"/>
      </w:pPr>
      <w:r>
        <w:t>Uveďte navrhované termíny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Potvrďte, že priebežná a záverečná hodnotiaca správa budú zverejnené. Uveďte dátum a internetový odkaz, prostredníctvom ktorého budú tieto správy verejne dostupné.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Pr="007A4B3C"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7A4B3C" w:rsidRDefault="00491994">
            <w:pPr>
              <w:ind w:left="360"/>
              <w:jc w:val="center"/>
              <w:rPr>
                <w:rFonts w:eastAsia="Times New Roman"/>
                <w:b/>
                <w:iCs/>
                <w:sz w:val="32"/>
                <w:szCs w:val="32"/>
              </w:rPr>
            </w:pPr>
            <w:r w:rsidRPr="007A4B3C">
              <w:rPr>
                <w:b/>
                <w:sz w:val="32"/>
              </w:rPr>
              <w:t>Oddiel D – Podávanie správ a monitorovanie</w:t>
            </w:r>
          </w:p>
        </w:tc>
      </w:tr>
    </w:tbl>
    <w:p w14:paraId="1C16B3DB" w14:textId="77777777" w:rsidR="006F0AE2" w:rsidRPr="0051324D" w:rsidRDefault="006F0AE2" w:rsidP="006F0AE2">
      <w:pPr>
        <w:tabs>
          <w:tab w:val="left" w:leader="dot" w:pos="9072"/>
        </w:tabs>
        <w:spacing w:before="120" w:after="120"/>
        <w:ind w:left="567"/>
        <w:jc w:val="both"/>
      </w:pPr>
      <w:r w:rsidRPr="007A4B3C">
        <w:rPr>
          <w:i/>
        </w:rPr>
        <w:t>Pri vypĺňaní tohto oddielu postupujte podľa informácií v oddiele 6 (body 464 a 465)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Potvrďte, že členský štát splní požiadavky na podávanie správ a monitorovanie stanovené v oddiele 6 bodoch 464 a 465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2F7A0A" w:rsidRDefault="005B06D6" w:rsidP="002F7A0A">
      <w:pPr>
        <w:pStyle w:val="FootnoteText"/>
      </w:pPr>
      <w:r w:rsidRPr="002F7A0A">
        <w:rPr>
          <w:rStyle w:val="FootnoteReference"/>
        </w:rPr>
        <w:footnoteRef/>
      </w:r>
      <w:r w:rsidRPr="002F7A0A">
        <w:tab/>
        <w:t>Ú. v. EÚ C 80, 18.2.2022, s. 1.</w:t>
      </w:r>
    </w:p>
  </w:footnote>
  <w:footnote w:id="3">
    <w:p w14:paraId="721B2C3E" w14:textId="5CF0F3FA" w:rsidR="005B06D6" w:rsidRPr="002F7A0A" w:rsidRDefault="005B06D6" w:rsidP="002F7A0A">
      <w:pPr>
        <w:pStyle w:val="FootnoteText"/>
      </w:pPr>
      <w:r w:rsidRPr="002F7A0A">
        <w:rPr>
          <w:rStyle w:val="FootnoteReference"/>
        </w:rPr>
        <w:footnoteRef/>
      </w:r>
      <w:r w:rsidRPr="002F7A0A">
        <w:tab/>
      </w:r>
      <w:r w:rsidRPr="002F7A0A">
        <w:t xml:space="preserve">Upozorňujeme, že v prípade schémy pomoci trvanie predstavuje obdobie, počas ktorého možno požiadať o pomoc a rozhodnúť o nej (vrátane času, ktorý potrebujú vnútroštátne orgány na schválenie žiadostí o poskytnutie pomoci). Trvanie uvedené v tejto otázke nesúvisí s trvaním zmlúv uzavretých v rámci schémy pomoci, ktoré môžu platiť aj po skončení trvania opatrenia. </w:t>
      </w:r>
    </w:p>
  </w:footnote>
  <w:footnote w:id="4">
    <w:p w14:paraId="51CA7B9F" w14:textId="77777777" w:rsidR="00A53EBB" w:rsidRPr="002F7A0A" w:rsidRDefault="00A53EBB" w:rsidP="002F7A0A">
      <w:pPr>
        <w:pStyle w:val="FootnoteText"/>
      </w:pPr>
      <w:r w:rsidRPr="002F7A0A">
        <w:rPr>
          <w:rStyle w:val="FootnoteReference"/>
        </w:rPr>
        <w:footnoteRef/>
      </w:r>
      <w:r w:rsidRPr="002F7A0A">
        <w:tab/>
      </w:r>
      <w:r w:rsidRPr="002F7A0A">
        <w:t>Upozorňujeme, že zmena skutočného alebo odhadovaného rozpočtu môže predstavovať zmenu pomoci, ktorá si vyžaduje novú notifikáciu.</w:t>
      </w:r>
    </w:p>
  </w:footnote>
  <w:footnote w:id="5">
    <w:p w14:paraId="49ADDF87" w14:textId="3332A17A" w:rsidR="005B06D6" w:rsidRPr="002F7A0A" w:rsidRDefault="005B06D6" w:rsidP="002F7A0A">
      <w:pPr>
        <w:pStyle w:val="FootnoteText"/>
      </w:pPr>
      <w:r w:rsidRPr="002F7A0A">
        <w:rPr>
          <w:rStyle w:val="FootnoteReference"/>
        </w:rPr>
        <w:footnoteRef/>
      </w:r>
      <w:r w:rsidRPr="002F7A0A">
        <w:tab/>
      </w:r>
      <w:r w:rsidRPr="002F7A0A">
        <w:t>Obchodovateľné povolenia môžu zahŕňať štátnu pomoc, najmä keď členské štáty udeľujú povolenia a kvóty pod ich trhovou hodnotou.</w:t>
      </w:r>
    </w:p>
  </w:footnote>
  <w:footnote w:id="6">
    <w:p w14:paraId="7AC0A709" w14:textId="328426FA" w:rsidR="007F5A4A" w:rsidRPr="002F7A0A" w:rsidRDefault="007F5A4A" w:rsidP="002F7A0A">
      <w:pPr>
        <w:pStyle w:val="FootnoteText"/>
      </w:pPr>
      <w:r w:rsidRPr="002F7A0A">
        <w:rPr>
          <w:rStyle w:val="FootnoteReference"/>
        </w:rPr>
        <w:footnoteRef/>
      </w:r>
      <w:r w:rsidRPr="002F7A0A">
        <w:tab/>
      </w:r>
      <w:r w:rsidRPr="002F7A0A">
        <w:t>Ďalšie usmernenie k tomu, ako by sa mal vypracovať pravdepodobný kontrafaktuálny scenár, sa uvádza v bodoch 38 a 52, ako aj v poznámkach pod čiarou č. 39 a 45 CEEAG.</w:t>
      </w:r>
    </w:p>
  </w:footnote>
  <w:footnote w:id="7">
    <w:p w14:paraId="40AD96A8" w14:textId="77777777" w:rsidR="00BF736D" w:rsidRPr="002F7A0A" w:rsidRDefault="00BF736D" w:rsidP="002F7A0A">
      <w:pPr>
        <w:pStyle w:val="FootnoteText"/>
      </w:pPr>
      <w:r w:rsidRPr="002F7A0A">
        <w:rPr>
          <w:rStyle w:val="FootnoteReference"/>
        </w:rPr>
        <w:footnoteRef/>
      </w:r>
      <w:r w:rsidRPr="002F7A0A">
        <w:tab/>
      </w:r>
      <w:r w:rsidRPr="002F7A0A">
        <w:t>Pojem „referenčný projekt“ je vymedzený v bode 19 ods. 63 CEEAG.</w:t>
      </w:r>
    </w:p>
  </w:footnote>
  <w:footnote w:id="8">
    <w:p w14:paraId="0035BA03" w14:textId="77777777" w:rsidR="006B45D5" w:rsidRPr="002F7A0A" w:rsidRDefault="006B45D5" w:rsidP="002F7A0A">
      <w:pPr>
        <w:pStyle w:val="FootnoteText"/>
      </w:pPr>
      <w:r w:rsidRPr="002F7A0A">
        <w:rPr>
          <w:rStyle w:val="FootnoteReference"/>
        </w:rPr>
        <w:footnoteRef/>
      </w:r>
      <w:r w:rsidRPr="002F7A0A">
        <w:tab/>
      </w:r>
      <w:r w:rsidRPr="002F7A0A">
        <w:t>Ak vychádzate z nedávneho súťažného konania, vysvetlite, prečo možno toto ponukové konanie považovať za súťažné, prípadne vrátane toho, ako sa zabránilo neočakávaným ziskom v prípade rôznych technológií zahrnutých do súťažného ponukového konania a ako je to porovnateľné, napríklad:</w:t>
      </w:r>
    </w:p>
    <w:p w14:paraId="282DC24F" w14:textId="77777777" w:rsidR="006B45D5" w:rsidRPr="002F7A0A" w:rsidRDefault="006B45D5" w:rsidP="002F7A0A">
      <w:pPr>
        <w:pStyle w:val="FootnoteText"/>
        <w:ind w:firstLine="0"/>
      </w:pPr>
      <w:r w:rsidRPr="002F7A0A">
        <w:t>Boli podmienky (napr. zmluvné podmienky a trvanie, lehoty na investovanie, to, či boli platby podpory indexované na základe inflácie, alebo nie) podobné podmienkam navrhovaným v notifikovanom opatrení?</w:t>
      </w:r>
    </w:p>
    <w:p w14:paraId="7E841389" w14:textId="77777777" w:rsidR="006B45D5" w:rsidRPr="002F7A0A" w:rsidRDefault="006B45D5" w:rsidP="002F7A0A">
      <w:pPr>
        <w:pStyle w:val="FootnoteText"/>
        <w:ind w:firstLine="0"/>
      </w:pPr>
      <w:r w:rsidRPr="002F7A0A">
        <w:t>Uskutočnilo sa súťažné konanie za podobných makroekonomických podmienok?</w:t>
      </w:r>
    </w:p>
    <w:p w14:paraId="2BEE57E5" w14:textId="77777777" w:rsidR="006B45D5" w:rsidRPr="002F7A0A" w:rsidRDefault="006B45D5" w:rsidP="002F7A0A">
      <w:pPr>
        <w:pStyle w:val="FootnoteText"/>
        <w:ind w:firstLine="0"/>
      </w:pPr>
      <w:r w:rsidRPr="002F7A0A">
        <w:t>Boli technológie/typy projektov podobné?</w:t>
      </w:r>
    </w:p>
  </w:footnote>
  <w:footnote w:id="9">
    <w:p w14:paraId="02AC4E0B" w14:textId="2158377B" w:rsidR="005B06D6" w:rsidRPr="002F7A0A" w:rsidRDefault="005B06D6" w:rsidP="002F7A0A">
      <w:pPr>
        <w:pStyle w:val="FootnoteText"/>
      </w:pPr>
      <w:r w:rsidRPr="002F7A0A">
        <w:rPr>
          <w:rStyle w:val="FootnoteReference"/>
        </w:rPr>
        <w:footnoteRef/>
      </w:r>
      <w:r w:rsidRPr="002F7A0A">
        <w:tab/>
      </w:r>
      <w:r w:rsidRPr="002F7A0A">
        <w:t>Podľa bodu 19 ods. 89 CEEAG „norma Únie“ je:</w:t>
      </w:r>
      <w:r w:rsidR="002F7A0A">
        <w:t xml:space="preserve"> </w:t>
      </w:r>
      <w:r w:rsidRPr="002F7A0A">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r w:rsidR="002F7A0A">
        <w:t xml:space="preserve"> </w:t>
      </w:r>
      <w:r w:rsidRPr="002F7A0A">
        <w:rPr>
          <w:i/>
        </w:rPr>
        <w:t>povinnosť využívať najlepšie dostupné techniky, ako sa vymedzujú v smernici 2010/75/EÚ, a</w:t>
      </w:r>
      <w:r w:rsidR="009F7E78" w:rsidRPr="002F7A0A">
        <w:rPr>
          <w:i/>
        </w:rPr>
        <w:t> </w:t>
      </w:r>
      <w:r w:rsidRPr="002F7A0A">
        <w:rPr>
          <w:i/>
        </w:rPr>
        <w:t>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10">
    <w:p w14:paraId="411ACB68" w14:textId="497824F8" w:rsidR="005B06D6" w:rsidRPr="002F7A0A" w:rsidRDefault="005B06D6" w:rsidP="002F7A0A">
      <w:pPr>
        <w:pStyle w:val="FootnoteText"/>
      </w:pPr>
      <w:r w:rsidRPr="002F7A0A">
        <w:rPr>
          <w:rStyle w:val="FootnoteReference"/>
        </w:rPr>
        <w:footnoteRef/>
      </w:r>
      <w:r w:rsidRPr="002F7A0A">
        <w:tab/>
      </w:r>
      <w:r w:rsidRPr="002F7A0A">
        <w:t>Analýzu možno okrem iných faktorov vykonať na základe odhadov pružnosti cien výrobkov v dotknutom odvetví, ako aj na základe odhadov poklesu predaja alebo ich vplyvu na ziskovosť príjemcu.</w:t>
      </w:r>
    </w:p>
  </w:footnote>
  <w:footnote w:id="11">
    <w:p w14:paraId="1464609F" w14:textId="77777777" w:rsidR="00611EA4" w:rsidRPr="002F7A0A" w:rsidRDefault="00611EA4" w:rsidP="002F7A0A">
      <w:pPr>
        <w:pStyle w:val="FootnoteText"/>
      </w:pPr>
      <w:r w:rsidRPr="002F7A0A">
        <w:rPr>
          <w:rStyle w:val="FootnoteReference"/>
        </w:rPr>
        <w:footnoteRef/>
      </w:r>
      <w:r w:rsidRPr="002F7A0A">
        <w:tab/>
      </w:r>
      <w:r w:rsidRPr="002F7A0A">
        <w:t>Novosť by sa mohla preukázať napríklad na základe presného opisu inovácie a trhových podmienok jej zavedenia alebo rozšírenia v porovnaní so špičkovými procesmi alebo s organizačnými technikami, ktoré bežne používajú iné podniky v tom istom odvetví.</w:t>
      </w:r>
    </w:p>
  </w:footnote>
  <w:footnote w:id="12">
    <w:p w14:paraId="69DB6703" w14:textId="77777777" w:rsidR="00611EA4" w:rsidRPr="002F7A0A" w:rsidRDefault="00611EA4" w:rsidP="002F7A0A">
      <w:pPr>
        <w:pStyle w:val="FootnoteText"/>
      </w:pPr>
      <w:r w:rsidRPr="002F7A0A">
        <w:rPr>
          <w:rStyle w:val="FootnoteReference"/>
        </w:rPr>
        <w:footnoteRef/>
      </w:r>
      <w:r w:rsidRPr="002F7A0A">
        <w:tab/>
      </w:r>
      <w:r w:rsidRPr="002F7A0A">
        <w:t>Ak na porovnanie činností ekologickej inovácie so štandardnými činnosťami bez inovácie možno použiť kvantitatívne parametre, pojem „podstatne vyšší“ znamená, že nepatrné zlepšenie očakávané v dôsledku činností ekologickej inovácie z hľadiska menšieho rizika pre životné prostredie alebo znečistenia, alebo zvýšenej efektívnosti využívania energie alebo zdrojov, by malo byť aspoň dvakrát väčšie než nepatrné zlepšenie očakávané v dôsledku všeobecného vývoja porovnateľných činností bez inovácie. Ak navrhovaný prístup v danom prípade nie je vhodný alebo ak nie je možné kvantitatívne porovnanie, súbor so žiadosťou o štátnu pomoc by mal obsahovať podrobný opis metódy použitej na vyhodnotenie tohto kritéria, pričom sa musí zabezpečiť štandard porovnateľný so štandardom navrhovanej metódy.</w:t>
      </w:r>
    </w:p>
  </w:footnote>
  <w:footnote w:id="13">
    <w:p w14:paraId="210BC139" w14:textId="77777777" w:rsidR="00611EA4" w:rsidRPr="002F7A0A" w:rsidRDefault="00611EA4" w:rsidP="002F7A0A">
      <w:pPr>
        <w:pStyle w:val="FootnoteText"/>
      </w:pPr>
      <w:r w:rsidRPr="002F7A0A">
        <w:rPr>
          <w:rStyle w:val="FootnoteReference"/>
        </w:rPr>
        <w:footnoteRef/>
      </w:r>
      <w:r w:rsidRPr="002F7A0A">
        <w:tab/>
      </w:r>
      <w:r w:rsidRPr="002F7A0A">
        <w:t>Toto riziko by členský štát mohol preukázať napríklad z hľadiska nákladov vo vzťahu k obratu podniku, času potrebného na vývoj, predpokladaných ziskov z činnosti ekologickej inovácie v porovnaní s nákladmi a pravdepodobnosti neúspechu.</w:t>
      </w:r>
    </w:p>
  </w:footnote>
  <w:footnote w:id="14">
    <w:p w14:paraId="5747D8E4" w14:textId="650D733F" w:rsidR="00E766C0" w:rsidRPr="002F7A0A" w:rsidRDefault="00E766C0" w:rsidP="002F7A0A">
      <w:pPr>
        <w:pStyle w:val="FootnoteText"/>
      </w:pPr>
      <w:r w:rsidRPr="002F7A0A">
        <w:rPr>
          <w:rStyle w:val="FootnoteReference"/>
        </w:rPr>
        <w:footnoteRef/>
      </w:r>
      <w:r w:rsidRPr="002F7A0A">
        <w:tab/>
      </w:r>
      <w:r w:rsidRPr="002F7A0A">
        <w:t>Pozrite si aj ďalšie informácie uvedené v bodoch 51 – 53, ako aj v poznámkach pod čiarou č. 45 a 46 CEEAG.</w:t>
      </w:r>
    </w:p>
  </w:footnote>
  <w:footnote w:id="15">
    <w:p w14:paraId="1BE3DFCE" w14:textId="77777777" w:rsidR="00A67B98" w:rsidRPr="002F7A0A" w:rsidRDefault="00A67B98" w:rsidP="002F7A0A">
      <w:pPr>
        <w:pStyle w:val="FootnoteText"/>
        <w:ind w:left="0" w:firstLine="0"/>
      </w:pPr>
    </w:p>
  </w:footnote>
  <w:footnote w:id="16">
    <w:p w14:paraId="05729EB4" w14:textId="77777777" w:rsidR="005B06D6" w:rsidRPr="002F7A0A" w:rsidRDefault="005B06D6" w:rsidP="002F7A0A">
      <w:pPr>
        <w:pStyle w:val="FootnoteText"/>
      </w:pPr>
      <w:r w:rsidRPr="002F7A0A">
        <w:rPr>
          <w:rStyle w:val="FootnoteReference"/>
        </w:rPr>
        <w:footnoteRef/>
      </w:r>
      <w:r w:rsidRPr="002F7A0A">
        <w:t xml:space="preserve"> </w:t>
      </w:r>
      <w:r w:rsidRPr="002F7A0A">
        <w:tab/>
      </w:r>
      <w:r w:rsidRPr="002F7A0A">
        <w:t>Upozorňujeme, že v poznámke pod čiarou č. 44 CEEAG sa stanovuje, že:</w:t>
      </w:r>
    </w:p>
    <w:p w14:paraId="193F0D8D" w14:textId="6323EB08" w:rsidR="005B06D6" w:rsidRPr="002F7A0A" w:rsidRDefault="005B06D6" w:rsidP="002F7A0A">
      <w:pPr>
        <w:pStyle w:val="FootnoteText"/>
      </w:pPr>
      <w:r w:rsidRPr="002F7A0A">
        <w:tab/>
      </w:r>
      <w:r w:rsidRPr="002F7A0A">
        <w:rPr>
          <w:i/>
        </w:rPr>
        <w:t>„</w:t>
      </w:r>
      <w:r w:rsidRPr="002F7A0A">
        <w:rPr>
          <w:i/>
          <w:color w:val="000000"/>
          <w:shd w:val="clear" w:color="auto" w:fill="FFFFFF"/>
        </w:rPr>
        <w:t>Pri posudzovaní jednotiek ochrany životného prostredia môžu členské štáty napríklad vypracovať metodiku, v ktorej sa zohľadňujú emisie alebo iné znečisťovanie v rôznych fázach podporenej hospodárskej činnosti, trvanie realizácie projektu alebo náklady na systémovú integráciu. Pri zisťovaní vzťahu medzi príspevkom k</w:t>
      </w:r>
      <w:r w:rsidR="009F7E78" w:rsidRPr="002F7A0A">
        <w:rPr>
          <w:i/>
          <w:color w:val="000000"/>
          <w:shd w:val="clear" w:color="auto" w:fill="FFFFFF"/>
        </w:rPr>
        <w:t> </w:t>
      </w:r>
      <w:r w:rsidRPr="002F7A0A">
        <w:rPr>
          <w:i/>
          <w:color w:val="000000"/>
          <w:shd w:val="clear" w:color="auto" w:fill="FFFFFF"/>
        </w:rPr>
        <w:t>hlavným cieľom a požadovanou výškou podpory môžu členské štáty napríklad prideliť váhu rôznym objektívnym kritériám a vyberať na základe výšky podpory na jednotku váženého priemeru objektívnych kritérií alebo môžu vyberať z obmedzenej škály ponúk s najnižšou výškou podpory na jednotku objektívnych kritérií tie ponuky, ktoré majú v súvislosti s objektívnymi kritériami najvyššie hodnoty. Parametre takéhoto prístupu musia byť kalibrované, aby sa zabezpečilo, že proces predkladania ponúk zostane nediskriminačný, zaistí účinnú súťaž a bude odrážať ekonomickú hodnotu.“</w:t>
      </w:r>
    </w:p>
  </w:footnote>
  <w:footnote w:id="17">
    <w:p w14:paraId="086AD512" w14:textId="412E8AAF" w:rsidR="005B06D6" w:rsidRPr="002F7A0A" w:rsidRDefault="005B06D6" w:rsidP="002F7A0A">
      <w:pPr>
        <w:pStyle w:val="FootnoteText"/>
      </w:pPr>
      <w:r w:rsidRPr="002F7A0A">
        <w:rPr>
          <w:rStyle w:val="FootnoteReference"/>
        </w:rPr>
        <w:footnoteRef/>
      </w:r>
      <w:r w:rsidRPr="002F7A0A">
        <w:tab/>
      </w:r>
      <w:r w:rsidRPr="002F7A0A">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8">
    <w:p w14:paraId="02AA3570" w14:textId="77777777" w:rsidR="005B06D6" w:rsidRPr="002F7A0A" w:rsidRDefault="005B06D6" w:rsidP="002F7A0A">
      <w:pPr>
        <w:pStyle w:val="FootnoteText"/>
      </w:pPr>
      <w:r w:rsidRPr="002F7A0A">
        <w:rPr>
          <w:rStyle w:val="FootnoteReference"/>
        </w:rPr>
        <w:footnoteRef/>
      </w:r>
      <w:r w:rsidRPr="002F7A0A">
        <w:tab/>
      </w:r>
      <w:r w:rsidRPr="002F7A0A">
        <w:t>Nariadenie Európskeho parlamentu a Rady (EÚ) 2020/852 z 18. júna 2020 o vytvorení rámca na uľahčenie udržateľných investícií a o zmene nariadenia (EÚ) 2019/2088 (Ú. v. EÚ L 198, 22.6.2020, s. 13).</w:t>
      </w:r>
    </w:p>
  </w:footnote>
  <w:footnote w:id="19">
    <w:p w14:paraId="05B1881A" w14:textId="77777777" w:rsidR="008472A5" w:rsidRDefault="008472A5" w:rsidP="002F7A0A">
      <w:pPr>
        <w:pStyle w:val="FootnoteText"/>
      </w:pPr>
      <w:r w:rsidRPr="002F7A0A">
        <w:rPr>
          <w:rStyle w:val="FootnoteReference"/>
        </w:rPr>
        <w:footnoteRef/>
      </w:r>
      <w:r w:rsidRPr="002F7A0A">
        <w:tab/>
      </w:r>
      <w:r w:rsidRPr="002F7A0A">
        <w:t xml:space="preserve">Vzor formulára doplňujúcich informácií na oznámenie plánu hodnotenia (časť III.8) je k dispozícii tu: </w:t>
      </w:r>
      <w:hyperlink w:anchor="evaluation-plan" w:history="1">
        <w:r w:rsidRPr="002F7A0A">
          <w:rPr>
            <w:rStyle w:val="Hyperlink"/>
            <w:color w:val="auto"/>
          </w:rPr>
          <w:t>https://competition-policy.ec.europa.eu/state-aid/legislation/forms-notifications-and-reporting_en#evaluation-plan</w:t>
        </w:r>
      </w:hyperlink>
      <w:r w:rsidRPr="002F7A0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B63EEA24"/>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E8A6B88E"/>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49349CFA">
      <w:start w:val="1"/>
      <w:numFmt w:val="upperLetter"/>
      <w:lvlText w:val="%6)"/>
      <w:lvlJc w:val="left"/>
      <w:pPr>
        <w:ind w:left="5067" w:hanging="360"/>
      </w:pPr>
      <w:rPr>
        <w:rFonts w:hint="default"/>
      </w:r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C5361F5E"/>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F23A2620"/>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E416C11E"/>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6E30A160"/>
    <w:lvl w:ilvl="0" w:tplc="0EEE22A0">
      <w:start w:val="1"/>
      <w:numFmt w:val="lowerRoman"/>
      <w:lvlText w:val="%1."/>
      <w:lvlJc w:val="left"/>
      <w:pPr>
        <w:ind w:left="1287" w:hanging="360"/>
      </w:pPr>
      <w:rPr>
        <w:rFonts w:ascii="Times New Roman" w:hAnsi="Times New Roman" w:hint="default"/>
        <w:b w:val="0"/>
        <w:i w:val="0"/>
        <w:sz w:val="24"/>
      </w:rPr>
    </w:lvl>
    <w:lvl w:ilvl="1" w:tplc="041B0017">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346CA48"/>
    <w:lvl w:ilvl="0" w:tplc="C99CEE36">
      <w:start w:val="1"/>
      <w:numFmt w:val="lowerRoman"/>
      <w:lvlText w:val="%1."/>
      <w:lvlJc w:val="left"/>
      <w:pPr>
        <w:ind w:left="1080" w:hanging="360"/>
      </w:pPr>
      <w:rPr>
        <w:rFonts w:ascii="Times New Roman" w:hAnsi="Times New Roman" w:hint="default"/>
        <w:b w:val="0"/>
        <w:i w:val="0"/>
        <w:sz w:val="24"/>
      </w:rPr>
    </w:lvl>
    <w:lvl w:ilvl="1" w:tplc="041B0017">
      <w:start w:val="1"/>
      <w:numFmt w:val="lowerLetter"/>
      <w:lvlText w:val="%2)"/>
      <w:lvlJc w:val="left"/>
      <w:pPr>
        <w:ind w:left="144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8AA68AEC"/>
    <w:lvl w:ilvl="0" w:tplc="FFFFFFFF">
      <w:start w:val="1"/>
      <w:numFmt w:val="decimal"/>
      <w:lvlText w:val="%1."/>
      <w:lvlJc w:val="left"/>
      <w:pPr>
        <w:ind w:left="1287" w:hanging="360"/>
      </w:pPr>
      <w:rPr>
        <w:rFonts w:hint="default"/>
        <w:b/>
        <w:i w:val="0"/>
      </w:rPr>
    </w:lvl>
    <w:lvl w:ilvl="1" w:tplc="041B0017">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31169BA6"/>
    <w:lvl w:ilvl="0">
      <w:start w:val="1"/>
      <w:numFmt w:val="decimal"/>
      <w:lvlText w:val="%1."/>
      <w:lvlJc w:val="left"/>
      <w:pPr>
        <w:ind w:left="360" w:hanging="360"/>
      </w:pPr>
      <w:rPr>
        <w:rFonts w:hint="default"/>
        <w:b/>
        <w:bCs/>
        <w:i/>
        <w:sz w:val="28"/>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C1962EAA"/>
    <w:lvl w:ilvl="0" w:tplc="041B0017">
      <w:start w:val="1"/>
      <w:numFmt w:val="lowerLetter"/>
      <w:lvlText w:val="%1)"/>
      <w:lvlJc w:val="left"/>
      <w:pPr>
        <w:ind w:left="1080" w:hanging="360"/>
      </w:pPr>
      <w:rPr>
        <w:rFonts w:hint="default"/>
        <w:i/>
        <w:i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90546C1E"/>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196BB0A"/>
    <w:lvl w:ilvl="0" w:tplc="D102C17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ADD40CA2"/>
    <w:lvl w:ilvl="0" w:tplc="9B4884B4">
      <w:start w:val="43"/>
      <w:numFmt w:val="decimal"/>
      <w:lvlText w:val="%1."/>
      <w:lvlJc w:val="left"/>
      <w:pPr>
        <w:ind w:left="501" w:hanging="360"/>
      </w:pPr>
      <w:rPr>
        <w:rFonts w:hint="default"/>
        <w:b/>
        <w:i w:val="0"/>
      </w:rPr>
    </w:lvl>
    <w:lvl w:ilvl="1" w:tplc="D102C17A">
      <w:start w:val="1"/>
      <w:numFmt w:val="lowerRoman"/>
      <w:lvlText w:val="%2)"/>
      <w:lvlJc w:val="left"/>
      <w:pPr>
        <w:ind w:left="1080" w:hanging="360"/>
      </w:pPr>
      <w:rPr>
        <w:rFonts w:ascii="Times New Roman" w:eastAsia="Times New Roman" w:hAnsi="Times New Roman" w:cs="Times New Roman" w:hint="default"/>
        <w:b w:val="0"/>
        <w:bCs w:val="0"/>
        <w:i w:val="0"/>
        <w:iCs w:val="0"/>
        <w:w w:val="100"/>
        <w:sz w:val="24"/>
        <w:szCs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3C747EB6"/>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4D4E2FC4"/>
    <w:lvl w:ilvl="0" w:tplc="D102C17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0C6E2130"/>
    <w:lvl w:ilvl="0" w:tplc="D102C17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6EFE8C8C"/>
    <w:lvl w:ilvl="0" w:tplc="D102C17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CAD262D8"/>
    <w:lvl w:ilvl="0" w:tplc="49349CFA">
      <w:start w:val="1"/>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41466FA"/>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364C67F0"/>
    <w:lvl w:ilvl="0" w:tplc="E376A6F8">
      <w:start w:val="1"/>
      <w:numFmt w:val="lowerRoman"/>
      <w:lvlText w:val="%1)"/>
      <w:lvlJc w:val="left"/>
      <w:pPr>
        <w:ind w:left="1080" w:hanging="360"/>
      </w:pPr>
      <w:rPr>
        <w:rFonts w:ascii="Times New Roman" w:eastAsia="Times New Roman" w:hAnsi="Times New Roman" w:cs="Times New Roman" w:hint="default"/>
        <w:b w:val="0"/>
        <w:bCs w:val="0"/>
        <w:i w:val="0"/>
        <w:iCs w:val="0"/>
        <w:w w:val="100"/>
        <w:sz w:val="20"/>
        <w:szCs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85B88698"/>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8BDCD846"/>
    <w:lvl w:ilvl="0" w:tplc="041B0017">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87A68534"/>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AA88909A"/>
    <w:lvl w:ilvl="0" w:tplc="82A46EEA">
      <w:start w:val="1"/>
      <w:numFmt w:val="decimal"/>
      <w:lvlText w:val="%1."/>
      <w:lvlJc w:val="left"/>
      <w:pPr>
        <w:ind w:left="5256" w:hanging="360"/>
      </w:pPr>
      <w:rPr>
        <w:rFonts w:hint="default"/>
        <w:b/>
        <w:i w:val="0"/>
      </w:rPr>
    </w:lvl>
    <w:lvl w:ilvl="1" w:tplc="D102C17A">
      <w:start w:val="1"/>
      <w:numFmt w:val="lowerRoman"/>
      <w:lvlText w:val="%2)"/>
      <w:lvlJc w:val="left"/>
      <w:pPr>
        <w:ind w:left="5976" w:hanging="360"/>
      </w:pPr>
      <w:rPr>
        <w:rFonts w:ascii="Times New Roman" w:eastAsia="Times New Roman" w:hAnsi="Times New Roman" w:cs="Times New Roman" w:hint="default"/>
        <w:b w:val="0"/>
        <w:bCs w:val="0"/>
        <w:i w:val="0"/>
        <w:iCs w:val="0"/>
        <w:w w:val="100"/>
        <w:sz w:val="24"/>
        <w:szCs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CCA428D2"/>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99E8FAC2"/>
    <w:lvl w:ilvl="0" w:tplc="E424D0A2">
      <w:start w:val="1"/>
      <w:numFmt w:val="lowerRoman"/>
      <w:lvlText w:val="%1."/>
      <w:lvlJc w:val="left"/>
      <w:pPr>
        <w:ind w:left="1080" w:hanging="720"/>
      </w:pPr>
      <w:rPr>
        <w:rFonts w:hint="default"/>
      </w:rPr>
    </w:lvl>
    <w:lvl w:ilvl="1" w:tplc="041B0017">
      <w:start w:val="1"/>
      <w:numFmt w:val="lowerLetter"/>
      <w:lvlText w:val="%2)"/>
      <w:lvlJc w:val="left"/>
      <w:pPr>
        <w:ind w:left="2007"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05F7"/>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2F7A0A"/>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370AB"/>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B3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9F7E78"/>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69D0"/>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20</Pages>
  <Words>5675</Words>
  <Characters>30021</Characters>
  <DocSecurity>0</DocSecurity>
  <Lines>652</Lines>
  <Paragraphs>231</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35465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