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III.6 dalis</w:t>
            </w:r>
            <w:r>
              <w:rPr>
                <w:sz w:val="32"/>
              </w:rPr>
              <w:t xml:space="preserve"> </w:t>
            </w:r>
          </w:p>
          <w:p w14:paraId="1C239D2C" w14:textId="79113717" w:rsidR="000442F5" w:rsidRPr="00080012" w:rsidRDefault="00BA39B3" w:rsidP="007B485D">
            <w:pPr>
              <w:pStyle w:val="Heading2"/>
              <w:spacing w:before="240" w:after="240"/>
              <w:jc w:val="center"/>
              <w:rPr>
                <w:sz w:val="32"/>
                <w:szCs w:val="32"/>
              </w:rPr>
            </w:pPr>
            <w:r>
              <w:rPr>
                <w:sz w:val="32"/>
                <w:rStyle w:val="normaltextrun"/>
                <w:color w:val="000000"/>
                <w:bdr w:val="none" w:sz="0" w:space="0" w:color="auto" w:frame="1"/>
              </w:rPr>
              <w:t xml:space="preserve">Atnaujinta*</w:t>
            </w:r>
            <w:r>
              <w:rPr>
                <w:sz w:val="32"/>
              </w:rPr>
              <w:t xml:space="preserve"> papildomos informacijos apie valstybės pagalbą, suteiktą pagal 2022 m. valstybės pagalbos klimato ir aplinkos apsaugai ir energetikai gaires</w:t>
            </w:r>
            <w:r>
              <w:rPr>
                <w:sz w:val="32"/>
                <w:szCs w:val="32"/>
                <w:vertAlign w:val="superscript"/>
              </w:rPr>
              <w:footnoteReference w:id="2"/>
            </w:r>
            <w:r>
              <w:rPr>
                <w:sz w:val="32"/>
              </w:rPr>
              <w:t xml:space="preserve">, pateikimo forma</w:t>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4.5 skyrius. Pagalba taršos, kuri nėra šiltnamio efektą sukeliančių dujų išmetimas, prevencijai arba mažinimui</w:t>
            </w:r>
            <w:r>
              <w:rPr>
                <w:sz w:val="32"/>
              </w:rPr>
              <w:t xml:space="preserve">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xml:space="preserve">* oficialiai dar nepriimta.</w:t>
            </w:r>
          </w:p>
        </w:tc>
      </w:tr>
    </w:tbl>
    <w:p w14:paraId="5F26D476" w14:textId="4F5B65DA" w:rsidR="000442F5" w:rsidRPr="00711243" w:rsidRDefault="000442F5" w:rsidP="000442F5">
      <w:pPr>
        <w:spacing w:before="120" w:after="120"/>
        <w:ind w:right="-142"/>
        <w:jc w:val="both"/>
        <w:rPr>
          <w:i/>
          <w:iCs/>
        </w:rPr>
      </w:pPr>
      <w:r>
        <w:rPr>
          <w:i/>
        </w:rPr>
        <w:t xml:space="preserve">Ši papildomos informacijos pateikimo forma turi būti pildoma, kai pranešama apie bet kokią pagalbą, kuriai taikomos 2022 m. valstybės pagalbos klimato ir aplinkos apsaugai ir energetikai gairės (toliau – PKAAE gairės).</w:t>
      </w:r>
    </w:p>
    <w:p w14:paraId="1B60656B" w14:textId="37F96FA1" w:rsidR="009E2EA1" w:rsidRPr="00711243" w:rsidRDefault="0072538B" w:rsidP="009E2EA1">
      <w:pPr>
        <w:spacing w:before="120" w:after="120"/>
        <w:ind w:right="-142"/>
        <w:jc w:val="both"/>
        <w:rPr>
          <w:i/>
          <w:iCs/>
        </w:rPr>
      </w:pPr>
      <w:r>
        <w:rPr>
          <w:i/>
        </w:rPr>
        <w:t xml:space="preserve">Šioje formoje pateikiama papildoma informacija apie priemones, kurioms taikomas PKAAE gairių 4.5 skyrius.</w:t>
      </w:r>
      <w:r>
        <w:rPr>
          <w:i/>
        </w:rPr>
        <w:t xml:space="preserve"> </w:t>
      </w:r>
      <w:r>
        <w:rPr>
          <w:i/>
        </w:rPr>
        <w:t xml:space="preserve">Jei pranešama apie priemones, kurioms taikomas daugiau nei vienas PKAAE gairių skyrius, užpildykite ir atitinkamą su atitinkamu PKAAE gairių skyriumi susijusią papildomos informacijos pateikimo formą, kai turėsite reikiamą informaciją.</w:t>
      </w:r>
      <w:r>
        <w:rPr>
          <w:i/>
        </w:rPr>
        <w:t xml:space="preserve"> </w:t>
      </w:r>
    </w:p>
    <w:p w14:paraId="05E36007" w14:textId="5E24D00F" w:rsidR="009E2EA1" w:rsidRPr="00711243" w:rsidRDefault="009E2EA1" w:rsidP="009E2EA1">
      <w:pPr>
        <w:spacing w:before="120" w:after="120"/>
        <w:ind w:right="-142"/>
        <w:jc w:val="both"/>
        <w:rPr>
          <w:i/>
          <w:iCs/>
        </w:rPr>
      </w:pPr>
      <w:r>
        <w:rPr>
          <w:i/>
        </w:rPr>
        <w:t xml:space="preserve">Valstybės narės turi sunumeruoti visus prie šios papildomos informacijos pateikimo formos pridedamus dokumentus ir nurodyti dokumentų numerius atitinkamose šios formos skirsniuose.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 xml:space="preserve">A skirsnis.</w:t>
            </w:r>
            <w:r>
              <w:rPr>
                <w:b/>
                <w:sz w:val="32"/>
              </w:rPr>
              <w:t xml:space="preserve"> </w:t>
            </w:r>
            <w:r>
              <w:rPr>
                <w:b/>
                <w:sz w:val="32"/>
              </w:rPr>
              <w:t xml:space="preserve">Priemonės (-ių), apie kurią (-ias) pranešama, pagrindinių charakteristikų santrauka</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 xml:space="preserve">Priemonės (-ių), apie kurią (-ias) pranešama, aplinkybės ir tikslas (-ai)</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 xml:space="preserve">Jei dar nenurodėte formos „Bendroji informacija“ 5.2 skirsnyje (I dalis), nurodykite priemonės aplinkybes ir pagrindinį tikslą, įskaitant Sąjungos aplinkos apsaugos tikslą (-us), kurio (-ių) siekimą ketinama remti šia priemone.</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Nurodykite visus kitus ja siekiamus tikslus.</w:t>
      </w:r>
      <w:r>
        <w:t xml:space="preserve"> </w:t>
      </w:r>
      <w:r>
        <w:t xml:space="preserve">Jei tikslai yra ne vien aplinkos apsaugos, paaiškinkite, ar juos pasiekus gali būti iškraipoma konkurencija vidaus rinkoje.</w:t>
      </w:r>
      <w:r>
        <w:t xml:space="preserve">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 xml:space="preserve">Įsigaliojimas ir taikymo trukmė</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 xml:space="preserve">Jei dar nenurodėte formos „Bendroji informacija“ 5.5 skirsnyje (I dalis), nurodykite numatomą pagalbos schemos įsigaliojimo datą.</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 xml:space="preserve">Nurodykite schemos taikymo trukmę</w:t>
      </w:r>
      <w:r>
        <w:rPr>
          <w:rStyle w:val="FootnoteReference"/>
          <w:rFonts w:cs="Arial Unicode MS"/>
          <w:bCs/>
          <w:lang w:bidi="si-LK"/>
        </w:rPr>
        <w:footnoteReference w:id="3"/>
      </w:r>
      <w:r>
        <w:t xml:space="preserve">.</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Pagalbos gavėjas (-ai)</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 xml:space="preserve">Jei dar nenurodėte „Bendrosios informacijos formos“ 3 skirsnyje (I dalis), apibūdinkite (galimą) priemonės (-ių) pagalbos gavėją (-us).</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 xml:space="preserve">Nurodykite pagalbos gavėjo (-ų) vietą (t. y. ar teisę dalyvauti priemonėje turi tik atitinkamoje valstybėje narėje esantys ūkio subjektai, ar ir kitose valstybėse narėse esantys ūkio subjektai).</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w:t>
      </w:r>
      <w:r>
        <w:t xml:space="preserve">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Jei taip, pateikite informaciją apie pagalbos sumą, kuri dar nesusigrąžinta, kad Komisija į ją atsižvelgtų vertindama pagalbos priemonę (-es).</w:t>
      </w:r>
      <w:r>
        <w:t xml:space="preserve">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 xml:space="preserve">Patvirtinkite, kad priemone (-ėmis) nėra teikiama pagalba veiklai, kuri nepatenka į PKAAE gairių taikymo sritį (žr. PKAAE gairių 13 punktą).</w:t>
      </w:r>
      <w:r>
        <w:t xml:space="preserve"> </w:t>
      </w:r>
      <w:r>
        <w:t xml:space="preserve">Kitu atveju pateikite išsamią informaciją.</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Priemonės (-ių) biudžetas ir finansavimas</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bCs/>
          <w:rFonts w:cs="Arial Unicode MS"/>
        </w:rPr>
      </w:pPr>
      <w:r>
        <w:t xml:space="preserve">Jei dar nenurodėte formos „Bendroji informacija“ 7.1 skirsnyje (I dalis) pateikiamoje lentelėje, nurodykite metinį ir (arba) bendrą biudžetą visai priemonės (-ių) taikymo trukmei.</w:t>
      </w:r>
      <w:r>
        <w:t xml:space="preserve"> </w:t>
      </w:r>
      <w:r>
        <w:t xml:space="preserve">Jei bendras biudžetas nežinomas (pvz., jis priklauso nuo konkursų rezultatų), nurodykite biudžeto sąmatą ir prielaidas, naudotas atitinkamai biudžeto sąmatai apskaičiuoti</w:t>
      </w:r>
      <w:r>
        <w:rPr>
          <w:rFonts w:cs="Arial Unicode MS"/>
          <w:bCs/>
          <w:vertAlign w:val="superscript"/>
          <w:lang w:bidi="si-LK"/>
        </w:rPr>
        <w:footnoteReference w:id="4"/>
      </w:r>
      <w:r>
        <w:t xml:space="preserve">.</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bCs/>
          <w:rFonts w:cs="Arial Unicode MS"/>
        </w:rPr>
      </w:pPr>
      <w:bookmarkStart w:id="3" w:name="_Ref126829235"/>
      <w:r>
        <w:t xml:space="preserve">Jei priemonė finansuojama iš mokesčio, paaiškinkite, ar:</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bCs/>
          <w:rFonts w:cs="Arial Unicode MS"/>
        </w:rPr>
      </w:pPr>
      <w:r>
        <w:t xml:space="preserve">mokestis nustatytas įstatymu arba kitu teisės aktu;</w:t>
      </w:r>
      <w:r>
        <w:t xml:space="preserve"> </w:t>
      </w:r>
      <w:r>
        <w:t xml:space="preserve">jei taip, nurodykite teisės aktą, jo numerį, priėmimo ir įsigaliojimo datą, interneto nuorodą į jį;</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mokestis vienodai taikomas ir vidaus, ir importuojamiems produktams;</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bCs/>
          <w:rFonts w:cs="Arial Unicode MS"/>
        </w:rPr>
      </w:pPr>
      <w:r>
        <w:t xml:space="preserve">priemonė, apie kurią pranešama, bus vienodai naudinga ir vidaus, ir importuojamų produktų gamintojams;</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priemonė yra visiškai ar tik iš dalies finansuojama iš mokesčio.</w:t>
      </w:r>
      <w:r>
        <w:t xml:space="preserve"> </w:t>
      </w:r>
      <w:r>
        <w:t xml:space="preserve">Jei priemonė tik iš dalies finansuojama iš mokesčio, nurodyti kitus priemonės finansavimo šaltinius ir atitinkamas jų dalis;</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priemonė, apie kurią pranešama, finansuojama iš mokesčio, iš kurio finansuojamos ir kitos pagalbos priemonės.</w:t>
      </w:r>
      <w:r>
        <w:t xml:space="preserve"> </w:t>
      </w:r>
      <w:r>
        <w:t xml:space="preserve">Jei taip, nurodykite tas kitas iš atitinkamo mokesčio finansuojamas pagalbos priemones.</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 xml:space="preserve">B skirsnis.</w:t>
            </w:r>
            <w:r>
              <w:rPr>
                <w:b/>
                <w:sz w:val="32"/>
              </w:rPr>
              <w:t xml:space="preserve"> </w:t>
            </w:r>
            <w:r>
              <w:rPr>
                <w:b/>
                <w:sz w:val="32"/>
              </w:rPr>
              <w:t xml:space="preserve">Pagalbos suderinamumo vertinimas</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 xml:space="preserve">Pozityvioji sąlyga:</w:t>
            </w:r>
            <w:r>
              <w:rPr>
                <w:i/>
                <w:sz w:val="28"/>
              </w:rPr>
              <w:t xml:space="preserve"> </w:t>
            </w:r>
            <w:r>
              <w:rPr>
                <w:i/>
                <w:sz w:val="28"/>
              </w:rPr>
              <w:t xml:space="preserve">pagalba turi skatinti ekonominės veiklos plėtrą</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 xml:space="preserve">Indėlis į ekonominės veiklos plėtrą</w:t>
            </w:r>
          </w:p>
        </w:tc>
      </w:tr>
    </w:tbl>
    <w:p w14:paraId="1E2599D2" w14:textId="2E38BD96" w:rsidR="000442F5" w:rsidRPr="00DB40A5" w:rsidRDefault="000442F5" w:rsidP="000442F5">
      <w:pPr>
        <w:spacing w:before="360" w:after="120"/>
        <w:jc w:val="both"/>
        <w:rPr>
          <w:i/>
        </w:rPr>
      </w:pPr>
      <w:r>
        <w:rPr>
          <w:i/>
        </w:rPr>
        <w:t xml:space="preserve">Kad pateiktumėte šiame skirsnyje prašomą informaciją, žr. PKAAE gairių 3.1.1 skirsnį (23–25 punktus), 4.5.1. skirsnį (253–254 punktus) ir 4.5.2. skirsnį (255–259 punktus)</w:t>
      </w:r>
      <w:r>
        <w:rPr>
          <w:i/>
          <w:color w:val="000000"/>
        </w:rPr>
        <w:t xml:space="preserve">.</w:t>
      </w:r>
      <w:r>
        <w:rPr>
          <w:i/>
        </w:rPr>
        <w:t xml:space="preserve">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Sutarties dėl Europos Sąjungos veikimo (SESV) 107 straipsnio 3 dalies c punkte nustatyta, kad Komisija gali pripažinti, kad suderinama yra „</w:t>
      </w:r>
      <w:r>
        <w:rPr>
          <w:i/>
        </w:rPr>
        <w:t xml:space="preserve">pagalba, skirta tam tikros ekonominės veiklos rūšių arba tam tikrų ekonomikos sričių plėtrai skatinti, jei ji netrikdo prekybos sąlygų taip, kad prieštarautų bendram interesui</w:t>
      </w:r>
      <w:r>
        <w:t xml:space="preserve">“.</w:t>
      </w:r>
      <w:r>
        <w:t xml:space="preserve"> </w:t>
      </w:r>
      <w:r>
        <w:t xml:space="preserve">Todėl pagal šią SESV nuostatą suderinama pagalba turi prisidėti prie tam tikros ekonominės veiklos plėtros.</w:t>
      </w:r>
      <w:r>
        <w:t xml:space="preserve"> </w:t>
      </w:r>
    </w:p>
    <w:p w14:paraId="1D59B711" w14:textId="015DAACF" w:rsidR="002A11D4" w:rsidRDefault="00E75ECB" w:rsidP="00864DCD">
      <w:pPr>
        <w:pStyle w:val="ListParagraph"/>
        <w:spacing w:before="120" w:after="120"/>
        <w:ind w:left="567"/>
        <w:contextualSpacing w:val="0"/>
        <w:jc w:val="both"/>
      </w:pPr>
      <w:r>
        <w:t xml:space="preserve">Kad būtų galima įvertinti, ar laikomasi PKAAE gairių 23 punkto, nurodykite, kokią ekonominę veiklą skatins pagalba ir kaip remiama šios veiklos plėtra.</w:t>
      </w:r>
      <w:r>
        <w:t xml:space="preserve">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Kad būtų galima įvertinti, ar laikomasi PKAAE gairių 25 punkto, „</w:t>
      </w:r>
      <w:r>
        <w:rPr>
          <w:i/>
        </w:rPr>
        <w:t xml:space="preserve">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t xml:space="preserve">“.</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Be to, nurodykite, kokiu mastu ši pagalba susijusi su PKAAE gairių 253 ir 254 punktuose aprašyta politika.</w:t>
      </w:r>
      <w:r>
        <w:t xml:space="preserve">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 xml:space="preserve">Apibūdinkite pagalbos gavėjui (-ams) taikomus tinkamumo finansuoti reikalavimus (pvz., nurodykite, kokių techninių, aplinkos apsaugos (t. y. susijusių su leidimais), finansinių (t. y. užstato) ar kitų reikalavimų turi laikytis pagalbos gavėjas (-ai).</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 xml:space="preserve">Pateikite tikslią informaciją apie pagalbos priemonės (-ių) taikymo sritį ir pagal ją (jas) remiamos veiklos rūšis, kaip nurodyta PKAAE gairių 4.5.2 skirsnyje (255–259 punktuose).</w:t>
      </w:r>
      <w:r>
        <w:t xml:space="preserve"> </w:t>
      </w:r>
      <w:r>
        <w:t xml:space="preserve">Nurodykite, kuri (-ios) iš toliau nurodytų kategorijų investicijų atitinka pagalbos skyrimo pagal priemonę reikalavimus:</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investicijos, kuriomis įmonėms sudaromos sąlygos užkirsti kelią taršai, kuri nėra šiltnamio efektą sukeliančių dujų išmetimas, arba ją sumažinti viršijant Sąjungos aplinkos apsaugos standartus;</w:t>
      </w:r>
      <w:r>
        <w:t xml:space="preserve"> </w:t>
      </w:r>
    </w:p>
    <w:p w14:paraId="291F9177" w14:textId="07226D94" w:rsidR="0073048C" w:rsidRDefault="00021C73" w:rsidP="00451471">
      <w:pPr>
        <w:pStyle w:val="ListParagraph"/>
        <w:numPr>
          <w:ilvl w:val="1"/>
          <w:numId w:val="4"/>
        </w:numPr>
        <w:spacing w:before="120" w:after="120"/>
        <w:ind w:left="1276" w:hanging="567"/>
        <w:contextualSpacing w:val="0"/>
        <w:jc w:val="both"/>
      </w:pPr>
      <w:r>
        <w:t xml:space="preserve">investicijos, kuriomis įmonėms sudaromos sąlygos užkirsti kelią taršai, kuri nėra šiltnamio efektą sukeliančių dujų išmetimas, arba ją sumažinti, jei Sąjungos standartų nėra;</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investicijos, kuriomis įmonėms sudaromos sąlygos laikytis priimtų, bet dar neįsigaliojusių Sąjungos standartų.</w:t>
      </w:r>
      <w:r>
        <w:t xml:space="preserve">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 xml:space="preserve">Jei pagalba teikiama prekiaujamų leidimų forma</w:t>
      </w:r>
      <w:r>
        <w:rPr>
          <w:rStyle w:val="FootnoteReference"/>
          <w:lang w:eastAsia="en-GB"/>
        </w:rPr>
        <w:footnoteReference w:id="5"/>
      </w:r>
      <w:r>
        <w:t xml:space="preserve">:</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 xml:space="preserve">Pateikite išsamią informaciją apie prekiaujamų leidimų schemą, nurodydami, </w:t>
      </w:r>
      <w:r>
        <w:rPr>
          <w:i/>
        </w:rPr>
        <w:t xml:space="preserve">inter alia</w:t>
      </w:r>
      <w:r>
        <w:t xml:space="preserve">, tikslus, teikimo metodiką, susijusias valdžios institucijas ir (arba) įstaigas, valstybės vaidmenį, gavėjus ir procedūrinius aspektus:</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 xml:space="preserve">paaiškinkite, kaip prekiaujamų leidimų schema parengta taip, kad būtų užkirstas kelias taršai arba ji būtų sumažinta tiek, kad jie viršytų lygius, kurie turi būti pasiekti remiantis atitinkamoms įmonėms privalomais Sąjungos standartais.</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 xml:space="preserve">Patvirtinkite, kad pagalba siekiama užkirsti kelią taršai, tiesiogiai susijusiai su pagalbos gavėjo (-ų) veikla, arba ją sumažinti.</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 xml:space="preserve">Apibūdinkite, kaip bus užtikrinta, kad teikiant pagalbą tarša nebūtų vien perkeliama iš vieno sektoriaus į kitą arba iš vienos aplinkos terpės į kitą ir kad ja būtų užtikrinamas bendras taršos sumažėjimas.</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Individualios pagalbos ir pagalbos schemų, kurios skirtos tik ypač ribotam pagalbos gavėjų skaičiui arba įsitvirtinusiam pagalbos gavėjui ir kuriomis siekiama sumažinti jų keliamą taršą, kuri nėra šiltnamio efektą sukeliančių dujų išmetimas, atveju pateikite kiekybinį išmetamųjų teršalų kiekio ir (arba) teršalų kiekio, kurį tikimasi sumažinti taikant priemonę, įvertinimą ir paaiškinkite, pagal kokį metodą jis buvo kiekybiškai įvertintas.</w:t>
      </w:r>
      <w:r>
        <w:t xml:space="preserve">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 xml:space="preserve">Nurodykite, ar pagalbos priemone taip pat prisidedama prie šiltnamio efektą sukeliančių dujų išmetimo prevencijos arba mažinimo.</w:t>
      </w:r>
    </w:p>
    <w:p w14:paraId="14FEE27F" w14:textId="31209AEC" w:rsidR="008A47DB" w:rsidRDefault="00BE3AB2" w:rsidP="00644D98">
      <w:pPr>
        <w:pStyle w:val="ListParagraph"/>
        <w:spacing w:before="120" w:after="120"/>
        <w:ind w:left="567"/>
        <w:contextualSpacing w:val="0"/>
        <w:jc w:val="both"/>
      </w:pPr>
      <w:r>
        <w:t xml:space="preserve">Jei taip, pateikite tikėtinų priemonės rezultatų, susijusių su šiltnamio efektą sukeliančių dujų ir kitų teršalų išmetimo prevencija arba mažinimu, palyginimą, remdamiesi patikimais ir išsamiais kiekybiniais įvertinimais.</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 xml:space="preserve">Jei pagrindinis pagalbos priemonės tikslas yra šiltnamio efektą sukeliančių dujų išmetimo prevencija arba mažinimas, žr. su 4.1 skirsniu susijusią papildomos informacijos pateikimo formą, nes jos suderinamumas bus vertinamas pagal 4.1 skirsnį.</w:t>
      </w:r>
      <w:r>
        <w:t xml:space="preserve"> </w:t>
      </w:r>
      <w:r>
        <w:t xml:space="preserve">Tačiau jei pagrindinis priemonės tikslas yra taršos, kuri nėra šiltnamio efektą sukeliančių dujų išmetimas, prevencija arba mažinimas, ji bus vertinama remiantis 4.5 skirsniu (PKAAE gairių 259 punktas).</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 xml:space="preserve">Skatinamasis poveikis</w:t>
            </w:r>
          </w:p>
        </w:tc>
      </w:tr>
    </w:tbl>
    <w:p w14:paraId="20915284" w14:textId="40B64390" w:rsidR="00015E2B" w:rsidRPr="00A05235" w:rsidRDefault="00B15313" w:rsidP="00015E2B">
      <w:pPr>
        <w:spacing w:before="360" w:after="120"/>
        <w:jc w:val="both"/>
        <w:rPr>
          <w:i/>
        </w:rPr>
      </w:pPr>
      <w:r>
        <w:rPr>
          <w:i/>
        </w:rPr>
        <w:t xml:space="preserve">Kad pateiktumėte šiame skirsnyje prašomą informaciją, žr. PKAAE gairių 3.1.2 skirsnį (26–32 punktus) ir 4.5.3 skirsnį (260–262 punktus).</w:t>
      </w:r>
      <w:r>
        <w:rPr>
          <w:i/>
        </w:rPr>
        <w:t xml:space="preserve">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 xml:space="preserve">Pagalba gali būti laikoma skatinančia ekonominę veiklą tik tuo atveju, jei ji turi skatinamąjį poveikį.</w:t>
      </w:r>
      <w:r>
        <w:t xml:space="preserve"> </w:t>
      </w:r>
      <w:r>
        <w:t xml:space="preserve">Kad būtų galima įvertinti, ar laikomasi PKAAE gairių 26 punkto, paaiškinkite, kaip priemonė (-ės) „</w:t>
      </w:r>
      <w:r>
        <w:rPr>
          <w:i/>
        </w:rPr>
        <w:t xml:space="preserve">paskatina pagalbos gavėją keisti elgesį, imtis papildomos ekonominės veiklos arba aplinkai palankesnės ekonominės veiklos, kurios jis be pagalbos nevykdytų arba vykdytų ribotai ar kitaip</w:t>
      </w:r>
      <w:r>
        <w:t xml:space="preserve">“.</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 xml:space="preserve">Vadovaudamiesi PKAAE gairių 28 punktu pateikite toliau nurodytą informaciją.</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 xml:space="preserve">Išsamiai aprašykite numatomą pasiekti faktinį scenarijų, jei pagalbos priemonė būtų įgyvendinta, ir tikėtiną priešingos padėties scenarijų (-us), jei pagalbos priemonė nebūtų įgyvendinta</w:t>
      </w:r>
      <w:r>
        <w:rPr>
          <w:vertAlign w:val="superscript"/>
        </w:rPr>
        <w:footnoteReference w:id="6"/>
      </w:r>
      <w:r>
        <w:t xml:space="preserve">.</w:t>
      </w:r>
      <w:r>
        <w:t xml:space="preserve"> </w:t>
      </w:r>
      <w:r>
        <w:t xml:space="preserve">Jei numatote, kad parama gali būti teikiama skirtingų kategorijų pagalbos gavėjams, užtikrinkite, kad priešingos padėties scenarijuje būtų patikimai atspindėta kiekviena iš šių kategorijų.</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Atkreipkite dėmesį </w:t>
      </w:r>
      <w:bookmarkStart w:id="6" w:name="_Ref116917289"/>
      <w:r>
        <w:t xml:space="preserve">į reikalavimus dėl priešingos padėties scenarijaus, įtrauktus į PKAAE gairių 266 ir 226–230 punktus, visų pirma:</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 xml:space="preserve">Apskritai priešingos padėties scenarijus atitinka investiciją, kurios dydis, naudojimo laikotarpis ir, jei tinkama, kitos svarbios techninės charakteristikos yra tokios pačios, kaip aplinkai nekenksmingos investicijos, tačiau dėl to aplinkos apsaugos lygis yra žemesnis;</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kita galimybė – priešingos padėties scenarijus taip pat gali atitikti vieną iš šių scenarijų:</w:t>
      </w:r>
      <w:r>
        <w:t xml:space="preserve"> </w:t>
      </w:r>
    </w:p>
    <w:p w14:paraId="74EED86D" w14:textId="522BD070" w:rsidR="00494C68" w:rsidRPr="00E374B9" w:rsidRDefault="00494C68" w:rsidP="00B82F95">
      <w:pPr>
        <w:pStyle w:val="ListParagraph"/>
        <w:numPr>
          <w:ilvl w:val="1"/>
          <w:numId w:val="39"/>
        </w:numPr>
        <w:spacing w:before="120" w:after="120"/>
        <w:contextualSpacing w:val="0"/>
        <w:jc w:val="both"/>
      </w:pPr>
      <w:r>
        <w:t xml:space="preserve">jame galėtų būti numatytas tolesnis esamų įrenginių ar įrangos eksploatavimas laikotarpiu, atitinkančiu aplinkai nekenksmingos investicijos naudojimo laikotarpį;</w:t>
      </w:r>
      <w:r>
        <w:t xml:space="preserve"> </w:t>
      </w:r>
      <w:r>
        <w:t xml:space="preserve">tokiu atveju reikėtų atsižvelgti į diskontuotas to laikotarpio techninės priežiūros, remonto ir modernizavimo išlaidas (PKAAE gairių 227 punktas);</w:t>
      </w:r>
    </w:p>
    <w:p w14:paraId="4DB35D28" w14:textId="724607C2" w:rsidR="00494C68" w:rsidRPr="00E374B9" w:rsidRDefault="00494C68" w:rsidP="00B82F95">
      <w:pPr>
        <w:pStyle w:val="ListParagraph"/>
        <w:numPr>
          <w:ilvl w:val="1"/>
          <w:numId w:val="39"/>
        </w:numPr>
        <w:spacing w:before="120" w:after="120"/>
        <w:contextualSpacing w:val="0"/>
        <w:jc w:val="both"/>
      </w:pPr>
      <w:r>
        <w:t xml:space="preserve">vėlesnis įrenginių ar įrangos pakeitimas –</w:t>
      </w:r>
      <w:r>
        <w:t xml:space="preserve"> </w:t>
      </w:r>
      <w:r>
        <w:t xml:space="preserve">tokiu atveju reikia atsižvelgti į diskontuotą įrenginių ir įrangos vertę ir išlyginti atitinkamo įrenginių ar įrangos ekonominio naudingumo laikotarpio skirtumą pagal PKAAE gairių 228 punktą;</w:t>
      </w:r>
    </w:p>
    <w:p w14:paraId="4CFA180B" w14:textId="391048A9" w:rsidR="00494C68" w:rsidRPr="00E374B9" w:rsidRDefault="00494C68" w:rsidP="00B82F95">
      <w:pPr>
        <w:pStyle w:val="ListParagraph"/>
        <w:numPr>
          <w:ilvl w:val="1"/>
          <w:numId w:val="39"/>
        </w:numPr>
        <w:spacing w:before="120" w:after="120"/>
        <w:contextualSpacing w:val="0"/>
        <w:jc w:val="both"/>
      </w:pPr>
      <w:r>
        <w:t xml:space="preserve">mažiau aplinkai nekenksmingos įrangos, kuri būtų naudojama nesuteikus pagalbos, išperkamoji nuoma –</w:t>
      </w:r>
      <w:r>
        <w:t xml:space="preserve"> </w:t>
      </w:r>
      <w:r>
        <w:t xml:space="preserve">tokiu atveju reikėtų atsižvelgti į mažiau aplinkai nekenksmingos įrangos išperkamosios nuomos diskontuotą vertę pagal PKAAE gairių 229 punktą;</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alternatyvaus projekto nėra, visų pirma tais atvejais, kai remiama investicija susijusi su esamos infrastruktūros, įrenginių ar įrangos papildymu įrenginiais ar įranga.</w:t>
      </w:r>
      <w:r>
        <w:t xml:space="preserve">  </w:t>
      </w:r>
    </w:p>
    <w:bookmarkEnd w:id="6"/>
    <w:p w14:paraId="6257C278" w14:textId="77777777" w:rsidR="00CC7B7B" w:rsidRPr="00CC7B7B" w:rsidRDefault="00CC7B7B" w:rsidP="00CC7B7B">
      <w:pPr>
        <w:pStyle w:val="ListParagraph"/>
        <w:spacing w:before="120" w:after="120"/>
        <w:ind w:left="1418"/>
        <w:contextualSpacing w:val="0"/>
        <w:jc w:val="both"/>
      </w:pPr>
      <w:r>
        <w:t xml:space="preserve">Aprašydami faktinį scenarijų ir tikėtiną priešingos padėties scenarijų (-us), nurodykite investicijos dydį, naudojimo laikotarpį ir kitas technines charakteristikas pagal faktinį ir priešingos padėties scenarijų (-us).</w:t>
      </w:r>
      <w:r>
        <w:t xml:space="preserve">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 xml:space="preserve">Atsižvelgdami į siūlomas skirtingas pagalbos gavėjų kategorijas, jei taikytina, trumpai pagrįskite, kodėl pasirinkote šį tikėtiną priešingos padėties scenarijų (-us).</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 xml:space="preserve">Kiekybiškai įvertinkite faktinio ir priešingos padėties scenarijų išlaidas ir pajamas ir pagrįskite kiekvienos kategorijos pagalbos gavėjų, jei aktualu, elgesio pokyčius, remdamiesi:</w:t>
      </w:r>
    </w:p>
    <w:p w14:paraId="10227AFD" w14:textId="34C797B9" w:rsidR="002158CE" w:rsidRDefault="00BF736D" w:rsidP="00B82F95">
      <w:pPr>
        <w:pStyle w:val="ListParagraph"/>
        <w:numPr>
          <w:ilvl w:val="0"/>
          <w:numId w:val="23"/>
        </w:numPr>
        <w:spacing w:before="120" w:after="120"/>
        <w:ind w:left="1276" w:hanging="284"/>
        <w:contextualSpacing w:val="0"/>
        <w:jc w:val="both"/>
      </w:pPr>
      <w:r>
        <w:t xml:space="preserve">atitinkamu etaloniniu projektu</w:t>
      </w:r>
      <w:r>
        <w:rPr>
          <w:rStyle w:val="FootnoteReference"/>
        </w:rPr>
        <w:footnoteReference w:id="7"/>
      </w:r>
      <w:r>
        <w:t xml:space="preserve">, atitinkamais priešingos padėties scenarijais ir dėl jų atsiradusiu trūkstamu finansavimu;</w:t>
      </w:r>
      <w:r>
        <w:t xml:space="preserve"> </w:t>
      </w:r>
    </w:p>
    <w:p w14:paraId="2B4E89F9" w14:textId="77777777" w:rsidR="002158CE" w:rsidRPr="00B70424" w:rsidRDefault="002158CE" w:rsidP="002158CE">
      <w:pPr>
        <w:pStyle w:val="ListParagraph"/>
        <w:spacing w:before="120" w:after="120"/>
        <w:ind w:left="949"/>
        <w:contextualSpacing w:val="0"/>
        <w:jc w:val="both"/>
        <w:rPr>
          <w:i/>
          <w:iCs/>
        </w:rPr>
      </w:pPr>
      <w:r>
        <w:rPr>
          <w:i/>
        </w:rPr>
        <w:t xml:space="preserve">ARBA</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 xml:space="preserve">atitinkamais kiekybiniais įrodymais, pagrįstais rinkos tyrimais, investuotojų planais, finansinėmis ataskaitomis ar kitais kiekybiniais įrodymais, be kita ko, per neseniai vykusius panašaus pobūdžio konkurencinius konkursus pateiktais konkursiniais pasiūlymais dėl panašių projektų</w:t>
      </w:r>
      <w:r>
        <w:rPr>
          <w:vertAlign w:val="superscript"/>
          <w:lang w:eastAsia="en-GB"/>
        </w:rPr>
        <w:footnoteReference w:id="8"/>
      </w:r>
      <w:r>
        <w:t xml:space="preserve">.</w:t>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 xml:space="preserve">Kad įrodytumėte, jog laikotės PKAAE gairių 29 ir 31 punktų:</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 xml:space="preserve">patvirtinkite, kad su projektu susijusių darbų ar veiklos pagalbos gavėjas nepradėjo anksčiau, nei nacionalinėms valdžios institucijoms pateikė rašytinę paraišką gauti pagalbą,</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 xml:space="preserve">ARBA</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projekto, pradėto įgyvendinti prieš pateikiant paraišką gauti pagalbą, atveju įrodykite, kad taikoma viena iš PKAAE gairių 31 punkto a, b arba c papunkčiuose nurodytų išimčių.</w:t>
      </w:r>
      <w:r>
        <w:t xml:space="preserve">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 xml:space="preserve">Kad įrodytumėte, jog laikotės PKAAE gairių 30 punkto, patvirtinkite, kad paraiškoje gauti pagalbą yra nurodytas bent jau pareiškėjo pavadinimas, projekto ar veiklos aprašymas, įskaitant jų vietą, ir pagalbos suma, reikalinga jiems įgyvendinti.</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 xml:space="preserve">Kad įrodytumėte, kad laikotės PKAAE gairių 32, 261 ir 262 punktų:</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r>
      <w:r>
        <w:t xml:space="preserve">nurodykite, ar priemonei (-ėms), apie kurią (-ias) pranešama, taikomi Sąjungos standartai</w:t>
      </w:r>
      <w:r>
        <w:rPr>
          <w:rStyle w:val="FootnoteReference"/>
          <w:lang w:val="en-IE" w:eastAsia="en-GB"/>
        </w:rPr>
        <w:footnoteReference w:id="9"/>
      </w:r>
      <w:r>
        <w:t xml:space="preserve">, privalomi nacionaliniai standartai, kurie yra griežtesni ar platesnio užmojo nei atitinkami Sąjungos standartai, arba, jei Sąjungos standartų nėra, ar priimti privalomi nacionaliniai standartai.</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Atsižvelgdami į tai, pateikite skatinamąjį poveikį įrodančią informaciją.</w:t>
      </w:r>
      <w:r>
        <w:t xml:space="preserve">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Tais atvejais, kai atitinkamas Sąjungos standartas jau priimtas, bet dar neįsigaliojo, įrodykite, kad pagal PKAAE gairių 262 punktą pagalba turi skatinamąjį poveikį, nes ja skatinama investicijas iki galo įgyvendinti likus ne mažiau kaip 18 mėnesių iki standarto įsigaliojimo.</w:t>
      </w:r>
      <w:r>
        <w:t xml:space="preserve">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 xml:space="preserve">Nepažeidžiama jokia atitinkama Sąjungos teisės nuostata</w:t>
            </w:r>
          </w:p>
        </w:tc>
      </w:tr>
    </w:tbl>
    <w:p w14:paraId="665FE026" w14:textId="5AC3641E" w:rsidR="00DE1D68" w:rsidRDefault="00DE1D68" w:rsidP="00DE1D68">
      <w:pPr>
        <w:spacing w:before="360" w:after="120"/>
        <w:jc w:val="both"/>
        <w:rPr>
          <w:i/>
        </w:rPr>
      </w:pPr>
      <w:r>
        <w:rPr>
          <w:i/>
        </w:rPr>
        <w:t xml:space="preserve">Kad pateiktumėte šiame skirsnyje prašomą informaciją, žr. PKAAE gairių 3.1.3 skirsnį (33 punktą).</w:t>
      </w:r>
      <w:r>
        <w:rPr>
          <w:i/>
        </w:rPr>
        <w:t xml:space="preserve"> </w:t>
      </w:r>
    </w:p>
    <w:p w14:paraId="3E98C3D7" w14:textId="29B82232" w:rsidR="00BE702A" w:rsidRDefault="0023543E" w:rsidP="00451471">
      <w:pPr>
        <w:pStyle w:val="ListParagraph"/>
        <w:numPr>
          <w:ilvl w:val="0"/>
          <w:numId w:val="4"/>
        </w:numPr>
        <w:spacing w:before="120" w:after="120"/>
        <w:ind w:left="567" w:hanging="567"/>
        <w:contextualSpacing w:val="0"/>
        <w:jc w:val="both"/>
      </w:pPr>
      <w:r>
        <w:t xml:space="preserve">Pateikite informaciją ir patvirtinkite, kad laikomasi atitinkamų ES teisės nuostatų, kaip nurodyta PKAAE gairių 33 punkte.</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 xml:space="preserve">Jei priemonei (-ėms) finansuoti naudojamas mokestis, paaiškinkite, ar reikia atlikti vertinimą, kad būtų nustatyta, ar laikomasi SESV 30 ir 110 straipsnių.</w:t>
      </w:r>
      <w:r>
        <w:t xml:space="preserve"> </w:t>
      </w:r>
      <w:r>
        <w:t xml:space="preserve">Jei taip, įrodykite, kaip priemonė atitinka SESV 30 ir 110 straipsnių nuostatas.</w:t>
      </w:r>
      <w:r>
        <w:rPr>
          <w:i/>
        </w:rPr>
        <w:t xml:space="preserve"> </w:t>
      </w:r>
      <w:r>
        <w:t xml:space="preserve">Jei priemonė (-ės), apie kurią (-ias) pranešama, yra finansuojama (-os) iš mokesčio, pateikdami įrodymus galite remtis </w:t>
      </w:r>
      <w:r>
        <w:fldChar w:fldCharType="begin" w:dirty="true"/>
      </w:r>
      <w:r>
        <w:instrText xml:space="preserve"> REF _Ref126829229 \w \h </w:instrText>
      </w:r>
      <w:r>
        <w:instrText xml:space="preserve"> \* MERGEFORMAT </w:instrText>
      </w:r>
      <w:r/>
      <w:r>
        <w:fldChar w:fldCharType="separate"/>
      </w:r>
      <w:r>
        <w:t xml:space="preserve">5</w:t>
      </w:r>
      <w:r>
        <w:fldChar w:fldCharType="end"/>
      </w:r>
      <w:r>
        <w:t xml:space="preserve"> punkto </w:t>
      </w:r>
      <w:r>
        <w:fldChar w:fldCharType="begin" w:dirty="true"/>
      </w:r>
      <w:r>
        <w:instrText xml:space="preserve"> REF _Ref126829235 \w \h </w:instrText>
      </w:r>
      <w:r>
        <w:instrText xml:space="preserve"> \* MERGEFORMAT </w:instrText>
      </w:r>
      <w:r/>
      <w:r>
        <w:fldChar w:fldCharType="separate"/>
      </w:r>
      <w:r>
        <w:t xml:space="preserve">ii</w:t>
      </w:r>
      <w:r>
        <w:fldChar w:fldCharType="end"/>
      </w:r>
      <w:r>
        <w:t xml:space="preserve"> papunktyje pateikta informacija.</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 xml:space="preserve">Negatyvioji sąlyga:</w:t>
            </w:r>
            <w:r>
              <w:rPr>
                <w:i/>
                <w:color w:val="000000"/>
                <w:sz w:val="28"/>
              </w:rPr>
              <w:t xml:space="preserve"> </w:t>
            </w:r>
            <w:r>
              <w:rPr>
                <w:i/>
                <w:color w:val="000000"/>
                <w:sz w:val="28"/>
              </w:rPr>
              <w:t xml:space="preserve">pagalba negalima trikdyti prekybos sąlygų taip, kad prieštarautų bendram interesui</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 xml:space="preserve">Konkurencijos ir prekybos iškraipymo mažinimas</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 xml:space="preserve">Pagalbos būtinumas</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color w:val="000000"/>
        </w:rPr>
        <w:t xml:space="preserve">Kad pateiktumėte šiame skirsnyje prašomą informaciją</w:t>
      </w:r>
      <w:r>
        <w:rPr>
          <w:i/>
          <w:color w:val="000000"/>
        </w:rPr>
        <w:t xml:space="preserve">, žr. PKAAE gairių 3.2.1.1 skirsnį (34–38 punktus) ir 4.5.4.1 skirsnį (264 punktą).</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 xml:space="preserve">Paaiškinkite, kokį rinkos nepakankamumą, trukdantį užtikrinti pakankamą aplinkos apsaugos lygį, nustatė jūsų valdžios institucijos.</w:t>
      </w:r>
      <w:r>
        <w:t xml:space="preserve"> </w:t>
      </w:r>
      <w:r>
        <w:t xml:space="preserve">Nurodykite nustatytų rinkos nepakankamumo kategoriją pagal PKAAE gairių 34 punkto a, b, c ar d papunkčius.</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Vadovaudamiesi PKAAE gairių 35 punktu pateikite informaciją</w:t>
      </w:r>
      <w:r>
        <w:t xml:space="preserve">, ar jūsų valdžios institucijos nustatė, kad jau yra taikoma </w:t>
      </w:r>
      <w:r>
        <w:rPr>
          <w:shd w:val="clear" w:color="auto" w:fill="FFFFFF"/>
        </w:rPr>
        <w:t xml:space="preserve">politika ir priemonės, kuriomis siekiama pašalinti nustatytą reguliavimo ar rinkos nepakankamumą.</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Kad įrodytumėte, kad laikotės PKAAE gairių 36 punkto, pateikite informaciją ir įrodykite, kad pagalba efektyviai šalinamas likutinis rinkos nepakankamumas, taip pat atsižvelkite į visą kitą jau taikomą politiką ir priemones, kuriomis siekiama pašalinti tam tikrą nustatytą rinkos nepakankamumą.</w:t>
      </w:r>
      <w:r>
        <w:t xml:space="preserve">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rPr>
          <w:color w:val="000000"/>
          <w:shd w:val="clear" w:color="auto" w:fill="FFFFFF"/>
        </w:rPr>
        <w:t xml:space="preserve">Kad įrodytumėte</w:t>
      </w:r>
      <w:r>
        <w:rPr>
          <w:color w:val="000000"/>
          <w:shd w:val="clear" w:color="auto" w:fill="FFFFFF"/>
        </w:rPr>
        <w:t xml:space="preserve">, kad laikotės PKAAE gairių 37 punkto, paaiškinkite ar, jūsų valdžios</w:t>
      </w:r>
      <w:r>
        <w:rPr>
          <w:color w:val="000000"/>
          <w:shd w:val="clear" w:color="auto" w:fill="FFFFFF"/>
        </w:rPr>
        <w:t xml:space="preserve"> institucijų žiniomis, Sąjungoje rinkos sąlygomis jau įgyvendinami</w:t>
      </w:r>
      <w:r>
        <w:rPr>
          <w:color w:val="000000"/>
          <w:shd w:val="clear" w:color="auto" w:fill="FFFFFF"/>
        </w:rPr>
        <w:t xml:space="preserve"> projektai arba vykdoma veikla, kurie pagal savo technologinį turinį, rizikos lygį ir mastą yra panašūs į tuos, kuriems taikoma priemonė (-ės), apie kurią (-ias) pranešama.</w:t>
      </w:r>
      <w:r>
        <w:t xml:space="preserve"> </w:t>
      </w:r>
      <w:r>
        <w:t xml:space="preserve">Jei taip, pateikite papildomų įrodymų, kad valstybės pagalba yra būtina.</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Kad įrodytumėte, kad laikotės PKAAE gairių 38 punkto, remkitės kiekybiniais įrodymais, kuriuos jau pateikėte 17 punkte.</w:t>
      </w:r>
      <w:r>
        <w:t xml:space="preserve">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 xml:space="preserve">Jei pagalba teikiama prekiaujamų leidimų forma, pateikite įrodymų, kad įvykdytos visos šios sąlygos pagal PKAAE gairių 264 punktą:</w:t>
      </w:r>
    </w:p>
    <w:p w14:paraId="6A67C252" w14:textId="5E5711BB" w:rsidR="00071540" w:rsidRDefault="00F60556" w:rsidP="00B82F95">
      <w:pPr>
        <w:numPr>
          <w:ilvl w:val="1"/>
          <w:numId w:val="37"/>
        </w:numPr>
        <w:ind w:left="1701" w:hanging="567"/>
      </w:pPr>
      <w:r>
        <w:t xml:space="preserve">visus leidimus parduodant aukcione labai padidėja kiekvieno sektoriaus arba kiekvienos kategorijos pagalbos gavėjų gamybos sąnaudos;</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 xml:space="preserve">labai padidėjusių gamybos sąnaudų vartotojams neįmanoma perkelti taip, kad smarkiai nesumažėtų pardavimas</w:t>
      </w:r>
      <w:r>
        <w:rPr>
          <w:rStyle w:val="FootnoteReference"/>
          <w:lang w:eastAsia="en-GB"/>
        </w:rPr>
        <w:footnoteReference w:id="10"/>
      </w:r>
      <w:r>
        <w:t xml:space="preserve">;</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sektoriuje veikiančios atskiros įmonės negali sumažinti išmetamųjų teršalų kiekių taip, kad su sertifikatais ir (arba) prekiaujamais leidimais susijusias išlaidas sumažintų iki toms bendrovėms priimtino lygio.</w:t>
      </w:r>
      <w:r>
        <w:t xml:space="preserve"> </w:t>
      </w:r>
      <w:r>
        <w:t xml:space="preserve">Tai galima įrodyti palyginant potencialių pagalbos gavėjų išmetamų teršalų kiekį su išmetamųjų teršalų kiekiais, kurie išmetami taikant geriausią technologiją, ir parodant, kad kaip lyginamasis standartas išduodamo leidimo dydžiui buvo taikoma geriausia EEE technologija.</w:t>
      </w:r>
      <w:r>
        <w:t xml:space="preserve">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Tinkamumas</w:t>
            </w:r>
            <w:r>
              <w:rPr>
                <w:color w:val="000000"/>
              </w:rPr>
              <w:t xml:space="preserve"> </w:t>
            </w:r>
          </w:p>
        </w:tc>
      </w:tr>
    </w:tbl>
    <w:p w14:paraId="4C2D927B" w14:textId="2ECE2CFC" w:rsidR="00EA354A" w:rsidRPr="00F83660" w:rsidRDefault="00EA354A" w:rsidP="00EA354A">
      <w:pPr>
        <w:spacing w:before="360" w:after="120"/>
        <w:jc w:val="both"/>
        <w:rPr>
          <w:i/>
          <w:color w:val="000000"/>
        </w:rPr>
      </w:pPr>
      <w:r>
        <w:rPr>
          <w:i/>
          <w:color w:val="000000"/>
        </w:rPr>
        <w:t xml:space="preserve">Kad</w:t>
      </w:r>
      <w:r>
        <w:rPr>
          <w:i/>
          <w:color w:val="000000"/>
        </w:rPr>
        <w:t xml:space="preserve"> pateiktumėte šiame skirsnyje prašomą informaciją, žr. PKAAE gairių 3.2.1.2 skirsnį (39–46 punktus).</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Kad būtų galima patikrinti, ar laikomasi PKAAE gairių 40 punkto, įrodykite, kad nėra mažesnio iškreipiamojo poveikio priemonių, kurios būtų tinkamesnės.</w:t>
      </w:r>
      <w:r>
        <w:t xml:space="preserve">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 xml:space="preserve">Kad būtų galima patikrinti, ar laikomasi PKAAE gairių 41 punkto, įrodykite, kad pagalbos priemonė parengta taip, kad nesumažintų kitų tam pačiam rinkos nepakankamumui pašalinti skirtų priemonių (pvz., tokių rinka grindžiamų mechanizmų kaip ES ATLPS) efektyvumo.</w:t>
      </w:r>
      <w:r>
        <w:rPr>
          <w:rStyle w:val="normaltextrun"/>
          <w:color w:val="000000"/>
          <w:shd w:val="clear" w:color="auto" w:fill="FFFFFF"/>
        </w:rPr>
        <w:t xml:space="preserve">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rPr>
          <w:shd w:val="clear" w:color="auto" w:fill="FFFFFF"/>
          <w:color w:val="000000"/>
        </w:rPr>
        <w:t xml:space="preserve">Kad būtų galima patikrinti, ar laikomasi PKAAE gairių 42 punkto, patvirtinkite, kad nė vienas pagal priemonę (-es) teikiamos pagalbos gavėjas negali būti laikomas atsakingu už taršą pagal galiojančius Sąjungos ar nacionalinės teisės aktus (</w:t>
      </w:r>
      <w:r>
        <w:rPr>
          <w:shd w:val="clear" w:color="auto" w:fill="FFFFFF"/>
          <w:color w:val="000000"/>
          <w:i/>
        </w:rPr>
        <w:t xml:space="preserve">principas „teršėjas moka“</w:t>
      </w:r>
      <w:r>
        <w:rPr>
          <w:shd w:val="clear" w:color="auto" w:fill="FFFFFF"/>
          <w:color w:val="000000"/>
        </w:rPr>
        <w:t xml:space="preserve">).</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Kad būtų galima patikrinti, ar laikomasi PKAAE gairių 43–46 punktų, ir siekdami įrodyti pagal įvairias pagalbos priemones teikiamos pagalbos tinkamumą, pateikite šią informaciją:</w:t>
      </w:r>
      <w:r>
        <w:t xml:space="preserve"> </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paaiškinkite, kodėl kitų formų potencialiai mažesnį iškraipomąjį poveikį turinti pagalba yra mažiau tinkama, </w:t>
      </w:r>
      <w:r>
        <w:rPr>
          <w:rStyle w:val="normaltextrun"/>
        </w:rPr>
        <w:t xml:space="preserve">kaip reikalaujama PKAAE gairių 44 punkte</w:t>
      </w:r>
      <w:r>
        <w:t xml:space="preserve">.</w:t>
      </w:r>
      <w:r>
        <w:t xml:space="preserve"> </w:t>
      </w:r>
      <w:r>
        <w:t xml:space="preserve">Mažesnį iškraipomąjį poveikį turinčios pagalbos formos gali būti grąžintini avansai, palyginti su tiesioginėmis dotacijomis,</w:t>
      </w:r>
      <w:r>
        <w:t xml:space="preserve"> </w:t>
      </w:r>
      <w:r>
        <w:t xml:space="preserve">mokesčių kreditai, palyginti su mokesčių sumažinimu,</w:t>
      </w:r>
      <w:r>
        <w:t xml:space="preserve"> </w:t>
      </w:r>
      <w:r>
        <w:t xml:space="preserve">arba tokių formų pagalba, kuri yra grindžiama tokiomis finansinėmis priemonėmis, kaip skolos ar nuosavybės priemonės, pavyzdžiui, mažų palūkanų paskolos arba palūkanų subsidijos, valstybės garantijos arba kitoks kapitalo teikimas palankiomis sąlygomis;</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 xml:space="preserve">įrodykite, kad pagalbos priemonės pasirinkimas atitinka rinkos nepakankamumą, kurį ta pagalbos priemone (-ėmis) siekiama pašalinti, kaip reikalaujama PKAAE gairių 45 punkte;</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 xml:space="preserve">paaiškinkite, kaip pagalbos priemonė ir jos struktūra yra tinkamos siekti to priemonės tikslo </w:t>
      </w:r>
      <w:r>
        <w:rPr>
          <w:rStyle w:val="normaltextrun"/>
        </w:rPr>
        <w:t xml:space="preserve">(PKAAE gairių 46 punktas)</w:t>
      </w:r>
      <w:r>
        <w:t xml:space="preserve">.</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Proporcingumas</w:t>
            </w:r>
            <w:r>
              <w:t xml:space="preserve"> </w:t>
            </w:r>
          </w:p>
        </w:tc>
      </w:tr>
    </w:tbl>
    <w:p w14:paraId="5A2A77DE" w14:textId="629E0C5C" w:rsidR="00451471" w:rsidRDefault="00863406" w:rsidP="00864350">
      <w:pPr>
        <w:spacing w:before="360" w:after="120"/>
        <w:jc w:val="both"/>
        <w:rPr>
          <w:i/>
        </w:rPr>
      </w:pPr>
      <w:r>
        <w:rPr>
          <w:i/>
        </w:rPr>
        <w:t xml:space="preserve">Kad pateiktumėte šiame skirsnyje prašomą informaciją, žr. PKAAE gairių 3.2.1,3 skirsnį (47–57 punktus) ir 4.5.4,2 skirsnį (265–273 punktus).</w:t>
      </w:r>
      <w:r>
        <w:rPr>
          <w:i/>
        </w:rPr>
        <w:t xml:space="preserve"> </w:t>
      </w:r>
      <w:r>
        <w:rPr>
          <w:i/>
        </w:rPr>
        <w:t xml:space="preserve">Atkreipkite dėmesį, kad reikia užpildyti </w:t>
      </w:r>
      <w:r>
        <w:rPr>
          <w:i/>
          <w:u w:val="single"/>
        </w:rPr>
        <w:t xml:space="preserve">tik 2.1.3.2., 2.1.3.3. arba 2.1.3.4 skirsnį</w:t>
      </w:r>
      <w:r>
        <w:rPr>
          <w:i/>
        </w:rPr>
        <w:t xml:space="preserve">.</w:t>
      </w:r>
      <w:r>
        <w:rPr>
          <w:i/>
        </w:rPr>
        <w:t xml:space="preserve"> </w:t>
      </w:r>
      <w:r>
        <w:rPr>
          <w:i/>
        </w:rPr>
        <w:t xml:space="preserve">Atsižvelkite į siūlomos priemonės pobūdį ir atsakymus pateikite tik atitinkame skirsnyje.</w:t>
      </w:r>
      <w:r>
        <w:rPr>
          <w:i/>
        </w:rPr>
        <w:t xml:space="preserve"> </w:t>
      </w:r>
      <w:r>
        <w:rPr>
          <w:i/>
        </w:rPr>
        <w:t xml:space="preserve">Jei pagalba teikiama prekiaujamų leidimų forma, taip pat pateikite informacijos 33 punkte (2.1.3.1 skirsnis).</w:t>
      </w:r>
      <w:r>
        <w:rPr>
          <w:i/>
        </w:rPr>
        <w:t xml:space="preserve">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b/>
                <w:szCs w:val="24"/>
                <w:rFonts w:eastAsia="Times New Roman"/>
              </w:rPr>
            </w:pPr>
            <w:r>
              <w:rPr>
                <w:b/>
              </w:rPr>
              <w:t xml:space="preserve">Prekiaujamų leidimų forma teikiamos pagalbos proporcingumas</w:t>
            </w:r>
            <w:r>
              <w:rPr>
                <w:b/>
              </w:rPr>
              <w:t xml:space="preserve"> </w:t>
            </w:r>
          </w:p>
        </w:tc>
      </w:tr>
    </w:tbl>
    <w:p w14:paraId="64E0C18A" w14:textId="5D959274" w:rsidR="00F60556" w:rsidRDefault="00F60556" w:rsidP="002B019C">
      <w:pPr>
        <w:pStyle w:val="ListParagraph"/>
        <w:numPr>
          <w:ilvl w:val="0"/>
          <w:numId w:val="4"/>
        </w:numPr>
        <w:spacing w:before="120" w:after="120"/>
        <w:ind w:left="567" w:hanging="567"/>
        <w:contextualSpacing w:val="0"/>
      </w:pPr>
      <w:r>
        <w:t xml:space="preserve">Jei pagalba teikiama prekiaujamų leidimų forma, kaip nurodyta 273 punkte, paaiškinkite, kaip:</w:t>
      </w:r>
    </w:p>
    <w:p w14:paraId="379BD600" w14:textId="77777777" w:rsidR="00F60556" w:rsidRDefault="00F60556" w:rsidP="00B82F95">
      <w:pPr>
        <w:numPr>
          <w:ilvl w:val="0"/>
          <w:numId w:val="42"/>
        </w:numPr>
        <w:ind w:left="1418" w:hanging="284"/>
      </w:pPr>
      <w:r>
        <w:t xml:space="preserve">leidimai bus paskirstomi skaidriai, remiantis objektyviais kriterijais ir kuo geresnės kokybės duomenų šaltiniais,</w:t>
      </w:r>
      <w:r>
        <w:t xml:space="preserve">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 xml:space="preserve">kiekvienai įmonei mažesne nei rinkos kaina suteikiamų prekiaujamų leidimų bendras skaičius neviršys numatomų jos poreikių, įvertintų remiantis padėtimi, kuri būtų, jei leidimų prekybos sistemos nebūtų.</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 xml:space="preserve">PKAAE gairių 265–273 punktuose nustatytu pagalbos intensyvumu grindžiamas pagalbos proporcingumas</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 xml:space="preserve">Kad apibūdintumėte tinkamas finansuoti išlaidas pagal priemonę, nurodykite papildomas investicines išlaidas, tiesiogiai susijusias su aukštesnio aplinkos apsaugos lygio pasiekimu.</w:t>
      </w:r>
      <w:r>
        <w:t xml:space="preserve"> </w:t>
      </w:r>
      <w:r>
        <w:t xml:space="preserve">Šiuo tikslu remkitės atitinkamu priešingos padėties scenarijumi, nurodytu 17 punkte pateiktoje informacijoje ir PKAAE gairių 266 ir 226–230 punktuose.</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Paaiškinkite, kaip bus nustatomos ir tikrinamos investicinės išlaidos pagal faktinius ir priešingos padėties scenarijus.</w:t>
      </w:r>
      <w:r>
        <w:t xml:space="preserve">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Nurodykite pagal priemonę taikomą didžiausią pagalbos intensyvumą ir tai, ar taikomos kokios nors priemokos (žr. PKAAE gairių 267–270 punktus).</w:t>
      </w:r>
      <w:r>
        <w:t xml:space="preserve">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Ekologinių inovacijų veiklos atveju įrodykite, kad įvykdytos visos šios sąlygos (PKAAE gairių 270 punktas):</w:t>
      </w:r>
      <w:r>
        <w:t xml:space="preserve"> </w:t>
      </w:r>
    </w:p>
    <w:p w14:paraId="00DF35DD" w14:textId="77777777" w:rsidR="00611EA4" w:rsidRDefault="00611EA4" w:rsidP="00B82F95">
      <w:pPr>
        <w:pStyle w:val="ListParagraph"/>
        <w:numPr>
          <w:ilvl w:val="0"/>
          <w:numId w:val="36"/>
        </w:numPr>
        <w:spacing w:before="120" w:after="120"/>
        <w:contextualSpacing w:val="0"/>
        <w:jc w:val="both"/>
      </w:pPr>
      <w:r>
        <w:t xml:space="preserve">ekologinių inovacijų veikla yra nauja arba iš esmės patobulinta, palyginti su naujausiomis technologijomis atitinkamame Sąjungos sektoriuje</w:t>
      </w:r>
      <w:r>
        <w:rPr>
          <w:rStyle w:val="FootnoteReference"/>
        </w:rPr>
        <w:footnoteReference w:id="11"/>
      </w:r>
      <w:r>
        <w:t xml:space="preserve">;</w:t>
      </w:r>
    </w:p>
    <w:p w14:paraId="0E220A72" w14:textId="77777777" w:rsidR="00611EA4" w:rsidRDefault="00611EA4" w:rsidP="00B82F95">
      <w:pPr>
        <w:pStyle w:val="ListParagraph"/>
        <w:numPr>
          <w:ilvl w:val="0"/>
          <w:numId w:val="36"/>
        </w:numPr>
        <w:spacing w:before="120" w:after="120"/>
        <w:contextualSpacing w:val="0"/>
        <w:jc w:val="both"/>
      </w:pPr>
      <w:r>
        <w:t xml:space="preserve">numatoma nauda aplinkai yra gerokai didesnė už tą, kurią lemtų patobulinimas, atitinkantis bendrąją naujausių technologijų raidą panašiose veiklos srityse</w:t>
      </w:r>
      <w:r>
        <w:rPr>
          <w:rStyle w:val="FootnoteReference"/>
        </w:rPr>
        <w:footnoteReference w:id="12"/>
      </w:r>
      <w:r>
        <w:t xml:space="preserve">;</w:t>
      </w:r>
      <w:r>
        <w:t xml:space="preserve"> </w:t>
      </w:r>
    </w:p>
    <w:p w14:paraId="4AF782DE" w14:textId="77777777" w:rsidR="00611EA4" w:rsidRDefault="00611EA4" w:rsidP="00B82F95">
      <w:pPr>
        <w:pStyle w:val="ListParagraph"/>
        <w:numPr>
          <w:ilvl w:val="0"/>
          <w:numId w:val="36"/>
        </w:numPr>
        <w:spacing w:before="120" w:after="120"/>
        <w:contextualSpacing w:val="0"/>
        <w:jc w:val="both"/>
      </w:pPr>
      <w:r>
        <w:t xml:space="preserve">veiklos novatoriškumas susijęs su aiškia technologine, rinkos arba finansine rizika, kuri yra didesnė už riziką, paprastai siejamą su panašia ne inovacijų veikla</w:t>
      </w:r>
      <w:r>
        <w:rPr>
          <w:rStyle w:val="FootnoteReference"/>
        </w:rPr>
        <w:footnoteReference w:id="13"/>
      </w:r>
      <w:r>
        <w:t xml:space="preserve">.</w:t>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Jei, nukrypstant nuo PKAAE gairių 267–270 punktų, manoma, kad 4.5.4.2 skirsnyje nustatytą didžiausią pagalbos intensyvumą viršijanti pagalba yra reikalinga, nurodykite būtinu laikomą pagalbos dydį ir jį pagrįskite, remdamiesi pagal faktinius ir priešingos padėties scenarijus atliktos etaloninių projektų trūkstamo finansavimo analizės rezultatais (remkitės 17 punkto C dalyje pateikta informacija ir PKAAE gairių 51 ir 52 punktais).</w:t>
      </w:r>
      <w:r>
        <w:t xml:space="preserve"> </w:t>
      </w:r>
    </w:p>
    <w:p w14:paraId="25D9B659" w14:textId="6A94171C" w:rsidR="00E766C0" w:rsidRPr="00451471" w:rsidRDefault="00E766C0" w:rsidP="00451471">
      <w:pPr>
        <w:pStyle w:val="ListParagraph"/>
        <w:spacing w:before="120" w:after="120"/>
        <w:ind w:left="567"/>
        <w:contextualSpacing w:val="0"/>
        <w:jc w:val="both"/>
      </w:pPr>
      <w:r>
        <w:t xml:space="preserve">Šiai trūkstamo finansavimo analizei pateikite visų pagrindinių išlaidų ir pajamų kiekybinį įvertinimą pagal faktinį scenarijų (-us) ir patikimą priešingos padėties scenarijų (-us)</w:t>
      </w:r>
      <w:r>
        <w:rPr>
          <w:vertAlign w:val="superscript"/>
          <w:lang w:val="en-IE" w:eastAsia="en-GB"/>
        </w:rPr>
        <w:footnoteReference w:id="14"/>
      </w:r>
      <w:r>
        <w:t xml:space="preserve">, apie kuriuos informaciją pateikėte 17 punkto C papunktyje, apskaičiuotą vidutinę svertinę kapitalo kainą (VSKK), pagal kurią pagalbos gavėjai diskontuos būsimus pinigų srautus (arba jie bus diskontuojami etaloninių projektų įgyvendinimo metu), taip pat grynąją dabartinę vertę (GDV) pagal faktinį ir priešingos padėties scenarijų per visą (etaloninio) projekto įgyvendinimo laikotarpį.</w:t>
      </w:r>
      <w:r>
        <w:t xml:space="preserve">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Prašomus duomenis pateikite (</w:t>
      </w:r>
      <w:r>
        <w:rPr>
          <w:i/>
        </w:rPr>
        <w:t xml:space="preserve">Excel</w:t>
      </w:r>
      <w:r>
        <w:t xml:space="preserve"> rinkmenoje,</w:t>
      </w:r>
      <w:r>
        <w:rPr>
          <w:shd w:val="clear" w:color="auto" w:fill="FFFFFF"/>
        </w:rPr>
        <w:t xml:space="preserve"> kurioje matomos visos formulės</w:t>
      </w:r>
      <w:r>
        <w:t xml:space="preserve">) šioje papildomos informacijos pateikimo formoje.</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 xml:space="preserve">Pateikite išsamią informaciją apie prielaidas, metodikas, pagrindimą ir pagrindinius jų šaltinius, kurie naudoti faktiniame scenarijuje ir tikėtiname priešingos padėties scenarijuje nurodytų išlaidų ir pajamų kiekvienam kiekybinio vertinimo aspektui (pvz., nurodykite, kokiomis prielaidomis rėmėtės rengdami tuos scenarijus, kokie šių prielaidų šaltiniai ir kaip jos pagrindžiamos).</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 xml:space="preserve">Individualios pagalbos ir schemų, skirtų ypač ribotam pagalbos gavėjų skaičiui, atveju valstybė narė turi pateikti patvirtinamuosius įrodymus išsamaus projekto verslo plano lygmeniu.</w:t>
      </w:r>
    </w:p>
    <w:p w14:paraId="2EE300C8" w14:textId="77777777" w:rsidR="00E766C0" w:rsidRPr="00AC286A" w:rsidRDefault="00E766C0" w:rsidP="00E766C0">
      <w:pPr>
        <w:ind w:left="1080"/>
        <w:jc w:val="both"/>
        <w:rPr>
          <w:shd w:val="clear" w:color="auto" w:fill="FFFFFF"/>
        </w:rPr>
      </w:pPr>
      <w:r>
        <w:rPr>
          <w:shd w:val="clear" w:color="auto" w:fill="FFFFFF"/>
        </w:rPr>
        <w:t xml:space="preserve">Pagalbos schemų atveju valstybė narė turi pateikti patvirtinamuosius įrodymus, remdamasi vienu ar keliais etaloniniais projektais.</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Prie šios papildomos informacijos pateikimo formos galite pridėti ir PKAAE gairių 39 išnašoje nurodytus dokumentus.</w:t>
      </w:r>
      <w:r>
        <w:t xml:space="preserve"> </w:t>
      </w:r>
      <w:r>
        <w:t xml:space="preserve">Individualios pagalbos priemonių ar schemų, skirtų ypač ribotam pagalbos gavėjų skaičiui, atveju itin naudingi gali būti valdybos dokumentai.</w:t>
      </w:r>
      <w:r>
        <w:t xml:space="preserve"> </w:t>
      </w:r>
      <w:r>
        <w:t xml:space="preserve">Jei tokius dokumentus pridedate prie papildomos informacijos pateikimo formos, toliau pateikite tų dokumentų sąrašą ir nurodykite jų autorių, parengimo datą ir naudojimo aplinkybes.</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Taip pat įrodykite, kad taikant didesnį pagalbos intensyvumą, kuris nustatytas, kaip nurodyta 38 punkte, pagalba nebus didesnė nei trūkstamas finansavimas.</w:t>
      </w:r>
      <w:r>
        <w:t xml:space="preserve">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rPr>
          <w:shd w:val="clear" w:color="auto" w:fill="FFFFFF"/>
        </w:rPr>
        <w:t xml:space="preserve">Jei taikomas PKAAE gairių 52 punktas, t. y. labiausiai tikėtinas priešingos padėties scenarijus, kai pagalbos gavėjas nevykdo veiklos ar investicijų arba tęsia veiklą be</w:t>
      </w:r>
      <w:r>
        <w:t xml:space="preserve"> pakeitimų, </w:t>
      </w:r>
      <w:r>
        <w:rPr>
          <w:shd w:val="clear" w:color="auto" w:fill="FFFFFF"/>
        </w:rPr>
        <w:t xml:space="preserve">pagrįskite šią prielaidą įrodymais</w:t>
      </w:r>
      <w:r>
        <w:rPr>
          <w:rStyle w:val="FootnoteReference"/>
          <w:lang w:eastAsia="en-GB"/>
        </w:rPr>
        <w:footnoteReference w:id="15"/>
      </w:r>
      <w:r>
        <w:rPr>
          <w:shd w:val="clear" w:color="auto" w:fill="FFFFFF"/>
        </w:rPr>
        <w:t xml:space="preserve">.</w:t>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t xml:space="preserve">Visais atvejais, kai proporcingumas grindžiamas trūkstamo finansavimo analizės rezultatais, patvirtinkite, kad jūsų valdžios institucijos atliks </w:t>
      </w:r>
      <w:r>
        <w:rPr>
          <w:i/>
        </w:rPr>
        <w:t xml:space="preserve">ex pos</w:t>
      </w:r>
      <w:r>
        <w:t xml:space="preserve">t stebėseną, kad patikrintų prielaidas dėl reikalingos pagalbos dydžio, ir nustatys lėšų susigrąžinimo mechanizmą.</w:t>
      </w:r>
      <w:r>
        <w:t xml:space="preserve"> </w:t>
      </w:r>
      <w:r>
        <w:t xml:space="preserve">Be to, apibūdinkite </w:t>
      </w:r>
      <w:r>
        <w:rPr>
          <w:shd w:val="clear" w:color="auto" w:fill="FFFFFF"/>
        </w:rPr>
        <w:t xml:space="preserve">jūsų valdžios institucijų ketinamą taikyti stebėsenos ir lėšų susigrąžinimo mechanizmą</w:t>
      </w:r>
      <w:r>
        <w:t xml:space="preserve"> (PKAAE gairių 271 punktas).</w:t>
      </w:r>
      <w:r>
        <w:t xml:space="preserve">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Konkurencinio konkurso būdu teikiamos pagalbos proporcingumas</w:t>
            </w:r>
            <w:r>
              <w:rPr>
                <w:sz w:val="24"/>
              </w:rPr>
              <w:t xml:space="preserve"> </w:t>
            </w:r>
          </w:p>
        </w:tc>
      </w:tr>
    </w:tbl>
    <w:p w14:paraId="02145BB2" w14:textId="77777777" w:rsidR="00E50157" w:rsidRPr="00441F0B" w:rsidRDefault="00E50157" w:rsidP="00E50157">
      <w:pPr>
        <w:pStyle w:val="ListParagraph"/>
        <w:spacing w:before="360" w:after="120"/>
        <w:ind w:left="0"/>
        <w:contextualSpacing w:val="0"/>
        <w:jc w:val="both"/>
      </w:pPr>
      <w:r>
        <w:rPr>
          <w:i/>
        </w:rPr>
        <w:t xml:space="preserve">Kad pateiktumėte šiame skirsnyje prašomą informaciją, žr. PKAAE gairių 49–50 ir 272 punktus</w:t>
      </w:r>
      <w:r>
        <w:t xml:space="preserve">.</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 xml:space="preserve">Kad būtų galima patikrinti, ar laikomasi PKAAE gairių 49 ir 50 punktų, pateikite toliau nurodytą informaciją.</w:t>
      </w:r>
    </w:p>
    <w:p w14:paraId="60545808" w14:textId="3F8A7121" w:rsidR="00E50157" w:rsidRPr="00441F0B" w:rsidRDefault="006F48C7" w:rsidP="00B82F95">
      <w:pPr>
        <w:pStyle w:val="ListParagraph"/>
        <w:numPr>
          <w:ilvl w:val="0"/>
          <w:numId w:val="24"/>
        </w:numPr>
        <w:spacing w:before="120" w:after="120"/>
        <w:contextualSpacing w:val="0"/>
        <w:jc w:val="both"/>
      </w:pPr>
      <w:r>
        <w:t xml:space="preserve">Paaiškinkite, kaip valdžios institucijos užtikrina, kad konkursas yra atviras, aiškus, skaidrus ir nediskriminacinis, pagrįstas objektyviais kriterijais, nustatytais </w:t>
      </w:r>
      <w:r>
        <w:rPr>
          <w:i/>
          <w:iCs/>
        </w:rPr>
        <w:t xml:space="preserve">ex ante</w:t>
      </w:r>
      <w:r>
        <w:t xml:space="preserve">, atsižvelgiant į priemonės tikslą ir sumažinant strateginio kainų siūlymo riziką (PKAAE gairių 49 punkto a papunktis).</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Atrankos kriterijai, taikomi konkursiniams pasiūlymams reitinguoti ir galiausiai pagalbos dydžiui konkurencinio konkurso metu nustatyti.</w:t>
      </w:r>
      <w:r>
        <w:t xml:space="preserve"> </w:t>
      </w:r>
      <w:r>
        <w:t xml:space="preserve">Konkrečiau:</w:t>
      </w:r>
      <w:r>
        <w:t xml:space="preserve"> </w:t>
      </w:r>
    </w:p>
    <w:p w14:paraId="383A3E34" w14:textId="77777777" w:rsidR="00E50157" w:rsidRPr="00050EB9" w:rsidRDefault="00E50157" w:rsidP="00B82F95">
      <w:pPr>
        <w:pStyle w:val="ListParagraph"/>
        <w:numPr>
          <w:ilvl w:val="1"/>
          <w:numId w:val="25"/>
        </w:numPr>
        <w:spacing w:before="120" w:after="120"/>
        <w:contextualSpacing w:val="0"/>
        <w:jc w:val="both"/>
      </w:pPr>
      <w:r>
        <w:t xml:space="preserve">pateikite atrankos kriterijų sąrašą ir nurodykite, kurie iš jų yra tiesiogiai ar netiesiogiai susiję su pagrindiniais priemonės (-ių) tikslais.</w:t>
      </w:r>
      <w:r>
        <w:t xml:space="preserve"> </w:t>
      </w:r>
      <w:r>
        <w:t xml:space="preserve">Nurodykite jų svorį;</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 xml:space="preserve">paaiškinkite, kaip indėlis į pagrindinius priemonės (-ių) tikslus atrankos kriterijais tiesiogiai ar netiesiogiai susiejamas su pareiškėjo prašoma pagalbos suma.</w:t>
      </w:r>
      <w:r>
        <w:t xml:space="preserve"> </w:t>
      </w:r>
      <w:r>
        <w:t xml:space="preserve">Tai gali būti išreikšta, pvz., pagalba vienam aplinkos apsaugos vienetui</w:t>
      </w:r>
      <w:r>
        <w:rPr>
          <w:rStyle w:val="FootnoteReference"/>
          <w:lang w:eastAsia="en-GB"/>
        </w:rPr>
        <w:footnoteReference w:id="16"/>
      </w:r>
      <w:r>
        <w:t xml:space="preserve"> (PKAAE gairių 50 punktas ir 44 išnaša);</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 xml:space="preserve">jei yra kitų atrankos kriterijų, kurie nėra tiesiogiai ar netiesiogiai susiję su pagrindiniais priemonės (-ių) tikslais, pagrįskite siūlomą metodą ir paaiškinkite, kaip jis atitinka priemonės (-ių) tikslus.</w:t>
      </w:r>
      <w:r>
        <w:t xml:space="preserve"> </w:t>
      </w:r>
      <w:r>
        <w:t xml:space="preserve">Taip pat patvirtinkite, kad tie kriterijai sudaro ne daugiau kaip 30 proc. visų atrankos kriterijų svorio (PKAAE gairių 50 punktas);</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 xml:space="preserve">nurodykite, prieš kiek laiko iki paraiškų dalyvauti kiekviename</w:t>
      </w:r>
      <w:r>
        <w:rPr>
          <w:color w:val="000000"/>
          <w:shd w:val="clear" w:color="auto" w:fill="FFFFFF"/>
        </w:rPr>
        <w:t xml:space="preserve"> konkurenciniame konkurse pateikimo termino pabaigos bus paskelbti atrankos kriterijai</w:t>
      </w:r>
      <w:r>
        <w:rPr>
          <w:shd w:val="clear" w:color="auto" w:fill="FFFFFF"/>
        </w:rPr>
        <w:t xml:space="preserve"> (PKAAE gairių 49 punkto b papunktis ir 43 išnaša);</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Paaiškinkite elementus, kuriais grindžiate prielaidą, kad konkursas bus atviras ir bus gauta</w:t>
      </w:r>
      <w:r>
        <w:rPr>
          <w:shd w:val="clear" w:color="auto" w:fill="FFFFFF"/>
        </w:rPr>
        <w:t xml:space="preserve"> pakankamai pasiūlymų, t. y. galima tikėtis, kad ne visi konkurso dalyviai gaus pagalbą ir kad numatomas konkurso dalyvių skaičius yra pakankamas, kad schemos taikymo trukmės laikotarpiu būtų užtikrinta veiksminga konkurencija (PKAAE gairių 49 punkto c papunktis).</w:t>
      </w:r>
      <w:r>
        <w:rPr>
          <w:shd w:val="clear" w:color="auto" w:fill="FFFFFF"/>
        </w:rPr>
        <w:t xml:space="preserve"> </w:t>
      </w:r>
      <w:r>
        <w:rPr>
          <w:shd w:val="clear" w:color="auto" w:fill="FFFFFF"/>
        </w:rPr>
        <w:t xml:space="preserve">Paaiškinkite atsižvelgdami į schemos biudžetą arba apimtį.</w:t>
      </w:r>
      <w:r>
        <w:rPr>
          <w:shd w:val="clear" w:color="auto" w:fill="FFFFFF"/>
        </w:rPr>
        <w:t xml:space="preserve"> </w:t>
      </w:r>
      <w:r>
        <w:rPr>
          <w:shd w:val="clear" w:color="auto" w:fill="FFFFFF"/>
        </w:rPr>
        <w:t xml:space="preserve">Jei reikia, remkitės atsakant į 17 punktą pateiktais įrodymais.</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 xml:space="preserve">pateikite informaciją, kiek konkurso etapų numatoma rengti ir koks numatomas</w:t>
      </w:r>
      <w:r>
        <w:t xml:space="preserve"> </w:t>
      </w:r>
      <w:r>
        <w:rPr>
          <w:shd w:val="clear" w:color="auto" w:fill="FFFFFF"/>
        </w:rPr>
        <w:t xml:space="preserve">pirmojo bei vėlesniojo etapų dalyvių skaičius;</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 xml:space="preserve">jei viename ar keliuose konkursuose gaunama nepakankamai pasiūlymų, paaiškinkite, kaip konkursai bus koreguojami schemos įgyvendinimo metu, kad būtų atkurta veiksminga konkurencija, ir kada tai bus padaryta</w:t>
      </w:r>
      <w:r>
        <w:rPr>
          <w:shd w:val="clear" w:color="auto" w:fill="FFFFFF"/>
        </w:rPr>
        <w:t xml:space="preserve"> (PKAAE gairių 49 punkto c papunktis);</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shd w:val="clear" w:color="auto" w:fill="FFFFFF"/>
          <w:color w:val="000000"/>
          <w:shd w:val="clear" w:color="auto" w:fill="FFFFFF"/>
          <w:rStyle w:val="oj-italic"/>
        </w:rPr>
        <w:t xml:space="preserve">patvirtinkite, kad </w:t>
      </w:r>
      <w:r>
        <w:rPr>
          <w:shd w:val="clear" w:color="auto" w:fill="FFFFFF"/>
          <w:color w:val="000000"/>
          <w:shd w:val="clear" w:color="auto" w:fill="FFFFFF"/>
          <w:rStyle w:val="oj-italic"/>
          <w:i/>
        </w:rPr>
        <w:t xml:space="preserve">ex post</w:t>
      </w:r>
      <w:r>
        <w:rPr>
          <w:shd w:val="clear" w:color="auto" w:fill="FFFFFF"/>
          <w:color w:val="000000"/>
          <w:shd w:val="clear" w:color="auto" w:fill="FFFFFF"/>
        </w:rPr>
        <w:t xml:space="preserve"> koreguoti konkurso rezultatus (pvz., vėliau deramasi dėl pasiūlymų rezultatų arba normavimo) yra vengiama</w:t>
      </w:r>
      <w:r>
        <w:rPr>
          <w:shd w:val="clear" w:color="auto" w:fill="FFFFFF"/>
        </w:rPr>
        <w:t xml:space="preserve"> (PKAAE gairių 49 punkto d papunktis);</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jei galima teikti </w:t>
      </w:r>
      <w:r>
        <w:rPr>
          <w:i/>
        </w:rPr>
        <w:t xml:space="preserve">nulinių subsidijų konkursinius pasiūlymus</w:t>
      </w:r>
      <w:r>
        <w:t xml:space="preserve">, paaiškinkite, kaip bus užtikrintas proporcingumas (žr. PKAAE gairių 49 punktą, 42 išnašą).</w:t>
      </w:r>
      <w:r>
        <w:t xml:space="preserve">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Paaiškinkite</w:t>
      </w:r>
      <w:r>
        <w:t xml:space="preserve">, ar valdžios institucijos numato konkurencinio konkurso metu nustatyti apatines arba viršutines kainų ribas.</w:t>
      </w:r>
      <w:r>
        <w:t xml:space="preserve"> </w:t>
      </w:r>
      <w:r>
        <w:t xml:space="preserve">Jei taip, pagrįskite, kodėl jos nustatytos, ir paaiškinkite, kodėl jos nevaržo konkurencinio konkurso (PKAAE gairių 49 punktas ir 42 išnaša).</w:t>
      </w:r>
      <w:r>
        <w:t xml:space="preserve">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 xml:space="preserve">Sumavimas</w:t>
            </w:r>
          </w:p>
        </w:tc>
      </w:tr>
    </w:tbl>
    <w:p w14:paraId="2346A85D" w14:textId="05ED6D8A" w:rsidR="00B21377" w:rsidRPr="002A3B51" w:rsidRDefault="00B21377" w:rsidP="00B21377">
      <w:pPr>
        <w:pStyle w:val="ListParagraph"/>
        <w:spacing w:before="120" w:after="120"/>
        <w:ind w:left="567"/>
        <w:contextualSpacing w:val="0"/>
        <w:jc w:val="both"/>
      </w:pPr>
      <w:r>
        <w:rPr>
          <w:i/>
        </w:rPr>
        <w:t xml:space="preserve">Kad pateiktumėte šiame skirsnyje prašomą informaciją, žr. PKAAE gairių 56–57 punktus</w:t>
      </w:r>
      <w:r>
        <w:t xml:space="preserve">.</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Kad būtų galima patikrinti, ar laikomasi PKAAE gairių 56 punkto, paaiškinkite, ar pagalba pagal priemonę (-es), apie kurią (-ias) pranešama, gali būti suteikta vienu metu pagal kelias pagalbos schemas arba sumuojama su </w:t>
      </w:r>
      <w:r>
        <w:rPr>
          <w:i/>
        </w:rPr>
        <w:t xml:space="preserve">ad hoc</w:t>
      </w:r>
      <w:r>
        <w:t xml:space="preserve"> arba </w:t>
      </w:r>
      <w:r>
        <w:rPr>
          <w:i/>
        </w:rPr>
        <w:t xml:space="preserve">de minimis</w:t>
      </w:r>
      <w:r>
        <w:t xml:space="preserve"> pagalba tų pačių finansuoti tinkamų išlaidų atžvilgiu, jei šios informacijos dar nenurodėte formos „Bendroji informacija“ I dalyje.</w:t>
      </w:r>
      <w:r>
        <w:t xml:space="preserve"> </w:t>
      </w:r>
      <w:r>
        <w:t xml:space="preserve">Jei taip, pateikite išsamią informaciją apie tas pagalbos schemas, </w:t>
      </w:r>
      <w:r>
        <w:rPr>
          <w:i/>
        </w:rPr>
        <w:t xml:space="preserve">ad hoc</w:t>
      </w:r>
      <w:r>
        <w:t xml:space="preserve"> pagalbą arba </w:t>
      </w:r>
      <w:r>
        <w:rPr>
          <w:i/>
        </w:rPr>
        <w:t xml:space="preserve">de minimis</w:t>
      </w:r>
      <w:r>
        <w:t xml:space="preserve"> pagalbą ir apie tai, kaip bus sumuojama pagalba.</w:t>
      </w:r>
      <w:r>
        <w:t xml:space="preserve">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 xml:space="preserve">Jei taikomas PKAAE gairių 56 punktas, pagrįskite, kodėl dėl bendros pagal priemonę (-es), apie kurią (-ias) pranešama, projektui ar veiklai skirtos pagalbos sumos nesusidaro kompensacijos permoka arba neviršijama didžiausia pagalbos suma, leidžiama pagal PKAAE gairių 267–273 punktus.</w:t>
      </w:r>
      <w:r>
        <w:t xml:space="preserve"> </w:t>
      </w:r>
      <w:r>
        <w:t xml:space="preserve">Kiekvienos priemonės, pagal kurias teikiamą pagalbą galima sumuoti su pagal priemonę (-es), apie kurią (-ias) pranešama, teikiama pagalba, atveju nurodykite metodą, kuriuo užtikrinama, kad būtų laikomasi PKAAE gairių 56 punkte nustatytų sąlygų.</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 xml:space="preserve">Jei taikomas PKAAE gairių 57 punktas (t. y. pagal priemonę (-es), apie kurią (-ias) pranešama, teikiama pagalba yra derinama su centralizuotai valdomu Sąjungos finansavimu</w:t>
      </w:r>
      <w:r>
        <w:rPr>
          <w:rStyle w:val="FootnoteReference"/>
          <w:lang w:eastAsia="en-GB"/>
        </w:rPr>
        <w:footnoteReference w:id="17"/>
      </w:r>
      <w:r>
        <w:t xml:space="preserve">, kuris nėra valstybės pagalba), pagrįskite, </w:t>
      </w:r>
      <w:r>
        <w:rPr>
          <w:shd w:val="clear" w:color="auto" w:fill="FFFFFF"/>
        </w:rPr>
        <w:t xml:space="preserve">kodėl dėl bendros viešojo finansavimo sumos, skiriamos toms pačioms tinkamoms finansuoti išlaidoms padengti, nesusidaro kompensacijos permoka.</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 xml:space="preserve">Skaidrumas</w:t>
            </w:r>
          </w:p>
        </w:tc>
      </w:tr>
    </w:tbl>
    <w:p w14:paraId="07229A8F" w14:textId="25E21DE5" w:rsidR="006773CE" w:rsidRPr="007C0A44" w:rsidRDefault="006773CE" w:rsidP="006773CE">
      <w:pPr>
        <w:spacing w:before="360" w:after="120"/>
        <w:jc w:val="both"/>
        <w:rPr>
          <w:i/>
        </w:rPr>
      </w:pPr>
      <w:r>
        <w:rPr>
          <w:i/>
          <w:color w:val="000000"/>
        </w:rPr>
        <w:t xml:space="preserve">Kad</w:t>
      </w:r>
      <w:r>
        <w:rPr>
          <w:i/>
          <w:color w:val="000000"/>
        </w:rPr>
        <w:t xml:space="preserve"> pateiktumėte šiame skirsnyje prašomą informaciją, žr. PKAAE gairių 3.2.1.4 skirsnį (58–62 punktus).</w:t>
      </w:r>
      <w:r>
        <w:rPr>
          <w:i/>
        </w:rPr>
        <w:t xml:space="preserve">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szCs w:val="24"/>
          <w:rFonts w:eastAsia="Times New Roman"/>
        </w:rPr>
      </w:pPr>
      <w:r>
        <w:t xml:space="preserve">Patvirtinkite, kad valstybė narė laikysis PKAAE gairių 58–61 punktuose </w:t>
      </w:r>
      <w:r>
        <w:t xml:space="preserve">nustatytų</w:t>
      </w:r>
      <w:r>
        <w:t xml:space="preserve"> skaidrumo reikalavimų.</w:t>
      </w:r>
      <w:r>
        <w:t xml:space="preserve">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Pateikite interneto nuorodą į puslapį, kuriame bus paskelbtas visas patvirtintos pagalbos schemos arba sprendimo dėl individualios pagalbos skyrimo ir jos įgyvendinimo nuostatų tekstas ir informacija apie kiekvieną individualią pagalbą, skirtą </w:t>
      </w:r>
      <w:r>
        <w:rPr>
          <w:i/>
        </w:rPr>
        <w:t xml:space="preserve">ad hoc</w:t>
      </w:r>
      <w:r>
        <w:t xml:space="preserve"> arba pagal pagalbos schemą, patvirtintą remiantis PKAAE gairėmis ir viršijančią 100 000 EUR.</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 xml:space="preserve">Nederamo neigiamo pagalbos poveikio konkurencijai ir prekybai vengimas ir pusiausvyros užtikrinimas</w:t>
            </w:r>
          </w:p>
        </w:tc>
      </w:tr>
    </w:tbl>
    <w:p w14:paraId="6CD3884F" w14:textId="47FB2DEE" w:rsidR="00F83660" w:rsidRPr="00B215FD" w:rsidRDefault="00F83660" w:rsidP="00F83660">
      <w:pPr>
        <w:spacing w:before="360" w:after="120"/>
        <w:jc w:val="both"/>
        <w:rPr>
          <w:i/>
        </w:rPr>
      </w:pPr>
      <w:r>
        <w:rPr>
          <w:i/>
        </w:rPr>
        <w:t xml:space="preserve">Kad pateiktumėte šiame skirsnyje prašomą informaciją, žr. PKAAE gairių 3.2.2 skirsnį (63–70 punktus) ir 4.5.5 skirsnį (274–275 punktus).</w:t>
      </w:r>
      <w:r>
        <w:rPr>
          <w:i/>
        </w:rPr>
        <w:t xml:space="preserve">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Kad būtų galima patikrinti, ar laikomasi PKAAE gairių 67 punkto, pateikite informaciją apie galimą trumpalaikį ir ilgalaikį neigiamą priemonės (-ių), apie kurią (-ias) pranešama, poveikį konkurencijai ir prekybai.</w:t>
      </w:r>
      <w:r>
        <w:t xml:space="preserve">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Paaiškinkite, ar priemonė taikoma kuriuo nors iš šių atvejų:</w:t>
      </w:r>
      <w:r>
        <w:t xml:space="preserve"> </w:t>
      </w:r>
    </w:p>
    <w:p w14:paraId="554349FE" w14:textId="7696EC86" w:rsidR="00397D3C" w:rsidRPr="002178F0" w:rsidRDefault="00397D3C" w:rsidP="00B82F95">
      <w:pPr>
        <w:pStyle w:val="ListParagraph"/>
        <w:numPr>
          <w:ilvl w:val="1"/>
          <w:numId w:val="28"/>
        </w:numPr>
        <w:spacing w:before="120" w:after="120"/>
        <w:contextualSpacing w:val="0"/>
        <w:jc w:val="both"/>
      </w:pPr>
      <w:r>
        <w:t xml:space="preserve">ji susijusi su rinka (arba rinkomis), kurioje (-iose) įsitvirtinusios įmonės įgijo įtaką prieš liberalizuojant rinką;</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 xml:space="preserve">pagal ją rengiami konkurenciniai konkursai besiformuojančioje rinkoje (-ose), kai yra stiprią padėtį rinkoje užimantis dalyvis;</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 xml:space="preserve">ji bus naudinga tik vienam pagalbos gavėjui arba ypač ribotam pagalbos gavėjų skaičiui.</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Jei pagalbos priemonė orientuota į konkretų technologinį pasirinkimą ir (arba) kelią, pagrįskite priežastį, kodėl pasirinktos šios technologijos, ir tai, kad šis pasirinkimas netrukdys diegti švaresnių technologijų.</w:t>
      </w:r>
      <w:r>
        <w:t xml:space="preserve">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 xml:space="preserve">Jei priemonė (-ės), apie kurią (-ias) pranešama, bus naudinga (-os) tik vienam pagalbos gavėjui arba ypač ribotam pagalbos gavėjų skaičiui, kad būtų galima patikrinti, ar laikomasi PKAAE gairių 68 punkto:</w:t>
      </w:r>
    </w:p>
    <w:p w14:paraId="05892635" w14:textId="438AD58D" w:rsidR="00F83660" w:rsidRPr="00B215FD" w:rsidRDefault="00D4206D" w:rsidP="008A6F77">
      <w:pPr>
        <w:pStyle w:val="ListParagraph"/>
        <w:numPr>
          <w:ilvl w:val="0"/>
          <w:numId w:val="43"/>
        </w:numPr>
        <w:spacing w:before="120" w:after="120"/>
        <w:contextualSpacing w:val="0"/>
        <w:jc w:val="both"/>
      </w:pPr>
      <w:r>
        <w:t xml:space="preserve">paaiškinkite, ar priemonė (-ės), apie kurią (-ias) pranešama, sustiprina pagalbos gavėjo (-ų) įtaką rinkoje arba padeda ją išlaikyti, skatina esamus konkurentus atsisakyti plėtros ar pasitraukti iš rinkos arba atgraso naujus konkurentus nuo žengimo į rinką.</w:t>
      </w:r>
      <w:r>
        <w:t xml:space="preserve"> </w:t>
      </w:r>
      <w:r>
        <w:t xml:space="preserve">Taip pat paaiškinkite, ar taikant pagalbos priemonę padidės pagalbos gavėjo gamybos pajėgumai;</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apibūdinkite taikomą (-as) priemonę (-es), kuria (-iomis) siekiama apriboti pagalbos suteikimo pagalbos gavėjui (-ams) sukeltą galimą konkurencijos iškraipymą.</w:t>
      </w:r>
      <w:r>
        <w:t xml:space="preserve">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 xml:space="preserve">Kad būtų galima patikrinti, ar laikomasi PKAAE gairių 69 punkto, pateikite šią informaciją:</w:t>
      </w:r>
    </w:p>
    <w:p w14:paraId="4FA1E951" w14:textId="7EB570EA" w:rsidR="00787938" w:rsidRDefault="00787938" w:rsidP="008A6F77">
      <w:pPr>
        <w:pStyle w:val="ListParagraph"/>
        <w:numPr>
          <w:ilvl w:val="0"/>
          <w:numId w:val="44"/>
        </w:numPr>
        <w:spacing w:before="120" w:after="120"/>
        <w:contextualSpacing w:val="0"/>
        <w:jc w:val="both"/>
      </w:pPr>
      <w:r>
        <w:t xml:space="preserve">ar pagal priemonę (-es), apie kurią (-ias) pranešama, teikiamos pagalbos tikslas yra išlaikyti ekonominę veiklą viename regione arba ją pritraukti iš kitų vidaus rinkos regionų;</w:t>
      </w:r>
      <w:r>
        <w:t xml:space="preserve">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 xml:space="preserve">jei taip, nurodykite, koks yra priemonės (-ių), apie kurią (-ias) pranešama, grynasis poveikis aplinkai ir kaip šia priemone (-ėmis) gerinamas esamas aplinkos apsaugos lygis valstybėse narėse;</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paaiškinkite, kodėl pagal priemonę (-es), apie kurią (-ias) pranešama, teikiama pagalba nedaro akivaizdaus neigiamo poveikio konkurencijai ir prekybai;</w:t>
      </w:r>
      <w:r>
        <w:t xml:space="preserve">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 xml:space="preserve">jei teikiama individuali pagalba, paaiškinkite pagrindinius pagalbos gavėjo investicijų vietos pasirinkimo veiksnius.</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 xml:space="preserve">Kad būtų galima patikrinti, ar laikomasi PKAAE gairių 70 punkto:</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patvirtinkite, kad pagalba pagal schemą, apie kurią pranešama, gali būti suteikta ne ilgiau kaip dešimčiai metų </w:t>
      </w:r>
      <w:r>
        <w:rPr>
          <w:color w:val="000000"/>
          <w:shd w:val="clear" w:color="auto" w:fill="FFFFFF"/>
        </w:rPr>
        <w:t xml:space="preserve">nuo pranešimo apie Komisijos sprendimą, kuriuo pagalba pripažįstama suderinama, dienos</w:t>
      </w:r>
      <w:r>
        <w:t xml:space="preserve">;</w:t>
      </w:r>
      <w:r>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patvirtinkite, kad tuo atveju, jei jūsų valdžios institucijos norėtų pratęsti schemos taikymo trukmę ilgesniam laikotarpiui nei tas ilgiausias laikotarpis, jos dar kartą praneš apie priemonę.</w:t>
      </w:r>
      <w:r>
        <w:t xml:space="preserve">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Jei pagalba teikiama prekiaujamų leidimų forma, kad būtų galima patikrinti, ar laikomasi PKAAE gairių 275 punkto, patvirtinkite, kad priemonė atitinka visus šiuos kriterijus:</w:t>
      </w:r>
      <w:r>
        <w:t xml:space="preserve"> </w:t>
      </w:r>
    </w:p>
    <w:p w14:paraId="77783B19" w14:textId="5624D437" w:rsidR="002C45A2" w:rsidRDefault="00F60556" w:rsidP="008A6F77">
      <w:pPr>
        <w:pStyle w:val="ListParagraph"/>
        <w:numPr>
          <w:ilvl w:val="0"/>
          <w:numId w:val="46"/>
        </w:numPr>
        <w:spacing w:before="120" w:after="120"/>
        <w:contextualSpacing w:val="0"/>
        <w:jc w:val="both"/>
      </w:pPr>
      <w:r>
        <w:t xml:space="preserve">renkantis pagalbos gavėjus remiamasi objektyviais ir skaidriais kriterijais, o pagalba teikiama iš esmės tokiu pačiu būdu visiems konkurentams, veikiantiems tame pačiame sektoriuje, jei jų faktinė padėtis yra panaši;</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leidimų paskirstymo metodika nebūtų palanki tam tikroms įmonėms arba tam tikriems sektoriams:</w:t>
      </w:r>
      <w:r>
        <w:t xml:space="preserve">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 xml:space="preserve">Jeigu leidimų paskirstymo metodika yra palanki tam tikroms įmonėms arba tam tikriems sektoriams, paaiškinkite, kaip tai pagrindžiama schemos aplinkos apsaugos logika arba kodėl tai reikalinga darnai su kitomis aplinkos apsaugos politikos kryptimis užtikrinti:</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 xml:space="preserve">nauji rinkos dalyviai iš esmės negauna leidimų palankesnėmis sąlygomis nei esamos tose pačiose rinkose veikiančios įmonės;</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 xml:space="preserve">Esamiems įrenginiams, palyginti su naujais dalyviais, skiriant daugiau leidimų neatsiranda nepagrįstų kliūčių patekti į rinką.</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 xml:space="preserve">Teigiamo pagalbos poveikio ir neigiamo poveikio konkurencijai ir prekybai pasvėrimas</w:t>
            </w:r>
          </w:p>
        </w:tc>
      </w:tr>
    </w:tbl>
    <w:p w14:paraId="2BA426DC" w14:textId="2EBC55A9" w:rsidR="00265702" w:rsidRPr="00863406" w:rsidRDefault="00265702" w:rsidP="00265702">
      <w:pPr>
        <w:spacing w:before="360" w:after="120"/>
        <w:jc w:val="both"/>
        <w:rPr>
          <w:i/>
          <w:color w:val="000000"/>
        </w:rPr>
      </w:pPr>
      <w:r>
        <w:rPr>
          <w:i/>
          <w:color w:val="000000"/>
        </w:rPr>
        <w:t xml:space="preserve">Kad</w:t>
      </w:r>
      <w:r>
        <w:rPr>
          <w:i/>
          <w:color w:val="000000"/>
        </w:rPr>
        <w:t xml:space="preserve"> pateiktumėte šiame skirsnyje prašomą informaciją, žr. PKAAE gairių 3.3 skirsnį (71–76 punktus).</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rPr>
          <w:shd w:val="clear" w:color="auto" w:fill="FFFFFF"/>
        </w:rPr>
        <w:t xml:space="preserve">Kad būtų galima patikrinti, ar laikomasi PKAAE gairių 72 punkto, paaiškinkite, ar pagal priemonę, apie kurią pranešama, remiama veikla atitinka Europos Parlamento ir Tarybos reglamento (ES) 2020/852</w:t>
      </w:r>
      <w:r>
        <w:rPr>
          <w:rStyle w:val="FootnoteReference"/>
          <w:lang w:eastAsia="en-GB"/>
        </w:rPr>
        <w:footnoteReference w:id="18"/>
      </w:r>
      <w:r>
        <w:rPr>
          <w:shd w:val="clear" w:color="auto" w:fill="FFFFFF"/>
        </w:rPr>
        <w:t xml:space="preserve"> 3 straipsnyje nustatytus aplinkos atžvilgiu tvarios ekonominės veiklos kriterijus, įskaitant principą „nedaryti reikšmingos žalos“, arba kitas panašias metodikas.</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 xml:space="preserve">Jei rengiamas konkurencinis konkursas, paaiškinkite, ar priemonė (-ės), apie kurią (-ias) pranešama, turi aspektų, kuriais MVĮ sudaromos palankesnės sąlygos dalyvauti konkurenciniuose konkursuose.</w:t>
      </w:r>
      <w:r>
        <w:t xml:space="preserve"> </w:t>
      </w:r>
      <w:r>
        <w:t xml:space="preserve">Jei taip, pateikite informaciją apie tuos aspektus ir pagrįskite, kaip teigiamas MVĮ dalyvavimo priemonėje (-se), apie kurią (-ias) pranešama, užtikrinimo poveikis nusveria galimą iškreipiamąjį poveikį.</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 xml:space="preserve">C skirsnis.</w:t>
            </w:r>
            <w:r>
              <w:rPr>
                <w:b/>
                <w:sz w:val="32"/>
              </w:rPr>
              <w:t xml:space="preserve"> </w:t>
            </w:r>
            <w:r>
              <w:rPr>
                <w:b/>
                <w:sz w:val="32"/>
              </w:rPr>
              <w:t xml:space="preserve">Vertinimas</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 xml:space="preserve">Kad pateiktumėte šiame skirsnyje prašomą informaciją, žr. PKAAE gairių 5 skyrių (455–463 punktus).</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 xml:space="preserve">Jei priemonė (-ės), apie kurią (-ias) pranešama, viršija PKAAE gairių 456 punkte nustatytas biudžeto ir (arba) išlaidų ribas, paaiškinkite, kodėl, jūsų nuomone, turėtų būti taikoma PKAAE gairių 457 punkte nustatyta išimtis, arba šios papildomos informacijos pateikimo formos priede pateikite, be kita ko, vertinimo plano projektą, apimantį PKAAE gairių 458 punkte nurodytą taikymo sritį</w:t>
      </w:r>
      <w:r>
        <w:rPr>
          <w:rStyle w:val="FootnoteReference"/>
          <w:lang w:eastAsia="en-GB"/>
        </w:rPr>
        <w:footnoteReference w:id="19"/>
      </w:r>
      <w:r>
        <w:t xml:space="preserve">.</w:t>
      </w:r>
    </w:p>
    <w:p w14:paraId="56FD497B" w14:textId="77777777" w:rsidR="00571769" w:rsidRDefault="00571769" w:rsidP="00571769">
      <w:pPr>
        <w:pStyle w:val="ListParagraph"/>
        <w:spacing w:before="120" w:after="120"/>
        <w:ind w:left="0" w:firstLine="567"/>
        <w:contextualSpacing w:val="0"/>
        <w:jc w:val="both"/>
      </w:pPr>
      <w:r>
        <w:t xml:space="preserve">……………………………………………………………………………………………</w:t>
      </w:r>
    </w:p>
    <w:p w14:paraId="4DF8EAD2" w14:textId="77777777" w:rsidR="00571769" w:rsidRDefault="00571769" w:rsidP="00451471">
      <w:pPr>
        <w:pStyle w:val="ListParagraph"/>
        <w:numPr>
          <w:ilvl w:val="0"/>
          <w:numId w:val="4"/>
        </w:numPr>
        <w:spacing w:before="120" w:after="120"/>
        <w:ind w:left="567" w:hanging="567"/>
        <w:contextualSpacing w:val="0"/>
        <w:jc w:val="both"/>
      </w:pPr>
      <w:r>
        <w:t xml:space="preserve">Jei pateikiamas vertinimo plano projektas:</w:t>
      </w:r>
    </w:p>
    <w:p w14:paraId="61554CC9" w14:textId="77777777" w:rsidR="00571769" w:rsidRDefault="00571769" w:rsidP="00B82F95">
      <w:pPr>
        <w:pStyle w:val="ListParagraph"/>
        <w:numPr>
          <w:ilvl w:val="0"/>
          <w:numId w:val="33"/>
        </w:numPr>
        <w:spacing w:before="120" w:after="120"/>
        <w:contextualSpacing w:val="0"/>
        <w:jc w:val="both"/>
      </w:pPr>
      <w:r>
        <w:t xml:space="preserve">pateikite šios pranešimo formos priede pateikto vertinimo plano projekto santrauką;</w:t>
      </w:r>
    </w:p>
    <w:p w14:paraId="206F9456" w14:textId="77777777" w:rsidR="00571769" w:rsidRDefault="00571769" w:rsidP="00571769">
      <w:pPr>
        <w:pStyle w:val="ListParagraph"/>
        <w:spacing w:before="120" w:after="120"/>
        <w:ind w:left="1440"/>
        <w:contextualSpacing w:val="0"/>
        <w:jc w:val="both"/>
      </w:pPr>
      <w:r>
        <w:t xml:space="preserve">………………………………………………………………………………….</w:t>
      </w:r>
    </w:p>
    <w:p w14:paraId="739A6E7F" w14:textId="77777777" w:rsidR="00571769" w:rsidRDefault="00571769" w:rsidP="00B82F95">
      <w:pPr>
        <w:pStyle w:val="ListParagraph"/>
        <w:numPr>
          <w:ilvl w:val="0"/>
          <w:numId w:val="33"/>
        </w:numPr>
        <w:spacing w:before="120" w:after="120"/>
        <w:contextualSpacing w:val="0"/>
        <w:jc w:val="both"/>
      </w:pPr>
      <w:r>
        <w:t xml:space="preserve">patvirtinkite, kad bus laikomasi PKAAE gairių 460 punkto;</w:t>
      </w:r>
    </w:p>
    <w:p w14:paraId="068DF461" w14:textId="77777777" w:rsidR="00571769" w:rsidRPr="0051324D" w:rsidRDefault="00571769" w:rsidP="00571769">
      <w:pPr>
        <w:pStyle w:val="ListParagraph"/>
        <w:spacing w:before="120" w:after="120"/>
        <w:ind w:left="1440"/>
        <w:contextualSpacing w:val="0"/>
        <w:jc w:val="both"/>
      </w:pPr>
      <w:r>
        <w:t xml:space="preserve">………………………………………………………………………………….</w:t>
      </w:r>
      <w:r>
        <w:t xml:space="preserve"> </w:t>
      </w:r>
    </w:p>
    <w:p w14:paraId="0EE4D2A1" w14:textId="77777777" w:rsidR="00571769" w:rsidRDefault="00571769" w:rsidP="00B82F95">
      <w:pPr>
        <w:pStyle w:val="ListParagraph"/>
        <w:numPr>
          <w:ilvl w:val="0"/>
          <w:numId w:val="33"/>
        </w:numPr>
        <w:spacing w:before="120" w:after="120"/>
        <w:contextualSpacing w:val="0"/>
        <w:jc w:val="both"/>
      </w:pPr>
      <w:r>
        <w:t xml:space="preserve">pateikite interneto nuorodą į vertinimo planą ir nurodykite, nuo kada jis bus skelbiamas viešai.</w:t>
      </w:r>
    </w:p>
    <w:p w14:paraId="7B713676" w14:textId="77777777" w:rsidR="00571769" w:rsidRPr="0051324D" w:rsidRDefault="00571769" w:rsidP="00571769">
      <w:pPr>
        <w:pStyle w:val="ListParagraph"/>
        <w:spacing w:before="120" w:after="120"/>
        <w:ind w:left="1440"/>
        <w:contextualSpacing w:val="0"/>
        <w:jc w:val="both"/>
      </w:pPr>
      <w:r>
        <w:t xml:space="preserve">………………………………………………………………………………….</w:t>
      </w: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w:t>
      </w:r>
      <w:r>
        <w:t xml:space="preserve">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kad būtų galima patikrinti, ar laikomasi PKAAE gairių 459 punkto c papunkčio, pateikite įsipareigojimą, kad valstybė narė vertinimo plano projektą pateiks </w:t>
      </w:r>
      <w:r>
        <w:rPr>
          <w:shd w:val="clear" w:color="auto" w:fill="FFFFFF"/>
        </w:rPr>
        <w:t xml:space="preserve">per 30 darbo dienų po 150 mln. EUR viršijančių praėjusių metų išlaidų užregistravimo oficialiojoje apskaitoje</w:t>
      </w:r>
      <w:r>
        <w:t xml:space="preserve">.</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 xml:space="preserve">Kad būtų galima patikrinti, ar laikomasi PKAAE gairių 461 punkto:</w:t>
      </w:r>
    </w:p>
    <w:p w14:paraId="3A9B542E" w14:textId="089343AF" w:rsidR="00277BC0" w:rsidRPr="0051324D" w:rsidRDefault="00277BC0" w:rsidP="008A6F77">
      <w:pPr>
        <w:pStyle w:val="ListParagraph"/>
        <w:numPr>
          <w:ilvl w:val="0"/>
          <w:numId w:val="47"/>
        </w:numPr>
        <w:spacing w:before="120" w:after="120"/>
        <w:contextualSpacing w:val="0"/>
        <w:jc w:val="both"/>
      </w:pPr>
      <w:r>
        <w:t xml:space="preserve">patikslinkite, ar nepriklausomas ekspertas jau atrinktas, ar bus atrinktas;</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 xml:space="preserve">pateikite informaciją apie eksperto atrankos procedūrą;</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pagrįskite, kodėl ekspertas nepriklauso nuo pagalbą teikiančios institucijos.</w:t>
      </w:r>
      <w:r>
        <w:t xml:space="preserve">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Kad būtų galima patikrinti, ar laikomasi PKAAE gairių 461 punkto:</w:t>
      </w:r>
      <w:r>
        <w:t xml:space="preserve"> </w:t>
      </w:r>
    </w:p>
    <w:p w14:paraId="342FFFFA" w14:textId="62A42954" w:rsidR="0036428C" w:rsidRPr="0051324D" w:rsidRDefault="002C0264" w:rsidP="008A6F77">
      <w:pPr>
        <w:pStyle w:val="ListParagraph"/>
        <w:numPr>
          <w:ilvl w:val="0"/>
          <w:numId w:val="48"/>
        </w:numPr>
        <w:spacing w:before="120" w:after="120"/>
        <w:contextualSpacing w:val="0"/>
        <w:jc w:val="both"/>
      </w:pPr>
      <w:r>
        <w:t xml:space="preserve">nurodykite siūlomus tarpinės ir galutinės vertinimo ataskaitų pateikimo terminus.</w:t>
      </w:r>
      <w:r>
        <w:t xml:space="preserve"> </w:t>
      </w:r>
      <w:r>
        <w:t xml:space="preserve">Atkreipkite dėmesį, kad galutinė vertinimo ataskaita Komisijai turi būti pateikta laiku, kad ji galėtų įvertinti galimybę pratęsti pagalbos schemos galiojimą, ir ne vėliau nei likus devyniems mėnesiams iki jos galiojimo pabaigos, kaip nurodyta PKAAE gairių 463 punkte.</w:t>
      </w:r>
      <w:r>
        <w:t xml:space="preserve"> </w:t>
      </w:r>
      <w:r>
        <w:t xml:space="preserve">Atkreipkite dėmesį, kad šis terminas galėtų būti sutrumpintas schemoms, kurios turi būti įvertintos per paskutinius dvejus įgyvendinimo metus;</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patvirtinkite, kad tarpinė ir galutinė vertinimo ataskaitos bus skelbiamos viešai.</w:t>
      </w:r>
      <w:r>
        <w:t xml:space="preserve"> </w:t>
      </w:r>
      <w:r>
        <w:t xml:space="preserve">Pateikite interneto nuorodą į tas ataskaitas ir nurodykite, nuo kada jos bus skelbiamos viešai.</w:t>
      </w:r>
      <w:r>
        <w:t xml:space="preserve">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b/>
                <w:iCs/>
                <w:sz w:val="32"/>
                <w:szCs w:val="32"/>
                <w:rFonts w:eastAsia="Times New Roman"/>
              </w:rPr>
            </w:pPr>
            <w:r>
              <w:rPr>
                <w:b/>
                <w:sz w:val="32"/>
              </w:rPr>
              <w:t xml:space="preserve">D skirsnis. Ataskaitų teikimas ir stebėsena</w:t>
            </w:r>
          </w:p>
        </w:tc>
      </w:tr>
    </w:tbl>
    <w:p w14:paraId="1C16B3DB" w14:textId="77777777" w:rsidR="006F0AE2" w:rsidRPr="0051324D" w:rsidRDefault="006F0AE2" w:rsidP="006F0AE2">
      <w:pPr>
        <w:tabs>
          <w:tab w:val="left" w:leader="dot" w:pos="9072"/>
        </w:tabs>
        <w:spacing w:before="120" w:after="120"/>
        <w:ind w:left="567"/>
        <w:jc w:val="both"/>
      </w:pPr>
      <w:r>
        <w:rPr>
          <w:i/>
        </w:rPr>
        <w:t xml:space="preserve">Kad pateiktumėte šiame skirsnyje prašomą informaciją, žr. PKAAE gairių 6 skirsnį (464 ir 465 punktus).</w:t>
      </w:r>
    </w:p>
    <w:p w14:paraId="0AD3805C" w14:textId="48B92343" w:rsidR="006F0AE2" w:rsidRDefault="006F0AE2" w:rsidP="00451471">
      <w:pPr>
        <w:pStyle w:val="ListParagraph"/>
        <w:numPr>
          <w:ilvl w:val="0"/>
          <w:numId w:val="4"/>
        </w:numPr>
        <w:spacing w:before="120" w:after="120"/>
        <w:ind w:left="567" w:hanging="567"/>
        <w:contextualSpacing w:val="0"/>
        <w:jc w:val="both"/>
      </w:pPr>
      <w:r>
        <w:t xml:space="preserve">Patvirtinkite, kad valstybė narė laikysis PKAAE gairių 6 skirsnio 464 ir 465 punktuose nustatytų ataskaitų teikimo ir stebėsenos reikalavimų.</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w:t>
      </w: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 xml:space="preserve">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r>
      <w:r>
        <w:t xml:space="preserve">OL C 80, 2022 2 18, p. 1.</w:t>
      </w:r>
    </w:p>
  </w:footnote>
  <w:footnote w:id="3">
    <w:p w14:paraId="721B2C3E" w14:textId="5CF0F3FA" w:rsidR="005B06D6" w:rsidRDefault="005B06D6" w:rsidP="002A2C73">
      <w:pPr>
        <w:pStyle w:val="FootnoteText"/>
      </w:pPr>
      <w:r>
        <w:rPr>
          <w:rStyle w:val="FootnoteReference"/>
        </w:rPr>
        <w:footnoteRef/>
      </w:r>
      <w:r>
        <w:t xml:space="preserve"> </w:t>
      </w:r>
      <w:r>
        <w:tab/>
      </w:r>
      <w:r>
        <w:t xml:space="preserve">Atkreipkite dėmesį, kad pagalbos schemos taikymo trukmė – tai laikotarpis, per kurį galima prašyti pagalbos ir priimti sprendimą ją suteikti (taigi, įskaičiuojamas laikas, kurio nacionalinėms valdžios institucijoms reikia pagalbos paraiškoms patvirtinti).</w:t>
      </w:r>
      <w:r>
        <w:t xml:space="preserve"> </w:t>
      </w:r>
      <w:r>
        <w:t xml:space="preserve">Šiame punkte minima taikymo trukmė nėra susijusi su pagal pagalbos schemą sudarytų sutarčių trukme, kuri gali būti ilgesnė nei priemonės taikymo trukmė.</w:t>
      </w:r>
      <w:r>
        <w:t xml:space="preserve"> </w:t>
      </w:r>
    </w:p>
  </w:footnote>
  <w:footnote w:id="4">
    <w:p w14:paraId="51CA7B9F" w14:textId="77777777" w:rsidR="00A53EBB" w:rsidRPr="0067348B" w:rsidRDefault="00A53EBB" w:rsidP="00A53EBB">
      <w:pPr>
        <w:pStyle w:val="FootnoteText"/>
      </w:pPr>
      <w:r>
        <w:rPr>
          <w:rStyle w:val="FootnoteReference"/>
        </w:rPr>
        <w:footnoteRef/>
      </w:r>
      <w:r>
        <w:tab/>
      </w:r>
      <w:r>
        <w:t xml:space="preserve">Atkreipkite dėmesį, kad faktinio biudžeto arba biudžeto sąmatos pakeitimas gali būti laikomas pagalbos pakeitimu, dėl kurio reikia pateikti naują pranešimą.</w:t>
      </w:r>
    </w:p>
  </w:footnote>
  <w:footnote w:id="5">
    <w:p w14:paraId="49ADDF87" w14:textId="3332A17A" w:rsidR="005B06D6" w:rsidRPr="009204DA" w:rsidRDefault="005B06D6">
      <w:pPr>
        <w:pStyle w:val="FootnoteText"/>
      </w:pPr>
      <w:r>
        <w:rPr>
          <w:rStyle w:val="FootnoteReference"/>
        </w:rPr>
        <w:footnoteRef/>
      </w:r>
      <w:r>
        <w:t xml:space="preserve"> </w:t>
      </w:r>
      <w:r>
        <w:tab/>
      </w:r>
      <w:r>
        <w:t xml:space="preserve">Prekiaujamų leidimų skyrimas gali būti valstybės pagalba, pavyzdžiui, kai valstybės narės suteikia leidimus mažesne nei rinkos kaina.</w:t>
      </w:r>
    </w:p>
  </w:footnote>
  <w:footnote w:id="6">
    <w:p w14:paraId="7AC0A709" w14:textId="328426FA" w:rsidR="007F5A4A" w:rsidRPr="00CF158B" w:rsidRDefault="007F5A4A" w:rsidP="007F5A4A">
      <w:pPr>
        <w:pStyle w:val="FootnoteText"/>
      </w:pPr>
      <w:r>
        <w:rPr>
          <w:rStyle w:val="FootnoteReference"/>
        </w:rPr>
        <w:footnoteRef/>
      </w:r>
      <w:r>
        <w:tab/>
      </w:r>
      <w:r>
        <w:t xml:space="preserve">Atkreipkite dėmesį, kad PKAAE gairių 38 ir 52 punktuose, taip pat 39 ir 45 išnašose pateikiama papildomų gairių, kaip turėtų būti rengiamas tikėtinas priešingos padėties scenarijus.</w:t>
      </w:r>
    </w:p>
  </w:footnote>
  <w:footnote w:id="7">
    <w:p w14:paraId="40AD96A8" w14:textId="77777777" w:rsidR="00BF736D" w:rsidRPr="00114695" w:rsidRDefault="00BF736D" w:rsidP="00BF736D">
      <w:pPr>
        <w:pStyle w:val="FootnoteText"/>
      </w:pPr>
      <w:r>
        <w:rPr>
          <w:rStyle w:val="FootnoteReference"/>
        </w:rPr>
        <w:footnoteRef/>
      </w:r>
      <w:r>
        <w:tab/>
      </w:r>
      <w:r>
        <w:t xml:space="preserve">Terminas „etaloninis projektas“ apibrėžtas PKAAE gairių 19 punkto 63 papunktyje.</w:t>
      </w:r>
    </w:p>
  </w:footnote>
  <w:footnote w:id="8">
    <w:p w14:paraId="0035BA03" w14:textId="77777777" w:rsidR="006B45D5" w:rsidRDefault="006B45D5" w:rsidP="006B45D5">
      <w:pPr>
        <w:pStyle w:val="FootnoteText"/>
      </w:pPr>
      <w:r>
        <w:rPr>
          <w:rStyle w:val="FootnoteReference"/>
        </w:rPr>
        <w:footnoteRef/>
      </w:r>
      <w:r>
        <w:tab/>
      </w:r>
      <w:r>
        <w:t xml:space="preserve">Jei remiatės neseniai vykusiu konkurenciniu konkursu, paaiškinkite, kodėl tas konkursas gali būti laikomas konkurenciniu (įskaitant tai, kaip buvo išvengta su įvairiomis į konkurencinį konkursą įtrauktomis technologijomis susijusio nenumatyto pelno, kai aktualu) ir kodėl jis yra panašaus pobūdžio, pavyzdžiui:</w:t>
      </w:r>
    </w:p>
    <w:p w14:paraId="282DC24F" w14:textId="77777777" w:rsidR="006B45D5" w:rsidRDefault="006B45D5" w:rsidP="00B82F95">
      <w:pPr>
        <w:pStyle w:val="FootnoteText"/>
        <w:numPr>
          <w:ilvl w:val="0"/>
          <w:numId w:val="31"/>
        </w:numPr>
      </w:pPr>
      <w:r>
        <w:t xml:space="preserve">ar jo sąlygos (pvz., sutarties sąlygos ir trukmė, investicijų terminai, ar paramos išmokos buvo indeksuojamos pagal infliaciją) buvo panašios į tas, kurios siūlomos priemonėje, apie kurią pranešama?</w:t>
      </w:r>
    </w:p>
    <w:p w14:paraId="7E841389" w14:textId="77777777" w:rsidR="006B45D5" w:rsidRDefault="006B45D5" w:rsidP="00B82F95">
      <w:pPr>
        <w:pStyle w:val="FootnoteText"/>
        <w:numPr>
          <w:ilvl w:val="0"/>
          <w:numId w:val="31"/>
        </w:numPr>
      </w:pPr>
      <w:r>
        <w:t xml:space="preserve">ar konkurencinis konkursas vyko panašiomis makroekonominėmis sąlygomis?</w:t>
      </w:r>
    </w:p>
    <w:p w14:paraId="2BEE57E5" w14:textId="77777777" w:rsidR="006B45D5" w:rsidRDefault="006B45D5" w:rsidP="00B82F95">
      <w:pPr>
        <w:pStyle w:val="FootnoteText"/>
        <w:numPr>
          <w:ilvl w:val="0"/>
          <w:numId w:val="31"/>
        </w:numPr>
      </w:pPr>
      <w:r>
        <w:t xml:space="preserve">ar technologijų ir (arba) projektų rūšys buvo panašios?</w:t>
      </w:r>
    </w:p>
  </w:footnote>
  <w:footnote w:id="9">
    <w:p w14:paraId="590F3FC7" w14:textId="30CB4935" w:rsidR="005B06D6" w:rsidRDefault="005B06D6" w:rsidP="00821F07">
      <w:pPr>
        <w:pStyle w:val="FootnoteText"/>
      </w:pPr>
      <w:r>
        <w:rPr>
          <w:rStyle w:val="FootnoteReference"/>
        </w:rPr>
        <w:footnoteRef/>
      </w:r>
      <w:r>
        <w:tab/>
      </w:r>
      <w:r>
        <w:t xml:space="preserve">Pagal PKAAE gairių 19 punkto 89 papunktį, Sąjungos standartas yra</w:t>
      </w:r>
    </w:p>
    <w:p w14:paraId="340A0B20" w14:textId="77777777" w:rsidR="005B06D6" w:rsidRPr="004B74BC" w:rsidRDefault="005B06D6" w:rsidP="00B82F95">
      <w:pPr>
        <w:pStyle w:val="FootnoteText"/>
        <w:numPr>
          <w:ilvl w:val="0"/>
          <w:numId w:val="27"/>
        </w:numPr>
        <w:rPr>
          <w:i/>
        </w:rPr>
      </w:pPr>
      <w:r>
        <w:rPr>
          <w:i/>
        </w:rPr>
        <w:t xml:space="preserve">privalomas Sąjungos standartas, nustatantis rodiklius, kuriuos atskiros įmonės turi pasiekti aplinkosaugos srityje, išskyrus Sąjungos lygmeniu nustatytus standartus arba tikslus, kurie privalomi valstybėms narėms, bet ne atskiroms įmonėms;</w:t>
      </w:r>
    </w:p>
    <w:p w14:paraId="02AC4E0B" w14:textId="266BC460" w:rsidR="005B06D6" w:rsidRDefault="005B06D6" w:rsidP="00B82F95">
      <w:pPr>
        <w:pStyle w:val="FootnoteText"/>
        <w:numPr>
          <w:ilvl w:val="0"/>
          <w:numId w:val="27"/>
        </w:numPr>
      </w:pPr>
      <w:r>
        <w:rPr>
          <w:i/>
        </w:rPr>
        <w:t xml:space="preserve">įpareigojimas taikyti geriausius prieinamus gamybos būdus (GPGB), apibrėžtus Direktyvoje 2010/75/ES, ir užtikrinti, kad išmetamųjų teršalų kiekis neviršytų kiekio, kuris būtų pasiektas taikant GPGB;</w:t>
      </w:r>
      <w:r>
        <w:rPr>
          <w:i/>
        </w:rPr>
        <w:t xml:space="preserve"> </w:t>
      </w:r>
      <w:r>
        <w:rPr>
          <w:i/>
        </w:rPr>
        <w:t xml:space="preserve">jeigu su GPGB susiję išmetamųjų teršalų kiekiai nustatyti įgyvendinimo aktuose, priimtuose pagal Direktyvą 2010/75/ES ar pagal kitas taikytinas direktyvas, atsižvelgiant į šias gaires bus taikomi tie kiekiai;</w:t>
      </w:r>
      <w:r>
        <w:rPr>
          <w:i/>
        </w:rPr>
        <w:t xml:space="preserve"> </w:t>
      </w:r>
      <w:r>
        <w:rPr>
          <w:i/>
        </w:rPr>
        <w:t xml:space="preserve">jeigu tie kiekiai išreikšti intervalu, bus taikoma ta riba, nuo kurios laikoma, kad atitinkama įmonė taiko GPGB.</w:t>
      </w:r>
    </w:p>
  </w:footnote>
  <w:footnote w:id="10">
    <w:p w14:paraId="411ACB68" w14:textId="497824F8" w:rsidR="005B06D6" w:rsidRPr="003379AF" w:rsidRDefault="005B06D6">
      <w:pPr>
        <w:pStyle w:val="FootnoteText"/>
      </w:pPr>
      <w:r>
        <w:rPr>
          <w:rStyle w:val="FootnoteReference"/>
        </w:rPr>
        <w:footnoteRef/>
      </w:r>
      <w:r>
        <w:t xml:space="preserve"> </w:t>
      </w:r>
      <w:r>
        <w:tab/>
      </w:r>
      <w:r>
        <w:t xml:space="preserve">Šis tyrimas gali būti atliekamas remiantis, be kitų veiksnių, atitinkamo sektoriaus produkto kainos elastingumo įverčiais, taip pat prarastos apyvartos ir jos poveikio pagalbos gavėjo pelningumui įverčiais.</w:t>
      </w:r>
    </w:p>
  </w:footnote>
  <w:footnote w:id="11">
    <w:p w14:paraId="1464609F" w14:textId="77777777" w:rsidR="00611EA4" w:rsidRPr="0012122C" w:rsidRDefault="00611EA4" w:rsidP="00611EA4">
      <w:pPr>
        <w:pStyle w:val="FootnoteText"/>
      </w:pPr>
      <w:r>
        <w:rPr>
          <w:rStyle w:val="FootnoteReference"/>
        </w:rPr>
        <w:footnoteRef/>
      </w:r>
      <w:r>
        <w:t xml:space="preserve"> </w:t>
      </w:r>
      <w:r>
        <w:tab/>
      </w:r>
      <w:r>
        <w:t xml:space="preserve">Naujoviškumas galėtų būti įrodytas, pavyzdžiui, pateikiant išsamų inovacijos ir jos diegimo arba skleidimo rinkos sąlygų aprašymą, palyginant ją su naujausiais procesais arba organizavimo metodais, kuriuos tame pačiame sektoriuje paprastai taiko kitos įmonės.</w:t>
      </w:r>
    </w:p>
  </w:footnote>
  <w:footnote w:id="12">
    <w:p w14:paraId="69DB6703" w14:textId="77777777" w:rsidR="00611EA4" w:rsidRPr="003E2299" w:rsidRDefault="00611EA4" w:rsidP="00611EA4">
      <w:pPr>
        <w:pStyle w:val="FootnoteText"/>
      </w:pPr>
      <w:r>
        <w:rPr>
          <w:rStyle w:val="FootnoteReference"/>
        </w:rPr>
        <w:footnoteRef/>
      </w:r>
      <w:r>
        <w:t xml:space="preserve"> </w:t>
      </w:r>
      <w:r>
        <w:tab/>
      </w:r>
      <w:r>
        <w:t xml:space="preserve">Jeigu ekologinių inovacijų diegimo veiklai ir įprastai ne novatoriškai veiklai palyginti gali būti naudojami kiekybiniai parametrai, „gerokai didesnė“ reiškia, kad ribinis pagerėjimas, kurio tikimasi dėl ekologinių inovacijų diegimo veiklos, t. y. mažesnės rizikos aplinkai, mažesnės taršos arba didesnio energijos vartojimo arba išteklių naudojimo efektyvumo, turėtų būti bent dvigubai didesnis už ribinį pagerėjimą, kurio tikimasi dėl bendrosios panašios ne novatoriškos veiklos raidos.</w:t>
      </w:r>
      <w:r>
        <w:t xml:space="preserve"> </w:t>
      </w:r>
      <w:r>
        <w:t xml:space="preserve">Jeigu siūlomas metodas konkrečiu atveju netinka arba jeigu kiekybinio palyginimo atlikti neįmanoma, paraiškos gauti valstybės pagalbą dokumentuose turėtų būti išsamus šiam kriterijui vertinti naudojamo metodo aprašymas užtikrinant standartą, kuris būtų panašus į siūlomą metodą.</w:t>
      </w:r>
    </w:p>
  </w:footnote>
  <w:footnote w:id="13">
    <w:p w14:paraId="210BC139" w14:textId="77777777" w:rsidR="00611EA4" w:rsidRPr="003E2299" w:rsidRDefault="00611EA4" w:rsidP="00611EA4">
      <w:pPr>
        <w:pStyle w:val="FootnoteText"/>
      </w:pPr>
      <w:r>
        <w:rPr>
          <w:rStyle w:val="FootnoteReference"/>
        </w:rPr>
        <w:footnoteRef/>
      </w:r>
      <w:r>
        <w:t xml:space="preserve"> </w:t>
      </w:r>
      <w:r>
        <w:tab/>
      </w:r>
      <w:r>
        <w:t xml:space="preserve">Šią riziką valstybė narė galėtų įrodyti, pavyzdžiui, taip:</w:t>
      </w:r>
      <w:r>
        <w:t xml:space="preserve"> </w:t>
      </w:r>
      <w:r>
        <w:t xml:space="preserve">palyginti išlaidas su bendrovės apyvarta, nurodyti plėtrai reikalingą laiką, numatomą ekologinių inovacijų veiklos naudą, palyginti su išlaidomis, ir nesėkmės tikimybę.</w:t>
      </w:r>
    </w:p>
  </w:footnote>
  <w:footnote w:id="14">
    <w:p w14:paraId="5747D8E4" w14:textId="650D733F" w:rsidR="00E766C0" w:rsidRPr="0095488F" w:rsidRDefault="00E766C0" w:rsidP="00E766C0">
      <w:pPr>
        <w:pStyle w:val="FootnoteText"/>
      </w:pPr>
      <w:r>
        <w:rPr>
          <w:rStyle w:val="FootnoteReference"/>
        </w:rPr>
        <w:footnoteRef/>
      </w:r>
      <w:r>
        <w:tab/>
      </w:r>
      <w:r>
        <w:t xml:space="preserve">Daugiau informacijos žr. PKAAE gairių 51–53 punktuose ir 45–46 išnašose.</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r>
      <w:r>
        <w:t xml:space="preserve">Atkreipkite dėmesį į tai, kad PKAAE gairių 44 išnašoje nustatyta, kad:</w:t>
      </w:r>
    </w:p>
    <w:p w14:paraId="193F0D8D" w14:textId="77777777" w:rsidR="005B06D6" w:rsidRDefault="005B06D6" w:rsidP="00E50157">
      <w:pPr>
        <w:pStyle w:val="FootnoteText"/>
      </w:pPr>
      <w:r>
        <w:tab/>
      </w:r>
      <w:r>
        <w:rPr>
          <w:i/>
        </w:rPr>
        <w:t xml:space="preserve">„</w:t>
      </w:r>
      <w:r>
        <w:rPr>
          <w:i/>
          <w:color w:val="000000"/>
          <w:sz w:val="19"/>
          <w:shd w:val="clear" w:color="auto" w:fill="FFFFFF"/>
        </w:rPr>
        <w:t xml:space="preserve">Vertindamos aplinkos apsaugos vienetus, valstybės narės gali, pavyzdžiui, parengti metodiką, pagal kurią būtų apskaitomi išmetamieji teršalai ar kita tarša įvairiais remiamos ekonominės veiklos etapais, projekto realizavimo trukmė arba sistemos integravimo sąnaudos.</w:t>
      </w:r>
      <w:r>
        <w:rPr>
          <w:i/>
          <w:color w:val="000000"/>
          <w:sz w:val="19"/>
          <w:shd w:val="clear" w:color="auto" w:fill="FFFFFF"/>
        </w:rPr>
        <w:t xml:space="preserve"> </w:t>
      </w:r>
      <w:r>
        <w:rPr>
          <w:i/>
          <w:color w:val="000000"/>
          <w:sz w:val="19"/>
          <w:shd w:val="clear" w:color="auto" w:fill="FFFFFF"/>
        </w:rPr>
        <w:t xml:space="preserve">Nustatydamos indėlį siekiant pagrindinių tikslų, palyginti su prašoma pagalbos suma, valstybės narės gali, pavyzdžiui, jį pasverti pagal įvairius objektyvius kriterijus ir pasirinkti atsižvelgdamos į prašomos pagalbos sumą vienam remiantis objektyviais kriterijais nustatytam svertinio vidurkio vienetui arba iš riboto pasiūlymų, kurių pagalbos suma vienam remiantis objektyviais kriterijais nustatytam vienetui yra mažiausia, skaičiaus pasirinkti tuos, kurie pagal objektyvius kriterijus įvertinami geriausiai.</w:t>
      </w:r>
      <w:r>
        <w:rPr>
          <w:i/>
          <w:color w:val="000000"/>
          <w:sz w:val="19"/>
          <w:shd w:val="clear" w:color="auto" w:fill="FFFFFF"/>
        </w:rPr>
        <w:t xml:space="preserve"> </w:t>
      </w:r>
      <w:r>
        <w:rPr>
          <w:i/>
          <w:color w:val="000000"/>
          <w:sz w:val="19"/>
          <w:shd w:val="clear" w:color="auto" w:fill="FFFFFF"/>
        </w:rPr>
        <w:t xml:space="preserve">Siekiant užtikrinti, kad konkurso procesas išliktų nediskriminacinis, veiksmingai konkurencingas ir atspindėtų ekonominę vertę, bet kurio tokio metodo parametrai turi būti kalibruojami.“</w:t>
      </w:r>
    </w:p>
  </w:footnote>
  <w:footnote w:id="17">
    <w:p w14:paraId="086AD512" w14:textId="70BC3A35" w:rsidR="005B06D6" w:rsidRDefault="005B06D6">
      <w:pPr>
        <w:pStyle w:val="FootnoteText"/>
      </w:pPr>
      <w:r>
        <w:rPr>
          <w:rStyle w:val="FootnoteReference"/>
        </w:rPr>
        <w:footnoteRef/>
      </w:r>
      <w:r>
        <w:tab/>
      </w:r>
      <w:r>
        <w:t xml:space="preserve">Centralizuotai valdomas Sąjungos finansavimas – Sąjungos finansavimas, kurį centralizuotai valdo Europos Sąjungos institucijos, agentūros, bendrosios įmonės ar kitos įstaigos ir kurio tiesiogiai ar netiesiogiai nekontroliuoja valstybė narė.</w:t>
      </w:r>
    </w:p>
  </w:footnote>
  <w:footnote w:id="18">
    <w:p w14:paraId="02AA3570" w14:textId="77777777" w:rsidR="005B06D6" w:rsidRPr="008772CC" w:rsidRDefault="005B06D6" w:rsidP="004B2EF3">
      <w:pPr>
        <w:pStyle w:val="FootnoteText"/>
      </w:pPr>
      <w:r>
        <w:rPr>
          <w:rStyle w:val="FootnoteReference"/>
        </w:rPr>
        <w:footnoteRef/>
      </w:r>
      <w:r>
        <w:t xml:space="preserve"> </w:t>
      </w:r>
      <w:r>
        <w:tab/>
      </w:r>
      <w:r>
        <w:t xml:space="preserve">2020 m. birželio 18 d. Europos Parlamento ir Tarybos reglamentas (ES) 2020/852 dėl sistemos tvariam investavimui palengvinti sukūrimo, kuriuo iš dalies keičiamas Reglamentas (ES) 2019/2088 (OL L 198, 2020 6 22, p. 13).</w:t>
      </w:r>
    </w:p>
  </w:footnote>
  <w:footnote w:id="19">
    <w:p w14:paraId="05B1881A" w14:textId="77777777" w:rsidR="008472A5" w:rsidRDefault="008472A5" w:rsidP="008472A5">
      <w:pPr>
        <w:pStyle w:val="FootnoteText"/>
      </w:pPr>
      <w:r>
        <w:rPr>
          <w:rStyle w:val="FootnoteReference"/>
        </w:rPr>
        <w:footnoteRef/>
      </w:r>
      <w:r>
        <w:tab/>
      </w:r>
      <w:r>
        <w:t xml:space="preserve">Pranešimo apie vertinimo planą papildomos informacijos pateikimo formos (III.8 dalis) šablonas pateikiamas adresu</w:t>
      </w:r>
      <w:r>
        <w:t xml:space="preserve"> </w:t>
      </w:r>
      <w:hyperlink w:anchor="evaluation-plan" w:history="1">
        <w:r>
          <w:rPr>
            <w:rStyle w:val="Hyperlink"/>
            <w:color w:val="auto"/>
          </w:rPr>
          <w:t xml:space="preserve">https://competition-policy.ec.europa.eu/state-aid/legislation/forms-notifications-and-reporting_en?prefLang=lt</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t-LT"/>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val="lt-L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lt-L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lt-L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val="lt-LT"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5980</Words>
  <Characters>31042</Characters>
  <DocSecurity>0</DocSecurity>
  <Lines>689</Lines>
  <Paragraphs>228</Paragraphs>
  <ScaleCrop>false</ScaleCrop>
  <LinksUpToDate>false</LinksUpToDate>
  <CharactersWithSpaces>36794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2024-10-28T11:13:00Z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