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B5" w:rsidRDefault="003475B5" w:rsidP="003475B5">
      <w:pPr>
        <w:spacing w:after="0"/>
        <w:ind w:left="720" w:hanging="720"/>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jc w:val="right"/>
        <w:rPr>
          <w:rFonts w:ascii="ScalaSans" w:hAnsi="ScalaSans"/>
          <w:sz w:val="23"/>
          <w:u w:val="single"/>
          <w:lang w:eastAsia="en-GB"/>
        </w:rPr>
      </w:pPr>
      <w:r w:rsidRPr="003475B5">
        <w:rPr>
          <w:rFonts w:ascii="ScalaSans" w:hAnsi="ScalaSans"/>
          <w:sz w:val="23"/>
          <w:lang w:eastAsia="en-GB"/>
        </w:rPr>
        <w:tab/>
      </w:r>
      <w:r w:rsidRPr="003475B5">
        <w:rPr>
          <w:rFonts w:ascii="ScalaSans" w:hAnsi="ScalaSans"/>
          <w:sz w:val="23"/>
          <w:lang w:eastAsia="en-GB"/>
        </w:rPr>
        <w:tab/>
      </w:r>
      <w:r w:rsidRPr="003475B5">
        <w:rPr>
          <w:rFonts w:ascii="ScalaSans" w:hAnsi="ScalaSans"/>
          <w:sz w:val="23"/>
          <w:lang w:eastAsia="en-GB"/>
        </w:rPr>
        <w:tab/>
      </w:r>
      <w:r w:rsidR="00EB6208" w:rsidRPr="00403CD6">
        <w:rPr>
          <w:rFonts w:ascii="ScalaSans" w:hAnsi="ScalaSans"/>
          <w:sz w:val="23"/>
          <w:u w:val="single"/>
          <w:lang w:eastAsia="en-GB"/>
        </w:rPr>
        <w:t>XX/XX</w:t>
      </w:r>
      <w:r w:rsidR="00E0170A">
        <w:rPr>
          <w:rFonts w:ascii="ScalaSans" w:hAnsi="ScalaSans"/>
          <w:sz w:val="23"/>
          <w:u w:val="single"/>
          <w:lang w:eastAsia="en-GB"/>
        </w:rPr>
        <w:t>/</w:t>
      </w:r>
      <w:r w:rsidR="005C2D0E" w:rsidRPr="00403CD6">
        <w:rPr>
          <w:rFonts w:ascii="ScalaSans" w:hAnsi="ScalaSans"/>
          <w:sz w:val="23"/>
          <w:u w:val="single"/>
          <w:lang w:eastAsia="en-GB"/>
        </w:rPr>
        <w:t>XXXX</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rFonts w:ascii="ScalaSans" w:hAnsi="ScalaSans"/>
          <w:sz w:val="23"/>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bookmarkStart w:id="0" w:name="Address1"/>
      <w:bookmarkEnd w:id="0"/>
      <w:r w:rsidRPr="00403CD6">
        <w:rPr>
          <w:sz w:val="22"/>
          <w:lang w:eastAsia="en-GB"/>
        </w:rPr>
        <w:tab/>
      </w:r>
      <w:r w:rsidRPr="00403CD6">
        <w:rPr>
          <w:sz w:val="22"/>
          <w:lang w:eastAsia="en-GB"/>
        </w:rPr>
        <w:tab/>
      </w:r>
      <w:r w:rsidRPr="00403CD6">
        <w:rPr>
          <w:sz w:val="22"/>
          <w:lang w:eastAsia="en-GB"/>
        </w:rPr>
        <w:tab/>
      </w:r>
    </w:p>
    <w:p w:rsidR="003475B5" w:rsidRPr="00403CD6" w:rsidRDefault="003475B5" w:rsidP="003475B5">
      <w:pPr>
        <w:tabs>
          <w:tab w:val="left" w:pos="600"/>
          <w:tab w:val="left" w:pos="1500"/>
          <w:tab w:val="left" w:pos="3600"/>
          <w:tab w:val="decimal" w:pos="3900"/>
          <w:tab w:val="left" w:pos="4800"/>
          <w:tab w:val="decimal" w:pos="5700"/>
        </w:tabs>
        <w:spacing w:before="120" w:after="0" w:line="300" w:lineRule="exact"/>
        <w:jc w:val="center"/>
        <w:outlineLvl w:val="0"/>
        <w:rPr>
          <w:b/>
          <w:sz w:val="28"/>
          <w:lang w:eastAsia="en-GB"/>
        </w:rPr>
      </w:pPr>
      <w:bookmarkStart w:id="1" w:name="Subject"/>
      <w:bookmarkEnd w:id="1"/>
      <w:r w:rsidRPr="00403CD6">
        <w:rPr>
          <w:b/>
          <w:sz w:val="28"/>
          <w:lang w:eastAsia="en-GB"/>
        </w:rPr>
        <w:t>Case M. [</w:t>
      </w:r>
      <w:r w:rsidRPr="00403CD6">
        <w:rPr>
          <w:b/>
          <w:i/>
          <w:sz w:val="28"/>
          <w:lang w:eastAsia="en-GB"/>
        </w:rPr>
        <w:t>No…</w:t>
      </w:r>
      <w:r w:rsidRPr="00403CD6">
        <w:rPr>
          <w:b/>
          <w:sz w:val="28"/>
          <w:lang w:eastAsia="en-GB"/>
        </w:rPr>
        <w:t>] – [</w:t>
      </w:r>
      <w:r w:rsidRPr="00403CD6">
        <w:rPr>
          <w:b/>
          <w:i/>
          <w:sz w:val="28"/>
          <w:lang w:eastAsia="en-GB"/>
        </w:rPr>
        <w:t>Title…</w:t>
      </w:r>
      <w:r w:rsidRPr="00403CD6">
        <w:rPr>
          <w:b/>
          <w:sz w:val="28"/>
          <w:lang w:eastAsia="en-GB"/>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before="120" w:after="120" w:line="300" w:lineRule="exact"/>
        <w:jc w:val="center"/>
        <w:outlineLvl w:val="0"/>
        <w:rPr>
          <w:b/>
          <w:sz w:val="28"/>
          <w:lang w:eastAsia="en-GB"/>
        </w:rPr>
      </w:pPr>
      <w:r w:rsidRPr="00403CD6">
        <w:rPr>
          <w:b/>
          <w:sz w:val="28"/>
          <w:lang w:eastAsia="en-GB"/>
        </w:rPr>
        <w:t>COMMITMENTS TO THE EUROPEAN COMMISSION</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D65DBE" w:rsidRPr="00403CD6" w:rsidRDefault="003475B5" w:rsidP="00EE3F1D">
      <w:pPr>
        <w:shd w:val="clear" w:color="auto" w:fill="FFFFFF"/>
        <w:spacing w:before="240" w:line="300" w:lineRule="exact"/>
        <w:ind w:right="346"/>
      </w:pPr>
      <w:bookmarkStart w:id="2" w:name="Salutation"/>
      <w:bookmarkStart w:id="3" w:name="LetterBody"/>
      <w:bookmarkStart w:id="4" w:name="bmBegin"/>
      <w:bookmarkEnd w:id="2"/>
      <w:bookmarkEnd w:id="3"/>
      <w:bookmarkEnd w:id="4"/>
      <w:r w:rsidRPr="00403CD6">
        <w:rPr>
          <w:sz w:val="22"/>
          <w:lang w:eastAsia="en-GB"/>
        </w:rPr>
        <w:t xml:space="preserve">Pursuant to [Article 6(2), </w:t>
      </w:r>
      <w:r w:rsidRPr="00403CD6">
        <w:rPr>
          <w:i/>
          <w:sz w:val="22"/>
          <w:lang w:eastAsia="en-GB"/>
        </w:rPr>
        <w:t>if Phase I Commitments</w:t>
      </w:r>
      <w:r w:rsidRPr="00403CD6">
        <w:rPr>
          <w:sz w:val="22"/>
          <w:lang w:eastAsia="en-GB"/>
        </w:rPr>
        <w:t xml:space="preserve">] [Article 8(2), </w:t>
      </w:r>
      <w:r w:rsidRPr="00403CD6">
        <w:rPr>
          <w:i/>
          <w:sz w:val="22"/>
          <w:lang w:eastAsia="en-GB"/>
        </w:rPr>
        <w:t>if Phase II Commitments</w:t>
      </w:r>
      <w:r w:rsidRPr="00403CD6">
        <w:rPr>
          <w:sz w:val="22"/>
          <w:lang w:eastAsia="en-GB"/>
        </w:rPr>
        <w:t>] [Articles 8(2) and 10(2)</w:t>
      </w:r>
      <w:r w:rsidRPr="00403CD6">
        <w:rPr>
          <w:i/>
          <w:sz w:val="22"/>
          <w:lang w:eastAsia="en-GB"/>
        </w:rPr>
        <w:t>, if in Phase II Commitments prior to the sending out of the Statement of Objections</w:t>
      </w:r>
      <w:r w:rsidRPr="00403CD6">
        <w:rPr>
          <w:sz w:val="22"/>
          <w:lang w:eastAsia="en-GB"/>
        </w:rPr>
        <w:t>] of Council Regulation (EC) No 139/2004 (the “</w:t>
      </w:r>
      <w:r w:rsidRPr="00403CD6">
        <w:rPr>
          <w:b/>
          <w:i/>
          <w:sz w:val="22"/>
          <w:lang w:eastAsia="en-GB"/>
        </w:rPr>
        <w:t>Merger Regulation</w:t>
      </w:r>
      <w:r w:rsidRPr="00403CD6">
        <w:rPr>
          <w:sz w:val="22"/>
          <w:lang w:eastAsia="en-GB"/>
        </w:rPr>
        <w:t>”), [</w:t>
      </w:r>
      <w:r w:rsidRPr="00403CD6">
        <w:rPr>
          <w:i/>
          <w:sz w:val="22"/>
          <w:lang w:eastAsia="en-GB"/>
        </w:rPr>
        <w:t xml:space="preserve">Indicate the name of the </w:t>
      </w:r>
      <w:r w:rsidR="00CD65B5" w:rsidRPr="00403CD6">
        <w:rPr>
          <w:i/>
          <w:sz w:val="22"/>
          <w:lang w:eastAsia="en-GB"/>
        </w:rPr>
        <w:t xml:space="preserve">undertaking or undertakings </w:t>
      </w:r>
      <w:r w:rsidRPr="00403CD6">
        <w:rPr>
          <w:i/>
          <w:sz w:val="22"/>
          <w:lang w:eastAsia="en-GB"/>
        </w:rPr>
        <w:t>offering the Commitments</w:t>
      </w:r>
      <w:r w:rsidRPr="00403CD6">
        <w:rPr>
          <w:sz w:val="22"/>
          <w:lang w:eastAsia="en-GB"/>
        </w:rPr>
        <w:t>] (the “</w:t>
      </w:r>
      <w:r w:rsidR="001E677E" w:rsidRPr="00403CD6">
        <w:rPr>
          <w:b/>
          <w:i/>
          <w:sz w:val="22"/>
          <w:lang w:eastAsia="en-GB"/>
        </w:rPr>
        <w:t xml:space="preserve">Notifying </w:t>
      </w:r>
      <w:r w:rsidR="00CD65B5" w:rsidRPr="00403CD6">
        <w:rPr>
          <w:b/>
          <w:i/>
          <w:sz w:val="22"/>
          <w:lang w:eastAsia="en-GB"/>
        </w:rPr>
        <w:t>Party/</w:t>
      </w:r>
      <w:r w:rsidR="009B10DA" w:rsidRPr="00403CD6">
        <w:rPr>
          <w:b/>
          <w:i/>
          <w:sz w:val="22"/>
          <w:lang w:eastAsia="en-GB"/>
        </w:rPr>
        <w:t xml:space="preserve">Notifying </w:t>
      </w:r>
      <w:r w:rsidRPr="00403CD6">
        <w:rPr>
          <w:b/>
          <w:i/>
          <w:sz w:val="22"/>
          <w:lang w:eastAsia="en-GB"/>
        </w:rPr>
        <w:t>Parties</w:t>
      </w:r>
      <w:r w:rsidRPr="00403CD6">
        <w:rPr>
          <w:sz w:val="22"/>
          <w:lang w:eastAsia="en-GB"/>
        </w:rPr>
        <w:t xml:space="preserve">”) hereby </w:t>
      </w:r>
      <w:r w:rsidR="0079600F" w:rsidRPr="00403CD6">
        <w:rPr>
          <w:sz w:val="22"/>
          <w:lang w:eastAsia="en-GB"/>
        </w:rPr>
        <w:t xml:space="preserve">enter into </w:t>
      </w:r>
      <w:r w:rsidRPr="00403CD6">
        <w:rPr>
          <w:sz w:val="22"/>
          <w:lang w:eastAsia="en-GB"/>
        </w:rPr>
        <w:t>the following Commitments (the “</w:t>
      </w:r>
      <w:r w:rsidRPr="00403CD6">
        <w:rPr>
          <w:b/>
          <w:i/>
          <w:sz w:val="22"/>
          <w:lang w:eastAsia="en-GB"/>
        </w:rPr>
        <w:t>Commitments</w:t>
      </w:r>
      <w:r w:rsidRPr="00403CD6">
        <w:rPr>
          <w:sz w:val="22"/>
          <w:lang w:eastAsia="en-GB"/>
        </w:rPr>
        <w:t xml:space="preserve">”) </w:t>
      </w:r>
      <w:r w:rsidR="0079600F" w:rsidRPr="00403CD6">
        <w:rPr>
          <w:sz w:val="22"/>
          <w:lang w:eastAsia="en-GB"/>
        </w:rPr>
        <w:t>vis-à-vis</w:t>
      </w:r>
      <w:r w:rsidRPr="00403CD6">
        <w:rPr>
          <w:sz w:val="22"/>
          <w:lang w:eastAsia="en-GB"/>
        </w:rPr>
        <w:t xml:space="preserve"> the European Commission (the “</w:t>
      </w:r>
      <w:r w:rsidRPr="00403CD6">
        <w:rPr>
          <w:b/>
          <w:i/>
          <w:sz w:val="22"/>
          <w:lang w:eastAsia="en-GB"/>
        </w:rPr>
        <w:t>Commission</w:t>
      </w:r>
      <w:r w:rsidRPr="00403CD6">
        <w:rPr>
          <w:sz w:val="22"/>
          <w:lang w:eastAsia="en-GB"/>
        </w:rPr>
        <w:t xml:space="preserve">”) </w:t>
      </w:r>
      <w:r w:rsidR="00D65DBE" w:rsidRPr="00403CD6">
        <w:rPr>
          <w:sz w:val="22"/>
          <w:lang w:eastAsia="en-GB"/>
        </w:rPr>
        <w:t>with a view to rendering</w:t>
      </w:r>
      <w:r w:rsidRPr="00403CD6">
        <w:rPr>
          <w:sz w:val="22"/>
          <w:lang w:eastAsia="en-GB"/>
        </w:rPr>
        <w:t xml:space="preserve"> [</w:t>
      </w:r>
      <w:r w:rsidRPr="00403CD6">
        <w:rPr>
          <w:i/>
          <w:sz w:val="22"/>
          <w:lang w:eastAsia="en-GB"/>
        </w:rPr>
        <w:t>Description of the operation: e.g. the acquisition of…; the creation of a full-function joint venture between…</w:t>
      </w:r>
      <w:r w:rsidRPr="00403CD6">
        <w:rPr>
          <w:sz w:val="22"/>
          <w:lang w:eastAsia="en-GB"/>
        </w:rPr>
        <w:t xml:space="preserve">] </w:t>
      </w:r>
      <w:r w:rsidR="0079600F" w:rsidRPr="00403CD6">
        <w:rPr>
          <w:sz w:val="22"/>
          <w:lang w:eastAsia="en-GB"/>
        </w:rPr>
        <w:t>(the “</w:t>
      </w:r>
      <w:r w:rsidR="00EE3F1D" w:rsidRPr="00403CD6">
        <w:rPr>
          <w:b/>
          <w:i/>
          <w:sz w:val="22"/>
          <w:lang w:eastAsia="en-GB"/>
        </w:rPr>
        <w:t>Concentra</w:t>
      </w:r>
      <w:r w:rsidR="0079600F" w:rsidRPr="00403CD6">
        <w:rPr>
          <w:b/>
          <w:i/>
          <w:sz w:val="22"/>
          <w:lang w:eastAsia="en-GB"/>
        </w:rPr>
        <w:t>tion</w:t>
      </w:r>
      <w:r w:rsidR="0079600F" w:rsidRPr="00403CD6">
        <w:rPr>
          <w:sz w:val="22"/>
          <w:lang w:eastAsia="en-GB"/>
        </w:rPr>
        <w:t xml:space="preserve">”) </w:t>
      </w:r>
      <w:r w:rsidRPr="00403CD6">
        <w:rPr>
          <w:sz w:val="22"/>
          <w:lang w:eastAsia="en-GB"/>
        </w:rPr>
        <w:t xml:space="preserve">compatible with the </w:t>
      </w:r>
      <w:r w:rsidR="004463D3" w:rsidRPr="00403CD6">
        <w:rPr>
          <w:sz w:val="22"/>
          <w:lang w:eastAsia="en-GB"/>
        </w:rPr>
        <w:t xml:space="preserve">internal </w:t>
      </w:r>
      <w:r w:rsidRPr="00403CD6">
        <w:rPr>
          <w:sz w:val="22"/>
          <w:lang w:eastAsia="en-GB"/>
        </w:rPr>
        <w:t xml:space="preserve">market and </w:t>
      </w:r>
      <w:r w:rsidR="0079600F" w:rsidRPr="00403CD6">
        <w:rPr>
          <w:sz w:val="22"/>
          <w:lang w:eastAsia="en-GB"/>
        </w:rPr>
        <w:t xml:space="preserve">the functioning of </w:t>
      </w:r>
      <w:r w:rsidRPr="00403CD6">
        <w:rPr>
          <w:sz w:val="22"/>
          <w:lang w:eastAsia="en-GB"/>
        </w:rPr>
        <w:t>the EEA Agreement.</w:t>
      </w:r>
      <w:r w:rsidR="003D57BA" w:rsidRPr="00403CD6">
        <w:rPr>
          <w:color w:val="000000"/>
          <w:sz w:val="22"/>
          <w:szCs w:val="22"/>
          <w:lang w:eastAsia="en-US"/>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jc w:val="right"/>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This text shall be interpreted in light of the </w:t>
      </w:r>
      <w:r w:rsidR="00946740" w:rsidRPr="00403CD6">
        <w:rPr>
          <w:sz w:val="22"/>
          <w:lang w:eastAsia="en-GB"/>
        </w:rPr>
        <w:t xml:space="preserve">Commission’s decision pursuant to [Article 6(1)(b) of the Merger Regulation, </w:t>
      </w:r>
      <w:r w:rsidR="00946740" w:rsidRPr="00403CD6">
        <w:rPr>
          <w:i/>
          <w:sz w:val="22"/>
          <w:lang w:eastAsia="en-GB"/>
        </w:rPr>
        <w:t>if Phase I Commitments</w:t>
      </w:r>
      <w:r w:rsidR="00946740" w:rsidRPr="00403CD6">
        <w:rPr>
          <w:sz w:val="22"/>
          <w:lang w:eastAsia="en-GB"/>
        </w:rPr>
        <w:t xml:space="preserve">] [Article 8(2), </w:t>
      </w:r>
      <w:r w:rsidR="00946740" w:rsidRPr="00403CD6">
        <w:rPr>
          <w:i/>
          <w:sz w:val="22"/>
          <w:lang w:eastAsia="en-GB"/>
        </w:rPr>
        <w:t>if Phase II Commitments</w:t>
      </w:r>
      <w:r w:rsidR="00946740" w:rsidRPr="00403CD6">
        <w:rPr>
          <w:sz w:val="22"/>
          <w:lang w:eastAsia="en-GB"/>
        </w:rPr>
        <w:t xml:space="preserve">] of the Merger Regulation to declare </w:t>
      </w:r>
      <w:r w:rsidR="00946740" w:rsidRPr="00291AB9">
        <w:rPr>
          <w:sz w:val="22"/>
          <w:lang w:eastAsia="en-GB"/>
        </w:rPr>
        <w:t xml:space="preserve">the </w:t>
      </w:r>
      <w:r w:rsidR="00F35625" w:rsidRPr="00291AB9">
        <w:rPr>
          <w:sz w:val="22"/>
          <w:lang w:eastAsia="en-GB"/>
        </w:rPr>
        <w:t>Concentration</w:t>
      </w:r>
      <w:r w:rsidR="00946740" w:rsidRPr="00291AB9">
        <w:rPr>
          <w:sz w:val="22"/>
          <w:lang w:eastAsia="en-GB"/>
        </w:rPr>
        <w:t xml:space="preserve"> compatible with the internal market and the functioning of the EEA Agreement (the “</w:t>
      </w:r>
      <w:r w:rsidR="00946740" w:rsidRPr="00291AB9">
        <w:rPr>
          <w:b/>
          <w:i/>
          <w:sz w:val="22"/>
          <w:lang w:eastAsia="en-GB"/>
        </w:rPr>
        <w:t>Decision</w:t>
      </w:r>
      <w:r w:rsidR="00946740" w:rsidRPr="00291AB9">
        <w:rPr>
          <w:sz w:val="22"/>
          <w:lang w:eastAsia="en-GB"/>
        </w:rPr>
        <w:t>”)</w:t>
      </w:r>
      <w:r w:rsidRPr="00291AB9">
        <w:rPr>
          <w:sz w:val="22"/>
          <w:lang w:eastAsia="en-GB"/>
        </w:rPr>
        <w:t>, in the general framework</w:t>
      </w:r>
      <w:r w:rsidRPr="00403CD6">
        <w:rPr>
          <w:sz w:val="22"/>
          <w:lang w:eastAsia="en-GB"/>
        </w:rPr>
        <w:t xml:space="preserve"> of </w:t>
      </w:r>
      <w:r w:rsidR="005D2E00" w:rsidRPr="00403CD6">
        <w:rPr>
          <w:sz w:val="22"/>
          <w:lang w:eastAsia="en-GB"/>
        </w:rPr>
        <w:t xml:space="preserve">European Union </w:t>
      </w:r>
      <w:r w:rsidRPr="00403CD6">
        <w:rPr>
          <w:sz w:val="22"/>
          <w:lang w:eastAsia="en-GB"/>
        </w:rPr>
        <w:t>law, in particular in light of the Merger Regulation, and by reference to</w:t>
      </w:r>
      <w:r w:rsidRPr="00403CD6">
        <w:rPr>
          <w:rFonts w:ascii="ScalaSans" w:hAnsi="ScalaSans"/>
          <w:sz w:val="23"/>
          <w:lang w:eastAsia="en-GB"/>
        </w:rPr>
        <w:t xml:space="preserve"> </w:t>
      </w:r>
      <w:r w:rsidRPr="00403CD6">
        <w:rPr>
          <w:sz w:val="22"/>
          <w:lang w:eastAsia="en-GB"/>
        </w:rPr>
        <w:t>the Commission Notice on remedies acceptable under Council Regulation (EC) No 139/2004 and under Commission Regulation (EC) No 802/2004</w:t>
      </w:r>
      <w:r w:rsidR="000114B5" w:rsidRPr="00403CD6">
        <w:rPr>
          <w:sz w:val="22"/>
          <w:lang w:eastAsia="en-GB"/>
        </w:rPr>
        <w:t xml:space="preserve"> (the “</w:t>
      </w:r>
      <w:r w:rsidR="000114B5" w:rsidRPr="00403CD6">
        <w:rPr>
          <w:b/>
          <w:i/>
          <w:sz w:val="22"/>
          <w:lang w:eastAsia="en-GB"/>
        </w:rPr>
        <w:t>Remedies Notice</w:t>
      </w:r>
      <w:r w:rsidR="000114B5" w:rsidRPr="00403CD6">
        <w:rPr>
          <w:sz w:val="22"/>
          <w:lang w:eastAsia="en-GB"/>
        </w:rPr>
        <w:t>”)</w:t>
      </w:r>
      <w:r w:rsidRPr="00403CD6">
        <w:rPr>
          <w:sz w:val="22"/>
          <w:lang w:eastAsia="en-GB"/>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lang w:eastAsia="en-GB"/>
        </w:rPr>
      </w:pPr>
      <w:r w:rsidRPr="00403CD6">
        <w:rPr>
          <w:b/>
          <w:sz w:val="22"/>
          <w:lang w:eastAsia="en-GB"/>
        </w:rPr>
        <w:t>Section A.</w:t>
      </w:r>
      <w:r w:rsidRPr="00403CD6">
        <w:rPr>
          <w:b/>
          <w:sz w:val="22"/>
          <w:lang w:eastAsia="en-GB"/>
        </w:rPr>
        <w:tab/>
        <w:t>Definitions</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291AB9">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For the purpose of the Commitments, the following terms shall have the following meaning:</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Affiliated Undertakings</w:t>
      </w:r>
      <w:r w:rsidRPr="00403CD6">
        <w:rPr>
          <w:sz w:val="22"/>
          <w:lang w:eastAsia="en-GB"/>
        </w:rPr>
        <w:t xml:space="preserve">: undertakings controlled by the Parties and/or by the ultimate parents of the Parties, including the </w:t>
      </w:r>
      <w:r w:rsidR="002F2726" w:rsidRPr="00403CD6">
        <w:rPr>
          <w:sz w:val="22"/>
          <w:lang w:eastAsia="en-GB"/>
        </w:rPr>
        <w:t>joint venture</w:t>
      </w:r>
      <w:r w:rsidRPr="00403CD6">
        <w:rPr>
          <w:sz w:val="22"/>
          <w:lang w:eastAsia="en-GB"/>
        </w:rPr>
        <w:t xml:space="preserve"> [</w:t>
      </w:r>
      <w:r w:rsidRPr="00403CD6">
        <w:rPr>
          <w:i/>
          <w:sz w:val="22"/>
          <w:lang w:eastAsia="en-GB"/>
        </w:rPr>
        <w:t xml:space="preserve">Only in the case when the proposed operation is a creation of a </w:t>
      </w:r>
      <w:r w:rsidR="002F2726" w:rsidRPr="00403CD6">
        <w:rPr>
          <w:i/>
          <w:sz w:val="22"/>
          <w:lang w:eastAsia="en-GB"/>
        </w:rPr>
        <w:t>joint venture</w:t>
      </w:r>
      <w:r w:rsidRPr="00403CD6">
        <w:rPr>
          <w:sz w:val="22"/>
          <w:lang w:eastAsia="en-GB"/>
        </w:rPr>
        <w:t xml:space="preserve">], whereby the notion of control shall be interpreted pursuant to Article 3 </w:t>
      </w:r>
      <w:r w:rsidR="00065765" w:rsidRPr="00403CD6">
        <w:rPr>
          <w:sz w:val="22"/>
          <w:lang w:eastAsia="en-GB"/>
        </w:rPr>
        <w:t xml:space="preserve">of the </w:t>
      </w:r>
      <w:r w:rsidRPr="00403CD6">
        <w:rPr>
          <w:sz w:val="22"/>
          <w:lang w:eastAsia="en-GB"/>
        </w:rPr>
        <w:t>Merger Regulation and in light of the Commission Consolidated Jurisdictional Notice under Council Regulation (EC) No 139/2004 on the control of concentrations between undertakings (the "</w:t>
      </w:r>
      <w:r w:rsidRPr="00403CD6">
        <w:rPr>
          <w:b/>
          <w:i/>
          <w:sz w:val="22"/>
          <w:lang w:eastAsia="en-GB"/>
        </w:rPr>
        <w:t>Consolidated Jurisdictional Notice</w:t>
      </w:r>
      <w:r w:rsidRPr="00403CD6">
        <w:rPr>
          <w:sz w:val="22"/>
          <w:lang w:eastAsia="en-GB"/>
        </w:rPr>
        <w:t xml:space="preserve">").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824AC" w:rsidRDefault="003824AC" w:rsidP="00291AB9">
      <w:pPr>
        <w:tabs>
          <w:tab w:val="left" w:pos="567"/>
          <w:tab w:val="left" w:pos="1500"/>
          <w:tab w:val="left" w:pos="3600"/>
          <w:tab w:val="decimal" w:pos="3900"/>
          <w:tab w:val="left" w:pos="4800"/>
          <w:tab w:val="decimal" w:pos="5700"/>
        </w:tabs>
        <w:spacing w:after="0" w:line="300" w:lineRule="exact"/>
        <w:ind w:left="360"/>
        <w:outlineLvl w:val="0"/>
        <w:rPr>
          <w:b/>
          <w:sz w:val="22"/>
          <w:lang w:eastAsia="en-GB"/>
        </w:rPr>
      </w:pPr>
      <w:r w:rsidRPr="00291AB9">
        <w:rPr>
          <w:b/>
          <w:sz w:val="22"/>
          <w:lang w:eastAsia="en-GB"/>
        </w:rPr>
        <w:t xml:space="preserve">Assets: </w:t>
      </w:r>
      <w:r w:rsidR="00EA139A" w:rsidRPr="00291AB9">
        <w:rPr>
          <w:sz w:val="22"/>
          <w:lang w:eastAsia="en-GB"/>
        </w:rPr>
        <w:t>the assets that contribute to the current operation or are necessary to ensure the viability and competitiveness of the Divestment Business as indicated in Section B, paragraph 6 (a), (b) and (c) and described more in detail in the Schedule.</w:t>
      </w:r>
      <w:r w:rsidR="00EA139A" w:rsidRPr="00291AB9">
        <w:rPr>
          <w:b/>
          <w:sz w:val="22"/>
          <w:lang w:eastAsia="en-GB"/>
        </w:rPr>
        <w:t xml:space="preserve"> </w:t>
      </w:r>
    </w:p>
    <w:p w:rsidR="003824AC" w:rsidRDefault="003824AC" w:rsidP="00291AB9">
      <w:pPr>
        <w:tabs>
          <w:tab w:val="left" w:pos="567"/>
          <w:tab w:val="left" w:pos="1500"/>
          <w:tab w:val="left" w:pos="3600"/>
          <w:tab w:val="decimal" w:pos="3900"/>
          <w:tab w:val="left" w:pos="4800"/>
          <w:tab w:val="decimal" w:pos="5700"/>
        </w:tabs>
        <w:spacing w:after="0" w:line="300" w:lineRule="exact"/>
        <w:ind w:left="360"/>
        <w:outlineLvl w:val="0"/>
        <w:rPr>
          <w:b/>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outlineLvl w:val="0"/>
        <w:rPr>
          <w:sz w:val="22"/>
          <w:lang w:eastAsia="en-GB"/>
        </w:rPr>
      </w:pPr>
      <w:r w:rsidRPr="00403CD6">
        <w:rPr>
          <w:b/>
          <w:sz w:val="22"/>
          <w:lang w:eastAsia="en-GB"/>
        </w:rPr>
        <w:t>Closing</w:t>
      </w:r>
      <w:r w:rsidRPr="00403CD6">
        <w:rPr>
          <w:sz w:val="22"/>
          <w:lang w:eastAsia="en-GB"/>
        </w:rPr>
        <w:t xml:space="preserve">: the transfer of the legal title </w:t>
      </w:r>
      <w:r w:rsidR="002F2726" w:rsidRPr="00403CD6">
        <w:rPr>
          <w:sz w:val="22"/>
          <w:lang w:eastAsia="en-GB"/>
        </w:rPr>
        <w:t xml:space="preserve">to </w:t>
      </w:r>
      <w:r w:rsidRPr="00403CD6">
        <w:rPr>
          <w:sz w:val="22"/>
          <w:lang w:eastAsia="en-GB"/>
        </w:rPr>
        <w:t>the Divestment Business to the Purchaser.</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b/>
          <w:sz w:val="22"/>
          <w:lang w:eastAsia="en-GB"/>
        </w:rPr>
      </w:pPr>
      <w:r w:rsidRPr="00403CD6">
        <w:rPr>
          <w:b/>
          <w:sz w:val="22"/>
          <w:lang w:eastAsia="en-GB"/>
        </w:rPr>
        <w:t>Closing Period</w:t>
      </w:r>
      <w:r w:rsidRPr="00403CD6">
        <w:rPr>
          <w:sz w:val="22"/>
          <w:lang w:eastAsia="en-GB"/>
        </w:rPr>
        <w:t xml:space="preserve">: </w:t>
      </w:r>
      <w:r w:rsidR="002F2726" w:rsidRPr="00403CD6">
        <w:rPr>
          <w:sz w:val="22"/>
          <w:lang w:eastAsia="en-GB"/>
        </w:rPr>
        <w:t xml:space="preserve">the </w:t>
      </w:r>
      <w:r w:rsidRPr="00403CD6">
        <w:rPr>
          <w:sz w:val="22"/>
          <w:lang w:eastAsia="en-GB"/>
        </w:rPr>
        <w:t xml:space="preserve">period </w:t>
      </w:r>
      <w:r w:rsidR="002F2726" w:rsidRPr="00403CD6">
        <w:rPr>
          <w:sz w:val="22"/>
          <w:lang w:eastAsia="en-GB"/>
        </w:rPr>
        <w:t>of</w:t>
      </w:r>
      <w:r w:rsidRPr="00403CD6">
        <w:rPr>
          <w:sz w:val="22"/>
          <w:lang w:eastAsia="en-GB"/>
        </w:rPr>
        <w:t xml:space="preserve"> 3 months </w:t>
      </w:r>
      <w:r w:rsidR="002F2726" w:rsidRPr="00403CD6">
        <w:rPr>
          <w:sz w:val="22"/>
          <w:lang w:eastAsia="en-GB"/>
        </w:rPr>
        <w:t xml:space="preserve">from </w:t>
      </w:r>
      <w:r w:rsidRPr="00403CD6">
        <w:rPr>
          <w:sz w:val="22"/>
          <w:lang w:eastAsia="en-GB"/>
        </w:rPr>
        <w:t>the approval of the Purchaser and the terms of sale by the Commission</w:t>
      </w:r>
      <w:r w:rsidR="00065765" w:rsidRPr="00403CD6">
        <w:rPr>
          <w:sz w:val="22"/>
          <w:lang w:eastAsia="en-GB"/>
        </w:rPr>
        <w:t>.</w:t>
      </w:r>
      <w:r w:rsidR="00886374" w:rsidRPr="00403CD6">
        <w:rPr>
          <w:sz w:val="22"/>
          <w:lang w:eastAsia="en-GB"/>
        </w:rPr>
        <w:t xml:space="preserve">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b/>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Confidential Information</w:t>
      </w:r>
      <w:r w:rsidRPr="00403CD6">
        <w:rPr>
          <w:sz w:val="22"/>
          <w:lang w:eastAsia="en-GB"/>
        </w:rPr>
        <w:t>: any business secrets, know-how, commercial information, or any other information of a proprietary nature</w:t>
      </w:r>
      <w:r w:rsidR="002F2726" w:rsidRPr="00403CD6">
        <w:rPr>
          <w:sz w:val="22"/>
          <w:lang w:eastAsia="en-GB"/>
        </w:rPr>
        <w:t xml:space="preserve"> that is not in the public domain</w:t>
      </w:r>
      <w:r w:rsidRPr="00403CD6">
        <w:rPr>
          <w:sz w:val="22"/>
          <w:lang w:eastAsia="en-GB"/>
        </w:rPr>
        <w:t xml:space="preserve">.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b/>
          <w:sz w:val="22"/>
          <w:lang w:eastAsia="en-GB"/>
        </w:rPr>
      </w:pPr>
    </w:p>
    <w:p w:rsidR="007903B6" w:rsidRPr="00403CD6" w:rsidRDefault="007903B6"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Conflict of Interest</w:t>
      </w:r>
      <w:r w:rsidRPr="00403CD6">
        <w:rPr>
          <w:sz w:val="22"/>
          <w:lang w:eastAsia="en-GB"/>
        </w:rPr>
        <w:t>: any conflict of interest that impairs the Trustee's objectivity and independence in discharging its duties under the Commitments.</w:t>
      </w:r>
      <w:r w:rsidR="00511823" w:rsidRPr="00403CD6">
        <w:rPr>
          <w:sz w:val="22"/>
          <w:lang w:eastAsia="en-GB"/>
        </w:rPr>
        <w:t xml:space="preserve"> </w:t>
      </w:r>
    </w:p>
    <w:p w:rsidR="007903B6" w:rsidRPr="00403CD6" w:rsidRDefault="007903B6" w:rsidP="00291AB9">
      <w:pPr>
        <w:tabs>
          <w:tab w:val="left" w:pos="567"/>
          <w:tab w:val="left" w:pos="1500"/>
          <w:tab w:val="left" w:pos="3600"/>
          <w:tab w:val="decimal" w:pos="3900"/>
          <w:tab w:val="left" w:pos="4800"/>
          <w:tab w:val="decimal" w:pos="5700"/>
        </w:tabs>
        <w:spacing w:after="0" w:line="300" w:lineRule="exact"/>
        <w:ind w:left="360"/>
        <w:rPr>
          <w:b/>
          <w:sz w:val="22"/>
          <w:lang w:eastAsia="en-GB"/>
        </w:rPr>
      </w:pPr>
    </w:p>
    <w:p w:rsidR="003475B5"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Divestment Business</w:t>
      </w:r>
      <w:r w:rsidRPr="00403CD6">
        <w:rPr>
          <w:sz w:val="22"/>
          <w:lang w:eastAsia="en-GB"/>
        </w:rPr>
        <w:t xml:space="preserve">: the business or businesses as defined in Section B and in the Schedule which the </w:t>
      </w:r>
      <w:r w:rsidR="00A641BF" w:rsidRPr="00403CD6">
        <w:rPr>
          <w:sz w:val="22"/>
          <w:lang w:eastAsia="en-GB"/>
        </w:rPr>
        <w:t>Notifying</w:t>
      </w:r>
      <w:r w:rsidR="009B10DA" w:rsidRPr="00403CD6">
        <w:rPr>
          <w:sz w:val="22"/>
          <w:lang w:eastAsia="en-GB"/>
        </w:rPr>
        <w:t xml:space="preserve"> Party/Notifying </w:t>
      </w:r>
      <w:r w:rsidRPr="00403CD6">
        <w:rPr>
          <w:sz w:val="22"/>
          <w:lang w:eastAsia="en-GB"/>
        </w:rPr>
        <w:t xml:space="preserve">Parties commit to divest. </w:t>
      </w:r>
    </w:p>
    <w:p w:rsidR="00710092" w:rsidRPr="00403CD6" w:rsidRDefault="00710092"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Divestiture Trustee</w:t>
      </w:r>
      <w:r w:rsidRPr="00403CD6">
        <w:rPr>
          <w:sz w:val="22"/>
          <w:lang w:eastAsia="en-GB"/>
        </w:rPr>
        <w:t>: one or more natural or legal person(s</w:t>
      </w:r>
      <w:r w:rsidR="00EE3F1D" w:rsidRPr="00403CD6">
        <w:rPr>
          <w:sz w:val="22"/>
          <w:lang w:eastAsia="en-GB"/>
        </w:rPr>
        <w:t>)</w:t>
      </w:r>
      <w:r w:rsidR="007A28F6" w:rsidRPr="00403CD6">
        <w:rPr>
          <w:sz w:val="22"/>
          <w:lang w:eastAsia="en-GB"/>
        </w:rPr>
        <w:t xml:space="preserve"> </w:t>
      </w:r>
      <w:r w:rsidRPr="00403CD6">
        <w:rPr>
          <w:sz w:val="22"/>
          <w:lang w:eastAsia="en-GB"/>
        </w:rPr>
        <w:t xml:space="preserve">who </w:t>
      </w:r>
      <w:r w:rsidR="00EE3F1D" w:rsidRPr="00403CD6">
        <w:rPr>
          <w:sz w:val="22"/>
          <w:lang w:eastAsia="en-GB"/>
        </w:rPr>
        <w:t>is/are</w:t>
      </w:r>
      <w:r w:rsidRPr="00403CD6">
        <w:rPr>
          <w:sz w:val="22"/>
          <w:lang w:eastAsia="en-GB"/>
        </w:rPr>
        <w:t xml:space="preserve"> approved by the Commission and appointed by [</w:t>
      </w:r>
      <w:r w:rsidRPr="00403CD6">
        <w:rPr>
          <w:i/>
          <w:sz w:val="22"/>
          <w:lang w:eastAsia="en-GB"/>
        </w:rPr>
        <w:t>X</w:t>
      </w:r>
      <w:r w:rsidRPr="00403CD6">
        <w:rPr>
          <w:sz w:val="22"/>
          <w:lang w:eastAsia="en-GB"/>
        </w:rPr>
        <w:t>] and who has</w:t>
      </w:r>
      <w:r w:rsidR="00EE3F1D" w:rsidRPr="00403CD6">
        <w:rPr>
          <w:sz w:val="22"/>
          <w:lang w:eastAsia="en-GB"/>
        </w:rPr>
        <w:t>/have</w:t>
      </w:r>
      <w:r w:rsidRPr="00403CD6">
        <w:rPr>
          <w:sz w:val="22"/>
          <w:lang w:eastAsia="en-GB"/>
        </w:rPr>
        <w:t xml:space="preserve"> received from [</w:t>
      </w:r>
      <w:r w:rsidRPr="00403CD6">
        <w:rPr>
          <w:i/>
          <w:sz w:val="22"/>
          <w:lang w:eastAsia="en-GB"/>
        </w:rPr>
        <w:t>X</w:t>
      </w:r>
      <w:r w:rsidRPr="00403CD6">
        <w:rPr>
          <w:sz w:val="22"/>
          <w:lang w:eastAsia="en-GB"/>
        </w:rPr>
        <w:t>] the exclusive Trustee Mandate to sell the Divestment Business to a Purchaser at no minimum price.</w:t>
      </w:r>
    </w:p>
    <w:p w:rsidR="003475B5" w:rsidRPr="00403CD6" w:rsidRDefault="007A28F6"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sz w:val="22"/>
          <w:lang w:eastAsia="en-GB"/>
        </w:rPr>
        <w:t xml:space="preserve">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outlineLvl w:val="0"/>
        <w:rPr>
          <w:sz w:val="22"/>
          <w:lang w:eastAsia="en-GB"/>
        </w:rPr>
      </w:pPr>
      <w:r w:rsidRPr="00403CD6">
        <w:rPr>
          <w:b/>
          <w:sz w:val="22"/>
          <w:lang w:eastAsia="en-GB"/>
        </w:rPr>
        <w:t>Effective Date</w:t>
      </w:r>
      <w:r w:rsidRPr="00403CD6">
        <w:rPr>
          <w:sz w:val="22"/>
          <w:lang w:eastAsia="en-GB"/>
        </w:rPr>
        <w:t xml:space="preserve">: the date of adoption of the Decision.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outlineLvl w:val="0"/>
        <w:rPr>
          <w:sz w:val="22"/>
          <w:lang w:eastAsia="en-GB"/>
        </w:rPr>
      </w:pPr>
      <w:r w:rsidRPr="00403CD6">
        <w:rPr>
          <w:b/>
          <w:sz w:val="22"/>
          <w:lang w:eastAsia="en-GB"/>
        </w:rPr>
        <w:t>First Divestiture Period</w:t>
      </w:r>
      <w:r w:rsidRPr="00403CD6">
        <w:rPr>
          <w:sz w:val="22"/>
          <w:lang w:eastAsia="en-GB"/>
        </w:rPr>
        <w:t>: the period of [</w:t>
      </w:r>
      <w:r w:rsidRPr="00403CD6">
        <w:rPr>
          <w:sz w:val="22"/>
          <w:lang w:eastAsia="en-GB"/>
        </w:rPr>
        <w:sym w:font="Symbol" w:char="F0B7"/>
      </w:r>
      <w:r w:rsidRPr="00403CD6">
        <w:rPr>
          <w:sz w:val="22"/>
          <w:lang w:eastAsia="en-GB"/>
        </w:rPr>
        <w:t xml:space="preserve">] months from the Effective Date.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Hold Separate Manager</w:t>
      </w:r>
      <w:r w:rsidRPr="00403CD6">
        <w:rPr>
          <w:sz w:val="22"/>
          <w:lang w:eastAsia="en-GB"/>
        </w:rPr>
        <w:t>: the person appointed by [</w:t>
      </w:r>
      <w:r w:rsidRPr="00403CD6">
        <w:rPr>
          <w:i/>
          <w:sz w:val="22"/>
          <w:lang w:eastAsia="en-GB"/>
        </w:rPr>
        <w:t>X</w:t>
      </w:r>
      <w:r w:rsidRPr="00403CD6">
        <w:rPr>
          <w:sz w:val="22"/>
          <w:lang w:eastAsia="en-GB"/>
        </w:rPr>
        <w:t>]</w:t>
      </w:r>
      <w:r w:rsidR="00330094" w:rsidRPr="00403CD6">
        <w:rPr>
          <w:sz w:val="22"/>
          <w:lang w:eastAsia="en-GB"/>
        </w:rPr>
        <w:t xml:space="preserve"> </w:t>
      </w:r>
      <w:r w:rsidRPr="00403CD6">
        <w:rPr>
          <w:sz w:val="22"/>
          <w:lang w:eastAsia="en-GB"/>
        </w:rPr>
        <w:t>for the Divestment Business to manage the day-to-day business under the supervision of the Monitoring Trustee.</w:t>
      </w:r>
      <w:r w:rsidR="00511823" w:rsidRPr="00403CD6">
        <w:rPr>
          <w:sz w:val="22"/>
          <w:lang w:eastAsia="en-GB"/>
        </w:rPr>
        <w:t xml:space="preserve">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Key Personnel</w:t>
      </w:r>
      <w:r w:rsidRPr="00403CD6">
        <w:rPr>
          <w:sz w:val="22"/>
          <w:lang w:eastAsia="en-GB"/>
        </w:rPr>
        <w:t xml:space="preserve">: all personnel necessary to maintain the </w:t>
      </w:r>
      <w:r w:rsidRPr="00291AB9">
        <w:rPr>
          <w:sz w:val="22"/>
          <w:lang w:eastAsia="en-GB"/>
        </w:rPr>
        <w:t>viability</w:t>
      </w:r>
      <w:r w:rsidR="00291AB9" w:rsidRPr="00291AB9">
        <w:rPr>
          <w:sz w:val="22"/>
          <w:lang w:eastAsia="en-GB"/>
        </w:rPr>
        <w:t xml:space="preserve"> </w:t>
      </w:r>
      <w:r w:rsidRPr="00291AB9">
        <w:rPr>
          <w:sz w:val="22"/>
          <w:lang w:eastAsia="en-GB"/>
        </w:rPr>
        <w:t>and</w:t>
      </w:r>
      <w:r w:rsidRPr="00403CD6">
        <w:rPr>
          <w:sz w:val="22"/>
          <w:lang w:eastAsia="en-GB"/>
        </w:rPr>
        <w:t xml:space="preserve"> competitiveness of the Divestment Business, as listed in the Schedule</w:t>
      </w:r>
      <w:r w:rsidR="00046F44" w:rsidRPr="00403CD6">
        <w:rPr>
          <w:sz w:val="22"/>
          <w:lang w:eastAsia="en-GB"/>
        </w:rPr>
        <w:t>, including the Hold Separate Manager</w:t>
      </w:r>
      <w:r w:rsidRPr="00403CD6">
        <w:rPr>
          <w:sz w:val="22"/>
          <w:lang w:eastAsia="en-GB"/>
        </w:rPr>
        <w:t xml:space="preserve">.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Monitoring Trustee</w:t>
      </w:r>
      <w:r w:rsidRPr="00403CD6">
        <w:rPr>
          <w:sz w:val="22"/>
          <w:lang w:eastAsia="en-GB"/>
        </w:rPr>
        <w:t>: one or more natural or legal person(s)</w:t>
      </w:r>
      <w:r w:rsidR="00330094" w:rsidRPr="00403CD6">
        <w:rPr>
          <w:sz w:val="22"/>
          <w:lang w:eastAsia="en-GB"/>
        </w:rPr>
        <w:t xml:space="preserve"> </w:t>
      </w:r>
      <w:r w:rsidRPr="00403CD6">
        <w:rPr>
          <w:sz w:val="22"/>
          <w:lang w:eastAsia="en-GB"/>
        </w:rPr>
        <w:t>who is</w:t>
      </w:r>
      <w:r w:rsidR="00EE3F1D" w:rsidRPr="00403CD6">
        <w:rPr>
          <w:sz w:val="22"/>
          <w:lang w:eastAsia="en-GB"/>
        </w:rPr>
        <w:t>/are</w:t>
      </w:r>
      <w:r w:rsidRPr="00403CD6">
        <w:rPr>
          <w:sz w:val="22"/>
          <w:lang w:eastAsia="en-GB"/>
        </w:rPr>
        <w:t xml:space="preserve"> approved by the Commission and appointed by [</w:t>
      </w:r>
      <w:r w:rsidRPr="00403CD6">
        <w:rPr>
          <w:i/>
          <w:sz w:val="22"/>
          <w:lang w:eastAsia="en-GB"/>
        </w:rPr>
        <w:t>X</w:t>
      </w:r>
      <w:r w:rsidRPr="00403CD6">
        <w:rPr>
          <w:sz w:val="22"/>
          <w:lang w:eastAsia="en-GB"/>
        </w:rPr>
        <w:t>], and who has</w:t>
      </w:r>
      <w:r w:rsidR="00EE3F1D" w:rsidRPr="00403CD6">
        <w:rPr>
          <w:sz w:val="22"/>
          <w:lang w:eastAsia="en-GB"/>
        </w:rPr>
        <w:t>/have</w:t>
      </w:r>
      <w:r w:rsidRPr="00403CD6">
        <w:rPr>
          <w:sz w:val="22"/>
          <w:lang w:eastAsia="en-GB"/>
        </w:rPr>
        <w:t xml:space="preserve"> the duty to monitor [</w:t>
      </w:r>
      <w:r w:rsidRPr="00403CD6">
        <w:rPr>
          <w:i/>
          <w:sz w:val="22"/>
          <w:lang w:eastAsia="en-GB"/>
        </w:rPr>
        <w:t>X</w:t>
      </w:r>
      <w:r w:rsidRPr="00403CD6">
        <w:rPr>
          <w:sz w:val="22"/>
          <w:lang w:eastAsia="en-GB"/>
        </w:rPr>
        <w:t>’s] compliance with the conditions and obligations attached to the Decision.</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A641BF" w:rsidRPr="00403CD6" w:rsidRDefault="00A641BF"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Parties:</w:t>
      </w:r>
      <w:r w:rsidRPr="00403CD6">
        <w:rPr>
          <w:sz w:val="22"/>
          <w:lang w:eastAsia="en-GB"/>
        </w:rPr>
        <w:t xml:space="preserve"> the Notifying </w:t>
      </w:r>
      <w:r w:rsidR="00CD65B5" w:rsidRPr="00403CD6">
        <w:rPr>
          <w:sz w:val="22"/>
          <w:lang w:eastAsia="en-GB"/>
        </w:rPr>
        <w:t>Party/</w:t>
      </w:r>
      <w:r w:rsidR="009B10DA" w:rsidRPr="00403CD6">
        <w:rPr>
          <w:sz w:val="22"/>
          <w:lang w:eastAsia="en-GB"/>
        </w:rPr>
        <w:t xml:space="preserve">Notifying </w:t>
      </w:r>
      <w:r w:rsidRPr="00403CD6">
        <w:rPr>
          <w:sz w:val="22"/>
          <w:lang w:eastAsia="en-GB"/>
        </w:rPr>
        <w:t>Parties</w:t>
      </w:r>
      <w:r w:rsidR="00412A04" w:rsidRPr="00403CD6">
        <w:rPr>
          <w:sz w:val="22"/>
          <w:lang w:eastAsia="en-GB"/>
        </w:rPr>
        <w:t xml:space="preserve"> </w:t>
      </w:r>
      <w:r w:rsidRPr="00403CD6">
        <w:rPr>
          <w:sz w:val="22"/>
          <w:lang w:eastAsia="en-GB"/>
        </w:rPr>
        <w:t xml:space="preserve">and the </w:t>
      </w:r>
      <w:r w:rsidR="002D52B2" w:rsidRPr="00403CD6">
        <w:rPr>
          <w:sz w:val="22"/>
          <w:lang w:eastAsia="en-GB"/>
        </w:rPr>
        <w:t xml:space="preserve">undertaking that </w:t>
      </w:r>
      <w:r w:rsidR="00A0021E" w:rsidRPr="00403CD6">
        <w:rPr>
          <w:sz w:val="22"/>
          <w:lang w:eastAsia="en-GB"/>
        </w:rPr>
        <w:t xml:space="preserve">is </w:t>
      </w:r>
      <w:r w:rsidR="002D52B2" w:rsidRPr="00403CD6">
        <w:rPr>
          <w:sz w:val="22"/>
          <w:lang w:eastAsia="en-GB"/>
        </w:rPr>
        <w:t>the t</w:t>
      </w:r>
      <w:r w:rsidRPr="00403CD6">
        <w:rPr>
          <w:sz w:val="22"/>
          <w:lang w:eastAsia="en-GB"/>
        </w:rPr>
        <w:t>arget</w:t>
      </w:r>
      <w:r w:rsidR="002D52B2" w:rsidRPr="00403CD6">
        <w:rPr>
          <w:sz w:val="22"/>
          <w:lang w:eastAsia="en-GB"/>
        </w:rPr>
        <w:t xml:space="preserve"> of the concentration.</w:t>
      </w:r>
      <w:r w:rsidR="00C50BB5" w:rsidRPr="00403CD6">
        <w:rPr>
          <w:sz w:val="22"/>
          <w:lang w:eastAsia="en-GB"/>
        </w:rPr>
        <w:t xml:space="preserve"> </w:t>
      </w:r>
    </w:p>
    <w:p w:rsidR="00A641BF" w:rsidRPr="00403CD6" w:rsidRDefault="00A641BF"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Personnel</w:t>
      </w:r>
      <w:r w:rsidRPr="00403CD6">
        <w:rPr>
          <w:sz w:val="22"/>
          <w:lang w:eastAsia="en-GB"/>
        </w:rPr>
        <w:t xml:space="preserve">: all </w:t>
      </w:r>
      <w:r w:rsidR="00024427" w:rsidRPr="00403CD6">
        <w:rPr>
          <w:sz w:val="22"/>
          <w:lang w:eastAsia="en-GB"/>
        </w:rPr>
        <w:t xml:space="preserve">staff </w:t>
      </w:r>
      <w:r w:rsidRPr="00403CD6">
        <w:rPr>
          <w:sz w:val="22"/>
          <w:lang w:eastAsia="en-GB"/>
        </w:rPr>
        <w:t xml:space="preserve">currently employed by the Divestment Business, including staff seconded to the Divestment Business, shared personnel </w:t>
      </w:r>
      <w:r w:rsidR="008779E1" w:rsidRPr="00403CD6">
        <w:rPr>
          <w:sz w:val="22"/>
          <w:lang w:eastAsia="en-GB"/>
        </w:rPr>
        <w:t xml:space="preserve">as well as </w:t>
      </w:r>
      <w:r w:rsidRPr="00403CD6">
        <w:rPr>
          <w:sz w:val="22"/>
          <w:lang w:eastAsia="en-GB"/>
        </w:rPr>
        <w:t>the additional personnel listed in the Schedule.</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Purchaser</w:t>
      </w:r>
      <w:r w:rsidRPr="00403CD6">
        <w:rPr>
          <w:sz w:val="22"/>
          <w:lang w:eastAsia="en-GB"/>
        </w:rPr>
        <w:t>: the entity approved by the Commission as acquirer of the Divestment Business in accordance with the criteria set out in Section D.</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D85C28" w:rsidRPr="00403CD6" w:rsidRDefault="00D85C28" w:rsidP="00EE3F1D">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Purchaser Criteria</w:t>
      </w:r>
      <w:r w:rsidRPr="00403CD6">
        <w:rPr>
          <w:sz w:val="22"/>
          <w:lang w:eastAsia="en-GB"/>
        </w:rPr>
        <w:t xml:space="preserve">: the criteria laid down in paragraph </w:t>
      </w:r>
      <w:r w:rsidR="00DC2BF4" w:rsidRPr="00403CD6">
        <w:rPr>
          <w:sz w:val="22"/>
          <w:lang w:eastAsia="en-GB"/>
        </w:rPr>
        <w:fldChar w:fldCharType="begin"/>
      </w:r>
      <w:r w:rsidR="00DC2BF4" w:rsidRPr="00403CD6">
        <w:rPr>
          <w:sz w:val="22"/>
          <w:lang w:eastAsia="en-GB"/>
        </w:rPr>
        <w:instrText xml:space="preserve"> REF _Ref356571327 \r \h </w:instrText>
      </w:r>
      <w:r w:rsidR="00403CD6">
        <w:rPr>
          <w:sz w:val="22"/>
          <w:lang w:eastAsia="en-GB"/>
        </w:rPr>
        <w:instrText xml:space="preserve"> \* MERGEFORMAT </w:instrText>
      </w:r>
      <w:r w:rsidR="00DC2BF4" w:rsidRPr="00403CD6">
        <w:rPr>
          <w:sz w:val="22"/>
          <w:lang w:eastAsia="en-GB"/>
        </w:rPr>
      </w:r>
      <w:r w:rsidR="00DC2BF4" w:rsidRPr="00403CD6">
        <w:rPr>
          <w:sz w:val="22"/>
          <w:lang w:eastAsia="en-GB"/>
        </w:rPr>
        <w:fldChar w:fldCharType="separate"/>
      </w:r>
      <w:r w:rsidR="00D27117">
        <w:rPr>
          <w:sz w:val="22"/>
          <w:lang w:eastAsia="en-GB"/>
        </w:rPr>
        <w:t>17</w:t>
      </w:r>
      <w:r w:rsidR="00DC2BF4" w:rsidRPr="00403CD6">
        <w:rPr>
          <w:sz w:val="22"/>
          <w:lang w:eastAsia="en-GB"/>
        </w:rPr>
        <w:fldChar w:fldCharType="end"/>
      </w:r>
      <w:r w:rsidR="00EE3F1D" w:rsidRPr="00403CD6">
        <w:rPr>
          <w:sz w:val="22"/>
          <w:lang w:eastAsia="en-GB"/>
        </w:rPr>
        <w:t xml:space="preserve"> </w:t>
      </w:r>
      <w:r w:rsidR="00073548">
        <w:rPr>
          <w:sz w:val="22"/>
          <w:lang w:eastAsia="en-GB"/>
        </w:rPr>
        <w:t xml:space="preserve">of these Commitments </w:t>
      </w:r>
      <w:r w:rsidRPr="00403CD6">
        <w:rPr>
          <w:sz w:val="22"/>
          <w:lang w:eastAsia="en-GB"/>
        </w:rPr>
        <w:t>that the Purchaser must fulfil in order to be approved by the Commission.</w:t>
      </w:r>
    </w:p>
    <w:p w:rsidR="00D85C28" w:rsidRPr="00403CD6" w:rsidRDefault="00D85C28" w:rsidP="00EE3F1D">
      <w:pPr>
        <w:tabs>
          <w:tab w:val="left" w:pos="567"/>
          <w:tab w:val="left" w:pos="1500"/>
          <w:tab w:val="left" w:pos="3600"/>
          <w:tab w:val="decimal" w:pos="3900"/>
          <w:tab w:val="left" w:pos="4800"/>
          <w:tab w:val="decimal" w:pos="5700"/>
        </w:tabs>
        <w:spacing w:after="0" w:line="300" w:lineRule="exact"/>
        <w:ind w:left="360"/>
        <w:rPr>
          <w:sz w:val="22"/>
          <w:lang w:eastAsia="en-GB"/>
        </w:rPr>
      </w:pPr>
    </w:p>
    <w:p w:rsidR="003824AC" w:rsidRPr="00403CD6" w:rsidRDefault="003824AC" w:rsidP="003824AC">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t>Schedule</w:t>
      </w:r>
      <w:r w:rsidRPr="00403CD6">
        <w:rPr>
          <w:sz w:val="22"/>
          <w:lang w:eastAsia="en-GB"/>
        </w:rPr>
        <w:t>: the schedule to these Commitments describing more in detail the Divestment Business.</w:t>
      </w:r>
    </w:p>
    <w:p w:rsidR="003824AC" w:rsidRPr="00403CD6" w:rsidRDefault="003824AC" w:rsidP="003824AC">
      <w:pPr>
        <w:tabs>
          <w:tab w:val="left" w:pos="567"/>
          <w:tab w:val="left" w:pos="1500"/>
          <w:tab w:val="left" w:pos="3600"/>
          <w:tab w:val="decimal" w:pos="3900"/>
          <w:tab w:val="left" w:pos="4800"/>
          <w:tab w:val="decimal" w:pos="5700"/>
        </w:tabs>
        <w:spacing w:after="0" w:line="300" w:lineRule="exact"/>
        <w:ind w:left="360"/>
        <w:rPr>
          <w:b/>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outlineLvl w:val="0"/>
        <w:rPr>
          <w:sz w:val="22"/>
          <w:lang w:eastAsia="en-GB"/>
        </w:rPr>
      </w:pPr>
      <w:r w:rsidRPr="00403CD6">
        <w:rPr>
          <w:b/>
          <w:sz w:val="22"/>
          <w:lang w:eastAsia="en-GB"/>
        </w:rPr>
        <w:t>Trustee(s)</w:t>
      </w:r>
      <w:r w:rsidRPr="00403CD6">
        <w:rPr>
          <w:sz w:val="22"/>
          <w:lang w:eastAsia="en-GB"/>
        </w:rPr>
        <w:t>: the Monitoring Trustee and</w:t>
      </w:r>
      <w:r w:rsidR="00C50BB5" w:rsidRPr="00403CD6">
        <w:rPr>
          <w:sz w:val="22"/>
          <w:lang w:eastAsia="en-GB"/>
        </w:rPr>
        <w:t>/or</w:t>
      </w:r>
      <w:r w:rsidRPr="00403CD6">
        <w:rPr>
          <w:sz w:val="22"/>
          <w:lang w:eastAsia="en-GB"/>
        </w:rPr>
        <w:t xml:space="preserve"> the Divestiture Trustee</w:t>
      </w:r>
      <w:r w:rsidR="00631265" w:rsidRPr="00403CD6">
        <w:rPr>
          <w:sz w:val="22"/>
          <w:lang w:eastAsia="en-GB"/>
        </w:rPr>
        <w:t xml:space="preserve"> as the case may be</w:t>
      </w:r>
      <w:r w:rsidRPr="00403CD6">
        <w:rPr>
          <w:sz w:val="22"/>
          <w:lang w:eastAsia="en-GB"/>
        </w:rPr>
        <w:t xml:space="preserve">.  </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szCs w:val="22"/>
          <w:lang w:eastAsia="en-GB"/>
        </w:rPr>
      </w:pPr>
      <w:r w:rsidRPr="00403CD6">
        <w:rPr>
          <w:b/>
          <w:sz w:val="22"/>
          <w:lang w:eastAsia="en-GB"/>
        </w:rPr>
        <w:t>Trustee Divestiture Period</w:t>
      </w:r>
      <w:r w:rsidRPr="00403CD6">
        <w:rPr>
          <w:sz w:val="22"/>
          <w:lang w:eastAsia="en-GB"/>
        </w:rPr>
        <w:t xml:space="preserve">: </w:t>
      </w:r>
      <w:r w:rsidRPr="00403CD6">
        <w:rPr>
          <w:sz w:val="22"/>
          <w:szCs w:val="22"/>
          <w:lang w:eastAsia="en-GB"/>
        </w:rPr>
        <w:t>the period of [</w:t>
      </w:r>
      <w:r w:rsidRPr="00403CD6">
        <w:rPr>
          <w:sz w:val="22"/>
          <w:szCs w:val="22"/>
          <w:lang w:eastAsia="en-GB"/>
        </w:rPr>
        <w:sym w:font="Symbol" w:char="F0B7"/>
      </w:r>
      <w:r w:rsidRPr="00403CD6">
        <w:rPr>
          <w:sz w:val="22"/>
          <w:szCs w:val="22"/>
          <w:lang w:eastAsia="en-GB"/>
        </w:rPr>
        <w:t>] months from the end of the First Divestiture Period.</w:t>
      </w:r>
    </w:p>
    <w:p w:rsidR="003475B5"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p>
    <w:p w:rsidR="00855D33" w:rsidRPr="00403CD6" w:rsidRDefault="003475B5" w:rsidP="00291AB9">
      <w:pPr>
        <w:tabs>
          <w:tab w:val="left" w:pos="567"/>
          <w:tab w:val="left" w:pos="1500"/>
          <w:tab w:val="left" w:pos="3600"/>
          <w:tab w:val="decimal" w:pos="3900"/>
          <w:tab w:val="left" w:pos="4800"/>
          <w:tab w:val="decimal" w:pos="5700"/>
        </w:tabs>
        <w:spacing w:after="0" w:line="300" w:lineRule="exact"/>
        <w:ind w:left="360"/>
        <w:rPr>
          <w:sz w:val="22"/>
          <w:lang w:eastAsia="en-GB"/>
        </w:rPr>
      </w:pPr>
      <w:r w:rsidRPr="00403CD6">
        <w:rPr>
          <w:b/>
          <w:sz w:val="22"/>
          <w:lang w:eastAsia="en-GB"/>
        </w:rPr>
        <w:lastRenderedPageBreak/>
        <w:t>[</w:t>
      </w:r>
      <w:r w:rsidRPr="00403CD6">
        <w:rPr>
          <w:b/>
          <w:i/>
          <w:sz w:val="22"/>
          <w:lang w:eastAsia="en-GB"/>
        </w:rPr>
        <w:t>X</w:t>
      </w:r>
      <w:r w:rsidRPr="00403CD6">
        <w:rPr>
          <w:b/>
          <w:sz w:val="22"/>
          <w:lang w:eastAsia="en-GB"/>
        </w:rPr>
        <w:t xml:space="preserve">]: </w:t>
      </w:r>
      <w:r w:rsidRPr="00403CD6">
        <w:rPr>
          <w:sz w:val="22"/>
          <w:lang w:eastAsia="en-GB"/>
        </w:rPr>
        <w:t>[</w:t>
      </w:r>
      <w:r w:rsidRPr="00403CD6">
        <w:rPr>
          <w:i/>
          <w:sz w:val="22"/>
          <w:lang w:eastAsia="en-GB"/>
        </w:rPr>
        <w:t xml:space="preserve">Indicate the name of the </w:t>
      </w:r>
      <w:r w:rsidR="00114B55">
        <w:rPr>
          <w:i/>
          <w:sz w:val="22"/>
          <w:lang w:eastAsia="en-GB"/>
        </w:rPr>
        <w:t>u</w:t>
      </w:r>
      <w:r w:rsidRPr="00403CD6">
        <w:rPr>
          <w:i/>
          <w:sz w:val="22"/>
          <w:lang w:eastAsia="en-GB"/>
        </w:rPr>
        <w:t xml:space="preserve">ndertaking </w:t>
      </w:r>
      <w:bookmarkStart w:id="5" w:name="_GoBack"/>
      <w:bookmarkEnd w:id="5"/>
      <w:r w:rsidRPr="00403CD6">
        <w:rPr>
          <w:i/>
          <w:sz w:val="22"/>
          <w:lang w:eastAsia="en-GB"/>
        </w:rPr>
        <w:t>that will divest its business/es</w:t>
      </w:r>
      <w:r w:rsidRPr="00403CD6">
        <w:rPr>
          <w:sz w:val="22"/>
          <w:lang w:eastAsia="en-GB"/>
        </w:rPr>
        <w:t>], incorporated under the laws of [</w:t>
      </w:r>
      <w:r w:rsidRPr="00403CD6">
        <w:rPr>
          <w:sz w:val="22"/>
          <w:lang w:eastAsia="en-GB"/>
        </w:rPr>
        <w:sym w:font="Symbol" w:char="F0B7"/>
      </w:r>
      <w:r w:rsidRPr="00403CD6">
        <w:rPr>
          <w:sz w:val="22"/>
          <w:lang w:eastAsia="en-GB"/>
        </w:rPr>
        <w:t>], with its registered office at [</w:t>
      </w:r>
      <w:r w:rsidRPr="00403CD6">
        <w:rPr>
          <w:sz w:val="22"/>
          <w:lang w:eastAsia="en-GB"/>
        </w:rPr>
        <w:sym w:font="Symbol" w:char="F0B7"/>
      </w:r>
      <w:r w:rsidRPr="00403CD6">
        <w:rPr>
          <w:sz w:val="22"/>
          <w:lang w:eastAsia="en-GB"/>
        </w:rPr>
        <w:t>] and registered with the Commercial/Company Register at [</w:t>
      </w:r>
      <w:r w:rsidRPr="00403CD6">
        <w:rPr>
          <w:sz w:val="22"/>
          <w:lang w:eastAsia="en-GB"/>
        </w:rPr>
        <w:sym w:font="Symbol" w:char="F0B7"/>
      </w:r>
      <w:r w:rsidRPr="00403CD6">
        <w:rPr>
          <w:sz w:val="22"/>
          <w:lang w:eastAsia="en-GB"/>
        </w:rPr>
        <w:t>] under number [</w:t>
      </w:r>
      <w:r w:rsidRPr="00403CD6">
        <w:rPr>
          <w:sz w:val="22"/>
          <w:lang w:eastAsia="en-GB"/>
        </w:rPr>
        <w:sym w:font="Symbol" w:char="F0B7"/>
      </w:r>
      <w:r w:rsidRPr="00403CD6">
        <w:rPr>
          <w:sz w:val="22"/>
          <w:lang w:eastAsia="en-GB"/>
        </w:rPr>
        <w:t>].</w:t>
      </w:r>
      <w:r w:rsidR="002521AB" w:rsidRPr="00403CD6">
        <w:rPr>
          <w:sz w:val="22"/>
          <w:lang w:eastAsia="en-GB"/>
        </w:rPr>
        <w:t xml:space="preserve"> </w:t>
      </w:r>
    </w:p>
    <w:p w:rsidR="00855D33" w:rsidRPr="00403CD6" w:rsidRDefault="00855D33" w:rsidP="00EE3F1D">
      <w:pPr>
        <w:tabs>
          <w:tab w:val="left" w:pos="567"/>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lang w:eastAsia="en-GB"/>
        </w:rPr>
      </w:pPr>
      <w:r w:rsidRPr="00403CD6">
        <w:rPr>
          <w:b/>
          <w:sz w:val="22"/>
          <w:lang w:eastAsia="en-GB"/>
        </w:rPr>
        <w:t>Section B.</w:t>
      </w:r>
      <w:r w:rsidRPr="00403CD6">
        <w:rPr>
          <w:b/>
          <w:sz w:val="22"/>
          <w:lang w:eastAsia="en-GB"/>
        </w:rPr>
        <w:tab/>
        <w:t xml:space="preserve">The </w:t>
      </w:r>
      <w:r w:rsidR="00C54FDB" w:rsidRPr="00403CD6">
        <w:rPr>
          <w:b/>
          <w:sz w:val="22"/>
          <w:lang w:eastAsia="en-GB"/>
        </w:rPr>
        <w:t xml:space="preserve">commitment to divest and the </w:t>
      </w:r>
      <w:r w:rsidRPr="00403CD6">
        <w:rPr>
          <w:b/>
          <w:sz w:val="22"/>
          <w:lang w:eastAsia="en-GB"/>
        </w:rPr>
        <w:t>Divestment Business</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u w:val="single"/>
          <w:lang w:eastAsia="en-GB"/>
        </w:rPr>
      </w:pPr>
      <w:r w:rsidRPr="00403CD6">
        <w:rPr>
          <w:sz w:val="22"/>
          <w:lang w:eastAsia="en-GB"/>
        </w:rPr>
        <w:tab/>
      </w:r>
      <w:r w:rsidRPr="00403CD6">
        <w:rPr>
          <w:sz w:val="22"/>
          <w:u w:val="single"/>
          <w:lang w:eastAsia="en-GB"/>
        </w:rPr>
        <w:t>Commitment to divest</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In order to </w:t>
      </w:r>
      <w:r w:rsidR="00C54FDB" w:rsidRPr="00403CD6">
        <w:rPr>
          <w:sz w:val="22"/>
          <w:lang w:eastAsia="en-GB"/>
        </w:rPr>
        <w:t xml:space="preserve">maintain </w:t>
      </w:r>
      <w:r w:rsidRPr="00403CD6">
        <w:rPr>
          <w:sz w:val="22"/>
          <w:lang w:eastAsia="en-GB"/>
        </w:rPr>
        <w:t>effective competition, [</w:t>
      </w:r>
      <w:r w:rsidRPr="00403CD6">
        <w:rPr>
          <w:i/>
          <w:sz w:val="22"/>
          <w:lang w:eastAsia="en-GB"/>
        </w:rPr>
        <w:t>X</w:t>
      </w:r>
      <w:r w:rsidRPr="00403CD6">
        <w:rPr>
          <w:sz w:val="22"/>
          <w:lang w:eastAsia="en-GB"/>
        </w:rPr>
        <w:t xml:space="preserve">] commits to divest, or procure the divestiture of the Divestment Business by the end of the Trustee Divestiture Period as a going concern to a purchaser and on terms of sale approved by the Commission in accordance with the procedure described in paragraph </w:t>
      </w:r>
      <w:r w:rsidRPr="00403CD6">
        <w:rPr>
          <w:sz w:val="22"/>
          <w:lang w:eastAsia="en-GB"/>
        </w:rPr>
        <w:fldChar w:fldCharType="begin"/>
      </w:r>
      <w:r w:rsidRPr="00403CD6">
        <w:rPr>
          <w:sz w:val="22"/>
          <w:lang w:eastAsia="en-GB"/>
        </w:rPr>
        <w:instrText xml:space="preserve"> REF _Ref33608037 \r \h  \* MERGEFORMAT </w:instrText>
      </w:r>
      <w:r w:rsidRPr="00403CD6">
        <w:rPr>
          <w:sz w:val="22"/>
          <w:lang w:eastAsia="en-GB"/>
        </w:rPr>
      </w:r>
      <w:r w:rsidRPr="00403CD6">
        <w:rPr>
          <w:sz w:val="22"/>
          <w:lang w:eastAsia="en-GB"/>
        </w:rPr>
        <w:fldChar w:fldCharType="separate"/>
      </w:r>
      <w:r w:rsidR="00D27117">
        <w:rPr>
          <w:sz w:val="22"/>
          <w:lang w:eastAsia="en-GB"/>
        </w:rPr>
        <w:t>18</w:t>
      </w:r>
      <w:r w:rsidRPr="00403CD6">
        <w:rPr>
          <w:sz w:val="22"/>
          <w:lang w:eastAsia="en-GB"/>
        </w:rPr>
        <w:fldChar w:fldCharType="end"/>
      </w:r>
      <w:r w:rsidR="00073548" w:rsidRPr="00073548">
        <w:rPr>
          <w:sz w:val="22"/>
          <w:lang w:eastAsia="en-GB"/>
        </w:rPr>
        <w:t xml:space="preserve"> of these Commitments</w:t>
      </w:r>
      <w:r w:rsidRPr="00403CD6">
        <w:rPr>
          <w:sz w:val="22"/>
          <w:lang w:eastAsia="en-GB"/>
        </w:rPr>
        <w:t>. To carry out the divestiture, [X] commits to find a purchaser and to enter into a final binding sale and purchase agreement for the sale of the Divestment Business within the First Divestiture Period. If [</w:t>
      </w:r>
      <w:r w:rsidRPr="00403CD6">
        <w:rPr>
          <w:i/>
          <w:sz w:val="22"/>
          <w:lang w:eastAsia="en-GB"/>
        </w:rPr>
        <w:t>X</w:t>
      </w:r>
      <w:r w:rsidRPr="00403CD6">
        <w:rPr>
          <w:sz w:val="22"/>
          <w:lang w:eastAsia="en-GB"/>
        </w:rPr>
        <w:t>] has not entered into such an agreement at the end of the First Divestiture Period, [</w:t>
      </w:r>
      <w:r w:rsidRPr="00403CD6">
        <w:rPr>
          <w:i/>
          <w:sz w:val="22"/>
          <w:lang w:eastAsia="en-GB"/>
        </w:rPr>
        <w:t>X</w:t>
      </w:r>
      <w:r w:rsidRPr="00403CD6">
        <w:rPr>
          <w:sz w:val="22"/>
          <w:lang w:eastAsia="en-GB"/>
        </w:rPr>
        <w:t xml:space="preserve">] shall grant the Divestiture Trustee an exclusive mandate to sell the Divestment Business in accordance with the procedure described in paragraph </w:t>
      </w:r>
      <w:r w:rsidRPr="00403CD6">
        <w:rPr>
          <w:sz w:val="22"/>
          <w:lang w:eastAsia="en-GB"/>
        </w:rPr>
        <w:fldChar w:fldCharType="begin"/>
      </w:r>
      <w:r w:rsidRPr="00403CD6">
        <w:rPr>
          <w:sz w:val="22"/>
          <w:lang w:eastAsia="en-GB"/>
        </w:rPr>
        <w:instrText xml:space="preserve"> REF _Ref31018167 \r \h  \* MERGEFORMAT </w:instrText>
      </w:r>
      <w:r w:rsidRPr="00403CD6">
        <w:rPr>
          <w:sz w:val="22"/>
          <w:lang w:eastAsia="en-GB"/>
        </w:rPr>
      </w:r>
      <w:r w:rsidRPr="00403CD6">
        <w:rPr>
          <w:sz w:val="22"/>
          <w:lang w:eastAsia="en-GB"/>
        </w:rPr>
        <w:fldChar w:fldCharType="separate"/>
      </w:r>
      <w:r w:rsidR="00D27117">
        <w:rPr>
          <w:sz w:val="22"/>
          <w:lang w:eastAsia="en-GB"/>
        </w:rPr>
        <w:t>30</w:t>
      </w:r>
      <w:r w:rsidRPr="00403CD6">
        <w:rPr>
          <w:sz w:val="22"/>
          <w:lang w:eastAsia="en-GB"/>
        </w:rPr>
        <w:fldChar w:fldCharType="end"/>
      </w:r>
      <w:r w:rsidRPr="00403CD6">
        <w:rPr>
          <w:sz w:val="22"/>
          <w:lang w:eastAsia="en-GB"/>
        </w:rPr>
        <w:t xml:space="preserve"> in the Trustee Divestiture Period.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w:t>
      </w:r>
      <w:r w:rsidRPr="00403CD6">
        <w:rPr>
          <w:i/>
          <w:sz w:val="22"/>
          <w:lang w:eastAsia="en-GB"/>
        </w:rPr>
        <w:t xml:space="preserve">The following sentence should be inserted in case of an “up-front buyer”: </w:t>
      </w:r>
      <w:r w:rsidRPr="00403CD6">
        <w:rPr>
          <w:sz w:val="22"/>
          <w:lang w:eastAsia="en-GB"/>
        </w:rPr>
        <w:t xml:space="preserve">The proposed concentration shall not be implemented </w:t>
      </w:r>
      <w:r w:rsidR="00467EFB" w:rsidRPr="00403CD6">
        <w:rPr>
          <w:sz w:val="22"/>
          <w:lang w:eastAsia="en-GB"/>
        </w:rPr>
        <w:t>before</w:t>
      </w:r>
      <w:r w:rsidRPr="00403CD6">
        <w:rPr>
          <w:sz w:val="22"/>
          <w:lang w:eastAsia="en-GB"/>
        </w:rPr>
        <w:t xml:space="preserve"> [</w:t>
      </w:r>
      <w:r w:rsidRPr="00403CD6">
        <w:rPr>
          <w:i/>
          <w:sz w:val="22"/>
          <w:lang w:eastAsia="en-GB"/>
        </w:rPr>
        <w:t>X</w:t>
      </w:r>
      <w:r w:rsidRPr="00403CD6">
        <w:rPr>
          <w:sz w:val="22"/>
          <w:lang w:eastAsia="en-GB"/>
        </w:rPr>
        <w:t xml:space="preserve">] or the Divestiture Trustee has entered into a final binding sale and purchase agreement for the sale of the Divestment Business and the Commission has approved the purchaser and the terms of sale in accordance with paragraph </w:t>
      </w:r>
      <w:r w:rsidRPr="00403CD6">
        <w:rPr>
          <w:sz w:val="22"/>
          <w:lang w:eastAsia="en-GB"/>
        </w:rPr>
        <w:fldChar w:fldCharType="begin"/>
      </w:r>
      <w:r w:rsidRPr="00403CD6">
        <w:rPr>
          <w:sz w:val="22"/>
          <w:lang w:eastAsia="en-GB"/>
        </w:rPr>
        <w:instrText xml:space="preserve"> REF _Ref33608037 \r \h  \* MERGEFORMAT </w:instrText>
      </w:r>
      <w:r w:rsidRPr="00403CD6">
        <w:rPr>
          <w:sz w:val="22"/>
          <w:lang w:eastAsia="en-GB"/>
        </w:rPr>
      </w:r>
      <w:r w:rsidRPr="00403CD6">
        <w:rPr>
          <w:sz w:val="22"/>
          <w:lang w:eastAsia="en-GB"/>
        </w:rPr>
        <w:fldChar w:fldCharType="separate"/>
      </w:r>
      <w:r w:rsidR="00D27117">
        <w:rPr>
          <w:sz w:val="22"/>
          <w:lang w:eastAsia="en-GB"/>
        </w:rPr>
        <w:t>18</w:t>
      </w:r>
      <w:r w:rsidRPr="00403CD6">
        <w:rPr>
          <w:sz w:val="22"/>
          <w:lang w:eastAsia="en-GB"/>
        </w:rPr>
        <w:fldChar w:fldCharType="end"/>
      </w:r>
      <w:r w:rsidRPr="00403CD6">
        <w:rPr>
          <w:sz w:val="22"/>
          <w:lang w:eastAsia="en-GB"/>
        </w:rPr>
        <w:t>].</w:t>
      </w:r>
      <w:r w:rsidR="00E53FD0"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bookmarkStart w:id="6" w:name="_Ref221336076"/>
    </w:p>
    <w:p w:rsidR="003475B5" w:rsidRPr="00291AB9"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u w:val="single"/>
        </w:rPr>
      </w:pPr>
      <w:r w:rsidRPr="00403CD6">
        <w:rPr>
          <w:sz w:val="22"/>
          <w:lang w:eastAsia="en-GB"/>
        </w:rPr>
        <w:t>[</w:t>
      </w:r>
      <w:r w:rsidRPr="00403CD6">
        <w:rPr>
          <w:i/>
          <w:sz w:val="22"/>
          <w:lang w:eastAsia="en-GB"/>
        </w:rPr>
        <w:t>X</w:t>
      </w:r>
      <w:r w:rsidRPr="00403CD6">
        <w:rPr>
          <w:sz w:val="22"/>
          <w:lang w:eastAsia="en-GB"/>
        </w:rPr>
        <w:t>] shall be deemed to have complied with this commitment</w:t>
      </w:r>
      <w:r w:rsidR="00291AB9">
        <w:rPr>
          <w:sz w:val="22"/>
          <w:lang w:eastAsia="en-GB"/>
        </w:rPr>
        <w:t xml:space="preserve"> if:</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r w:rsidRPr="00403CD6">
        <w:rPr>
          <w:sz w:val="22"/>
          <w:lang w:eastAsia="en-GB"/>
        </w:rPr>
        <w:tab/>
        <w:t>(</w:t>
      </w:r>
      <w:r w:rsidR="00EB54AB" w:rsidRPr="00403CD6">
        <w:rPr>
          <w:sz w:val="22"/>
          <w:lang w:eastAsia="en-GB"/>
        </w:rPr>
        <w:t>a</w:t>
      </w:r>
      <w:r w:rsidRPr="00403CD6">
        <w:rPr>
          <w:sz w:val="22"/>
          <w:lang w:eastAsia="en-GB"/>
        </w:rPr>
        <w:t>)</w:t>
      </w:r>
      <w:r w:rsidRPr="00403CD6">
        <w:rPr>
          <w:sz w:val="22"/>
          <w:lang w:eastAsia="en-GB"/>
        </w:rPr>
        <w:tab/>
        <w:t>by the end of the Trustee Divestiture Period, [</w:t>
      </w:r>
      <w:r w:rsidRPr="00403CD6">
        <w:rPr>
          <w:i/>
          <w:sz w:val="22"/>
          <w:lang w:eastAsia="en-GB"/>
        </w:rPr>
        <w:t>X</w:t>
      </w:r>
      <w:r w:rsidRPr="00403CD6">
        <w:rPr>
          <w:sz w:val="22"/>
          <w:lang w:eastAsia="en-GB"/>
        </w:rPr>
        <w:t xml:space="preserve">] or the Divestiture Trustee has entered into a final binding sale and purchase agreement and the Commission approves the proposed purchaser and the terms of sale as being consistent with the Commitments in accordance with the procedure described in paragraph </w:t>
      </w:r>
      <w:r w:rsidRPr="00403CD6">
        <w:rPr>
          <w:sz w:val="22"/>
          <w:lang w:eastAsia="en-GB"/>
        </w:rPr>
        <w:fldChar w:fldCharType="begin"/>
      </w:r>
      <w:r w:rsidRPr="00403CD6">
        <w:rPr>
          <w:sz w:val="22"/>
          <w:lang w:eastAsia="en-GB"/>
        </w:rPr>
        <w:instrText xml:space="preserve"> REF _Ref33608037 \r \h </w:instrText>
      </w:r>
      <w:r w:rsidR="00AE613C" w:rsidRPr="00403CD6">
        <w:rPr>
          <w:sz w:val="22"/>
          <w:lang w:eastAsia="en-GB"/>
        </w:rPr>
        <w:instrText xml:space="preserve"> \* MERGEFORMAT </w:instrText>
      </w:r>
      <w:r w:rsidRPr="00403CD6">
        <w:rPr>
          <w:sz w:val="22"/>
          <w:lang w:eastAsia="en-GB"/>
        </w:rPr>
      </w:r>
      <w:r w:rsidRPr="00403CD6">
        <w:rPr>
          <w:sz w:val="22"/>
          <w:lang w:eastAsia="en-GB"/>
        </w:rPr>
        <w:fldChar w:fldCharType="separate"/>
      </w:r>
      <w:r w:rsidR="00D27117">
        <w:rPr>
          <w:sz w:val="22"/>
          <w:lang w:eastAsia="en-GB"/>
        </w:rPr>
        <w:t>18</w:t>
      </w:r>
      <w:r w:rsidRPr="00403CD6">
        <w:rPr>
          <w:sz w:val="22"/>
          <w:lang w:eastAsia="en-GB"/>
        </w:rPr>
        <w:fldChar w:fldCharType="end"/>
      </w:r>
      <w:r w:rsidRPr="00403CD6">
        <w:rPr>
          <w:sz w:val="22"/>
          <w:lang w:eastAsia="en-GB"/>
        </w:rPr>
        <w:t xml:space="preserve">; and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r w:rsidRPr="00403CD6">
        <w:rPr>
          <w:sz w:val="22"/>
          <w:lang w:eastAsia="en-GB"/>
        </w:rPr>
        <w:tab/>
        <w:t>(</w:t>
      </w:r>
      <w:r w:rsidR="00EB54AB" w:rsidRPr="00403CD6">
        <w:rPr>
          <w:sz w:val="22"/>
          <w:lang w:eastAsia="en-GB"/>
        </w:rPr>
        <w:t>b</w:t>
      </w:r>
      <w:r w:rsidRPr="00403CD6">
        <w:rPr>
          <w:sz w:val="22"/>
          <w:lang w:eastAsia="en-GB"/>
        </w:rPr>
        <w:t>)</w:t>
      </w:r>
      <w:r w:rsidRPr="00403CD6">
        <w:rPr>
          <w:sz w:val="22"/>
          <w:lang w:eastAsia="en-GB"/>
        </w:rPr>
        <w:tab/>
        <w:t>the Closing of the sale of the Divestment Business to the Purchaser takes place within the Closing Period.</w:t>
      </w:r>
      <w:bookmarkEnd w:id="6"/>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7" w:name="_Ref31018902"/>
      <w:r w:rsidRPr="00403CD6">
        <w:rPr>
          <w:sz w:val="22"/>
          <w:lang w:eastAsia="en-GB"/>
        </w:rPr>
        <w:t xml:space="preserve">In order to maintain the structural effect of the Commitments, </w:t>
      </w:r>
      <w:r w:rsidR="00F91C17" w:rsidRPr="00403CD6">
        <w:rPr>
          <w:sz w:val="22"/>
          <w:lang w:eastAsia="en-GB"/>
        </w:rPr>
        <w:t xml:space="preserve">the </w:t>
      </w:r>
      <w:r w:rsidR="00B006AF" w:rsidRPr="00403CD6">
        <w:rPr>
          <w:sz w:val="22"/>
          <w:lang w:eastAsia="en-GB"/>
        </w:rPr>
        <w:t>Notifying Party</w:t>
      </w:r>
      <w:r w:rsidR="00F91C17" w:rsidRPr="00403CD6">
        <w:rPr>
          <w:sz w:val="22"/>
          <w:lang w:eastAsia="en-GB"/>
        </w:rPr>
        <w:t>/Notifying Parties</w:t>
      </w:r>
      <w:r w:rsidR="00B006AF" w:rsidRPr="00403CD6">
        <w:rPr>
          <w:sz w:val="22"/>
          <w:lang w:eastAsia="en-GB"/>
        </w:rPr>
        <w:t xml:space="preserve"> </w:t>
      </w:r>
      <w:r w:rsidRPr="00403CD6">
        <w:rPr>
          <w:sz w:val="22"/>
          <w:lang w:eastAsia="en-GB"/>
        </w:rPr>
        <w:t xml:space="preserve">shall, for a period of 10 years after </w:t>
      </w:r>
      <w:r w:rsidR="000D1F9C" w:rsidRPr="00403CD6">
        <w:rPr>
          <w:sz w:val="22"/>
          <w:lang w:eastAsia="en-GB"/>
        </w:rPr>
        <w:t>Closing</w:t>
      </w:r>
      <w:r w:rsidRPr="00403CD6">
        <w:rPr>
          <w:sz w:val="22"/>
          <w:lang w:eastAsia="en-GB"/>
        </w:rPr>
        <w:t>, not acquire</w:t>
      </w:r>
      <w:r w:rsidR="000472AD" w:rsidRPr="00403CD6">
        <w:rPr>
          <w:sz w:val="22"/>
          <w:lang w:eastAsia="en-GB"/>
        </w:rPr>
        <w:t>,</w:t>
      </w:r>
      <w:r w:rsidRPr="00403CD6">
        <w:rPr>
          <w:sz w:val="22"/>
          <w:lang w:eastAsia="en-GB"/>
        </w:rPr>
        <w:t xml:space="preserve"> </w:t>
      </w:r>
      <w:r w:rsidR="00B006AF" w:rsidRPr="00403CD6">
        <w:rPr>
          <w:sz w:val="22"/>
          <w:lang w:eastAsia="en-GB"/>
        </w:rPr>
        <w:t xml:space="preserve">whether </w:t>
      </w:r>
      <w:r w:rsidRPr="00403CD6">
        <w:rPr>
          <w:sz w:val="22"/>
          <w:lang w:eastAsia="en-GB"/>
        </w:rPr>
        <w:t>direct</w:t>
      </w:r>
      <w:r w:rsidR="00B006AF" w:rsidRPr="00403CD6">
        <w:rPr>
          <w:sz w:val="22"/>
          <w:lang w:eastAsia="en-GB"/>
        </w:rPr>
        <w:t>ly</w:t>
      </w:r>
      <w:r w:rsidRPr="00403CD6">
        <w:rPr>
          <w:sz w:val="22"/>
          <w:lang w:eastAsia="en-GB"/>
        </w:rPr>
        <w:t xml:space="preserve"> or indirect</w:t>
      </w:r>
      <w:r w:rsidR="00B006AF" w:rsidRPr="00403CD6">
        <w:rPr>
          <w:sz w:val="22"/>
          <w:lang w:eastAsia="en-GB"/>
        </w:rPr>
        <w:t>ly</w:t>
      </w:r>
      <w:r w:rsidR="000472AD" w:rsidRPr="00403CD6">
        <w:rPr>
          <w:sz w:val="22"/>
          <w:lang w:eastAsia="en-GB"/>
        </w:rPr>
        <w:t>,</w:t>
      </w:r>
      <w:r w:rsidR="00B006AF" w:rsidRPr="00403CD6">
        <w:rPr>
          <w:sz w:val="22"/>
          <w:lang w:eastAsia="en-GB"/>
        </w:rPr>
        <w:t xml:space="preserve"> </w:t>
      </w:r>
      <w:r w:rsidR="0063259D" w:rsidRPr="00403CD6">
        <w:rPr>
          <w:sz w:val="22"/>
          <w:lang w:eastAsia="en-GB"/>
        </w:rPr>
        <w:t>the possibility of exercising</w:t>
      </w:r>
      <w:r w:rsidR="00EE3F1D" w:rsidRPr="00403CD6">
        <w:rPr>
          <w:sz w:val="22"/>
          <w:lang w:eastAsia="en-GB"/>
        </w:rPr>
        <w:t xml:space="preserve"> </w:t>
      </w:r>
      <w:r w:rsidRPr="00403CD6">
        <w:rPr>
          <w:sz w:val="22"/>
          <w:lang w:eastAsia="en-GB"/>
        </w:rPr>
        <w:t>influence</w:t>
      </w:r>
      <w:r w:rsidR="000114B5" w:rsidRPr="00403CD6">
        <w:rPr>
          <w:sz w:val="22"/>
          <w:lang w:eastAsia="en-GB"/>
        </w:rPr>
        <w:t xml:space="preserve"> (as defined in paragraph 43 of the Remedies Notice, footnote 3)</w:t>
      </w:r>
      <w:r w:rsidR="000D1F9C" w:rsidRPr="00403CD6">
        <w:rPr>
          <w:sz w:val="22"/>
          <w:lang w:eastAsia="en-GB"/>
        </w:rPr>
        <w:t xml:space="preserve"> </w:t>
      </w:r>
      <w:r w:rsidR="000472AD" w:rsidRPr="00403CD6">
        <w:rPr>
          <w:sz w:val="22"/>
          <w:lang w:eastAsia="en-GB"/>
        </w:rPr>
        <w:t xml:space="preserve">over the whole or part of the Divestment Business, </w:t>
      </w:r>
      <w:r w:rsidRPr="00403CD6">
        <w:rPr>
          <w:sz w:val="22"/>
          <w:lang w:eastAsia="en-GB"/>
        </w:rPr>
        <w:t>unless</w:t>
      </w:r>
      <w:r w:rsidR="007C536A" w:rsidRPr="00403CD6">
        <w:rPr>
          <w:sz w:val="22"/>
          <w:lang w:eastAsia="en-GB"/>
        </w:rPr>
        <w:t>,</w:t>
      </w:r>
      <w:r w:rsidRPr="00403CD6">
        <w:rPr>
          <w:sz w:val="22"/>
          <w:lang w:eastAsia="en-GB"/>
        </w:rPr>
        <w:t xml:space="preserve"> </w:t>
      </w:r>
      <w:r w:rsidR="007C536A" w:rsidRPr="00403CD6">
        <w:rPr>
          <w:sz w:val="22"/>
          <w:lang w:eastAsia="en-GB"/>
        </w:rPr>
        <w:t>following the submission of a reasoned request from the Notifying Party showing good cause and accompanied by a report from the Monitoring Trustee</w:t>
      </w:r>
      <w:r w:rsidR="004505BC" w:rsidRPr="00403CD6">
        <w:rPr>
          <w:sz w:val="22"/>
          <w:lang w:eastAsia="en-GB"/>
        </w:rPr>
        <w:t xml:space="preserve"> </w:t>
      </w:r>
      <w:r w:rsidR="006370E2" w:rsidRPr="00403CD6">
        <w:rPr>
          <w:sz w:val="22"/>
          <w:lang w:eastAsia="en-GB"/>
        </w:rPr>
        <w:t>(</w:t>
      </w:r>
      <w:r w:rsidR="004505BC" w:rsidRPr="00403CD6">
        <w:rPr>
          <w:sz w:val="22"/>
          <w:lang w:eastAsia="en-GB"/>
        </w:rPr>
        <w:t xml:space="preserve">as provided in paragraph </w:t>
      </w:r>
      <w:r w:rsidR="004505BC" w:rsidRPr="00403CD6">
        <w:rPr>
          <w:sz w:val="22"/>
          <w:lang w:eastAsia="en-GB"/>
        </w:rPr>
        <w:fldChar w:fldCharType="begin"/>
      </w:r>
      <w:r w:rsidR="004505BC" w:rsidRPr="00403CD6">
        <w:rPr>
          <w:sz w:val="22"/>
          <w:lang w:eastAsia="en-GB"/>
        </w:rPr>
        <w:instrText xml:space="preserve"> REF _Ref356563327 \r \h </w:instrText>
      </w:r>
      <w:r w:rsidR="00403CD6">
        <w:rPr>
          <w:sz w:val="22"/>
          <w:lang w:eastAsia="en-GB"/>
        </w:rPr>
        <w:instrText xml:space="preserve"> \* MERGEFORMAT </w:instrText>
      </w:r>
      <w:r w:rsidR="004505BC" w:rsidRPr="00403CD6">
        <w:rPr>
          <w:sz w:val="22"/>
          <w:lang w:eastAsia="en-GB"/>
        </w:rPr>
      </w:r>
      <w:r w:rsidR="004505BC" w:rsidRPr="00403CD6">
        <w:rPr>
          <w:sz w:val="22"/>
          <w:lang w:eastAsia="en-GB"/>
        </w:rPr>
        <w:fldChar w:fldCharType="separate"/>
      </w:r>
      <w:r w:rsidR="00D27117">
        <w:rPr>
          <w:sz w:val="22"/>
          <w:lang w:eastAsia="en-GB"/>
        </w:rPr>
        <w:t>44</w:t>
      </w:r>
      <w:r w:rsidR="004505BC" w:rsidRPr="00403CD6">
        <w:rPr>
          <w:sz w:val="22"/>
          <w:lang w:eastAsia="en-GB"/>
        </w:rPr>
        <w:fldChar w:fldCharType="end"/>
      </w:r>
      <w:r w:rsidR="006370E2" w:rsidRPr="00403CD6">
        <w:rPr>
          <w:sz w:val="22"/>
          <w:lang w:eastAsia="en-GB"/>
        </w:rPr>
        <w:t xml:space="preserve"> </w:t>
      </w:r>
      <w:r w:rsidR="004505BC" w:rsidRPr="00403CD6">
        <w:rPr>
          <w:sz w:val="22"/>
          <w:lang w:eastAsia="en-GB"/>
        </w:rPr>
        <w:t>of these Commitments</w:t>
      </w:r>
      <w:r w:rsidR="006370E2" w:rsidRPr="00403CD6">
        <w:rPr>
          <w:sz w:val="22"/>
          <w:lang w:eastAsia="en-GB"/>
        </w:rPr>
        <w:t>)</w:t>
      </w:r>
      <w:r w:rsidR="007C536A" w:rsidRPr="00403CD6">
        <w:rPr>
          <w:sz w:val="22"/>
          <w:lang w:eastAsia="en-GB"/>
        </w:rPr>
        <w:t xml:space="preserve">, </w:t>
      </w:r>
      <w:r w:rsidRPr="00403CD6">
        <w:rPr>
          <w:sz w:val="22"/>
          <w:lang w:eastAsia="en-GB"/>
        </w:rPr>
        <w:t xml:space="preserve">the Commission </w:t>
      </w:r>
      <w:r w:rsidR="003824AC" w:rsidRPr="00CD6D12">
        <w:rPr>
          <w:sz w:val="22"/>
          <w:lang w:eastAsia="en-GB"/>
        </w:rPr>
        <w:t>finds</w:t>
      </w:r>
      <w:r w:rsidR="003824AC">
        <w:rPr>
          <w:sz w:val="22"/>
          <w:lang w:eastAsia="en-GB"/>
        </w:rPr>
        <w:t xml:space="preserve"> </w:t>
      </w:r>
      <w:r w:rsidRPr="00403CD6">
        <w:rPr>
          <w:sz w:val="22"/>
          <w:lang w:eastAsia="en-GB"/>
        </w:rPr>
        <w:t xml:space="preserve">that the structure of the market has changed to such an extent that the absence of influence over the Divestment Business is no longer necessary to render the proposed concentration compatible with the </w:t>
      </w:r>
      <w:r w:rsidR="003F3811" w:rsidRPr="00403CD6">
        <w:rPr>
          <w:sz w:val="22"/>
          <w:lang w:eastAsia="en-GB"/>
        </w:rPr>
        <w:t xml:space="preserve">internal </w:t>
      </w:r>
      <w:r w:rsidRPr="00403CD6">
        <w:rPr>
          <w:sz w:val="22"/>
          <w:lang w:eastAsia="en-GB"/>
        </w:rPr>
        <w:t>market.</w:t>
      </w:r>
      <w:bookmarkEnd w:id="7"/>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482424" w:rsidRDefault="00482424" w:rsidP="003475B5">
      <w:pPr>
        <w:keepNext/>
        <w:tabs>
          <w:tab w:val="left" w:pos="600"/>
          <w:tab w:val="left" w:pos="1500"/>
          <w:tab w:val="left" w:pos="3600"/>
          <w:tab w:val="decimal" w:pos="3900"/>
          <w:tab w:val="left" w:pos="4800"/>
          <w:tab w:val="decimal" w:pos="5700"/>
        </w:tabs>
        <w:spacing w:after="0" w:line="300" w:lineRule="exact"/>
        <w:outlineLvl w:val="0"/>
        <w:rPr>
          <w:sz w:val="22"/>
          <w:lang w:eastAsia="en-GB"/>
        </w:rPr>
      </w:pPr>
      <w:r>
        <w:rPr>
          <w:sz w:val="22"/>
          <w:lang w:eastAsia="en-GB"/>
        </w:rPr>
        <w:br/>
      </w:r>
      <w:r>
        <w:rPr>
          <w:sz w:val="22"/>
          <w:lang w:eastAsia="en-GB"/>
        </w:rPr>
        <w:br/>
      </w:r>
    </w:p>
    <w:p w:rsidR="00482424" w:rsidRDefault="00482424">
      <w:pPr>
        <w:spacing w:after="0"/>
        <w:jc w:val="left"/>
        <w:rPr>
          <w:sz w:val="22"/>
          <w:lang w:eastAsia="en-GB"/>
        </w:rPr>
      </w:pPr>
      <w:r>
        <w:rPr>
          <w:sz w:val="22"/>
          <w:lang w:eastAsia="en-GB"/>
        </w:rPr>
        <w:br w:type="page"/>
      </w:r>
    </w:p>
    <w:p w:rsidR="003475B5" w:rsidRPr="00403CD6" w:rsidRDefault="001B65F7" w:rsidP="003475B5">
      <w:pPr>
        <w:keepNext/>
        <w:tabs>
          <w:tab w:val="left" w:pos="600"/>
          <w:tab w:val="left" w:pos="1500"/>
          <w:tab w:val="left" w:pos="3600"/>
          <w:tab w:val="decimal" w:pos="3900"/>
          <w:tab w:val="left" w:pos="4800"/>
          <w:tab w:val="decimal" w:pos="5700"/>
        </w:tabs>
        <w:spacing w:after="0" w:line="300" w:lineRule="exact"/>
        <w:outlineLvl w:val="0"/>
        <w:rPr>
          <w:sz w:val="22"/>
          <w:u w:val="single"/>
          <w:lang w:eastAsia="en-GB"/>
        </w:rPr>
      </w:pPr>
      <w:r>
        <w:rPr>
          <w:sz w:val="22"/>
          <w:lang w:eastAsia="en-GB"/>
        </w:rPr>
        <w:lastRenderedPageBreak/>
        <w:tab/>
      </w:r>
      <w:r w:rsidR="003475B5" w:rsidRPr="00403CD6">
        <w:rPr>
          <w:sz w:val="22"/>
          <w:u w:val="single"/>
          <w:lang w:eastAsia="en-GB"/>
        </w:rPr>
        <w:t>Structure and definition of the Divestment Business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2D52B2" w:rsidRPr="00403CD6" w:rsidRDefault="003475B5" w:rsidP="00291AB9">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8" w:name="_Ref33613663"/>
      <w:r w:rsidRPr="00403CD6">
        <w:rPr>
          <w:sz w:val="22"/>
          <w:lang w:eastAsia="en-GB"/>
        </w:rPr>
        <w:t>The Divestment Business consists of [</w:t>
      </w:r>
      <w:r w:rsidRPr="00403CD6">
        <w:rPr>
          <w:i/>
          <w:sz w:val="22"/>
          <w:lang w:eastAsia="en-GB"/>
        </w:rPr>
        <w:t>Provide a summary description of the Divestment Business</w:t>
      </w:r>
      <w:r w:rsidRPr="00403CD6">
        <w:rPr>
          <w:sz w:val="22"/>
          <w:lang w:eastAsia="en-GB"/>
        </w:rPr>
        <w:t>]. The legal and functional structure of the Divestment Business as operated to date</w:t>
      </w:r>
      <w:r w:rsidR="00266FDB" w:rsidRPr="00403CD6">
        <w:rPr>
          <w:sz w:val="22"/>
          <w:lang w:eastAsia="en-GB"/>
        </w:rPr>
        <w:t xml:space="preserve"> </w:t>
      </w:r>
      <w:r w:rsidRPr="00403CD6">
        <w:rPr>
          <w:sz w:val="22"/>
          <w:lang w:eastAsia="en-GB"/>
        </w:rPr>
        <w:t>is described in the Schedule. The Divestment Business, described in more detail in the Schedule, includes</w:t>
      </w:r>
      <w:bookmarkEnd w:id="8"/>
      <w:r w:rsidR="002D52B2" w:rsidRPr="00403CD6">
        <w:rPr>
          <w:sz w:val="22"/>
          <w:lang w:eastAsia="en-GB"/>
        </w:rPr>
        <w:t xml:space="preserve"> all assets and </w:t>
      </w:r>
      <w:r w:rsidR="00046F44" w:rsidRPr="00403CD6">
        <w:rPr>
          <w:sz w:val="22"/>
          <w:lang w:eastAsia="en-GB"/>
        </w:rPr>
        <w:t>staff</w:t>
      </w:r>
      <w:r w:rsidR="002D52B2" w:rsidRPr="00403CD6">
        <w:rPr>
          <w:sz w:val="22"/>
          <w:lang w:eastAsia="en-GB"/>
        </w:rPr>
        <w:t xml:space="preserve"> that contribute to the current operation or are necessary to ensure the viability and competitiveness of the Divestment Business, in particular:</w:t>
      </w:r>
    </w:p>
    <w:p w:rsidR="003475B5" w:rsidRPr="00403CD6" w:rsidRDefault="003475B5" w:rsidP="00291AB9">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r w:rsidRPr="00403CD6">
        <w:rPr>
          <w:sz w:val="22"/>
          <w:lang w:eastAsia="en-GB"/>
        </w:rPr>
        <w:tab/>
        <w:t>(a)</w:t>
      </w:r>
      <w:r w:rsidRPr="00403CD6">
        <w:rPr>
          <w:sz w:val="22"/>
          <w:lang w:eastAsia="en-GB"/>
        </w:rPr>
        <w:tab/>
        <w:t xml:space="preserve">all tangible and intangible assets (including intellectual property rights);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r w:rsidRPr="00403CD6">
        <w:rPr>
          <w:sz w:val="22"/>
          <w:lang w:eastAsia="en-GB"/>
        </w:rPr>
        <w:tab/>
        <w:t>(b)</w:t>
      </w:r>
      <w:r w:rsidRPr="00403CD6">
        <w:rPr>
          <w:sz w:val="22"/>
          <w:lang w:eastAsia="en-GB"/>
        </w:rPr>
        <w:tab/>
        <w:t xml:space="preserve">all licences, permits and authorisations issued by any governmental organisation for the benefit of the Divestment Business;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r w:rsidRPr="00403CD6">
        <w:rPr>
          <w:sz w:val="22"/>
          <w:lang w:eastAsia="en-GB"/>
        </w:rPr>
        <w:tab/>
        <w:t>(c)</w:t>
      </w:r>
      <w:r w:rsidRPr="00403CD6">
        <w:rPr>
          <w:sz w:val="22"/>
          <w:lang w:eastAsia="en-GB"/>
        </w:rPr>
        <w:tab/>
        <w:t>all contracts, leases, commitments and customer orders of the Divestment Business; all customer, credit and other records of the Divestment Business; and</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r w:rsidRPr="00403CD6">
        <w:rPr>
          <w:sz w:val="22"/>
          <w:lang w:eastAsia="en-GB"/>
        </w:rPr>
        <w:tab/>
        <w:t>(d)</w:t>
      </w:r>
      <w:r w:rsidRPr="00403CD6">
        <w:rPr>
          <w:sz w:val="22"/>
          <w:lang w:eastAsia="en-GB"/>
        </w:rPr>
        <w:tab/>
        <w:t>the Personnel</w:t>
      </w:r>
      <w:r w:rsidR="002D52B2" w:rsidRPr="00403CD6">
        <w:rPr>
          <w:sz w:val="22"/>
          <w:lang w:eastAsia="en-GB"/>
        </w:rPr>
        <w:t>.</w:t>
      </w:r>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418" w:hanging="1058"/>
        <w:rPr>
          <w:sz w:val="22"/>
          <w:lang w:eastAsia="en-GB"/>
        </w:rPr>
      </w:pPr>
    </w:p>
    <w:p w:rsidR="003475B5" w:rsidRPr="00403CD6" w:rsidRDefault="003475B5" w:rsidP="00F7287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w:t>
      </w:r>
      <w:r w:rsidRPr="00403CD6">
        <w:rPr>
          <w:i/>
          <w:sz w:val="22"/>
          <w:lang w:eastAsia="en-GB"/>
        </w:rPr>
        <w:t xml:space="preserve">To be included in </w:t>
      </w:r>
      <w:r w:rsidRPr="00403CD6">
        <w:rPr>
          <w:sz w:val="22"/>
          <w:lang w:eastAsia="en-GB"/>
        </w:rPr>
        <w:t>cases</w:t>
      </w:r>
      <w:r w:rsidRPr="00403CD6">
        <w:rPr>
          <w:i/>
          <w:sz w:val="22"/>
          <w:lang w:eastAsia="en-GB"/>
        </w:rPr>
        <w:t xml:space="preserve"> in which the Divestment Business needs an on-going relationship with the Parties in order to be fully competitive and viable:</w:t>
      </w:r>
      <w:r w:rsidRPr="00403CD6">
        <w:rPr>
          <w:sz w:val="22"/>
          <w:lang w:eastAsia="en-GB"/>
        </w:rPr>
        <w:t xml:space="preserve"> In addition, the Divestment Business includes the benefit, for a transitional period of up to [</w:t>
      </w:r>
      <w:r w:rsidRPr="00403CD6">
        <w:rPr>
          <w:i/>
          <w:sz w:val="22"/>
          <w:lang w:eastAsia="en-GB"/>
        </w:rPr>
        <w:t>insert</w:t>
      </w:r>
      <w:r w:rsidRPr="00403CD6">
        <w:rPr>
          <w:sz w:val="22"/>
          <w:lang w:eastAsia="en-GB"/>
        </w:rPr>
        <w:t>] years after Closing and on terms and conditions equivalent to those at present afforded to the Divestment Business, of all current arrangements under which [</w:t>
      </w:r>
      <w:r w:rsidRPr="00403CD6">
        <w:rPr>
          <w:i/>
          <w:sz w:val="22"/>
          <w:lang w:eastAsia="en-GB"/>
        </w:rPr>
        <w:t>X</w:t>
      </w:r>
      <w:r w:rsidRPr="00403CD6">
        <w:rPr>
          <w:sz w:val="22"/>
          <w:lang w:eastAsia="en-GB"/>
        </w:rPr>
        <w:t xml:space="preserve">] or </w:t>
      </w:r>
      <w:r w:rsidR="00CE68B8" w:rsidRPr="00403CD6">
        <w:rPr>
          <w:sz w:val="22"/>
          <w:lang w:eastAsia="en-GB"/>
        </w:rPr>
        <w:t xml:space="preserve">its </w:t>
      </w:r>
      <w:r w:rsidRPr="00403CD6">
        <w:rPr>
          <w:sz w:val="22"/>
          <w:lang w:eastAsia="en-GB"/>
        </w:rPr>
        <w:t>Affiliated Undertakings supply products or services to the Divestment Business, as detailed in the Schedule, unless otherwise agreed with the Purchaser.</w:t>
      </w:r>
      <w:r w:rsidR="004A424D" w:rsidRPr="00403CD6">
        <w:rPr>
          <w:sz w:val="22"/>
          <w:lang w:eastAsia="en-GB"/>
        </w:rPr>
        <w:t xml:space="preserve"> </w:t>
      </w:r>
      <w:r w:rsidR="00CE08AE" w:rsidRPr="00403CD6">
        <w:rPr>
          <w:sz w:val="22"/>
          <w:lang w:eastAsia="en-GB"/>
        </w:rPr>
        <w:t xml:space="preserve">Strict firewall procedures will be adopted so as to ensure that any competitively sensitive information related to, or arising from such supply arrangements (for example, product roadmaps) will not be shared with, or passed on to, anyone outside </w:t>
      </w:r>
      <w:r w:rsidR="00465279" w:rsidRPr="00403CD6">
        <w:rPr>
          <w:sz w:val="22"/>
          <w:lang w:eastAsia="en-GB"/>
        </w:rPr>
        <w:t xml:space="preserve">the </w:t>
      </w:r>
      <w:r w:rsidR="00CE08AE" w:rsidRPr="00403CD6">
        <w:rPr>
          <w:sz w:val="22"/>
          <w:lang w:eastAsia="en-GB"/>
        </w:rPr>
        <w:t>[</w:t>
      </w:r>
      <w:r w:rsidR="00CE08AE" w:rsidRPr="00403CD6">
        <w:rPr>
          <w:i/>
          <w:sz w:val="22"/>
          <w:lang w:eastAsia="en-GB"/>
        </w:rPr>
        <w:t>insert the relevant business unit/division providing the product/service</w:t>
      </w:r>
      <w:r w:rsidR="00CE08AE" w:rsidRPr="00403CD6">
        <w:rPr>
          <w:sz w:val="22"/>
          <w:lang w:eastAsia="en-GB"/>
        </w:rPr>
        <w:t>] operations.</w:t>
      </w:r>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134" w:hanging="1134"/>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before="120" w:after="120" w:line="300" w:lineRule="exact"/>
        <w:rPr>
          <w:b/>
          <w:sz w:val="22"/>
          <w:lang w:eastAsia="en-GB"/>
        </w:rPr>
      </w:pPr>
      <w:r w:rsidRPr="00403CD6">
        <w:rPr>
          <w:sz w:val="22"/>
          <w:lang w:eastAsia="en-GB"/>
        </w:rPr>
        <w:t xml:space="preserve"> </w:t>
      </w:r>
      <w:r w:rsidRPr="00403CD6">
        <w:rPr>
          <w:b/>
          <w:sz w:val="22"/>
          <w:lang w:eastAsia="en-GB"/>
        </w:rPr>
        <w:t>Section C.</w:t>
      </w:r>
      <w:r w:rsidRPr="00403CD6">
        <w:rPr>
          <w:b/>
          <w:sz w:val="22"/>
          <w:lang w:eastAsia="en-GB"/>
        </w:rPr>
        <w:tab/>
        <w:t xml:space="preserve"> Related commitments</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lang w:eastAsia="en-GB"/>
        </w:rPr>
      </w:pPr>
      <w:r w:rsidRPr="00403CD6">
        <w:rPr>
          <w:b/>
          <w:sz w:val="22"/>
          <w:lang w:eastAsia="en-GB"/>
        </w:rPr>
        <w:tab/>
      </w:r>
      <w:r w:rsidRPr="00403CD6">
        <w:rPr>
          <w:sz w:val="22"/>
          <w:u w:val="single"/>
          <w:lang w:eastAsia="en-GB"/>
        </w:rPr>
        <w:t xml:space="preserve">Preservation of </w:t>
      </w:r>
      <w:r w:rsidR="00A04C66" w:rsidRPr="00403CD6">
        <w:rPr>
          <w:sz w:val="22"/>
          <w:u w:val="single"/>
          <w:lang w:eastAsia="en-GB"/>
        </w:rPr>
        <w:t>v</w:t>
      </w:r>
      <w:r w:rsidRPr="00403CD6">
        <w:rPr>
          <w:sz w:val="22"/>
          <w:u w:val="single"/>
          <w:lang w:eastAsia="en-GB"/>
        </w:rPr>
        <w:t xml:space="preserve">iability, </w:t>
      </w:r>
      <w:r w:rsidR="00A04C66" w:rsidRPr="00403CD6">
        <w:rPr>
          <w:sz w:val="22"/>
          <w:u w:val="single"/>
          <w:lang w:eastAsia="en-GB"/>
        </w:rPr>
        <w:t>m</w:t>
      </w:r>
      <w:r w:rsidRPr="00403CD6">
        <w:rPr>
          <w:sz w:val="22"/>
          <w:u w:val="single"/>
          <w:lang w:eastAsia="en-GB"/>
        </w:rPr>
        <w:t xml:space="preserve">arketability and </w:t>
      </w:r>
      <w:r w:rsidR="00A04C66" w:rsidRPr="00403CD6">
        <w:rPr>
          <w:sz w:val="22"/>
          <w:u w:val="single"/>
          <w:lang w:eastAsia="en-GB"/>
        </w:rPr>
        <w:t>c</w:t>
      </w:r>
      <w:r w:rsidRPr="00403CD6">
        <w:rPr>
          <w:sz w:val="22"/>
          <w:u w:val="single"/>
          <w:lang w:eastAsia="en-GB"/>
        </w:rPr>
        <w:t>ompetitiveness</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FC3716">
      <w:pPr>
        <w:numPr>
          <w:ilvl w:val="0"/>
          <w:numId w:val="7"/>
        </w:numPr>
        <w:tabs>
          <w:tab w:val="left" w:pos="600"/>
          <w:tab w:val="left" w:pos="1500"/>
          <w:tab w:val="left" w:pos="3600"/>
          <w:tab w:val="decimal" w:pos="3900"/>
          <w:tab w:val="left" w:pos="4800"/>
          <w:tab w:val="decimal" w:pos="5700"/>
        </w:tabs>
        <w:spacing w:after="120" w:line="300" w:lineRule="exact"/>
        <w:rPr>
          <w:sz w:val="22"/>
          <w:lang w:eastAsia="en-GB"/>
        </w:rPr>
      </w:pPr>
      <w:bookmarkStart w:id="9" w:name="_Ref4232856"/>
      <w:r w:rsidRPr="00403CD6">
        <w:rPr>
          <w:sz w:val="22"/>
          <w:lang w:eastAsia="en-GB"/>
        </w:rPr>
        <w:t xml:space="preserve">From the Effective Date until Closing, </w:t>
      </w:r>
      <w:r w:rsidR="00465279" w:rsidRPr="00403CD6">
        <w:rPr>
          <w:sz w:val="22"/>
          <w:lang w:eastAsia="en-GB"/>
        </w:rPr>
        <w:t>the Notifying Party</w:t>
      </w:r>
      <w:r w:rsidR="00774F5A">
        <w:rPr>
          <w:sz w:val="22"/>
          <w:lang w:eastAsia="en-GB"/>
        </w:rPr>
        <w:t>/Notifying Parties</w:t>
      </w:r>
      <w:r w:rsidRPr="00403CD6">
        <w:rPr>
          <w:sz w:val="22"/>
          <w:lang w:eastAsia="en-GB"/>
        </w:rPr>
        <w:t xml:space="preserve"> shall </w:t>
      </w:r>
      <w:r w:rsidR="00F84DFA" w:rsidRPr="00403CD6">
        <w:rPr>
          <w:sz w:val="22"/>
          <w:lang w:eastAsia="en-GB"/>
        </w:rPr>
        <w:t xml:space="preserve">preserve </w:t>
      </w:r>
      <w:r w:rsidR="00465279" w:rsidRPr="00403CD6">
        <w:rPr>
          <w:sz w:val="22"/>
          <w:lang w:eastAsia="en-GB"/>
        </w:rPr>
        <w:t xml:space="preserve">or procure the preservation of </w:t>
      </w:r>
      <w:r w:rsidRPr="00403CD6">
        <w:rPr>
          <w:sz w:val="22"/>
          <w:lang w:eastAsia="en-GB"/>
        </w:rPr>
        <w:t>the economic viability, marketability and competitiveness of the Divestment Business, in accordance with good business practice, and shall minimise as far as possible any risk of loss of competitive potential of the Divestment Business. In particular [</w:t>
      </w:r>
      <w:r w:rsidRPr="00403CD6">
        <w:rPr>
          <w:i/>
          <w:sz w:val="22"/>
          <w:lang w:eastAsia="en-GB"/>
        </w:rPr>
        <w:t>X</w:t>
      </w:r>
      <w:r w:rsidRPr="00403CD6">
        <w:rPr>
          <w:sz w:val="22"/>
          <w:lang w:eastAsia="en-GB"/>
        </w:rPr>
        <w:t xml:space="preserve">] undertakes: </w:t>
      </w:r>
    </w:p>
    <w:p w:rsidR="003475B5" w:rsidRPr="00403CD6" w:rsidRDefault="003475B5" w:rsidP="00DF1FC9">
      <w:pPr>
        <w:tabs>
          <w:tab w:val="left" w:pos="600"/>
          <w:tab w:val="left" w:pos="1500"/>
          <w:tab w:val="left" w:pos="3600"/>
          <w:tab w:val="decimal" w:pos="3900"/>
          <w:tab w:val="left" w:pos="4800"/>
          <w:tab w:val="decimal" w:pos="5700"/>
        </w:tabs>
        <w:spacing w:after="120" w:line="300" w:lineRule="exact"/>
        <w:ind w:left="1440" w:hanging="873"/>
        <w:rPr>
          <w:sz w:val="22"/>
          <w:lang w:eastAsia="en-GB"/>
        </w:rPr>
      </w:pPr>
      <w:r w:rsidRPr="00403CD6">
        <w:rPr>
          <w:sz w:val="22"/>
          <w:lang w:eastAsia="en-GB"/>
        </w:rPr>
        <w:t>(a)</w:t>
      </w:r>
      <w:r w:rsidRPr="00403CD6">
        <w:rPr>
          <w:sz w:val="22"/>
          <w:lang w:eastAsia="en-GB"/>
        </w:rPr>
        <w:tab/>
        <w:t xml:space="preserve">not to carry out any </w:t>
      </w:r>
      <w:r w:rsidR="004467E4" w:rsidRPr="00403CD6">
        <w:rPr>
          <w:sz w:val="22"/>
          <w:lang w:eastAsia="en-GB"/>
        </w:rPr>
        <w:t>action</w:t>
      </w:r>
      <w:r w:rsidRPr="00403CD6">
        <w:rPr>
          <w:sz w:val="22"/>
          <w:lang w:eastAsia="en-GB"/>
        </w:rPr>
        <w:t xml:space="preserve"> that might have a significant adverse impact on the value, management or competitiveness of the Divestment Business or that might alter the nature and scope of activity, or the industrial or commercial strategy or the investment policy of the Divestment Business; </w:t>
      </w:r>
    </w:p>
    <w:p w:rsidR="003475B5" w:rsidRPr="00403CD6" w:rsidRDefault="003475B5" w:rsidP="00DF1FC9">
      <w:pPr>
        <w:tabs>
          <w:tab w:val="left" w:pos="600"/>
          <w:tab w:val="left" w:pos="1500"/>
          <w:tab w:val="left" w:pos="3600"/>
          <w:tab w:val="decimal" w:pos="3900"/>
          <w:tab w:val="left" w:pos="4800"/>
          <w:tab w:val="decimal" w:pos="5700"/>
        </w:tabs>
        <w:spacing w:after="120" w:line="300" w:lineRule="exact"/>
        <w:ind w:left="1440" w:hanging="873"/>
        <w:rPr>
          <w:sz w:val="22"/>
          <w:lang w:eastAsia="en-GB"/>
        </w:rPr>
      </w:pPr>
      <w:r w:rsidRPr="00403CD6">
        <w:rPr>
          <w:sz w:val="22"/>
          <w:lang w:eastAsia="en-GB"/>
        </w:rPr>
        <w:t>(b)</w:t>
      </w:r>
      <w:r w:rsidRPr="00403CD6">
        <w:rPr>
          <w:sz w:val="22"/>
          <w:lang w:eastAsia="en-GB"/>
        </w:rPr>
        <w:tab/>
        <w:t>to make available</w:t>
      </w:r>
      <w:r w:rsidR="00F84DFA" w:rsidRPr="00403CD6">
        <w:rPr>
          <w:sz w:val="22"/>
          <w:lang w:eastAsia="en-GB"/>
        </w:rPr>
        <w:t>, or procure to make available,</w:t>
      </w:r>
      <w:r w:rsidRPr="00403CD6">
        <w:rPr>
          <w:sz w:val="22"/>
          <w:lang w:eastAsia="en-GB"/>
        </w:rPr>
        <w:t xml:space="preserve"> sufficient resources for the development of the Divestment Business, on the basis and continuation of the existing business plans</w:t>
      </w:r>
      <w:bookmarkEnd w:id="9"/>
      <w:r w:rsidR="003F3811" w:rsidRPr="00403CD6">
        <w:rPr>
          <w:sz w:val="22"/>
          <w:lang w:eastAsia="en-GB"/>
        </w:rPr>
        <w:t>;</w:t>
      </w:r>
    </w:p>
    <w:p w:rsidR="003475B5" w:rsidRPr="00403CD6" w:rsidRDefault="003475B5" w:rsidP="00DF1FC9">
      <w:pPr>
        <w:tabs>
          <w:tab w:val="left" w:pos="600"/>
          <w:tab w:val="left" w:pos="1500"/>
          <w:tab w:val="left" w:pos="3600"/>
          <w:tab w:val="decimal" w:pos="3900"/>
          <w:tab w:val="left" w:pos="4800"/>
          <w:tab w:val="decimal" w:pos="5700"/>
        </w:tabs>
        <w:spacing w:after="0" w:line="300" w:lineRule="exact"/>
        <w:ind w:left="1440" w:hanging="873"/>
        <w:rPr>
          <w:sz w:val="22"/>
          <w:lang w:eastAsia="en-GB"/>
        </w:rPr>
      </w:pPr>
      <w:r w:rsidRPr="00403CD6">
        <w:rPr>
          <w:sz w:val="22"/>
          <w:lang w:eastAsia="en-GB"/>
        </w:rPr>
        <w:lastRenderedPageBreak/>
        <w:t>(c)</w:t>
      </w:r>
      <w:r w:rsidRPr="00403CD6">
        <w:rPr>
          <w:sz w:val="22"/>
          <w:lang w:eastAsia="en-GB"/>
        </w:rPr>
        <w:tab/>
        <w:t>to take all reasonable steps</w:t>
      </w:r>
      <w:r w:rsidR="00F84DFA" w:rsidRPr="00403CD6">
        <w:rPr>
          <w:sz w:val="22"/>
          <w:lang w:eastAsia="en-GB"/>
        </w:rPr>
        <w:t>, or procure that all reasonable steps are being taken</w:t>
      </w:r>
      <w:r w:rsidRPr="00403CD6">
        <w:rPr>
          <w:sz w:val="22"/>
          <w:lang w:eastAsia="en-GB"/>
        </w:rPr>
        <w:t xml:space="preserve">, including appropriate incentive schemes (based on industry practice), to encourage all Key Personnel to remain with the Divestment Business, and not to solicit or move any </w:t>
      </w:r>
      <w:r w:rsidR="006924D0" w:rsidRPr="00403CD6">
        <w:rPr>
          <w:sz w:val="22"/>
          <w:lang w:eastAsia="en-GB"/>
        </w:rPr>
        <w:t>P</w:t>
      </w:r>
      <w:r w:rsidRPr="00403CD6">
        <w:rPr>
          <w:sz w:val="22"/>
          <w:lang w:eastAsia="en-GB"/>
        </w:rPr>
        <w:t>ersonnel to [</w:t>
      </w:r>
      <w:r w:rsidRPr="00403CD6">
        <w:rPr>
          <w:i/>
          <w:sz w:val="22"/>
          <w:lang w:eastAsia="en-GB"/>
        </w:rPr>
        <w:t>X's</w:t>
      </w:r>
      <w:r w:rsidRPr="00403CD6">
        <w:rPr>
          <w:sz w:val="22"/>
          <w:lang w:eastAsia="en-GB"/>
        </w:rPr>
        <w:t>] remaining business. Where</w:t>
      </w:r>
      <w:r w:rsidR="006924D0" w:rsidRPr="00403CD6">
        <w:rPr>
          <w:sz w:val="22"/>
          <w:lang w:eastAsia="en-GB"/>
        </w:rPr>
        <w:t>,</w:t>
      </w:r>
      <w:r w:rsidRPr="00403CD6">
        <w:rPr>
          <w:sz w:val="22"/>
          <w:lang w:eastAsia="en-GB"/>
        </w:rPr>
        <w:t xml:space="preserve"> nevertheless</w:t>
      </w:r>
      <w:r w:rsidR="006924D0" w:rsidRPr="00403CD6">
        <w:rPr>
          <w:sz w:val="22"/>
          <w:lang w:eastAsia="en-GB"/>
        </w:rPr>
        <w:t>,</w:t>
      </w:r>
      <w:r w:rsidRPr="00403CD6">
        <w:rPr>
          <w:sz w:val="22"/>
          <w:lang w:eastAsia="en-GB"/>
        </w:rPr>
        <w:t xml:space="preserve"> individual members of the Key Personnel exceptionally leave the Divestment Business, </w:t>
      </w:r>
      <w:r w:rsidRPr="00403CD6">
        <w:rPr>
          <w:i/>
          <w:sz w:val="22"/>
          <w:lang w:eastAsia="en-GB"/>
        </w:rPr>
        <w:t>[X]</w:t>
      </w:r>
      <w:r w:rsidRPr="00403CD6">
        <w:rPr>
          <w:sz w:val="22"/>
          <w:lang w:eastAsia="en-GB"/>
        </w:rPr>
        <w:t xml:space="preserve"> shall provide </w:t>
      </w:r>
      <w:r w:rsidR="006924D0" w:rsidRPr="00403CD6">
        <w:rPr>
          <w:sz w:val="22"/>
          <w:lang w:eastAsia="en-GB"/>
        </w:rPr>
        <w:t>a reasoned proposal</w:t>
      </w:r>
      <w:r w:rsidRPr="00403CD6">
        <w:rPr>
          <w:sz w:val="22"/>
          <w:lang w:eastAsia="en-GB"/>
        </w:rPr>
        <w:t xml:space="preserve"> to replace </w:t>
      </w:r>
      <w:r w:rsidR="005E4C3B" w:rsidRPr="00403CD6">
        <w:rPr>
          <w:sz w:val="22"/>
          <w:lang w:eastAsia="en-GB"/>
        </w:rPr>
        <w:t>the person or persons concerned</w:t>
      </w:r>
      <w:r w:rsidRPr="00403CD6">
        <w:rPr>
          <w:sz w:val="22"/>
          <w:lang w:eastAsia="en-GB"/>
        </w:rPr>
        <w:t xml:space="preserve"> to the Commission and the Monitoring Trustee. [</w:t>
      </w:r>
      <w:r w:rsidRPr="00403CD6">
        <w:rPr>
          <w:i/>
          <w:sz w:val="22"/>
          <w:lang w:eastAsia="en-GB"/>
        </w:rPr>
        <w:t>X</w:t>
      </w:r>
      <w:r w:rsidRPr="00403CD6">
        <w:rPr>
          <w:sz w:val="22"/>
          <w:lang w:eastAsia="en-GB"/>
        </w:rPr>
        <w:t xml:space="preserve">] must be able to demonstrate to the Commission that the replacement is well suited to carry out the functions exercised by those individual members of the Key Personnel. The replacement </w:t>
      </w:r>
      <w:r w:rsidR="006924D0" w:rsidRPr="00403CD6">
        <w:rPr>
          <w:sz w:val="22"/>
          <w:lang w:eastAsia="en-GB"/>
        </w:rPr>
        <w:t>shall</w:t>
      </w:r>
      <w:r w:rsidRPr="00403CD6">
        <w:rPr>
          <w:sz w:val="22"/>
          <w:lang w:eastAsia="en-GB"/>
        </w:rPr>
        <w:t xml:space="preserve"> take place under the supervision of the Monitoring Trustee, who </w:t>
      </w:r>
      <w:r w:rsidR="005E4C3B" w:rsidRPr="00403CD6">
        <w:rPr>
          <w:sz w:val="22"/>
          <w:lang w:eastAsia="en-GB"/>
        </w:rPr>
        <w:t xml:space="preserve">shall </w:t>
      </w:r>
      <w:r w:rsidRPr="00403CD6">
        <w:rPr>
          <w:sz w:val="22"/>
          <w:lang w:eastAsia="en-GB"/>
        </w:rPr>
        <w:t>report to the Commission.</w:t>
      </w:r>
    </w:p>
    <w:p w:rsidR="003475B5" w:rsidRPr="00403CD6" w:rsidRDefault="003475B5" w:rsidP="00291AB9">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ind w:left="567" w:hanging="567"/>
        <w:outlineLvl w:val="0"/>
        <w:rPr>
          <w:b/>
          <w:sz w:val="22"/>
          <w:u w:val="single"/>
          <w:lang w:eastAsia="en-GB"/>
        </w:rPr>
      </w:pPr>
      <w:r w:rsidRPr="00403CD6">
        <w:rPr>
          <w:sz w:val="22"/>
          <w:lang w:eastAsia="en-GB"/>
        </w:rPr>
        <w:tab/>
      </w:r>
      <w:r w:rsidRPr="00403CD6">
        <w:rPr>
          <w:sz w:val="22"/>
          <w:u w:val="single"/>
          <w:lang w:eastAsia="en-GB"/>
        </w:rPr>
        <w:t>Hold-separate obligations</w:t>
      </w:r>
      <w:r w:rsidR="004467E4" w:rsidRPr="00403CD6">
        <w:rPr>
          <w:sz w:val="22"/>
          <w:u w:val="single"/>
          <w:lang w:eastAsia="en-GB"/>
        </w:rPr>
        <w:t xml:space="preserve"> </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ind w:left="567" w:hanging="567"/>
        <w:rPr>
          <w:b/>
          <w:sz w:val="22"/>
          <w:lang w:eastAsia="en-GB"/>
        </w:rPr>
      </w:pPr>
    </w:p>
    <w:p w:rsidR="003475B5" w:rsidRPr="00403CD6" w:rsidRDefault="0028520B"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10" w:name="_Ref4232781"/>
      <w:r w:rsidRPr="00403CD6">
        <w:rPr>
          <w:sz w:val="22"/>
          <w:lang w:eastAsia="en-GB"/>
        </w:rPr>
        <w:t>The Notifying Party</w:t>
      </w:r>
      <w:r w:rsidR="00073548">
        <w:rPr>
          <w:sz w:val="22"/>
          <w:lang w:eastAsia="en-GB"/>
        </w:rPr>
        <w:t>/Notifying Parties</w:t>
      </w:r>
      <w:r w:rsidRPr="00403CD6">
        <w:rPr>
          <w:sz w:val="22"/>
          <w:lang w:eastAsia="en-GB"/>
        </w:rPr>
        <w:t xml:space="preserve"> </w:t>
      </w:r>
      <w:r w:rsidR="003475B5" w:rsidRPr="00403CD6">
        <w:rPr>
          <w:sz w:val="22"/>
          <w:lang w:eastAsia="en-GB"/>
        </w:rPr>
        <w:t>commit</w:t>
      </w:r>
      <w:r w:rsidR="00073548">
        <w:rPr>
          <w:sz w:val="22"/>
          <w:lang w:eastAsia="en-GB"/>
        </w:rPr>
        <w:t>(</w:t>
      </w:r>
      <w:r w:rsidR="003475B5" w:rsidRPr="00403CD6">
        <w:rPr>
          <w:sz w:val="22"/>
          <w:lang w:eastAsia="en-GB"/>
        </w:rPr>
        <w:t>s</w:t>
      </w:r>
      <w:r w:rsidR="00073548">
        <w:rPr>
          <w:sz w:val="22"/>
          <w:lang w:eastAsia="en-GB"/>
        </w:rPr>
        <w:t>)</w:t>
      </w:r>
      <w:r w:rsidR="003475B5" w:rsidRPr="00403CD6">
        <w:rPr>
          <w:sz w:val="22"/>
          <w:lang w:eastAsia="en-GB"/>
        </w:rPr>
        <w:t>, from the Effective Date until Closing, to keep the Divestment Business separate from the business</w:t>
      </w:r>
      <w:r w:rsidR="00A04EFD" w:rsidRPr="00403CD6">
        <w:rPr>
          <w:sz w:val="22"/>
          <w:lang w:eastAsia="en-GB"/>
        </w:rPr>
        <w:t>(</w:t>
      </w:r>
      <w:r w:rsidR="003475B5" w:rsidRPr="00403CD6">
        <w:rPr>
          <w:sz w:val="22"/>
          <w:lang w:eastAsia="en-GB"/>
        </w:rPr>
        <w:t>es</w:t>
      </w:r>
      <w:r w:rsidR="00A04EFD" w:rsidRPr="00403CD6">
        <w:rPr>
          <w:sz w:val="22"/>
          <w:lang w:eastAsia="en-GB"/>
        </w:rPr>
        <w:t>)</w:t>
      </w:r>
      <w:r w:rsidR="003475B5" w:rsidRPr="00403CD6">
        <w:rPr>
          <w:sz w:val="22"/>
          <w:lang w:eastAsia="en-GB"/>
        </w:rPr>
        <w:t xml:space="preserve"> it is</w:t>
      </w:r>
      <w:r w:rsidR="000407DB" w:rsidRPr="00403CD6">
        <w:rPr>
          <w:sz w:val="22"/>
          <w:lang w:eastAsia="en-GB"/>
        </w:rPr>
        <w:t xml:space="preserve"> </w:t>
      </w:r>
      <w:r w:rsidR="003475B5" w:rsidRPr="00403CD6">
        <w:rPr>
          <w:sz w:val="22"/>
          <w:lang w:eastAsia="en-GB"/>
        </w:rPr>
        <w:t xml:space="preserve">retaining </w:t>
      </w:r>
      <w:r w:rsidRPr="00403CD6">
        <w:rPr>
          <w:sz w:val="22"/>
          <w:lang w:eastAsia="en-GB"/>
        </w:rPr>
        <w:t>[</w:t>
      </w:r>
      <w:r w:rsidR="00073548" w:rsidRPr="00AB1D02">
        <w:rPr>
          <w:i/>
          <w:sz w:val="22"/>
          <w:lang w:eastAsia="en-GB"/>
        </w:rPr>
        <w:t xml:space="preserve">In an Upfront Buyer situation replace by: </w:t>
      </w:r>
      <w:r w:rsidRPr="00403CD6">
        <w:rPr>
          <w:sz w:val="22"/>
          <w:lang w:eastAsia="en-GB"/>
        </w:rPr>
        <w:t xml:space="preserve">to procure that the Divestment Business is kept separate from the business(es) that the Notifying Party </w:t>
      </w:r>
      <w:r w:rsidR="00073548" w:rsidRPr="00073548">
        <w:rPr>
          <w:sz w:val="22"/>
          <w:lang w:eastAsia="en-GB"/>
        </w:rPr>
        <w:t xml:space="preserve">/Notifying Parties </w:t>
      </w:r>
      <w:r w:rsidR="001A41F0" w:rsidRPr="00403CD6">
        <w:rPr>
          <w:sz w:val="22"/>
          <w:lang w:eastAsia="en-GB"/>
        </w:rPr>
        <w:t>will be</w:t>
      </w:r>
      <w:r w:rsidRPr="00403CD6">
        <w:rPr>
          <w:sz w:val="22"/>
          <w:lang w:eastAsia="en-GB"/>
        </w:rPr>
        <w:t xml:space="preserve"> retaining</w:t>
      </w:r>
      <w:r w:rsidR="000407DB" w:rsidRPr="00403CD6">
        <w:rPr>
          <w:sz w:val="22"/>
          <w:lang w:eastAsia="en-GB"/>
        </w:rPr>
        <w:t xml:space="preserve"> and, after closing of the notified transaction to keep the Divestment Business Separate from the business that the Notifying Party </w:t>
      </w:r>
      <w:r w:rsidR="00073548" w:rsidRPr="00073548">
        <w:rPr>
          <w:sz w:val="22"/>
          <w:lang w:eastAsia="en-GB"/>
        </w:rPr>
        <w:t xml:space="preserve">/Notifying Parties </w:t>
      </w:r>
      <w:r w:rsidR="000407DB" w:rsidRPr="00403CD6">
        <w:rPr>
          <w:sz w:val="22"/>
          <w:lang w:eastAsia="en-GB"/>
        </w:rPr>
        <w:t>is retaining</w:t>
      </w:r>
      <w:r w:rsidRPr="00403CD6">
        <w:rPr>
          <w:sz w:val="22"/>
          <w:lang w:eastAsia="en-GB"/>
        </w:rPr>
        <w:t xml:space="preserve">] </w:t>
      </w:r>
      <w:r w:rsidR="003475B5" w:rsidRPr="00403CD6">
        <w:rPr>
          <w:sz w:val="22"/>
          <w:lang w:eastAsia="en-GB"/>
        </w:rPr>
        <w:t xml:space="preserve">and to ensure that </w:t>
      </w:r>
      <w:r w:rsidR="00645237" w:rsidRPr="00403CD6">
        <w:rPr>
          <w:sz w:val="22"/>
          <w:lang w:eastAsia="en-GB"/>
        </w:rPr>
        <w:t xml:space="preserve">unless explicitly permitted under these Commitments: (i)  </w:t>
      </w:r>
      <w:r w:rsidR="00B23B4B" w:rsidRPr="00403CD6">
        <w:rPr>
          <w:sz w:val="22"/>
          <w:lang w:eastAsia="en-GB"/>
        </w:rPr>
        <w:t>management and staff of the business</w:t>
      </w:r>
      <w:r w:rsidR="00A04EFD" w:rsidRPr="00403CD6">
        <w:rPr>
          <w:sz w:val="22"/>
          <w:lang w:eastAsia="en-GB"/>
        </w:rPr>
        <w:t>(es)</w:t>
      </w:r>
      <w:r w:rsidR="00B23B4B" w:rsidRPr="00403CD6">
        <w:rPr>
          <w:sz w:val="22"/>
          <w:lang w:eastAsia="en-GB"/>
        </w:rPr>
        <w:t xml:space="preserve"> retained</w:t>
      </w:r>
      <w:r w:rsidR="00645237" w:rsidRPr="00403CD6">
        <w:rPr>
          <w:sz w:val="22"/>
          <w:lang w:eastAsia="en-GB"/>
        </w:rPr>
        <w:t xml:space="preserve"> by </w:t>
      </w:r>
      <w:r w:rsidR="00645237" w:rsidRPr="00766871">
        <w:rPr>
          <w:i/>
          <w:sz w:val="22"/>
          <w:lang w:eastAsia="en-GB"/>
        </w:rPr>
        <w:t>[X]</w:t>
      </w:r>
      <w:r w:rsidR="00B23B4B" w:rsidRPr="00403CD6">
        <w:rPr>
          <w:sz w:val="22"/>
          <w:lang w:eastAsia="en-GB"/>
        </w:rPr>
        <w:t xml:space="preserve"> have no involvement in the Divestment Business</w:t>
      </w:r>
      <w:r w:rsidR="00645237" w:rsidRPr="00403CD6">
        <w:rPr>
          <w:sz w:val="22"/>
          <w:lang w:eastAsia="en-GB"/>
        </w:rPr>
        <w:t xml:space="preserve">; (ii) </w:t>
      </w:r>
      <w:r w:rsidR="00A04EFD" w:rsidRPr="00403CD6">
        <w:rPr>
          <w:sz w:val="22"/>
          <w:lang w:eastAsia="en-GB"/>
        </w:rPr>
        <w:t xml:space="preserve">the </w:t>
      </w:r>
      <w:r w:rsidR="003475B5" w:rsidRPr="00403CD6">
        <w:rPr>
          <w:sz w:val="22"/>
          <w:lang w:eastAsia="en-GB"/>
        </w:rPr>
        <w:t xml:space="preserve">Key Personnel </w:t>
      </w:r>
      <w:r w:rsidR="00645237" w:rsidRPr="00403CD6">
        <w:rPr>
          <w:sz w:val="22"/>
          <w:lang w:eastAsia="en-GB"/>
        </w:rPr>
        <w:t xml:space="preserve">and Personnel </w:t>
      </w:r>
      <w:r w:rsidR="003475B5" w:rsidRPr="00403CD6">
        <w:rPr>
          <w:sz w:val="22"/>
          <w:lang w:eastAsia="en-GB"/>
        </w:rPr>
        <w:t>of the Divestment Business have no involvement in any business retained</w:t>
      </w:r>
      <w:r w:rsidR="00A04EFD" w:rsidRPr="00403CD6">
        <w:rPr>
          <w:sz w:val="22"/>
          <w:lang w:eastAsia="en-GB"/>
        </w:rPr>
        <w:t xml:space="preserve"> </w:t>
      </w:r>
      <w:r w:rsidR="00645237" w:rsidRPr="00403CD6">
        <w:rPr>
          <w:sz w:val="22"/>
          <w:lang w:eastAsia="en-GB"/>
        </w:rPr>
        <w:t xml:space="preserve">by </w:t>
      </w:r>
      <w:r w:rsidR="00645237" w:rsidRPr="00766871">
        <w:rPr>
          <w:i/>
          <w:sz w:val="22"/>
          <w:lang w:eastAsia="en-GB"/>
        </w:rPr>
        <w:t>[</w:t>
      </w:r>
      <w:r w:rsidR="00645237" w:rsidRPr="00766871">
        <w:rPr>
          <w:i/>
          <w:sz w:val="22"/>
        </w:rPr>
        <w:t>X</w:t>
      </w:r>
      <w:r w:rsidR="00645237" w:rsidRPr="00766871">
        <w:rPr>
          <w:i/>
          <w:sz w:val="22"/>
          <w:lang w:eastAsia="en-GB"/>
        </w:rPr>
        <w:t>]</w:t>
      </w:r>
      <w:r w:rsidR="00645237" w:rsidRPr="00403CD6">
        <w:rPr>
          <w:sz w:val="22"/>
          <w:lang w:eastAsia="en-GB"/>
        </w:rPr>
        <w:t xml:space="preserve"> and do not report to any individual outside the Divestment Business</w:t>
      </w:r>
      <w:r w:rsidR="00097A02">
        <w:rPr>
          <w:sz w:val="22"/>
          <w:lang w:eastAsia="en-GB"/>
        </w:rPr>
        <w:t>.</w:t>
      </w:r>
      <w:bookmarkEnd w:id="10"/>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11" w:name="_Ref4232784"/>
      <w:r w:rsidRPr="00403CD6">
        <w:rPr>
          <w:sz w:val="22"/>
          <w:lang w:eastAsia="en-GB"/>
        </w:rPr>
        <w:t>Until Closing, [</w:t>
      </w:r>
      <w:r w:rsidRPr="00403CD6">
        <w:rPr>
          <w:i/>
          <w:sz w:val="22"/>
          <w:lang w:eastAsia="en-GB"/>
        </w:rPr>
        <w:t>X</w:t>
      </w:r>
      <w:r w:rsidRPr="00403CD6">
        <w:rPr>
          <w:sz w:val="22"/>
          <w:lang w:eastAsia="en-GB"/>
        </w:rPr>
        <w:t>] shall assist the Monitoring Trustee in ensuring that the Divestment Business is managed as a distinct and saleable entity separate from the business</w:t>
      </w:r>
      <w:r w:rsidR="002521AB" w:rsidRPr="00403CD6">
        <w:rPr>
          <w:sz w:val="22"/>
          <w:lang w:eastAsia="en-GB"/>
        </w:rPr>
        <w:t>(</w:t>
      </w:r>
      <w:r w:rsidRPr="00403CD6">
        <w:rPr>
          <w:sz w:val="22"/>
          <w:lang w:eastAsia="en-GB"/>
        </w:rPr>
        <w:t>es</w:t>
      </w:r>
      <w:r w:rsidR="002521AB" w:rsidRPr="00403CD6">
        <w:rPr>
          <w:sz w:val="22"/>
          <w:lang w:eastAsia="en-GB"/>
        </w:rPr>
        <w:t>)</w:t>
      </w:r>
      <w:r w:rsidRPr="00403CD6">
        <w:rPr>
          <w:sz w:val="22"/>
          <w:lang w:eastAsia="en-GB"/>
        </w:rPr>
        <w:t xml:space="preserve"> </w:t>
      </w:r>
      <w:r w:rsidR="002521AB" w:rsidRPr="00403CD6">
        <w:rPr>
          <w:sz w:val="22"/>
          <w:lang w:eastAsia="en-GB"/>
        </w:rPr>
        <w:t xml:space="preserve">which </w:t>
      </w:r>
      <w:r w:rsidR="006924D0" w:rsidRPr="00403CD6">
        <w:rPr>
          <w:sz w:val="22"/>
          <w:lang w:eastAsia="en-GB"/>
        </w:rPr>
        <w:t>[X] is retaining</w:t>
      </w:r>
      <w:r w:rsidR="00B23B4B" w:rsidRPr="00403CD6">
        <w:rPr>
          <w:sz w:val="22"/>
          <w:lang w:eastAsia="en-GB"/>
        </w:rPr>
        <w:t>.</w:t>
      </w:r>
      <w:r w:rsidRPr="00403CD6">
        <w:rPr>
          <w:sz w:val="22"/>
          <w:lang w:eastAsia="en-GB"/>
        </w:rPr>
        <w:t xml:space="preserve"> Immediately after the adoption of the </w:t>
      </w:r>
      <w:r w:rsidR="006924D0" w:rsidRPr="00403CD6">
        <w:rPr>
          <w:sz w:val="22"/>
          <w:lang w:eastAsia="en-GB"/>
        </w:rPr>
        <w:t>D</w:t>
      </w:r>
      <w:r w:rsidRPr="00403CD6">
        <w:rPr>
          <w:sz w:val="22"/>
          <w:lang w:eastAsia="en-GB"/>
        </w:rPr>
        <w:t>ecision, [</w:t>
      </w:r>
      <w:r w:rsidRPr="00403CD6">
        <w:rPr>
          <w:i/>
          <w:sz w:val="22"/>
          <w:lang w:eastAsia="en-GB"/>
        </w:rPr>
        <w:t>X</w:t>
      </w:r>
      <w:r w:rsidRPr="00403CD6">
        <w:rPr>
          <w:sz w:val="22"/>
          <w:lang w:eastAsia="en-GB"/>
        </w:rPr>
        <w:t>] shall appoint a Hold Separate Manager</w:t>
      </w:r>
      <w:r w:rsidR="008D69BC" w:rsidRPr="00403CD6">
        <w:rPr>
          <w:sz w:val="22"/>
          <w:lang w:eastAsia="en-GB"/>
        </w:rPr>
        <w:t>.</w:t>
      </w:r>
      <w:r w:rsidR="006924D0" w:rsidRPr="00403CD6">
        <w:rPr>
          <w:sz w:val="22"/>
          <w:lang w:eastAsia="en-GB"/>
        </w:rPr>
        <w:t xml:space="preserve"> </w:t>
      </w:r>
      <w:r w:rsidRPr="00403CD6">
        <w:rPr>
          <w:sz w:val="22"/>
          <w:lang w:eastAsia="en-GB"/>
        </w:rPr>
        <w:t>The Hold Separate Manager</w:t>
      </w:r>
      <w:r w:rsidR="00046F44" w:rsidRPr="00403CD6">
        <w:rPr>
          <w:sz w:val="22"/>
          <w:lang w:eastAsia="en-GB"/>
        </w:rPr>
        <w:t>, who shall be part of the Key Personnel,</w:t>
      </w:r>
      <w:r w:rsidRPr="00403CD6">
        <w:rPr>
          <w:sz w:val="22"/>
          <w:lang w:eastAsia="en-GB"/>
        </w:rPr>
        <w:t xml:space="preserve"> shall manage the Divestment Business independently and in the best interest of the business with a view to ensuring its continued economic viability, marketability and competitiveness and its independence from the businesses retained</w:t>
      </w:r>
      <w:r w:rsidR="009B10DA" w:rsidRPr="00403CD6">
        <w:rPr>
          <w:sz w:val="22"/>
          <w:lang w:eastAsia="en-GB"/>
        </w:rPr>
        <w:t xml:space="preserve"> by </w:t>
      </w:r>
      <w:r w:rsidR="009B10DA" w:rsidRPr="00766871">
        <w:rPr>
          <w:i/>
          <w:sz w:val="22"/>
          <w:lang w:eastAsia="en-GB"/>
        </w:rPr>
        <w:t>[X]</w:t>
      </w:r>
      <w:r w:rsidRPr="00766871">
        <w:rPr>
          <w:i/>
          <w:sz w:val="22"/>
          <w:lang w:eastAsia="en-GB"/>
        </w:rPr>
        <w:t>.</w:t>
      </w:r>
      <w:bookmarkEnd w:id="11"/>
      <w:r w:rsidRPr="00403CD6">
        <w:rPr>
          <w:sz w:val="22"/>
          <w:lang w:eastAsia="en-GB"/>
        </w:rPr>
        <w:t xml:space="preserve"> The Hold Separate Manager shall closely cooperate with and report to the Monitoring Trustee and, if applicable, the Divestiture Trustee. </w:t>
      </w:r>
      <w:r w:rsidR="00110992" w:rsidRPr="00403CD6">
        <w:rPr>
          <w:sz w:val="22"/>
          <w:lang w:eastAsia="en-GB"/>
        </w:rPr>
        <w:t xml:space="preserve">Any replacement of the Hold Separate Manager shall be subject to the </w:t>
      </w:r>
      <w:r w:rsidR="00DE3C49" w:rsidRPr="00403CD6">
        <w:rPr>
          <w:sz w:val="22"/>
          <w:lang w:eastAsia="en-GB"/>
        </w:rPr>
        <w:t xml:space="preserve">procedure laid down in </w:t>
      </w:r>
      <w:r w:rsidR="0003130E">
        <w:rPr>
          <w:sz w:val="22"/>
          <w:lang w:eastAsia="en-GB"/>
        </w:rPr>
        <w:t>paragraph</w:t>
      </w:r>
      <w:r w:rsidR="0003130E" w:rsidRPr="00403CD6">
        <w:rPr>
          <w:sz w:val="22"/>
          <w:lang w:eastAsia="en-GB"/>
        </w:rPr>
        <w:t xml:space="preserve"> </w:t>
      </w:r>
      <w:r w:rsidR="00DE3C49" w:rsidRPr="00403CD6">
        <w:rPr>
          <w:sz w:val="22"/>
          <w:lang w:eastAsia="en-GB"/>
        </w:rPr>
        <w:t>8(c)</w:t>
      </w:r>
      <w:r w:rsidR="0003130E">
        <w:rPr>
          <w:sz w:val="22"/>
          <w:lang w:eastAsia="en-GB"/>
        </w:rPr>
        <w:t xml:space="preserve"> of the</w:t>
      </w:r>
      <w:r w:rsidR="009A23A5">
        <w:rPr>
          <w:sz w:val="22"/>
          <w:lang w:eastAsia="en-GB"/>
        </w:rPr>
        <w:t xml:space="preserve">se </w:t>
      </w:r>
      <w:r w:rsidR="0003130E">
        <w:rPr>
          <w:sz w:val="22"/>
          <w:lang w:eastAsia="en-GB"/>
        </w:rPr>
        <w:t>Commitments</w:t>
      </w:r>
      <w:r w:rsidR="00110992" w:rsidRPr="00403CD6">
        <w:rPr>
          <w:sz w:val="22"/>
          <w:lang w:eastAsia="en-GB"/>
        </w:rPr>
        <w:t xml:space="preserve">. </w:t>
      </w:r>
      <w:r w:rsidRPr="00403CD6">
        <w:rPr>
          <w:sz w:val="22"/>
          <w:lang w:eastAsia="en-GB"/>
        </w:rPr>
        <w:t xml:space="preserve">The Commission may, after having heard </w:t>
      </w:r>
      <w:r w:rsidRPr="00766871">
        <w:rPr>
          <w:sz w:val="22"/>
          <w:lang w:eastAsia="en-GB"/>
        </w:rPr>
        <w:t>[</w:t>
      </w:r>
      <w:r w:rsidRPr="00403CD6">
        <w:rPr>
          <w:i/>
          <w:sz w:val="22"/>
          <w:lang w:eastAsia="en-GB"/>
        </w:rPr>
        <w:t>X</w:t>
      </w:r>
      <w:r w:rsidRPr="00766871">
        <w:rPr>
          <w:sz w:val="22"/>
          <w:lang w:eastAsia="en-GB"/>
        </w:rPr>
        <w:t>]</w:t>
      </w:r>
      <w:r w:rsidRPr="001E1F71">
        <w:rPr>
          <w:sz w:val="22"/>
          <w:lang w:eastAsia="en-GB"/>
        </w:rPr>
        <w:t>,</w:t>
      </w:r>
      <w:r w:rsidRPr="00403CD6">
        <w:rPr>
          <w:sz w:val="22"/>
          <w:lang w:eastAsia="en-GB"/>
        </w:rPr>
        <w:t xml:space="preserve"> require </w:t>
      </w:r>
      <w:r w:rsidRPr="001E1F71">
        <w:rPr>
          <w:sz w:val="22"/>
          <w:lang w:eastAsia="en-GB"/>
        </w:rPr>
        <w:t>[</w:t>
      </w:r>
      <w:r w:rsidRPr="0003130E">
        <w:rPr>
          <w:i/>
          <w:sz w:val="22"/>
          <w:lang w:eastAsia="en-GB"/>
        </w:rPr>
        <w:t>X</w:t>
      </w:r>
      <w:r w:rsidRPr="001E1F71">
        <w:rPr>
          <w:sz w:val="22"/>
          <w:lang w:eastAsia="en-GB"/>
        </w:rPr>
        <w:t>]</w:t>
      </w:r>
      <w:r w:rsidRPr="00C07480">
        <w:rPr>
          <w:sz w:val="22"/>
          <w:lang w:eastAsia="en-GB"/>
        </w:rPr>
        <w:t xml:space="preserve"> </w:t>
      </w:r>
      <w:r w:rsidRPr="00403CD6">
        <w:rPr>
          <w:sz w:val="22"/>
          <w:lang w:eastAsia="en-GB"/>
        </w:rPr>
        <w:t xml:space="preserve">to replace the Hold Separate Manager.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12" w:name="_Ref4232787"/>
      <w:r w:rsidRPr="00403CD6">
        <w:rPr>
          <w:sz w:val="22"/>
          <w:lang w:eastAsia="en-GB"/>
        </w:rPr>
        <w:t>[</w:t>
      </w:r>
      <w:r w:rsidRPr="00403CD6">
        <w:rPr>
          <w:i/>
          <w:sz w:val="22"/>
          <w:lang w:eastAsia="en-GB"/>
        </w:rPr>
        <w:t xml:space="preserve">The following is to be inserted in cases in which a company or a share in a company is to be divested and a strict separation of the corporate structure is necessary: </w:t>
      </w:r>
      <w:r w:rsidRPr="00403CD6">
        <w:rPr>
          <w:sz w:val="22"/>
          <w:lang w:eastAsia="en-GB"/>
        </w:rPr>
        <w:t xml:space="preserve"> To ensure that the Divestment Business is held and managed as a separate entity the Monitoring Trustee shall exercise [</w:t>
      </w:r>
      <w:r w:rsidRPr="00403CD6">
        <w:rPr>
          <w:i/>
          <w:sz w:val="22"/>
          <w:lang w:eastAsia="en-GB"/>
        </w:rPr>
        <w:t>X</w:t>
      </w:r>
      <w:r w:rsidRPr="00403CD6">
        <w:rPr>
          <w:sz w:val="22"/>
          <w:lang w:eastAsia="en-GB"/>
        </w:rPr>
        <w:t xml:space="preserve">’s] rights as shareholder in </w:t>
      </w:r>
      <w:r w:rsidR="008D69BC" w:rsidRPr="00403CD6">
        <w:rPr>
          <w:sz w:val="22"/>
          <w:lang w:eastAsia="en-GB"/>
        </w:rPr>
        <w:t xml:space="preserve">the legal entity or entities that constitute </w:t>
      </w:r>
      <w:r w:rsidRPr="00403CD6">
        <w:rPr>
          <w:sz w:val="22"/>
          <w:lang w:eastAsia="en-GB"/>
        </w:rPr>
        <w:t>the Divestment Business</w:t>
      </w:r>
      <w:r w:rsidR="00797299" w:rsidRPr="00403CD6">
        <w:rPr>
          <w:sz w:val="22"/>
          <w:lang w:eastAsia="en-GB"/>
        </w:rPr>
        <w:t xml:space="preserve"> </w:t>
      </w:r>
      <w:r w:rsidRPr="00403CD6">
        <w:rPr>
          <w:sz w:val="22"/>
          <w:lang w:eastAsia="en-GB"/>
        </w:rPr>
        <w:t xml:space="preserve">(except for its </w:t>
      </w:r>
      <w:r w:rsidR="00B838DC" w:rsidRPr="00403CD6">
        <w:rPr>
          <w:sz w:val="22"/>
          <w:lang w:eastAsia="en-GB"/>
        </w:rPr>
        <w:t xml:space="preserve">rights </w:t>
      </w:r>
      <w:r w:rsidR="00A04C66" w:rsidRPr="00403CD6">
        <w:rPr>
          <w:sz w:val="22"/>
          <w:lang w:eastAsia="en-GB"/>
        </w:rPr>
        <w:t>in respect of</w:t>
      </w:r>
      <w:r w:rsidR="00B838DC" w:rsidRPr="00403CD6">
        <w:rPr>
          <w:sz w:val="22"/>
          <w:lang w:eastAsia="en-GB"/>
        </w:rPr>
        <w:t xml:space="preserve"> dividends</w:t>
      </w:r>
      <w:r w:rsidRPr="00403CD6">
        <w:rPr>
          <w:sz w:val="22"/>
          <w:lang w:eastAsia="en-GB"/>
        </w:rPr>
        <w:t xml:space="preserve"> that are due before Closing), with the aim of acting in the best interest of the business, </w:t>
      </w:r>
      <w:r w:rsidR="009720CA" w:rsidRPr="00403CD6">
        <w:rPr>
          <w:sz w:val="22"/>
          <w:lang w:eastAsia="en-GB"/>
        </w:rPr>
        <w:t xml:space="preserve">which shall be </w:t>
      </w:r>
      <w:r w:rsidRPr="00403CD6">
        <w:rPr>
          <w:sz w:val="22"/>
          <w:lang w:eastAsia="en-GB"/>
        </w:rPr>
        <w:t xml:space="preserve">determined on a stand-alone basis, as an independent financial investor, and with a view to fulfilling </w:t>
      </w:r>
      <w:r w:rsidRPr="001E1F71">
        <w:rPr>
          <w:sz w:val="22"/>
          <w:lang w:eastAsia="en-GB"/>
        </w:rPr>
        <w:t>[</w:t>
      </w:r>
      <w:r w:rsidRPr="00766871">
        <w:rPr>
          <w:i/>
          <w:sz w:val="22"/>
          <w:lang w:eastAsia="en-GB"/>
        </w:rPr>
        <w:t>X’s</w:t>
      </w:r>
      <w:r w:rsidRPr="001E1F71">
        <w:rPr>
          <w:sz w:val="22"/>
          <w:lang w:eastAsia="en-GB"/>
        </w:rPr>
        <w:t xml:space="preserve">] </w:t>
      </w:r>
      <w:r w:rsidRPr="00403CD6">
        <w:rPr>
          <w:sz w:val="22"/>
          <w:lang w:eastAsia="en-GB"/>
        </w:rPr>
        <w:t xml:space="preserve">obligations under the Commitments. Furthermore, the Monitoring Trustee shall have the power to replace members of the supervisory board or non-executive directors of the board of directors, who have been appointed on behalf of </w:t>
      </w:r>
      <w:r w:rsidRPr="001E1F71">
        <w:rPr>
          <w:sz w:val="22"/>
          <w:lang w:eastAsia="en-GB"/>
        </w:rPr>
        <w:t>[</w:t>
      </w:r>
      <w:r w:rsidRPr="00766871">
        <w:rPr>
          <w:i/>
          <w:sz w:val="22"/>
          <w:lang w:eastAsia="en-GB"/>
        </w:rPr>
        <w:t>X</w:t>
      </w:r>
      <w:r w:rsidRPr="001E1F71">
        <w:rPr>
          <w:sz w:val="22"/>
          <w:lang w:eastAsia="en-GB"/>
        </w:rPr>
        <w:t>]</w:t>
      </w:r>
      <w:r w:rsidRPr="00766871">
        <w:rPr>
          <w:i/>
          <w:sz w:val="22"/>
          <w:lang w:eastAsia="en-GB"/>
        </w:rPr>
        <w:t>.</w:t>
      </w:r>
      <w:r w:rsidRPr="00403CD6">
        <w:rPr>
          <w:sz w:val="22"/>
          <w:lang w:eastAsia="en-GB"/>
        </w:rPr>
        <w:t xml:space="preserve"> Upon request of the Monitoring Trustee, [</w:t>
      </w:r>
      <w:r w:rsidRPr="00403CD6">
        <w:rPr>
          <w:i/>
          <w:sz w:val="22"/>
          <w:lang w:eastAsia="en-GB"/>
        </w:rPr>
        <w:t>X</w:t>
      </w:r>
      <w:r w:rsidRPr="00403CD6">
        <w:rPr>
          <w:sz w:val="22"/>
          <w:lang w:eastAsia="en-GB"/>
        </w:rPr>
        <w:t xml:space="preserve">] shall resign as </w:t>
      </w:r>
      <w:r w:rsidR="00B838DC" w:rsidRPr="00403CD6">
        <w:rPr>
          <w:sz w:val="22"/>
          <w:lang w:eastAsia="en-GB"/>
        </w:rPr>
        <w:t xml:space="preserve">a </w:t>
      </w:r>
      <w:r w:rsidRPr="00403CD6">
        <w:rPr>
          <w:sz w:val="22"/>
          <w:lang w:eastAsia="en-GB"/>
        </w:rPr>
        <w:t>member of the boards or shall cause such members of the boards to resign.</w:t>
      </w:r>
      <w:bookmarkEnd w:id="12"/>
      <w:r w:rsidRPr="00403CD6">
        <w:rPr>
          <w:sz w:val="22"/>
          <w:lang w:eastAsia="en-GB"/>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hanging="567"/>
        <w:rPr>
          <w:sz w:val="22"/>
          <w:lang w:eastAsia="en-GB"/>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u w:val="single"/>
          <w:lang w:eastAsia="en-GB"/>
        </w:rPr>
      </w:pPr>
      <w:r w:rsidRPr="00403CD6">
        <w:rPr>
          <w:b/>
          <w:sz w:val="22"/>
          <w:lang w:eastAsia="en-GB"/>
        </w:rPr>
        <w:lastRenderedPageBreak/>
        <w:tab/>
      </w:r>
      <w:r w:rsidRPr="00403CD6">
        <w:rPr>
          <w:sz w:val="22"/>
          <w:u w:val="single"/>
          <w:lang w:eastAsia="en-GB"/>
        </w:rPr>
        <w:t>Ring-fencing</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b/>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13" w:name="_Ref4232794"/>
      <w:r w:rsidRPr="00403CD6">
        <w:rPr>
          <w:sz w:val="22"/>
          <w:lang w:eastAsia="en-GB"/>
        </w:rPr>
        <w:t>[</w:t>
      </w:r>
      <w:r w:rsidRPr="00403CD6">
        <w:rPr>
          <w:i/>
          <w:sz w:val="22"/>
          <w:lang w:eastAsia="en-GB"/>
        </w:rPr>
        <w:t>X</w:t>
      </w:r>
      <w:r w:rsidRPr="00403CD6">
        <w:rPr>
          <w:sz w:val="22"/>
          <w:lang w:eastAsia="en-GB"/>
        </w:rPr>
        <w:t>] shall implement</w:t>
      </w:r>
      <w:r w:rsidR="00F84DFA" w:rsidRPr="00403CD6">
        <w:rPr>
          <w:sz w:val="22"/>
          <w:lang w:eastAsia="en-GB"/>
        </w:rPr>
        <w:t>, or procure to implement,</w:t>
      </w:r>
      <w:r w:rsidR="009D15B6" w:rsidRPr="00403CD6">
        <w:rPr>
          <w:sz w:val="22"/>
          <w:lang w:eastAsia="en-GB"/>
        </w:rPr>
        <w:t xml:space="preserve"> </w:t>
      </w:r>
      <w:r w:rsidRPr="00403CD6">
        <w:rPr>
          <w:sz w:val="22"/>
          <w:lang w:eastAsia="en-GB"/>
        </w:rPr>
        <w:t>all necessary measures to ensure that it does not</w:t>
      </w:r>
      <w:r w:rsidR="00B838DC" w:rsidRPr="00403CD6">
        <w:rPr>
          <w:sz w:val="22"/>
          <w:lang w:eastAsia="en-GB"/>
        </w:rPr>
        <w:t>,</w:t>
      </w:r>
      <w:r w:rsidRPr="00403CD6">
        <w:rPr>
          <w:sz w:val="22"/>
          <w:lang w:eastAsia="en-GB"/>
        </w:rPr>
        <w:t xml:space="preserve"> after the Effective Date</w:t>
      </w:r>
      <w:r w:rsidR="00B838DC" w:rsidRPr="00403CD6">
        <w:rPr>
          <w:sz w:val="22"/>
          <w:lang w:eastAsia="en-GB"/>
        </w:rPr>
        <w:t>,</w:t>
      </w:r>
      <w:r w:rsidRPr="00403CD6">
        <w:rPr>
          <w:sz w:val="22"/>
          <w:lang w:eastAsia="en-GB"/>
        </w:rPr>
        <w:t xml:space="preserve"> obtain any Confidential Information relating to the Divestment Business and that any such Confidential Information obtained by [</w:t>
      </w:r>
      <w:r w:rsidRPr="00403CD6">
        <w:rPr>
          <w:i/>
          <w:sz w:val="22"/>
          <w:lang w:eastAsia="en-GB"/>
        </w:rPr>
        <w:t>X</w:t>
      </w:r>
      <w:r w:rsidRPr="00403CD6">
        <w:rPr>
          <w:sz w:val="22"/>
          <w:lang w:eastAsia="en-GB"/>
        </w:rPr>
        <w:t>] before the Effective Date will be eliminated and not be used by [</w:t>
      </w:r>
      <w:r w:rsidRPr="00403CD6">
        <w:rPr>
          <w:i/>
          <w:sz w:val="22"/>
          <w:lang w:eastAsia="en-GB"/>
        </w:rPr>
        <w:t>X</w:t>
      </w:r>
      <w:r w:rsidRPr="00403CD6">
        <w:rPr>
          <w:sz w:val="22"/>
          <w:lang w:eastAsia="en-GB"/>
        </w:rPr>
        <w:t xml:space="preserve">]. This includes measures </w:t>
      </w:r>
      <w:r w:rsidR="00F84DFA" w:rsidRPr="00403CD6">
        <w:rPr>
          <w:sz w:val="22"/>
          <w:lang w:eastAsia="en-GB"/>
        </w:rPr>
        <w:t>vis-à-vis</w:t>
      </w:r>
      <w:r w:rsidRPr="00403CD6">
        <w:rPr>
          <w:sz w:val="22"/>
          <w:lang w:eastAsia="en-GB"/>
        </w:rPr>
        <w:t xml:space="preserve"> [</w:t>
      </w:r>
      <w:r w:rsidRPr="00403CD6">
        <w:rPr>
          <w:i/>
          <w:sz w:val="22"/>
          <w:lang w:eastAsia="en-GB"/>
        </w:rPr>
        <w:t>X's</w:t>
      </w:r>
      <w:r w:rsidRPr="00403CD6">
        <w:rPr>
          <w:sz w:val="22"/>
          <w:lang w:eastAsia="en-GB"/>
        </w:rPr>
        <w:t xml:space="preserve">] appointees on the </w:t>
      </w:r>
      <w:r w:rsidR="00B838DC" w:rsidRPr="00403CD6">
        <w:rPr>
          <w:sz w:val="22"/>
          <w:lang w:eastAsia="en-GB"/>
        </w:rPr>
        <w:t xml:space="preserve">supervisory board </w:t>
      </w:r>
      <w:r w:rsidR="00BC44FC" w:rsidRPr="00403CD6">
        <w:rPr>
          <w:sz w:val="22"/>
          <w:lang w:eastAsia="en-GB"/>
        </w:rPr>
        <w:t>and/</w:t>
      </w:r>
      <w:r w:rsidR="00B838DC" w:rsidRPr="00403CD6">
        <w:rPr>
          <w:sz w:val="22"/>
          <w:lang w:eastAsia="en-GB"/>
        </w:rPr>
        <w:t>or board of directors</w:t>
      </w:r>
      <w:r w:rsidRPr="00403CD6">
        <w:rPr>
          <w:sz w:val="22"/>
          <w:lang w:eastAsia="en-GB"/>
        </w:rPr>
        <w:t xml:space="preserve"> of the Divestment Business. In particular, the participation of the Divestment Business in a</w:t>
      </w:r>
      <w:r w:rsidR="00B838DC" w:rsidRPr="00403CD6">
        <w:rPr>
          <w:sz w:val="22"/>
          <w:lang w:eastAsia="en-GB"/>
        </w:rPr>
        <w:t>ny</w:t>
      </w:r>
      <w:r w:rsidRPr="00403CD6">
        <w:rPr>
          <w:sz w:val="22"/>
          <w:lang w:eastAsia="en-GB"/>
        </w:rPr>
        <w:t xml:space="preserve"> central information technology network shall be severed to the extent possible, without compromising the viability of the Divestment Business. [</w:t>
      </w:r>
      <w:r w:rsidRPr="00403CD6">
        <w:rPr>
          <w:i/>
          <w:sz w:val="22"/>
          <w:lang w:eastAsia="en-GB"/>
        </w:rPr>
        <w:t>X</w:t>
      </w:r>
      <w:r w:rsidRPr="00403CD6">
        <w:rPr>
          <w:sz w:val="22"/>
          <w:lang w:eastAsia="en-GB"/>
        </w:rPr>
        <w:t xml:space="preserve">] may obtain or keep information relating to the Divestment Business which is reasonably necessary for the divestiture of the Divestment Business or </w:t>
      </w:r>
      <w:r w:rsidR="00B838DC" w:rsidRPr="00403CD6">
        <w:rPr>
          <w:sz w:val="22"/>
          <w:lang w:eastAsia="en-GB"/>
        </w:rPr>
        <w:t xml:space="preserve">the </w:t>
      </w:r>
      <w:r w:rsidRPr="00403CD6">
        <w:rPr>
          <w:sz w:val="22"/>
          <w:lang w:eastAsia="en-GB"/>
        </w:rPr>
        <w:t xml:space="preserve">disclosure </w:t>
      </w:r>
      <w:r w:rsidR="00B838DC" w:rsidRPr="00403CD6">
        <w:rPr>
          <w:sz w:val="22"/>
          <w:lang w:eastAsia="en-GB"/>
        </w:rPr>
        <w:t xml:space="preserve">of which </w:t>
      </w:r>
      <w:r w:rsidRPr="00403CD6">
        <w:rPr>
          <w:sz w:val="22"/>
          <w:lang w:eastAsia="en-GB"/>
        </w:rPr>
        <w:t>to [</w:t>
      </w:r>
      <w:r w:rsidRPr="00403CD6">
        <w:rPr>
          <w:i/>
          <w:sz w:val="22"/>
          <w:lang w:eastAsia="en-GB"/>
        </w:rPr>
        <w:t>X</w:t>
      </w:r>
      <w:r w:rsidRPr="00403CD6">
        <w:rPr>
          <w:sz w:val="22"/>
          <w:lang w:eastAsia="en-GB"/>
        </w:rPr>
        <w:t xml:space="preserve">] is required by law. </w:t>
      </w:r>
      <w:bookmarkEnd w:id="13"/>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u w:val="single"/>
          <w:lang w:eastAsia="en-GB"/>
        </w:rPr>
      </w:pPr>
      <w:r w:rsidRPr="00403CD6">
        <w:rPr>
          <w:sz w:val="22"/>
          <w:lang w:eastAsia="en-GB"/>
        </w:rPr>
        <w:tab/>
      </w:r>
      <w:r w:rsidRPr="00403CD6">
        <w:rPr>
          <w:sz w:val="22"/>
          <w:u w:val="single"/>
          <w:lang w:eastAsia="en-GB"/>
        </w:rPr>
        <w:t>Non-solicitation clause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The Parties undertake, subject to customary limitations, not to solicit, and to procure that Affiliated Undertakings do not solicit, the Key Personnel transferred with the Divestment Business for a period of [</w:t>
      </w:r>
      <w:r w:rsidRPr="00403CD6">
        <w:rPr>
          <w:sz w:val="22"/>
          <w:lang w:eastAsia="en-GB"/>
        </w:rPr>
        <w:sym w:font="Symbol" w:char="F0B7"/>
      </w:r>
      <w:r w:rsidRPr="00403CD6">
        <w:rPr>
          <w:sz w:val="22"/>
          <w:lang w:eastAsia="en-GB"/>
        </w:rPr>
        <w:t xml:space="preserve">] after Closing. </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outlineLvl w:val="0"/>
        <w:rPr>
          <w:sz w:val="22"/>
          <w:u w:val="single"/>
          <w:lang w:eastAsia="en-GB"/>
        </w:rPr>
      </w:pPr>
      <w:r w:rsidRPr="00403CD6">
        <w:rPr>
          <w:sz w:val="22"/>
          <w:lang w:eastAsia="en-GB"/>
        </w:rPr>
        <w:tab/>
      </w:r>
      <w:r w:rsidRPr="00403CD6">
        <w:rPr>
          <w:sz w:val="22"/>
          <w:u w:val="single"/>
          <w:lang w:eastAsia="en-GB"/>
        </w:rPr>
        <w:t xml:space="preserve">Due </w:t>
      </w:r>
      <w:r w:rsidR="00A04C66" w:rsidRPr="00403CD6">
        <w:rPr>
          <w:sz w:val="22"/>
          <w:u w:val="single"/>
          <w:lang w:eastAsia="en-GB"/>
        </w:rPr>
        <w:t>d</w:t>
      </w:r>
      <w:r w:rsidRPr="00403CD6">
        <w:rPr>
          <w:sz w:val="22"/>
          <w:u w:val="single"/>
          <w:lang w:eastAsia="en-GB"/>
        </w:rPr>
        <w:t>iligence</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In order to enable potential purchasers to carry out a reasonable due diligence of the Divestment Business, </w:t>
      </w:r>
      <w:r w:rsidRPr="001E1F71">
        <w:rPr>
          <w:sz w:val="22"/>
          <w:lang w:eastAsia="en-GB"/>
        </w:rPr>
        <w:t>[</w:t>
      </w:r>
      <w:r w:rsidRPr="00766871">
        <w:rPr>
          <w:i/>
          <w:sz w:val="22"/>
          <w:lang w:eastAsia="en-GB"/>
        </w:rPr>
        <w:t>X</w:t>
      </w:r>
      <w:r w:rsidRPr="001E1F71">
        <w:rPr>
          <w:sz w:val="22"/>
          <w:lang w:eastAsia="en-GB"/>
        </w:rPr>
        <w:t>]</w:t>
      </w:r>
      <w:r w:rsidRPr="00403CD6">
        <w:rPr>
          <w:sz w:val="22"/>
          <w:lang w:eastAsia="en-GB"/>
        </w:rPr>
        <w:t xml:space="preserve"> shall, subject to customary confidentiality assurances and dependent on the stage of the divestiture process:  </w:t>
      </w:r>
    </w:p>
    <w:p w:rsidR="003475B5" w:rsidRPr="00403CD6" w:rsidRDefault="003475B5" w:rsidP="00F551D7">
      <w:pPr>
        <w:tabs>
          <w:tab w:val="left" w:pos="567"/>
          <w:tab w:val="left" w:pos="1500"/>
          <w:tab w:val="left" w:pos="3600"/>
          <w:tab w:val="decimal" w:pos="3900"/>
          <w:tab w:val="left" w:pos="4800"/>
          <w:tab w:val="decimal" w:pos="5700"/>
        </w:tabs>
        <w:spacing w:after="0" w:line="300" w:lineRule="exact"/>
        <w:ind w:left="1440" w:hanging="873"/>
        <w:rPr>
          <w:sz w:val="22"/>
          <w:lang w:eastAsia="en-GB"/>
        </w:rPr>
      </w:pPr>
      <w:r w:rsidRPr="00403CD6">
        <w:rPr>
          <w:sz w:val="22"/>
          <w:lang w:eastAsia="en-GB"/>
        </w:rPr>
        <w:t>(a)</w:t>
      </w:r>
      <w:r w:rsidRPr="00403CD6">
        <w:rPr>
          <w:sz w:val="22"/>
          <w:lang w:eastAsia="en-GB"/>
        </w:rPr>
        <w:tab/>
        <w:t xml:space="preserve">provide to potential purchasers sufficient information as regards the Divestment Business; </w:t>
      </w:r>
    </w:p>
    <w:p w:rsidR="003475B5" w:rsidRPr="00403CD6" w:rsidRDefault="003475B5" w:rsidP="00F551D7">
      <w:pPr>
        <w:tabs>
          <w:tab w:val="left" w:pos="567"/>
          <w:tab w:val="left" w:pos="1500"/>
          <w:tab w:val="left" w:pos="3600"/>
          <w:tab w:val="decimal" w:pos="3900"/>
          <w:tab w:val="left" w:pos="4800"/>
          <w:tab w:val="decimal" w:pos="5700"/>
        </w:tabs>
        <w:spacing w:after="0" w:line="300" w:lineRule="exact"/>
        <w:ind w:left="1440" w:hanging="873"/>
        <w:rPr>
          <w:sz w:val="22"/>
          <w:lang w:eastAsia="en-GB"/>
        </w:rPr>
      </w:pPr>
      <w:r w:rsidRPr="00403CD6">
        <w:rPr>
          <w:sz w:val="22"/>
          <w:lang w:eastAsia="en-GB"/>
        </w:rPr>
        <w:t xml:space="preserve">(b) </w:t>
      </w:r>
      <w:r w:rsidRPr="00403CD6">
        <w:rPr>
          <w:sz w:val="22"/>
          <w:lang w:eastAsia="en-GB"/>
        </w:rPr>
        <w:tab/>
        <w:t xml:space="preserve">provide to potential purchasers sufficient information relating to the Personnel and allow them reasonable access to the Personnel. </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lang w:eastAsia="en-GB"/>
        </w:rPr>
      </w:pPr>
      <w:r w:rsidRPr="00403CD6">
        <w:rPr>
          <w:sz w:val="22"/>
          <w:lang w:eastAsia="en-GB"/>
        </w:rPr>
        <w:tab/>
      </w:r>
      <w:r w:rsidRPr="00403CD6">
        <w:rPr>
          <w:sz w:val="22"/>
          <w:u w:val="single"/>
          <w:lang w:eastAsia="en-GB"/>
        </w:rPr>
        <w:t>Reporting</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w:t>
      </w:r>
      <w:r w:rsidRPr="00403CD6">
        <w:rPr>
          <w:i/>
          <w:sz w:val="22"/>
          <w:lang w:eastAsia="en-GB"/>
        </w:rPr>
        <w:t>X</w:t>
      </w:r>
      <w:r w:rsidRPr="00403CD6">
        <w:rPr>
          <w:sz w:val="22"/>
          <w:lang w:eastAsia="en-GB"/>
        </w:rPr>
        <w:t>] shall submit written reports in [</w:t>
      </w:r>
      <w:r w:rsidRPr="00403CD6">
        <w:rPr>
          <w:i/>
          <w:sz w:val="22"/>
          <w:lang w:eastAsia="en-GB"/>
        </w:rPr>
        <w:t>Indicate the language of the procedure or another language agreed with the Commission</w:t>
      </w:r>
      <w:r w:rsidRPr="00403CD6">
        <w:rPr>
          <w:sz w:val="22"/>
          <w:lang w:eastAsia="en-GB"/>
        </w:rPr>
        <w:t>] on potential purchasers of the Divestment Business and developments in the negotiations with such potential purchasers to the Commission and the Monitoring Trustee no later than 10 days after the end of every month following the Effective Date (or otherwise at the Commission’s request).</w:t>
      </w:r>
      <w:r w:rsidR="00E7687D" w:rsidRPr="00403CD6">
        <w:rPr>
          <w:sz w:val="22"/>
          <w:lang w:eastAsia="en-GB"/>
        </w:rPr>
        <w:t xml:space="preserve"> [</w:t>
      </w:r>
      <w:r w:rsidR="00E7687D" w:rsidRPr="00403CD6">
        <w:rPr>
          <w:i/>
          <w:sz w:val="22"/>
          <w:lang w:eastAsia="en-GB"/>
        </w:rPr>
        <w:t>X</w:t>
      </w:r>
      <w:r w:rsidR="00E7687D" w:rsidRPr="00403CD6">
        <w:rPr>
          <w:sz w:val="22"/>
          <w:lang w:eastAsia="en-GB"/>
        </w:rPr>
        <w:t xml:space="preserve">] shall submit </w:t>
      </w:r>
      <w:r w:rsidR="007E6D5C" w:rsidRPr="00403CD6">
        <w:rPr>
          <w:sz w:val="22"/>
          <w:lang w:eastAsia="en-GB"/>
        </w:rPr>
        <w:t>a list of all potential purchasers having expressed interest in acquiring the Divestment Business</w:t>
      </w:r>
      <w:r w:rsidR="00A0021E" w:rsidRPr="00403CD6">
        <w:rPr>
          <w:sz w:val="22"/>
          <w:lang w:eastAsia="en-GB"/>
        </w:rPr>
        <w:t xml:space="preserve"> to the Commission at each and every stage of the divestiture process</w:t>
      </w:r>
      <w:r w:rsidR="007E6D5C" w:rsidRPr="00403CD6">
        <w:rPr>
          <w:sz w:val="22"/>
          <w:lang w:eastAsia="en-GB"/>
        </w:rPr>
        <w:t xml:space="preserve">, as well as </w:t>
      </w:r>
      <w:r w:rsidR="00E7687D" w:rsidRPr="00403CD6">
        <w:rPr>
          <w:sz w:val="22"/>
          <w:lang w:eastAsia="en-GB"/>
        </w:rPr>
        <w:t>a copy of all the offers made by potential purchasers within five days of their receipt.</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rPr>
          <w:sz w:val="22"/>
          <w:lang w:eastAsia="en-GB"/>
        </w:rPr>
      </w:pPr>
    </w:p>
    <w:p w:rsidR="003475B5" w:rsidRPr="00403CD6" w:rsidRDefault="001B49E0" w:rsidP="00980C8C">
      <w:pPr>
        <w:numPr>
          <w:ilvl w:val="0"/>
          <w:numId w:val="7"/>
        </w:numPr>
        <w:tabs>
          <w:tab w:val="left" w:pos="567"/>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w:t>
      </w:r>
      <w:r w:rsidRPr="00403CD6">
        <w:rPr>
          <w:i/>
          <w:sz w:val="22"/>
          <w:lang w:eastAsia="en-GB"/>
        </w:rPr>
        <w:t>X</w:t>
      </w:r>
      <w:r w:rsidRPr="00403CD6">
        <w:rPr>
          <w:sz w:val="22"/>
          <w:lang w:eastAsia="en-GB"/>
        </w:rPr>
        <w:t xml:space="preserve">] </w:t>
      </w:r>
      <w:r w:rsidR="003475B5" w:rsidRPr="00403CD6">
        <w:rPr>
          <w:sz w:val="22"/>
          <w:lang w:eastAsia="en-GB"/>
        </w:rPr>
        <w:t>shall inform the Commission and the Monitoring Trustee on the preparation of the data room documentation and the due diligence procedure and shall submit a copy of an</w:t>
      </w:r>
      <w:r w:rsidR="00A0021E" w:rsidRPr="00403CD6">
        <w:rPr>
          <w:sz w:val="22"/>
          <w:lang w:eastAsia="en-GB"/>
        </w:rPr>
        <w:t>y</w:t>
      </w:r>
      <w:r w:rsidR="003475B5" w:rsidRPr="00403CD6">
        <w:rPr>
          <w:sz w:val="22"/>
          <w:lang w:eastAsia="en-GB"/>
        </w:rPr>
        <w:t xml:space="preserve"> information memorandum to the Commission and the Monitoring Trustee before sending the memorandum out to potential purchasers.</w:t>
      </w:r>
    </w:p>
    <w:p w:rsidR="005D7F9E" w:rsidRDefault="005D7F9E" w:rsidP="003475B5">
      <w:pPr>
        <w:keepNext/>
        <w:tabs>
          <w:tab w:val="left" w:pos="567"/>
          <w:tab w:val="left" w:pos="1500"/>
          <w:tab w:val="left" w:pos="3600"/>
          <w:tab w:val="decimal" w:pos="3900"/>
          <w:tab w:val="left" w:pos="4800"/>
          <w:tab w:val="decimal" w:pos="5700"/>
        </w:tabs>
        <w:spacing w:before="120" w:after="120" w:line="300" w:lineRule="exact"/>
        <w:rPr>
          <w:b/>
          <w:sz w:val="22"/>
          <w:lang w:eastAsia="en-GB"/>
        </w:rPr>
      </w:pPr>
    </w:p>
    <w:p w:rsidR="005D7F9E" w:rsidRDefault="005D7F9E" w:rsidP="003475B5">
      <w:pPr>
        <w:keepNext/>
        <w:tabs>
          <w:tab w:val="left" w:pos="567"/>
          <w:tab w:val="left" w:pos="1500"/>
          <w:tab w:val="left" w:pos="3600"/>
          <w:tab w:val="decimal" w:pos="3900"/>
          <w:tab w:val="left" w:pos="4800"/>
          <w:tab w:val="decimal" w:pos="5700"/>
        </w:tabs>
        <w:spacing w:before="120" w:after="120" w:line="300" w:lineRule="exact"/>
        <w:rPr>
          <w:b/>
          <w:sz w:val="22"/>
          <w:lang w:eastAsia="en-GB"/>
        </w:rPr>
      </w:pPr>
    </w:p>
    <w:p w:rsidR="003475B5" w:rsidRPr="00403CD6" w:rsidRDefault="003475B5" w:rsidP="003475B5">
      <w:pPr>
        <w:keepNext/>
        <w:tabs>
          <w:tab w:val="left" w:pos="567"/>
          <w:tab w:val="left" w:pos="1500"/>
          <w:tab w:val="left" w:pos="3600"/>
          <w:tab w:val="decimal" w:pos="3900"/>
          <w:tab w:val="left" w:pos="4800"/>
          <w:tab w:val="decimal" w:pos="5700"/>
        </w:tabs>
        <w:spacing w:before="120" w:after="120" w:line="300" w:lineRule="exact"/>
        <w:rPr>
          <w:b/>
          <w:sz w:val="22"/>
          <w:lang w:eastAsia="en-GB"/>
        </w:rPr>
      </w:pPr>
      <w:r w:rsidRPr="00403CD6">
        <w:rPr>
          <w:b/>
          <w:sz w:val="22"/>
          <w:lang w:eastAsia="en-GB"/>
        </w:rPr>
        <w:t>Section D.</w:t>
      </w:r>
      <w:r w:rsidRPr="00403CD6">
        <w:rPr>
          <w:b/>
          <w:sz w:val="22"/>
          <w:lang w:eastAsia="en-GB"/>
        </w:rPr>
        <w:tab/>
        <w:t>The Purchaser</w:t>
      </w:r>
    </w:p>
    <w:p w:rsidR="003475B5" w:rsidRPr="00403CD6" w:rsidRDefault="003475B5" w:rsidP="003475B5">
      <w:pPr>
        <w:keepNext/>
        <w:tabs>
          <w:tab w:val="left" w:pos="567"/>
          <w:tab w:val="left" w:pos="1500"/>
          <w:tab w:val="left" w:pos="3600"/>
          <w:tab w:val="decimal" w:pos="3900"/>
          <w:tab w:val="left" w:pos="4800"/>
          <w:tab w:val="decimal" w:pos="5700"/>
        </w:tabs>
        <w:spacing w:after="0" w:line="300" w:lineRule="exact"/>
        <w:rPr>
          <w:b/>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14" w:name="_Ref356571327"/>
      <w:bookmarkStart w:id="15" w:name="_Ref252938"/>
      <w:r w:rsidRPr="00403CD6">
        <w:rPr>
          <w:sz w:val="22"/>
          <w:lang w:eastAsia="en-GB"/>
        </w:rPr>
        <w:t xml:space="preserve">In order to be approved by the Commission, </w:t>
      </w:r>
      <w:r w:rsidR="008348C1" w:rsidRPr="00403CD6">
        <w:rPr>
          <w:sz w:val="22"/>
          <w:lang w:eastAsia="en-GB"/>
        </w:rPr>
        <w:t xml:space="preserve">the Purchaser </w:t>
      </w:r>
      <w:r w:rsidRPr="00403CD6">
        <w:rPr>
          <w:sz w:val="22"/>
          <w:lang w:eastAsia="en-GB"/>
        </w:rPr>
        <w:t>must</w:t>
      </w:r>
      <w:r w:rsidR="00D85C28" w:rsidRPr="00403CD6">
        <w:rPr>
          <w:sz w:val="22"/>
          <w:lang w:eastAsia="en-GB"/>
        </w:rPr>
        <w:t xml:space="preserve"> fulfil the following criteria</w:t>
      </w:r>
      <w:r w:rsidRPr="00403CD6">
        <w:rPr>
          <w:sz w:val="22"/>
          <w:lang w:eastAsia="en-GB"/>
        </w:rPr>
        <w:t>:</w:t>
      </w:r>
      <w:bookmarkEnd w:id="14"/>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lang w:eastAsia="en-GB"/>
        </w:rPr>
      </w:pPr>
      <w:r w:rsidRPr="00403CD6">
        <w:rPr>
          <w:sz w:val="22"/>
          <w:lang w:eastAsia="en-GB"/>
        </w:rPr>
        <w:t xml:space="preserve">(a) </w:t>
      </w:r>
      <w:r w:rsidR="00D85C28" w:rsidRPr="00403CD6">
        <w:rPr>
          <w:sz w:val="22"/>
          <w:lang w:eastAsia="en-GB"/>
        </w:rPr>
        <w:t xml:space="preserve">The Purchaser shall </w:t>
      </w:r>
      <w:r w:rsidRPr="00403CD6">
        <w:rPr>
          <w:sz w:val="22"/>
          <w:lang w:eastAsia="en-GB"/>
        </w:rPr>
        <w:t>be independent of and unconnected</w:t>
      </w:r>
      <w:r w:rsidR="00EA6073" w:rsidRPr="00403CD6">
        <w:rPr>
          <w:sz w:val="22"/>
          <w:lang w:eastAsia="en-GB"/>
        </w:rPr>
        <w:t xml:space="preserve"> </w:t>
      </w:r>
      <w:r w:rsidRPr="00403CD6">
        <w:rPr>
          <w:sz w:val="22"/>
          <w:lang w:eastAsia="en-GB"/>
        </w:rPr>
        <w:t xml:space="preserve">to the </w:t>
      </w:r>
      <w:r w:rsidR="00AB5F41" w:rsidRPr="00403CD6">
        <w:rPr>
          <w:sz w:val="22"/>
          <w:lang w:eastAsia="en-GB"/>
        </w:rPr>
        <w:t xml:space="preserve">Notifying </w:t>
      </w:r>
      <w:r w:rsidR="001E1F71">
        <w:rPr>
          <w:sz w:val="22"/>
          <w:lang w:eastAsia="en-GB"/>
        </w:rPr>
        <w:t xml:space="preserve">Party/Notifying </w:t>
      </w:r>
      <w:r w:rsidRPr="00403CD6">
        <w:rPr>
          <w:sz w:val="22"/>
          <w:lang w:eastAsia="en-GB"/>
        </w:rPr>
        <w:t>Parties</w:t>
      </w:r>
      <w:r w:rsidR="00AB5F41" w:rsidRPr="00403CD6">
        <w:rPr>
          <w:sz w:val="22"/>
          <w:lang w:eastAsia="en-GB"/>
        </w:rPr>
        <w:t xml:space="preserve"> and</w:t>
      </w:r>
      <w:r w:rsidRPr="00403CD6">
        <w:rPr>
          <w:sz w:val="22"/>
          <w:lang w:eastAsia="en-GB"/>
        </w:rPr>
        <w:t xml:space="preserve"> </w:t>
      </w:r>
      <w:r w:rsidR="001E1F71">
        <w:rPr>
          <w:sz w:val="22"/>
          <w:lang w:eastAsia="en-GB"/>
        </w:rPr>
        <w:t>its/</w:t>
      </w:r>
      <w:r w:rsidRPr="00403CD6">
        <w:rPr>
          <w:sz w:val="22"/>
          <w:lang w:eastAsia="en-GB"/>
        </w:rPr>
        <w:t>their Affiliated Undertakings</w:t>
      </w:r>
      <w:r w:rsidR="00F84DFA" w:rsidRPr="00403CD6">
        <w:rPr>
          <w:sz w:val="22"/>
          <w:lang w:eastAsia="en-GB"/>
        </w:rPr>
        <w:t xml:space="preserve"> (this being assessed having regard to the situation following the divestiture)</w:t>
      </w:r>
      <w:r w:rsidR="00D85C28"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lang w:eastAsia="en-GB"/>
        </w:rPr>
      </w:pPr>
      <w:r w:rsidRPr="00403CD6">
        <w:rPr>
          <w:sz w:val="22"/>
          <w:lang w:eastAsia="en-GB"/>
        </w:rPr>
        <w:t xml:space="preserve">(b) </w:t>
      </w:r>
      <w:r w:rsidR="00D85C28" w:rsidRPr="00403CD6">
        <w:rPr>
          <w:sz w:val="22"/>
          <w:lang w:eastAsia="en-GB"/>
        </w:rPr>
        <w:t xml:space="preserve">The Purchaser shall </w:t>
      </w:r>
      <w:r w:rsidRPr="00403CD6">
        <w:rPr>
          <w:sz w:val="22"/>
          <w:lang w:eastAsia="en-GB"/>
        </w:rPr>
        <w:t xml:space="preserve">have the financial resources, proven expertise and incentive to maintain and develop the Divestment Business as a viable and active competitive force in competition with the Parties and other competitors;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lang w:eastAsia="en-GB"/>
        </w:rPr>
      </w:pPr>
      <w:r w:rsidRPr="00403CD6">
        <w:rPr>
          <w:sz w:val="22"/>
          <w:lang w:eastAsia="en-GB"/>
        </w:rPr>
        <w:t xml:space="preserve">(c) </w:t>
      </w:r>
      <w:r w:rsidR="00D85C28" w:rsidRPr="00403CD6">
        <w:rPr>
          <w:sz w:val="22"/>
          <w:lang w:eastAsia="en-GB"/>
        </w:rPr>
        <w:t xml:space="preserve">The acquisition of the Divestment Business by the Purchaser must </w:t>
      </w:r>
      <w:r w:rsidRPr="00403CD6">
        <w:rPr>
          <w:sz w:val="22"/>
          <w:lang w:eastAsia="en-GB"/>
        </w:rPr>
        <w:t xml:space="preserve">neither be likely to create, in light of the information available to the Commission, </w:t>
      </w:r>
      <w:r w:rsidRPr="00403CD6">
        <w:rPr>
          <w:i/>
          <w:sz w:val="22"/>
          <w:lang w:eastAsia="en-GB"/>
        </w:rPr>
        <w:t>prima facie</w:t>
      </w:r>
      <w:r w:rsidRPr="00403CD6">
        <w:rPr>
          <w:sz w:val="22"/>
          <w:lang w:eastAsia="en-GB"/>
        </w:rPr>
        <w:t xml:space="preserve"> competition concerns nor give rise to a risk that the implementation of the Commitments will be delayed</w:t>
      </w:r>
      <w:r w:rsidR="00D85C28" w:rsidRPr="00403CD6">
        <w:rPr>
          <w:sz w:val="22"/>
          <w:lang w:eastAsia="en-GB"/>
        </w:rPr>
        <w:t>. I</w:t>
      </w:r>
      <w:r w:rsidRPr="00403CD6">
        <w:rPr>
          <w:sz w:val="22"/>
          <w:lang w:eastAsia="en-GB"/>
        </w:rPr>
        <w:t xml:space="preserve">n particular, </w:t>
      </w:r>
      <w:r w:rsidR="00D85C28" w:rsidRPr="00403CD6">
        <w:rPr>
          <w:sz w:val="22"/>
          <w:lang w:eastAsia="en-GB"/>
        </w:rPr>
        <w:t xml:space="preserve">the Purchaser must </w:t>
      </w:r>
      <w:r w:rsidRPr="00403CD6">
        <w:rPr>
          <w:sz w:val="22"/>
          <w:lang w:eastAsia="en-GB"/>
        </w:rPr>
        <w:t>reasonably be expected to obtain all necessary approvals from the relevant regulatory authorities for the acquisition of the Divestment Business</w:t>
      </w:r>
      <w:r w:rsidR="00D85C28" w:rsidRPr="00403CD6">
        <w:rPr>
          <w:sz w:val="22"/>
          <w:lang w:eastAsia="en-GB"/>
        </w:rPr>
        <w:t>.</w:t>
      </w:r>
    </w:p>
    <w:p w:rsidR="00DA2130" w:rsidRPr="00403CD6" w:rsidRDefault="00DA2130" w:rsidP="003475B5">
      <w:pPr>
        <w:tabs>
          <w:tab w:val="left" w:pos="600"/>
          <w:tab w:val="left" w:pos="1500"/>
          <w:tab w:val="left" w:pos="3600"/>
          <w:tab w:val="decimal" w:pos="3900"/>
          <w:tab w:val="left" w:pos="4800"/>
          <w:tab w:val="decimal" w:pos="5700"/>
        </w:tabs>
        <w:spacing w:after="0" w:line="300" w:lineRule="exact"/>
        <w:ind w:left="567"/>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16" w:name="_Ref33608037"/>
      <w:bookmarkEnd w:id="15"/>
      <w:r w:rsidRPr="00403CD6">
        <w:rPr>
          <w:sz w:val="22"/>
          <w:lang w:eastAsia="en-GB"/>
        </w:rPr>
        <w:t xml:space="preserve">The final binding sale and purchase agreement (as well as ancillary agreements) </w:t>
      </w:r>
      <w:r w:rsidR="00CC2A7C" w:rsidRPr="00403CD6">
        <w:rPr>
          <w:sz w:val="22"/>
          <w:lang w:eastAsia="en-GB"/>
        </w:rPr>
        <w:t>relating to the divestment of</w:t>
      </w:r>
      <w:r w:rsidR="0064552F" w:rsidRPr="00403CD6">
        <w:rPr>
          <w:sz w:val="22"/>
          <w:lang w:eastAsia="en-GB"/>
        </w:rPr>
        <w:t xml:space="preserve"> the Divestment Business </w:t>
      </w:r>
      <w:r w:rsidRPr="00403CD6">
        <w:rPr>
          <w:sz w:val="22"/>
          <w:lang w:eastAsia="en-GB"/>
        </w:rPr>
        <w:t>shall be conditional on the Commission’s approval. When [</w:t>
      </w:r>
      <w:r w:rsidRPr="00403CD6">
        <w:rPr>
          <w:i/>
          <w:sz w:val="22"/>
          <w:lang w:eastAsia="en-GB"/>
        </w:rPr>
        <w:t>X</w:t>
      </w:r>
      <w:r w:rsidRPr="00403CD6">
        <w:rPr>
          <w:sz w:val="22"/>
          <w:lang w:eastAsia="en-GB"/>
        </w:rPr>
        <w:t>] has reached an agreement with a purchaser, it shall submit a fully documented and reasoned proposal, including a copy of the final agreement(s), within one week to the Commission and the Monitoring Trustee. [</w:t>
      </w:r>
      <w:r w:rsidRPr="00403CD6">
        <w:rPr>
          <w:i/>
          <w:sz w:val="22"/>
          <w:lang w:eastAsia="en-GB"/>
        </w:rPr>
        <w:t>X</w:t>
      </w:r>
      <w:r w:rsidRPr="00403CD6">
        <w:rPr>
          <w:sz w:val="22"/>
          <w:lang w:eastAsia="en-GB"/>
        </w:rPr>
        <w:t xml:space="preserve">] must be able to demonstrate to the Commission that the purchaser </w:t>
      </w:r>
      <w:r w:rsidR="00914885" w:rsidRPr="00403CD6">
        <w:rPr>
          <w:sz w:val="22"/>
          <w:lang w:eastAsia="en-GB"/>
        </w:rPr>
        <w:t xml:space="preserve">fulfils </w:t>
      </w:r>
      <w:r w:rsidRPr="00403CD6">
        <w:rPr>
          <w:sz w:val="22"/>
          <w:lang w:eastAsia="en-GB"/>
        </w:rPr>
        <w:t xml:space="preserve">the Purchaser </w:t>
      </w:r>
      <w:r w:rsidR="003824AC">
        <w:rPr>
          <w:sz w:val="22"/>
          <w:lang w:eastAsia="en-GB"/>
        </w:rPr>
        <w:t xml:space="preserve">Criteria </w:t>
      </w:r>
      <w:r w:rsidRPr="00403CD6">
        <w:rPr>
          <w:sz w:val="22"/>
          <w:lang w:eastAsia="en-GB"/>
        </w:rPr>
        <w:t xml:space="preserve">and that the Divestment Business is being sold in a manner consistent with the </w:t>
      </w:r>
      <w:r w:rsidR="003F7B8E" w:rsidRPr="00403CD6">
        <w:rPr>
          <w:sz w:val="22"/>
          <w:lang w:eastAsia="en-GB"/>
        </w:rPr>
        <w:t xml:space="preserve">Commission's Decision and the </w:t>
      </w:r>
      <w:r w:rsidRPr="00403CD6">
        <w:rPr>
          <w:sz w:val="22"/>
          <w:lang w:eastAsia="en-GB"/>
        </w:rPr>
        <w:t xml:space="preserve">Commitments. For the approval, the Commission shall verify that the purchaser fulfils the Purchaser </w:t>
      </w:r>
      <w:r w:rsidR="003824AC">
        <w:rPr>
          <w:sz w:val="22"/>
          <w:lang w:eastAsia="en-GB"/>
        </w:rPr>
        <w:t xml:space="preserve">Criteria </w:t>
      </w:r>
      <w:r w:rsidRPr="00403CD6">
        <w:rPr>
          <w:sz w:val="22"/>
          <w:lang w:eastAsia="en-GB"/>
        </w:rPr>
        <w:t>and that the Divestment Business is being sold in a manner consistent with the Commitments</w:t>
      </w:r>
      <w:r w:rsidR="00707F27" w:rsidRPr="00403CD6">
        <w:rPr>
          <w:sz w:val="22"/>
          <w:lang w:eastAsia="en-GB"/>
        </w:rPr>
        <w:t xml:space="preserve"> </w:t>
      </w:r>
      <w:r w:rsidR="00A35352" w:rsidRPr="00403CD6">
        <w:rPr>
          <w:sz w:val="22"/>
          <w:lang w:eastAsia="en-GB"/>
        </w:rPr>
        <w:t xml:space="preserve">including their objective to </w:t>
      </w:r>
      <w:r w:rsidR="004036DA" w:rsidRPr="00403CD6">
        <w:rPr>
          <w:sz w:val="22"/>
          <w:lang w:eastAsia="en-GB"/>
        </w:rPr>
        <w:t>bring about a lasting structural change in the market</w:t>
      </w:r>
      <w:r w:rsidRPr="00403CD6">
        <w:rPr>
          <w:sz w:val="22"/>
          <w:lang w:eastAsia="en-GB"/>
        </w:rPr>
        <w:t>. The Commission may approve the sale of the Divestment Business without one or more Assets or parts of the Personnel</w:t>
      </w:r>
      <w:r w:rsidR="00FC76A2">
        <w:rPr>
          <w:sz w:val="22"/>
          <w:lang w:eastAsia="en-GB"/>
        </w:rPr>
        <w:t xml:space="preserve">, or </w:t>
      </w:r>
      <w:r w:rsidR="00657778">
        <w:rPr>
          <w:sz w:val="22"/>
          <w:lang w:eastAsia="en-GB"/>
        </w:rPr>
        <w:t>by substituting</w:t>
      </w:r>
      <w:r w:rsidR="00FC76A2">
        <w:rPr>
          <w:sz w:val="22"/>
          <w:lang w:eastAsia="en-GB"/>
        </w:rPr>
        <w:t xml:space="preserve"> one or more Assets or parts of the Personnel with one or more </w:t>
      </w:r>
      <w:r w:rsidR="00FC76A2" w:rsidRPr="00291AB9">
        <w:rPr>
          <w:sz w:val="22"/>
          <w:lang w:eastAsia="en-GB"/>
        </w:rPr>
        <w:t xml:space="preserve">different </w:t>
      </w:r>
      <w:r w:rsidR="00E42FE2" w:rsidRPr="00291AB9">
        <w:rPr>
          <w:sz w:val="22"/>
          <w:lang w:eastAsia="en-GB"/>
        </w:rPr>
        <w:t>a</w:t>
      </w:r>
      <w:r w:rsidR="00FC76A2" w:rsidRPr="00291AB9">
        <w:rPr>
          <w:sz w:val="22"/>
          <w:lang w:eastAsia="en-GB"/>
        </w:rPr>
        <w:t xml:space="preserve">ssets or different </w:t>
      </w:r>
      <w:r w:rsidR="00E42FE2" w:rsidRPr="00291AB9">
        <w:rPr>
          <w:sz w:val="22"/>
          <w:lang w:eastAsia="en-GB"/>
        </w:rPr>
        <w:t>p</w:t>
      </w:r>
      <w:r w:rsidR="00FC76A2" w:rsidRPr="00291AB9">
        <w:rPr>
          <w:sz w:val="22"/>
          <w:lang w:eastAsia="en-GB"/>
        </w:rPr>
        <w:t>ersonnel</w:t>
      </w:r>
      <w:r w:rsidRPr="00291AB9">
        <w:rPr>
          <w:sz w:val="22"/>
          <w:lang w:eastAsia="en-GB"/>
        </w:rPr>
        <w:t>, if this</w:t>
      </w:r>
      <w:r w:rsidRPr="00403CD6">
        <w:rPr>
          <w:sz w:val="22"/>
          <w:lang w:eastAsia="en-GB"/>
        </w:rPr>
        <w:t xml:space="preserve"> does not affect the viability and competitiveness of the Divestment Business after the sale, taking account of the proposed purchaser.</w:t>
      </w:r>
      <w:bookmarkEnd w:id="16"/>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before="120" w:after="120" w:line="300" w:lineRule="exact"/>
        <w:rPr>
          <w:b/>
          <w:sz w:val="22"/>
          <w:lang w:eastAsia="en-GB"/>
        </w:rPr>
      </w:pPr>
      <w:r w:rsidRPr="00403CD6">
        <w:rPr>
          <w:b/>
          <w:sz w:val="22"/>
          <w:lang w:eastAsia="en-GB"/>
        </w:rPr>
        <w:t>Section E.</w:t>
      </w:r>
      <w:r w:rsidRPr="00403CD6">
        <w:rPr>
          <w:b/>
          <w:sz w:val="22"/>
          <w:lang w:eastAsia="en-GB"/>
        </w:rPr>
        <w:tab/>
        <w:t>Trustee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b/>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u w:val="single"/>
          <w:lang w:eastAsia="en-GB"/>
        </w:rPr>
      </w:pPr>
      <w:r w:rsidRPr="00403CD6">
        <w:rPr>
          <w:sz w:val="22"/>
          <w:lang w:eastAsia="en-GB"/>
        </w:rPr>
        <w:tab/>
        <w:t>I.</w:t>
      </w:r>
      <w:r w:rsidRPr="00403CD6">
        <w:rPr>
          <w:sz w:val="22"/>
          <w:lang w:eastAsia="en-GB"/>
        </w:rPr>
        <w:tab/>
      </w:r>
      <w:r w:rsidRPr="00403CD6">
        <w:rPr>
          <w:sz w:val="22"/>
          <w:u w:val="single"/>
          <w:lang w:eastAsia="en-GB"/>
        </w:rPr>
        <w:t xml:space="preserve">Appointment </w:t>
      </w:r>
      <w:r w:rsidR="00A04C66" w:rsidRPr="00403CD6">
        <w:rPr>
          <w:sz w:val="22"/>
          <w:u w:val="single"/>
          <w:lang w:eastAsia="en-GB"/>
        </w:rPr>
        <w:t>p</w:t>
      </w:r>
      <w:r w:rsidRPr="00403CD6">
        <w:rPr>
          <w:sz w:val="22"/>
          <w:u w:val="single"/>
          <w:lang w:eastAsia="en-GB"/>
        </w:rPr>
        <w:t>rocedure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p>
    <w:p w:rsidR="002A4087"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bookmarkStart w:id="17" w:name="_Ref13461341"/>
      <w:r w:rsidRPr="00403CD6">
        <w:rPr>
          <w:sz w:val="22"/>
          <w:lang w:eastAsia="en-GB"/>
        </w:rPr>
        <w:t>[</w:t>
      </w:r>
      <w:r w:rsidRPr="00403CD6">
        <w:rPr>
          <w:i/>
          <w:sz w:val="22"/>
          <w:lang w:eastAsia="en-GB"/>
        </w:rPr>
        <w:t>X</w:t>
      </w:r>
      <w:r w:rsidRPr="00403CD6">
        <w:rPr>
          <w:sz w:val="22"/>
          <w:lang w:eastAsia="en-GB"/>
        </w:rPr>
        <w:t>] shall appoint a Monitoring Trustee to carry out the functions specified in the</w:t>
      </w:r>
      <w:r w:rsidR="003D57BA" w:rsidRPr="00403CD6">
        <w:rPr>
          <w:sz w:val="22"/>
          <w:lang w:eastAsia="en-GB"/>
        </w:rPr>
        <w:t>se</w:t>
      </w:r>
      <w:r w:rsidRPr="00403CD6">
        <w:rPr>
          <w:sz w:val="22"/>
          <w:lang w:eastAsia="en-GB"/>
        </w:rPr>
        <w:t xml:space="preserve"> Commitments for a Monitoring Trustee. </w:t>
      </w:r>
      <w:r w:rsidR="009B10DA" w:rsidRPr="00403CD6">
        <w:rPr>
          <w:sz w:val="22"/>
          <w:lang w:eastAsia="en-GB"/>
        </w:rPr>
        <w:t>The Notifying Party/Notifying Parties</w:t>
      </w:r>
      <w:r w:rsidR="003407A9" w:rsidRPr="00403CD6">
        <w:rPr>
          <w:sz w:val="22"/>
          <w:lang w:eastAsia="en-GB"/>
        </w:rPr>
        <w:t xml:space="preserve"> </w:t>
      </w:r>
      <w:r w:rsidRPr="00403CD6">
        <w:rPr>
          <w:sz w:val="22"/>
          <w:lang w:eastAsia="en-GB"/>
        </w:rPr>
        <w:t>commit</w:t>
      </w:r>
      <w:r w:rsidR="009B10DA" w:rsidRPr="00403CD6">
        <w:rPr>
          <w:sz w:val="22"/>
          <w:lang w:eastAsia="en-GB"/>
        </w:rPr>
        <w:t>(</w:t>
      </w:r>
      <w:r w:rsidRPr="00403CD6">
        <w:rPr>
          <w:sz w:val="22"/>
          <w:lang w:eastAsia="en-GB"/>
        </w:rPr>
        <w:t>s</w:t>
      </w:r>
      <w:r w:rsidR="009B10DA" w:rsidRPr="00403CD6">
        <w:rPr>
          <w:sz w:val="22"/>
          <w:lang w:eastAsia="en-GB"/>
        </w:rPr>
        <w:t>)</w:t>
      </w:r>
      <w:r w:rsidRPr="00403CD6">
        <w:rPr>
          <w:sz w:val="22"/>
          <w:lang w:eastAsia="en-GB"/>
        </w:rPr>
        <w:t xml:space="preserve"> not to close the </w:t>
      </w:r>
      <w:r w:rsidR="003407A9" w:rsidRPr="00403CD6">
        <w:rPr>
          <w:sz w:val="22"/>
          <w:lang w:eastAsia="en-GB"/>
        </w:rPr>
        <w:t>Concentra</w:t>
      </w:r>
      <w:r w:rsidRPr="00403CD6">
        <w:rPr>
          <w:sz w:val="22"/>
          <w:lang w:eastAsia="en-GB"/>
        </w:rPr>
        <w:t>tion</w:t>
      </w:r>
      <w:r w:rsidR="009B10DA" w:rsidRPr="00403CD6">
        <w:rPr>
          <w:sz w:val="22"/>
          <w:lang w:eastAsia="en-GB"/>
        </w:rPr>
        <w:t xml:space="preserve"> </w:t>
      </w:r>
      <w:r w:rsidRPr="00403CD6">
        <w:rPr>
          <w:sz w:val="22"/>
          <w:lang w:eastAsia="en-GB"/>
        </w:rPr>
        <w:t xml:space="preserve">before the appointment of a Monitoring Trustee. </w:t>
      </w:r>
    </w:p>
    <w:p w:rsidR="002A4087" w:rsidRPr="00403CD6" w:rsidRDefault="002A4087" w:rsidP="003407A9">
      <w:pPr>
        <w:keepNext/>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r w:rsidRPr="00403CD6">
        <w:rPr>
          <w:sz w:val="22"/>
          <w:lang w:eastAsia="en-GB"/>
        </w:rPr>
        <w:t>If [</w:t>
      </w:r>
      <w:r w:rsidRPr="00403CD6">
        <w:rPr>
          <w:i/>
          <w:sz w:val="22"/>
          <w:lang w:eastAsia="en-GB"/>
        </w:rPr>
        <w:t>X</w:t>
      </w:r>
      <w:r w:rsidRPr="00403CD6">
        <w:rPr>
          <w:sz w:val="22"/>
          <w:lang w:eastAsia="en-GB"/>
        </w:rPr>
        <w:t xml:space="preserve">] has not entered into a binding sale and purchase agreement </w:t>
      </w:r>
      <w:r w:rsidR="00AF7A0E" w:rsidRPr="00403CD6">
        <w:rPr>
          <w:sz w:val="22"/>
          <w:lang w:eastAsia="en-GB"/>
        </w:rPr>
        <w:t xml:space="preserve">regarding the Divestment Business </w:t>
      </w:r>
      <w:r w:rsidRPr="00403CD6">
        <w:rPr>
          <w:sz w:val="22"/>
          <w:lang w:eastAsia="en-GB"/>
        </w:rPr>
        <w:t>one month before the end of the First Divestiture Period or if the Commission has rejected a purchaser proposed by [</w:t>
      </w:r>
      <w:r w:rsidRPr="00403CD6">
        <w:rPr>
          <w:i/>
          <w:sz w:val="22"/>
          <w:lang w:eastAsia="en-GB"/>
        </w:rPr>
        <w:t>X</w:t>
      </w:r>
      <w:r w:rsidRPr="00403CD6">
        <w:rPr>
          <w:sz w:val="22"/>
          <w:lang w:eastAsia="en-GB"/>
        </w:rPr>
        <w:t>] at that time or thereafter, [</w:t>
      </w:r>
      <w:r w:rsidRPr="00403CD6">
        <w:rPr>
          <w:i/>
          <w:sz w:val="22"/>
          <w:lang w:eastAsia="en-GB"/>
        </w:rPr>
        <w:t>X</w:t>
      </w:r>
      <w:r w:rsidRPr="00403CD6">
        <w:rPr>
          <w:sz w:val="22"/>
          <w:lang w:eastAsia="en-GB"/>
        </w:rPr>
        <w:t xml:space="preserve">] shall appoint a Divestiture Trustee. The appointment of the Divestiture Trustee shall take effect upon the commencement of the Trustee Divestiture Period.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07A9" w:rsidRPr="00403CD6" w:rsidRDefault="003475B5" w:rsidP="00F7287C">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bookmarkStart w:id="18" w:name="_Ref31625366"/>
      <w:r w:rsidRPr="00403CD6">
        <w:rPr>
          <w:sz w:val="22"/>
          <w:lang w:eastAsia="en-GB"/>
        </w:rPr>
        <w:t>The Trustee shall</w:t>
      </w:r>
      <w:r w:rsidR="007B3040" w:rsidRPr="00403CD6">
        <w:rPr>
          <w:sz w:val="22"/>
          <w:lang w:eastAsia="en-GB"/>
        </w:rPr>
        <w:t xml:space="preserve">: </w:t>
      </w:r>
    </w:p>
    <w:p w:rsidR="003407A9" w:rsidRPr="00403CD6" w:rsidRDefault="007B3040" w:rsidP="003407A9">
      <w:pPr>
        <w:tabs>
          <w:tab w:val="left" w:pos="600"/>
          <w:tab w:val="left" w:pos="1500"/>
          <w:tab w:val="left" w:pos="3600"/>
          <w:tab w:val="decimal" w:pos="3900"/>
          <w:tab w:val="left" w:pos="4800"/>
          <w:tab w:val="decimal" w:pos="5700"/>
        </w:tabs>
        <w:spacing w:after="0" w:line="300" w:lineRule="exact"/>
        <w:ind w:left="567"/>
        <w:rPr>
          <w:sz w:val="22"/>
          <w:lang w:eastAsia="en-GB"/>
        </w:rPr>
      </w:pPr>
      <w:r w:rsidRPr="00403CD6">
        <w:rPr>
          <w:sz w:val="22"/>
          <w:lang w:eastAsia="en-GB"/>
        </w:rPr>
        <w:t>(i)</w:t>
      </w:r>
      <w:r w:rsidR="003D30B9" w:rsidRPr="00403CD6">
        <w:rPr>
          <w:sz w:val="22"/>
          <w:lang w:eastAsia="en-GB"/>
        </w:rPr>
        <w:t xml:space="preserve"> at the time of appointment,</w:t>
      </w:r>
      <w:r w:rsidR="003475B5" w:rsidRPr="00403CD6">
        <w:rPr>
          <w:sz w:val="22"/>
          <w:lang w:eastAsia="en-GB"/>
        </w:rPr>
        <w:t xml:space="preserve"> be independent of the </w:t>
      </w:r>
      <w:r w:rsidR="00A641BF" w:rsidRPr="00403CD6">
        <w:rPr>
          <w:sz w:val="22"/>
          <w:lang w:eastAsia="en-GB"/>
        </w:rPr>
        <w:t xml:space="preserve">Notifying </w:t>
      </w:r>
      <w:r w:rsidR="001E1F71">
        <w:rPr>
          <w:sz w:val="22"/>
          <w:lang w:eastAsia="en-GB"/>
        </w:rPr>
        <w:t xml:space="preserve">Party/Notifying </w:t>
      </w:r>
      <w:r w:rsidR="003475B5" w:rsidRPr="00403CD6">
        <w:rPr>
          <w:sz w:val="22"/>
          <w:lang w:eastAsia="en-GB"/>
        </w:rPr>
        <w:t>Parties</w:t>
      </w:r>
      <w:r w:rsidR="00AB5F41" w:rsidRPr="00403CD6">
        <w:rPr>
          <w:sz w:val="22"/>
          <w:lang w:eastAsia="en-GB"/>
        </w:rPr>
        <w:t xml:space="preserve"> and </w:t>
      </w:r>
      <w:r w:rsidR="001E1F71">
        <w:rPr>
          <w:sz w:val="22"/>
          <w:lang w:eastAsia="en-GB"/>
        </w:rPr>
        <w:t>its/</w:t>
      </w:r>
      <w:r w:rsidR="003475B5" w:rsidRPr="00403CD6">
        <w:rPr>
          <w:sz w:val="22"/>
          <w:lang w:eastAsia="en-GB"/>
        </w:rPr>
        <w:t>their Affiliated Undertakings</w:t>
      </w:r>
      <w:r w:rsidRPr="00403CD6">
        <w:rPr>
          <w:sz w:val="22"/>
          <w:lang w:eastAsia="en-GB"/>
        </w:rPr>
        <w:t xml:space="preserve">; </w:t>
      </w:r>
    </w:p>
    <w:p w:rsidR="003407A9" w:rsidRPr="00403CD6" w:rsidRDefault="007B3040" w:rsidP="003407A9">
      <w:pPr>
        <w:tabs>
          <w:tab w:val="left" w:pos="600"/>
          <w:tab w:val="left" w:pos="1500"/>
          <w:tab w:val="left" w:pos="3600"/>
          <w:tab w:val="decimal" w:pos="3900"/>
          <w:tab w:val="left" w:pos="4800"/>
          <w:tab w:val="decimal" w:pos="5700"/>
        </w:tabs>
        <w:spacing w:after="0" w:line="300" w:lineRule="exact"/>
        <w:ind w:left="567"/>
        <w:rPr>
          <w:sz w:val="22"/>
          <w:lang w:eastAsia="en-GB"/>
        </w:rPr>
      </w:pPr>
      <w:r w:rsidRPr="00403CD6">
        <w:rPr>
          <w:sz w:val="22"/>
          <w:lang w:eastAsia="en-GB"/>
        </w:rPr>
        <w:t xml:space="preserve">(ii) </w:t>
      </w:r>
      <w:r w:rsidR="003475B5" w:rsidRPr="00403CD6">
        <w:rPr>
          <w:sz w:val="22"/>
          <w:lang w:eastAsia="en-GB"/>
        </w:rPr>
        <w:t xml:space="preserve">possess the necessary qualifications to carry out its mandate, for example </w:t>
      </w:r>
      <w:r w:rsidR="00CE3C97" w:rsidRPr="00403CD6">
        <w:rPr>
          <w:sz w:val="22"/>
          <w:lang w:eastAsia="en-GB"/>
        </w:rPr>
        <w:t xml:space="preserve">have sufficient relevant experience </w:t>
      </w:r>
      <w:r w:rsidR="003475B5" w:rsidRPr="00403CD6">
        <w:rPr>
          <w:sz w:val="22"/>
          <w:lang w:eastAsia="en-GB"/>
        </w:rPr>
        <w:t>as an investment bank</w:t>
      </w:r>
      <w:r w:rsidR="00D27117">
        <w:rPr>
          <w:sz w:val="22"/>
          <w:lang w:eastAsia="en-GB"/>
        </w:rPr>
        <w:t>er</w:t>
      </w:r>
      <w:r w:rsidR="003475B5" w:rsidRPr="00403CD6">
        <w:rPr>
          <w:sz w:val="22"/>
          <w:lang w:eastAsia="en-GB"/>
        </w:rPr>
        <w:t xml:space="preserve"> or consultant or auditor</w:t>
      </w:r>
      <w:r w:rsidRPr="00403CD6">
        <w:rPr>
          <w:sz w:val="22"/>
          <w:lang w:eastAsia="en-GB"/>
        </w:rPr>
        <w:t xml:space="preserve">; </w:t>
      </w:r>
      <w:r w:rsidR="003475B5" w:rsidRPr="00403CD6">
        <w:rPr>
          <w:sz w:val="22"/>
          <w:lang w:eastAsia="en-GB"/>
        </w:rPr>
        <w:t xml:space="preserve">and </w:t>
      </w:r>
    </w:p>
    <w:p w:rsidR="003407A9" w:rsidRPr="00403CD6" w:rsidRDefault="007B3040" w:rsidP="003407A9">
      <w:pPr>
        <w:tabs>
          <w:tab w:val="left" w:pos="600"/>
          <w:tab w:val="left" w:pos="1500"/>
          <w:tab w:val="left" w:pos="3600"/>
          <w:tab w:val="decimal" w:pos="3900"/>
          <w:tab w:val="left" w:pos="4800"/>
          <w:tab w:val="decimal" w:pos="5700"/>
        </w:tabs>
        <w:spacing w:after="0" w:line="300" w:lineRule="exact"/>
        <w:ind w:left="567"/>
        <w:rPr>
          <w:sz w:val="22"/>
          <w:lang w:eastAsia="en-GB"/>
        </w:rPr>
      </w:pPr>
      <w:r w:rsidRPr="00403CD6">
        <w:rPr>
          <w:sz w:val="22"/>
          <w:lang w:eastAsia="en-GB"/>
        </w:rPr>
        <w:t xml:space="preserve">(iii) </w:t>
      </w:r>
      <w:r w:rsidR="003475B5" w:rsidRPr="00403CD6">
        <w:rPr>
          <w:sz w:val="22"/>
          <w:lang w:eastAsia="en-GB"/>
        </w:rPr>
        <w:t xml:space="preserve">neither have nor become exposed to a </w:t>
      </w:r>
      <w:r w:rsidR="007903B6" w:rsidRPr="00403CD6">
        <w:rPr>
          <w:sz w:val="22"/>
          <w:lang w:eastAsia="en-GB"/>
        </w:rPr>
        <w:t xml:space="preserve">Conflict </w:t>
      </w:r>
      <w:r w:rsidR="003475B5" w:rsidRPr="00403CD6">
        <w:rPr>
          <w:sz w:val="22"/>
          <w:lang w:eastAsia="en-GB"/>
        </w:rPr>
        <w:t xml:space="preserve">of </w:t>
      </w:r>
      <w:r w:rsidR="007903B6" w:rsidRPr="00403CD6">
        <w:rPr>
          <w:sz w:val="22"/>
          <w:lang w:eastAsia="en-GB"/>
        </w:rPr>
        <w:t>Interest</w:t>
      </w:r>
      <w:r w:rsidR="003475B5" w:rsidRPr="00403CD6">
        <w:rPr>
          <w:sz w:val="22"/>
          <w:lang w:eastAsia="en-GB"/>
        </w:rPr>
        <w:t xml:space="preserve">. </w:t>
      </w:r>
    </w:p>
    <w:p w:rsidR="003407A9" w:rsidRPr="00403CD6" w:rsidRDefault="003407A9" w:rsidP="003407A9">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07A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r w:rsidRPr="00403CD6">
        <w:rPr>
          <w:sz w:val="22"/>
          <w:lang w:eastAsia="en-GB"/>
        </w:rPr>
        <w:t xml:space="preserve">The Trustee shall be remunerated by the </w:t>
      </w:r>
      <w:r w:rsidR="00A641BF" w:rsidRPr="00403CD6">
        <w:rPr>
          <w:sz w:val="22"/>
          <w:lang w:eastAsia="en-GB"/>
        </w:rPr>
        <w:t xml:space="preserve">Notifying </w:t>
      </w:r>
      <w:r w:rsidRPr="00403CD6">
        <w:rPr>
          <w:sz w:val="22"/>
          <w:lang w:eastAsia="en-GB"/>
        </w:rPr>
        <w:t xml:space="preserve">Parties in a way that does not impede the independent and effective fulfilment of its mandate. In particular, where the remuneration package of a Divestiture Trustee includes a success premium linked to the final sale value of the Divestment Business, </w:t>
      </w:r>
      <w:r w:rsidR="00134095" w:rsidRPr="00403CD6">
        <w:rPr>
          <w:sz w:val="22"/>
          <w:lang w:eastAsia="en-GB"/>
        </w:rPr>
        <w:t>such success premium may only be earned if the</w:t>
      </w:r>
      <w:r w:rsidRPr="00403CD6">
        <w:rPr>
          <w:sz w:val="22"/>
          <w:lang w:eastAsia="en-GB"/>
        </w:rPr>
        <w:t xml:space="preserve"> divestiture </w:t>
      </w:r>
      <w:r w:rsidR="00134095" w:rsidRPr="00403CD6">
        <w:rPr>
          <w:sz w:val="22"/>
          <w:lang w:eastAsia="en-GB"/>
        </w:rPr>
        <w:t xml:space="preserve">takes place </w:t>
      </w:r>
      <w:r w:rsidRPr="00403CD6">
        <w:rPr>
          <w:sz w:val="22"/>
          <w:lang w:eastAsia="en-GB"/>
        </w:rPr>
        <w:t>within the Trustee Divestiture Period.</w:t>
      </w:r>
      <w:bookmarkEnd w:id="17"/>
      <w:bookmarkEnd w:id="18"/>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lang w:eastAsia="en-GB"/>
        </w:rPr>
      </w:pPr>
      <w:r w:rsidRPr="00403CD6">
        <w:rPr>
          <w:sz w:val="22"/>
          <w:lang w:eastAsia="en-GB"/>
        </w:rPr>
        <w:tab/>
      </w:r>
      <w:r w:rsidRPr="00403CD6">
        <w:rPr>
          <w:sz w:val="22"/>
          <w:lang w:eastAsia="en-GB"/>
        </w:rPr>
        <w:tab/>
      </w:r>
      <w:r w:rsidRPr="00403CD6">
        <w:rPr>
          <w:i/>
          <w:sz w:val="22"/>
          <w:lang w:eastAsia="en-GB"/>
        </w:rPr>
        <w:t xml:space="preserve">Proposal by </w:t>
      </w:r>
      <w:r w:rsidR="00134095" w:rsidRPr="00403CD6">
        <w:rPr>
          <w:i/>
          <w:sz w:val="22"/>
          <w:lang w:eastAsia="en-GB"/>
        </w:rPr>
        <w:t>[X]</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p>
    <w:p w:rsidR="003475B5"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bookmarkStart w:id="19" w:name="_Ref8211915"/>
      <w:bookmarkStart w:id="20" w:name="_Ref13392232"/>
      <w:r w:rsidRPr="00403CD6">
        <w:rPr>
          <w:sz w:val="22"/>
          <w:lang w:eastAsia="en-GB"/>
        </w:rPr>
        <w:t>No later than two weeks after the Effective Date, [</w:t>
      </w:r>
      <w:r w:rsidRPr="00403CD6">
        <w:rPr>
          <w:i/>
          <w:sz w:val="22"/>
          <w:lang w:eastAsia="en-GB"/>
        </w:rPr>
        <w:t>X</w:t>
      </w:r>
      <w:r w:rsidRPr="00403CD6">
        <w:rPr>
          <w:sz w:val="22"/>
          <w:lang w:eastAsia="en-GB"/>
        </w:rPr>
        <w:t xml:space="preserve">] shall submit </w:t>
      </w:r>
      <w:r w:rsidR="00D61415" w:rsidRPr="00403CD6">
        <w:rPr>
          <w:sz w:val="22"/>
          <w:lang w:eastAsia="en-GB"/>
        </w:rPr>
        <w:t>the name or names</w:t>
      </w:r>
      <w:r w:rsidRPr="00403CD6">
        <w:rPr>
          <w:sz w:val="22"/>
          <w:lang w:eastAsia="en-GB"/>
        </w:rPr>
        <w:t xml:space="preserve"> of one or more </w:t>
      </w:r>
      <w:r w:rsidR="00134095" w:rsidRPr="00403CD6">
        <w:rPr>
          <w:sz w:val="22"/>
          <w:lang w:eastAsia="en-GB"/>
        </w:rPr>
        <w:t xml:space="preserve">natural or legal </w:t>
      </w:r>
      <w:r w:rsidRPr="00403CD6">
        <w:rPr>
          <w:sz w:val="22"/>
          <w:lang w:eastAsia="en-GB"/>
        </w:rPr>
        <w:t>persons whom [</w:t>
      </w:r>
      <w:r w:rsidRPr="00403CD6">
        <w:rPr>
          <w:i/>
          <w:sz w:val="22"/>
          <w:lang w:eastAsia="en-GB"/>
        </w:rPr>
        <w:t>X</w:t>
      </w:r>
      <w:r w:rsidRPr="00403CD6">
        <w:rPr>
          <w:sz w:val="22"/>
          <w:lang w:eastAsia="en-GB"/>
        </w:rPr>
        <w:t>] proposes to appoint as the Monitoring Trustee to the Commission for approval. No later than one month before the end of the First Divestiture Period or on request by the Commission, [</w:t>
      </w:r>
      <w:r w:rsidRPr="00403CD6">
        <w:rPr>
          <w:i/>
          <w:sz w:val="22"/>
          <w:lang w:eastAsia="en-GB"/>
        </w:rPr>
        <w:t>X</w:t>
      </w:r>
      <w:r w:rsidRPr="00403CD6">
        <w:rPr>
          <w:sz w:val="22"/>
          <w:lang w:eastAsia="en-GB"/>
        </w:rPr>
        <w:t xml:space="preserve">] shall submit a list of one or more persons whom [X] proposes to appoint as Divestiture Trustee to the Commission for approval. The proposal shall contain sufficient information for the Commission to verify that the </w:t>
      </w:r>
      <w:r w:rsidR="00D61415" w:rsidRPr="00403CD6">
        <w:rPr>
          <w:sz w:val="22"/>
          <w:lang w:eastAsia="en-GB"/>
        </w:rPr>
        <w:t xml:space="preserve">person or persons </w:t>
      </w:r>
      <w:r w:rsidRPr="00403CD6">
        <w:rPr>
          <w:sz w:val="22"/>
          <w:lang w:eastAsia="en-GB"/>
        </w:rPr>
        <w:t xml:space="preserve">proposed </w:t>
      </w:r>
      <w:r w:rsidR="00D61415" w:rsidRPr="00403CD6">
        <w:rPr>
          <w:sz w:val="22"/>
          <w:lang w:eastAsia="en-GB"/>
        </w:rPr>
        <w:t xml:space="preserve">as </w:t>
      </w:r>
      <w:r w:rsidRPr="00403CD6">
        <w:rPr>
          <w:sz w:val="22"/>
          <w:lang w:eastAsia="en-GB"/>
        </w:rPr>
        <w:t xml:space="preserve">Trustee fulfil the requirements set out in paragraph </w:t>
      </w:r>
      <w:r w:rsidRPr="00403CD6">
        <w:rPr>
          <w:sz w:val="22"/>
          <w:lang w:eastAsia="en-GB"/>
        </w:rPr>
        <w:fldChar w:fldCharType="begin"/>
      </w:r>
      <w:r w:rsidRPr="00403CD6">
        <w:rPr>
          <w:sz w:val="22"/>
          <w:lang w:eastAsia="en-GB"/>
        </w:rPr>
        <w:instrText xml:space="preserve"> REF _Ref31625366 \r \h  \* MERGEFORMAT </w:instrText>
      </w:r>
      <w:r w:rsidRPr="00403CD6">
        <w:rPr>
          <w:sz w:val="22"/>
          <w:lang w:eastAsia="en-GB"/>
        </w:rPr>
      </w:r>
      <w:r w:rsidRPr="00403CD6">
        <w:rPr>
          <w:sz w:val="22"/>
          <w:lang w:eastAsia="en-GB"/>
        </w:rPr>
        <w:fldChar w:fldCharType="separate"/>
      </w:r>
      <w:r w:rsidR="00D27117">
        <w:rPr>
          <w:sz w:val="22"/>
          <w:lang w:eastAsia="en-GB"/>
        </w:rPr>
        <w:t>21</w:t>
      </w:r>
      <w:r w:rsidRPr="00403CD6">
        <w:rPr>
          <w:sz w:val="22"/>
          <w:lang w:eastAsia="en-GB"/>
        </w:rPr>
        <w:fldChar w:fldCharType="end"/>
      </w:r>
      <w:r w:rsidRPr="00403CD6">
        <w:rPr>
          <w:sz w:val="22"/>
          <w:lang w:eastAsia="en-GB"/>
        </w:rPr>
        <w:t xml:space="preserve"> and shall include: </w:t>
      </w:r>
    </w:p>
    <w:p w:rsidR="00131156" w:rsidRPr="00403CD6" w:rsidRDefault="00131156" w:rsidP="00131156">
      <w:pPr>
        <w:tabs>
          <w:tab w:val="left" w:pos="600"/>
          <w:tab w:val="left" w:pos="1500"/>
          <w:tab w:val="left" w:pos="3600"/>
          <w:tab w:val="decimal" w:pos="3900"/>
          <w:tab w:val="left" w:pos="4800"/>
          <w:tab w:val="decimal" w:pos="5700"/>
        </w:tabs>
        <w:spacing w:after="0" w:line="300" w:lineRule="exact"/>
        <w:ind w:left="357"/>
        <w:rPr>
          <w:sz w:val="22"/>
          <w:lang w:eastAsia="en-GB"/>
        </w:rPr>
      </w:pPr>
    </w:p>
    <w:p w:rsidR="003475B5"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lang w:eastAsia="en-GB"/>
        </w:rPr>
      </w:pPr>
      <w:r w:rsidRPr="00403CD6">
        <w:rPr>
          <w:sz w:val="22"/>
          <w:lang w:eastAsia="en-GB"/>
        </w:rPr>
        <w:t>(a)</w:t>
      </w:r>
      <w:r w:rsidRPr="00403CD6">
        <w:rPr>
          <w:sz w:val="22"/>
          <w:lang w:eastAsia="en-GB"/>
        </w:rPr>
        <w:tab/>
        <w:t xml:space="preserve">the full terms of the proposed mandate, which shall include all provisions necessary to enable the Trustee to fulfil its duties under these Commitments; </w:t>
      </w:r>
    </w:p>
    <w:p w:rsidR="00F551D7" w:rsidRPr="00403CD6" w:rsidRDefault="00F551D7" w:rsidP="003475B5">
      <w:pPr>
        <w:tabs>
          <w:tab w:val="left" w:pos="1418"/>
          <w:tab w:val="left" w:pos="1500"/>
          <w:tab w:val="left" w:pos="3600"/>
          <w:tab w:val="decimal" w:pos="3900"/>
          <w:tab w:val="left" w:pos="4800"/>
          <w:tab w:val="decimal" w:pos="5700"/>
        </w:tabs>
        <w:spacing w:after="0" w:line="300" w:lineRule="exact"/>
        <w:ind w:left="1418" w:hanging="851"/>
        <w:rPr>
          <w:sz w:val="22"/>
          <w:lang w:eastAsia="en-GB"/>
        </w:rPr>
      </w:pPr>
    </w:p>
    <w:p w:rsidR="003475B5"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lang w:eastAsia="en-GB"/>
        </w:rPr>
      </w:pPr>
      <w:r w:rsidRPr="00403CD6">
        <w:rPr>
          <w:sz w:val="22"/>
          <w:lang w:eastAsia="en-GB"/>
        </w:rPr>
        <w:t>(b)</w:t>
      </w:r>
      <w:r w:rsidRPr="00403CD6">
        <w:rPr>
          <w:sz w:val="22"/>
          <w:lang w:eastAsia="en-GB"/>
        </w:rPr>
        <w:tab/>
        <w:t xml:space="preserve">the outline of a work plan which describes how the Trustee intends to carry out its assigned tasks; </w:t>
      </w:r>
    </w:p>
    <w:p w:rsidR="00F551D7" w:rsidRPr="00403CD6" w:rsidRDefault="00F551D7" w:rsidP="003475B5">
      <w:pPr>
        <w:tabs>
          <w:tab w:val="left" w:pos="1418"/>
          <w:tab w:val="left" w:pos="1500"/>
          <w:tab w:val="left" w:pos="3600"/>
          <w:tab w:val="decimal" w:pos="3900"/>
          <w:tab w:val="left" w:pos="4800"/>
          <w:tab w:val="decimal" w:pos="5700"/>
        </w:tabs>
        <w:spacing w:after="0" w:line="300" w:lineRule="exact"/>
        <w:ind w:left="1418" w:hanging="851"/>
        <w:rPr>
          <w:sz w:val="22"/>
          <w:lang w:eastAsia="en-GB"/>
        </w:rPr>
      </w:pPr>
    </w:p>
    <w:p w:rsidR="003475B5" w:rsidRPr="00403CD6" w:rsidRDefault="003475B5" w:rsidP="003475B5">
      <w:pPr>
        <w:tabs>
          <w:tab w:val="left" w:pos="1418"/>
          <w:tab w:val="left" w:pos="1500"/>
          <w:tab w:val="left" w:pos="3600"/>
          <w:tab w:val="decimal" w:pos="3900"/>
          <w:tab w:val="left" w:pos="4800"/>
          <w:tab w:val="decimal" w:pos="5700"/>
        </w:tabs>
        <w:spacing w:after="0" w:line="300" w:lineRule="exact"/>
        <w:ind w:left="1418" w:hanging="851"/>
        <w:rPr>
          <w:sz w:val="22"/>
          <w:lang w:eastAsia="en-GB"/>
        </w:rPr>
      </w:pPr>
      <w:r w:rsidRPr="00403CD6">
        <w:rPr>
          <w:sz w:val="22"/>
          <w:lang w:eastAsia="en-GB"/>
        </w:rPr>
        <w:t xml:space="preserve">(c) </w:t>
      </w:r>
      <w:r w:rsidRPr="00403CD6">
        <w:rPr>
          <w:sz w:val="22"/>
          <w:lang w:eastAsia="en-GB"/>
        </w:rPr>
        <w:tab/>
        <w:t>an indication whether the proposed Trustee is to act as both Monitoring Trustee and Divestiture Trustee or whether different trustees are proposed for the two functions.</w:t>
      </w:r>
      <w:bookmarkEnd w:id="19"/>
      <w:bookmarkEnd w:id="20"/>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lang w:eastAsia="en-GB"/>
        </w:rPr>
      </w:pPr>
      <w:r w:rsidRPr="00403CD6">
        <w:rPr>
          <w:sz w:val="22"/>
          <w:lang w:eastAsia="en-GB"/>
        </w:rPr>
        <w:tab/>
      </w:r>
      <w:r w:rsidRPr="00403CD6">
        <w:rPr>
          <w:sz w:val="22"/>
          <w:lang w:eastAsia="en-GB"/>
        </w:rPr>
        <w:tab/>
      </w:r>
      <w:r w:rsidRPr="00403CD6">
        <w:rPr>
          <w:i/>
          <w:sz w:val="22"/>
          <w:lang w:eastAsia="en-GB"/>
        </w:rPr>
        <w:t>Approval or rejection by the Commission</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bookmarkStart w:id="21" w:name="_Ref8211164"/>
      <w:bookmarkStart w:id="22" w:name="_Ref13391905"/>
      <w:r w:rsidRPr="00403CD6">
        <w:rPr>
          <w:sz w:val="22"/>
          <w:lang w:eastAsia="en-GB"/>
        </w:rPr>
        <w:t xml:space="preserve">The Commission shall have the discretion to approve or reject the </w:t>
      </w:r>
      <w:r w:rsidRPr="00403CD6">
        <w:rPr>
          <w:sz w:val="22"/>
          <w:lang w:val="en-US" w:eastAsia="en-GB"/>
        </w:rPr>
        <w:t>proposed Trustee(s)</w:t>
      </w:r>
      <w:r w:rsidRPr="00403CD6">
        <w:rPr>
          <w:sz w:val="22"/>
          <w:lang w:eastAsia="en-GB"/>
        </w:rPr>
        <w:t xml:space="preserve"> and to approve the proposed mandate subject to any modifications it deems necessary for the Trustee to fulfil its obligations. If only one name is approved, </w:t>
      </w:r>
      <w:r w:rsidRPr="00403CD6">
        <w:rPr>
          <w:sz w:val="22"/>
          <w:lang w:val="en-US" w:eastAsia="en-GB"/>
        </w:rPr>
        <w:t>[</w:t>
      </w:r>
      <w:r w:rsidRPr="00403CD6">
        <w:rPr>
          <w:i/>
          <w:sz w:val="22"/>
          <w:lang w:val="en-US" w:eastAsia="en-GB"/>
        </w:rPr>
        <w:t>X</w:t>
      </w:r>
      <w:r w:rsidRPr="00403CD6">
        <w:rPr>
          <w:sz w:val="22"/>
          <w:lang w:val="en-US" w:eastAsia="en-GB"/>
        </w:rPr>
        <w:t>]</w:t>
      </w:r>
      <w:r w:rsidRPr="00403CD6">
        <w:rPr>
          <w:sz w:val="22"/>
          <w:lang w:eastAsia="en-GB"/>
        </w:rPr>
        <w:t xml:space="preserve"> shall appoint or cause to be appointed the </w:t>
      </w:r>
      <w:r w:rsidR="00134095" w:rsidRPr="00403CD6">
        <w:rPr>
          <w:sz w:val="22"/>
          <w:lang w:eastAsia="en-GB"/>
        </w:rPr>
        <w:t xml:space="preserve">person or </w:t>
      </w:r>
      <w:r w:rsidR="00EB3D9B" w:rsidRPr="00403CD6">
        <w:rPr>
          <w:sz w:val="22"/>
          <w:lang w:eastAsia="en-GB"/>
        </w:rPr>
        <w:t>persons</w:t>
      </w:r>
      <w:r w:rsidRPr="00403CD6">
        <w:rPr>
          <w:sz w:val="22"/>
          <w:lang w:eastAsia="en-GB"/>
        </w:rPr>
        <w:t xml:space="preserve"> concerned as Trustee, in accordance with the mandate approved by the Commission. If more than one name is approved, </w:t>
      </w:r>
      <w:r w:rsidRPr="00403CD6">
        <w:rPr>
          <w:sz w:val="22"/>
          <w:lang w:val="en-US" w:eastAsia="en-GB"/>
        </w:rPr>
        <w:t>[</w:t>
      </w:r>
      <w:r w:rsidRPr="00403CD6">
        <w:rPr>
          <w:i/>
          <w:sz w:val="22"/>
          <w:lang w:val="en-US" w:eastAsia="en-GB"/>
        </w:rPr>
        <w:t>X</w:t>
      </w:r>
      <w:r w:rsidRPr="00403CD6">
        <w:rPr>
          <w:sz w:val="22"/>
          <w:lang w:val="en-US" w:eastAsia="en-GB"/>
        </w:rPr>
        <w:t>]</w:t>
      </w:r>
      <w:r w:rsidRPr="00403CD6">
        <w:rPr>
          <w:sz w:val="22"/>
          <w:lang w:eastAsia="en-GB"/>
        </w:rPr>
        <w:t xml:space="preserve"> shall be free to choose the Trustee to be appointed from among the names approved.</w:t>
      </w:r>
      <w:bookmarkEnd w:id="21"/>
      <w:r w:rsidRPr="00403CD6">
        <w:rPr>
          <w:sz w:val="22"/>
          <w:lang w:eastAsia="en-GB"/>
        </w:rPr>
        <w:t xml:space="preserve"> The Trustee shall be appointed within one week of the Commission’s approval, in accordance with the mandate approved by the Commission.</w:t>
      </w:r>
      <w:bookmarkEnd w:id="22"/>
    </w:p>
    <w:p w:rsidR="00FC3716" w:rsidRPr="00403CD6" w:rsidRDefault="00FC3716" w:rsidP="00FC3716">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ab/>
      </w:r>
      <w:r w:rsidRPr="00403CD6">
        <w:rPr>
          <w:sz w:val="22"/>
          <w:lang w:eastAsia="en-GB"/>
        </w:rPr>
        <w:tab/>
      </w:r>
      <w:r w:rsidRPr="00403CD6">
        <w:rPr>
          <w:i/>
          <w:sz w:val="22"/>
          <w:lang w:eastAsia="en-GB"/>
        </w:rPr>
        <w:t xml:space="preserve">New proposal by the </w:t>
      </w:r>
      <w:r w:rsidR="00134095" w:rsidRPr="00403CD6">
        <w:rPr>
          <w:i/>
          <w:sz w:val="22"/>
          <w:lang w:eastAsia="en-GB"/>
        </w:rPr>
        <w:t>[X]</w:t>
      </w:r>
    </w:p>
    <w:p w:rsidR="003475B5" w:rsidRPr="00403CD6" w:rsidRDefault="003475B5" w:rsidP="003475B5">
      <w:pPr>
        <w:keepNext/>
        <w:spacing w:after="0" w:line="300" w:lineRule="exact"/>
        <w:rPr>
          <w:sz w:val="22"/>
          <w:lang w:eastAsia="en-GB"/>
        </w:rPr>
      </w:pPr>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r w:rsidRPr="00403CD6">
        <w:rPr>
          <w:sz w:val="22"/>
          <w:lang w:eastAsia="en-GB"/>
        </w:rPr>
        <w:t xml:space="preserve">If all the proposed Trustees are rejected, </w:t>
      </w:r>
      <w:r w:rsidRPr="00403CD6">
        <w:rPr>
          <w:sz w:val="22"/>
          <w:lang w:val="en-US" w:eastAsia="en-GB"/>
        </w:rPr>
        <w:t>[</w:t>
      </w:r>
      <w:r w:rsidRPr="00403CD6">
        <w:rPr>
          <w:i/>
          <w:sz w:val="22"/>
          <w:lang w:val="en-US" w:eastAsia="en-GB"/>
        </w:rPr>
        <w:t>X</w:t>
      </w:r>
      <w:r w:rsidRPr="00403CD6">
        <w:rPr>
          <w:sz w:val="22"/>
          <w:lang w:val="en-US" w:eastAsia="en-GB"/>
        </w:rPr>
        <w:t>]</w:t>
      </w:r>
      <w:r w:rsidRPr="00403CD6">
        <w:rPr>
          <w:sz w:val="22"/>
          <w:lang w:eastAsia="en-GB"/>
        </w:rPr>
        <w:t xml:space="preserve"> shall submit the names of at least two more natural or legal persons within one week of being informed of the rejection, in accordance with paragraphs </w:t>
      </w:r>
      <w:r w:rsidRPr="00403CD6">
        <w:rPr>
          <w:sz w:val="22"/>
          <w:lang w:eastAsia="en-GB"/>
        </w:rPr>
        <w:fldChar w:fldCharType="begin"/>
      </w:r>
      <w:r w:rsidRPr="00403CD6">
        <w:rPr>
          <w:sz w:val="22"/>
          <w:lang w:eastAsia="en-GB"/>
        </w:rPr>
        <w:instrText xml:space="preserve"> REF _Ref13461341 \r \h  \* MERGEFORMAT </w:instrText>
      </w:r>
      <w:r w:rsidRPr="00403CD6">
        <w:rPr>
          <w:sz w:val="22"/>
          <w:lang w:eastAsia="en-GB"/>
        </w:rPr>
      </w:r>
      <w:r w:rsidRPr="00403CD6">
        <w:rPr>
          <w:sz w:val="22"/>
          <w:lang w:eastAsia="en-GB"/>
        </w:rPr>
        <w:fldChar w:fldCharType="separate"/>
      </w:r>
      <w:r w:rsidR="00D27117">
        <w:rPr>
          <w:sz w:val="22"/>
          <w:lang w:eastAsia="en-GB"/>
        </w:rPr>
        <w:t>19</w:t>
      </w:r>
      <w:r w:rsidRPr="00403CD6">
        <w:rPr>
          <w:sz w:val="22"/>
          <w:lang w:eastAsia="en-GB"/>
        </w:rPr>
        <w:fldChar w:fldCharType="end"/>
      </w:r>
      <w:r w:rsidRPr="00403CD6">
        <w:rPr>
          <w:sz w:val="22"/>
          <w:lang w:eastAsia="en-GB"/>
        </w:rPr>
        <w:t xml:space="preserve"> and </w:t>
      </w:r>
      <w:r w:rsidRPr="00403CD6">
        <w:rPr>
          <w:sz w:val="22"/>
          <w:lang w:eastAsia="en-GB"/>
        </w:rPr>
        <w:fldChar w:fldCharType="begin"/>
      </w:r>
      <w:r w:rsidRPr="00403CD6">
        <w:rPr>
          <w:sz w:val="22"/>
          <w:lang w:eastAsia="en-GB"/>
        </w:rPr>
        <w:instrText xml:space="preserve"> REF _Ref8211164 \r \h  \* MERGEFORMAT </w:instrText>
      </w:r>
      <w:r w:rsidRPr="00403CD6">
        <w:rPr>
          <w:sz w:val="22"/>
          <w:lang w:eastAsia="en-GB"/>
        </w:rPr>
      </w:r>
      <w:r w:rsidRPr="00403CD6">
        <w:rPr>
          <w:sz w:val="22"/>
          <w:lang w:eastAsia="en-GB"/>
        </w:rPr>
        <w:fldChar w:fldCharType="separate"/>
      </w:r>
      <w:r w:rsidR="00D27117">
        <w:rPr>
          <w:sz w:val="22"/>
          <w:lang w:eastAsia="en-GB"/>
        </w:rPr>
        <w:t>24</w:t>
      </w:r>
      <w:r w:rsidRPr="00403CD6">
        <w:rPr>
          <w:sz w:val="22"/>
          <w:lang w:eastAsia="en-GB"/>
        </w:rPr>
        <w:fldChar w:fldCharType="end"/>
      </w:r>
      <w:r w:rsidR="001E1F71">
        <w:rPr>
          <w:sz w:val="22"/>
          <w:lang w:eastAsia="en-GB"/>
        </w:rPr>
        <w:t xml:space="preserve"> of these Commitments</w:t>
      </w:r>
      <w:r w:rsidRPr="00403CD6">
        <w:rPr>
          <w:sz w:val="22"/>
          <w:lang w:eastAsia="en-GB"/>
        </w:rPr>
        <w:t xml:space="preserve">. </w:t>
      </w:r>
    </w:p>
    <w:p w:rsidR="00FC3716" w:rsidRPr="00403CD6" w:rsidRDefault="00FC3716" w:rsidP="00FC3716">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ab/>
      </w:r>
      <w:r w:rsidRPr="00403CD6">
        <w:rPr>
          <w:sz w:val="22"/>
          <w:lang w:eastAsia="en-GB"/>
        </w:rPr>
        <w:tab/>
      </w:r>
      <w:r w:rsidRPr="00403CD6">
        <w:rPr>
          <w:i/>
          <w:sz w:val="22"/>
          <w:lang w:eastAsia="en-GB"/>
        </w:rPr>
        <w:t>Trustee nominated by the Commission</w:t>
      </w:r>
    </w:p>
    <w:p w:rsidR="003475B5" w:rsidRPr="00403CD6" w:rsidRDefault="003475B5" w:rsidP="003475B5">
      <w:pPr>
        <w:keepNext/>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23" w:name="_Ref487366656"/>
      <w:r w:rsidRPr="00403CD6">
        <w:rPr>
          <w:sz w:val="22"/>
          <w:lang w:eastAsia="en-GB"/>
        </w:rPr>
        <w:t xml:space="preserve">If all further proposed Trustees are rejected by the Commission, the Commission shall nominate a Trustee, whom </w:t>
      </w:r>
      <w:r w:rsidRPr="00403CD6">
        <w:rPr>
          <w:sz w:val="22"/>
          <w:lang w:val="en-US" w:eastAsia="en-GB"/>
        </w:rPr>
        <w:t>[</w:t>
      </w:r>
      <w:r w:rsidRPr="00403CD6">
        <w:rPr>
          <w:i/>
          <w:sz w:val="22"/>
          <w:lang w:val="en-US" w:eastAsia="en-GB"/>
        </w:rPr>
        <w:t>X</w:t>
      </w:r>
      <w:r w:rsidRPr="00403CD6">
        <w:rPr>
          <w:sz w:val="22"/>
          <w:lang w:val="en-US" w:eastAsia="en-GB"/>
        </w:rPr>
        <w:t>]</w:t>
      </w:r>
      <w:r w:rsidRPr="00403CD6">
        <w:rPr>
          <w:sz w:val="22"/>
          <w:lang w:eastAsia="en-GB"/>
        </w:rPr>
        <w:t xml:space="preserve"> shall appoint, or cause to be appointed, in accordance with a trustee mandate approved by the Commission.</w:t>
      </w:r>
      <w:bookmarkEnd w:id="23"/>
    </w:p>
    <w:p w:rsidR="00FC3716" w:rsidRPr="00403CD6" w:rsidRDefault="00FC3716" w:rsidP="00FC3716">
      <w:pPr>
        <w:tabs>
          <w:tab w:val="left" w:pos="600"/>
          <w:tab w:val="left" w:pos="1500"/>
          <w:tab w:val="left" w:pos="3600"/>
          <w:tab w:val="decimal" w:pos="3900"/>
          <w:tab w:val="left" w:pos="4800"/>
          <w:tab w:val="decimal" w:pos="5700"/>
        </w:tabs>
        <w:spacing w:after="0" w:line="300" w:lineRule="exact"/>
        <w:rPr>
          <w:sz w:val="22"/>
          <w:lang w:eastAsia="en-GB"/>
        </w:rPr>
      </w:pPr>
    </w:p>
    <w:p w:rsidR="00FC3716" w:rsidRPr="00403CD6" w:rsidRDefault="00FC3716" w:rsidP="00FC3716">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sz w:val="22"/>
          <w:u w:val="single"/>
          <w:lang w:eastAsia="en-GB"/>
        </w:rPr>
      </w:pPr>
      <w:r w:rsidRPr="00403CD6">
        <w:rPr>
          <w:sz w:val="22"/>
          <w:lang w:eastAsia="en-GB"/>
        </w:rPr>
        <w:tab/>
        <w:t>II.</w:t>
      </w:r>
      <w:r w:rsidRPr="00403CD6">
        <w:rPr>
          <w:sz w:val="22"/>
          <w:lang w:eastAsia="en-GB"/>
        </w:rPr>
        <w:tab/>
      </w:r>
      <w:r w:rsidRPr="00403CD6">
        <w:rPr>
          <w:sz w:val="22"/>
          <w:u w:val="single"/>
          <w:lang w:eastAsia="en-GB"/>
        </w:rPr>
        <w:t>Functions of the Trustee</w:t>
      </w: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keepNext/>
        <w:keepLines/>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24" w:name="_Ref31619362"/>
      <w:r w:rsidRPr="00403CD6">
        <w:rPr>
          <w:sz w:val="22"/>
          <w:lang w:eastAsia="en-GB"/>
        </w:rPr>
        <w:t>The Trustee shall assume its specified duties</w:t>
      </w:r>
      <w:r w:rsidR="00134095" w:rsidRPr="00403CD6">
        <w:rPr>
          <w:sz w:val="22"/>
          <w:lang w:eastAsia="en-GB"/>
        </w:rPr>
        <w:t xml:space="preserve"> </w:t>
      </w:r>
      <w:r w:rsidR="00A04C66" w:rsidRPr="00403CD6">
        <w:rPr>
          <w:sz w:val="22"/>
          <w:lang w:eastAsia="en-GB"/>
        </w:rPr>
        <w:t>and obligations</w:t>
      </w:r>
      <w:r w:rsidRPr="00403CD6">
        <w:rPr>
          <w:sz w:val="22"/>
          <w:lang w:eastAsia="en-GB"/>
        </w:rPr>
        <w:t xml:space="preserve"> in order to ensure compliance with the Commitments. The Commission may, on its own initiative or at the request of the Trustee or [</w:t>
      </w:r>
      <w:r w:rsidRPr="00403CD6">
        <w:rPr>
          <w:i/>
          <w:sz w:val="22"/>
          <w:lang w:eastAsia="en-GB"/>
        </w:rPr>
        <w:t>X</w:t>
      </w:r>
      <w:r w:rsidRPr="00403CD6">
        <w:rPr>
          <w:sz w:val="22"/>
          <w:lang w:eastAsia="en-GB"/>
        </w:rPr>
        <w:t>], give any orders or instructions to the Trustee in order to ensure compliance with the conditions and obligations attached to the Decision.</w:t>
      </w:r>
      <w:bookmarkEnd w:id="24"/>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567" w:hanging="567"/>
        <w:rPr>
          <w:sz w:val="22"/>
          <w:lang w:eastAsia="en-GB"/>
        </w:rPr>
      </w:pP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i/>
          <w:sz w:val="22"/>
          <w:lang w:eastAsia="en-GB"/>
        </w:rPr>
      </w:pPr>
      <w:r w:rsidRPr="00403CD6">
        <w:rPr>
          <w:sz w:val="22"/>
          <w:lang w:eastAsia="en-GB"/>
        </w:rPr>
        <w:tab/>
      </w:r>
      <w:r w:rsidRPr="00403CD6">
        <w:rPr>
          <w:sz w:val="22"/>
          <w:lang w:eastAsia="en-GB"/>
        </w:rPr>
        <w:tab/>
      </w:r>
      <w:r w:rsidRPr="00403CD6">
        <w:rPr>
          <w:i/>
          <w:sz w:val="22"/>
          <w:lang w:eastAsia="en-GB"/>
        </w:rPr>
        <w:t>Duties and obligations of the Monitoring Trustee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ind w:left="567" w:hanging="567"/>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25" w:name="_Ref31619363"/>
      <w:r w:rsidRPr="00403CD6">
        <w:rPr>
          <w:sz w:val="22"/>
          <w:lang w:eastAsia="en-GB"/>
        </w:rPr>
        <w:t>The Monitoring Trustee shall:</w:t>
      </w:r>
      <w:bookmarkEnd w:id="25"/>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lang w:eastAsia="en-GB"/>
        </w:rPr>
      </w:pPr>
      <w:r w:rsidRPr="00403CD6">
        <w:rPr>
          <w:sz w:val="22"/>
          <w:lang w:eastAsia="en-GB"/>
        </w:rPr>
        <w:t xml:space="preserve">      </w:t>
      </w:r>
      <w:r w:rsidRPr="00403CD6">
        <w:rPr>
          <w:sz w:val="22"/>
          <w:lang w:eastAsia="en-GB"/>
        </w:rPr>
        <w:tab/>
        <w:t xml:space="preserve">propose in its first report to the Commission a detailed work plan describing how it intends to monitor compliance with the obligations and conditions attached to the Decision. </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rPr>
          <w:sz w:val="22"/>
          <w:lang w:eastAsia="en-GB"/>
        </w:rPr>
      </w:pPr>
    </w:p>
    <w:p w:rsidR="003475B5" w:rsidRPr="00403CD6" w:rsidRDefault="00EB3D9B"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lang w:eastAsia="en-GB"/>
        </w:rPr>
      </w:pPr>
      <w:r w:rsidRPr="00403CD6">
        <w:rPr>
          <w:sz w:val="22"/>
          <w:lang w:eastAsia="en-GB"/>
        </w:rPr>
        <w:t>o</w:t>
      </w:r>
      <w:r w:rsidR="003475B5" w:rsidRPr="00403CD6">
        <w:rPr>
          <w:sz w:val="22"/>
          <w:lang w:eastAsia="en-GB"/>
        </w:rPr>
        <w:t>versee, in close co-operation with the Hold Separate Manager, the on-going management of the Divestment Business with a view to ensuring its continued economic viability, marketability and competitiveness and monitor compliance by [</w:t>
      </w:r>
      <w:r w:rsidR="003475B5" w:rsidRPr="00403CD6">
        <w:rPr>
          <w:i/>
          <w:sz w:val="22"/>
          <w:lang w:eastAsia="en-GB"/>
        </w:rPr>
        <w:t>X</w:t>
      </w:r>
      <w:r w:rsidR="003475B5" w:rsidRPr="00403CD6">
        <w:rPr>
          <w:sz w:val="22"/>
          <w:lang w:eastAsia="en-GB"/>
        </w:rPr>
        <w:t xml:space="preserve">] with the conditions and obligations attached to the Decision. To that end the Monitoring Trustee shall: </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lang w:eastAsia="en-GB"/>
        </w:rPr>
      </w:pP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r w:rsidRPr="00403CD6">
        <w:rPr>
          <w:sz w:val="22"/>
          <w:lang w:eastAsia="en-GB"/>
        </w:rPr>
        <w:tab/>
      </w:r>
      <w:r w:rsidRPr="00403CD6">
        <w:rPr>
          <w:sz w:val="22"/>
          <w:lang w:eastAsia="en-GB"/>
        </w:rPr>
        <w:tab/>
        <w:t>(a)</w:t>
      </w:r>
      <w:r w:rsidRPr="00403CD6">
        <w:rPr>
          <w:sz w:val="22"/>
          <w:lang w:eastAsia="en-GB"/>
        </w:rPr>
        <w:tab/>
        <w:t xml:space="preserve">monitor the preservation of the economic viability, marketability and competitiveness of the Divestment Business, and the keeping separate of the Divestment Business from the business retained by the Parties, in accordance with paragraphs </w:t>
      </w:r>
      <w:r w:rsidRPr="00403CD6">
        <w:rPr>
          <w:sz w:val="22"/>
          <w:lang w:eastAsia="en-GB"/>
        </w:rPr>
        <w:fldChar w:fldCharType="begin"/>
      </w:r>
      <w:r w:rsidRPr="00403CD6">
        <w:rPr>
          <w:sz w:val="22"/>
          <w:lang w:eastAsia="en-GB"/>
        </w:rPr>
        <w:instrText xml:space="preserve"> REF _Ref4232856 \r \h  \* MERGEFORMAT </w:instrText>
      </w:r>
      <w:r w:rsidRPr="00403CD6">
        <w:rPr>
          <w:sz w:val="22"/>
          <w:lang w:eastAsia="en-GB"/>
        </w:rPr>
      </w:r>
      <w:r w:rsidRPr="00403CD6">
        <w:rPr>
          <w:sz w:val="22"/>
          <w:lang w:eastAsia="en-GB"/>
        </w:rPr>
        <w:fldChar w:fldCharType="separate"/>
      </w:r>
      <w:r w:rsidR="00D27117">
        <w:rPr>
          <w:sz w:val="22"/>
          <w:lang w:eastAsia="en-GB"/>
        </w:rPr>
        <w:t>8</w:t>
      </w:r>
      <w:r w:rsidRPr="00403CD6">
        <w:rPr>
          <w:sz w:val="22"/>
          <w:lang w:eastAsia="en-GB"/>
        </w:rPr>
        <w:fldChar w:fldCharType="end"/>
      </w:r>
      <w:r w:rsidRPr="00403CD6">
        <w:rPr>
          <w:sz w:val="22"/>
          <w:lang w:eastAsia="en-GB"/>
        </w:rPr>
        <w:t xml:space="preserve"> and </w:t>
      </w:r>
      <w:r w:rsidRPr="00403CD6">
        <w:rPr>
          <w:sz w:val="22"/>
          <w:lang w:eastAsia="en-GB"/>
        </w:rPr>
        <w:fldChar w:fldCharType="begin"/>
      </w:r>
      <w:r w:rsidRPr="00403CD6">
        <w:rPr>
          <w:sz w:val="22"/>
          <w:lang w:eastAsia="en-GB"/>
        </w:rPr>
        <w:instrText xml:space="preserve"> REF _Ref4232781 \r \h  \* MERGEFORMAT </w:instrText>
      </w:r>
      <w:r w:rsidRPr="00403CD6">
        <w:rPr>
          <w:sz w:val="22"/>
          <w:lang w:eastAsia="en-GB"/>
        </w:rPr>
      </w:r>
      <w:r w:rsidRPr="00403CD6">
        <w:rPr>
          <w:sz w:val="22"/>
          <w:lang w:eastAsia="en-GB"/>
        </w:rPr>
        <w:fldChar w:fldCharType="separate"/>
      </w:r>
      <w:r w:rsidR="00D27117">
        <w:rPr>
          <w:sz w:val="22"/>
          <w:lang w:eastAsia="en-GB"/>
        </w:rPr>
        <w:t>9</w:t>
      </w:r>
      <w:r w:rsidRPr="00403CD6">
        <w:rPr>
          <w:sz w:val="22"/>
          <w:lang w:eastAsia="en-GB"/>
        </w:rPr>
        <w:fldChar w:fldCharType="end"/>
      </w:r>
      <w:r w:rsidRPr="00403CD6">
        <w:rPr>
          <w:sz w:val="22"/>
          <w:lang w:eastAsia="en-GB"/>
        </w:rPr>
        <w:t xml:space="preserve"> of the</w:t>
      </w:r>
      <w:r w:rsidR="004E3DF4" w:rsidRPr="00403CD6">
        <w:rPr>
          <w:sz w:val="22"/>
          <w:lang w:eastAsia="en-GB"/>
        </w:rPr>
        <w:t>se</w:t>
      </w:r>
      <w:r w:rsidRPr="00403CD6">
        <w:rPr>
          <w:sz w:val="22"/>
          <w:lang w:eastAsia="en-GB"/>
        </w:rPr>
        <w:t xml:space="preserve"> Commitments;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r w:rsidRPr="00403CD6">
        <w:rPr>
          <w:sz w:val="22"/>
          <w:lang w:eastAsia="en-GB"/>
        </w:rPr>
        <w:tab/>
      </w:r>
      <w:r w:rsidRPr="00403CD6">
        <w:rPr>
          <w:sz w:val="22"/>
          <w:lang w:eastAsia="en-GB"/>
        </w:rPr>
        <w:tab/>
        <w:t>(b)</w:t>
      </w:r>
      <w:r w:rsidRPr="00403CD6">
        <w:rPr>
          <w:sz w:val="22"/>
          <w:lang w:eastAsia="en-GB"/>
        </w:rPr>
        <w:tab/>
        <w:t xml:space="preserve">supervise the management of the Divestment Business as a distinct and saleable entity, in accordance with paragraph </w:t>
      </w:r>
      <w:r w:rsidRPr="00403CD6">
        <w:rPr>
          <w:sz w:val="22"/>
          <w:lang w:eastAsia="en-GB"/>
        </w:rPr>
        <w:fldChar w:fldCharType="begin"/>
      </w:r>
      <w:r w:rsidRPr="00403CD6">
        <w:rPr>
          <w:sz w:val="22"/>
          <w:lang w:eastAsia="en-GB"/>
        </w:rPr>
        <w:instrText xml:space="preserve"> REF _Ref4232784 \r \h  \* MERGEFORMAT </w:instrText>
      </w:r>
      <w:r w:rsidRPr="00403CD6">
        <w:rPr>
          <w:sz w:val="22"/>
          <w:lang w:eastAsia="en-GB"/>
        </w:rPr>
      </w:r>
      <w:r w:rsidRPr="00403CD6">
        <w:rPr>
          <w:sz w:val="22"/>
          <w:lang w:eastAsia="en-GB"/>
        </w:rPr>
        <w:fldChar w:fldCharType="separate"/>
      </w:r>
      <w:r w:rsidR="00D27117">
        <w:rPr>
          <w:sz w:val="22"/>
          <w:lang w:eastAsia="en-GB"/>
        </w:rPr>
        <w:t>10</w:t>
      </w:r>
      <w:r w:rsidRPr="00403CD6">
        <w:rPr>
          <w:sz w:val="22"/>
          <w:lang w:eastAsia="en-GB"/>
        </w:rPr>
        <w:fldChar w:fldCharType="end"/>
      </w:r>
      <w:r w:rsidRPr="00403CD6">
        <w:rPr>
          <w:sz w:val="22"/>
          <w:lang w:eastAsia="en-GB"/>
        </w:rPr>
        <w:t xml:space="preserve"> of the</w:t>
      </w:r>
      <w:r w:rsidR="004E3DF4" w:rsidRPr="00403CD6">
        <w:rPr>
          <w:sz w:val="22"/>
          <w:lang w:eastAsia="en-GB"/>
        </w:rPr>
        <w:t>se</w:t>
      </w:r>
      <w:r w:rsidRPr="00403CD6">
        <w:rPr>
          <w:sz w:val="22"/>
          <w:lang w:eastAsia="en-GB"/>
        </w:rPr>
        <w:t xml:space="preserve"> Commitments; </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p>
    <w:p w:rsidR="00134095" w:rsidRPr="00403CD6" w:rsidRDefault="00716E67"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r w:rsidRPr="00403CD6">
        <w:rPr>
          <w:sz w:val="22"/>
          <w:lang w:eastAsia="en-GB"/>
        </w:rPr>
        <w:tab/>
      </w:r>
      <w:r w:rsidRPr="00403CD6">
        <w:rPr>
          <w:sz w:val="22"/>
          <w:lang w:eastAsia="en-GB"/>
        </w:rPr>
        <w:tab/>
        <w:t>(c)</w:t>
      </w:r>
      <w:r w:rsidRPr="00403CD6">
        <w:rPr>
          <w:sz w:val="22"/>
          <w:lang w:eastAsia="en-GB"/>
        </w:rPr>
        <w:tab/>
      </w:r>
      <w:r w:rsidR="00134095" w:rsidRPr="00403CD6">
        <w:rPr>
          <w:sz w:val="22"/>
          <w:lang w:eastAsia="en-GB"/>
        </w:rPr>
        <w:t>with respect to Confidential Information:</w:t>
      </w:r>
    </w:p>
    <w:p w:rsidR="00134095" w:rsidRPr="00403CD6" w:rsidRDefault="0013409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p>
    <w:p w:rsidR="00134095" w:rsidRPr="00403CD6"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determine all necessary measures to ensure that [X] does not after the Effective Date obtain any Confidential Information relating to the Divestment Business, </w:t>
      </w:r>
    </w:p>
    <w:p w:rsidR="00134095" w:rsidRPr="00403CD6"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in particular strive for the severing of the Divestment Business’ participation in a central information technology network to the extent possible, without compromising the viability of the Divestment Business, </w:t>
      </w:r>
    </w:p>
    <w:p w:rsidR="00134095" w:rsidRPr="00403CD6"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make sure that any Confidential Information relating to the Divestment Business obtained by [X] before the Effective Date is eliminated and will not be used by [X] and </w:t>
      </w:r>
    </w:p>
    <w:p w:rsidR="003475B5" w:rsidRPr="00403CD6" w:rsidRDefault="003475B5" w:rsidP="003704F0">
      <w:pPr>
        <w:numPr>
          <w:ilvl w:val="0"/>
          <w:numId w:val="8"/>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lastRenderedPageBreak/>
        <w:t xml:space="preserve">decide whether such information may be disclosed to or kept by [X] as the disclosure is reasonably necessary to allow [X] to carry out the divestiture or as the disclosure is required by law; </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p>
    <w:p w:rsidR="003475B5" w:rsidRPr="00403CD6" w:rsidRDefault="003475B5" w:rsidP="003475B5">
      <w:pPr>
        <w:tabs>
          <w:tab w:val="left" w:pos="600"/>
          <w:tab w:val="left" w:pos="1276"/>
          <w:tab w:val="left" w:pos="1701"/>
          <w:tab w:val="decimal" w:pos="3900"/>
          <w:tab w:val="left" w:pos="4800"/>
          <w:tab w:val="decimal" w:pos="5700"/>
        </w:tabs>
        <w:spacing w:after="0" w:line="300" w:lineRule="exact"/>
        <w:ind w:left="1701" w:hanging="1344"/>
        <w:rPr>
          <w:sz w:val="22"/>
          <w:lang w:eastAsia="en-GB"/>
        </w:rPr>
      </w:pPr>
      <w:r w:rsidRPr="00403CD6">
        <w:rPr>
          <w:sz w:val="22"/>
          <w:lang w:eastAsia="en-GB"/>
        </w:rPr>
        <w:tab/>
      </w:r>
      <w:r w:rsidRPr="00403CD6">
        <w:rPr>
          <w:sz w:val="22"/>
          <w:lang w:eastAsia="en-GB"/>
        </w:rPr>
        <w:tab/>
        <w:t>(d)</w:t>
      </w:r>
      <w:r w:rsidRPr="00403CD6">
        <w:rPr>
          <w:sz w:val="22"/>
          <w:lang w:eastAsia="en-GB"/>
        </w:rPr>
        <w:tab/>
        <w:t>monitor the splitting of assets and the allocation of Personnel between the Divestment Business and [</w:t>
      </w:r>
      <w:r w:rsidRPr="00403CD6">
        <w:rPr>
          <w:i/>
          <w:sz w:val="22"/>
          <w:lang w:eastAsia="en-GB"/>
        </w:rPr>
        <w:t>X</w:t>
      </w:r>
      <w:r w:rsidRPr="00403CD6">
        <w:rPr>
          <w:sz w:val="22"/>
          <w:lang w:eastAsia="en-GB"/>
        </w:rPr>
        <w:t>] or Affiliated Undertakings;</w:t>
      </w:r>
      <w:r w:rsidRPr="00403CD6">
        <w:rPr>
          <w:rFonts w:ascii="ScalaSans" w:hAnsi="ScalaSans"/>
          <w:sz w:val="22"/>
          <w:lang w:eastAsia="en-GB"/>
        </w:rPr>
        <w:t xml:space="preserve"> </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lang w:eastAsia="en-GB"/>
        </w:rPr>
      </w:pPr>
    </w:p>
    <w:p w:rsidR="003475B5"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lang w:eastAsia="en-GB"/>
        </w:rPr>
      </w:pPr>
      <w:r w:rsidRPr="00403CD6">
        <w:rPr>
          <w:sz w:val="22"/>
          <w:lang w:eastAsia="en-GB"/>
        </w:rPr>
        <w:t>propose to [</w:t>
      </w:r>
      <w:r w:rsidRPr="00403CD6">
        <w:rPr>
          <w:i/>
          <w:sz w:val="22"/>
          <w:lang w:eastAsia="en-GB"/>
        </w:rPr>
        <w:t>X</w:t>
      </w:r>
      <w:r w:rsidRPr="00403CD6">
        <w:rPr>
          <w:sz w:val="22"/>
          <w:lang w:eastAsia="en-GB"/>
        </w:rPr>
        <w:t>] such measures as the Monitoring Trustee considers necessary to ensure [</w:t>
      </w:r>
      <w:r w:rsidRPr="00403CD6">
        <w:rPr>
          <w:i/>
          <w:sz w:val="22"/>
          <w:lang w:eastAsia="en-GB"/>
        </w:rPr>
        <w:t>X</w:t>
      </w:r>
      <w:r w:rsidRPr="00403CD6">
        <w:rPr>
          <w:sz w:val="22"/>
          <w:lang w:eastAsia="en-GB"/>
        </w:rPr>
        <w:t>]’s compliance with the conditions and obligations attached to the Decision, in particular the maintenance of the full economic viability, marketability or competitiveness of the Divestment Business, the holding separate of the Divestment Business and the non-disclosure of competitively sensitive information;</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lang w:eastAsia="en-GB"/>
        </w:rPr>
      </w:pPr>
    </w:p>
    <w:p w:rsidR="00A0347A"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lang w:eastAsia="en-GB"/>
        </w:rPr>
      </w:pPr>
      <w:r w:rsidRPr="00403CD6">
        <w:rPr>
          <w:sz w:val="22"/>
          <w:lang w:eastAsia="en-GB"/>
        </w:rPr>
        <w:t>review and assess potential purchasers as well as the progress of the divestiture process and verify that, dependent on the stage of the divestiture process</w:t>
      </w:r>
      <w:r w:rsidR="00A0347A" w:rsidRPr="00403CD6">
        <w:rPr>
          <w:sz w:val="22"/>
          <w:lang w:eastAsia="en-GB"/>
        </w:rPr>
        <w:t>:</w:t>
      </w:r>
    </w:p>
    <w:p w:rsidR="00A0347A" w:rsidRPr="00403CD6"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p>
    <w:p w:rsidR="00A0347A" w:rsidRPr="00403CD6"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r w:rsidRPr="00403CD6">
        <w:rPr>
          <w:sz w:val="22"/>
          <w:lang w:eastAsia="en-GB"/>
        </w:rPr>
        <w:tab/>
      </w:r>
      <w:r w:rsidRPr="00403CD6">
        <w:rPr>
          <w:sz w:val="22"/>
          <w:lang w:eastAsia="en-GB"/>
        </w:rPr>
        <w:tab/>
      </w:r>
      <w:r w:rsidR="003475B5" w:rsidRPr="00403CD6">
        <w:rPr>
          <w:sz w:val="22"/>
          <w:lang w:eastAsia="en-GB"/>
        </w:rPr>
        <w:t>(a)</w:t>
      </w:r>
      <w:r w:rsidRPr="00403CD6">
        <w:rPr>
          <w:sz w:val="22"/>
          <w:lang w:eastAsia="en-GB"/>
        </w:rPr>
        <w:tab/>
      </w:r>
      <w:r w:rsidR="003475B5" w:rsidRPr="00403CD6">
        <w:rPr>
          <w:sz w:val="22"/>
          <w:lang w:eastAsia="en-GB"/>
        </w:rPr>
        <w:t xml:space="preserve">potential purchasers receive sufficient and correct information relating to the Divestment Business and the Personnel in particular by reviewing, if available, the data room documentation, the information memorandum and the due diligence process, and </w:t>
      </w:r>
    </w:p>
    <w:p w:rsidR="00A0347A" w:rsidRPr="00403CD6" w:rsidRDefault="00A0347A" w:rsidP="00EE3F1D">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p>
    <w:p w:rsidR="003475B5" w:rsidRPr="00403CD6" w:rsidRDefault="00A0347A" w:rsidP="00291AB9">
      <w:pPr>
        <w:tabs>
          <w:tab w:val="left" w:pos="600"/>
          <w:tab w:val="num" w:pos="1276"/>
          <w:tab w:val="left" w:pos="1500"/>
          <w:tab w:val="left" w:pos="3600"/>
          <w:tab w:val="decimal" w:pos="3900"/>
          <w:tab w:val="left" w:pos="4800"/>
          <w:tab w:val="decimal" w:pos="5700"/>
        </w:tabs>
        <w:spacing w:after="0" w:line="300" w:lineRule="exact"/>
        <w:ind w:left="1701" w:hanging="1344"/>
        <w:rPr>
          <w:sz w:val="22"/>
          <w:lang w:eastAsia="en-GB"/>
        </w:rPr>
      </w:pPr>
      <w:r w:rsidRPr="00403CD6">
        <w:rPr>
          <w:sz w:val="22"/>
          <w:lang w:eastAsia="en-GB"/>
        </w:rPr>
        <w:tab/>
      </w:r>
      <w:r w:rsidRPr="00403CD6">
        <w:rPr>
          <w:sz w:val="22"/>
          <w:lang w:eastAsia="en-GB"/>
        </w:rPr>
        <w:tab/>
      </w:r>
      <w:r w:rsidR="003475B5" w:rsidRPr="00403CD6">
        <w:rPr>
          <w:sz w:val="22"/>
          <w:lang w:eastAsia="en-GB"/>
        </w:rPr>
        <w:t>(b)</w:t>
      </w:r>
      <w:r w:rsidRPr="00403CD6">
        <w:rPr>
          <w:sz w:val="22"/>
          <w:lang w:eastAsia="en-GB"/>
        </w:rPr>
        <w:tab/>
      </w:r>
      <w:r w:rsidR="003475B5" w:rsidRPr="00403CD6">
        <w:rPr>
          <w:sz w:val="22"/>
          <w:lang w:eastAsia="en-GB"/>
        </w:rPr>
        <w:t>potential purchasers are granted reasonable access to the Personnel;</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lang w:eastAsia="en-GB"/>
        </w:rPr>
      </w:pPr>
    </w:p>
    <w:p w:rsidR="003475B5"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lang w:eastAsia="en-GB"/>
        </w:rPr>
      </w:pPr>
      <w:r w:rsidRPr="00403CD6">
        <w:rPr>
          <w:sz w:val="22"/>
          <w:lang w:eastAsia="en-GB"/>
        </w:rPr>
        <w:t>act as a contact point for any requests by third parties, in particular potential purchasers, in relation to the Commitments</w:t>
      </w:r>
      <w:r w:rsidR="00A0347A" w:rsidRPr="00403CD6">
        <w:rPr>
          <w:sz w:val="22"/>
          <w:lang w:eastAsia="en-GB"/>
        </w:rPr>
        <w:t>;</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lang w:eastAsia="en-GB"/>
        </w:rPr>
      </w:pPr>
    </w:p>
    <w:p w:rsidR="0052372A"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lang w:eastAsia="en-GB"/>
        </w:rPr>
      </w:pPr>
      <w:r w:rsidRPr="00403CD6">
        <w:rPr>
          <w:sz w:val="22"/>
          <w:lang w:eastAsia="en-GB"/>
        </w:rPr>
        <w:t>provide to the Commission, sending [</w:t>
      </w:r>
      <w:r w:rsidRPr="00766871">
        <w:rPr>
          <w:i/>
          <w:sz w:val="22"/>
          <w:lang w:eastAsia="en-GB"/>
        </w:rPr>
        <w:t>X</w:t>
      </w:r>
      <w:r w:rsidRPr="00403CD6">
        <w:rPr>
          <w:sz w:val="22"/>
          <w:lang w:eastAsia="en-GB"/>
        </w:rPr>
        <w:t>] a non-confidential copy at the same time, a written report within 15 days after the end of every month</w:t>
      </w:r>
      <w:r w:rsidR="0052372A" w:rsidRPr="00403CD6">
        <w:rPr>
          <w:sz w:val="22"/>
          <w:lang w:eastAsia="en-GB"/>
        </w:rPr>
        <w:t xml:space="preserve"> that</w:t>
      </w:r>
      <w:r w:rsidRPr="00403CD6">
        <w:rPr>
          <w:sz w:val="22"/>
          <w:lang w:eastAsia="en-GB"/>
        </w:rPr>
        <w:t xml:space="preserve"> shall cover the operation and management of the Divestment Business as well as the splitting of assets and the allocation of Personnel so that the Commission can assess whether the business is held in a manner consistent with the Commitments and the progress of the divestiture process as well as potential purchasers</w:t>
      </w:r>
      <w:r w:rsidR="001E1F71">
        <w:rPr>
          <w:sz w:val="22"/>
          <w:lang w:eastAsia="en-GB"/>
        </w:rPr>
        <w:t>;</w:t>
      </w:r>
      <w:r w:rsidRPr="00403CD6">
        <w:rPr>
          <w:sz w:val="22"/>
          <w:lang w:eastAsia="en-GB"/>
        </w:rPr>
        <w:t xml:space="preserve"> </w:t>
      </w:r>
    </w:p>
    <w:p w:rsidR="0052372A" w:rsidRPr="00403CD6" w:rsidRDefault="0052372A" w:rsidP="00EE3F1D">
      <w:pPr>
        <w:tabs>
          <w:tab w:val="left" w:pos="600"/>
          <w:tab w:val="num" w:pos="1276"/>
          <w:tab w:val="left" w:pos="1500"/>
          <w:tab w:val="left" w:pos="3600"/>
          <w:tab w:val="decimal" w:pos="3900"/>
          <w:tab w:val="left" w:pos="4800"/>
          <w:tab w:val="decimal" w:pos="5700"/>
        </w:tabs>
        <w:spacing w:after="0" w:line="300" w:lineRule="exact"/>
        <w:ind w:left="357"/>
        <w:rPr>
          <w:sz w:val="22"/>
          <w:lang w:eastAsia="en-GB"/>
        </w:rPr>
      </w:pPr>
    </w:p>
    <w:p w:rsidR="003475B5" w:rsidRPr="00403CD6" w:rsidRDefault="003475B5" w:rsidP="00775819">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lang w:eastAsia="en-GB"/>
        </w:rPr>
      </w:pPr>
      <w:r w:rsidRPr="00403CD6">
        <w:rPr>
          <w:sz w:val="22"/>
          <w:lang w:eastAsia="en-GB"/>
        </w:rPr>
        <w:t>promptly report in writing to the Commission, sending [</w:t>
      </w:r>
      <w:r w:rsidRPr="00403CD6">
        <w:rPr>
          <w:i/>
          <w:sz w:val="22"/>
          <w:lang w:eastAsia="en-GB"/>
        </w:rPr>
        <w:t>X</w:t>
      </w:r>
      <w:r w:rsidRPr="00403CD6">
        <w:rPr>
          <w:sz w:val="22"/>
          <w:lang w:eastAsia="en-GB"/>
        </w:rPr>
        <w:t>] a non-confidential copy at the same time, if it concludes on reasonable grounds that [</w:t>
      </w:r>
      <w:r w:rsidRPr="00403CD6">
        <w:rPr>
          <w:i/>
          <w:sz w:val="22"/>
          <w:lang w:eastAsia="en-GB"/>
        </w:rPr>
        <w:t>X</w:t>
      </w:r>
      <w:r w:rsidRPr="00403CD6">
        <w:rPr>
          <w:sz w:val="22"/>
          <w:lang w:eastAsia="en-GB"/>
        </w:rPr>
        <w:t>] is failing to comply with these Commitments;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57"/>
        <w:rPr>
          <w:sz w:val="22"/>
          <w:lang w:eastAsia="en-GB"/>
        </w:rPr>
      </w:pPr>
    </w:p>
    <w:p w:rsidR="003475B5" w:rsidRPr="00403CD6" w:rsidRDefault="003475B5" w:rsidP="00980C8C">
      <w:pPr>
        <w:numPr>
          <w:ilvl w:val="0"/>
          <w:numId w:val="6"/>
        </w:numPr>
        <w:tabs>
          <w:tab w:val="left" w:pos="600"/>
          <w:tab w:val="num" w:pos="1276"/>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within one week after receipt of the documented proposal referred to in paragraph </w:t>
      </w:r>
      <w:r w:rsidRPr="00403CD6">
        <w:rPr>
          <w:sz w:val="22"/>
          <w:lang w:eastAsia="en-GB"/>
        </w:rPr>
        <w:fldChar w:fldCharType="begin"/>
      </w:r>
      <w:r w:rsidRPr="00403CD6">
        <w:rPr>
          <w:sz w:val="22"/>
          <w:lang w:eastAsia="en-GB"/>
        </w:rPr>
        <w:instrText xml:space="preserve"> REF _Ref33608037 \r \h  \* MERGEFORMAT </w:instrText>
      </w:r>
      <w:r w:rsidRPr="00403CD6">
        <w:rPr>
          <w:sz w:val="22"/>
          <w:lang w:eastAsia="en-GB"/>
        </w:rPr>
      </w:r>
      <w:r w:rsidRPr="00403CD6">
        <w:rPr>
          <w:sz w:val="22"/>
          <w:lang w:eastAsia="en-GB"/>
        </w:rPr>
        <w:fldChar w:fldCharType="separate"/>
      </w:r>
      <w:r w:rsidR="00D27117">
        <w:rPr>
          <w:sz w:val="22"/>
          <w:lang w:eastAsia="en-GB"/>
        </w:rPr>
        <w:t>18</w:t>
      </w:r>
      <w:r w:rsidRPr="00403CD6">
        <w:rPr>
          <w:sz w:val="22"/>
          <w:lang w:eastAsia="en-GB"/>
        </w:rPr>
        <w:fldChar w:fldCharType="end"/>
      </w:r>
      <w:r w:rsidR="001E1F71">
        <w:rPr>
          <w:sz w:val="22"/>
          <w:lang w:eastAsia="en-GB"/>
        </w:rPr>
        <w:t xml:space="preserve"> of these Commitments</w:t>
      </w:r>
      <w:r w:rsidRPr="00403CD6">
        <w:rPr>
          <w:sz w:val="22"/>
          <w:lang w:eastAsia="en-GB"/>
        </w:rPr>
        <w:t>, submit to the Commission</w:t>
      </w:r>
      <w:r w:rsidR="003511E4" w:rsidRPr="003511E4">
        <w:rPr>
          <w:sz w:val="22"/>
          <w:lang w:eastAsia="en-GB"/>
        </w:rPr>
        <w:t xml:space="preserve">, </w:t>
      </w:r>
      <w:r w:rsidR="00291AB9" w:rsidRPr="00866E9C">
        <w:rPr>
          <w:sz w:val="22"/>
          <w:lang w:eastAsia="en-GB"/>
        </w:rPr>
        <w:t xml:space="preserve">sending [X] a non-confidential copy at the same time, </w:t>
      </w:r>
      <w:r w:rsidRPr="00866E9C">
        <w:rPr>
          <w:sz w:val="22"/>
          <w:lang w:eastAsia="en-GB"/>
        </w:rPr>
        <w:t>a</w:t>
      </w:r>
      <w:r w:rsidRPr="00403CD6">
        <w:rPr>
          <w:sz w:val="22"/>
          <w:lang w:eastAsia="en-GB"/>
        </w:rPr>
        <w:t xml:space="preserve"> reasoned opinion as to the suitability and independence of the proposed purchaser and the viability of the Divestment Business after the Sale and as to whether the Divestment Business is sold in a manner consistent with the conditions and obligations attached to the Decision, in particular, if relevant, whether the Sale of the Divestment Business without one or more Assets or not all of the Personnel affects the viability of the Divestment Business after the sale, taking account of the proposed purchaser</w:t>
      </w:r>
      <w:r w:rsidR="001E1F71">
        <w:rPr>
          <w:sz w:val="22"/>
          <w:lang w:eastAsia="en-GB"/>
        </w:rPr>
        <w:t>;</w:t>
      </w:r>
    </w:p>
    <w:p w:rsidR="00A0347A" w:rsidRPr="00403CD6" w:rsidRDefault="00A0347A" w:rsidP="00291AB9">
      <w:pPr>
        <w:tabs>
          <w:tab w:val="left" w:pos="600"/>
          <w:tab w:val="num" w:pos="1276"/>
          <w:tab w:val="left" w:pos="1500"/>
          <w:tab w:val="left" w:pos="3600"/>
          <w:tab w:val="decimal" w:pos="3900"/>
          <w:tab w:val="left" w:pos="4800"/>
          <w:tab w:val="decimal" w:pos="5700"/>
        </w:tabs>
        <w:spacing w:after="0" w:line="300" w:lineRule="exact"/>
        <w:ind w:left="357"/>
        <w:rPr>
          <w:sz w:val="22"/>
          <w:lang w:eastAsia="en-GB"/>
        </w:rPr>
      </w:pPr>
    </w:p>
    <w:p w:rsidR="00A0347A" w:rsidRPr="00403CD6" w:rsidRDefault="00A0347A" w:rsidP="00A0347A">
      <w:pPr>
        <w:numPr>
          <w:ilvl w:val="0"/>
          <w:numId w:val="6"/>
        </w:numPr>
        <w:tabs>
          <w:tab w:val="left" w:pos="600"/>
          <w:tab w:val="num" w:pos="1276"/>
          <w:tab w:val="left" w:pos="1500"/>
          <w:tab w:val="left" w:pos="3600"/>
          <w:tab w:val="decimal" w:pos="3900"/>
          <w:tab w:val="left" w:pos="4800"/>
          <w:tab w:val="decimal" w:pos="5700"/>
        </w:tabs>
        <w:spacing w:after="0" w:line="300" w:lineRule="exact"/>
        <w:ind w:left="1077"/>
        <w:rPr>
          <w:sz w:val="22"/>
          <w:lang w:eastAsia="en-GB"/>
        </w:rPr>
      </w:pPr>
      <w:r w:rsidRPr="00403CD6">
        <w:rPr>
          <w:sz w:val="22"/>
          <w:lang w:eastAsia="en-GB"/>
        </w:rPr>
        <w:t>assume the other functions assigned to the Monitoring Trustee under the conditions and obligations attached to the Decision.</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ind w:left="360"/>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If the Monitoring and Divestiture Trustee are not the same </w:t>
      </w:r>
      <w:r w:rsidR="004E3DF4" w:rsidRPr="00403CD6">
        <w:rPr>
          <w:sz w:val="22"/>
          <w:lang w:eastAsia="en-GB"/>
        </w:rPr>
        <w:t>[</w:t>
      </w:r>
      <w:r w:rsidRPr="00403CD6">
        <w:rPr>
          <w:sz w:val="22"/>
          <w:lang w:eastAsia="en-GB"/>
        </w:rPr>
        <w:t>legal or natural</w:t>
      </w:r>
      <w:r w:rsidR="004E3DF4" w:rsidRPr="00403CD6">
        <w:rPr>
          <w:sz w:val="22"/>
          <w:lang w:eastAsia="en-GB"/>
        </w:rPr>
        <w:t>]</w:t>
      </w:r>
      <w:r w:rsidRPr="00403CD6">
        <w:rPr>
          <w:sz w:val="22"/>
          <w:lang w:eastAsia="en-GB"/>
        </w:rPr>
        <w:t xml:space="preserve"> persons, the Monitoring Trustee and the Divestiture Trustee shall cooperate closely with each other during and for the purpose of the preparation of the Trustee Divestiture Period in order to facilitate each other's tasks.</w:t>
      </w:r>
    </w:p>
    <w:p w:rsidR="003475B5" w:rsidRPr="00403CD6" w:rsidRDefault="003475B5" w:rsidP="003475B5">
      <w:pPr>
        <w:tabs>
          <w:tab w:val="left" w:pos="600"/>
          <w:tab w:val="num" w:pos="1276"/>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i/>
          <w:sz w:val="22"/>
          <w:lang w:eastAsia="en-GB"/>
        </w:rPr>
      </w:pPr>
      <w:r w:rsidRPr="00403CD6">
        <w:rPr>
          <w:sz w:val="22"/>
          <w:lang w:eastAsia="en-GB"/>
        </w:rPr>
        <w:tab/>
      </w:r>
      <w:r w:rsidRPr="00403CD6">
        <w:rPr>
          <w:sz w:val="22"/>
          <w:lang w:eastAsia="en-GB"/>
        </w:rPr>
        <w:tab/>
      </w:r>
      <w:r w:rsidRPr="00403CD6">
        <w:rPr>
          <w:i/>
          <w:sz w:val="22"/>
          <w:lang w:eastAsia="en-GB"/>
        </w:rPr>
        <w:t>Duties and obligations of the Divestiture Trustee</w:t>
      </w:r>
    </w:p>
    <w:p w:rsidR="003475B5" w:rsidRPr="00403CD6" w:rsidRDefault="003475B5" w:rsidP="003475B5">
      <w:pPr>
        <w:keepNext/>
        <w:tabs>
          <w:tab w:val="left" w:pos="600"/>
          <w:tab w:val="num" w:pos="1276"/>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26" w:name="_Ref31018167"/>
      <w:bookmarkStart w:id="27" w:name="_Ref31619602"/>
      <w:r w:rsidRPr="00403CD6">
        <w:rPr>
          <w:sz w:val="22"/>
          <w:lang w:eastAsia="en-GB"/>
        </w:rPr>
        <w:t>Within the Trustee Divestiture Period, the Divestiture Trustee shall sell at no minimum price</w:t>
      </w:r>
      <w:r w:rsidR="0052372A" w:rsidRPr="00403CD6">
        <w:rPr>
          <w:sz w:val="22"/>
          <w:lang w:eastAsia="en-GB"/>
        </w:rPr>
        <w:t xml:space="preserve"> </w:t>
      </w:r>
      <w:r w:rsidRPr="00403CD6">
        <w:rPr>
          <w:sz w:val="22"/>
          <w:lang w:eastAsia="en-GB"/>
        </w:rPr>
        <w:t xml:space="preserve">the Divestment Business to a purchaser, provided that the Commission has approved both the purchaser and the final binding sale and purchase agreement (and ancillary agreements) as in line with the </w:t>
      </w:r>
      <w:r w:rsidR="001E1F71">
        <w:rPr>
          <w:sz w:val="22"/>
          <w:lang w:eastAsia="en-GB"/>
        </w:rPr>
        <w:t xml:space="preserve">Commission's Decision and the </w:t>
      </w:r>
      <w:r w:rsidRPr="00403CD6">
        <w:rPr>
          <w:sz w:val="22"/>
          <w:lang w:eastAsia="en-GB"/>
        </w:rPr>
        <w:t>Commitments in accordance with paragraph</w:t>
      </w:r>
      <w:r w:rsidR="00AB5F41" w:rsidRPr="00403CD6">
        <w:rPr>
          <w:sz w:val="22"/>
          <w:lang w:eastAsia="en-GB"/>
        </w:rPr>
        <w:t xml:space="preserve">s </w:t>
      </w:r>
      <w:r w:rsidR="001E1F71" w:rsidRPr="00403CD6">
        <w:rPr>
          <w:sz w:val="22"/>
          <w:lang w:eastAsia="en-GB"/>
        </w:rPr>
        <w:t>1</w:t>
      </w:r>
      <w:r w:rsidR="001E1F71">
        <w:rPr>
          <w:sz w:val="22"/>
          <w:lang w:eastAsia="en-GB"/>
        </w:rPr>
        <w:t>7</w:t>
      </w:r>
      <w:r w:rsidR="001E1F71" w:rsidRPr="00403CD6">
        <w:rPr>
          <w:sz w:val="22"/>
          <w:lang w:eastAsia="en-GB"/>
        </w:rPr>
        <w:t xml:space="preserve"> </w:t>
      </w:r>
      <w:r w:rsidR="00AB5F41" w:rsidRPr="00403CD6">
        <w:rPr>
          <w:sz w:val="22"/>
          <w:lang w:eastAsia="en-GB"/>
        </w:rPr>
        <w:t>and</w:t>
      </w:r>
      <w:r w:rsidRPr="00403CD6">
        <w:rPr>
          <w:sz w:val="22"/>
          <w:lang w:eastAsia="en-GB"/>
        </w:rPr>
        <w:t xml:space="preserve"> </w:t>
      </w:r>
      <w:r w:rsidRPr="00403CD6">
        <w:rPr>
          <w:sz w:val="22"/>
          <w:lang w:eastAsia="en-GB"/>
        </w:rPr>
        <w:fldChar w:fldCharType="begin"/>
      </w:r>
      <w:r w:rsidRPr="00403CD6">
        <w:rPr>
          <w:sz w:val="22"/>
          <w:lang w:eastAsia="en-GB"/>
        </w:rPr>
        <w:instrText xml:space="preserve"> REF _Ref33608037 \r \h  \* MERGEFORMAT </w:instrText>
      </w:r>
      <w:r w:rsidRPr="00403CD6">
        <w:rPr>
          <w:sz w:val="22"/>
          <w:lang w:eastAsia="en-GB"/>
        </w:rPr>
      </w:r>
      <w:r w:rsidRPr="00403CD6">
        <w:rPr>
          <w:sz w:val="22"/>
          <w:lang w:eastAsia="en-GB"/>
        </w:rPr>
        <w:fldChar w:fldCharType="separate"/>
      </w:r>
      <w:r w:rsidR="00D27117">
        <w:rPr>
          <w:sz w:val="22"/>
          <w:lang w:eastAsia="en-GB"/>
        </w:rPr>
        <w:t>18</w:t>
      </w:r>
      <w:r w:rsidRPr="00403CD6">
        <w:rPr>
          <w:sz w:val="22"/>
          <w:lang w:eastAsia="en-GB"/>
        </w:rPr>
        <w:fldChar w:fldCharType="end"/>
      </w:r>
      <w:r w:rsidR="001E1F71">
        <w:rPr>
          <w:sz w:val="22"/>
          <w:lang w:eastAsia="en-GB"/>
        </w:rPr>
        <w:t xml:space="preserve"> of these Commitments</w:t>
      </w:r>
      <w:r w:rsidRPr="00403CD6">
        <w:rPr>
          <w:sz w:val="22"/>
          <w:lang w:eastAsia="en-GB"/>
        </w:rPr>
        <w:t xml:space="preserve">. The Divestiture Trustee shall include in the sale and purchase agreement (as well as in </w:t>
      </w:r>
      <w:r w:rsidR="005F21F6" w:rsidRPr="00403CD6">
        <w:rPr>
          <w:sz w:val="22"/>
          <w:lang w:eastAsia="en-GB"/>
        </w:rPr>
        <w:t xml:space="preserve">any </w:t>
      </w:r>
      <w:r w:rsidRPr="00403CD6">
        <w:rPr>
          <w:sz w:val="22"/>
          <w:lang w:eastAsia="en-GB"/>
        </w:rPr>
        <w:t>ancillary agreements) such terms and conditions as it considers appropriate for an expedient sale in the Trustee Divestiture Period. In particular, the Divestiture Trustee may include in the sale and purchase agreement such customary representations and warranties and indemnities as are reasonably required to effect the sale. The Divestiture Trustee shall protect the legitimate financial interests of [</w:t>
      </w:r>
      <w:r w:rsidRPr="00403CD6">
        <w:rPr>
          <w:i/>
          <w:sz w:val="22"/>
          <w:lang w:eastAsia="en-GB"/>
        </w:rPr>
        <w:t>X</w:t>
      </w:r>
      <w:r w:rsidRPr="00403CD6">
        <w:rPr>
          <w:sz w:val="22"/>
          <w:lang w:eastAsia="en-GB"/>
        </w:rPr>
        <w:t xml:space="preserve">], subject to the </w:t>
      </w:r>
      <w:r w:rsidR="00A641BF" w:rsidRPr="00403CD6">
        <w:rPr>
          <w:sz w:val="22"/>
          <w:lang w:eastAsia="en-GB"/>
        </w:rPr>
        <w:t xml:space="preserve">Notifying </w:t>
      </w:r>
      <w:r w:rsidR="001E1F71">
        <w:rPr>
          <w:sz w:val="22"/>
          <w:lang w:eastAsia="en-GB"/>
        </w:rPr>
        <w:t xml:space="preserve">Party/Notifying </w:t>
      </w:r>
      <w:r w:rsidRPr="00403CD6">
        <w:rPr>
          <w:sz w:val="22"/>
          <w:lang w:eastAsia="en-GB"/>
        </w:rPr>
        <w:t xml:space="preserve">Parties’ unconditional obligation to divest at no minimum price in the Trustee Divestiture Period. </w:t>
      </w:r>
      <w:bookmarkEnd w:id="26"/>
      <w:bookmarkEnd w:id="27"/>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28" w:name="_Ref31619603"/>
      <w:r w:rsidRPr="00403CD6">
        <w:rPr>
          <w:sz w:val="22"/>
          <w:lang w:eastAsia="en-GB"/>
        </w:rPr>
        <w:t>In the Trustee Divestiture Period (or otherwise at the Commission’s request), the Divestiture Trustee shall provide the Commission with a comprehensive monthly report written in [</w:t>
      </w:r>
      <w:r w:rsidRPr="00403CD6">
        <w:rPr>
          <w:i/>
          <w:sz w:val="22"/>
          <w:lang w:eastAsia="en-GB"/>
        </w:rPr>
        <w:t>Please indicate the language of the procedure or a different language agreed with the Commission</w:t>
      </w:r>
      <w:r w:rsidRPr="00403CD6">
        <w:rPr>
          <w:sz w:val="22"/>
          <w:lang w:eastAsia="en-GB"/>
        </w:rPr>
        <w:t>] on the progress of the divestiture process. Such reports shall be submitted within 15 days after the end of every month</w:t>
      </w:r>
      <w:bookmarkEnd w:id="28"/>
      <w:r w:rsidRPr="00403CD6">
        <w:rPr>
          <w:sz w:val="22"/>
          <w:lang w:eastAsia="en-GB"/>
        </w:rPr>
        <w:t xml:space="preserve"> with a simultaneous copy to the Monitoring Trustee and a non-confidential</w:t>
      </w:r>
      <w:r w:rsidRPr="00403CD6">
        <w:rPr>
          <w:b/>
          <w:sz w:val="22"/>
          <w:lang w:eastAsia="en-GB"/>
        </w:rPr>
        <w:t xml:space="preserve"> </w:t>
      </w:r>
      <w:r w:rsidRPr="00403CD6">
        <w:rPr>
          <w:sz w:val="22"/>
          <w:lang w:eastAsia="en-GB"/>
        </w:rPr>
        <w:t xml:space="preserve">copy to the </w:t>
      </w:r>
      <w:r w:rsidR="00A641BF" w:rsidRPr="00403CD6">
        <w:rPr>
          <w:sz w:val="22"/>
          <w:lang w:eastAsia="en-GB"/>
        </w:rPr>
        <w:t xml:space="preserve">Notifying </w:t>
      </w:r>
      <w:r w:rsidR="001E1F71">
        <w:rPr>
          <w:sz w:val="22"/>
          <w:lang w:eastAsia="en-GB"/>
        </w:rPr>
        <w:t xml:space="preserve">Party/Notifying </w:t>
      </w:r>
      <w:r w:rsidRPr="00403CD6">
        <w:rPr>
          <w:sz w:val="22"/>
          <w:lang w:eastAsia="en-GB"/>
        </w:rPr>
        <w:t>Parties</w:t>
      </w:r>
      <w:r w:rsidRPr="00403CD6">
        <w:rPr>
          <w:rFonts w:ascii="ScalaSans" w:hAnsi="ScalaSans"/>
          <w:sz w:val="22"/>
          <w:lang w:eastAsia="en-GB"/>
        </w:rPr>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keepLines/>
        <w:tabs>
          <w:tab w:val="left" w:pos="600"/>
          <w:tab w:val="left" w:pos="1500"/>
          <w:tab w:val="left" w:pos="3600"/>
          <w:tab w:val="decimal" w:pos="3900"/>
          <w:tab w:val="left" w:pos="4800"/>
          <w:tab w:val="decimal" w:pos="5700"/>
        </w:tabs>
        <w:spacing w:after="0" w:line="300" w:lineRule="exact"/>
        <w:outlineLvl w:val="0"/>
        <w:rPr>
          <w:sz w:val="22"/>
          <w:lang w:eastAsia="en-GB"/>
        </w:rPr>
      </w:pPr>
      <w:r w:rsidRPr="00403CD6">
        <w:rPr>
          <w:sz w:val="22"/>
          <w:lang w:eastAsia="en-GB"/>
        </w:rPr>
        <w:tab/>
        <w:t>III.</w:t>
      </w:r>
      <w:r w:rsidRPr="00403CD6">
        <w:rPr>
          <w:sz w:val="22"/>
          <w:lang w:eastAsia="en-GB"/>
        </w:rPr>
        <w:tab/>
      </w:r>
      <w:r w:rsidRPr="00403CD6">
        <w:rPr>
          <w:sz w:val="22"/>
          <w:u w:val="single"/>
          <w:lang w:eastAsia="en-GB"/>
        </w:rPr>
        <w:t>Duties and obligations of the Parties</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 [</w:t>
      </w:r>
      <w:r w:rsidRPr="00403CD6">
        <w:rPr>
          <w:i/>
          <w:sz w:val="22"/>
          <w:lang w:eastAsia="en-GB"/>
        </w:rPr>
        <w:t>X</w:t>
      </w:r>
      <w:r w:rsidRPr="00403CD6">
        <w:rPr>
          <w:sz w:val="22"/>
          <w:lang w:eastAsia="en-GB"/>
        </w:rPr>
        <w:t>] shall provide and shall cause its advisors to provide the Trustee with all such co-operation, assistance and information as the Trustee may reasonably require to perform its tasks. The Trustee shall have full and complete access to any of [</w:t>
      </w:r>
      <w:r w:rsidRPr="00403CD6">
        <w:rPr>
          <w:i/>
          <w:sz w:val="22"/>
          <w:lang w:eastAsia="en-GB"/>
        </w:rPr>
        <w:t>X’s</w:t>
      </w:r>
      <w:r w:rsidRPr="00403CD6">
        <w:rPr>
          <w:sz w:val="22"/>
          <w:lang w:eastAsia="en-GB"/>
        </w:rPr>
        <w:t>] or the Divestment Business’ books, records, documents, management or other personnel, facilities, sites and technical information necessary for fulfilling its duties under the Commitments and [</w:t>
      </w:r>
      <w:r w:rsidRPr="00403CD6">
        <w:rPr>
          <w:i/>
          <w:sz w:val="22"/>
          <w:lang w:eastAsia="en-GB"/>
        </w:rPr>
        <w:t>X</w:t>
      </w:r>
      <w:r w:rsidRPr="00403CD6">
        <w:rPr>
          <w:sz w:val="22"/>
          <w:lang w:eastAsia="en-GB"/>
        </w:rPr>
        <w:t>] and the Divestment Business shall provide the Trustee upon request with copies of any document. [</w:t>
      </w:r>
      <w:r w:rsidRPr="00403CD6">
        <w:rPr>
          <w:i/>
          <w:sz w:val="22"/>
          <w:lang w:eastAsia="en-GB"/>
        </w:rPr>
        <w:t>X</w:t>
      </w:r>
      <w:r w:rsidRPr="00403CD6">
        <w:rPr>
          <w:sz w:val="22"/>
          <w:lang w:eastAsia="en-GB"/>
        </w:rPr>
        <w:t>] and the Divestment Business shall make available to the Trustee one or more offices on their premises and shall be available for meetings in order to provide the Trustee with all information necessary for the performance of its tasks.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w:t>
      </w:r>
      <w:r w:rsidRPr="00403CD6">
        <w:rPr>
          <w:i/>
          <w:sz w:val="22"/>
          <w:lang w:eastAsia="en-GB"/>
        </w:rPr>
        <w:t>X</w:t>
      </w:r>
      <w:r w:rsidRPr="00403CD6">
        <w:rPr>
          <w:sz w:val="22"/>
          <w:lang w:eastAsia="en-GB"/>
        </w:rPr>
        <w:t>] shall provide the Monitoring Trustee with all managerial and administrative support that it may reasonably request on behalf of the management of the Divestment Business. This shall include all administrative support functions relating to the Divestment Business which are currently carried out at headquarters level. [</w:t>
      </w:r>
      <w:r w:rsidRPr="00403CD6">
        <w:rPr>
          <w:i/>
          <w:sz w:val="22"/>
          <w:lang w:eastAsia="en-GB"/>
        </w:rPr>
        <w:t>X</w:t>
      </w:r>
      <w:r w:rsidRPr="00403CD6">
        <w:rPr>
          <w:sz w:val="22"/>
          <w:lang w:eastAsia="en-GB"/>
        </w:rPr>
        <w:t>] shall provide and shall cause its advisors to provide the Monitoring Trustee, on request, with the information submitted to potential purchasers, in particular give the Monitoring Trustee access to the data room documentation and all other information granted to potential purchasers in the due diligence procedure. [</w:t>
      </w:r>
      <w:r w:rsidRPr="00403CD6">
        <w:rPr>
          <w:i/>
          <w:sz w:val="22"/>
          <w:lang w:eastAsia="en-GB"/>
        </w:rPr>
        <w:t>X</w:t>
      </w:r>
      <w:r w:rsidRPr="00403CD6">
        <w:rPr>
          <w:sz w:val="22"/>
          <w:lang w:eastAsia="en-GB"/>
        </w:rPr>
        <w:t xml:space="preserve">] shall inform the Monitoring Trustee on possible purchasers, submit lists of potential purchasers at each stage of the </w:t>
      </w:r>
      <w:r w:rsidRPr="00403CD6">
        <w:rPr>
          <w:sz w:val="22"/>
          <w:lang w:eastAsia="en-GB"/>
        </w:rPr>
        <w:lastRenderedPageBreak/>
        <w:t xml:space="preserve">selection process, including the offers made by potential purchasers at those </w:t>
      </w:r>
      <w:r w:rsidR="005F21F6" w:rsidRPr="00403CD6">
        <w:rPr>
          <w:sz w:val="22"/>
          <w:lang w:eastAsia="en-GB"/>
        </w:rPr>
        <w:t>stages</w:t>
      </w:r>
      <w:r w:rsidRPr="00403CD6">
        <w:rPr>
          <w:sz w:val="22"/>
          <w:lang w:eastAsia="en-GB"/>
        </w:rPr>
        <w:t xml:space="preserve">, and keep the Monitoring Trustee informed of all developments in the divestiture process.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w:t>
      </w:r>
      <w:r w:rsidRPr="00403CD6">
        <w:rPr>
          <w:i/>
          <w:sz w:val="22"/>
          <w:lang w:eastAsia="en-GB"/>
        </w:rPr>
        <w:t>X</w:t>
      </w:r>
      <w:r w:rsidRPr="00403CD6">
        <w:rPr>
          <w:sz w:val="22"/>
          <w:lang w:eastAsia="en-GB"/>
        </w:rPr>
        <w:t>] shall grant or procure Affiliated Undertakings to grant comprehensive powers of attorney, duly executed, to the Divestiture Trustee to effect the sale (including ancillary agreements), the Closing and all actions and declarations which the Divestiture Trustee considers necessary or appropriate to achieve the sale and the Closing, including the appointment of advisors to assist with the sale process. Upon request of the Divestiture Trustee, [</w:t>
      </w:r>
      <w:r w:rsidRPr="00403CD6">
        <w:rPr>
          <w:i/>
          <w:sz w:val="22"/>
          <w:lang w:eastAsia="en-GB"/>
        </w:rPr>
        <w:t>X</w:t>
      </w:r>
      <w:r w:rsidRPr="00403CD6">
        <w:rPr>
          <w:sz w:val="22"/>
          <w:lang w:eastAsia="en-GB"/>
        </w:rPr>
        <w:t>] shall cause the documents required for effecting the sale and the Closing to be duly executed.</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29" w:name="_Ref9067174"/>
      <w:r w:rsidRPr="00403CD6">
        <w:rPr>
          <w:sz w:val="22"/>
          <w:lang w:eastAsia="en-GB"/>
        </w:rPr>
        <w:t>[</w:t>
      </w:r>
      <w:r w:rsidRPr="00766871">
        <w:rPr>
          <w:i/>
          <w:sz w:val="22"/>
          <w:lang w:eastAsia="en-GB"/>
        </w:rPr>
        <w:t>X</w:t>
      </w:r>
      <w:r w:rsidRPr="00403CD6">
        <w:rPr>
          <w:sz w:val="22"/>
          <w:lang w:eastAsia="en-GB"/>
        </w:rPr>
        <w:t>] shall indemnify the Trustee and its employees and agents (each an “</w:t>
      </w:r>
      <w:r w:rsidRPr="00403CD6">
        <w:rPr>
          <w:b/>
          <w:i/>
          <w:sz w:val="22"/>
          <w:lang w:eastAsia="en-GB"/>
        </w:rPr>
        <w:t>Indemnified Party</w:t>
      </w:r>
      <w:r w:rsidRPr="00403CD6">
        <w:rPr>
          <w:sz w:val="22"/>
          <w:lang w:eastAsia="en-GB"/>
        </w:rPr>
        <w:t>”) and hold each Indemnified Party harmless against, and hereby agrees that an Indemnified Party shall have no liability to [</w:t>
      </w:r>
      <w:r w:rsidRPr="00403CD6">
        <w:rPr>
          <w:i/>
          <w:sz w:val="22"/>
          <w:lang w:eastAsia="en-GB"/>
        </w:rPr>
        <w:t>X</w:t>
      </w:r>
      <w:r w:rsidRPr="00403CD6">
        <w:rPr>
          <w:sz w:val="22"/>
          <w:lang w:eastAsia="en-GB"/>
        </w:rPr>
        <w:t>] for</w:t>
      </w:r>
      <w:r w:rsidR="005F21F6" w:rsidRPr="00403CD6">
        <w:rPr>
          <w:sz w:val="22"/>
          <w:lang w:eastAsia="en-GB"/>
        </w:rPr>
        <w:t>,</w:t>
      </w:r>
      <w:r w:rsidRPr="00403CD6">
        <w:rPr>
          <w:sz w:val="22"/>
          <w:lang w:eastAsia="en-GB"/>
        </w:rPr>
        <w:t xml:space="preserve"> any liabilities arising out of the performance of the Trustee’s duties under the Commitments, except to the extent that such liabilities result from the wilful default, recklessness, gross negligence or bad faith of the Trustee, its employees, agents or advisors.</w:t>
      </w:r>
    </w:p>
    <w:bookmarkEnd w:id="29"/>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At the expense of [</w:t>
      </w:r>
      <w:r w:rsidRPr="00403CD6">
        <w:rPr>
          <w:i/>
          <w:sz w:val="22"/>
          <w:lang w:eastAsia="en-GB"/>
        </w:rPr>
        <w:t>X</w:t>
      </w:r>
      <w:r w:rsidRPr="00403CD6">
        <w:rPr>
          <w:sz w:val="22"/>
          <w:lang w:eastAsia="en-GB"/>
        </w:rPr>
        <w:t>], the Trustee may appoint advisors (in particular for corporate finance or legal advice), subject to [</w:t>
      </w:r>
      <w:r w:rsidRPr="00766871">
        <w:rPr>
          <w:i/>
          <w:sz w:val="22"/>
          <w:lang w:eastAsia="en-GB"/>
        </w:rPr>
        <w:t>X</w:t>
      </w:r>
      <w:r w:rsidRPr="00403CD6">
        <w:rPr>
          <w:i/>
          <w:sz w:val="22"/>
          <w:lang w:eastAsia="en-GB"/>
        </w:rPr>
        <w:t>’s</w:t>
      </w:r>
      <w:r w:rsidRPr="00403CD6">
        <w:rPr>
          <w:sz w:val="22"/>
          <w:lang w:eastAsia="en-GB"/>
        </w:rPr>
        <w:t>] approval (this approval not to be unreasonably withheld or delayed) if the Trustee considers the appointment of such advisors necessary or appropriate for the performance of its duties and obligations under the Mandate, provided that any fees and other expenses incurred by the Trustee are reasonable. Should [</w:t>
      </w:r>
      <w:r w:rsidRPr="00403CD6">
        <w:rPr>
          <w:i/>
          <w:sz w:val="22"/>
          <w:lang w:eastAsia="en-GB"/>
        </w:rPr>
        <w:t>X</w:t>
      </w:r>
      <w:r w:rsidRPr="00403CD6">
        <w:rPr>
          <w:sz w:val="22"/>
          <w:lang w:eastAsia="en-GB"/>
        </w:rPr>
        <w:t>] refuse to approve the advisors proposed by the Trustee the Commission may approve the appointment of such advisors instead, after having heard [</w:t>
      </w:r>
      <w:r w:rsidRPr="00766871">
        <w:rPr>
          <w:i/>
          <w:sz w:val="22"/>
          <w:lang w:eastAsia="en-GB"/>
        </w:rPr>
        <w:t>X</w:t>
      </w:r>
      <w:r w:rsidRPr="00403CD6">
        <w:rPr>
          <w:sz w:val="22"/>
          <w:lang w:eastAsia="en-GB"/>
        </w:rPr>
        <w:t xml:space="preserve">]. Only the Trustee shall be entitled to issue instructions to the advisors. Paragraph </w:t>
      </w:r>
      <w:r w:rsidRPr="00403CD6">
        <w:rPr>
          <w:sz w:val="22"/>
          <w:lang w:eastAsia="en-GB"/>
        </w:rPr>
        <w:fldChar w:fldCharType="begin"/>
      </w:r>
      <w:r w:rsidRPr="00403CD6">
        <w:rPr>
          <w:sz w:val="22"/>
          <w:lang w:eastAsia="en-GB"/>
        </w:rPr>
        <w:instrText xml:space="preserve"> REF _Ref9067174 \r \h  \* MERGEFORMAT </w:instrText>
      </w:r>
      <w:r w:rsidRPr="00403CD6">
        <w:rPr>
          <w:sz w:val="22"/>
          <w:lang w:eastAsia="en-GB"/>
        </w:rPr>
      </w:r>
      <w:r w:rsidRPr="00403CD6">
        <w:rPr>
          <w:sz w:val="22"/>
          <w:lang w:eastAsia="en-GB"/>
        </w:rPr>
        <w:fldChar w:fldCharType="separate"/>
      </w:r>
      <w:r w:rsidR="00D27117">
        <w:rPr>
          <w:sz w:val="22"/>
          <w:lang w:eastAsia="en-GB"/>
        </w:rPr>
        <w:t>35</w:t>
      </w:r>
      <w:r w:rsidRPr="00403CD6">
        <w:rPr>
          <w:sz w:val="22"/>
          <w:lang w:eastAsia="en-GB"/>
        </w:rPr>
        <w:fldChar w:fldCharType="end"/>
      </w:r>
      <w:r w:rsidR="001E1F71">
        <w:rPr>
          <w:sz w:val="22"/>
          <w:lang w:eastAsia="en-GB"/>
        </w:rPr>
        <w:t xml:space="preserve"> of these Commitments</w:t>
      </w:r>
      <w:r w:rsidRPr="00403CD6">
        <w:rPr>
          <w:sz w:val="22"/>
          <w:lang w:eastAsia="en-GB"/>
        </w:rPr>
        <w:t xml:space="preserve"> shall apply </w:t>
      </w:r>
      <w:r w:rsidRPr="00291AB9">
        <w:rPr>
          <w:i/>
          <w:sz w:val="22"/>
        </w:rPr>
        <w:t>mutatis mutandis</w:t>
      </w:r>
      <w:r w:rsidRPr="00403CD6">
        <w:rPr>
          <w:sz w:val="22"/>
          <w:lang w:eastAsia="en-GB"/>
        </w:rPr>
        <w:t>. In the Trustee Divestiture Period, the Divestiture Trustee may use advisors who served [</w:t>
      </w:r>
      <w:r w:rsidRPr="00403CD6">
        <w:rPr>
          <w:i/>
          <w:sz w:val="22"/>
          <w:lang w:eastAsia="en-GB"/>
        </w:rPr>
        <w:t>X</w:t>
      </w:r>
      <w:r w:rsidRPr="00403CD6">
        <w:rPr>
          <w:sz w:val="22"/>
          <w:lang w:eastAsia="en-GB"/>
        </w:rPr>
        <w:t>] during the Divestiture Period if the Divestiture Trustee considers this in the best interest of an expedient sale.</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w:t>
      </w:r>
      <w:r w:rsidRPr="00403CD6">
        <w:rPr>
          <w:i/>
          <w:sz w:val="22"/>
          <w:lang w:eastAsia="en-GB"/>
        </w:rPr>
        <w:t>X</w:t>
      </w:r>
      <w:r w:rsidRPr="00403CD6">
        <w:rPr>
          <w:sz w:val="22"/>
          <w:lang w:eastAsia="en-GB"/>
        </w:rPr>
        <w:t>] agrees that the Commission may share Confidential Information proprietary to [</w:t>
      </w:r>
      <w:r w:rsidRPr="00766871">
        <w:rPr>
          <w:i/>
          <w:sz w:val="22"/>
          <w:lang w:eastAsia="en-GB"/>
        </w:rPr>
        <w:t>X</w:t>
      </w:r>
      <w:r w:rsidRPr="00403CD6">
        <w:rPr>
          <w:sz w:val="22"/>
          <w:lang w:eastAsia="en-GB"/>
        </w:rPr>
        <w:t xml:space="preserve">] with the Trustee. The Trustee shall not disclose such information and the principles contained in Article 17 (1) and (2) of the Merger Regulation apply </w:t>
      </w:r>
      <w:r w:rsidRPr="00403CD6">
        <w:rPr>
          <w:i/>
          <w:sz w:val="22"/>
          <w:lang w:eastAsia="en-GB"/>
        </w:rPr>
        <w:t>mutatis mutandis</w:t>
      </w:r>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A0347A" w:rsidRPr="00403CD6" w:rsidRDefault="00A0347A" w:rsidP="00EE3F1D">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The Notifying </w:t>
      </w:r>
      <w:r w:rsidR="001E1F71">
        <w:rPr>
          <w:sz w:val="22"/>
          <w:lang w:eastAsia="en-GB"/>
        </w:rPr>
        <w:t xml:space="preserve">Party/Notifying </w:t>
      </w:r>
      <w:r w:rsidRPr="00403CD6">
        <w:rPr>
          <w:sz w:val="22"/>
          <w:lang w:eastAsia="en-GB"/>
        </w:rPr>
        <w:t>Parties agree that the contact details of the Monitoring Trustee are published on the website of the Commission's Directorate-General for Competition and they shall inform interested third parties, in particular any potential purchasers, of the identity and the tasks of the Monitoring Trustee.</w:t>
      </w:r>
    </w:p>
    <w:p w:rsidR="00A0347A" w:rsidRPr="00403CD6" w:rsidRDefault="00A0347A"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For a period of 10 years from the Effective Date the Commission may request all information from the Parties </w:t>
      </w:r>
      <w:r w:rsidR="00DC4FD9" w:rsidRPr="00403CD6">
        <w:rPr>
          <w:sz w:val="22"/>
          <w:lang w:eastAsia="en-GB"/>
        </w:rPr>
        <w:t>that is</w:t>
      </w:r>
      <w:r w:rsidRPr="00403CD6">
        <w:rPr>
          <w:sz w:val="22"/>
          <w:lang w:eastAsia="en-GB"/>
        </w:rPr>
        <w:t xml:space="preserve"> reasonably </w:t>
      </w:r>
      <w:r w:rsidR="00DC4FD9" w:rsidRPr="00403CD6">
        <w:rPr>
          <w:sz w:val="22"/>
          <w:lang w:eastAsia="en-GB"/>
        </w:rPr>
        <w:t xml:space="preserve">necessary </w:t>
      </w:r>
      <w:r w:rsidRPr="00403CD6">
        <w:rPr>
          <w:sz w:val="22"/>
          <w:lang w:eastAsia="en-GB"/>
        </w:rPr>
        <w:t>to monitor the effective implementation of the</w:t>
      </w:r>
      <w:r w:rsidR="005F21F6" w:rsidRPr="00403CD6">
        <w:rPr>
          <w:sz w:val="22"/>
          <w:lang w:eastAsia="en-GB"/>
        </w:rPr>
        <w:t>se</w:t>
      </w:r>
      <w:r w:rsidRPr="00403CD6">
        <w:rPr>
          <w:sz w:val="22"/>
          <w:lang w:eastAsia="en-GB"/>
        </w:rPr>
        <w:t xml:space="preserve"> Commitments.</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outlineLvl w:val="0"/>
        <w:rPr>
          <w:sz w:val="22"/>
          <w:lang w:eastAsia="en-GB"/>
        </w:rPr>
      </w:pPr>
      <w:r w:rsidRPr="00403CD6">
        <w:rPr>
          <w:sz w:val="22"/>
          <w:lang w:eastAsia="en-GB"/>
        </w:rPr>
        <w:tab/>
        <w:t>IV.</w:t>
      </w:r>
      <w:r w:rsidRPr="00403CD6">
        <w:rPr>
          <w:sz w:val="22"/>
          <w:lang w:eastAsia="en-GB"/>
        </w:rPr>
        <w:tab/>
      </w:r>
      <w:r w:rsidRPr="00403CD6">
        <w:rPr>
          <w:sz w:val="22"/>
          <w:u w:val="single"/>
          <w:lang w:eastAsia="en-GB"/>
        </w:rPr>
        <w:t>Replacement, discharge and reappointment of the Trustee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sz w:val="22"/>
          <w:lang w:eastAsia="en-GB"/>
        </w:rPr>
      </w:pPr>
    </w:p>
    <w:p w:rsidR="003475B5"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bookmarkStart w:id="30" w:name="_Ref33610086"/>
      <w:bookmarkStart w:id="31" w:name="_Ref29888284"/>
      <w:r w:rsidRPr="00403CD6">
        <w:rPr>
          <w:sz w:val="22"/>
          <w:lang w:val="en-US" w:eastAsia="en-GB"/>
        </w:rPr>
        <w:t xml:space="preserve">If the Trustee ceases to perform its functions under the Commitments or for any other good cause, </w:t>
      </w:r>
      <w:r w:rsidRPr="00403CD6">
        <w:rPr>
          <w:sz w:val="22"/>
          <w:lang w:eastAsia="en-GB"/>
        </w:rPr>
        <w:t xml:space="preserve">including the exposure of the Trustee to a </w:t>
      </w:r>
      <w:r w:rsidR="0028713E" w:rsidRPr="00403CD6">
        <w:rPr>
          <w:sz w:val="22"/>
          <w:lang w:eastAsia="en-GB"/>
        </w:rPr>
        <w:t xml:space="preserve">Conflict </w:t>
      </w:r>
      <w:r w:rsidRPr="00403CD6">
        <w:rPr>
          <w:sz w:val="22"/>
          <w:lang w:eastAsia="en-GB"/>
        </w:rPr>
        <w:t xml:space="preserve">of </w:t>
      </w:r>
      <w:r w:rsidR="0028713E" w:rsidRPr="00403CD6">
        <w:rPr>
          <w:sz w:val="22"/>
          <w:lang w:eastAsia="en-GB"/>
        </w:rPr>
        <w:t>Interest</w:t>
      </w:r>
      <w:r w:rsidRPr="00403CD6">
        <w:rPr>
          <w:sz w:val="22"/>
          <w:lang w:eastAsia="en-GB"/>
        </w:rPr>
        <w:t>:</w:t>
      </w:r>
      <w:bookmarkEnd w:id="30"/>
      <w:r w:rsidRPr="00403CD6">
        <w:rPr>
          <w:sz w:val="22"/>
          <w:lang w:eastAsia="en-GB"/>
        </w:rPr>
        <w:t xml:space="preserve"> </w:t>
      </w:r>
    </w:p>
    <w:p w:rsidR="00385EA1" w:rsidRPr="00403CD6" w:rsidRDefault="00385EA1" w:rsidP="00385EA1">
      <w:pPr>
        <w:tabs>
          <w:tab w:val="left" w:pos="600"/>
          <w:tab w:val="left" w:pos="1500"/>
          <w:tab w:val="left" w:pos="3600"/>
          <w:tab w:val="decimal" w:pos="3900"/>
          <w:tab w:val="left" w:pos="4800"/>
          <w:tab w:val="decimal" w:pos="5700"/>
        </w:tabs>
        <w:spacing w:after="0" w:line="300" w:lineRule="exact"/>
        <w:ind w:left="357"/>
        <w:rPr>
          <w:sz w:val="22"/>
          <w:lang w:eastAsia="en-GB"/>
        </w:rPr>
      </w:pPr>
    </w:p>
    <w:p w:rsidR="003475B5" w:rsidRPr="00403CD6" w:rsidRDefault="003475B5" w:rsidP="003475B5">
      <w:pPr>
        <w:spacing w:line="300" w:lineRule="exact"/>
        <w:ind w:left="357"/>
        <w:rPr>
          <w:sz w:val="22"/>
          <w:lang w:val="en-US" w:eastAsia="en-GB"/>
        </w:rPr>
      </w:pPr>
      <w:r w:rsidRPr="00403CD6">
        <w:rPr>
          <w:sz w:val="22"/>
          <w:lang w:eastAsia="en-GB"/>
        </w:rPr>
        <w:t>(a)</w:t>
      </w:r>
      <w:r w:rsidRPr="00403CD6">
        <w:rPr>
          <w:sz w:val="22"/>
          <w:lang w:eastAsia="en-GB"/>
        </w:rPr>
        <w:tab/>
        <w:t>t</w:t>
      </w:r>
      <w:r w:rsidRPr="00403CD6">
        <w:rPr>
          <w:sz w:val="22"/>
          <w:lang w:val="en-US" w:eastAsia="en-GB"/>
        </w:rPr>
        <w:t>he Commission may, after hearing the Trustee</w:t>
      </w:r>
      <w:r w:rsidR="00D27117">
        <w:rPr>
          <w:sz w:val="22"/>
          <w:lang w:val="en-US" w:eastAsia="en-GB"/>
        </w:rPr>
        <w:t xml:space="preserve"> and [</w:t>
      </w:r>
      <w:r w:rsidR="00D27117" w:rsidRPr="00766871">
        <w:rPr>
          <w:i/>
          <w:sz w:val="22"/>
          <w:lang w:val="en-US" w:eastAsia="en-GB"/>
        </w:rPr>
        <w:t>X</w:t>
      </w:r>
      <w:r w:rsidR="00D27117">
        <w:rPr>
          <w:sz w:val="22"/>
          <w:lang w:val="en-US" w:eastAsia="en-GB"/>
        </w:rPr>
        <w:t>]</w:t>
      </w:r>
      <w:r w:rsidRPr="00403CD6">
        <w:rPr>
          <w:sz w:val="22"/>
          <w:lang w:val="en-US" w:eastAsia="en-GB"/>
        </w:rPr>
        <w:t>, require [</w:t>
      </w:r>
      <w:r w:rsidRPr="00403CD6">
        <w:rPr>
          <w:i/>
          <w:sz w:val="22"/>
          <w:lang w:val="en-US" w:eastAsia="en-GB"/>
        </w:rPr>
        <w:t>X</w:t>
      </w:r>
      <w:r w:rsidRPr="00403CD6">
        <w:rPr>
          <w:sz w:val="22"/>
          <w:lang w:val="en-US" w:eastAsia="en-GB"/>
        </w:rPr>
        <w:t xml:space="preserve">] to replace the Trustee; or </w:t>
      </w:r>
      <w:bookmarkEnd w:id="31"/>
    </w:p>
    <w:p w:rsidR="003475B5" w:rsidRPr="00403CD6" w:rsidRDefault="003475B5" w:rsidP="003475B5">
      <w:pPr>
        <w:spacing w:line="300" w:lineRule="exact"/>
        <w:ind w:left="357"/>
        <w:rPr>
          <w:sz w:val="22"/>
          <w:lang w:eastAsia="en-GB"/>
        </w:rPr>
      </w:pPr>
      <w:r w:rsidRPr="00403CD6">
        <w:rPr>
          <w:sz w:val="22"/>
          <w:lang w:val="en-US" w:eastAsia="en-GB"/>
        </w:rPr>
        <w:t>(b)</w:t>
      </w:r>
      <w:r w:rsidRPr="00403CD6">
        <w:rPr>
          <w:sz w:val="22"/>
          <w:lang w:val="en-US" w:eastAsia="en-GB"/>
        </w:rPr>
        <w:tab/>
        <w:t>[X]</w:t>
      </w:r>
      <w:r w:rsidR="005F21F6" w:rsidRPr="00403CD6">
        <w:rPr>
          <w:sz w:val="22"/>
          <w:lang w:val="en-US" w:eastAsia="en-GB"/>
        </w:rPr>
        <w:t xml:space="preserve"> may</w:t>
      </w:r>
      <w:r w:rsidRPr="00403CD6">
        <w:rPr>
          <w:sz w:val="22"/>
          <w:lang w:val="en-US" w:eastAsia="en-GB"/>
        </w:rPr>
        <w:t xml:space="preserve">, </w:t>
      </w:r>
      <w:bookmarkStart w:id="32" w:name="_Ref29888290"/>
      <w:r w:rsidRPr="00403CD6">
        <w:rPr>
          <w:sz w:val="22"/>
          <w:lang w:eastAsia="en-GB"/>
        </w:rPr>
        <w:t xml:space="preserve">with the prior approval of the Commission, replace the Trustee. </w:t>
      </w:r>
      <w:bookmarkEnd w:id="32"/>
    </w:p>
    <w:p w:rsidR="003475B5" w:rsidRPr="00403CD6" w:rsidRDefault="003475B5"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r w:rsidRPr="00403CD6">
        <w:rPr>
          <w:sz w:val="22"/>
          <w:lang w:eastAsia="en-GB"/>
        </w:rPr>
        <w:lastRenderedPageBreak/>
        <w:t xml:space="preserve">If the Trustee is removed according to paragraph </w:t>
      </w:r>
      <w:r w:rsidRPr="00403CD6">
        <w:rPr>
          <w:sz w:val="22"/>
          <w:lang w:eastAsia="en-GB"/>
        </w:rPr>
        <w:fldChar w:fldCharType="begin"/>
      </w:r>
      <w:r w:rsidRPr="00403CD6">
        <w:rPr>
          <w:sz w:val="22"/>
          <w:lang w:eastAsia="en-GB"/>
        </w:rPr>
        <w:instrText xml:space="preserve"> REF _Ref33610086 \r \h  \* MERGEFORMAT </w:instrText>
      </w:r>
      <w:r w:rsidRPr="00403CD6">
        <w:rPr>
          <w:sz w:val="22"/>
          <w:lang w:eastAsia="en-GB"/>
        </w:rPr>
      </w:r>
      <w:r w:rsidRPr="00403CD6">
        <w:rPr>
          <w:sz w:val="22"/>
          <w:lang w:eastAsia="en-GB"/>
        </w:rPr>
        <w:fldChar w:fldCharType="separate"/>
      </w:r>
      <w:r w:rsidR="00D27117">
        <w:rPr>
          <w:sz w:val="22"/>
          <w:lang w:eastAsia="en-GB"/>
        </w:rPr>
        <w:t>40</w:t>
      </w:r>
      <w:r w:rsidRPr="00403CD6">
        <w:rPr>
          <w:sz w:val="22"/>
          <w:lang w:eastAsia="en-GB"/>
        </w:rPr>
        <w:fldChar w:fldCharType="end"/>
      </w:r>
      <w:r w:rsidR="001E1F71">
        <w:rPr>
          <w:sz w:val="22"/>
          <w:lang w:eastAsia="en-GB"/>
        </w:rPr>
        <w:t xml:space="preserve"> of these Commitments</w:t>
      </w:r>
      <w:r w:rsidRPr="00403CD6">
        <w:rPr>
          <w:sz w:val="22"/>
          <w:lang w:eastAsia="en-GB"/>
        </w:rPr>
        <w:t xml:space="preserve">, the Trustee may be required to continue in its function until a new Trustee is in place to whom the Trustee has effected a full hand over of all relevant information. The new Trustee shall be appointed in accordance with the procedure referred to in paragraphs </w:t>
      </w:r>
      <w:r w:rsidRPr="00403CD6">
        <w:rPr>
          <w:sz w:val="22"/>
          <w:lang w:eastAsia="en-GB"/>
        </w:rPr>
        <w:fldChar w:fldCharType="begin"/>
      </w:r>
      <w:r w:rsidRPr="00403CD6">
        <w:rPr>
          <w:sz w:val="22"/>
          <w:lang w:eastAsia="en-GB"/>
        </w:rPr>
        <w:instrText xml:space="preserve"> REF _Ref13461341 \r \h  \* MERGEFORMAT </w:instrText>
      </w:r>
      <w:r w:rsidRPr="00403CD6">
        <w:rPr>
          <w:sz w:val="22"/>
          <w:lang w:eastAsia="en-GB"/>
        </w:rPr>
      </w:r>
      <w:r w:rsidRPr="00403CD6">
        <w:rPr>
          <w:sz w:val="22"/>
          <w:lang w:eastAsia="en-GB"/>
        </w:rPr>
        <w:fldChar w:fldCharType="separate"/>
      </w:r>
      <w:r w:rsidR="00D27117">
        <w:rPr>
          <w:sz w:val="22"/>
          <w:lang w:eastAsia="en-GB"/>
        </w:rPr>
        <w:t>19</w:t>
      </w:r>
      <w:r w:rsidRPr="00403CD6">
        <w:rPr>
          <w:sz w:val="22"/>
          <w:lang w:eastAsia="en-GB"/>
        </w:rPr>
        <w:fldChar w:fldCharType="end"/>
      </w:r>
      <w:bookmarkStart w:id="33" w:name="_Hlt13461349"/>
      <w:r w:rsidRPr="00403CD6">
        <w:rPr>
          <w:sz w:val="22"/>
          <w:lang w:eastAsia="en-GB"/>
        </w:rPr>
        <w:t>-</w:t>
      </w:r>
      <w:r w:rsidRPr="00403CD6">
        <w:rPr>
          <w:sz w:val="22"/>
          <w:lang w:eastAsia="en-GB"/>
        </w:rPr>
        <w:fldChar w:fldCharType="begin"/>
      </w:r>
      <w:r w:rsidRPr="00403CD6">
        <w:rPr>
          <w:sz w:val="22"/>
          <w:lang w:eastAsia="en-GB"/>
        </w:rPr>
        <w:instrText xml:space="preserve"> REF _Ref487366656 \r \h  \* MERGEFORMAT </w:instrText>
      </w:r>
      <w:r w:rsidRPr="00403CD6">
        <w:rPr>
          <w:sz w:val="22"/>
          <w:lang w:eastAsia="en-GB"/>
        </w:rPr>
      </w:r>
      <w:r w:rsidRPr="00403CD6">
        <w:rPr>
          <w:sz w:val="22"/>
          <w:lang w:eastAsia="en-GB"/>
        </w:rPr>
        <w:fldChar w:fldCharType="separate"/>
      </w:r>
      <w:r w:rsidR="00D27117">
        <w:rPr>
          <w:sz w:val="22"/>
          <w:lang w:eastAsia="en-GB"/>
        </w:rPr>
        <w:t>26</w:t>
      </w:r>
      <w:r w:rsidRPr="00403CD6">
        <w:rPr>
          <w:sz w:val="22"/>
          <w:lang w:eastAsia="en-GB"/>
        </w:rPr>
        <w:fldChar w:fldCharType="end"/>
      </w:r>
      <w:bookmarkEnd w:id="33"/>
      <w:r w:rsidR="001E1F71" w:rsidRPr="001E1F71">
        <w:rPr>
          <w:sz w:val="22"/>
          <w:lang w:eastAsia="en-GB"/>
        </w:rPr>
        <w:t xml:space="preserve"> of these Commitments</w:t>
      </w:r>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6674E2" w:rsidP="00775819">
      <w:pPr>
        <w:numPr>
          <w:ilvl w:val="0"/>
          <w:numId w:val="7"/>
        </w:numPr>
        <w:tabs>
          <w:tab w:val="left" w:pos="600"/>
          <w:tab w:val="left" w:pos="1500"/>
          <w:tab w:val="left" w:pos="3600"/>
          <w:tab w:val="decimal" w:pos="3900"/>
          <w:tab w:val="left" w:pos="4800"/>
          <w:tab w:val="decimal" w:pos="5700"/>
        </w:tabs>
        <w:spacing w:after="0" w:line="300" w:lineRule="exact"/>
        <w:ind w:left="357" w:hanging="357"/>
        <w:rPr>
          <w:sz w:val="22"/>
          <w:lang w:eastAsia="en-GB"/>
        </w:rPr>
      </w:pPr>
      <w:r w:rsidRPr="00403CD6">
        <w:rPr>
          <w:sz w:val="22"/>
          <w:lang w:eastAsia="en-GB"/>
        </w:rPr>
        <w:t>Unless removed</w:t>
      </w:r>
      <w:r w:rsidR="003475B5" w:rsidRPr="00403CD6">
        <w:rPr>
          <w:sz w:val="22"/>
          <w:lang w:eastAsia="en-GB"/>
        </w:rPr>
        <w:t xml:space="preserve"> according to paragraph </w:t>
      </w:r>
      <w:r w:rsidR="003475B5" w:rsidRPr="00403CD6">
        <w:rPr>
          <w:sz w:val="22"/>
          <w:lang w:eastAsia="en-GB"/>
        </w:rPr>
        <w:fldChar w:fldCharType="begin"/>
      </w:r>
      <w:r w:rsidR="003475B5" w:rsidRPr="00403CD6">
        <w:rPr>
          <w:sz w:val="22"/>
          <w:lang w:eastAsia="en-GB"/>
        </w:rPr>
        <w:instrText xml:space="preserve"> REF _Ref33610086 \r \h  \* MERGEFORMAT </w:instrText>
      </w:r>
      <w:r w:rsidR="003475B5" w:rsidRPr="00403CD6">
        <w:rPr>
          <w:sz w:val="22"/>
          <w:lang w:eastAsia="en-GB"/>
        </w:rPr>
      </w:r>
      <w:r w:rsidR="003475B5" w:rsidRPr="00403CD6">
        <w:rPr>
          <w:sz w:val="22"/>
          <w:lang w:eastAsia="en-GB"/>
        </w:rPr>
        <w:fldChar w:fldCharType="separate"/>
      </w:r>
      <w:r w:rsidR="00D27117">
        <w:rPr>
          <w:sz w:val="22"/>
          <w:lang w:eastAsia="en-GB"/>
        </w:rPr>
        <w:t>40</w:t>
      </w:r>
      <w:r w:rsidR="003475B5" w:rsidRPr="00403CD6">
        <w:rPr>
          <w:sz w:val="22"/>
          <w:lang w:eastAsia="en-GB"/>
        </w:rPr>
        <w:fldChar w:fldCharType="end"/>
      </w:r>
      <w:r w:rsidR="001E1F71" w:rsidRPr="001E1F71">
        <w:rPr>
          <w:sz w:val="22"/>
          <w:lang w:eastAsia="en-GB"/>
        </w:rPr>
        <w:t xml:space="preserve"> of these Commitments</w:t>
      </w:r>
      <w:r w:rsidR="003475B5" w:rsidRPr="00403CD6">
        <w:rPr>
          <w:sz w:val="22"/>
          <w:lang w:eastAsia="en-GB"/>
        </w:rPr>
        <w:t>, the Trustee shall cease to act as Trustee only after the Commission has discharged it from its duties after all the Commitments with which the Trustee has been entrusted have been implemented. However, the Commission may at any time require the reappointment of the Monitoring Trustee if it subsequently appears that the relevant remedies might not have been fully and properly implemented.</w:t>
      </w:r>
    </w:p>
    <w:p w:rsidR="003475B5" w:rsidRPr="00403CD6" w:rsidRDefault="003475B5" w:rsidP="003475B5">
      <w:pPr>
        <w:tabs>
          <w:tab w:val="left" w:pos="600"/>
          <w:tab w:val="left" w:pos="1500"/>
          <w:tab w:val="left" w:pos="3600"/>
          <w:tab w:val="decimal" w:pos="3900"/>
          <w:tab w:val="left" w:pos="4800"/>
          <w:tab w:val="decimal" w:pos="5700"/>
        </w:tabs>
        <w:spacing w:after="0"/>
        <w:rPr>
          <w:sz w:val="22"/>
          <w:lang w:eastAsia="en-GB"/>
        </w:rPr>
      </w:pP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b/>
          <w:sz w:val="22"/>
          <w:lang w:eastAsia="en-GB"/>
        </w:rPr>
      </w:pPr>
      <w:r w:rsidRPr="00403CD6">
        <w:rPr>
          <w:b/>
          <w:sz w:val="22"/>
          <w:lang w:eastAsia="en-GB"/>
        </w:rPr>
        <w:t>Section F.</w:t>
      </w:r>
      <w:r w:rsidRPr="00403CD6">
        <w:rPr>
          <w:b/>
          <w:sz w:val="22"/>
          <w:lang w:eastAsia="en-GB"/>
        </w:rPr>
        <w:tab/>
        <w:t xml:space="preserve">The </w:t>
      </w:r>
      <w:r w:rsidR="00A04C66" w:rsidRPr="00403CD6">
        <w:rPr>
          <w:b/>
          <w:sz w:val="22"/>
          <w:lang w:eastAsia="en-GB"/>
        </w:rPr>
        <w:t>r</w:t>
      </w:r>
      <w:r w:rsidRPr="00403CD6">
        <w:rPr>
          <w:b/>
          <w:sz w:val="22"/>
          <w:lang w:eastAsia="en-GB"/>
        </w:rPr>
        <w:t xml:space="preserve">eview </w:t>
      </w:r>
      <w:r w:rsidR="00A04C66" w:rsidRPr="00403CD6">
        <w:rPr>
          <w:b/>
          <w:sz w:val="22"/>
          <w:lang w:eastAsia="en-GB"/>
        </w:rPr>
        <w:t>c</w:t>
      </w:r>
      <w:r w:rsidRPr="00403CD6">
        <w:rPr>
          <w:b/>
          <w:sz w:val="22"/>
          <w:lang w:eastAsia="en-GB"/>
        </w:rPr>
        <w:t>lause</w:t>
      </w:r>
    </w:p>
    <w:p w:rsidR="003475B5" w:rsidRPr="00403CD6" w:rsidRDefault="003475B5" w:rsidP="003475B5">
      <w:pPr>
        <w:keepNext/>
        <w:tabs>
          <w:tab w:val="left" w:pos="600"/>
          <w:tab w:val="left" w:pos="1500"/>
          <w:tab w:val="left" w:pos="3600"/>
          <w:tab w:val="decimal" w:pos="3900"/>
          <w:tab w:val="left" w:pos="4800"/>
          <w:tab w:val="decimal" w:pos="5700"/>
        </w:tabs>
        <w:spacing w:after="0" w:line="300" w:lineRule="exact"/>
        <w:rPr>
          <w:b/>
          <w:sz w:val="22"/>
          <w:lang w:eastAsia="en-GB"/>
        </w:rPr>
      </w:pPr>
    </w:p>
    <w:p w:rsidR="003475B5" w:rsidRPr="00866E9C" w:rsidRDefault="0028713E"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r w:rsidRPr="00403CD6">
        <w:rPr>
          <w:sz w:val="22"/>
          <w:lang w:eastAsia="en-GB"/>
        </w:rPr>
        <w:t xml:space="preserve">The Commission may </w:t>
      </w:r>
      <w:r w:rsidR="003475B5" w:rsidRPr="00403CD6">
        <w:rPr>
          <w:sz w:val="22"/>
          <w:lang w:eastAsia="en-GB"/>
        </w:rPr>
        <w:t>extend</w:t>
      </w:r>
      <w:r w:rsidR="003475B5" w:rsidRPr="00291AB9">
        <w:rPr>
          <w:sz w:val="22"/>
        </w:rPr>
        <w:t xml:space="preserve"> the time periods foreseen in the Commitments</w:t>
      </w:r>
      <w:r w:rsidR="003475B5" w:rsidRPr="00403CD6">
        <w:rPr>
          <w:sz w:val="22"/>
          <w:lang w:eastAsia="en-GB"/>
        </w:rPr>
        <w:t xml:space="preserve"> </w:t>
      </w:r>
      <w:r w:rsidR="00AB5F41" w:rsidRPr="00403CD6">
        <w:rPr>
          <w:sz w:val="22"/>
          <w:lang w:eastAsia="en-GB"/>
        </w:rPr>
        <w:t>in response to a request from [</w:t>
      </w:r>
      <w:r w:rsidR="00AB5F41" w:rsidRPr="00403CD6">
        <w:rPr>
          <w:i/>
          <w:sz w:val="22"/>
          <w:lang w:eastAsia="en-GB"/>
        </w:rPr>
        <w:t>X</w:t>
      </w:r>
      <w:r w:rsidR="00AB5F41" w:rsidRPr="00403CD6">
        <w:rPr>
          <w:sz w:val="22"/>
          <w:lang w:eastAsia="en-GB"/>
        </w:rPr>
        <w:t xml:space="preserve">] or, in appropriate cases, </w:t>
      </w:r>
      <w:r w:rsidR="003475B5" w:rsidRPr="00403CD6">
        <w:rPr>
          <w:sz w:val="22"/>
          <w:lang w:eastAsia="en-GB"/>
        </w:rPr>
        <w:t>on its own initiative. Where [</w:t>
      </w:r>
      <w:r w:rsidR="003475B5" w:rsidRPr="00403CD6">
        <w:rPr>
          <w:i/>
          <w:sz w:val="22"/>
          <w:lang w:eastAsia="en-GB"/>
        </w:rPr>
        <w:t>X</w:t>
      </w:r>
      <w:r w:rsidR="003475B5" w:rsidRPr="00403CD6">
        <w:rPr>
          <w:sz w:val="22"/>
          <w:lang w:eastAsia="en-GB"/>
        </w:rPr>
        <w:t xml:space="preserve">] requests an extension of a time period, it shall submit a </w:t>
      </w:r>
      <w:r w:rsidR="006674E2" w:rsidRPr="00403CD6">
        <w:rPr>
          <w:sz w:val="22"/>
          <w:lang w:eastAsia="en-GB"/>
        </w:rPr>
        <w:t xml:space="preserve">reasoned </w:t>
      </w:r>
      <w:r w:rsidR="003475B5" w:rsidRPr="00403CD6">
        <w:rPr>
          <w:sz w:val="22"/>
          <w:lang w:eastAsia="en-GB"/>
        </w:rPr>
        <w:t xml:space="preserve">request to the Commission no later than one month before the expiry of that </w:t>
      </w:r>
      <w:r w:rsidR="003475B5" w:rsidRPr="00866E9C">
        <w:rPr>
          <w:sz w:val="22"/>
          <w:lang w:eastAsia="en-GB"/>
        </w:rPr>
        <w:t>period, showing good cause</w:t>
      </w:r>
      <w:r w:rsidR="003475B5" w:rsidRPr="00866E9C">
        <w:rPr>
          <w:b/>
          <w:sz w:val="22"/>
          <w:lang w:eastAsia="en-GB"/>
        </w:rPr>
        <w:t xml:space="preserve">. </w:t>
      </w:r>
      <w:r w:rsidR="003475B5" w:rsidRPr="00866E9C">
        <w:rPr>
          <w:sz w:val="22"/>
          <w:lang w:eastAsia="en-GB"/>
        </w:rPr>
        <w:t>This request shall be accompanied by a report from the Monitoring Trustee</w:t>
      </w:r>
      <w:r w:rsidR="002976C2" w:rsidRPr="00866E9C">
        <w:rPr>
          <w:sz w:val="22"/>
          <w:lang w:eastAsia="en-GB"/>
        </w:rPr>
        <w:t xml:space="preserve">, </w:t>
      </w:r>
      <w:r w:rsidR="00291AB9" w:rsidRPr="00866E9C">
        <w:rPr>
          <w:sz w:val="22"/>
          <w:lang w:eastAsia="en-GB"/>
        </w:rPr>
        <w:t>who shall, at the same time send a non-confidential copy of the report to the Notifying Party</w:t>
      </w:r>
      <w:r w:rsidR="00866E9C" w:rsidRPr="00866E9C">
        <w:rPr>
          <w:sz w:val="22"/>
          <w:lang w:eastAsia="en-GB"/>
        </w:rPr>
        <w:t xml:space="preserve">. </w:t>
      </w:r>
      <w:r w:rsidR="003475B5" w:rsidRPr="00866E9C">
        <w:rPr>
          <w:sz w:val="22"/>
          <w:lang w:eastAsia="en-GB"/>
        </w:rPr>
        <w:t>Only in exceptional circumstances shall [</w:t>
      </w:r>
      <w:r w:rsidR="003475B5" w:rsidRPr="00866E9C">
        <w:rPr>
          <w:i/>
          <w:sz w:val="22"/>
          <w:lang w:eastAsia="en-GB"/>
        </w:rPr>
        <w:t>X</w:t>
      </w:r>
      <w:r w:rsidR="003475B5" w:rsidRPr="00866E9C">
        <w:rPr>
          <w:sz w:val="22"/>
          <w:lang w:eastAsia="en-GB"/>
        </w:rPr>
        <w:t xml:space="preserve">] be entitled to request an extension within the last month of any period. </w:t>
      </w:r>
    </w:p>
    <w:p w:rsidR="003475B5" w:rsidRPr="00866E9C" w:rsidRDefault="003475B5" w:rsidP="003475B5">
      <w:pPr>
        <w:tabs>
          <w:tab w:val="left" w:pos="600"/>
          <w:tab w:val="left" w:pos="1500"/>
          <w:tab w:val="left" w:pos="3600"/>
          <w:tab w:val="decimal" w:pos="3900"/>
          <w:tab w:val="left" w:pos="4800"/>
          <w:tab w:val="decimal" w:pos="5700"/>
        </w:tabs>
        <w:spacing w:after="0" w:line="300" w:lineRule="exact"/>
        <w:rPr>
          <w:sz w:val="22"/>
          <w:lang w:eastAsia="en-GB"/>
        </w:rPr>
      </w:pPr>
    </w:p>
    <w:p w:rsidR="003475B5" w:rsidRPr="00403CD6" w:rsidRDefault="003475B5" w:rsidP="00980C8C">
      <w:pPr>
        <w:numPr>
          <w:ilvl w:val="0"/>
          <w:numId w:val="7"/>
        </w:numPr>
        <w:tabs>
          <w:tab w:val="left" w:pos="600"/>
          <w:tab w:val="left" w:pos="1500"/>
          <w:tab w:val="left" w:pos="3600"/>
          <w:tab w:val="decimal" w:pos="3900"/>
          <w:tab w:val="left" w:pos="4800"/>
          <w:tab w:val="decimal" w:pos="5700"/>
        </w:tabs>
        <w:spacing w:after="0" w:line="300" w:lineRule="exact"/>
        <w:rPr>
          <w:sz w:val="22"/>
          <w:lang w:eastAsia="en-GB"/>
        </w:rPr>
      </w:pPr>
      <w:bookmarkStart w:id="34" w:name="_Ref356563327"/>
      <w:r w:rsidRPr="00866E9C">
        <w:rPr>
          <w:sz w:val="22"/>
          <w:lang w:eastAsia="en-GB"/>
        </w:rPr>
        <w:t xml:space="preserve">The Commission may further, in response to a </w:t>
      </w:r>
      <w:r w:rsidR="006674E2" w:rsidRPr="00866E9C">
        <w:rPr>
          <w:sz w:val="22"/>
          <w:lang w:eastAsia="en-GB"/>
        </w:rPr>
        <w:t xml:space="preserve">reasoned </w:t>
      </w:r>
      <w:r w:rsidRPr="00866E9C">
        <w:rPr>
          <w:sz w:val="22"/>
          <w:lang w:eastAsia="en-GB"/>
        </w:rPr>
        <w:t xml:space="preserve">request from </w:t>
      </w:r>
      <w:r w:rsidR="006674E2" w:rsidRPr="00866E9C">
        <w:rPr>
          <w:sz w:val="22"/>
          <w:lang w:eastAsia="en-GB"/>
        </w:rPr>
        <w:t xml:space="preserve">the Notifying Parties </w:t>
      </w:r>
      <w:r w:rsidRPr="00866E9C">
        <w:rPr>
          <w:sz w:val="22"/>
          <w:lang w:eastAsia="en-GB"/>
        </w:rPr>
        <w:t xml:space="preserve"> showing good cause waive, modify or substitute, in exceptional circumstances, one or more of the undertakings in these Commitments</w:t>
      </w:r>
      <w:r w:rsidR="00291AB9" w:rsidRPr="00866E9C">
        <w:rPr>
          <w:sz w:val="22"/>
          <w:lang w:eastAsia="en-GB"/>
        </w:rPr>
        <w:t xml:space="preserve">. This request shall be accompanied by a report from the Monitoring Trustee, who shall, at the same time send a non-confidential copy of the report to the Notifying Party. </w:t>
      </w:r>
      <w:r w:rsidR="00B1255A" w:rsidRPr="00866E9C">
        <w:rPr>
          <w:sz w:val="22"/>
          <w:lang w:eastAsia="en-GB"/>
        </w:rPr>
        <w:t>The</w:t>
      </w:r>
      <w:r w:rsidR="00B1255A">
        <w:rPr>
          <w:sz w:val="22"/>
          <w:lang w:eastAsia="en-GB"/>
        </w:rPr>
        <w:t xml:space="preserve"> request shall not have the effect of suspending the application of the undertaking and, in particular, of suspending the expiry of any time period in which the undertaking has to be complied with</w:t>
      </w:r>
      <w:r w:rsidR="00AB5F41" w:rsidRPr="00403CD6">
        <w:rPr>
          <w:sz w:val="22"/>
          <w:lang w:eastAsia="en-GB"/>
        </w:rPr>
        <w:t>.</w:t>
      </w:r>
      <w:bookmarkEnd w:id="34"/>
      <w:r w:rsidR="004237CA" w:rsidRPr="00403CD6">
        <w:rPr>
          <w:sz w:val="22"/>
          <w:lang w:eastAsia="en-GB"/>
        </w:rPr>
        <w:t xml:space="preserve"> </w:t>
      </w:r>
    </w:p>
    <w:p w:rsidR="0079600F" w:rsidRPr="00403CD6" w:rsidRDefault="0079600F" w:rsidP="00291AB9">
      <w:pPr>
        <w:tabs>
          <w:tab w:val="left" w:pos="600"/>
          <w:tab w:val="left" w:pos="1500"/>
          <w:tab w:val="left" w:pos="3600"/>
          <w:tab w:val="decimal" w:pos="3900"/>
          <w:tab w:val="left" w:pos="4800"/>
          <w:tab w:val="decimal" w:pos="5700"/>
        </w:tabs>
        <w:spacing w:after="0" w:line="300" w:lineRule="exact"/>
        <w:rPr>
          <w:sz w:val="22"/>
          <w:lang w:eastAsia="en-GB"/>
        </w:rPr>
      </w:pPr>
    </w:p>
    <w:p w:rsidR="0079600F" w:rsidRPr="00403CD6" w:rsidRDefault="0079600F" w:rsidP="00EE3F1D">
      <w:pPr>
        <w:keepNext/>
        <w:tabs>
          <w:tab w:val="left" w:pos="600"/>
          <w:tab w:val="left" w:pos="1500"/>
          <w:tab w:val="left" w:pos="3600"/>
          <w:tab w:val="decimal" w:pos="3900"/>
          <w:tab w:val="left" w:pos="4800"/>
          <w:tab w:val="decimal" w:pos="5700"/>
        </w:tabs>
        <w:spacing w:after="0" w:line="300" w:lineRule="exact"/>
        <w:rPr>
          <w:b/>
          <w:sz w:val="22"/>
          <w:lang w:eastAsia="en-GB"/>
        </w:rPr>
      </w:pPr>
      <w:r w:rsidRPr="00403CD6">
        <w:rPr>
          <w:b/>
          <w:sz w:val="22"/>
          <w:lang w:eastAsia="en-GB"/>
        </w:rPr>
        <w:t>Section G.</w:t>
      </w:r>
      <w:r w:rsidRPr="00403CD6">
        <w:rPr>
          <w:b/>
          <w:sz w:val="22"/>
          <w:lang w:eastAsia="en-GB"/>
        </w:rPr>
        <w:tab/>
        <w:t>Entry into force</w:t>
      </w:r>
      <w:r w:rsidR="002976C2">
        <w:rPr>
          <w:b/>
          <w:sz w:val="22"/>
          <w:lang w:eastAsia="en-GB"/>
        </w:rPr>
        <w:t xml:space="preserve"> </w:t>
      </w:r>
    </w:p>
    <w:p w:rsidR="0079600F" w:rsidRPr="00291AB9" w:rsidRDefault="0079600F" w:rsidP="00291AB9">
      <w:pPr>
        <w:keepNext/>
        <w:tabs>
          <w:tab w:val="left" w:pos="600"/>
          <w:tab w:val="left" w:pos="1500"/>
          <w:tab w:val="left" w:pos="3600"/>
          <w:tab w:val="decimal" w:pos="3900"/>
          <w:tab w:val="left" w:pos="4800"/>
          <w:tab w:val="decimal" w:pos="5700"/>
        </w:tabs>
        <w:spacing w:after="0" w:line="300" w:lineRule="exact"/>
        <w:rPr>
          <w:b/>
          <w:sz w:val="22"/>
        </w:rPr>
      </w:pPr>
    </w:p>
    <w:p w:rsidR="0079600F" w:rsidRPr="00403CD6" w:rsidRDefault="0079600F" w:rsidP="00291AB9">
      <w:pPr>
        <w:numPr>
          <w:ilvl w:val="0"/>
          <w:numId w:val="7"/>
        </w:numPr>
        <w:tabs>
          <w:tab w:val="left" w:pos="600"/>
          <w:tab w:val="left" w:pos="1500"/>
          <w:tab w:val="left" w:pos="3600"/>
          <w:tab w:val="decimal" w:pos="3900"/>
          <w:tab w:val="left" w:pos="4800"/>
          <w:tab w:val="decimal" w:pos="5700"/>
        </w:tabs>
        <w:spacing w:after="0" w:line="300" w:lineRule="exact"/>
        <w:outlineLvl w:val="0"/>
        <w:rPr>
          <w:sz w:val="22"/>
          <w:lang w:eastAsia="en-GB"/>
        </w:rPr>
      </w:pPr>
      <w:r w:rsidRPr="00403CD6">
        <w:rPr>
          <w:sz w:val="22"/>
          <w:lang w:eastAsia="en-GB"/>
        </w:rPr>
        <w:t>The Commitments shall take effect upon the date of adoption of the Decision.</w:t>
      </w:r>
    </w:p>
    <w:p w:rsidR="0079600F" w:rsidRPr="00403CD6" w:rsidRDefault="0079600F" w:rsidP="00291AB9">
      <w:pPr>
        <w:tabs>
          <w:tab w:val="left" w:pos="600"/>
          <w:tab w:val="left" w:pos="1500"/>
          <w:tab w:val="left" w:pos="3600"/>
          <w:tab w:val="decimal" w:pos="3900"/>
          <w:tab w:val="left" w:pos="4800"/>
          <w:tab w:val="decimal" w:pos="5700"/>
        </w:tabs>
        <w:spacing w:after="0" w:line="300" w:lineRule="exact"/>
        <w:outlineLvl w:val="0"/>
        <w:rPr>
          <w:sz w:val="22"/>
          <w:lang w:eastAsia="en-GB"/>
        </w:rPr>
      </w:pPr>
    </w:p>
    <w:p w:rsidR="002C15BA" w:rsidRPr="00403CD6" w:rsidRDefault="002C15BA" w:rsidP="003475B5">
      <w:pPr>
        <w:tabs>
          <w:tab w:val="left" w:pos="600"/>
          <w:tab w:val="left" w:pos="1500"/>
          <w:tab w:val="left" w:pos="3600"/>
          <w:tab w:val="decimal" w:pos="3900"/>
          <w:tab w:val="left" w:pos="4800"/>
          <w:tab w:val="decimal" w:pos="5700"/>
        </w:tabs>
        <w:spacing w:after="0" w:line="300" w:lineRule="exact"/>
        <w:ind w:left="709"/>
        <w:rPr>
          <w:sz w:val="22"/>
          <w:lang w:eastAsia="en-GB"/>
        </w:rPr>
      </w:pP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709"/>
        <w:rPr>
          <w:sz w:val="22"/>
          <w:lang w:eastAsia="en-GB"/>
        </w:rPr>
      </w:pPr>
      <w:r w:rsidRPr="00403CD6">
        <w:rPr>
          <w:sz w:val="22"/>
          <w:lang w:eastAsia="en-GB"/>
        </w:rPr>
        <w:t>……………………………………</w:t>
      </w:r>
      <w:r w:rsidRPr="00403CD6">
        <w:rPr>
          <w:sz w:val="22"/>
          <w:lang w:eastAsia="en-GB"/>
        </w:rPr>
        <w:tab/>
      </w:r>
      <w:r w:rsidRPr="00403CD6">
        <w:rPr>
          <w:sz w:val="22"/>
          <w:lang w:eastAsia="en-GB"/>
        </w:rPr>
        <w:tab/>
      </w:r>
      <w:r w:rsidRPr="00403CD6">
        <w:rPr>
          <w:sz w:val="22"/>
          <w:lang w:eastAsia="en-GB"/>
        </w:rPr>
        <w:br/>
        <w:t>duly authorised for and on behalf of</w:t>
      </w:r>
      <w:r w:rsidRPr="00403CD6">
        <w:rPr>
          <w:sz w:val="22"/>
          <w:lang w:eastAsia="en-GB"/>
        </w:rPr>
        <w:tab/>
      </w:r>
      <w:r w:rsidRPr="00403CD6">
        <w:rPr>
          <w:sz w:val="22"/>
          <w:lang w:eastAsia="en-GB"/>
        </w:rPr>
        <w:tab/>
      </w:r>
      <w:r w:rsidRPr="00403CD6">
        <w:rPr>
          <w:sz w:val="22"/>
          <w:lang w:eastAsia="en-GB"/>
        </w:rPr>
        <w:br/>
        <w:t>[</w:t>
      </w:r>
      <w:r w:rsidRPr="00403CD6">
        <w:rPr>
          <w:i/>
          <w:sz w:val="22"/>
          <w:lang w:eastAsia="en-GB"/>
        </w:rPr>
        <w:t xml:space="preserve">Indicate the name of each of the </w:t>
      </w:r>
      <w:r w:rsidR="00760DA0" w:rsidRPr="00403CD6">
        <w:rPr>
          <w:i/>
          <w:sz w:val="22"/>
          <w:lang w:eastAsia="en-GB"/>
        </w:rPr>
        <w:t xml:space="preserve">Notifying </w:t>
      </w:r>
      <w:r w:rsidRPr="00403CD6">
        <w:rPr>
          <w:i/>
          <w:sz w:val="22"/>
          <w:lang w:eastAsia="en-GB"/>
        </w:rPr>
        <w:t>Parties</w:t>
      </w:r>
      <w:r w:rsidRPr="00403CD6">
        <w:rPr>
          <w:sz w:val="22"/>
          <w:lang w:eastAsia="en-GB"/>
        </w:rPr>
        <w:t>]</w:t>
      </w:r>
    </w:p>
    <w:p w:rsidR="003475B5" w:rsidRPr="00766871" w:rsidRDefault="003475B5" w:rsidP="00866E9C">
      <w:pPr>
        <w:tabs>
          <w:tab w:val="left" w:pos="600"/>
          <w:tab w:val="left" w:pos="1500"/>
          <w:tab w:val="left" w:pos="3600"/>
          <w:tab w:val="decimal" w:pos="3900"/>
          <w:tab w:val="left" w:pos="4800"/>
          <w:tab w:val="decimal" w:pos="5700"/>
        </w:tabs>
        <w:spacing w:after="0" w:line="300" w:lineRule="exact"/>
        <w:ind w:left="709"/>
        <w:jc w:val="center"/>
        <w:outlineLvl w:val="0"/>
        <w:rPr>
          <w:b/>
          <w:sz w:val="22"/>
          <w:u w:val="single"/>
          <w:lang w:eastAsia="en-GB"/>
        </w:rPr>
      </w:pPr>
      <w:r w:rsidRPr="00403CD6">
        <w:rPr>
          <w:sz w:val="22"/>
          <w:lang w:eastAsia="en-GB"/>
        </w:rPr>
        <w:br w:type="page"/>
      </w:r>
      <w:r w:rsidRPr="00766871">
        <w:rPr>
          <w:b/>
          <w:sz w:val="22"/>
          <w:u w:val="single"/>
          <w:lang w:eastAsia="en-GB"/>
        </w:rPr>
        <w:lastRenderedPageBreak/>
        <w:t>SCHEDULE</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709"/>
        <w:jc w:val="right"/>
        <w:rPr>
          <w:sz w:val="22"/>
          <w:u w:val="single"/>
          <w:lang w:eastAsia="en-GB"/>
        </w:rPr>
      </w:pPr>
    </w:p>
    <w:p w:rsidR="003475B5" w:rsidRPr="00403CD6" w:rsidRDefault="003475B5" w:rsidP="003475B5">
      <w:pPr>
        <w:tabs>
          <w:tab w:val="left" w:pos="1418"/>
          <w:tab w:val="left" w:pos="3600"/>
          <w:tab w:val="decimal" w:pos="3900"/>
          <w:tab w:val="left" w:pos="4800"/>
          <w:tab w:val="decimal" w:pos="5700"/>
        </w:tabs>
        <w:spacing w:after="0" w:line="300" w:lineRule="exact"/>
        <w:ind w:left="1418" w:hanging="709"/>
        <w:rPr>
          <w:sz w:val="22"/>
          <w:lang w:eastAsia="en-GB"/>
        </w:rPr>
      </w:pPr>
      <w:r w:rsidRPr="00403CD6">
        <w:rPr>
          <w:sz w:val="22"/>
          <w:lang w:eastAsia="en-GB"/>
        </w:rPr>
        <w:t>1.</w:t>
      </w:r>
      <w:r w:rsidRPr="00403CD6">
        <w:rPr>
          <w:sz w:val="22"/>
          <w:lang w:eastAsia="en-GB"/>
        </w:rPr>
        <w:tab/>
        <w:t>The Divestment Business as operated to date has the following legal and functional structure: [</w:t>
      </w:r>
      <w:r w:rsidRPr="00403CD6">
        <w:rPr>
          <w:i/>
          <w:sz w:val="22"/>
          <w:lang w:eastAsia="en-GB"/>
        </w:rPr>
        <w:t>Describe the legal and functional structure of the Divestment Business, including the organisational chart</w:t>
      </w:r>
      <w:r w:rsidRPr="00403CD6">
        <w:rPr>
          <w:sz w:val="22"/>
          <w:lang w:eastAsia="en-GB"/>
        </w:rPr>
        <w:t xml:space="preserve">].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709"/>
        <w:rPr>
          <w:sz w:val="22"/>
          <w:lang w:eastAsia="en-GB"/>
        </w:rPr>
      </w:pPr>
    </w:p>
    <w:p w:rsidR="003475B5" w:rsidRPr="00403CD6" w:rsidRDefault="003475B5" w:rsidP="003475B5">
      <w:pPr>
        <w:tabs>
          <w:tab w:val="left" w:pos="1418"/>
          <w:tab w:val="left" w:pos="3600"/>
          <w:tab w:val="decimal" w:pos="3900"/>
          <w:tab w:val="left" w:pos="4800"/>
          <w:tab w:val="decimal" w:pos="5700"/>
        </w:tabs>
        <w:spacing w:after="0" w:line="300" w:lineRule="exact"/>
        <w:ind w:left="1418" w:hanging="709"/>
        <w:rPr>
          <w:sz w:val="22"/>
          <w:lang w:eastAsia="en-GB"/>
        </w:rPr>
      </w:pPr>
      <w:r w:rsidRPr="00403CD6">
        <w:rPr>
          <w:sz w:val="22"/>
          <w:lang w:eastAsia="en-GB"/>
        </w:rPr>
        <w:t>2.</w:t>
      </w:r>
      <w:r w:rsidRPr="00403CD6">
        <w:rPr>
          <w:sz w:val="22"/>
          <w:lang w:eastAsia="en-GB"/>
        </w:rPr>
        <w:tab/>
      </w:r>
      <w:r w:rsidR="00760DA0" w:rsidRPr="00403CD6">
        <w:rPr>
          <w:sz w:val="22"/>
          <w:lang w:eastAsia="en-GB"/>
        </w:rPr>
        <w:t>In accordance with</w:t>
      </w:r>
      <w:r w:rsidRPr="00403CD6">
        <w:rPr>
          <w:sz w:val="22"/>
          <w:lang w:eastAsia="en-GB"/>
        </w:rPr>
        <w:t xml:space="preserve"> paragraph [</w:t>
      </w:r>
      <w:r w:rsidRPr="00403CD6">
        <w:rPr>
          <w:sz w:val="22"/>
          <w:lang w:eastAsia="en-GB"/>
        </w:rPr>
        <w:fldChar w:fldCharType="begin"/>
      </w:r>
      <w:r w:rsidRPr="00403CD6">
        <w:rPr>
          <w:sz w:val="22"/>
          <w:lang w:eastAsia="en-GB"/>
        </w:rPr>
        <w:instrText xml:space="preserve"> REF _Ref33613663 \r \h  \* MERGEFORMAT </w:instrText>
      </w:r>
      <w:r w:rsidRPr="00403CD6">
        <w:rPr>
          <w:sz w:val="22"/>
          <w:lang w:eastAsia="en-GB"/>
        </w:rPr>
      </w:r>
      <w:r w:rsidRPr="00403CD6">
        <w:rPr>
          <w:sz w:val="22"/>
          <w:lang w:eastAsia="en-GB"/>
        </w:rPr>
        <w:fldChar w:fldCharType="separate"/>
      </w:r>
      <w:r w:rsidR="00D27117">
        <w:rPr>
          <w:sz w:val="22"/>
          <w:lang w:eastAsia="en-GB"/>
        </w:rPr>
        <w:t>6</w:t>
      </w:r>
      <w:r w:rsidRPr="00403CD6">
        <w:rPr>
          <w:sz w:val="22"/>
          <w:lang w:eastAsia="en-GB"/>
        </w:rPr>
        <w:fldChar w:fldCharType="end"/>
      </w:r>
      <w:r w:rsidRPr="00403CD6">
        <w:rPr>
          <w:sz w:val="22"/>
          <w:lang w:eastAsia="en-GB"/>
        </w:rPr>
        <w:t xml:space="preserve">] of these Commitments, the Divestment Business includes, but is not limited to: </w:t>
      </w:r>
    </w:p>
    <w:p w:rsidR="003475B5" w:rsidRPr="00403CD6" w:rsidRDefault="003475B5" w:rsidP="003475B5">
      <w:pPr>
        <w:tabs>
          <w:tab w:val="left" w:pos="-567"/>
          <w:tab w:val="left" w:pos="1500"/>
          <w:tab w:val="left" w:pos="3600"/>
          <w:tab w:val="decimal" w:pos="3900"/>
          <w:tab w:val="left" w:pos="4800"/>
          <w:tab w:val="decimal" w:pos="5700"/>
        </w:tabs>
        <w:spacing w:after="0" w:line="300" w:lineRule="exact"/>
        <w:ind w:left="709"/>
        <w:rPr>
          <w:sz w:val="22"/>
          <w:u w:val="single"/>
          <w:lang w:eastAsia="en-GB"/>
        </w:rPr>
      </w:pPr>
    </w:p>
    <w:p w:rsidR="003475B5" w:rsidRPr="00403CD6" w:rsidRDefault="003475B5" w:rsidP="003475B5">
      <w:pPr>
        <w:tabs>
          <w:tab w:val="left" w:pos="-567"/>
          <w:tab w:val="left" w:pos="1560"/>
          <w:tab w:val="left" w:pos="3600"/>
          <w:tab w:val="decimal" w:pos="3900"/>
          <w:tab w:val="left" w:pos="4800"/>
          <w:tab w:val="decimal" w:pos="5700"/>
        </w:tabs>
        <w:spacing w:after="0" w:line="300" w:lineRule="exact"/>
        <w:ind w:left="1418" w:hanging="709"/>
        <w:rPr>
          <w:sz w:val="22"/>
          <w:lang w:eastAsia="en-GB"/>
        </w:rPr>
      </w:pPr>
      <w:r w:rsidRPr="00403CD6">
        <w:rPr>
          <w:sz w:val="22"/>
          <w:lang w:eastAsia="en-GB"/>
        </w:rPr>
        <w:t>(a)</w:t>
      </w:r>
      <w:r w:rsidRPr="00403CD6">
        <w:rPr>
          <w:sz w:val="22"/>
          <w:lang w:eastAsia="en-GB"/>
        </w:rPr>
        <w:tab/>
        <w:t>the following main tangible assets: [</w:t>
      </w:r>
      <w:r w:rsidRPr="00403CD6">
        <w:rPr>
          <w:i/>
          <w:sz w:val="22"/>
          <w:lang w:eastAsia="en-GB"/>
        </w:rPr>
        <w:t>Indicate the essential tangible assets, e.g. xyz factory/warehouse/pipelines located at abc and the real estate/property on which the factory/warehouse is located; the R&amp;D facilities</w:t>
      </w:r>
      <w:r w:rsidRPr="00403CD6">
        <w:rPr>
          <w:sz w:val="22"/>
          <w:lang w:eastAsia="en-GB"/>
        </w:rPr>
        <w:t xml:space="preserve">]; </w:t>
      </w:r>
    </w:p>
    <w:p w:rsidR="003475B5" w:rsidRPr="00403CD6"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lang w:eastAsia="en-GB"/>
        </w:rPr>
      </w:pPr>
      <w:r w:rsidRPr="00403CD6">
        <w:rPr>
          <w:sz w:val="22"/>
          <w:lang w:eastAsia="en-GB"/>
        </w:rPr>
        <w:t>(b)</w:t>
      </w:r>
      <w:r w:rsidRPr="00403CD6">
        <w:rPr>
          <w:sz w:val="22"/>
          <w:lang w:eastAsia="en-GB"/>
        </w:rPr>
        <w:tab/>
        <w:t>the following main intangible assets: [</w:t>
      </w:r>
      <w:r w:rsidRPr="00403CD6">
        <w:rPr>
          <w:i/>
          <w:sz w:val="22"/>
          <w:lang w:eastAsia="en-GB"/>
        </w:rPr>
        <w:t>Indicate the main intangible assets. This should in particular include (i) the brand names and (ii) all other Intellectual Property Rights used in conducting the Divestment Business.</w:t>
      </w:r>
      <w:r w:rsidRPr="00403CD6">
        <w:rPr>
          <w:sz w:val="22"/>
          <w:lang w:eastAsia="en-GB"/>
        </w:rPr>
        <w:t>];</w:t>
      </w:r>
    </w:p>
    <w:p w:rsidR="003475B5" w:rsidRPr="00403CD6"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lang w:eastAsia="en-GB"/>
        </w:rPr>
      </w:pPr>
      <w:r w:rsidRPr="00403CD6">
        <w:rPr>
          <w:sz w:val="22"/>
          <w:lang w:eastAsia="en-GB"/>
        </w:rPr>
        <w:t>(c)</w:t>
      </w:r>
      <w:r w:rsidRPr="00403CD6">
        <w:rPr>
          <w:sz w:val="22"/>
          <w:lang w:eastAsia="en-GB"/>
        </w:rPr>
        <w:tab/>
        <w:t>the following main licences, permits and authorisations: [</w:t>
      </w:r>
      <w:r w:rsidRPr="00403CD6">
        <w:rPr>
          <w:i/>
          <w:sz w:val="22"/>
          <w:lang w:eastAsia="en-GB"/>
        </w:rPr>
        <w:t>Indicate the main licences, permits and authorisations</w:t>
      </w:r>
      <w:r w:rsidRPr="00403CD6">
        <w:rPr>
          <w:sz w:val="22"/>
          <w:lang w:eastAsia="en-GB"/>
        </w:rPr>
        <w:t xml:space="preserve">]; </w:t>
      </w:r>
    </w:p>
    <w:p w:rsidR="003475B5" w:rsidRPr="00403CD6" w:rsidRDefault="003475B5" w:rsidP="003475B5">
      <w:pPr>
        <w:tabs>
          <w:tab w:val="left" w:pos="-567"/>
          <w:tab w:val="left" w:pos="1418"/>
          <w:tab w:val="left" w:pos="3600"/>
          <w:tab w:val="decimal" w:pos="3900"/>
          <w:tab w:val="left" w:pos="4800"/>
          <w:tab w:val="decimal" w:pos="5700"/>
        </w:tabs>
        <w:spacing w:before="120" w:after="0" w:line="300" w:lineRule="exact"/>
        <w:ind w:left="1418" w:hanging="709"/>
        <w:rPr>
          <w:sz w:val="22"/>
          <w:lang w:eastAsia="en-GB"/>
        </w:rPr>
      </w:pPr>
      <w:r w:rsidRPr="00403CD6">
        <w:rPr>
          <w:sz w:val="22"/>
          <w:lang w:eastAsia="en-GB"/>
        </w:rPr>
        <w:t>(d)</w:t>
      </w:r>
      <w:r w:rsidRPr="00403CD6">
        <w:rPr>
          <w:sz w:val="22"/>
          <w:lang w:eastAsia="en-GB"/>
        </w:rPr>
        <w:tab/>
        <w:t>the following main contracts, agreements, leases, commitments and understandings [</w:t>
      </w:r>
      <w:r w:rsidRPr="00403CD6">
        <w:rPr>
          <w:i/>
          <w:sz w:val="22"/>
          <w:lang w:eastAsia="en-GB"/>
        </w:rPr>
        <w:t>Indicate the main contracts, etc.</w:t>
      </w:r>
      <w:r w:rsidRPr="00403CD6">
        <w:rPr>
          <w:sz w:val="22"/>
          <w:lang w:eastAsia="en-GB"/>
        </w:rPr>
        <w:t xml:space="preserve">];  </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lang w:eastAsia="en-GB"/>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lang w:eastAsia="en-GB"/>
        </w:rPr>
      </w:pPr>
      <w:r w:rsidRPr="00403CD6">
        <w:rPr>
          <w:sz w:val="22"/>
          <w:lang w:eastAsia="en-GB"/>
        </w:rPr>
        <w:t>(e)</w:t>
      </w:r>
      <w:r w:rsidRPr="00403CD6">
        <w:rPr>
          <w:sz w:val="22"/>
          <w:lang w:eastAsia="en-GB"/>
        </w:rPr>
        <w:tab/>
        <w:t>the following customer, credit and other records: [</w:t>
      </w:r>
      <w:r w:rsidRPr="00403CD6">
        <w:rPr>
          <w:i/>
          <w:sz w:val="22"/>
          <w:lang w:eastAsia="en-GB"/>
        </w:rPr>
        <w:t>Indicate the main customer, credit and other records, according to further sector specific indications, where appropriate</w:t>
      </w:r>
      <w:r w:rsidRPr="00403CD6">
        <w:rPr>
          <w:sz w:val="22"/>
          <w:lang w:eastAsia="en-GB"/>
        </w:rPr>
        <w:t xml:space="preserve">]; </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lang w:eastAsia="en-GB"/>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i/>
          <w:sz w:val="22"/>
          <w:lang w:eastAsia="en-GB"/>
        </w:rPr>
      </w:pPr>
      <w:r w:rsidRPr="00403CD6">
        <w:rPr>
          <w:sz w:val="22"/>
          <w:lang w:eastAsia="en-GB"/>
        </w:rPr>
        <w:t>(f)</w:t>
      </w:r>
      <w:r w:rsidRPr="00403CD6">
        <w:rPr>
          <w:sz w:val="22"/>
          <w:lang w:eastAsia="en-GB"/>
        </w:rPr>
        <w:tab/>
        <w:t>the following Personnel: [</w:t>
      </w:r>
      <w:r w:rsidRPr="00403CD6">
        <w:rPr>
          <w:i/>
          <w:sz w:val="22"/>
          <w:lang w:eastAsia="en-GB"/>
        </w:rPr>
        <w:t xml:space="preserve">Indicate the personnel to be transferred in general, including personnel providing essential functions for the Divestment Business, such as central R&amp;D staff]; </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rPr>
          <w:sz w:val="22"/>
          <w:lang w:eastAsia="en-GB"/>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lang w:eastAsia="en-GB"/>
        </w:rPr>
      </w:pPr>
      <w:r w:rsidRPr="00403CD6">
        <w:rPr>
          <w:sz w:val="22"/>
          <w:lang w:eastAsia="en-GB"/>
        </w:rPr>
        <w:t xml:space="preserve">(g) </w:t>
      </w:r>
      <w:r w:rsidRPr="00403CD6">
        <w:rPr>
          <w:sz w:val="22"/>
          <w:lang w:eastAsia="en-GB"/>
        </w:rPr>
        <w:tab/>
        <w:t>the following Key Personnel: [</w:t>
      </w:r>
      <w:r w:rsidRPr="00403CD6">
        <w:rPr>
          <w:i/>
          <w:sz w:val="22"/>
          <w:lang w:eastAsia="en-GB"/>
        </w:rPr>
        <w:t>Indicate the names and functions of the Key Personnel, including the Hold Separate Manager, where appropriate</w:t>
      </w:r>
      <w:r w:rsidRPr="00403CD6">
        <w:rPr>
          <w:sz w:val="22"/>
          <w:lang w:eastAsia="en-GB"/>
        </w:rPr>
        <w:t xml:space="preserve">]; and </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lang w:eastAsia="en-GB"/>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i/>
          <w:sz w:val="22"/>
          <w:lang w:eastAsia="en-GB"/>
        </w:rPr>
      </w:pPr>
      <w:r w:rsidRPr="00403CD6">
        <w:rPr>
          <w:sz w:val="22"/>
          <w:lang w:eastAsia="en-GB"/>
        </w:rPr>
        <w:t xml:space="preserve">(h) </w:t>
      </w:r>
      <w:r w:rsidRPr="00403CD6">
        <w:rPr>
          <w:sz w:val="22"/>
          <w:lang w:eastAsia="en-GB"/>
        </w:rPr>
        <w:tab/>
        <w:t>the arrangements for the supply with the following products or services by [</w:t>
      </w:r>
      <w:r w:rsidRPr="00403CD6">
        <w:rPr>
          <w:i/>
          <w:sz w:val="22"/>
          <w:lang w:eastAsia="en-GB"/>
        </w:rPr>
        <w:t>X</w:t>
      </w:r>
      <w:r w:rsidRPr="00403CD6">
        <w:rPr>
          <w:sz w:val="22"/>
          <w:lang w:eastAsia="en-GB"/>
        </w:rPr>
        <w:t>] or Affiliated Undertakings for a transitional period of up to [</w:t>
      </w:r>
      <w:r w:rsidRPr="00403CD6">
        <w:rPr>
          <w:sz w:val="22"/>
          <w:lang w:eastAsia="en-GB"/>
        </w:rPr>
        <w:sym w:font="Symbol" w:char="F0B7"/>
      </w:r>
      <w:r w:rsidRPr="00403CD6">
        <w:rPr>
          <w:sz w:val="22"/>
          <w:lang w:eastAsia="en-GB"/>
        </w:rPr>
        <w:t>] after Closing: [</w:t>
      </w:r>
      <w:r w:rsidRPr="00403CD6">
        <w:rPr>
          <w:i/>
          <w:sz w:val="22"/>
          <w:lang w:eastAsia="en-GB"/>
        </w:rPr>
        <w:t xml:space="preserve">Indicate the products or services to be provided for a transitional period in order to maintain the economic viability and competitiveness of the Divestment Business]. </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rPr>
          <w:i/>
          <w:sz w:val="22"/>
          <w:lang w:eastAsia="en-GB"/>
        </w:rPr>
      </w:pPr>
    </w:p>
    <w:p w:rsidR="003475B5" w:rsidRPr="00403CD6" w:rsidRDefault="00670DDC" w:rsidP="003475B5">
      <w:pPr>
        <w:tabs>
          <w:tab w:val="left" w:pos="1418"/>
          <w:tab w:val="left" w:pos="3600"/>
          <w:tab w:val="decimal" w:pos="3900"/>
          <w:tab w:val="left" w:pos="4800"/>
          <w:tab w:val="decimal" w:pos="5700"/>
        </w:tabs>
        <w:spacing w:after="0" w:line="300" w:lineRule="exact"/>
        <w:ind w:left="1418" w:hanging="709"/>
        <w:rPr>
          <w:sz w:val="22"/>
          <w:lang w:eastAsia="en-GB"/>
        </w:rPr>
      </w:pPr>
      <w:r w:rsidRPr="00403CD6">
        <w:rPr>
          <w:sz w:val="22"/>
          <w:lang w:eastAsia="en-GB"/>
        </w:rPr>
        <w:t>3</w:t>
      </w:r>
      <w:r w:rsidR="003475B5" w:rsidRPr="00403CD6">
        <w:rPr>
          <w:sz w:val="22"/>
          <w:lang w:eastAsia="en-GB"/>
        </w:rPr>
        <w:t>.</w:t>
      </w:r>
      <w:r w:rsidR="003475B5" w:rsidRPr="00403CD6">
        <w:rPr>
          <w:sz w:val="22"/>
          <w:lang w:eastAsia="en-GB"/>
        </w:rPr>
        <w:tab/>
        <w:t>The Divestment Business shall not include:</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firstLine="600"/>
        <w:rPr>
          <w:sz w:val="22"/>
          <w:lang w:eastAsia="en-GB"/>
        </w:rPr>
      </w:pPr>
      <w:r w:rsidRPr="00403CD6">
        <w:rPr>
          <w:sz w:val="22"/>
          <w:lang w:eastAsia="en-GB"/>
        </w:rPr>
        <w:tab/>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lang w:eastAsia="en-GB"/>
        </w:rPr>
      </w:pPr>
      <w:r w:rsidRPr="00403CD6">
        <w:rPr>
          <w:sz w:val="22"/>
          <w:lang w:eastAsia="en-GB"/>
        </w:rPr>
        <w:t>(a)</w:t>
      </w:r>
      <w:r w:rsidRPr="00403CD6">
        <w:rPr>
          <w:sz w:val="22"/>
          <w:lang w:eastAsia="en-GB"/>
        </w:rPr>
        <w:tab/>
        <w:t>…;</w:t>
      </w:r>
    </w:p>
    <w:p w:rsidR="003475B5" w:rsidRPr="00403CD6" w:rsidRDefault="003475B5" w:rsidP="003475B5">
      <w:pPr>
        <w:tabs>
          <w:tab w:val="left" w:pos="600"/>
          <w:tab w:val="left" w:pos="1500"/>
          <w:tab w:val="left" w:pos="3600"/>
          <w:tab w:val="decimal" w:pos="3900"/>
          <w:tab w:val="left" w:pos="4800"/>
          <w:tab w:val="decimal" w:pos="5700"/>
        </w:tabs>
        <w:spacing w:after="0" w:line="300" w:lineRule="exact"/>
        <w:ind w:left="1134" w:hanging="1134"/>
        <w:rPr>
          <w:sz w:val="22"/>
          <w:lang w:eastAsia="en-GB"/>
        </w:rPr>
      </w:pP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hanging="709"/>
        <w:rPr>
          <w:sz w:val="22"/>
          <w:lang w:eastAsia="en-GB"/>
        </w:rPr>
      </w:pPr>
      <w:r w:rsidRPr="00403CD6">
        <w:rPr>
          <w:sz w:val="22"/>
          <w:lang w:eastAsia="en-GB"/>
        </w:rPr>
        <w:t>(b)</w:t>
      </w:r>
      <w:r w:rsidRPr="00403CD6">
        <w:rPr>
          <w:sz w:val="22"/>
          <w:lang w:eastAsia="en-GB"/>
        </w:rPr>
        <w:tab/>
        <w:t>[</w:t>
      </w:r>
      <w:r w:rsidRPr="00403CD6">
        <w:rPr>
          <w:i/>
          <w:sz w:val="22"/>
          <w:lang w:eastAsia="en-GB"/>
        </w:rPr>
        <w:t>It is the responsibility of the Parties to indicate clearly what the Divestment Business will not encompass</w:t>
      </w:r>
      <w:r w:rsidRPr="00403CD6">
        <w:rPr>
          <w:sz w:val="22"/>
          <w:lang w:eastAsia="en-GB"/>
        </w:rPr>
        <w:t>].</w:t>
      </w:r>
    </w:p>
    <w:p w:rsidR="003475B5" w:rsidRPr="00403CD6" w:rsidRDefault="003475B5" w:rsidP="003475B5">
      <w:pPr>
        <w:tabs>
          <w:tab w:val="left" w:pos="-567"/>
          <w:tab w:val="left" w:pos="1418"/>
          <w:tab w:val="left" w:pos="3600"/>
          <w:tab w:val="decimal" w:pos="3900"/>
          <w:tab w:val="left" w:pos="4800"/>
          <w:tab w:val="decimal" w:pos="5700"/>
        </w:tabs>
        <w:spacing w:after="0" w:line="300" w:lineRule="exact"/>
        <w:ind w:left="1418"/>
        <w:rPr>
          <w:sz w:val="22"/>
          <w:lang w:eastAsia="en-GB"/>
        </w:rPr>
      </w:pPr>
    </w:p>
    <w:p w:rsidR="003475B5" w:rsidRDefault="00670DDC" w:rsidP="00482424">
      <w:pPr>
        <w:tabs>
          <w:tab w:val="left" w:pos="1418"/>
          <w:tab w:val="left" w:pos="3600"/>
          <w:tab w:val="decimal" w:pos="3900"/>
          <w:tab w:val="left" w:pos="4800"/>
          <w:tab w:val="decimal" w:pos="5700"/>
        </w:tabs>
        <w:spacing w:after="0" w:line="300" w:lineRule="exact"/>
        <w:ind w:left="1418" w:hanging="709"/>
      </w:pPr>
      <w:r w:rsidRPr="00403CD6">
        <w:rPr>
          <w:sz w:val="22"/>
          <w:lang w:eastAsia="en-GB"/>
        </w:rPr>
        <w:t>4.</w:t>
      </w:r>
      <w:r w:rsidRPr="00403CD6">
        <w:rPr>
          <w:sz w:val="22"/>
          <w:lang w:eastAsia="en-GB"/>
        </w:rPr>
        <w:tab/>
        <w:t xml:space="preserve">If there is any asset or personnel which </w:t>
      </w:r>
      <w:r w:rsidR="00F47078" w:rsidRPr="00403CD6">
        <w:rPr>
          <w:sz w:val="22"/>
          <w:lang w:eastAsia="en-GB"/>
        </w:rPr>
        <w:t>is not</w:t>
      </w:r>
      <w:r w:rsidRPr="00403CD6">
        <w:rPr>
          <w:sz w:val="22"/>
          <w:lang w:eastAsia="en-GB"/>
        </w:rPr>
        <w:t xml:space="preserve"> be covered by paragraph 2 of this Schedule but which is both used (exclusively or not) in the Divestment Business and necessary for the continued viability and competitiveness of the Divestment Business, that asset or adequate substitute will be offered to potential purchasers.</w:t>
      </w:r>
    </w:p>
    <w:sectPr w:rsidR="003475B5" w:rsidSect="00AB23D8">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1021" w:left="1418" w:header="601" w:footer="9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E6" w:rsidRDefault="00833CE6">
      <w:r>
        <w:separator/>
      </w:r>
    </w:p>
  </w:endnote>
  <w:endnote w:type="continuationSeparator" w:id="0">
    <w:p w:rsidR="00833CE6" w:rsidRDefault="00833CE6">
      <w:r>
        <w:continuationSeparator/>
      </w:r>
    </w:p>
  </w:endnote>
  <w:endnote w:type="continuationNotice" w:id="1">
    <w:p w:rsidR="00833CE6" w:rsidRDefault="00833C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8" w:rsidRDefault="00AB2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3A" w:rsidRDefault="0066423A">
    <w:pPr>
      <w:pStyle w:val="Footer"/>
      <w:jc w:val="center"/>
    </w:pPr>
    <w:r>
      <w:fldChar w:fldCharType="begin"/>
    </w:r>
    <w:r>
      <w:instrText>PAGE</w:instrText>
    </w:r>
    <w:r>
      <w:fldChar w:fldCharType="separate"/>
    </w:r>
    <w:r w:rsidR="00D104EB">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3A" w:rsidRPr="00AB23D8" w:rsidRDefault="003B220B" w:rsidP="008E17A8">
    <w:pPr>
      <w:pStyle w:val="Footer"/>
      <w:rPr>
        <w:rFonts w:ascii="Times New Roman" w:hAnsi="Times New Roman"/>
        <w:color w:val="808080" w:themeColor="background1" w:themeShade="80"/>
      </w:rPr>
    </w:pPr>
    <w:r w:rsidRPr="003B220B">
      <w:rPr>
        <w:rFonts w:ascii="Times New Roman" w:hAnsi="Times New Roman"/>
        <w:color w:val="808080" w:themeColor="background1" w:themeShade="80"/>
      </w:rPr>
      <w:t>Standard Model for Divestiture Commitments,</w:t>
    </w:r>
    <w:r w:rsidR="00AB23D8" w:rsidRPr="00AB23D8">
      <w:rPr>
        <w:rFonts w:ascii="Times New Roman" w:hAnsi="Times New Roman"/>
        <w:color w:val="808080" w:themeColor="background1" w:themeShade="80"/>
      </w:rPr>
      <w:t>Version 5 December 2013</w:t>
    </w:r>
  </w:p>
  <w:p w:rsidR="0066423A" w:rsidRDefault="0066423A">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E6" w:rsidRDefault="00833CE6">
      <w:r>
        <w:separator/>
      </w:r>
    </w:p>
  </w:footnote>
  <w:footnote w:type="continuationSeparator" w:id="0">
    <w:p w:rsidR="00833CE6" w:rsidRDefault="00833CE6">
      <w:r>
        <w:continuationSeparator/>
      </w:r>
    </w:p>
  </w:footnote>
  <w:footnote w:type="continuationNotice" w:id="1">
    <w:p w:rsidR="00833CE6" w:rsidRDefault="00833CE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8" w:rsidRDefault="00AB2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8" w:rsidRDefault="00AB2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8" w:rsidRDefault="00AB2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322E3EC"/>
    <w:lvl w:ilvl="0">
      <w:start w:val="1"/>
      <w:numFmt w:val="decimal"/>
      <w:pStyle w:val="Heading1"/>
      <w:lvlText w:val="%1."/>
      <w:legacy w:legacy="1" w:legacySpace="0" w:legacyIndent="482"/>
      <w:lvlJc w:val="left"/>
      <w:pPr>
        <w:ind w:left="482" w:hanging="482"/>
      </w:pPr>
    </w:lvl>
    <w:lvl w:ilvl="1">
      <w:start w:val="1"/>
      <w:numFmt w:val="decimal"/>
      <w:pStyle w:val="Heading2"/>
      <w:lvlText w:val="%1.%2."/>
      <w:legacy w:legacy="1" w:legacySpace="0" w:legacyIndent="595"/>
      <w:lvlJc w:val="left"/>
      <w:pPr>
        <w:ind w:left="1077" w:hanging="595"/>
      </w:pPr>
    </w:lvl>
    <w:lvl w:ilvl="2">
      <w:start w:val="1"/>
      <w:numFmt w:val="decimal"/>
      <w:pStyle w:val="Heading3"/>
      <w:lvlText w:val="%1.%2.%3."/>
      <w:legacy w:legacy="1" w:legacySpace="0" w:legacyIndent="839"/>
      <w:lvlJc w:val="left"/>
      <w:pPr>
        <w:ind w:left="1916" w:hanging="839"/>
      </w:pPr>
    </w:lvl>
    <w:lvl w:ilvl="3">
      <w:start w:val="1"/>
      <w:numFmt w:val="decimal"/>
      <w:pStyle w:val="Heading4"/>
      <w:lvlText w:val="%1.%2.%3.%4."/>
      <w:legacy w:legacy="1" w:legacySpace="0" w:legacyIndent="708"/>
      <w:lvlJc w:val="left"/>
      <w:pPr>
        <w:ind w:left="2880" w:hanging="708"/>
      </w:pPr>
    </w:lvl>
    <w:lvl w:ilvl="4">
      <w:start w:val="1"/>
      <w:numFmt w:val="decimal"/>
      <w:pStyle w:val="Heading5"/>
      <w:lvlText w:val="%1.%2.%3.%4.%5."/>
      <w:legacy w:legacy="1" w:legacySpace="0" w:legacyIndent="708"/>
      <w:lvlJc w:val="left"/>
      <w:pPr>
        <w:ind w:left="3332" w:hanging="708"/>
      </w:pPr>
    </w:lvl>
    <w:lvl w:ilvl="5">
      <w:start w:val="1"/>
      <w:numFmt w:val="decimal"/>
      <w:pStyle w:val="Heading6"/>
      <w:lvlText w:val="%1.%2.%3.%4.%5.%6."/>
      <w:legacy w:legacy="1" w:legacySpace="0" w:legacyIndent="708"/>
      <w:lvlJc w:val="left"/>
      <w:pPr>
        <w:ind w:left="4040" w:hanging="708"/>
      </w:pPr>
    </w:lvl>
    <w:lvl w:ilvl="6">
      <w:start w:val="1"/>
      <w:numFmt w:val="decimal"/>
      <w:pStyle w:val="Heading7"/>
      <w:lvlText w:val="%1.%2.%3.%4.%5.%6.%7."/>
      <w:legacy w:legacy="1" w:legacySpace="0" w:legacyIndent="708"/>
      <w:lvlJc w:val="left"/>
      <w:pPr>
        <w:ind w:left="4748" w:hanging="708"/>
      </w:pPr>
    </w:lvl>
    <w:lvl w:ilvl="7">
      <w:start w:val="1"/>
      <w:numFmt w:val="decimal"/>
      <w:pStyle w:val="Heading8"/>
      <w:lvlText w:val="%1.%2.%3.%4.%5.%6.%7.%8."/>
      <w:legacy w:legacy="1" w:legacySpace="0" w:legacyIndent="708"/>
      <w:lvlJc w:val="left"/>
      <w:pPr>
        <w:ind w:left="5456" w:hanging="708"/>
      </w:pPr>
    </w:lvl>
    <w:lvl w:ilvl="8">
      <w:start w:val="1"/>
      <w:numFmt w:val="decimal"/>
      <w:pStyle w:val="Heading9"/>
      <w:lvlText w:val="%1.%2.%3.%4.%5.%6.%7.%8.%9."/>
      <w:legacy w:legacy="1" w:legacySpace="0" w:legacyIndent="708"/>
      <w:lvlJc w:val="left"/>
      <w:pPr>
        <w:ind w:left="6164" w:hanging="708"/>
      </w:p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
    <w:nsid w:val="29027B45"/>
    <w:multiLevelType w:val="singleLevel"/>
    <w:tmpl w:val="0409000F"/>
    <w:lvl w:ilvl="0">
      <w:start w:val="1"/>
      <w:numFmt w:val="decimal"/>
      <w:lvlText w:val="%1."/>
      <w:lvlJc w:val="left"/>
      <w:pPr>
        <w:tabs>
          <w:tab w:val="num" w:pos="360"/>
        </w:tabs>
        <w:ind w:left="360" w:hanging="360"/>
      </w:p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567F5"/>
    <w:multiLevelType w:val="singleLevel"/>
    <w:tmpl w:val="DDB4D25A"/>
    <w:lvl w:ilvl="0">
      <w:start w:val="1"/>
      <w:numFmt w:val="lowerRoman"/>
      <w:lvlText w:val="(%1)"/>
      <w:lvlJc w:val="left"/>
      <w:pPr>
        <w:tabs>
          <w:tab w:val="num" w:pos="1080"/>
        </w:tabs>
        <w:ind w:left="1080" w:hanging="720"/>
      </w:pPr>
      <w:rPr>
        <w:rFonts w:hint="default"/>
      </w:r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5B7619E3"/>
    <w:multiLevelType w:val="hybridMultilevel"/>
    <w:tmpl w:val="9FC4AECA"/>
    <w:lvl w:ilvl="0" w:tplc="821CFA88">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5"/>
  </w:num>
  <w:num w:numId="8">
    <w:abstractNumId w:val="14"/>
  </w:num>
  <w:num w:numId="9">
    <w:abstractNumId w:val="13"/>
  </w:num>
  <w:num w:numId="10">
    <w:abstractNumId w:val="7"/>
  </w:num>
  <w:num w:numId="11">
    <w:abstractNumId w:val="6"/>
  </w:num>
  <w:num w:numId="12">
    <w:abstractNumId w:val="3"/>
  </w:num>
  <w:num w:numId="13">
    <w:abstractNumId w:val="2"/>
  </w:num>
  <w:num w:numId="14">
    <w:abstractNumId w:val="15"/>
  </w:num>
  <w:num w:numId="15">
    <w:abstractNumId w:val="17"/>
  </w:num>
  <w:num w:numId="16">
    <w:abstractNumId w:val="16"/>
  </w:num>
  <w:num w:numId="17">
    <w:abstractNumId w:val="18"/>
  </w:num>
  <w:num w:numId="18">
    <w:abstractNumId w:val="4"/>
  </w:num>
  <w:num w:numId="19">
    <w:abstractNumId w:val="8"/>
  </w:num>
  <w:num w:numId="20">
    <w:abstractNumId w:val="10"/>
  </w:num>
  <w:num w:numId="21">
    <w:abstractNumId w:val="9"/>
  </w:num>
  <w:num w:numId="22">
    <w:abstractNumId w:val="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NOT"/>
    <w:docVar w:name="EurolookLanguage" w:val="2057"/>
    <w:docVar w:name="EurolookVersion" w:val="3.7"/>
    <w:docVar w:name="LW_DocType" w:val="NOT"/>
  </w:docVars>
  <w:rsids>
    <w:rsidRoot w:val="006A700B"/>
    <w:rsid w:val="00004AA2"/>
    <w:rsid w:val="00006B14"/>
    <w:rsid w:val="000111CD"/>
    <w:rsid w:val="000114B5"/>
    <w:rsid w:val="00011AC9"/>
    <w:rsid w:val="00021F8F"/>
    <w:rsid w:val="00023F16"/>
    <w:rsid w:val="00024427"/>
    <w:rsid w:val="00026767"/>
    <w:rsid w:val="0003130E"/>
    <w:rsid w:val="0003590B"/>
    <w:rsid w:val="00036182"/>
    <w:rsid w:val="000407DB"/>
    <w:rsid w:val="000442BA"/>
    <w:rsid w:val="00046AC2"/>
    <w:rsid w:val="00046F44"/>
    <w:rsid w:val="000472AD"/>
    <w:rsid w:val="00052987"/>
    <w:rsid w:val="00055766"/>
    <w:rsid w:val="00056150"/>
    <w:rsid w:val="00056E8E"/>
    <w:rsid w:val="000602DA"/>
    <w:rsid w:val="00065240"/>
    <w:rsid w:val="00065765"/>
    <w:rsid w:val="00071C84"/>
    <w:rsid w:val="00072ACD"/>
    <w:rsid w:val="00073055"/>
    <w:rsid w:val="00073548"/>
    <w:rsid w:val="00073E4D"/>
    <w:rsid w:val="00076163"/>
    <w:rsid w:val="00076724"/>
    <w:rsid w:val="00093DF2"/>
    <w:rsid w:val="000956A3"/>
    <w:rsid w:val="00097A02"/>
    <w:rsid w:val="000A31C5"/>
    <w:rsid w:val="000B40E0"/>
    <w:rsid w:val="000C0F86"/>
    <w:rsid w:val="000C3C1C"/>
    <w:rsid w:val="000C6C1C"/>
    <w:rsid w:val="000D1F9C"/>
    <w:rsid w:val="000D77A9"/>
    <w:rsid w:val="000D7AEB"/>
    <w:rsid w:val="000D7F25"/>
    <w:rsid w:val="000E2438"/>
    <w:rsid w:val="000E56CB"/>
    <w:rsid w:val="000E62B6"/>
    <w:rsid w:val="000E6EDD"/>
    <w:rsid w:val="000F1C9F"/>
    <w:rsid w:val="000F1D06"/>
    <w:rsid w:val="000F648D"/>
    <w:rsid w:val="000F7FF2"/>
    <w:rsid w:val="00102EB1"/>
    <w:rsid w:val="00103E47"/>
    <w:rsid w:val="00106116"/>
    <w:rsid w:val="00110992"/>
    <w:rsid w:val="00114B55"/>
    <w:rsid w:val="0011729C"/>
    <w:rsid w:val="00120DE4"/>
    <w:rsid w:val="00131156"/>
    <w:rsid w:val="00131FEE"/>
    <w:rsid w:val="00134095"/>
    <w:rsid w:val="00144F3D"/>
    <w:rsid w:val="001503BC"/>
    <w:rsid w:val="00154675"/>
    <w:rsid w:val="001547E5"/>
    <w:rsid w:val="00155C9A"/>
    <w:rsid w:val="00165767"/>
    <w:rsid w:val="00171021"/>
    <w:rsid w:val="001721EA"/>
    <w:rsid w:val="001766B6"/>
    <w:rsid w:val="00183AC2"/>
    <w:rsid w:val="00190A7B"/>
    <w:rsid w:val="001918B1"/>
    <w:rsid w:val="001954B1"/>
    <w:rsid w:val="001A41F0"/>
    <w:rsid w:val="001B17ED"/>
    <w:rsid w:val="001B49E0"/>
    <w:rsid w:val="001B65F7"/>
    <w:rsid w:val="001C3BB6"/>
    <w:rsid w:val="001D1C1A"/>
    <w:rsid w:val="001D2504"/>
    <w:rsid w:val="001D46B6"/>
    <w:rsid w:val="001E1F71"/>
    <w:rsid w:val="001E6763"/>
    <w:rsid w:val="001E677E"/>
    <w:rsid w:val="001F137E"/>
    <w:rsid w:val="001F2ED1"/>
    <w:rsid w:val="001F3A14"/>
    <w:rsid w:val="001F5794"/>
    <w:rsid w:val="001F7C15"/>
    <w:rsid w:val="00204358"/>
    <w:rsid w:val="00215793"/>
    <w:rsid w:val="002233DA"/>
    <w:rsid w:val="00232B0E"/>
    <w:rsid w:val="00233DE9"/>
    <w:rsid w:val="002518E3"/>
    <w:rsid w:val="002521AB"/>
    <w:rsid w:val="00266FDB"/>
    <w:rsid w:val="00280DEB"/>
    <w:rsid w:val="0028266E"/>
    <w:rsid w:val="0028520B"/>
    <w:rsid w:val="0028713E"/>
    <w:rsid w:val="00291AB9"/>
    <w:rsid w:val="00294553"/>
    <w:rsid w:val="002976C2"/>
    <w:rsid w:val="00297B24"/>
    <w:rsid w:val="002A0212"/>
    <w:rsid w:val="002A367F"/>
    <w:rsid w:val="002A4087"/>
    <w:rsid w:val="002B4F10"/>
    <w:rsid w:val="002B6F38"/>
    <w:rsid w:val="002C0595"/>
    <w:rsid w:val="002C15BA"/>
    <w:rsid w:val="002D4F55"/>
    <w:rsid w:val="002D5239"/>
    <w:rsid w:val="002D52B2"/>
    <w:rsid w:val="002E1272"/>
    <w:rsid w:val="002E58E0"/>
    <w:rsid w:val="002F2726"/>
    <w:rsid w:val="002F357E"/>
    <w:rsid w:val="00300B04"/>
    <w:rsid w:val="0031354C"/>
    <w:rsid w:val="00314DB4"/>
    <w:rsid w:val="00320799"/>
    <w:rsid w:val="003273D3"/>
    <w:rsid w:val="00330094"/>
    <w:rsid w:val="003407A9"/>
    <w:rsid w:val="00341A98"/>
    <w:rsid w:val="00342340"/>
    <w:rsid w:val="003475B5"/>
    <w:rsid w:val="003511E4"/>
    <w:rsid w:val="003549DA"/>
    <w:rsid w:val="003704F0"/>
    <w:rsid w:val="003824AC"/>
    <w:rsid w:val="00385EA1"/>
    <w:rsid w:val="0039031B"/>
    <w:rsid w:val="003A3276"/>
    <w:rsid w:val="003A44F1"/>
    <w:rsid w:val="003A75A0"/>
    <w:rsid w:val="003B0149"/>
    <w:rsid w:val="003B0E61"/>
    <w:rsid w:val="003B1D1B"/>
    <w:rsid w:val="003B220B"/>
    <w:rsid w:val="003B3743"/>
    <w:rsid w:val="003B3836"/>
    <w:rsid w:val="003C1869"/>
    <w:rsid w:val="003D1912"/>
    <w:rsid w:val="003D30B9"/>
    <w:rsid w:val="003D57BA"/>
    <w:rsid w:val="003E21C4"/>
    <w:rsid w:val="003E24F2"/>
    <w:rsid w:val="003F3811"/>
    <w:rsid w:val="003F460D"/>
    <w:rsid w:val="003F7B8E"/>
    <w:rsid w:val="004036DA"/>
    <w:rsid w:val="00403CD6"/>
    <w:rsid w:val="00406818"/>
    <w:rsid w:val="00411040"/>
    <w:rsid w:val="00412A04"/>
    <w:rsid w:val="00421CAC"/>
    <w:rsid w:val="004237CA"/>
    <w:rsid w:val="004256A2"/>
    <w:rsid w:val="00427D17"/>
    <w:rsid w:val="00442870"/>
    <w:rsid w:val="004436F0"/>
    <w:rsid w:val="004463D3"/>
    <w:rsid w:val="004467E4"/>
    <w:rsid w:val="004505BC"/>
    <w:rsid w:val="004505F4"/>
    <w:rsid w:val="0045113F"/>
    <w:rsid w:val="00465279"/>
    <w:rsid w:val="00465C54"/>
    <w:rsid w:val="00467EFB"/>
    <w:rsid w:val="00482424"/>
    <w:rsid w:val="00494A6F"/>
    <w:rsid w:val="00494F42"/>
    <w:rsid w:val="004A3974"/>
    <w:rsid w:val="004A424D"/>
    <w:rsid w:val="004A4AED"/>
    <w:rsid w:val="004A7AE7"/>
    <w:rsid w:val="004A7E65"/>
    <w:rsid w:val="004B3558"/>
    <w:rsid w:val="004B3E0F"/>
    <w:rsid w:val="004B4924"/>
    <w:rsid w:val="004C12D0"/>
    <w:rsid w:val="004C42D7"/>
    <w:rsid w:val="004C43F4"/>
    <w:rsid w:val="004D7C12"/>
    <w:rsid w:val="004E231C"/>
    <w:rsid w:val="004E25B5"/>
    <w:rsid w:val="004E3DF4"/>
    <w:rsid w:val="00502BB1"/>
    <w:rsid w:val="0050537F"/>
    <w:rsid w:val="00510027"/>
    <w:rsid w:val="00510653"/>
    <w:rsid w:val="005115DA"/>
    <w:rsid w:val="00511823"/>
    <w:rsid w:val="00516FEF"/>
    <w:rsid w:val="00517AB0"/>
    <w:rsid w:val="0052372A"/>
    <w:rsid w:val="00527CF6"/>
    <w:rsid w:val="00532626"/>
    <w:rsid w:val="00550001"/>
    <w:rsid w:val="005519B2"/>
    <w:rsid w:val="0056186C"/>
    <w:rsid w:val="00580A05"/>
    <w:rsid w:val="005823BC"/>
    <w:rsid w:val="0058264A"/>
    <w:rsid w:val="005841D2"/>
    <w:rsid w:val="005A77EB"/>
    <w:rsid w:val="005B24F0"/>
    <w:rsid w:val="005B704C"/>
    <w:rsid w:val="005C2D0E"/>
    <w:rsid w:val="005C6074"/>
    <w:rsid w:val="005C79EE"/>
    <w:rsid w:val="005D0EE8"/>
    <w:rsid w:val="005D2773"/>
    <w:rsid w:val="005D2E00"/>
    <w:rsid w:val="005D5C83"/>
    <w:rsid w:val="005D5E04"/>
    <w:rsid w:val="005D5E14"/>
    <w:rsid w:val="005D7F9E"/>
    <w:rsid w:val="005D7FCE"/>
    <w:rsid w:val="005E4C3B"/>
    <w:rsid w:val="005F0E88"/>
    <w:rsid w:val="005F19AB"/>
    <w:rsid w:val="005F21F6"/>
    <w:rsid w:val="005F27B4"/>
    <w:rsid w:val="005F6B7C"/>
    <w:rsid w:val="005F7ED5"/>
    <w:rsid w:val="00607D62"/>
    <w:rsid w:val="00610AE1"/>
    <w:rsid w:val="006117F5"/>
    <w:rsid w:val="00612F48"/>
    <w:rsid w:val="006178C5"/>
    <w:rsid w:val="00624AB3"/>
    <w:rsid w:val="00631265"/>
    <w:rsid w:val="0063259D"/>
    <w:rsid w:val="006370E2"/>
    <w:rsid w:val="00637BBA"/>
    <w:rsid w:val="00645237"/>
    <w:rsid w:val="0064552F"/>
    <w:rsid w:val="00650DA1"/>
    <w:rsid w:val="00654797"/>
    <w:rsid w:val="00657778"/>
    <w:rsid w:val="006611AD"/>
    <w:rsid w:val="00662287"/>
    <w:rsid w:val="0066423A"/>
    <w:rsid w:val="006674E2"/>
    <w:rsid w:val="00670DDC"/>
    <w:rsid w:val="00671E32"/>
    <w:rsid w:val="006757B9"/>
    <w:rsid w:val="006760DA"/>
    <w:rsid w:val="006800F5"/>
    <w:rsid w:val="0068036E"/>
    <w:rsid w:val="00681D6C"/>
    <w:rsid w:val="006821A4"/>
    <w:rsid w:val="00682426"/>
    <w:rsid w:val="00682BA7"/>
    <w:rsid w:val="006848F8"/>
    <w:rsid w:val="006924D0"/>
    <w:rsid w:val="006926DE"/>
    <w:rsid w:val="006A0EBD"/>
    <w:rsid w:val="006A2D13"/>
    <w:rsid w:val="006A700B"/>
    <w:rsid w:val="006A7ED0"/>
    <w:rsid w:val="006B0169"/>
    <w:rsid w:val="006B1049"/>
    <w:rsid w:val="006C0528"/>
    <w:rsid w:val="006C1A11"/>
    <w:rsid w:val="006C251E"/>
    <w:rsid w:val="006F6003"/>
    <w:rsid w:val="006F6CFF"/>
    <w:rsid w:val="007038C3"/>
    <w:rsid w:val="007044E5"/>
    <w:rsid w:val="00707F27"/>
    <w:rsid w:val="00710092"/>
    <w:rsid w:val="007103B8"/>
    <w:rsid w:val="00710B44"/>
    <w:rsid w:val="00711EF2"/>
    <w:rsid w:val="007140CE"/>
    <w:rsid w:val="00716E67"/>
    <w:rsid w:val="00732132"/>
    <w:rsid w:val="00732631"/>
    <w:rsid w:val="0073329E"/>
    <w:rsid w:val="007340D8"/>
    <w:rsid w:val="007366C5"/>
    <w:rsid w:val="0074135A"/>
    <w:rsid w:val="007428FE"/>
    <w:rsid w:val="00746500"/>
    <w:rsid w:val="00752A68"/>
    <w:rsid w:val="00754E38"/>
    <w:rsid w:val="00755086"/>
    <w:rsid w:val="00760DA0"/>
    <w:rsid w:val="00766871"/>
    <w:rsid w:val="00774F5A"/>
    <w:rsid w:val="00775819"/>
    <w:rsid w:val="00780CEA"/>
    <w:rsid w:val="00780EDC"/>
    <w:rsid w:val="00782962"/>
    <w:rsid w:val="007847CF"/>
    <w:rsid w:val="007861B4"/>
    <w:rsid w:val="007903B6"/>
    <w:rsid w:val="007932F8"/>
    <w:rsid w:val="0079600F"/>
    <w:rsid w:val="00797299"/>
    <w:rsid w:val="00797301"/>
    <w:rsid w:val="007A28F6"/>
    <w:rsid w:val="007B228F"/>
    <w:rsid w:val="007B3040"/>
    <w:rsid w:val="007C2C82"/>
    <w:rsid w:val="007C536A"/>
    <w:rsid w:val="007E69A4"/>
    <w:rsid w:val="007E6D5C"/>
    <w:rsid w:val="007F0687"/>
    <w:rsid w:val="007F6B21"/>
    <w:rsid w:val="007F6E16"/>
    <w:rsid w:val="00802E24"/>
    <w:rsid w:val="0080669F"/>
    <w:rsid w:val="00812E56"/>
    <w:rsid w:val="008316FC"/>
    <w:rsid w:val="00833CE6"/>
    <w:rsid w:val="008348C1"/>
    <w:rsid w:val="00836101"/>
    <w:rsid w:val="00836780"/>
    <w:rsid w:val="00845C45"/>
    <w:rsid w:val="00850DE1"/>
    <w:rsid w:val="0085127E"/>
    <w:rsid w:val="00855C74"/>
    <w:rsid w:val="00855D33"/>
    <w:rsid w:val="008578A3"/>
    <w:rsid w:val="00866E9C"/>
    <w:rsid w:val="008779E1"/>
    <w:rsid w:val="00883FC0"/>
    <w:rsid w:val="00886374"/>
    <w:rsid w:val="00894495"/>
    <w:rsid w:val="008A2AE9"/>
    <w:rsid w:val="008A393C"/>
    <w:rsid w:val="008A696E"/>
    <w:rsid w:val="008B3857"/>
    <w:rsid w:val="008B5AB5"/>
    <w:rsid w:val="008B63AD"/>
    <w:rsid w:val="008C19E4"/>
    <w:rsid w:val="008D337D"/>
    <w:rsid w:val="008D3714"/>
    <w:rsid w:val="008D48CA"/>
    <w:rsid w:val="008D6532"/>
    <w:rsid w:val="008D69BC"/>
    <w:rsid w:val="008E17A8"/>
    <w:rsid w:val="008F440B"/>
    <w:rsid w:val="009043AD"/>
    <w:rsid w:val="00912AC7"/>
    <w:rsid w:val="009143A9"/>
    <w:rsid w:val="00914885"/>
    <w:rsid w:val="00927E08"/>
    <w:rsid w:val="00946740"/>
    <w:rsid w:val="00953467"/>
    <w:rsid w:val="00956572"/>
    <w:rsid w:val="00967A75"/>
    <w:rsid w:val="009720CA"/>
    <w:rsid w:val="0097484F"/>
    <w:rsid w:val="00980C8C"/>
    <w:rsid w:val="0098229D"/>
    <w:rsid w:val="00982C8B"/>
    <w:rsid w:val="00983807"/>
    <w:rsid w:val="00986C93"/>
    <w:rsid w:val="009902A4"/>
    <w:rsid w:val="009961C0"/>
    <w:rsid w:val="009A23A5"/>
    <w:rsid w:val="009B10DA"/>
    <w:rsid w:val="009B7212"/>
    <w:rsid w:val="009C0A63"/>
    <w:rsid w:val="009C138E"/>
    <w:rsid w:val="009C1F68"/>
    <w:rsid w:val="009C36D9"/>
    <w:rsid w:val="009D0612"/>
    <w:rsid w:val="009D15B6"/>
    <w:rsid w:val="009D6011"/>
    <w:rsid w:val="009E18A1"/>
    <w:rsid w:val="009E2D74"/>
    <w:rsid w:val="00A0021E"/>
    <w:rsid w:val="00A0347A"/>
    <w:rsid w:val="00A04C66"/>
    <w:rsid w:val="00A04EFD"/>
    <w:rsid w:val="00A16280"/>
    <w:rsid w:val="00A20CB5"/>
    <w:rsid w:val="00A25148"/>
    <w:rsid w:val="00A26D34"/>
    <w:rsid w:val="00A331F1"/>
    <w:rsid w:val="00A35352"/>
    <w:rsid w:val="00A462E4"/>
    <w:rsid w:val="00A52AF1"/>
    <w:rsid w:val="00A641BF"/>
    <w:rsid w:val="00A704BC"/>
    <w:rsid w:val="00A75667"/>
    <w:rsid w:val="00A77D11"/>
    <w:rsid w:val="00A865C2"/>
    <w:rsid w:val="00A86CEE"/>
    <w:rsid w:val="00A95B5F"/>
    <w:rsid w:val="00AA2ECB"/>
    <w:rsid w:val="00AA5424"/>
    <w:rsid w:val="00AB194C"/>
    <w:rsid w:val="00AB23D8"/>
    <w:rsid w:val="00AB5F41"/>
    <w:rsid w:val="00AB63C4"/>
    <w:rsid w:val="00AC2620"/>
    <w:rsid w:val="00AC4F6F"/>
    <w:rsid w:val="00AC55E6"/>
    <w:rsid w:val="00AC6A07"/>
    <w:rsid w:val="00AD5EC6"/>
    <w:rsid w:val="00AE2479"/>
    <w:rsid w:val="00AE2B86"/>
    <w:rsid w:val="00AE613C"/>
    <w:rsid w:val="00AE69CD"/>
    <w:rsid w:val="00AF7A0E"/>
    <w:rsid w:val="00B006AF"/>
    <w:rsid w:val="00B04C88"/>
    <w:rsid w:val="00B04E2F"/>
    <w:rsid w:val="00B05634"/>
    <w:rsid w:val="00B067DF"/>
    <w:rsid w:val="00B1255A"/>
    <w:rsid w:val="00B126E8"/>
    <w:rsid w:val="00B14DBE"/>
    <w:rsid w:val="00B17B60"/>
    <w:rsid w:val="00B2130A"/>
    <w:rsid w:val="00B23B4B"/>
    <w:rsid w:val="00B300E8"/>
    <w:rsid w:val="00B30426"/>
    <w:rsid w:val="00B31D37"/>
    <w:rsid w:val="00B32541"/>
    <w:rsid w:val="00B34D5E"/>
    <w:rsid w:val="00B34EE4"/>
    <w:rsid w:val="00B4226E"/>
    <w:rsid w:val="00B6773A"/>
    <w:rsid w:val="00B70BF4"/>
    <w:rsid w:val="00B725B7"/>
    <w:rsid w:val="00B7545F"/>
    <w:rsid w:val="00B81D80"/>
    <w:rsid w:val="00B838DC"/>
    <w:rsid w:val="00B85F0C"/>
    <w:rsid w:val="00B906E6"/>
    <w:rsid w:val="00B92D44"/>
    <w:rsid w:val="00B95532"/>
    <w:rsid w:val="00B956E6"/>
    <w:rsid w:val="00BA09D1"/>
    <w:rsid w:val="00BB14EB"/>
    <w:rsid w:val="00BB2532"/>
    <w:rsid w:val="00BB2937"/>
    <w:rsid w:val="00BC400B"/>
    <w:rsid w:val="00BC44FC"/>
    <w:rsid w:val="00BD0BE5"/>
    <w:rsid w:val="00BD17A1"/>
    <w:rsid w:val="00BD5A99"/>
    <w:rsid w:val="00BD6BED"/>
    <w:rsid w:val="00C07480"/>
    <w:rsid w:val="00C128B1"/>
    <w:rsid w:val="00C26A57"/>
    <w:rsid w:val="00C37002"/>
    <w:rsid w:val="00C40725"/>
    <w:rsid w:val="00C451BE"/>
    <w:rsid w:val="00C50BB5"/>
    <w:rsid w:val="00C54FDB"/>
    <w:rsid w:val="00C5764C"/>
    <w:rsid w:val="00C72576"/>
    <w:rsid w:val="00C765A9"/>
    <w:rsid w:val="00C77063"/>
    <w:rsid w:val="00C83B46"/>
    <w:rsid w:val="00C96F0A"/>
    <w:rsid w:val="00CB7D22"/>
    <w:rsid w:val="00CC2A7C"/>
    <w:rsid w:val="00CC78BE"/>
    <w:rsid w:val="00CD049E"/>
    <w:rsid w:val="00CD205D"/>
    <w:rsid w:val="00CD65B5"/>
    <w:rsid w:val="00CD6D12"/>
    <w:rsid w:val="00CD7C22"/>
    <w:rsid w:val="00CE08AE"/>
    <w:rsid w:val="00CE1170"/>
    <w:rsid w:val="00CE2136"/>
    <w:rsid w:val="00CE3AEE"/>
    <w:rsid w:val="00CE3C97"/>
    <w:rsid w:val="00CE68B8"/>
    <w:rsid w:val="00CF036E"/>
    <w:rsid w:val="00CF6796"/>
    <w:rsid w:val="00D0187F"/>
    <w:rsid w:val="00D05697"/>
    <w:rsid w:val="00D071FA"/>
    <w:rsid w:val="00D104EB"/>
    <w:rsid w:val="00D10C80"/>
    <w:rsid w:val="00D13B34"/>
    <w:rsid w:val="00D1641F"/>
    <w:rsid w:val="00D240D2"/>
    <w:rsid w:val="00D24B9E"/>
    <w:rsid w:val="00D27117"/>
    <w:rsid w:val="00D35241"/>
    <w:rsid w:val="00D36192"/>
    <w:rsid w:val="00D4327B"/>
    <w:rsid w:val="00D4660E"/>
    <w:rsid w:val="00D46FFB"/>
    <w:rsid w:val="00D56899"/>
    <w:rsid w:val="00D61415"/>
    <w:rsid w:val="00D63125"/>
    <w:rsid w:val="00D65DBE"/>
    <w:rsid w:val="00D67192"/>
    <w:rsid w:val="00D768AA"/>
    <w:rsid w:val="00D82F4B"/>
    <w:rsid w:val="00D85C28"/>
    <w:rsid w:val="00D87FDB"/>
    <w:rsid w:val="00D91545"/>
    <w:rsid w:val="00DA2130"/>
    <w:rsid w:val="00DA6E57"/>
    <w:rsid w:val="00DA7F29"/>
    <w:rsid w:val="00DC0B39"/>
    <w:rsid w:val="00DC2BF4"/>
    <w:rsid w:val="00DC4FD9"/>
    <w:rsid w:val="00DC5088"/>
    <w:rsid w:val="00DC7612"/>
    <w:rsid w:val="00DE3C49"/>
    <w:rsid w:val="00DF0BB4"/>
    <w:rsid w:val="00DF1FC9"/>
    <w:rsid w:val="00E0170A"/>
    <w:rsid w:val="00E25F4A"/>
    <w:rsid w:val="00E2654F"/>
    <w:rsid w:val="00E371F5"/>
    <w:rsid w:val="00E42FE2"/>
    <w:rsid w:val="00E51B0A"/>
    <w:rsid w:val="00E525C6"/>
    <w:rsid w:val="00E53FD0"/>
    <w:rsid w:val="00E549D7"/>
    <w:rsid w:val="00E612FE"/>
    <w:rsid w:val="00E646EB"/>
    <w:rsid w:val="00E7687D"/>
    <w:rsid w:val="00E82137"/>
    <w:rsid w:val="00E83729"/>
    <w:rsid w:val="00EA139A"/>
    <w:rsid w:val="00EA1E11"/>
    <w:rsid w:val="00EA2E83"/>
    <w:rsid w:val="00EA6073"/>
    <w:rsid w:val="00EA7DFE"/>
    <w:rsid w:val="00EB3D9B"/>
    <w:rsid w:val="00EB54AB"/>
    <w:rsid w:val="00EB5F9D"/>
    <w:rsid w:val="00EB6208"/>
    <w:rsid w:val="00EC1D00"/>
    <w:rsid w:val="00EC73DC"/>
    <w:rsid w:val="00ED0A4C"/>
    <w:rsid w:val="00EE3F1D"/>
    <w:rsid w:val="00EE6B3B"/>
    <w:rsid w:val="00F123EC"/>
    <w:rsid w:val="00F12A37"/>
    <w:rsid w:val="00F13390"/>
    <w:rsid w:val="00F149D2"/>
    <w:rsid w:val="00F1533C"/>
    <w:rsid w:val="00F2113D"/>
    <w:rsid w:val="00F236A1"/>
    <w:rsid w:val="00F25E65"/>
    <w:rsid w:val="00F27765"/>
    <w:rsid w:val="00F306A3"/>
    <w:rsid w:val="00F34CE4"/>
    <w:rsid w:val="00F35625"/>
    <w:rsid w:val="00F40869"/>
    <w:rsid w:val="00F448DE"/>
    <w:rsid w:val="00F46009"/>
    <w:rsid w:val="00F47078"/>
    <w:rsid w:val="00F52845"/>
    <w:rsid w:val="00F533A7"/>
    <w:rsid w:val="00F551D7"/>
    <w:rsid w:val="00F55BC9"/>
    <w:rsid w:val="00F61EA9"/>
    <w:rsid w:val="00F701E0"/>
    <w:rsid w:val="00F7287C"/>
    <w:rsid w:val="00F8100D"/>
    <w:rsid w:val="00F83910"/>
    <w:rsid w:val="00F84DFA"/>
    <w:rsid w:val="00F87F5C"/>
    <w:rsid w:val="00F90938"/>
    <w:rsid w:val="00F90A1F"/>
    <w:rsid w:val="00F9169C"/>
    <w:rsid w:val="00F91C17"/>
    <w:rsid w:val="00F97423"/>
    <w:rsid w:val="00F97AEF"/>
    <w:rsid w:val="00FA2C56"/>
    <w:rsid w:val="00FA35B8"/>
    <w:rsid w:val="00FA668D"/>
    <w:rsid w:val="00FB1001"/>
    <w:rsid w:val="00FC19D1"/>
    <w:rsid w:val="00FC3716"/>
    <w:rsid w:val="00FC76A2"/>
    <w:rsid w:val="00FD4213"/>
    <w:rsid w:val="00FE4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z w:val="24"/>
      <w:lang w:eastAsia="zh-CN"/>
    </w:rPr>
  </w:style>
  <w:style w:type="paragraph" w:styleId="Heading1">
    <w:name w:val="heading 1"/>
    <w:basedOn w:val="Normal"/>
    <w:next w:val="Text1"/>
    <w:qFormat/>
    <w:pPr>
      <w:keepNext/>
      <w:numPr>
        <w:numId w:val="2"/>
      </w:numPr>
      <w:spacing w:before="240"/>
      <w:outlineLvl w:val="0"/>
    </w:pPr>
    <w:rPr>
      <w:b/>
      <w:smallCaps/>
    </w:rPr>
  </w:style>
  <w:style w:type="paragraph" w:styleId="Heading2">
    <w:name w:val="heading 2"/>
    <w:aliases w:val="h2,A.B.C.,Heading2,H2-Heading 2,Header 2,l2,Header2,22,heading2,list2,H2,list 2,21,23,24,25,211,221,231,241,26,212,222,232,242,251,2111,2211,2311,2411,27,213,223,233,243,252,2112,2212,2312,2412,261,2121,2221,2321,2421,2511,21111,28,2,CHS,o"/>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4"/>
      </w:numPr>
      <w:outlineLvl w:val="2"/>
    </w:pPr>
    <w:rPr>
      <w:i/>
    </w:rPr>
  </w:style>
  <w:style w:type="paragraph" w:styleId="Heading4">
    <w:name w:val="heading 4"/>
    <w:basedOn w:val="Normal"/>
    <w:next w:val="Text4"/>
    <w:qFormat/>
    <w:pPr>
      <w:keepNext/>
      <w:numPr>
        <w:ilvl w:val="3"/>
        <w:numId w:val="5"/>
      </w:numPr>
      <w:ind w:hanging="964"/>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umPar4">
    <w:name w:val="NumPar 4"/>
    <w:basedOn w:val="Heading4"/>
    <w:next w:val="Text4"/>
    <w:pPr>
      <w:keepNext w:val="0"/>
    </w:pPr>
  </w:style>
  <w:style w:type="paragraph" w:styleId="TOC4">
    <w:name w:val="toc 4"/>
    <w:basedOn w:val="Normal"/>
    <w:next w:val="Normal"/>
    <w:semiHidden/>
    <w:pPr>
      <w:tabs>
        <w:tab w:val="right" w:leader="dot" w:pos="8641"/>
      </w:tabs>
      <w:spacing w:before="60" w:after="60"/>
      <w:ind w:left="2880" w:right="720" w:hanging="964"/>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ubSign">
    <w:name w:val="DoubSign"/>
    <w:basedOn w:val="Normal"/>
    <w:next w:val="Enclosures"/>
    <w:pPr>
      <w:tabs>
        <w:tab w:val="left" w:pos="5103"/>
      </w:tabs>
      <w:spacing w:before="1200" w:after="0"/>
      <w:jc w:val="left"/>
    </w:p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ind w:left="357" w:hanging="357"/>
    </w:pPr>
    <w:rPr>
      <w:sz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ind w:left="1917" w:hanging="840"/>
    </w:pPr>
    <w:rPr>
      <w:i w:val="0"/>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styleId="Header">
    <w:name w:val="header"/>
    <w:basedOn w:val="Normal"/>
    <w:pPr>
      <w:tabs>
        <w:tab w:val="center" w:pos="4153"/>
        <w:tab w:val="right" w:pos="8306"/>
      </w:tabs>
    </w:pPr>
  </w:style>
  <w:style w:type="paragraph" w:customStyle="1" w:styleId="Contact">
    <w:name w:val="Contact"/>
    <w:basedOn w:val="Normal"/>
    <w:next w:val="Enclosures"/>
    <w:rsid w:val="004A4AED"/>
    <w:pPr>
      <w:spacing w:before="480" w:after="0"/>
      <w:ind w:left="567" w:hanging="567"/>
      <w:jc w:val="left"/>
    </w:pPr>
    <w:rPr>
      <w:lang w:eastAsia="en-US"/>
    </w:rPr>
  </w:style>
  <w:style w:type="paragraph" w:styleId="ListBullet">
    <w:name w:val="List Bullet"/>
    <w:basedOn w:val="Normal"/>
    <w:rsid w:val="004A4AED"/>
    <w:pPr>
      <w:numPr>
        <w:numId w:val="9"/>
      </w:numPr>
    </w:pPr>
    <w:rPr>
      <w:lang w:eastAsia="en-US"/>
    </w:rPr>
  </w:style>
  <w:style w:type="paragraph" w:customStyle="1" w:styleId="ListBullet1">
    <w:name w:val="List Bullet 1"/>
    <w:basedOn w:val="Text1"/>
    <w:rsid w:val="004A4AED"/>
    <w:pPr>
      <w:numPr>
        <w:numId w:val="10"/>
      </w:numPr>
    </w:pPr>
    <w:rPr>
      <w:lang w:eastAsia="en-US"/>
    </w:rPr>
  </w:style>
  <w:style w:type="paragraph" w:styleId="ListBullet2">
    <w:name w:val="List Bullet 2"/>
    <w:basedOn w:val="Text2"/>
    <w:rsid w:val="004A4AED"/>
    <w:pPr>
      <w:numPr>
        <w:numId w:val="11"/>
      </w:numPr>
      <w:tabs>
        <w:tab w:val="clear" w:pos="2161"/>
      </w:tabs>
    </w:pPr>
    <w:rPr>
      <w:lang w:eastAsia="en-US"/>
    </w:rPr>
  </w:style>
  <w:style w:type="paragraph" w:styleId="ListBullet3">
    <w:name w:val="List Bullet 3"/>
    <w:basedOn w:val="Text3"/>
    <w:rsid w:val="004A4AED"/>
    <w:pPr>
      <w:numPr>
        <w:numId w:val="12"/>
      </w:numPr>
      <w:tabs>
        <w:tab w:val="clear" w:pos="2302"/>
      </w:tabs>
    </w:pPr>
    <w:rPr>
      <w:lang w:eastAsia="en-US"/>
    </w:rPr>
  </w:style>
  <w:style w:type="paragraph" w:styleId="ListBullet4">
    <w:name w:val="List Bullet 4"/>
    <w:basedOn w:val="Text4"/>
    <w:rsid w:val="004A4AED"/>
    <w:pPr>
      <w:numPr>
        <w:numId w:val="13"/>
      </w:numPr>
    </w:pPr>
    <w:rPr>
      <w:lang w:eastAsia="en-US"/>
    </w:rPr>
  </w:style>
  <w:style w:type="paragraph" w:customStyle="1" w:styleId="ListDash">
    <w:name w:val="List Dash"/>
    <w:basedOn w:val="Normal"/>
    <w:rsid w:val="004A4AED"/>
    <w:pPr>
      <w:numPr>
        <w:numId w:val="14"/>
      </w:numPr>
    </w:pPr>
    <w:rPr>
      <w:lang w:eastAsia="en-US"/>
    </w:rPr>
  </w:style>
  <w:style w:type="paragraph" w:customStyle="1" w:styleId="ListDash1">
    <w:name w:val="List Dash 1"/>
    <w:basedOn w:val="Text1"/>
    <w:rsid w:val="004A4AED"/>
    <w:pPr>
      <w:numPr>
        <w:numId w:val="15"/>
      </w:numPr>
    </w:pPr>
    <w:rPr>
      <w:lang w:eastAsia="en-US"/>
    </w:rPr>
  </w:style>
  <w:style w:type="paragraph" w:customStyle="1" w:styleId="ListDash2">
    <w:name w:val="List Dash 2"/>
    <w:basedOn w:val="Text2"/>
    <w:rsid w:val="004A4AED"/>
    <w:pPr>
      <w:numPr>
        <w:numId w:val="16"/>
      </w:numPr>
      <w:tabs>
        <w:tab w:val="clear" w:pos="2161"/>
      </w:tabs>
    </w:pPr>
    <w:rPr>
      <w:lang w:eastAsia="en-US"/>
    </w:rPr>
  </w:style>
  <w:style w:type="paragraph" w:customStyle="1" w:styleId="ListDash3">
    <w:name w:val="List Dash 3"/>
    <w:basedOn w:val="Text3"/>
    <w:rsid w:val="004A4AED"/>
    <w:pPr>
      <w:numPr>
        <w:numId w:val="17"/>
      </w:numPr>
      <w:tabs>
        <w:tab w:val="clear" w:pos="2302"/>
      </w:tabs>
    </w:pPr>
    <w:rPr>
      <w:lang w:eastAsia="en-US"/>
    </w:rPr>
  </w:style>
  <w:style w:type="paragraph" w:customStyle="1" w:styleId="ListDash4">
    <w:name w:val="List Dash 4"/>
    <w:basedOn w:val="Text4"/>
    <w:rsid w:val="004A4AED"/>
    <w:pPr>
      <w:numPr>
        <w:numId w:val="18"/>
      </w:numPr>
    </w:pPr>
    <w:rPr>
      <w:lang w:eastAsia="en-US"/>
    </w:rPr>
  </w:style>
  <w:style w:type="paragraph" w:styleId="ListNumber">
    <w:name w:val="List Number"/>
    <w:basedOn w:val="Normal"/>
    <w:rsid w:val="004A4AED"/>
    <w:pPr>
      <w:numPr>
        <w:numId w:val="19"/>
      </w:numPr>
    </w:pPr>
    <w:rPr>
      <w:lang w:eastAsia="en-US"/>
    </w:rPr>
  </w:style>
  <w:style w:type="paragraph" w:customStyle="1" w:styleId="ListNumber1">
    <w:name w:val="List Number 1"/>
    <w:basedOn w:val="Text1"/>
    <w:rsid w:val="004A4AED"/>
    <w:pPr>
      <w:numPr>
        <w:numId w:val="20"/>
      </w:numPr>
    </w:pPr>
    <w:rPr>
      <w:lang w:eastAsia="en-US"/>
    </w:rPr>
  </w:style>
  <w:style w:type="paragraph" w:styleId="ListNumber2">
    <w:name w:val="List Number 2"/>
    <w:basedOn w:val="Text2"/>
    <w:rsid w:val="004A4AED"/>
    <w:pPr>
      <w:numPr>
        <w:numId w:val="21"/>
      </w:numPr>
      <w:tabs>
        <w:tab w:val="clear" w:pos="2161"/>
      </w:tabs>
    </w:pPr>
    <w:rPr>
      <w:lang w:eastAsia="en-US"/>
    </w:rPr>
  </w:style>
  <w:style w:type="paragraph" w:styleId="ListNumber3">
    <w:name w:val="List Number 3"/>
    <w:basedOn w:val="Text3"/>
    <w:rsid w:val="004A4AED"/>
    <w:pPr>
      <w:numPr>
        <w:numId w:val="22"/>
      </w:numPr>
      <w:tabs>
        <w:tab w:val="clear" w:pos="2302"/>
      </w:tabs>
    </w:pPr>
    <w:rPr>
      <w:lang w:eastAsia="en-US"/>
    </w:rPr>
  </w:style>
  <w:style w:type="paragraph" w:styleId="ListNumber4">
    <w:name w:val="List Number 4"/>
    <w:basedOn w:val="Text4"/>
    <w:rsid w:val="004A4AED"/>
    <w:pPr>
      <w:numPr>
        <w:numId w:val="23"/>
      </w:numPr>
    </w:pPr>
    <w:rPr>
      <w:lang w:eastAsia="en-US"/>
    </w:rPr>
  </w:style>
  <w:style w:type="paragraph" w:customStyle="1" w:styleId="ListNumberLevel2">
    <w:name w:val="List Number (Level 2)"/>
    <w:basedOn w:val="Normal"/>
    <w:rsid w:val="004A4AED"/>
    <w:pPr>
      <w:numPr>
        <w:ilvl w:val="1"/>
        <w:numId w:val="19"/>
      </w:numPr>
    </w:pPr>
    <w:rPr>
      <w:lang w:eastAsia="en-US"/>
    </w:rPr>
  </w:style>
  <w:style w:type="paragraph" w:customStyle="1" w:styleId="ListNumber1Level2">
    <w:name w:val="List Number 1 (Level 2)"/>
    <w:basedOn w:val="Text1"/>
    <w:rsid w:val="004A4AED"/>
    <w:pPr>
      <w:numPr>
        <w:ilvl w:val="1"/>
        <w:numId w:val="20"/>
      </w:numPr>
    </w:pPr>
    <w:rPr>
      <w:lang w:eastAsia="en-US"/>
    </w:rPr>
  </w:style>
  <w:style w:type="paragraph" w:customStyle="1" w:styleId="ListNumber2Level2">
    <w:name w:val="List Number 2 (Level 2)"/>
    <w:basedOn w:val="Text2"/>
    <w:rsid w:val="004A4AED"/>
    <w:pPr>
      <w:numPr>
        <w:ilvl w:val="1"/>
        <w:numId w:val="21"/>
      </w:numPr>
      <w:tabs>
        <w:tab w:val="clear" w:pos="2161"/>
      </w:tabs>
    </w:pPr>
    <w:rPr>
      <w:lang w:eastAsia="en-US"/>
    </w:rPr>
  </w:style>
  <w:style w:type="paragraph" w:customStyle="1" w:styleId="ListNumber3Level2">
    <w:name w:val="List Number 3 (Level 2)"/>
    <w:basedOn w:val="Text3"/>
    <w:rsid w:val="004A4AED"/>
    <w:pPr>
      <w:numPr>
        <w:ilvl w:val="1"/>
        <w:numId w:val="22"/>
      </w:numPr>
      <w:tabs>
        <w:tab w:val="clear" w:pos="2302"/>
      </w:tabs>
    </w:pPr>
    <w:rPr>
      <w:lang w:eastAsia="en-US"/>
    </w:rPr>
  </w:style>
  <w:style w:type="paragraph" w:customStyle="1" w:styleId="ListNumber4Level2">
    <w:name w:val="List Number 4 (Level 2)"/>
    <w:basedOn w:val="Text4"/>
    <w:rsid w:val="004A4AED"/>
    <w:pPr>
      <w:numPr>
        <w:ilvl w:val="1"/>
        <w:numId w:val="23"/>
      </w:numPr>
    </w:pPr>
    <w:rPr>
      <w:lang w:eastAsia="en-US"/>
    </w:rPr>
  </w:style>
  <w:style w:type="paragraph" w:customStyle="1" w:styleId="ListNumberLevel3">
    <w:name w:val="List Number (Level 3)"/>
    <w:basedOn w:val="Normal"/>
    <w:rsid w:val="004A4AED"/>
    <w:pPr>
      <w:numPr>
        <w:ilvl w:val="2"/>
        <w:numId w:val="19"/>
      </w:numPr>
    </w:pPr>
    <w:rPr>
      <w:lang w:eastAsia="en-US"/>
    </w:rPr>
  </w:style>
  <w:style w:type="paragraph" w:customStyle="1" w:styleId="ListNumber1Level3">
    <w:name w:val="List Number 1 (Level 3)"/>
    <w:basedOn w:val="Text1"/>
    <w:rsid w:val="004A4AED"/>
    <w:pPr>
      <w:numPr>
        <w:ilvl w:val="2"/>
        <w:numId w:val="20"/>
      </w:numPr>
    </w:pPr>
    <w:rPr>
      <w:lang w:eastAsia="en-US"/>
    </w:rPr>
  </w:style>
  <w:style w:type="paragraph" w:customStyle="1" w:styleId="ListNumber2Level3">
    <w:name w:val="List Number 2 (Level 3)"/>
    <w:basedOn w:val="Text2"/>
    <w:rsid w:val="004A4AED"/>
    <w:pPr>
      <w:numPr>
        <w:ilvl w:val="2"/>
        <w:numId w:val="21"/>
      </w:numPr>
      <w:tabs>
        <w:tab w:val="clear" w:pos="2161"/>
      </w:tabs>
    </w:pPr>
    <w:rPr>
      <w:lang w:eastAsia="en-US"/>
    </w:rPr>
  </w:style>
  <w:style w:type="paragraph" w:customStyle="1" w:styleId="ListNumber3Level3">
    <w:name w:val="List Number 3 (Level 3)"/>
    <w:basedOn w:val="Text3"/>
    <w:rsid w:val="004A4AED"/>
    <w:pPr>
      <w:numPr>
        <w:ilvl w:val="2"/>
        <w:numId w:val="22"/>
      </w:numPr>
      <w:tabs>
        <w:tab w:val="clear" w:pos="2302"/>
      </w:tabs>
    </w:pPr>
    <w:rPr>
      <w:lang w:eastAsia="en-US"/>
    </w:rPr>
  </w:style>
  <w:style w:type="paragraph" w:customStyle="1" w:styleId="ListNumber4Level3">
    <w:name w:val="List Number 4 (Level 3)"/>
    <w:basedOn w:val="Text4"/>
    <w:rsid w:val="004A4AED"/>
    <w:pPr>
      <w:numPr>
        <w:ilvl w:val="2"/>
        <w:numId w:val="23"/>
      </w:numPr>
    </w:pPr>
    <w:rPr>
      <w:lang w:eastAsia="en-US"/>
    </w:rPr>
  </w:style>
  <w:style w:type="paragraph" w:customStyle="1" w:styleId="ListNumberLevel4">
    <w:name w:val="List Number (Level 4)"/>
    <w:basedOn w:val="Normal"/>
    <w:rsid w:val="004A4AED"/>
    <w:pPr>
      <w:numPr>
        <w:ilvl w:val="3"/>
        <w:numId w:val="19"/>
      </w:numPr>
    </w:pPr>
    <w:rPr>
      <w:lang w:eastAsia="en-US"/>
    </w:rPr>
  </w:style>
  <w:style w:type="paragraph" w:customStyle="1" w:styleId="ListNumber1Level4">
    <w:name w:val="List Number 1 (Level 4)"/>
    <w:basedOn w:val="Text1"/>
    <w:rsid w:val="004A4AED"/>
    <w:pPr>
      <w:numPr>
        <w:ilvl w:val="3"/>
        <w:numId w:val="20"/>
      </w:numPr>
    </w:pPr>
    <w:rPr>
      <w:lang w:eastAsia="en-US"/>
    </w:rPr>
  </w:style>
  <w:style w:type="paragraph" w:customStyle="1" w:styleId="ListNumber2Level4">
    <w:name w:val="List Number 2 (Level 4)"/>
    <w:basedOn w:val="Text2"/>
    <w:rsid w:val="004A4AED"/>
    <w:pPr>
      <w:numPr>
        <w:ilvl w:val="3"/>
        <w:numId w:val="21"/>
      </w:numPr>
      <w:tabs>
        <w:tab w:val="clear" w:pos="2161"/>
      </w:tabs>
    </w:pPr>
    <w:rPr>
      <w:lang w:eastAsia="en-US"/>
    </w:rPr>
  </w:style>
  <w:style w:type="paragraph" w:customStyle="1" w:styleId="ListNumber3Level4">
    <w:name w:val="List Number 3 (Level 4)"/>
    <w:basedOn w:val="Text3"/>
    <w:rsid w:val="004A4AED"/>
    <w:pPr>
      <w:numPr>
        <w:ilvl w:val="3"/>
        <w:numId w:val="22"/>
      </w:numPr>
      <w:tabs>
        <w:tab w:val="clear" w:pos="2302"/>
      </w:tabs>
    </w:pPr>
    <w:rPr>
      <w:lang w:eastAsia="en-US"/>
    </w:rPr>
  </w:style>
  <w:style w:type="paragraph" w:customStyle="1" w:styleId="ListNumber4Level4">
    <w:name w:val="List Number 4 (Level 4)"/>
    <w:basedOn w:val="Text4"/>
    <w:rsid w:val="004A4AED"/>
    <w:pPr>
      <w:numPr>
        <w:ilvl w:val="3"/>
        <w:numId w:val="23"/>
      </w:numPr>
    </w:pPr>
    <w:rPr>
      <w:lang w:eastAsia="en-US"/>
    </w:rPr>
  </w:style>
  <w:style w:type="paragraph" w:styleId="TOC5">
    <w:name w:val="toc 5"/>
    <w:basedOn w:val="Normal"/>
    <w:next w:val="Normal"/>
    <w:semiHidden/>
    <w:rsid w:val="004A4AED"/>
    <w:pPr>
      <w:tabs>
        <w:tab w:val="right" w:leader="dot" w:pos="8641"/>
      </w:tabs>
      <w:spacing w:before="240" w:after="120"/>
      <w:ind w:right="720"/>
    </w:pPr>
    <w:rPr>
      <w:caps/>
      <w:lang w:eastAsia="en-US"/>
    </w:rPr>
  </w:style>
  <w:style w:type="paragraph" w:styleId="TOCHeading">
    <w:name w:val="TOC Heading"/>
    <w:basedOn w:val="Normal"/>
    <w:next w:val="Normal"/>
    <w:qFormat/>
    <w:rsid w:val="004A4AED"/>
    <w:pPr>
      <w:keepNext/>
      <w:spacing w:before="240"/>
      <w:jc w:val="center"/>
    </w:pPr>
    <w:rPr>
      <w:b/>
      <w:lang w:eastAsia="en-US"/>
    </w:rPr>
  </w:style>
  <w:style w:type="paragraph" w:customStyle="1" w:styleId="Char">
    <w:name w:val="Char"/>
    <w:basedOn w:val="Normal"/>
    <w:rsid w:val="000D7F25"/>
    <w:pPr>
      <w:spacing w:after="160" w:line="240" w:lineRule="exact"/>
      <w:jc w:val="left"/>
    </w:pPr>
    <w:rPr>
      <w:rFonts w:ascii="Tahoma" w:hAnsi="Tahoma"/>
      <w:sz w:val="20"/>
      <w:lang w:val="en-US" w:eastAsia="en-US"/>
    </w:rPr>
  </w:style>
  <w:style w:type="paragraph" w:styleId="DocumentMap">
    <w:name w:val="Document Map"/>
    <w:basedOn w:val="Normal"/>
    <w:semiHidden/>
    <w:rsid w:val="00204358"/>
    <w:pPr>
      <w:shd w:val="clear" w:color="auto" w:fill="000080"/>
    </w:pPr>
    <w:rPr>
      <w:rFonts w:ascii="Tahoma" w:hAnsi="Tahoma" w:cs="Tahoma"/>
      <w:sz w:val="20"/>
    </w:rPr>
  </w:style>
  <w:style w:type="paragraph" w:styleId="BodyText3">
    <w:name w:val="Body Text 3"/>
    <w:basedOn w:val="Normal"/>
    <w:rsid w:val="003475B5"/>
    <w:pPr>
      <w:spacing w:after="120"/>
    </w:pPr>
    <w:rPr>
      <w:sz w:val="16"/>
      <w:szCs w:val="16"/>
    </w:rPr>
  </w:style>
  <w:style w:type="paragraph" w:styleId="BalloonText">
    <w:name w:val="Balloon Text"/>
    <w:basedOn w:val="Normal"/>
    <w:semiHidden/>
    <w:rsid w:val="00065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z w:val="24"/>
      <w:lang w:eastAsia="zh-CN"/>
    </w:rPr>
  </w:style>
  <w:style w:type="paragraph" w:styleId="Heading1">
    <w:name w:val="heading 1"/>
    <w:basedOn w:val="Normal"/>
    <w:next w:val="Text1"/>
    <w:qFormat/>
    <w:pPr>
      <w:keepNext/>
      <w:numPr>
        <w:numId w:val="2"/>
      </w:numPr>
      <w:spacing w:before="240"/>
      <w:outlineLvl w:val="0"/>
    </w:pPr>
    <w:rPr>
      <w:b/>
      <w:smallCaps/>
    </w:rPr>
  </w:style>
  <w:style w:type="paragraph" w:styleId="Heading2">
    <w:name w:val="heading 2"/>
    <w:aliases w:val="h2,A.B.C.,Heading2,H2-Heading 2,Header 2,l2,Header2,22,heading2,list2,H2,list 2,21,23,24,25,211,221,231,241,26,212,222,232,242,251,2111,2211,2311,2411,27,213,223,233,243,252,2112,2212,2312,2412,261,2121,2221,2321,2421,2511,21111,28,2,CHS,o"/>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4"/>
      </w:numPr>
      <w:outlineLvl w:val="2"/>
    </w:pPr>
    <w:rPr>
      <w:i/>
    </w:rPr>
  </w:style>
  <w:style w:type="paragraph" w:styleId="Heading4">
    <w:name w:val="heading 4"/>
    <w:basedOn w:val="Normal"/>
    <w:next w:val="Text4"/>
    <w:qFormat/>
    <w:pPr>
      <w:keepNext/>
      <w:numPr>
        <w:ilvl w:val="3"/>
        <w:numId w:val="5"/>
      </w:numPr>
      <w:ind w:hanging="964"/>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umPar4">
    <w:name w:val="NumPar 4"/>
    <w:basedOn w:val="Heading4"/>
    <w:next w:val="Text4"/>
    <w:pPr>
      <w:keepNext w:val="0"/>
    </w:pPr>
  </w:style>
  <w:style w:type="paragraph" w:styleId="TOC4">
    <w:name w:val="toc 4"/>
    <w:basedOn w:val="Normal"/>
    <w:next w:val="Normal"/>
    <w:semiHidden/>
    <w:pPr>
      <w:tabs>
        <w:tab w:val="right" w:leader="dot" w:pos="8641"/>
      </w:tabs>
      <w:spacing w:before="60" w:after="60"/>
      <w:ind w:left="2880" w:right="720" w:hanging="964"/>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ubSign">
    <w:name w:val="DoubSign"/>
    <w:basedOn w:val="Normal"/>
    <w:next w:val="Enclosures"/>
    <w:pPr>
      <w:tabs>
        <w:tab w:val="left" w:pos="5103"/>
      </w:tabs>
      <w:spacing w:before="1200" w:after="0"/>
      <w:jc w:val="left"/>
    </w:p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ind w:left="357" w:hanging="357"/>
    </w:pPr>
    <w:rPr>
      <w:sz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ind w:left="1917" w:hanging="840"/>
    </w:pPr>
    <w:rPr>
      <w:i w:val="0"/>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styleId="Header">
    <w:name w:val="header"/>
    <w:basedOn w:val="Normal"/>
    <w:pPr>
      <w:tabs>
        <w:tab w:val="center" w:pos="4153"/>
        <w:tab w:val="right" w:pos="8306"/>
      </w:tabs>
    </w:pPr>
  </w:style>
  <w:style w:type="paragraph" w:customStyle="1" w:styleId="Contact">
    <w:name w:val="Contact"/>
    <w:basedOn w:val="Normal"/>
    <w:next w:val="Enclosures"/>
    <w:rsid w:val="004A4AED"/>
    <w:pPr>
      <w:spacing w:before="480" w:after="0"/>
      <w:ind w:left="567" w:hanging="567"/>
      <w:jc w:val="left"/>
    </w:pPr>
    <w:rPr>
      <w:lang w:eastAsia="en-US"/>
    </w:rPr>
  </w:style>
  <w:style w:type="paragraph" w:styleId="ListBullet">
    <w:name w:val="List Bullet"/>
    <w:basedOn w:val="Normal"/>
    <w:rsid w:val="004A4AED"/>
    <w:pPr>
      <w:numPr>
        <w:numId w:val="9"/>
      </w:numPr>
    </w:pPr>
    <w:rPr>
      <w:lang w:eastAsia="en-US"/>
    </w:rPr>
  </w:style>
  <w:style w:type="paragraph" w:customStyle="1" w:styleId="ListBullet1">
    <w:name w:val="List Bullet 1"/>
    <w:basedOn w:val="Text1"/>
    <w:rsid w:val="004A4AED"/>
    <w:pPr>
      <w:numPr>
        <w:numId w:val="10"/>
      </w:numPr>
    </w:pPr>
    <w:rPr>
      <w:lang w:eastAsia="en-US"/>
    </w:rPr>
  </w:style>
  <w:style w:type="paragraph" w:styleId="ListBullet2">
    <w:name w:val="List Bullet 2"/>
    <w:basedOn w:val="Text2"/>
    <w:rsid w:val="004A4AED"/>
    <w:pPr>
      <w:numPr>
        <w:numId w:val="11"/>
      </w:numPr>
      <w:tabs>
        <w:tab w:val="clear" w:pos="2161"/>
      </w:tabs>
    </w:pPr>
    <w:rPr>
      <w:lang w:eastAsia="en-US"/>
    </w:rPr>
  </w:style>
  <w:style w:type="paragraph" w:styleId="ListBullet3">
    <w:name w:val="List Bullet 3"/>
    <w:basedOn w:val="Text3"/>
    <w:rsid w:val="004A4AED"/>
    <w:pPr>
      <w:numPr>
        <w:numId w:val="12"/>
      </w:numPr>
      <w:tabs>
        <w:tab w:val="clear" w:pos="2302"/>
      </w:tabs>
    </w:pPr>
    <w:rPr>
      <w:lang w:eastAsia="en-US"/>
    </w:rPr>
  </w:style>
  <w:style w:type="paragraph" w:styleId="ListBullet4">
    <w:name w:val="List Bullet 4"/>
    <w:basedOn w:val="Text4"/>
    <w:rsid w:val="004A4AED"/>
    <w:pPr>
      <w:numPr>
        <w:numId w:val="13"/>
      </w:numPr>
    </w:pPr>
    <w:rPr>
      <w:lang w:eastAsia="en-US"/>
    </w:rPr>
  </w:style>
  <w:style w:type="paragraph" w:customStyle="1" w:styleId="ListDash">
    <w:name w:val="List Dash"/>
    <w:basedOn w:val="Normal"/>
    <w:rsid w:val="004A4AED"/>
    <w:pPr>
      <w:numPr>
        <w:numId w:val="14"/>
      </w:numPr>
    </w:pPr>
    <w:rPr>
      <w:lang w:eastAsia="en-US"/>
    </w:rPr>
  </w:style>
  <w:style w:type="paragraph" w:customStyle="1" w:styleId="ListDash1">
    <w:name w:val="List Dash 1"/>
    <w:basedOn w:val="Text1"/>
    <w:rsid w:val="004A4AED"/>
    <w:pPr>
      <w:numPr>
        <w:numId w:val="15"/>
      </w:numPr>
    </w:pPr>
    <w:rPr>
      <w:lang w:eastAsia="en-US"/>
    </w:rPr>
  </w:style>
  <w:style w:type="paragraph" w:customStyle="1" w:styleId="ListDash2">
    <w:name w:val="List Dash 2"/>
    <w:basedOn w:val="Text2"/>
    <w:rsid w:val="004A4AED"/>
    <w:pPr>
      <w:numPr>
        <w:numId w:val="16"/>
      </w:numPr>
      <w:tabs>
        <w:tab w:val="clear" w:pos="2161"/>
      </w:tabs>
    </w:pPr>
    <w:rPr>
      <w:lang w:eastAsia="en-US"/>
    </w:rPr>
  </w:style>
  <w:style w:type="paragraph" w:customStyle="1" w:styleId="ListDash3">
    <w:name w:val="List Dash 3"/>
    <w:basedOn w:val="Text3"/>
    <w:rsid w:val="004A4AED"/>
    <w:pPr>
      <w:numPr>
        <w:numId w:val="17"/>
      </w:numPr>
      <w:tabs>
        <w:tab w:val="clear" w:pos="2302"/>
      </w:tabs>
    </w:pPr>
    <w:rPr>
      <w:lang w:eastAsia="en-US"/>
    </w:rPr>
  </w:style>
  <w:style w:type="paragraph" w:customStyle="1" w:styleId="ListDash4">
    <w:name w:val="List Dash 4"/>
    <w:basedOn w:val="Text4"/>
    <w:rsid w:val="004A4AED"/>
    <w:pPr>
      <w:numPr>
        <w:numId w:val="18"/>
      </w:numPr>
    </w:pPr>
    <w:rPr>
      <w:lang w:eastAsia="en-US"/>
    </w:rPr>
  </w:style>
  <w:style w:type="paragraph" w:styleId="ListNumber">
    <w:name w:val="List Number"/>
    <w:basedOn w:val="Normal"/>
    <w:rsid w:val="004A4AED"/>
    <w:pPr>
      <w:numPr>
        <w:numId w:val="19"/>
      </w:numPr>
    </w:pPr>
    <w:rPr>
      <w:lang w:eastAsia="en-US"/>
    </w:rPr>
  </w:style>
  <w:style w:type="paragraph" w:customStyle="1" w:styleId="ListNumber1">
    <w:name w:val="List Number 1"/>
    <w:basedOn w:val="Text1"/>
    <w:rsid w:val="004A4AED"/>
    <w:pPr>
      <w:numPr>
        <w:numId w:val="20"/>
      </w:numPr>
    </w:pPr>
    <w:rPr>
      <w:lang w:eastAsia="en-US"/>
    </w:rPr>
  </w:style>
  <w:style w:type="paragraph" w:styleId="ListNumber2">
    <w:name w:val="List Number 2"/>
    <w:basedOn w:val="Text2"/>
    <w:rsid w:val="004A4AED"/>
    <w:pPr>
      <w:numPr>
        <w:numId w:val="21"/>
      </w:numPr>
      <w:tabs>
        <w:tab w:val="clear" w:pos="2161"/>
      </w:tabs>
    </w:pPr>
    <w:rPr>
      <w:lang w:eastAsia="en-US"/>
    </w:rPr>
  </w:style>
  <w:style w:type="paragraph" w:styleId="ListNumber3">
    <w:name w:val="List Number 3"/>
    <w:basedOn w:val="Text3"/>
    <w:rsid w:val="004A4AED"/>
    <w:pPr>
      <w:numPr>
        <w:numId w:val="22"/>
      </w:numPr>
      <w:tabs>
        <w:tab w:val="clear" w:pos="2302"/>
      </w:tabs>
    </w:pPr>
    <w:rPr>
      <w:lang w:eastAsia="en-US"/>
    </w:rPr>
  </w:style>
  <w:style w:type="paragraph" w:styleId="ListNumber4">
    <w:name w:val="List Number 4"/>
    <w:basedOn w:val="Text4"/>
    <w:rsid w:val="004A4AED"/>
    <w:pPr>
      <w:numPr>
        <w:numId w:val="23"/>
      </w:numPr>
    </w:pPr>
    <w:rPr>
      <w:lang w:eastAsia="en-US"/>
    </w:rPr>
  </w:style>
  <w:style w:type="paragraph" w:customStyle="1" w:styleId="ListNumberLevel2">
    <w:name w:val="List Number (Level 2)"/>
    <w:basedOn w:val="Normal"/>
    <w:rsid w:val="004A4AED"/>
    <w:pPr>
      <w:numPr>
        <w:ilvl w:val="1"/>
        <w:numId w:val="19"/>
      </w:numPr>
    </w:pPr>
    <w:rPr>
      <w:lang w:eastAsia="en-US"/>
    </w:rPr>
  </w:style>
  <w:style w:type="paragraph" w:customStyle="1" w:styleId="ListNumber1Level2">
    <w:name w:val="List Number 1 (Level 2)"/>
    <w:basedOn w:val="Text1"/>
    <w:rsid w:val="004A4AED"/>
    <w:pPr>
      <w:numPr>
        <w:ilvl w:val="1"/>
        <w:numId w:val="20"/>
      </w:numPr>
    </w:pPr>
    <w:rPr>
      <w:lang w:eastAsia="en-US"/>
    </w:rPr>
  </w:style>
  <w:style w:type="paragraph" w:customStyle="1" w:styleId="ListNumber2Level2">
    <w:name w:val="List Number 2 (Level 2)"/>
    <w:basedOn w:val="Text2"/>
    <w:rsid w:val="004A4AED"/>
    <w:pPr>
      <w:numPr>
        <w:ilvl w:val="1"/>
        <w:numId w:val="21"/>
      </w:numPr>
      <w:tabs>
        <w:tab w:val="clear" w:pos="2161"/>
      </w:tabs>
    </w:pPr>
    <w:rPr>
      <w:lang w:eastAsia="en-US"/>
    </w:rPr>
  </w:style>
  <w:style w:type="paragraph" w:customStyle="1" w:styleId="ListNumber3Level2">
    <w:name w:val="List Number 3 (Level 2)"/>
    <w:basedOn w:val="Text3"/>
    <w:rsid w:val="004A4AED"/>
    <w:pPr>
      <w:numPr>
        <w:ilvl w:val="1"/>
        <w:numId w:val="22"/>
      </w:numPr>
      <w:tabs>
        <w:tab w:val="clear" w:pos="2302"/>
      </w:tabs>
    </w:pPr>
    <w:rPr>
      <w:lang w:eastAsia="en-US"/>
    </w:rPr>
  </w:style>
  <w:style w:type="paragraph" w:customStyle="1" w:styleId="ListNumber4Level2">
    <w:name w:val="List Number 4 (Level 2)"/>
    <w:basedOn w:val="Text4"/>
    <w:rsid w:val="004A4AED"/>
    <w:pPr>
      <w:numPr>
        <w:ilvl w:val="1"/>
        <w:numId w:val="23"/>
      </w:numPr>
    </w:pPr>
    <w:rPr>
      <w:lang w:eastAsia="en-US"/>
    </w:rPr>
  </w:style>
  <w:style w:type="paragraph" w:customStyle="1" w:styleId="ListNumberLevel3">
    <w:name w:val="List Number (Level 3)"/>
    <w:basedOn w:val="Normal"/>
    <w:rsid w:val="004A4AED"/>
    <w:pPr>
      <w:numPr>
        <w:ilvl w:val="2"/>
        <w:numId w:val="19"/>
      </w:numPr>
    </w:pPr>
    <w:rPr>
      <w:lang w:eastAsia="en-US"/>
    </w:rPr>
  </w:style>
  <w:style w:type="paragraph" w:customStyle="1" w:styleId="ListNumber1Level3">
    <w:name w:val="List Number 1 (Level 3)"/>
    <w:basedOn w:val="Text1"/>
    <w:rsid w:val="004A4AED"/>
    <w:pPr>
      <w:numPr>
        <w:ilvl w:val="2"/>
        <w:numId w:val="20"/>
      </w:numPr>
    </w:pPr>
    <w:rPr>
      <w:lang w:eastAsia="en-US"/>
    </w:rPr>
  </w:style>
  <w:style w:type="paragraph" w:customStyle="1" w:styleId="ListNumber2Level3">
    <w:name w:val="List Number 2 (Level 3)"/>
    <w:basedOn w:val="Text2"/>
    <w:rsid w:val="004A4AED"/>
    <w:pPr>
      <w:numPr>
        <w:ilvl w:val="2"/>
        <w:numId w:val="21"/>
      </w:numPr>
      <w:tabs>
        <w:tab w:val="clear" w:pos="2161"/>
      </w:tabs>
    </w:pPr>
    <w:rPr>
      <w:lang w:eastAsia="en-US"/>
    </w:rPr>
  </w:style>
  <w:style w:type="paragraph" w:customStyle="1" w:styleId="ListNumber3Level3">
    <w:name w:val="List Number 3 (Level 3)"/>
    <w:basedOn w:val="Text3"/>
    <w:rsid w:val="004A4AED"/>
    <w:pPr>
      <w:numPr>
        <w:ilvl w:val="2"/>
        <w:numId w:val="22"/>
      </w:numPr>
      <w:tabs>
        <w:tab w:val="clear" w:pos="2302"/>
      </w:tabs>
    </w:pPr>
    <w:rPr>
      <w:lang w:eastAsia="en-US"/>
    </w:rPr>
  </w:style>
  <w:style w:type="paragraph" w:customStyle="1" w:styleId="ListNumber4Level3">
    <w:name w:val="List Number 4 (Level 3)"/>
    <w:basedOn w:val="Text4"/>
    <w:rsid w:val="004A4AED"/>
    <w:pPr>
      <w:numPr>
        <w:ilvl w:val="2"/>
        <w:numId w:val="23"/>
      </w:numPr>
    </w:pPr>
    <w:rPr>
      <w:lang w:eastAsia="en-US"/>
    </w:rPr>
  </w:style>
  <w:style w:type="paragraph" w:customStyle="1" w:styleId="ListNumberLevel4">
    <w:name w:val="List Number (Level 4)"/>
    <w:basedOn w:val="Normal"/>
    <w:rsid w:val="004A4AED"/>
    <w:pPr>
      <w:numPr>
        <w:ilvl w:val="3"/>
        <w:numId w:val="19"/>
      </w:numPr>
    </w:pPr>
    <w:rPr>
      <w:lang w:eastAsia="en-US"/>
    </w:rPr>
  </w:style>
  <w:style w:type="paragraph" w:customStyle="1" w:styleId="ListNumber1Level4">
    <w:name w:val="List Number 1 (Level 4)"/>
    <w:basedOn w:val="Text1"/>
    <w:rsid w:val="004A4AED"/>
    <w:pPr>
      <w:numPr>
        <w:ilvl w:val="3"/>
        <w:numId w:val="20"/>
      </w:numPr>
    </w:pPr>
    <w:rPr>
      <w:lang w:eastAsia="en-US"/>
    </w:rPr>
  </w:style>
  <w:style w:type="paragraph" w:customStyle="1" w:styleId="ListNumber2Level4">
    <w:name w:val="List Number 2 (Level 4)"/>
    <w:basedOn w:val="Text2"/>
    <w:rsid w:val="004A4AED"/>
    <w:pPr>
      <w:numPr>
        <w:ilvl w:val="3"/>
        <w:numId w:val="21"/>
      </w:numPr>
      <w:tabs>
        <w:tab w:val="clear" w:pos="2161"/>
      </w:tabs>
    </w:pPr>
    <w:rPr>
      <w:lang w:eastAsia="en-US"/>
    </w:rPr>
  </w:style>
  <w:style w:type="paragraph" w:customStyle="1" w:styleId="ListNumber3Level4">
    <w:name w:val="List Number 3 (Level 4)"/>
    <w:basedOn w:val="Text3"/>
    <w:rsid w:val="004A4AED"/>
    <w:pPr>
      <w:numPr>
        <w:ilvl w:val="3"/>
        <w:numId w:val="22"/>
      </w:numPr>
      <w:tabs>
        <w:tab w:val="clear" w:pos="2302"/>
      </w:tabs>
    </w:pPr>
    <w:rPr>
      <w:lang w:eastAsia="en-US"/>
    </w:rPr>
  </w:style>
  <w:style w:type="paragraph" w:customStyle="1" w:styleId="ListNumber4Level4">
    <w:name w:val="List Number 4 (Level 4)"/>
    <w:basedOn w:val="Text4"/>
    <w:rsid w:val="004A4AED"/>
    <w:pPr>
      <w:numPr>
        <w:ilvl w:val="3"/>
        <w:numId w:val="23"/>
      </w:numPr>
    </w:pPr>
    <w:rPr>
      <w:lang w:eastAsia="en-US"/>
    </w:rPr>
  </w:style>
  <w:style w:type="paragraph" w:styleId="TOC5">
    <w:name w:val="toc 5"/>
    <w:basedOn w:val="Normal"/>
    <w:next w:val="Normal"/>
    <w:semiHidden/>
    <w:rsid w:val="004A4AED"/>
    <w:pPr>
      <w:tabs>
        <w:tab w:val="right" w:leader="dot" w:pos="8641"/>
      </w:tabs>
      <w:spacing w:before="240" w:after="120"/>
      <w:ind w:right="720"/>
    </w:pPr>
    <w:rPr>
      <w:caps/>
      <w:lang w:eastAsia="en-US"/>
    </w:rPr>
  </w:style>
  <w:style w:type="paragraph" w:styleId="TOCHeading">
    <w:name w:val="TOC Heading"/>
    <w:basedOn w:val="Normal"/>
    <w:next w:val="Normal"/>
    <w:qFormat/>
    <w:rsid w:val="004A4AED"/>
    <w:pPr>
      <w:keepNext/>
      <w:spacing w:before="240"/>
      <w:jc w:val="center"/>
    </w:pPr>
    <w:rPr>
      <w:b/>
      <w:lang w:eastAsia="en-US"/>
    </w:rPr>
  </w:style>
  <w:style w:type="paragraph" w:customStyle="1" w:styleId="Char">
    <w:name w:val="Char"/>
    <w:basedOn w:val="Normal"/>
    <w:rsid w:val="000D7F25"/>
    <w:pPr>
      <w:spacing w:after="160" w:line="240" w:lineRule="exact"/>
      <w:jc w:val="left"/>
    </w:pPr>
    <w:rPr>
      <w:rFonts w:ascii="Tahoma" w:hAnsi="Tahoma"/>
      <w:sz w:val="20"/>
      <w:lang w:val="en-US" w:eastAsia="en-US"/>
    </w:rPr>
  </w:style>
  <w:style w:type="paragraph" w:styleId="DocumentMap">
    <w:name w:val="Document Map"/>
    <w:basedOn w:val="Normal"/>
    <w:semiHidden/>
    <w:rsid w:val="00204358"/>
    <w:pPr>
      <w:shd w:val="clear" w:color="auto" w:fill="000080"/>
    </w:pPr>
    <w:rPr>
      <w:rFonts w:ascii="Tahoma" w:hAnsi="Tahoma" w:cs="Tahoma"/>
      <w:sz w:val="20"/>
    </w:rPr>
  </w:style>
  <w:style w:type="paragraph" w:styleId="BodyText3">
    <w:name w:val="Body Text 3"/>
    <w:basedOn w:val="Normal"/>
    <w:rsid w:val="003475B5"/>
    <w:pPr>
      <w:spacing w:after="120"/>
    </w:pPr>
    <w:rPr>
      <w:sz w:val="16"/>
      <w:szCs w:val="16"/>
    </w:rPr>
  </w:style>
  <w:style w:type="paragraph" w:styleId="BalloonText">
    <w:name w:val="Balloon Text"/>
    <w:basedOn w:val="Normal"/>
    <w:semiHidden/>
    <w:rsid w:val="00065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B23F-6B23-456C-91C6-3619035F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Template for commitments to the European Commission</vt:lpstr>
    </vt:vector>
  </TitlesOfParts>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commitments to the European Commission</dc:title>
  <dc:creator/>
  <cp:lastModifiedBy/>
  <cp:revision>1</cp:revision>
  <dcterms:created xsi:type="dcterms:W3CDTF">2013-12-05T10:18:00Z</dcterms:created>
  <dcterms:modified xsi:type="dcterms:W3CDTF">2013-12-05T10:18:00Z</dcterms:modified>
</cp:coreProperties>
</file>