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99EA7" w14:textId="02EFAEF9" w:rsidR="009E3FB3" w:rsidRPr="005E16F6" w:rsidRDefault="009E3FB3" w:rsidP="009E3FB3">
      <w:pPr>
        <w:jc w:val="center"/>
        <w:rPr>
          <w:rFonts w:cstheme="minorHAnsi"/>
          <w:b/>
          <w:bCs/>
          <w:sz w:val="24"/>
          <w:szCs w:val="24"/>
          <w:lang w:val="en-US"/>
        </w:rPr>
      </w:pPr>
      <w:r w:rsidRPr="005E16F6">
        <w:rPr>
          <w:rFonts w:cstheme="minorHAnsi"/>
          <w:b/>
          <w:bCs/>
          <w:sz w:val="24"/>
          <w:szCs w:val="24"/>
          <w:lang w:val="en-US"/>
        </w:rPr>
        <w:t>Review of the Communication on the Framework for State aid for research and development and innovation</w:t>
      </w:r>
    </w:p>
    <w:p w14:paraId="401832AA" w14:textId="11811CC5" w:rsidR="009E3FB3" w:rsidRPr="00071266" w:rsidRDefault="00071266" w:rsidP="009E3FB3">
      <w:pPr>
        <w:jc w:val="center"/>
        <w:rPr>
          <w:rFonts w:cstheme="minorHAnsi"/>
          <w:sz w:val="24"/>
          <w:szCs w:val="24"/>
          <w:u w:val="single"/>
          <w:lang w:val="en-US"/>
        </w:rPr>
      </w:pPr>
      <w:r w:rsidRPr="00071266">
        <w:rPr>
          <w:rFonts w:cstheme="minorHAnsi"/>
          <w:sz w:val="24"/>
          <w:szCs w:val="24"/>
          <w:u w:val="single"/>
          <w:lang w:val="en-US"/>
        </w:rPr>
        <w:t>Contribution from Portugal</w:t>
      </w:r>
    </w:p>
    <w:p w14:paraId="2B574C6B" w14:textId="77777777" w:rsidR="00071266" w:rsidRDefault="00071266" w:rsidP="000712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</w:pPr>
    </w:p>
    <w:p w14:paraId="6BADEB3D" w14:textId="0E8E7747" w:rsidR="00071266" w:rsidRPr="00071266" w:rsidRDefault="00071266" w:rsidP="000712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US"/>
        </w:rPr>
      </w:pPr>
      <w:r w:rsidRPr="00071266">
        <w:rPr>
          <w:rFonts w:cstheme="minorHAnsi"/>
          <w:b/>
          <w:bCs/>
          <w:color w:val="000000"/>
          <w:sz w:val="24"/>
          <w:szCs w:val="24"/>
          <w:lang w:val="en-US"/>
        </w:rPr>
        <w:t>General Comments</w:t>
      </w:r>
    </w:p>
    <w:p w14:paraId="7DB65023" w14:textId="502BA346" w:rsidR="00071266" w:rsidRDefault="00071266" w:rsidP="000712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US"/>
        </w:rPr>
      </w:pPr>
    </w:p>
    <w:p w14:paraId="35238E6B" w14:textId="06757DF9" w:rsidR="00071266" w:rsidRDefault="00071266" w:rsidP="0007126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 w:rsidRPr="00071266">
        <w:rPr>
          <w:rFonts w:cstheme="minorHAnsi"/>
          <w:color w:val="000000"/>
          <w:sz w:val="24"/>
          <w:szCs w:val="24"/>
          <w:lang w:val="en-US"/>
        </w:rPr>
        <w:t>Portugal welcomes</w:t>
      </w:r>
      <w:r>
        <w:rPr>
          <w:rFonts w:cstheme="minorHAnsi"/>
          <w:color w:val="000000"/>
          <w:sz w:val="24"/>
          <w:szCs w:val="24"/>
          <w:lang w:val="en-US"/>
        </w:rPr>
        <w:t xml:space="preserve"> </w:t>
      </w:r>
      <w:r w:rsidR="00E53A63">
        <w:rPr>
          <w:rFonts w:cstheme="minorHAnsi"/>
          <w:color w:val="000000"/>
          <w:sz w:val="24"/>
          <w:szCs w:val="24"/>
          <w:lang w:val="en-US"/>
        </w:rPr>
        <w:t>a</w:t>
      </w:r>
      <w:r>
        <w:rPr>
          <w:rFonts w:cstheme="minorHAnsi"/>
          <w:color w:val="000000"/>
          <w:sz w:val="24"/>
          <w:szCs w:val="24"/>
          <w:lang w:val="en-US"/>
        </w:rPr>
        <w:t xml:space="preserve">nd supports the Commission’s proposal on the review of the Framework </w:t>
      </w:r>
      <w:r w:rsidR="001603BC">
        <w:rPr>
          <w:rFonts w:cstheme="minorHAnsi"/>
          <w:color w:val="000000"/>
          <w:sz w:val="24"/>
          <w:szCs w:val="24"/>
          <w:lang w:val="en-US"/>
        </w:rPr>
        <w:t>for</w:t>
      </w:r>
      <w:r>
        <w:rPr>
          <w:rFonts w:cstheme="minorHAnsi"/>
          <w:color w:val="000000"/>
          <w:sz w:val="24"/>
          <w:szCs w:val="24"/>
          <w:lang w:val="en-US"/>
        </w:rPr>
        <w:t xml:space="preserve"> State Aid for R&amp;D&amp;I considering </w:t>
      </w:r>
      <w:r w:rsidR="00204BFD">
        <w:rPr>
          <w:rFonts w:cstheme="minorHAnsi"/>
          <w:color w:val="000000"/>
          <w:sz w:val="24"/>
          <w:szCs w:val="24"/>
          <w:lang w:val="en-US"/>
        </w:rPr>
        <w:t xml:space="preserve">that it is a key driver for </w:t>
      </w:r>
      <w:r>
        <w:rPr>
          <w:rFonts w:cstheme="minorHAnsi"/>
          <w:color w:val="000000"/>
          <w:sz w:val="24"/>
          <w:szCs w:val="24"/>
          <w:lang w:val="en-US"/>
        </w:rPr>
        <w:t xml:space="preserve">the green and digital transitions </w:t>
      </w:r>
      <w:r w:rsidR="00204BFD">
        <w:rPr>
          <w:rFonts w:cstheme="minorHAnsi"/>
          <w:color w:val="000000"/>
          <w:sz w:val="24"/>
          <w:szCs w:val="24"/>
          <w:lang w:val="en-US"/>
        </w:rPr>
        <w:t xml:space="preserve">which play a significant role not only </w:t>
      </w:r>
      <w:r w:rsidR="00483A01">
        <w:rPr>
          <w:rFonts w:cstheme="minorHAnsi"/>
          <w:color w:val="000000"/>
          <w:sz w:val="24"/>
          <w:szCs w:val="24"/>
          <w:lang w:val="en-US"/>
        </w:rPr>
        <w:t xml:space="preserve"> in strengthening of Europe’s strategic autonomy but also </w:t>
      </w:r>
      <w:r>
        <w:rPr>
          <w:rFonts w:cstheme="minorHAnsi"/>
          <w:color w:val="000000"/>
          <w:sz w:val="24"/>
          <w:szCs w:val="24"/>
          <w:lang w:val="en-US"/>
        </w:rPr>
        <w:t xml:space="preserve">in the </w:t>
      </w:r>
      <w:r w:rsidR="00483A01">
        <w:rPr>
          <w:rFonts w:cstheme="minorHAnsi"/>
          <w:color w:val="000000"/>
          <w:sz w:val="24"/>
          <w:szCs w:val="24"/>
          <w:lang w:val="en-US"/>
        </w:rPr>
        <w:t>Union’s</w:t>
      </w:r>
      <w:r>
        <w:rPr>
          <w:rFonts w:cstheme="minorHAnsi"/>
          <w:color w:val="000000"/>
          <w:sz w:val="24"/>
          <w:szCs w:val="24"/>
          <w:lang w:val="en-US"/>
        </w:rPr>
        <w:t xml:space="preserve"> economic recovery</w:t>
      </w:r>
      <w:r w:rsidR="00483A01">
        <w:rPr>
          <w:rFonts w:cstheme="minorHAnsi"/>
          <w:color w:val="000000"/>
          <w:sz w:val="24"/>
          <w:szCs w:val="24"/>
          <w:lang w:val="en-US"/>
        </w:rPr>
        <w:t xml:space="preserve"> in the aftermath of the COVID-19 outbreak.</w:t>
      </w:r>
    </w:p>
    <w:p w14:paraId="3836BE4E" w14:textId="7747AFFB" w:rsidR="00071266" w:rsidRDefault="00071266" w:rsidP="0007126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  <w:lang w:val="en-US"/>
        </w:rPr>
        <w:t xml:space="preserve">We </w:t>
      </w:r>
      <w:r w:rsidR="00204BFD">
        <w:rPr>
          <w:rFonts w:cstheme="minorHAnsi"/>
          <w:color w:val="000000"/>
          <w:sz w:val="24"/>
          <w:szCs w:val="24"/>
          <w:lang w:val="en-US"/>
        </w:rPr>
        <w:t xml:space="preserve">welcome the streamlining </w:t>
      </w:r>
      <w:r w:rsidR="00BD2A72">
        <w:rPr>
          <w:rFonts w:cstheme="minorHAnsi"/>
          <w:color w:val="000000"/>
          <w:sz w:val="24"/>
          <w:szCs w:val="24"/>
          <w:lang w:val="en-US"/>
        </w:rPr>
        <w:t xml:space="preserve">of </w:t>
      </w:r>
      <w:r w:rsidR="00483A01">
        <w:rPr>
          <w:rFonts w:cstheme="minorHAnsi"/>
          <w:color w:val="000000"/>
          <w:sz w:val="24"/>
          <w:szCs w:val="24"/>
          <w:lang w:val="en-US"/>
        </w:rPr>
        <w:t>certain rules</w:t>
      </w:r>
      <w:r w:rsidR="00BD2A72">
        <w:rPr>
          <w:rFonts w:cstheme="minorHAnsi"/>
          <w:color w:val="000000"/>
          <w:sz w:val="24"/>
          <w:szCs w:val="24"/>
          <w:lang w:val="en-US"/>
        </w:rPr>
        <w:t>, in line with the results of the Fitness Check</w:t>
      </w:r>
      <w:r w:rsidR="001603BC">
        <w:rPr>
          <w:rFonts w:cstheme="minorHAnsi"/>
          <w:color w:val="000000"/>
          <w:sz w:val="24"/>
          <w:szCs w:val="24"/>
          <w:lang w:val="en-US"/>
        </w:rPr>
        <w:t>,</w:t>
      </w:r>
      <w:r w:rsidR="00BD2A72">
        <w:rPr>
          <w:rFonts w:cstheme="minorHAnsi"/>
          <w:color w:val="000000"/>
          <w:sz w:val="24"/>
          <w:szCs w:val="24"/>
          <w:lang w:val="en-US"/>
        </w:rPr>
        <w:t xml:space="preserve"> </w:t>
      </w:r>
      <w:r w:rsidR="00483A01">
        <w:rPr>
          <w:rFonts w:cstheme="minorHAnsi"/>
          <w:color w:val="000000"/>
          <w:sz w:val="24"/>
          <w:szCs w:val="24"/>
          <w:lang w:val="en-US"/>
        </w:rPr>
        <w:t xml:space="preserve"> </w:t>
      </w:r>
      <w:r w:rsidR="00BD2A72">
        <w:rPr>
          <w:rFonts w:cstheme="minorHAnsi"/>
          <w:color w:val="000000"/>
          <w:sz w:val="24"/>
          <w:szCs w:val="24"/>
          <w:lang w:val="en-US"/>
        </w:rPr>
        <w:t xml:space="preserve">such as </w:t>
      </w:r>
      <w:r w:rsidR="00483A01">
        <w:rPr>
          <w:rFonts w:cstheme="minorHAnsi"/>
          <w:color w:val="000000"/>
          <w:sz w:val="24"/>
          <w:szCs w:val="24"/>
          <w:lang w:val="en-US"/>
        </w:rPr>
        <w:t xml:space="preserve"> the introduction of a simplified indirect cost calculation methodology for eligible costs </w:t>
      </w:r>
      <w:r w:rsidR="001603BC">
        <w:rPr>
          <w:rFonts w:cstheme="minorHAnsi"/>
          <w:color w:val="000000"/>
          <w:sz w:val="24"/>
          <w:szCs w:val="24"/>
          <w:lang w:val="en-US"/>
        </w:rPr>
        <w:t>(thus reducing th</w:t>
      </w:r>
      <w:r w:rsidR="00483A01">
        <w:rPr>
          <w:rFonts w:cstheme="minorHAnsi"/>
          <w:color w:val="000000"/>
          <w:sz w:val="24"/>
          <w:szCs w:val="24"/>
          <w:lang w:val="en-US"/>
        </w:rPr>
        <w:t>e administrative burden</w:t>
      </w:r>
      <w:r w:rsidR="001603BC">
        <w:rPr>
          <w:rFonts w:cstheme="minorHAnsi"/>
          <w:color w:val="000000"/>
          <w:sz w:val="24"/>
          <w:szCs w:val="24"/>
          <w:lang w:val="en-US"/>
        </w:rPr>
        <w:t>)</w:t>
      </w:r>
      <w:r w:rsidR="00483A01">
        <w:rPr>
          <w:rFonts w:cstheme="minorHAnsi"/>
          <w:color w:val="000000"/>
          <w:sz w:val="24"/>
          <w:szCs w:val="24"/>
          <w:lang w:val="en-US"/>
        </w:rPr>
        <w:t xml:space="preserve"> and </w:t>
      </w:r>
      <w:r w:rsidR="00BD2A72">
        <w:rPr>
          <w:rFonts w:cstheme="minorHAnsi"/>
          <w:color w:val="000000"/>
          <w:sz w:val="24"/>
          <w:szCs w:val="24"/>
          <w:lang w:val="en-US"/>
        </w:rPr>
        <w:t>the introduction of new definitions (</w:t>
      </w:r>
      <w:r w:rsidR="00483A01">
        <w:rPr>
          <w:rFonts w:cstheme="minorHAnsi"/>
          <w:color w:val="000000"/>
          <w:sz w:val="24"/>
          <w:szCs w:val="24"/>
          <w:lang w:val="en-US"/>
        </w:rPr>
        <w:t>such as digital infrastructures and technological infrastructures) and the update on the existing definitions</w:t>
      </w:r>
      <w:r w:rsidR="00B409F5">
        <w:rPr>
          <w:rFonts w:cstheme="minorHAnsi"/>
          <w:color w:val="000000"/>
          <w:sz w:val="24"/>
          <w:szCs w:val="24"/>
          <w:lang w:val="en-US"/>
        </w:rPr>
        <w:t>.</w:t>
      </w:r>
    </w:p>
    <w:p w14:paraId="7E207C8C" w14:textId="77777777" w:rsidR="00071266" w:rsidRDefault="00071266" w:rsidP="0007126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  <w:lang w:val="en-US"/>
        </w:rPr>
      </w:pPr>
    </w:p>
    <w:p w14:paraId="56912CBB" w14:textId="2B2BC544" w:rsidR="00071266" w:rsidRDefault="00071266" w:rsidP="0007126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 w:rsidRPr="00071266">
        <w:rPr>
          <w:rFonts w:cstheme="minorHAnsi"/>
          <w:b/>
          <w:bCs/>
          <w:color w:val="000000"/>
          <w:sz w:val="24"/>
          <w:szCs w:val="24"/>
          <w:lang w:val="en-US"/>
        </w:rPr>
        <w:t>Specific Comments</w:t>
      </w:r>
    </w:p>
    <w:p w14:paraId="493B8B22" w14:textId="0C55717E" w:rsidR="009D6315" w:rsidRDefault="009D6315" w:rsidP="0007126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</w:p>
    <w:p w14:paraId="44EFB5F5" w14:textId="718762BA" w:rsidR="009D6315" w:rsidRDefault="009D6315" w:rsidP="009D6315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>
        <w:rPr>
          <w:rFonts w:cstheme="minorHAnsi"/>
          <w:b/>
          <w:bCs/>
          <w:color w:val="000000"/>
          <w:sz w:val="24"/>
          <w:szCs w:val="24"/>
          <w:lang w:val="en-US"/>
        </w:rPr>
        <w:t xml:space="preserve">Definitions </w:t>
      </w:r>
    </w:p>
    <w:p w14:paraId="71E3664A" w14:textId="77777777" w:rsidR="0002161B" w:rsidRDefault="0002161B" w:rsidP="0002161B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</w:p>
    <w:p w14:paraId="3F68A311" w14:textId="0E26DDAA" w:rsidR="00CD0972" w:rsidRDefault="0002161B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 w:rsidRPr="007C46E6">
        <w:rPr>
          <w:rFonts w:cstheme="minorHAnsi"/>
          <w:color w:val="000000"/>
          <w:sz w:val="24"/>
          <w:szCs w:val="24"/>
          <w:lang w:val="en-US"/>
        </w:rPr>
        <w:t xml:space="preserve">We support the clarifications introduced in the current definition of </w:t>
      </w:r>
      <w:r w:rsidRPr="005063B6">
        <w:rPr>
          <w:rFonts w:cstheme="minorHAnsi"/>
          <w:color w:val="000000"/>
          <w:sz w:val="24"/>
          <w:szCs w:val="24"/>
          <w:u w:val="single"/>
          <w:lang w:val="en-US"/>
        </w:rPr>
        <w:t>innovation clusters</w:t>
      </w:r>
      <w:r w:rsidRPr="007C46E6">
        <w:rPr>
          <w:rFonts w:cstheme="minorHAnsi"/>
          <w:color w:val="000000"/>
          <w:sz w:val="24"/>
          <w:szCs w:val="24"/>
          <w:lang w:val="en-US"/>
        </w:rPr>
        <w:t>, which are considered useful, since this definition explicitly includes the Digital Innovation Hubs, which are considered a fundamental instrument to promote the investment of SMEs in RD&amp;I activities.</w:t>
      </w:r>
      <w:r w:rsidR="00CD0972" w:rsidRPr="00CD0972">
        <w:rPr>
          <w:rFonts w:cstheme="minorHAnsi"/>
          <w:color w:val="000000"/>
          <w:sz w:val="24"/>
          <w:szCs w:val="24"/>
          <w:lang w:val="en-US"/>
        </w:rPr>
        <w:t xml:space="preserve"> </w:t>
      </w:r>
      <w:r w:rsidR="004A2E95">
        <w:rPr>
          <w:rFonts w:cstheme="minorHAnsi"/>
          <w:color w:val="000000"/>
          <w:sz w:val="24"/>
          <w:szCs w:val="24"/>
          <w:lang w:val="en-US"/>
        </w:rPr>
        <w:t>We note that innovation clusters support digital investments</w:t>
      </w:r>
      <w:r w:rsidR="00CD0972" w:rsidRPr="007C46E6">
        <w:rPr>
          <w:rFonts w:cstheme="minorHAnsi"/>
          <w:color w:val="000000"/>
          <w:sz w:val="24"/>
          <w:szCs w:val="24"/>
          <w:lang w:val="en-US"/>
        </w:rPr>
        <w:t xml:space="preserve"> in key areas to ensure Europe's technological sovereignty, such as artificial intelligence and data, quantum computing, </w:t>
      </w:r>
      <w:r w:rsidR="004A2E95" w:rsidRPr="007C46E6">
        <w:rPr>
          <w:rFonts w:cstheme="minorHAnsi"/>
          <w:color w:val="000000"/>
          <w:sz w:val="24"/>
          <w:szCs w:val="24"/>
          <w:lang w:val="en-US"/>
        </w:rPr>
        <w:t>and edge technologies</w:t>
      </w:r>
      <w:r w:rsidR="00613299">
        <w:rPr>
          <w:rFonts w:cstheme="minorHAnsi"/>
          <w:color w:val="000000"/>
          <w:sz w:val="24"/>
          <w:szCs w:val="24"/>
          <w:lang w:val="en-US"/>
        </w:rPr>
        <w:t xml:space="preserve">. These </w:t>
      </w:r>
      <w:r w:rsidR="004A2E95" w:rsidRPr="007C46E6">
        <w:rPr>
          <w:rFonts w:cstheme="minorHAnsi"/>
          <w:color w:val="000000"/>
          <w:sz w:val="24"/>
          <w:szCs w:val="24"/>
          <w:lang w:val="en-US"/>
        </w:rPr>
        <w:t xml:space="preserve">should include microelectronics, </w:t>
      </w:r>
      <w:r w:rsidR="00CD0972" w:rsidRPr="007C46E6">
        <w:rPr>
          <w:rFonts w:cstheme="minorHAnsi"/>
          <w:color w:val="000000"/>
          <w:sz w:val="24"/>
          <w:szCs w:val="24"/>
          <w:lang w:val="en-US"/>
        </w:rPr>
        <w:t xml:space="preserve">5G, batteries, renewable energy, hydrogen, </w:t>
      </w:r>
      <w:r w:rsidR="004A2E95" w:rsidRPr="007C46E6">
        <w:rPr>
          <w:rFonts w:cstheme="minorHAnsi"/>
          <w:color w:val="000000"/>
          <w:sz w:val="24"/>
          <w:szCs w:val="24"/>
          <w:lang w:val="en-US"/>
        </w:rPr>
        <w:t xml:space="preserve">and </w:t>
      </w:r>
      <w:r w:rsidR="00CD0972" w:rsidRPr="007C46E6">
        <w:rPr>
          <w:rFonts w:cstheme="minorHAnsi"/>
          <w:color w:val="000000"/>
          <w:sz w:val="24"/>
          <w:szCs w:val="24"/>
          <w:lang w:val="en-US"/>
        </w:rPr>
        <w:t>emission-free and intelligent mobility</w:t>
      </w:r>
      <w:r w:rsidR="004A2E95" w:rsidRPr="007C46E6">
        <w:rPr>
          <w:rFonts w:cstheme="minorHAnsi"/>
          <w:color w:val="000000"/>
          <w:sz w:val="24"/>
          <w:szCs w:val="24"/>
          <w:lang w:val="en-US"/>
        </w:rPr>
        <w:t>.</w:t>
      </w:r>
    </w:p>
    <w:p w14:paraId="6D001D47" w14:textId="54C7D57C" w:rsidR="0002161B" w:rsidRPr="007C46E6" w:rsidRDefault="00CD0972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 w:rsidRPr="007C46E6">
        <w:rPr>
          <w:rFonts w:cstheme="minorHAnsi"/>
          <w:color w:val="000000"/>
          <w:sz w:val="24"/>
          <w:szCs w:val="24"/>
          <w:lang w:val="en-US"/>
        </w:rPr>
        <w:t xml:space="preserve">We also wish to underline the importance of the proposed clarification concerning </w:t>
      </w:r>
      <w:r w:rsidR="00613299">
        <w:rPr>
          <w:rFonts w:cstheme="minorHAnsi"/>
          <w:color w:val="000000"/>
          <w:sz w:val="24"/>
          <w:szCs w:val="24"/>
          <w:lang w:val="en-US"/>
        </w:rPr>
        <w:t xml:space="preserve">the </w:t>
      </w:r>
      <w:r w:rsidRPr="007C46E6">
        <w:rPr>
          <w:rFonts w:cstheme="minorHAnsi"/>
          <w:color w:val="000000"/>
          <w:sz w:val="24"/>
          <w:szCs w:val="24"/>
          <w:lang w:val="en-US"/>
        </w:rPr>
        <w:t xml:space="preserve">definition of </w:t>
      </w:r>
      <w:r w:rsidRPr="005063B6">
        <w:rPr>
          <w:rFonts w:cstheme="minorHAnsi"/>
          <w:color w:val="000000"/>
          <w:sz w:val="24"/>
          <w:szCs w:val="24"/>
          <w:u w:val="single"/>
          <w:lang w:val="en-US"/>
        </w:rPr>
        <w:t>innovation support services</w:t>
      </w:r>
      <w:r w:rsidRPr="007C46E6">
        <w:rPr>
          <w:rFonts w:cstheme="minorHAnsi"/>
          <w:color w:val="000000"/>
          <w:sz w:val="24"/>
          <w:szCs w:val="24"/>
          <w:lang w:val="en-US"/>
        </w:rPr>
        <w:t xml:space="preserve"> w</w:t>
      </w:r>
      <w:r w:rsidR="0002161B" w:rsidRPr="007C46E6">
        <w:rPr>
          <w:rFonts w:cstheme="minorHAnsi"/>
          <w:color w:val="000000"/>
          <w:sz w:val="24"/>
          <w:szCs w:val="24"/>
          <w:lang w:val="en-US"/>
        </w:rPr>
        <w:t xml:space="preserve">hich explicitly includes the possibility of supporting digitalization activities, such as </w:t>
      </w:r>
      <w:r w:rsidR="00DA380A">
        <w:rPr>
          <w:rFonts w:cstheme="minorHAnsi"/>
          <w:color w:val="000000"/>
          <w:sz w:val="24"/>
          <w:szCs w:val="24"/>
          <w:lang w:val="en-US"/>
        </w:rPr>
        <w:t xml:space="preserve">services provided for by </w:t>
      </w:r>
      <w:r w:rsidR="0002161B" w:rsidRPr="007C46E6">
        <w:rPr>
          <w:rFonts w:cstheme="minorHAnsi"/>
          <w:color w:val="000000"/>
          <w:sz w:val="24"/>
          <w:szCs w:val="24"/>
          <w:lang w:val="en-US"/>
        </w:rPr>
        <w:t xml:space="preserve">innovation </w:t>
      </w:r>
      <w:r w:rsidRPr="007C46E6">
        <w:rPr>
          <w:rFonts w:cstheme="minorHAnsi"/>
          <w:color w:val="000000"/>
          <w:sz w:val="24"/>
          <w:szCs w:val="24"/>
          <w:lang w:val="en-US"/>
        </w:rPr>
        <w:t>clusters</w:t>
      </w:r>
      <w:r w:rsidR="0002161B" w:rsidRPr="007C46E6">
        <w:rPr>
          <w:rFonts w:cstheme="minorHAnsi"/>
          <w:color w:val="000000"/>
          <w:sz w:val="24"/>
          <w:szCs w:val="24"/>
          <w:lang w:val="en-US"/>
        </w:rPr>
        <w:t xml:space="preserve"> (including Digital Innovation Hubs).</w:t>
      </w:r>
    </w:p>
    <w:p w14:paraId="6D718198" w14:textId="1155C8B2" w:rsidR="004A2E95" w:rsidRPr="007C46E6" w:rsidRDefault="004A2E95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 w:rsidRPr="007C46E6">
        <w:rPr>
          <w:rFonts w:cstheme="minorHAnsi"/>
          <w:color w:val="000000"/>
          <w:sz w:val="24"/>
          <w:szCs w:val="24"/>
          <w:lang w:val="en-US"/>
        </w:rPr>
        <w:lastRenderedPageBreak/>
        <w:t>We support that social innovation is included in the scope of organizational and process innovation</w:t>
      </w:r>
      <w:r w:rsidR="00DA380A">
        <w:rPr>
          <w:rFonts w:cstheme="minorHAnsi"/>
          <w:color w:val="000000"/>
          <w:sz w:val="24"/>
          <w:szCs w:val="24"/>
          <w:lang w:val="en-US"/>
        </w:rPr>
        <w:t xml:space="preserve">. This is an area </w:t>
      </w:r>
      <w:r w:rsidRPr="007C46E6">
        <w:rPr>
          <w:rFonts w:cstheme="minorHAnsi"/>
          <w:color w:val="000000"/>
          <w:sz w:val="24"/>
          <w:szCs w:val="24"/>
          <w:lang w:val="en-US"/>
        </w:rPr>
        <w:t xml:space="preserve">where digital technologies play an essential role, and where SMEs can </w:t>
      </w:r>
      <w:r w:rsidR="00DA380A">
        <w:rPr>
          <w:rFonts w:cstheme="minorHAnsi"/>
          <w:color w:val="000000"/>
          <w:sz w:val="24"/>
          <w:szCs w:val="24"/>
          <w:lang w:val="en-US"/>
        </w:rPr>
        <w:t xml:space="preserve">also </w:t>
      </w:r>
      <w:r w:rsidRPr="007C46E6">
        <w:rPr>
          <w:rFonts w:cstheme="minorHAnsi"/>
          <w:color w:val="000000"/>
          <w:sz w:val="24"/>
          <w:szCs w:val="24"/>
          <w:lang w:val="en-US"/>
        </w:rPr>
        <w:t>have a decisive role.</w:t>
      </w:r>
    </w:p>
    <w:p w14:paraId="413AC966" w14:textId="074D13D1" w:rsidR="00B53D85" w:rsidRDefault="00B53D85" w:rsidP="0007126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</w:p>
    <w:p w14:paraId="32FDF086" w14:textId="43C648D3" w:rsidR="00B53D85" w:rsidRPr="00C776A3" w:rsidRDefault="00B53D85" w:rsidP="00C776A3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>
        <w:rPr>
          <w:rFonts w:cstheme="minorHAnsi"/>
          <w:b/>
          <w:bCs/>
          <w:color w:val="000000"/>
          <w:sz w:val="24"/>
          <w:szCs w:val="24"/>
          <w:lang w:val="en-US"/>
        </w:rPr>
        <w:t xml:space="preserve">Top -up of green and digital investments </w:t>
      </w:r>
    </w:p>
    <w:p w14:paraId="4E772FA2" w14:textId="23F35C37" w:rsidR="00071266" w:rsidRDefault="00071266" w:rsidP="000712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US"/>
        </w:rPr>
      </w:pPr>
    </w:p>
    <w:p w14:paraId="61E9236B" w14:textId="0B8A80FF" w:rsidR="0002161B" w:rsidRPr="007C46E6" w:rsidRDefault="00C4023E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  <w:lang w:val="en-US"/>
        </w:rPr>
        <w:t>We suggest top-ups of aid intensities to support green and digital investments, in line with the EU objectives.</w:t>
      </w:r>
      <w:r w:rsidR="0002161B">
        <w:rPr>
          <w:rFonts w:cstheme="minorHAnsi"/>
          <w:color w:val="000000"/>
          <w:sz w:val="24"/>
          <w:szCs w:val="24"/>
          <w:lang w:val="en-US"/>
        </w:rPr>
        <w:t xml:space="preserve"> In particular, </w:t>
      </w:r>
      <w:r w:rsidR="00DA380A">
        <w:rPr>
          <w:rFonts w:cstheme="minorHAnsi"/>
          <w:color w:val="000000"/>
          <w:sz w:val="24"/>
          <w:szCs w:val="24"/>
          <w:lang w:val="en-US"/>
        </w:rPr>
        <w:t xml:space="preserve">and as mentioned earlier, </w:t>
      </w:r>
      <w:r w:rsidR="0002161B">
        <w:rPr>
          <w:rFonts w:cstheme="minorHAnsi"/>
          <w:color w:val="000000"/>
          <w:sz w:val="24"/>
          <w:szCs w:val="24"/>
          <w:lang w:val="en-US"/>
        </w:rPr>
        <w:t xml:space="preserve">digital investments should help to promote </w:t>
      </w:r>
      <w:r w:rsidR="0002161B" w:rsidRPr="007C46E6">
        <w:rPr>
          <w:rFonts w:cstheme="minorHAnsi"/>
          <w:color w:val="000000"/>
          <w:sz w:val="24"/>
          <w:szCs w:val="24"/>
          <w:lang w:val="en-US"/>
        </w:rPr>
        <w:t xml:space="preserve"> public and private investment in key areas to ensure Europe's technological sovereignty, such as artificial intelligence and data, microelectronics, quantum computing, 5G, batteries, renewable energy, hydrogen, emission-free and intelligent mobility, for example.</w:t>
      </w:r>
    </w:p>
    <w:p w14:paraId="1E77E257" w14:textId="48009AD5" w:rsidR="00B53D85" w:rsidRDefault="00B53D85" w:rsidP="00CA2C6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</w:p>
    <w:p w14:paraId="61234C5B" w14:textId="4DE52059" w:rsidR="00E76F8A" w:rsidRDefault="00E76F8A" w:rsidP="00E76F8A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>
        <w:rPr>
          <w:rFonts w:cstheme="minorHAnsi"/>
          <w:b/>
          <w:bCs/>
          <w:color w:val="000000"/>
          <w:sz w:val="24"/>
          <w:szCs w:val="24"/>
          <w:lang w:val="en-US"/>
        </w:rPr>
        <w:t>S</w:t>
      </w:r>
      <w:r w:rsidR="009B2EE5">
        <w:rPr>
          <w:rFonts w:cstheme="minorHAnsi"/>
          <w:b/>
          <w:bCs/>
          <w:color w:val="000000"/>
          <w:sz w:val="24"/>
          <w:szCs w:val="24"/>
          <w:lang w:val="en-US"/>
        </w:rPr>
        <w:t>upport to</w:t>
      </w:r>
      <w:r>
        <w:rPr>
          <w:rFonts w:cstheme="minorHAnsi"/>
          <w:b/>
          <w:bCs/>
          <w:color w:val="000000"/>
          <w:sz w:val="24"/>
          <w:szCs w:val="24"/>
          <w:lang w:val="en-US"/>
        </w:rPr>
        <w:t xml:space="preserve"> midcap</w:t>
      </w:r>
      <w:r w:rsidR="005063B6">
        <w:rPr>
          <w:rFonts w:cstheme="minorHAnsi"/>
          <w:b/>
          <w:bCs/>
          <w:color w:val="000000"/>
          <w:sz w:val="24"/>
          <w:szCs w:val="24"/>
          <w:lang w:val="en-US"/>
        </w:rPr>
        <w:t>s</w:t>
      </w:r>
    </w:p>
    <w:p w14:paraId="267BFE89" w14:textId="5D2482E4" w:rsidR="00E76F8A" w:rsidRPr="007C46E6" w:rsidRDefault="009B2EE5" w:rsidP="009B2EE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 w:rsidRPr="007C46E6">
        <w:rPr>
          <w:rFonts w:cstheme="minorHAnsi"/>
          <w:color w:val="000000"/>
          <w:sz w:val="24"/>
          <w:szCs w:val="24"/>
          <w:lang w:val="en-US"/>
        </w:rPr>
        <w:t>In Portugal mid-caps have a significant impact on the national economy, in terms of gross value added, job creation and exports. However</w:t>
      </w:r>
      <w:r w:rsidR="00DA380A">
        <w:rPr>
          <w:rFonts w:cstheme="minorHAnsi"/>
          <w:color w:val="000000"/>
          <w:sz w:val="24"/>
          <w:szCs w:val="24"/>
          <w:lang w:val="en-US"/>
        </w:rPr>
        <w:t>, there are market failures, since</w:t>
      </w:r>
      <w:r w:rsidRPr="007C46E6">
        <w:rPr>
          <w:rFonts w:cstheme="minorHAnsi"/>
          <w:color w:val="000000"/>
          <w:sz w:val="24"/>
          <w:szCs w:val="24"/>
          <w:lang w:val="en-US"/>
        </w:rPr>
        <w:t xml:space="preserve"> these companies face a set of constraints to growth and innovation related to the</w:t>
      </w:r>
      <w:r w:rsidR="00541716">
        <w:rPr>
          <w:rFonts w:cstheme="minorHAnsi"/>
          <w:color w:val="000000"/>
          <w:sz w:val="24"/>
          <w:szCs w:val="24"/>
          <w:lang w:val="en-US"/>
        </w:rPr>
        <w:t xml:space="preserve"> </w:t>
      </w:r>
      <w:r w:rsidRPr="007C46E6">
        <w:rPr>
          <w:rFonts w:cstheme="minorHAnsi"/>
          <w:color w:val="000000"/>
          <w:sz w:val="24"/>
          <w:szCs w:val="24"/>
          <w:lang w:val="en-US"/>
        </w:rPr>
        <w:t>difficulty in competing and innovating on scale, lack of skills and abilities to manage innovation, and financial capacity to carry out RDI projects</w:t>
      </w:r>
      <w:r w:rsidR="00DA380A">
        <w:rPr>
          <w:rFonts w:cstheme="minorHAnsi"/>
          <w:color w:val="000000"/>
          <w:sz w:val="24"/>
          <w:szCs w:val="24"/>
          <w:lang w:val="en-US"/>
        </w:rPr>
        <w:t xml:space="preserve"> </w:t>
      </w:r>
      <w:r w:rsidR="00541716">
        <w:rPr>
          <w:rFonts w:cstheme="minorHAnsi"/>
          <w:color w:val="000000"/>
          <w:sz w:val="24"/>
          <w:szCs w:val="24"/>
          <w:lang w:val="en-US"/>
        </w:rPr>
        <w:t>(where difficulty in access to finance plays a significant role).</w:t>
      </w:r>
    </w:p>
    <w:p w14:paraId="02EEE701" w14:textId="400570B8" w:rsidR="009D6315" w:rsidRDefault="00B409F5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  <w:lang w:val="en-US"/>
        </w:rPr>
        <w:t>Accordingly</w:t>
      </w:r>
      <w:r w:rsidR="009D6315" w:rsidRPr="007C46E6">
        <w:rPr>
          <w:rFonts w:cstheme="minorHAnsi"/>
          <w:color w:val="000000"/>
          <w:sz w:val="24"/>
          <w:szCs w:val="24"/>
          <w:lang w:val="en-US"/>
        </w:rPr>
        <w:t xml:space="preserve">, we believe that innovation aid should </w:t>
      </w:r>
      <w:r w:rsidR="005063B6">
        <w:rPr>
          <w:rFonts w:cstheme="minorHAnsi"/>
          <w:color w:val="000000"/>
          <w:sz w:val="24"/>
          <w:szCs w:val="24"/>
          <w:lang w:val="en-US"/>
        </w:rPr>
        <w:t>target</w:t>
      </w:r>
      <w:r w:rsidR="009D6315" w:rsidRPr="007C46E6">
        <w:rPr>
          <w:rFonts w:cstheme="minorHAnsi"/>
          <w:color w:val="000000"/>
          <w:sz w:val="24"/>
          <w:szCs w:val="24"/>
          <w:lang w:val="en-US"/>
        </w:rPr>
        <w:t xml:space="preserve"> midcaps or at least small midcaps and</w:t>
      </w:r>
      <w:r w:rsidR="007C46E6" w:rsidRPr="007C46E6">
        <w:rPr>
          <w:rFonts w:cstheme="minorHAnsi"/>
          <w:color w:val="000000"/>
          <w:sz w:val="24"/>
          <w:szCs w:val="24"/>
          <w:lang w:val="en-US"/>
        </w:rPr>
        <w:t>,</w:t>
      </w:r>
      <w:r w:rsidR="009D6315" w:rsidRPr="007C46E6">
        <w:rPr>
          <w:rFonts w:cstheme="minorHAnsi"/>
          <w:color w:val="000000"/>
          <w:sz w:val="24"/>
          <w:szCs w:val="24"/>
          <w:lang w:val="en-US"/>
        </w:rPr>
        <w:t xml:space="preserve"> </w:t>
      </w:r>
      <w:r w:rsidR="007C46E6">
        <w:rPr>
          <w:rFonts w:cstheme="minorHAnsi"/>
          <w:color w:val="000000"/>
          <w:sz w:val="24"/>
          <w:szCs w:val="24"/>
          <w:lang w:val="en-US"/>
        </w:rPr>
        <w:t>specifically,</w:t>
      </w:r>
      <w:r w:rsidR="007C46E6" w:rsidRPr="007C46E6">
        <w:rPr>
          <w:rFonts w:cstheme="minorHAnsi"/>
          <w:color w:val="000000"/>
          <w:sz w:val="24"/>
          <w:szCs w:val="24"/>
          <w:lang w:val="en-US"/>
        </w:rPr>
        <w:t xml:space="preserve"> the </w:t>
      </w:r>
      <w:r w:rsidR="009D6315" w:rsidRPr="007C46E6">
        <w:rPr>
          <w:rFonts w:cstheme="minorHAnsi"/>
          <w:color w:val="000000"/>
          <w:sz w:val="24"/>
          <w:szCs w:val="24"/>
          <w:lang w:val="en-US"/>
        </w:rPr>
        <w:t xml:space="preserve">aid intensity on Technology Infrastructures should be increased when they target midcaps. </w:t>
      </w:r>
    </w:p>
    <w:p w14:paraId="45DFAE84" w14:textId="77777777" w:rsidR="00DA380A" w:rsidRDefault="00DA380A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</w:p>
    <w:p w14:paraId="3293BE8F" w14:textId="249A2E6E" w:rsidR="00656570" w:rsidRDefault="00656570" w:rsidP="00656570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>
        <w:rPr>
          <w:rFonts w:cstheme="minorHAnsi"/>
          <w:b/>
          <w:bCs/>
          <w:color w:val="000000"/>
          <w:sz w:val="24"/>
          <w:szCs w:val="24"/>
          <w:lang w:val="en-US"/>
        </w:rPr>
        <w:t xml:space="preserve">Ancillary activities </w:t>
      </w:r>
    </w:p>
    <w:p w14:paraId="78BA8E92" w14:textId="6B7D2E41" w:rsidR="00E06613" w:rsidRPr="00DA380A" w:rsidRDefault="00E06613" w:rsidP="00DA380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 w:rsidRPr="00DA380A">
        <w:rPr>
          <w:rFonts w:cstheme="minorHAnsi"/>
          <w:color w:val="000000"/>
          <w:sz w:val="24"/>
          <w:szCs w:val="24"/>
          <w:lang w:val="en-US"/>
        </w:rPr>
        <w:t xml:space="preserve">Regarding the monitoring of the ancillary character of the economic activity referred to in paragraph 22, </w:t>
      </w:r>
      <w:r w:rsidR="00DA380A" w:rsidRPr="00DA380A">
        <w:rPr>
          <w:rFonts w:cstheme="minorHAnsi"/>
          <w:color w:val="000000"/>
          <w:sz w:val="24"/>
          <w:szCs w:val="24"/>
          <w:lang w:val="en-US"/>
        </w:rPr>
        <w:t>the 10 year</w:t>
      </w:r>
      <w:r w:rsidR="00DF3DB5">
        <w:rPr>
          <w:rFonts w:cstheme="minorHAnsi"/>
          <w:color w:val="000000"/>
          <w:sz w:val="24"/>
          <w:szCs w:val="24"/>
          <w:lang w:val="en-US"/>
        </w:rPr>
        <w:t>s</w:t>
      </w:r>
      <w:r w:rsidR="00DA380A" w:rsidRPr="00DA380A">
        <w:rPr>
          <w:rFonts w:cstheme="minorHAnsi"/>
          <w:color w:val="000000"/>
          <w:sz w:val="24"/>
          <w:szCs w:val="24"/>
          <w:lang w:val="en-US"/>
        </w:rPr>
        <w:t xml:space="preserve"> monitoring period should be a maximum, not a minimum.</w:t>
      </w:r>
    </w:p>
    <w:p w14:paraId="449BE1A1" w14:textId="2B1907B7" w:rsidR="009D6315" w:rsidRDefault="009D6315" w:rsidP="009D6315">
      <w:pPr>
        <w:spacing w:after="0" w:line="360" w:lineRule="auto"/>
        <w:jc w:val="both"/>
        <w:rPr>
          <w:lang w:val="en-US"/>
        </w:rPr>
      </w:pPr>
    </w:p>
    <w:p w14:paraId="7A49CC39" w14:textId="1E004FE3" w:rsidR="004A2E95" w:rsidRDefault="007C46E6" w:rsidP="007C46E6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 w:rsidRPr="007C46E6">
        <w:rPr>
          <w:rFonts w:cstheme="minorHAnsi"/>
          <w:b/>
          <w:bCs/>
          <w:color w:val="000000"/>
          <w:sz w:val="24"/>
          <w:szCs w:val="24"/>
          <w:lang w:val="en-US"/>
        </w:rPr>
        <w:t>Calculation of indirect R&amp;D project costs</w:t>
      </w:r>
    </w:p>
    <w:p w14:paraId="0D056F71" w14:textId="6DD5E902" w:rsidR="007C46E6" w:rsidRDefault="007C46E6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  <w:lang w:val="en-US"/>
        </w:rPr>
        <w:t>On paragraph 81 of the proposal we believe that the flat rate used for the calculation of indirect costs should be up to 25%.</w:t>
      </w:r>
    </w:p>
    <w:p w14:paraId="4258DD06" w14:textId="194C421C" w:rsidR="004C0FB8" w:rsidRDefault="004C0FB8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</w:p>
    <w:p w14:paraId="1D90F65A" w14:textId="77777777" w:rsidR="00DA380A" w:rsidRDefault="00DA380A" w:rsidP="007C46E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</w:p>
    <w:p w14:paraId="3684E584" w14:textId="04DEA81C" w:rsidR="007C46E6" w:rsidRPr="004C0FB8" w:rsidRDefault="007C46E6" w:rsidP="004C0FB8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 w:rsidRPr="004C0FB8">
        <w:rPr>
          <w:rFonts w:cstheme="minorHAnsi"/>
          <w:b/>
          <w:bCs/>
          <w:color w:val="000000"/>
          <w:sz w:val="24"/>
          <w:szCs w:val="24"/>
          <w:lang w:val="en-US"/>
        </w:rPr>
        <w:lastRenderedPageBreak/>
        <w:t>Tr</w:t>
      </w:r>
      <w:r w:rsidR="004C0FB8">
        <w:rPr>
          <w:rFonts w:cstheme="minorHAnsi"/>
          <w:b/>
          <w:bCs/>
          <w:color w:val="000000"/>
          <w:sz w:val="24"/>
          <w:szCs w:val="24"/>
          <w:lang w:val="en-US"/>
        </w:rPr>
        <w:t>anparency threshold</w:t>
      </w:r>
    </w:p>
    <w:p w14:paraId="14D09622" w14:textId="66240D36" w:rsidR="007C46E6" w:rsidRDefault="007C46E6" w:rsidP="004C0FB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 w:rsidRPr="004C0FB8">
        <w:rPr>
          <w:rFonts w:cstheme="minorHAnsi"/>
          <w:color w:val="000000"/>
          <w:sz w:val="24"/>
          <w:szCs w:val="24"/>
          <w:lang w:val="en-US"/>
        </w:rPr>
        <w:t>The transparency threshold should be raised to 500000 euros to avoid administrative burden</w:t>
      </w:r>
    </w:p>
    <w:p w14:paraId="101BCF40" w14:textId="77777777" w:rsidR="004C0FB8" w:rsidRPr="004C0FB8" w:rsidRDefault="004C0FB8" w:rsidP="004C0FB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</w:p>
    <w:p w14:paraId="7FBE272A" w14:textId="416E00D2" w:rsidR="00B53D85" w:rsidRPr="00C776A3" w:rsidRDefault="00B53D85" w:rsidP="00C776A3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 w:rsidRPr="00C776A3">
        <w:rPr>
          <w:rFonts w:cstheme="minorHAnsi"/>
          <w:b/>
          <w:bCs/>
          <w:color w:val="000000"/>
          <w:sz w:val="24"/>
          <w:szCs w:val="24"/>
          <w:lang w:val="en-US"/>
        </w:rPr>
        <w:t>Eligible Costs</w:t>
      </w:r>
      <w:r>
        <w:rPr>
          <w:rFonts w:cstheme="minorHAnsi"/>
          <w:b/>
          <w:bCs/>
          <w:color w:val="000000"/>
          <w:sz w:val="24"/>
          <w:szCs w:val="24"/>
          <w:lang w:val="en-US"/>
        </w:rPr>
        <w:t xml:space="preserve"> (Annex I) </w:t>
      </w:r>
    </w:p>
    <w:p w14:paraId="0686E7E9" w14:textId="6174C49B" w:rsidR="00C776A3" w:rsidRDefault="00C776A3" w:rsidP="00CA2C6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  <w:lang w:val="en-US"/>
        </w:rPr>
        <w:t>For</w:t>
      </w:r>
      <w:r w:rsidR="00B53D85">
        <w:rPr>
          <w:rFonts w:cstheme="minorHAnsi"/>
          <w:color w:val="000000"/>
          <w:sz w:val="24"/>
          <w:szCs w:val="24"/>
          <w:lang w:val="en-US"/>
        </w:rPr>
        <w:t xml:space="preserve"> eligible costs under </w:t>
      </w:r>
      <w:r>
        <w:rPr>
          <w:rFonts w:cstheme="minorHAnsi"/>
          <w:color w:val="000000"/>
          <w:sz w:val="24"/>
          <w:szCs w:val="24"/>
          <w:lang w:val="en-US"/>
        </w:rPr>
        <w:t>the heading “</w:t>
      </w:r>
      <w:r w:rsidR="00B53D85">
        <w:rPr>
          <w:rFonts w:cstheme="minorHAnsi"/>
          <w:color w:val="000000"/>
          <w:sz w:val="24"/>
          <w:szCs w:val="24"/>
          <w:lang w:val="en-US"/>
        </w:rPr>
        <w:t>aid for R&amp;D projects</w:t>
      </w:r>
      <w:r>
        <w:rPr>
          <w:rFonts w:cstheme="minorHAnsi"/>
          <w:color w:val="000000"/>
          <w:sz w:val="24"/>
          <w:szCs w:val="24"/>
          <w:lang w:val="en-US"/>
        </w:rPr>
        <w:t>”</w:t>
      </w:r>
      <w:r w:rsidR="00B53D85">
        <w:rPr>
          <w:rFonts w:cstheme="minorHAnsi"/>
          <w:color w:val="000000"/>
          <w:sz w:val="24"/>
          <w:szCs w:val="24"/>
          <w:lang w:val="en-US"/>
        </w:rPr>
        <w:t xml:space="preserve"> we suggest the </w:t>
      </w:r>
      <w:r w:rsidR="0068151B">
        <w:rPr>
          <w:rFonts w:cstheme="minorHAnsi"/>
          <w:color w:val="000000"/>
          <w:sz w:val="24"/>
          <w:szCs w:val="24"/>
          <w:lang w:val="en-US"/>
        </w:rPr>
        <w:t xml:space="preserve">introduction of specific reference to costs </w:t>
      </w:r>
      <w:r w:rsidR="00B53D85">
        <w:rPr>
          <w:rFonts w:cstheme="minorHAnsi"/>
          <w:color w:val="000000"/>
          <w:sz w:val="24"/>
          <w:szCs w:val="24"/>
          <w:lang w:val="en-US"/>
        </w:rPr>
        <w:t xml:space="preserve">related </w:t>
      </w:r>
      <w:r w:rsidR="0068151B">
        <w:rPr>
          <w:rFonts w:cstheme="minorHAnsi"/>
          <w:color w:val="000000"/>
          <w:sz w:val="24"/>
          <w:szCs w:val="24"/>
          <w:lang w:val="en-US"/>
        </w:rPr>
        <w:t>to technological updates – use of 5G or A</w:t>
      </w:r>
      <w:r w:rsidR="00B53D85">
        <w:rPr>
          <w:rFonts w:cstheme="minorHAnsi"/>
          <w:color w:val="000000"/>
          <w:sz w:val="24"/>
          <w:szCs w:val="24"/>
          <w:lang w:val="en-US"/>
        </w:rPr>
        <w:t xml:space="preserve">rtificial </w:t>
      </w:r>
      <w:r w:rsidR="0068151B">
        <w:rPr>
          <w:rFonts w:cstheme="minorHAnsi"/>
          <w:color w:val="000000"/>
          <w:sz w:val="24"/>
          <w:szCs w:val="24"/>
          <w:lang w:val="en-US"/>
        </w:rPr>
        <w:t>I</w:t>
      </w:r>
      <w:r w:rsidR="00B53D85">
        <w:rPr>
          <w:rFonts w:cstheme="minorHAnsi"/>
          <w:color w:val="000000"/>
          <w:sz w:val="24"/>
          <w:szCs w:val="24"/>
          <w:lang w:val="en-US"/>
        </w:rPr>
        <w:t>ntelligence, for example</w:t>
      </w:r>
      <w:r>
        <w:rPr>
          <w:rFonts w:cstheme="minorHAnsi"/>
          <w:color w:val="000000"/>
          <w:sz w:val="24"/>
          <w:szCs w:val="24"/>
          <w:lang w:val="en-US"/>
        </w:rPr>
        <w:t>.</w:t>
      </w:r>
      <w:r w:rsidR="00B53D85">
        <w:rPr>
          <w:rFonts w:cstheme="minorHAnsi"/>
          <w:color w:val="000000"/>
          <w:sz w:val="24"/>
          <w:szCs w:val="24"/>
          <w:lang w:val="en-US"/>
        </w:rPr>
        <w:t xml:space="preserve"> </w:t>
      </w:r>
    </w:p>
    <w:p w14:paraId="76ED14BC" w14:textId="12906383" w:rsidR="00E53A63" w:rsidRDefault="00C776A3" w:rsidP="00CA2C6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  <w:lang w:val="en-US"/>
        </w:rPr>
        <w:t xml:space="preserve">On eligible costs relating to organizational or process innovation an explicit reference should be made </w:t>
      </w:r>
      <w:r w:rsidR="0068151B">
        <w:rPr>
          <w:rFonts w:cstheme="minorHAnsi"/>
          <w:color w:val="000000"/>
          <w:sz w:val="24"/>
          <w:szCs w:val="24"/>
          <w:lang w:val="en-US"/>
        </w:rPr>
        <w:t xml:space="preserve">to costs </w:t>
      </w:r>
      <w:r w:rsidR="00B53D85">
        <w:rPr>
          <w:rFonts w:cstheme="minorHAnsi"/>
          <w:color w:val="000000"/>
          <w:sz w:val="24"/>
          <w:szCs w:val="24"/>
          <w:lang w:val="en-US"/>
        </w:rPr>
        <w:t xml:space="preserve">related to </w:t>
      </w:r>
      <w:r w:rsidR="0068151B">
        <w:rPr>
          <w:rFonts w:cstheme="minorHAnsi"/>
          <w:color w:val="000000"/>
          <w:sz w:val="24"/>
          <w:szCs w:val="24"/>
          <w:lang w:val="en-US"/>
        </w:rPr>
        <w:t>implementing remote workstations</w:t>
      </w:r>
      <w:r w:rsidR="005063B6">
        <w:rPr>
          <w:rFonts w:cstheme="minorHAnsi"/>
          <w:color w:val="000000"/>
          <w:sz w:val="24"/>
          <w:szCs w:val="24"/>
          <w:lang w:val="en-US"/>
        </w:rPr>
        <w:t>.</w:t>
      </w:r>
    </w:p>
    <w:p w14:paraId="32B92436" w14:textId="117C622A" w:rsidR="00E53A63" w:rsidRDefault="00CA2C6C" w:rsidP="00CA2C6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  <w:lang w:val="en-US"/>
        </w:rPr>
        <w:t>.</w:t>
      </w:r>
    </w:p>
    <w:sectPr w:rsidR="00E53A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073BF1"/>
    <w:multiLevelType w:val="hybridMultilevel"/>
    <w:tmpl w:val="0DB67D22"/>
    <w:lvl w:ilvl="0" w:tplc="50146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E24FF"/>
    <w:multiLevelType w:val="hybridMultilevel"/>
    <w:tmpl w:val="398E8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AE6EB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868EC"/>
    <w:multiLevelType w:val="hybridMultilevel"/>
    <w:tmpl w:val="D9BCB9D6"/>
    <w:lvl w:ilvl="0" w:tplc="F0245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D16FA"/>
    <w:multiLevelType w:val="hybridMultilevel"/>
    <w:tmpl w:val="CD20DE26"/>
    <w:lvl w:ilvl="0" w:tplc="380452B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6A"/>
    <w:rsid w:val="0002161B"/>
    <w:rsid w:val="00071266"/>
    <w:rsid w:val="001603BC"/>
    <w:rsid w:val="00204BFD"/>
    <w:rsid w:val="003547BA"/>
    <w:rsid w:val="00483A01"/>
    <w:rsid w:val="004A2E95"/>
    <w:rsid w:val="004B3B2A"/>
    <w:rsid w:val="004C0FB8"/>
    <w:rsid w:val="005063B6"/>
    <w:rsid w:val="00525967"/>
    <w:rsid w:val="00541716"/>
    <w:rsid w:val="005E16F6"/>
    <w:rsid w:val="00613299"/>
    <w:rsid w:val="00622FD6"/>
    <w:rsid w:val="00656570"/>
    <w:rsid w:val="0068151B"/>
    <w:rsid w:val="007C46E6"/>
    <w:rsid w:val="0081103F"/>
    <w:rsid w:val="009B2EE5"/>
    <w:rsid w:val="009D6315"/>
    <w:rsid w:val="009E3FB3"/>
    <w:rsid w:val="00A83A51"/>
    <w:rsid w:val="00B409F5"/>
    <w:rsid w:val="00B44BFA"/>
    <w:rsid w:val="00B53D85"/>
    <w:rsid w:val="00BB006A"/>
    <w:rsid w:val="00BD2A72"/>
    <w:rsid w:val="00C4023E"/>
    <w:rsid w:val="00C776A3"/>
    <w:rsid w:val="00CA2C6C"/>
    <w:rsid w:val="00CD0972"/>
    <w:rsid w:val="00DA380A"/>
    <w:rsid w:val="00DF3DB5"/>
    <w:rsid w:val="00E06613"/>
    <w:rsid w:val="00E53A63"/>
    <w:rsid w:val="00E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F24E"/>
  <w15:chartTrackingRefBased/>
  <w15:docId w15:val="{53C595E0-13EA-4920-B7BE-984E017F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E3FB3"/>
    <w:pPr>
      <w:ind w:left="720"/>
      <w:contextualSpacing/>
    </w:pPr>
  </w:style>
  <w:style w:type="paragraph" w:customStyle="1" w:styleId="Default">
    <w:name w:val="Default"/>
    <w:basedOn w:val="Normal"/>
    <w:rsid w:val="005E16F6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53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53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7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646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Plácido Miranda</dc:creator>
  <cp:keywords/>
  <dc:description/>
  <cp:lastModifiedBy>Carlos Pardellas Oliveira</cp:lastModifiedBy>
  <cp:revision>5</cp:revision>
  <dcterms:created xsi:type="dcterms:W3CDTF">2021-06-02T23:21:00Z</dcterms:created>
  <dcterms:modified xsi:type="dcterms:W3CDTF">2021-06-08T11:29:00Z</dcterms:modified>
</cp:coreProperties>
</file>