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D9E55" w14:textId="77777777" w:rsidR="006322A6" w:rsidRPr="004B2415" w:rsidRDefault="004E6301" w:rsidP="002F0523">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jc w:val="both"/>
        <w:rPr>
          <w:rFonts w:cs="Times New Roman"/>
          <w:b/>
          <w:caps/>
          <w:szCs w:val="24"/>
          <w:lang w:val="en-US"/>
        </w:rPr>
      </w:pPr>
      <w:r w:rsidRPr="004B2415">
        <w:rPr>
          <w:rFonts w:cs="Times New Roman"/>
          <w:b/>
          <w:caps/>
          <w:szCs w:val="24"/>
          <w:lang w:val="en-US"/>
        </w:rPr>
        <w:t xml:space="preserve">Latvian comments on draft </w:t>
      </w:r>
      <w:r w:rsidR="0092625B" w:rsidRPr="004B2415">
        <w:rPr>
          <w:rFonts w:cs="Times New Roman"/>
          <w:b/>
          <w:caps/>
          <w:szCs w:val="24"/>
          <w:lang w:val="en-US"/>
        </w:rPr>
        <w:t>COMMUNICATION FROM THE COMMISSIO</w:t>
      </w:r>
      <w:bookmarkStart w:id="0" w:name="_GoBack"/>
      <w:bookmarkEnd w:id="0"/>
      <w:r w:rsidR="0092625B" w:rsidRPr="004B2415">
        <w:rPr>
          <w:rFonts w:cs="Times New Roman"/>
          <w:b/>
          <w:caps/>
          <w:szCs w:val="24"/>
          <w:lang w:val="en-US"/>
        </w:rPr>
        <w:t>N Framework for State aid for research and development and innovation</w:t>
      </w:r>
      <w:r w:rsidR="006322A6" w:rsidRPr="004B2415">
        <w:rPr>
          <w:rFonts w:cs="Times New Roman"/>
          <w:b/>
          <w:caps/>
          <w:szCs w:val="24"/>
          <w:lang w:val="en-US"/>
        </w:rPr>
        <w:br/>
      </w:r>
    </w:p>
    <w:tbl>
      <w:tblPr>
        <w:tblStyle w:val="TableGrid"/>
        <w:tblW w:w="14454" w:type="dxa"/>
        <w:tblLook w:val="04A0" w:firstRow="1" w:lastRow="0" w:firstColumn="1" w:lastColumn="0" w:noHBand="0" w:noVBand="1"/>
      </w:tblPr>
      <w:tblGrid>
        <w:gridCol w:w="1594"/>
        <w:gridCol w:w="5489"/>
        <w:gridCol w:w="7371"/>
      </w:tblGrid>
      <w:tr w:rsidR="004B2415" w:rsidRPr="004B2415" w14:paraId="4EB66F1D" w14:textId="77777777" w:rsidTr="00E86DE8">
        <w:tc>
          <w:tcPr>
            <w:tcW w:w="1594" w:type="dxa"/>
          </w:tcPr>
          <w:p w14:paraId="2E901DFD" w14:textId="77777777" w:rsidR="006322A6" w:rsidRPr="004B2415" w:rsidRDefault="006322A6">
            <w:pPr>
              <w:jc w:val="both"/>
              <w:rPr>
                <w:b/>
                <w:szCs w:val="24"/>
                <w:lang w:val="en-US"/>
              </w:rPr>
            </w:pPr>
            <w:r w:rsidRPr="004B2415">
              <w:rPr>
                <w:b/>
                <w:szCs w:val="24"/>
                <w:lang w:val="en-US"/>
              </w:rPr>
              <w:t>No.</w:t>
            </w:r>
          </w:p>
        </w:tc>
        <w:tc>
          <w:tcPr>
            <w:tcW w:w="5489" w:type="dxa"/>
          </w:tcPr>
          <w:p w14:paraId="69DB372B" w14:textId="77777777" w:rsidR="006322A6" w:rsidRPr="004B2415" w:rsidRDefault="006322A6">
            <w:pPr>
              <w:jc w:val="both"/>
              <w:rPr>
                <w:b/>
                <w:szCs w:val="24"/>
                <w:lang w:val="en-US"/>
              </w:rPr>
            </w:pPr>
            <w:r w:rsidRPr="004B2415">
              <w:rPr>
                <w:b/>
                <w:szCs w:val="24"/>
                <w:lang w:val="en-US"/>
              </w:rPr>
              <w:t>Place in the document text</w:t>
            </w:r>
          </w:p>
        </w:tc>
        <w:tc>
          <w:tcPr>
            <w:tcW w:w="7371" w:type="dxa"/>
          </w:tcPr>
          <w:p w14:paraId="19E058AC" w14:textId="77777777" w:rsidR="006322A6" w:rsidRPr="004B2415" w:rsidRDefault="006322A6">
            <w:pPr>
              <w:jc w:val="both"/>
              <w:rPr>
                <w:b/>
                <w:szCs w:val="24"/>
                <w:lang w:val="en-US"/>
              </w:rPr>
            </w:pPr>
            <w:r w:rsidRPr="004B2415">
              <w:rPr>
                <w:b/>
                <w:szCs w:val="24"/>
                <w:lang w:val="en-US"/>
              </w:rPr>
              <w:t>Comments</w:t>
            </w:r>
            <w:r w:rsidR="00557B0F" w:rsidRPr="004B2415">
              <w:rPr>
                <w:b/>
                <w:szCs w:val="24"/>
                <w:lang w:val="en-US"/>
              </w:rPr>
              <w:t>/Proposals</w:t>
            </w:r>
          </w:p>
        </w:tc>
      </w:tr>
      <w:tr w:rsidR="004B2415" w:rsidRPr="004B2415" w14:paraId="7B579BD9" w14:textId="77777777" w:rsidTr="004D16E6">
        <w:trPr>
          <w:trHeight w:val="6770"/>
        </w:trPr>
        <w:tc>
          <w:tcPr>
            <w:tcW w:w="1594" w:type="dxa"/>
          </w:tcPr>
          <w:p w14:paraId="47D180F4" w14:textId="77777777" w:rsidR="00E748B6" w:rsidRPr="004B2415" w:rsidRDefault="00E748B6">
            <w:pPr>
              <w:pStyle w:val="ListParagraph"/>
              <w:numPr>
                <w:ilvl w:val="0"/>
                <w:numId w:val="1"/>
              </w:numPr>
              <w:jc w:val="both"/>
              <w:rPr>
                <w:sz w:val="24"/>
                <w:szCs w:val="24"/>
                <w:lang w:val="en-US"/>
              </w:rPr>
            </w:pPr>
          </w:p>
        </w:tc>
        <w:tc>
          <w:tcPr>
            <w:tcW w:w="5489" w:type="dxa"/>
          </w:tcPr>
          <w:p w14:paraId="4B4CED2D" w14:textId="77777777" w:rsidR="00E748B6" w:rsidRPr="004B2415" w:rsidRDefault="00FD2D8A">
            <w:pPr>
              <w:pStyle w:val="Default"/>
              <w:jc w:val="both"/>
              <w:rPr>
                <w:color w:val="auto"/>
                <w:lang w:val="en-US"/>
              </w:rPr>
            </w:pPr>
            <w:r w:rsidRPr="004B2415">
              <w:rPr>
                <w:b/>
                <w:color w:val="auto"/>
                <w:lang w:val="en-US"/>
              </w:rPr>
              <w:t xml:space="preserve">Point </w:t>
            </w:r>
            <w:r w:rsidR="00E748B6" w:rsidRPr="004B2415">
              <w:rPr>
                <w:b/>
                <w:color w:val="auto"/>
                <w:lang w:val="en-US"/>
              </w:rPr>
              <w:t>17.</w:t>
            </w:r>
            <w:r w:rsidR="00E748B6" w:rsidRPr="004B2415">
              <w:rPr>
                <w:color w:val="auto"/>
                <w:lang w:val="en-US"/>
              </w:rPr>
              <w:t xml:space="preserve"> For the purposes of this framework, the following definitions apply: </w:t>
            </w:r>
          </w:p>
          <w:p w14:paraId="6133BDB3" w14:textId="77777777" w:rsidR="00E748B6" w:rsidRPr="004B2415" w:rsidRDefault="00E748B6">
            <w:pPr>
              <w:pStyle w:val="Default"/>
              <w:jc w:val="both"/>
              <w:rPr>
                <w:color w:val="auto"/>
                <w:lang w:val="en-US"/>
              </w:rPr>
            </w:pPr>
            <w:r w:rsidRPr="004B2415">
              <w:rPr>
                <w:color w:val="auto"/>
                <w:lang w:val="en-US"/>
              </w:rPr>
              <w:t xml:space="preserve">(a) </w:t>
            </w:r>
            <w:r w:rsidRPr="004B2415">
              <w:rPr>
                <w:b/>
                <w:bCs/>
                <w:i/>
                <w:iCs/>
                <w:color w:val="auto"/>
                <w:lang w:val="en-US"/>
              </w:rPr>
              <w:t xml:space="preserve">'ad hoc </w:t>
            </w:r>
            <w:r w:rsidRPr="004B2415">
              <w:rPr>
                <w:b/>
                <w:bCs/>
                <w:color w:val="auto"/>
                <w:lang w:val="en-US"/>
              </w:rPr>
              <w:t xml:space="preserve">aid' </w:t>
            </w:r>
            <w:r w:rsidRPr="004B2415">
              <w:rPr>
                <w:color w:val="auto"/>
                <w:lang w:val="en-US"/>
              </w:rPr>
              <w:t xml:space="preserve">means aid not awarded on the basis of an aid scheme; </w:t>
            </w:r>
          </w:p>
          <w:p w14:paraId="19015A84" w14:textId="77777777" w:rsidR="00E748B6" w:rsidRPr="004B2415" w:rsidRDefault="00E748B6">
            <w:pPr>
              <w:pStyle w:val="Default"/>
              <w:jc w:val="both"/>
              <w:rPr>
                <w:color w:val="auto"/>
                <w:lang w:val="en-US"/>
              </w:rPr>
            </w:pPr>
          </w:p>
          <w:p w14:paraId="63FA2F4D" w14:textId="77777777" w:rsidR="00E748B6" w:rsidRPr="004B2415" w:rsidRDefault="00E748B6">
            <w:pPr>
              <w:pStyle w:val="Default"/>
              <w:jc w:val="both"/>
              <w:rPr>
                <w:color w:val="auto"/>
                <w:lang w:val="en-US"/>
              </w:rPr>
            </w:pPr>
            <w:r w:rsidRPr="004B2415">
              <w:rPr>
                <w:color w:val="auto"/>
                <w:lang w:val="en-US"/>
              </w:rPr>
              <w:t xml:space="preserve">(q) </w:t>
            </w:r>
            <w:r w:rsidRPr="004B2415">
              <w:rPr>
                <w:b/>
                <w:bCs/>
                <w:color w:val="auto"/>
                <w:lang w:val="en-US"/>
              </w:rPr>
              <w:t xml:space="preserve">'individual aid' </w:t>
            </w:r>
            <w:r w:rsidRPr="004B2415">
              <w:rPr>
                <w:color w:val="auto"/>
                <w:lang w:val="en-US"/>
              </w:rPr>
              <w:t xml:space="preserve">means aid that is not awarded on the basis of an aid scheme and notifiable awards of aid on the basis of an aid scheme; </w:t>
            </w:r>
          </w:p>
          <w:p w14:paraId="0FF58367" w14:textId="77777777" w:rsidR="00E748B6" w:rsidRPr="004B2415" w:rsidRDefault="00E748B6">
            <w:pPr>
              <w:pStyle w:val="Default"/>
              <w:jc w:val="both"/>
              <w:rPr>
                <w:color w:val="auto"/>
                <w:lang w:val="en-US"/>
              </w:rPr>
            </w:pPr>
          </w:p>
          <w:p w14:paraId="58BEC582" w14:textId="77777777" w:rsidR="00E748B6" w:rsidRPr="004B2415" w:rsidRDefault="00E748B6">
            <w:pPr>
              <w:jc w:val="both"/>
              <w:rPr>
                <w:szCs w:val="24"/>
                <w:lang w:val="en-US"/>
              </w:rPr>
            </w:pPr>
          </w:p>
        </w:tc>
        <w:tc>
          <w:tcPr>
            <w:tcW w:w="7371" w:type="dxa"/>
          </w:tcPr>
          <w:p w14:paraId="29ABE3D2" w14:textId="77777777" w:rsidR="00B21F7C" w:rsidRPr="004B2415" w:rsidRDefault="00903059" w:rsidP="00B21F7C">
            <w:pPr>
              <w:spacing w:after="120"/>
              <w:ind w:right="34"/>
              <w:contextualSpacing/>
              <w:jc w:val="both"/>
              <w:rPr>
                <w:rFonts w:cs="Times New Roman"/>
                <w:szCs w:val="24"/>
                <w:lang w:val="en-US"/>
              </w:rPr>
            </w:pPr>
            <w:r w:rsidRPr="004B2415">
              <w:rPr>
                <w:rFonts w:cs="Times New Roman"/>
                <w:szCs w:val="24"/>
                <w:lang w:val="en-US"/>
              </w:rPr>
              <w:t xml:space="preserve">In </w:t>
            </w:r>
            <w:r w:rsidRPr="004B2415">
              <w:rPr>
                <w:b/>
                <w:szCs w:val="24"/>
                <w:lang w:val="en-US"/>
              </w:rPr>
              <w:t>Point 17.</w:t>
            </w:r>
            <w:r w:rsidRPr="004B2415">
              <w:rPr>
                <w:szCs w:val="24"/>
                <w:lang w:val="en-US"/>
              </w:rPr>
              <w:t xml:space="preserve"> (</w:t>
            </w:r>
            <w:r w:rsidRPr="004B2415">
              <w:rPr>
                <w:b/>
                <w:szCs w:val="24"/>
                <w:lang w:val="en-US"/>
              </w:rPr>
              <w:t xml:space="preserve">a) </w:t>
            </w:r>
            <w:r w:rsidRPr="004B2415">
              <w:rPr>
                <w:rFonts w:cs="Times New Roman"/>
                <w:szCs w:val="24"/>
                <w:lang w:val="en-US"/>
              </w:rPr>
              <w:t xml:space="preserve">a definition for ‘ad hoc aid’ </w:t>
            </w:r>
            <w:r w:rsidR="004A3845" w:rsidRPr="004B2415">
              <w:rPr>
                <w:rFonts w:cs="Times New Roman"/>
                <w:szCs w:val="24"/>
                <w:lang w:val="en-US"/>
              </w:rPr>
              <w:t xml:space="preserve">is included </w:t>
            </w:r>
            <w:r w:rsidRPr="004B2415">
              <w:rPr>
                <w:rFonts w:cs="Times New Roman"/>
                <w:szCs w:val="24"/>
                <w:lang w:val="en-US"/>
              </w:rPr>
              <w:t xml:space="preserve">and in </w:t>
            </w:r>
            <w:r w:rsidRPr="004B2415">
              <w:rPr>
                <w:b/>
                <w:szCs w:val="24"/>
                <w:lang w:val="en-US"/>
              </w:rPr>
              <w:t>Point 17.</w:t>
            </w:r>
            <w:r w:rsidRPr="004B2415">
              <w:rPr>
                <w:szCs w:val="24"/>
                <w:lang w:val="en-US"/>
              </w:rPr>
              <w:t xml:space="preserve"> (</w:t>
            </w:r>
            <w:r w:rsidRPr="004B2415">
              <w:rPr>
                <w:b/>
                <w:szCs w:val="24"/>
                <w:lang w:val="en-US"/>
              </w:rPr>
              <w:t xml:space="preserve">q) </w:t>
            </w:r>
            <w:r w:rsidRPr="004B2415">
              <w:rPr>
                <w:rFonts w:cs="Times New Roman"/>
                <w:szCs w:val="24"/>
                <w:lang w:val="en-US"/>
              </w:rPr>
              <w:t>a definition for ‘individual aid’</w:t>
            </w:r>
            <w:r w:rsidR="004A3845" w:rsidRPr="004B2415">
              <w:rPr>
                <w:rFonts w:cs="Times New Roman"/>
                <w:szCs w:val="24"/>
                <w:lang w:val="en-US"/>
              </w:rPr>
              <w:t xml:space="preserve"> is included</w:t>
            </w:r>
            <w:r w:rsidRPr="004B2415">
              <w:rPr>
                <w:rFonts w:cs="Times New Roman"/>
                <w:szCs w:val="24"/>
                <w:lang w:val="en-US"/>
              </w:rPr>
              <w:t>.</w:t>
            </w:r>
            <w:r w:rsidRPr="004B2415">
              <w:rPr>
                <w:szCs w:val="24"/>
                <w:lang w:val="en-US"/>
              </w:rPr>
              <w:t xml:space="preserve"> </w:t>
            </w:r>
            <w:r w:rsidR="00B21F7C" w:rsidRPr="004B2415">
              <w:rPr>
                <w:szCs w:val="24"/>
                <w:lang w:val="en-US"/>
              </w:rPr>
              <w:t xml:space="preserve">These definitions overlap. For example, </w:t>
            </w:r>
            <w:r w:rsidR="00B21F7C" w:rsidRPr="004B2415">
              <w:rPr>
                <w:rFonts w:cs="Times New Roman"/>
                <w:szCs w:val="24"/>
                <w:lang w:val="en-US"/>
              </w:rPr>
              <w:t>w</w:t>
            </w:r>
            <w:r w:rsidRPr="004B2415">
              <w:rPr>
                <w:rFonts w:cs="Times New Roman"/>
                <w:szCs w:val="24"/>
                <w:lang w:val="en-US"/>
              </w:rPr>
              <w:t xml:space="preserve">e draw attention to the fact that ‘ad hoc aid’ is mentioned only in </w:t>
            </w:r>
            <w:r w:rsidRPr="004B2415">
              <w:rPr>
                <w:rFonts w:cs="Times New Roman"/>
                <w:b/>
                <w:szCs w:val="24"/>
                <w:lang w:val="en-US"/>
              </w:rPr>
              <w:t xml:space="preserve">point 89 </w:t>
            </w:r>
            <w:r w:rsidRPr="004B2415">
              <w:rPr>
                <w:rFonts w:cs="Times New Roman"/>
                <w:szCs w:val="24"/>
                <w:lang w:val="en-US"/>
              </w:rPr>
              <w:t xml:space="preserve">regarding </w:t>
            </w:r>
            <w:proofErr w:type="spellStart"/>
            <w:r w:rsidRPr="004B2415">
              <w:rPr>
                <w:rFonts w:cs="Times New Roman"/>
                <w:szCs w:val="24"/>
                <w:lang w:val="en-US"/>
              </w:rPr>
              <w:t>cumulation</w:t>
            </w:r>
            <w:proofErr w:type="spellEnd"/>
            <w:r w:rsidRPr="004B2415">
              <w:rPr>
                <w:rFonts w:cs="Times New Roman"/>
                <w:szCs w:val="24"/>
                <w:lang w:val="en-US"/>
              </w:rPr>
              <w:t xml:space="preserve"> of aid</w:t>
            </w:r>
            <w:r w:rsidR="00ED054A" w:rsidRPr="004B2415">
              <w:rPr>
                <w:rFonts w:cs="Times New Roman"/>
                <w:szCs w:val="24"/>
                <w:lang w:val="en-US"/>
              </w:rPr>
              <w:t xml:space="preserve"> and it is not clear to which </w:t>
            </w:r>
            <w:r w:rsidRPr="004B2415">
              <w:rPr>
                <w:rFonts w:cs="Times New Roman"/>
                <w:szCs w:val="24"/>
                <w:lang w:val="en-US"/>
              </w:rPr>
              <w:t xml:space="preserve">aid it applies, </w:t>
            </w:r>
            <w:r w:rsidR="00ED054A" w:rsidRPr="004B2415">
              <w:rPr>
                <w:rFonts w:cs="Times New Roman"/>
                <w:szCs w:val="24"/>
                <w:lang w:val="en-US"/>
              </w:rPr>
              <w:t xml:space="preserve">because </w:t>
            </w:r>
            <w:proofErr w:type="spellStart"/>
            <w:r w:rsidR="00ED054A" w:rsidRPr="004B2415">
              <w:rPr>
                <w:rFonts w:cs="Times New Roman"/>
                <w:szCs w:val="24"/>
                <w:lang w:val="en-US"/>
              </w:rPr>
              <w:t>cumulation</w:t>
            </w:r>
            <w:proofErr w:type="spellEnd"/>
            <w:r w:rsidR="00ED054A" w:rsidRPr="004B2415">
              <w:rPr>
                <w:rFonts w:cs="Times New Roman"/>
                <w:szCs w:val="24"/>
                <w:lang w:val="en-US"/>
              </w:rPr>
              <w:t xml:space="preserve"> of aid may be possible also with individual aid.</w:t>
            </w:r>
            <w:r w:rsidR="00B21F7C" w:rsidRPr="004B2415">
              <w:rPr>
                <w:rFonts w:cs="Times New Roman"/>
                <w:szCs w:val="24"/>
                <w:lang w:val="en-US"/>
              </w:rPr>
              <w:t xml:space="preserve"> </w:t>
            </w:r>
            <w:r w:rsidR="00ED054A" w:rsidRPr="004B2415">
              <w:rPr>
                <w:rFonts w:cs="Times New Roman"/>
                <w:szCs w:val="24"/>
                <w:lang w:val="en-US"/>
              </w:rPr>
              <w:t>Please</w:t>
            </w:r>
            <w:r w:rsidR="004A3845" w:rsidRPr="004B2415">
              <w:rPr>
                <w:rFonts w:cs="Times New Roman"/>
                <w:szCs w:val="24"/>
                <w:lang w:val="en-US"/>
              </w:rPr>
              <w:t>,</w:t>
            </w:r>
            <w:r w:rsidR="00ED054A" w:rsidRPr="004B2415">
              <w:rPr>
                <w:rFonts w:cs="Times New Roman"/>
                <w:szCs w:val="24"/>
                <w:lang w:val="en-US"/>
              </w:rPr>
              <w:t xml:space="preserve"> review the necessity for</w:t>
            </w:r>
            <w:r w:rsidR="004A3845" w:rsidRPr="004B2415">
              <w:rPr>
                <w:rFonts w:cs="Times New Roman"/>
                <w:szCs w:val="24"/>
                <w:lang w:val="en-US"/>
              </w:rPr>
              <w:t xml:space="preserve"> clarifying point 89 – adding also reference to individual aid</w:t>
            </w:r>
            <w:r w:rsidR="00ED054A" w:rsidRPr="004B2415">
              <w:rPr>
                <w:rFonts w:cs="Times New Roman"/>
                <w:szCs w:val="24"/>
                <w:lang w:val="en-US"/>
              </w:rPr>
              <w:t xml:space="preserve">. </w:t>
            </w:r>
            <w:r w:rsidRPr="004B2415">
              <w:rPr>
                <w:rFonts w:cs="Times New Roman"/>
                <w:szCs w:val="24"/>
                <w:lang w:val="en-US"/>
              </w:rPr>
              <w:t>For clarification reasons</w:t>
            </w:r>
            <w:r w:rsidR="002A4148" w:rsidRPr="004B2415">
              <w:rPr>
                <w:rFonts w:cs="Times New Roman"/>
                <w:szCs w:val="24"/>
                <w:lang w:val="en-US"/>
              </w:rPr>
              <w:t>,</w:t>
            </w:r>
            <w:r w:rsidRPr="004B2415">
              <w:rPr>
                <w:rFonts w:cs="Times New Roman"/>
                <w:szCs w:val="24"/>
                <w:lang w:val="en-US"/>
              </w:rPr>
              <w:t xml:space="preserve"> we recommend using</w:t>
            </w:r>
            <w:r w:rsidR="002A4148" w:rsidRPr="004B2415">
              <w:rPr>
                <w:rFonts w:cs="Times New Roman"/>
                <w:szCs w:val="24"/>
                <w:lang w:val="en-US"/>
              </w:rPr>
              <w:t xml:space="preserve"> the</w:t>
            </w:r>
            <w:r w:rsidRPr="004B2415">
              <w:rPr>
                <w:rFonts w:cs="Times New Roman"/>
                <w:szCs w:val="24"/>
                <w:lang w:val="en-US"/>
              </w:rPr>
              <w:t xml:space="preserve"> definition for “individual aid” as defined in Council Regulation (EU) 2015/1589 of July 13 2015 laying down detailed rules for the application of Article 108 of the Treaty on the Functioning of the European Union</w:t>
            </w:r>
            <w:r w:rsidR="004A3845" w:rsidRPr="004B2415">
              <w:rPr>
                <w:rFonts w:cs="Times New Roman"/>
                <w:szCs w:val="24"/>
                <w:lang w:val="en-US"/>
              </w:rPr>
              <w:t>, and delete the definition of  the ‘ad hoc aid’.</w:t>
            </w:r>
          </w:p>
          <w:p w14:paraId="424FAFBA" w14:textId="13F1B260" w:rsidR="00903059" w:rsidRPr="004B2415" w:rsidRDefault="00B21F7C" w:rsidP="00B21F7C">
            <w:pPr>
              <w:spacing w:after="120"/>
              <w:ind w:right="34"/>
              <w:contextualSpacing/>
              <w:jc w:val="both"/>
              <w:rPr>
                <w:szCs w:val="24"/>
                <w:lang w:val="en-US"/>
              </w:rPr>
            </w:pPr>
            <w:r w:rsidRPr="004B2415">
              <w:rPr>
                <w:rFonts w:cs="Times New Roman"/>
                <w:szCs w:val="24"/>
                <w:lang w:val="en-US"/>
              </w:rPr>
              <w:t>Another example:</w:t>
            </w:r>
            <w:r w:rsidRPr="004B2415">
              <w:rPr>
                <w:szCs w:val="24"/>
                <w:lang w:val="en-US"/>
              </w:rPr>
              <w:t xml:space="preserve"> </w:t>
            </w:r>
            <w:r w:rsidRPr="004B2415">
              <w:rPr>
                <w:rFonts w:cs="Times New Roman"/>
                <w:szCs w:val="24"/>
                <w:lang w:val="en-US"/>
              </w:rPr>
              <w:t>Sections 3.1.2.2.</w:t>
            </w:r>
            <w:r w:rsidR="00093891" w:rsidRPr="004B2415">
              <w:rPr>
                <w:rFonts w:cs="Times New Roman"/>
                <w:szCs w:val="24"/>
                <w:lang w:val="en-US"/>
              </w:rPr>
              <w:t xml:space="preserve"> and </w:t>
            </w:r>
            <w:r w:rsidRPr="004B2415">
              <w:rPr>
                <w:szCs w:val="24"/>
                <w:lang w:val="en-US"/>
              </w:rPr>
              <w:t>3.2.6.1.1.</w:t>
            </w:r>
            <w:r w:rsidR="00093891" w:rsidRPr="004B2415">
              <w:rPr>
                <w:szCs w:val="24"/>
                <w:lang w:val="en-US"/>
              </w:rPr>
              <w:t xml:space="preserve"> </w:t>
            </w:r>
            <w:r w:rsidRPr="004B2415">
              <w:rPr>
                <w:szCs w:val="24"/>
                <w:lang w:val="en-US"/>
              </w:rPr>
              <w:t>provide addition clarifications for individual aid; please review the text, since here in essence reference to ad hoc aid should be used, meaning additional clarifications for aid not awarded on the basis of an aid scheme</w:t>
            </w:r>
            <w:r w:rsidR="003A5BD0" w:rsidRPr="004B2415">
              <w:rPr>
                <w:szCs w:val="24"/>
                <w:lang w:val="en-US"/>
              </w:rPr>
              <w:t xml:space="preserve"> should be provided under these points</w:t>
            </w:r>
            <w:r w:rsidRPr="004B2415">
              <w:rPr>
                <w:szCs w:val="24"/>
                <w:lang w:val="en-US"/>
              </w:rPr>
              <w:t>.</w:t>
            </w:r>
          </w:p>
          <w:p w14:paraId="06155481" w14:textId="77777777" w:rsidR="00121DA8" w:rsidRPr="004B2415" w:rsidRDefault="00121DA8" w:rsidP="00B21F7C">
            <w:pPr>
              <w:spacing w:after="120"/>
              <w:ind w:right="34"/>
              <w:contextualSpacing/>
              <w:jc w:val="both"/>
              <w:rPr>
                <w:rFonts w:eastAsia="Times New Roman"/>
                <w:szCs w:val="24"/>
                <w:lang w:val="en-US"/>
              </w:rPr>
            </w:pPr>
          </w:p>
        </w:tc>
      </w:tr>
      <w:tr w:rsidR="004B2415" w:rsidRPr="004B2415" w14:paraId="285B425A" w14:textId="77777777" w:rsidTr="003F76A8">
        <w:trPr>
          <w:trHeight w:val="2883"/>
        </w:trPr>
        <w:tc>
          <w:tcPr>
            <w:tcW w:w="1594" w:type="dxa"/>
          </w:tcPr>
          <w:p w14:paraId="6B02BC81" w14:textId="77777777" w:rsidR="00FD2D8A" w:rsidRPr="004B2415" w:rsidRDefault="00FD2D8A">
            <w:pPr>
              <w:pStyle w:val="ListParagraph"/>
              <w:numPr>
                <w:ilvl w:val="0"/>
                <w:numId w:val="1"/>
              </w:numPr>
              <w:jc w:val="both"/>
              <w:rPr>
                <w:sz w:val="24"/>
                <w:szCs w:val="24"/>
                <w:lang w:val="en-US"/>
              </w:rPr>
            </w:pPr>
          </w:p>
        </w:tc>
        <w:tc>
          <w:tcPr>
            <w:tcW w:w="5489" w:type="dxa"/>
          </w:tcPr>
          <w:p w14:paraId="6306979F" w14:textId="77777777" w:rsidR="00FD2D8A" w:rsidRPr="004B2415" w:rsidRDefault="00FD2D8A">
            <w:pPr>
              <w:pStyle w:val="Default"/>
              <w:jc w:val="both"/>
              <w:rPr>
                <w:color w:val="auto"/>
                <w:lang w:val="en-US"/>
              </w:rPr>
            </w:pPr>
            <w:r w:rsidRPr="004B2415">
              <w:rPr>
                <w:b/>
                <w:color w:val="auto"/>
                <w:lang w:val="en-US"/>
              </w:rPr>
              <w:t>Point 17</w:t>
            </w:r>
            <w:r w:rsidRPr="004B2415">
              <w:rPr>
                <w:color w:val="auto"/>
                <w:lang w:val="en-US"/>
              </w:rPr>
              <w:t xml:space="preserve">. For the purposes of this framework, the following definitions apply: </w:t>
            </w:r>
          </w:p>
          <w:p w14:paraId="0EF3AB39" w14:textId="77777777" w:rsidR="00FD2D8A" w:rsidRPr="004B2415" w:rsidRDefault="00FD2D8A" w:rsidP="003F76A8">
            <w:pPr>
              <w:pStyle w:val="Default"/>
              <w:jc w:val="both"/>
              <w:rPr>
                <w:color w:val="auto"/>
                <w:lang w:val="en-US"/>
              </w:rPr>
            </w:pPr>
          </w:p>
          <w:p w14:paraId="34FC51DF" w14:textId="77777777" w:rsidR="00FD2D8A" w:rsidRPr="004B2415" w:rsidRDefault="00FD2D8A" w:rsidP="003F76A8">
            <w:pPr>
              <w:pStyle w:val="Default"/>
              <w:jc w:val="both"/>
              <w:rPr>
                <w:color w:val="auto"/>
                <w:lang w:val="en-US"/>
              </w:rPr>
            </w:pPr>
            <w:r w:rsidRPr="004B2415">
              <w:rPr>
                <w:color w:val="auto"/>
                <w:lang w:val="en-US"/>
              </w:rPr>
              <w:t xml:space="preserve">(h) </w:t>
            </w:r>
            <w:r w:rsidRPr="004B2415">
              <w:rPr>
                <w:b/>
                <w:bCs/>
                <w:color w:val="auto"/>
                <w:lang w:val="en-US"/>
              </w:rPr>
              <w:t>'</w:t>
            </w:r>
            <w:proofErr w:type="spellStart"/>
            <w:r w:rsidRPr="004B2415">
              <w:rPr>
                <w:b/>
                <w:bCs/>
                <w:color w:val="auto"/>
                <w:lang w:val="en-US"/>
              </w:rPr>
              <w:t>digitalisation</w:t>
            </w:r>
            <w:proofErr w:type="spellEnd"/>
            <w:r w:rsidRPr="004B2415">
              <w:rPr>
                <w:b/>
                <w:bCs/>
                <w:color w:val="auto"/>
                <w:lang w:val="en-US"/>
              </w:rPr>
              <w:t xml:space="preserve">' </w:t>
            </w:r>
            <w:r w:rsidRPr="004B2415">
              <w:rPr>
                <w:color w:val="auto"/>
                <w:lang w:val="en-US"/>
              </w:rPr>
              <w:t xml:space="preserve">means the introduction of innovative digital technologies and/or solutions to improve and/or upgrade processes, products or service functionalities; </w:t>
            </w:r>
          </w:p>
          <w:p w14:paraId="4EDD9946" w14:textId="77777777" w:rsidR="00FD2D8A" w:rsidRPr="004B2415" w:rsidRDefault="00FD2D8A">
            <w:pPr>
              <w:pStyle w:val="Default"/>
              <w:jc w:val="both"/>
              <w:rPr>
                <w:b/>
                <w:color w:val="auto"/>
                <w:lang w:val="en-US"/>
              </w:rPr>
            </w:pPr>
          </w:p>
        </w:tc>
        <w:tc>
          <w:tcPr>
            <w:tcW w:w="7371" w:type="dxa"/>
          </w:tcPr>
          <w:p w14:paraId="302C707E" w14:textId="2BCF83FC" w:rsidR="003A5BD0" w:rsidRPr="004B2415" w:rsidRDefault="009E49B1" w:rsidP="000057D5">
            <w:pPr>
              <w:jc w:val="both"/>
              <w:rPr>
                <w:szCs w:val="24"/>
                <w:lang w:val="en-US"/>
              </w:rPr>
            </w:pPr>
            <w:r w:rsidRPr="004B2415">
              <w:rPr>
                <w:szCs w:val="24"/>
                <w:lang w:val="en-US"/>
              </w:rPr>
              <w:t xml:space="preserve">We consider that </w:t>
            </w:r>
            <w:r w:rsidR="00DE09CC" w:rsidRPr="004B2415">
              <w:rPr>
                <w:szCs w:val="24"/>
                <w:lang w:val="en-US"/>
              </w:rPr>
              <w:t>a definition for “</w:t>
            </w:r>
            <w:proofErr w:type="spellStart"/>
            <w:r w:rsidR="00DE09CC" w:rsidRPr="004B2415">
              <w:rPr>
                <w:szCs w:val="24"/>
                <w:lang w:val="en-US"/>
              </w:rPr>
              <w:t>digitalisation</w:t>
            </w:r>
            <w:proofErr w:type="spellEnd"/>
            <w:r w:rsidR="00DE09CC" w:rsidRPr="004B2415">
              <w:rPr>
                <w:szCs w:val="24"/>
                <w:lang w:val="en-US"/>
              </w:rPr>
              <w:t xml:space="preserve">” </w:t>
            </w:r>
            <w:r w:rsidRPr="004B2415">
              <w:rPr>
                <w:szCs w:val="24"/>
                <w:lang w:val="en-US"/>
              </w:rPr>
              <w:t xml:space="preserve"> </w:t>
            </w:r>
            <w:r w:rsidR="00FD2D8A" w:rsidRPr="004B2415">
              <w:rPr>
                <w:szCs w:val="24"/>
                <w:lang w:val="en-US"/>
              </w:rPr>
              <w:t xml:space="preserve">should include also reference to the introduction/creation of new related services as very often </w:t>
            </w:r>
            <w:proofErr w:type="spellStart"/>
            <w:r w:rsidR="00FD2D8A" w:rsidRPr="004B2415">
              <w:rPr>
                <w:szCs w:val="24"/>
                <w:lang w:val="en-US"/>
              </w:rPr>
              <w:t>digitalisation</w:t>
            </w:r>
            <w:proofErr w:type="spellEnd"/>
            <w:r w:rsidR="00FD2D8A" w:rsidRPr="004B2415">
              <w:rPr>
                <w:szCs w:val="24"/>
                <w:lang w:val="en-US"/>
              </w:rPr>
              <w:t xml:space="preserve"> </w:t>
            </w:r>
            <w:r w:rsidR="00FD2D8A" w:rsidRPr="004B2415">
              <w:rPr>
                <w:i/>
                <w:iCs/>
                <w:szCs w:val="24"/>
                <w:lang w:val="en-US"/>
              </w:rPr>
              <w:t>per se</w:t>
            </w:r>
            <w:r w:rsidR="00FD2D8A" w:rsidRPr="004B2415">
              <w:rPr>
                <w:szCs w:val="24"/>
                <w:lang w:val="en-US"/>
              </w:rPr>
              <w:t xml:space="preserve"> serves as a means to create new solutions.</w:t>
            </w:r>
            <w:r w:rsidRPr="004B2415">
              <w:rPr>
                <w:szCs w:val="24"/>
                <w:lang w:val="en-US"/>
              </w:rPr>
              <w:t xml:space="preserve"> Currently, it is not entirely clear if the reference in the ‘</w:t>
            </w:r>
            <w:proofErr w:type="spellStart"/>
            <w:r w:rsidRPr="004B2415">
              <w:rPr>
                <w:szCs w:val="24"/>
                <w:lang w:val="en-US"/>
              </w:rPr>
              <w:t>digitalisation</w:t>
            </w:r>
            <w:proofErr w:type="spellEnd"/>
            <w:r w:rsidRPr="004B2415">
              <w:rPr>
                <w:szCs w:val="24"/>
                <w:lang w:val="en-US"/>
              </w:rPr>
              <w:t>’ definition to new innovative technologies includes also new digital services developed based on the existing technologies.</w:t>
            </w:r>
            <w:r w:rsidR="00FD2D8A" w:rsidRPr="004B2415">
              <w:rPr>
                <w:szCs w:val="24"/>
                <w:lang w:val="en-US"/>
              </w:rPr>
              <w:t xml:space="preserve"> This would also correspond to the intention of the state aid as described in point No 4 of the “Introduction” where reference is</w:t>
            </w:r>
            <w:r w:rsidR="003A5BD0" w:rsidRPr="004B2415">
              <w:rPr>
                <w:szCs w:val="24"/>
                <w:lang w:val="en-US"/>
              </w:rPr>
              <w:t xml:space="preserve"> </w:t>
            </w:r>
            <w:r w:rsidR="00FD2D8A" w:rsidRPr="004B2415">
              <w:rPr>
                <w:szCs w:val="24"/>
                <w:lang w:val="en-US"/>
              </w:rPr>
              <w:t>made to creation of incentives for the development of innovative technological solutions.</w:t>
            </w:r>
            <w:r w:rsidRPr="004B2415">
              <w:rPr>
                <w:szCs w:val="24"/>
                <w:lang w:val="en-US"/>
              </w:rPr>
              <w:t xml:space="preserve"> </w:t>
            </w:r>
            <w:r w:rsidR="00FD2D8A" w:rsidRPr="004B2415">
              <w:rPr>
                <w:szCs w:val="24"/>
                <w:lang w:val="en-US"/>
              </w:rPr>
              <w:t>The proposed wording might be “</w:t>
            </w:r>
            <w:proofErr w:type="spellStart"/>
            <w:r w:rsidR="00FD2D8A" w:rsidRPr="004B2415">
              <w:rPr>
                <w:szCs w:val="24"/>
                <w:lang w:val="en-US"/>
              </w:rPr>
              <w:t>digitalisation</w:t>
            </w:r>
            <w:proofErr w:type="spellEnd"/>
            <w:r w:rsidR="00FD2D8A" w:rsidRPr="004B2415">
              <w:rPr>
                <w:szCs w:val="24"/>
                <w:lang w:val="en-US"/>
              </w:rPr>
              <w:t xml:space="preserve">” means the introduction of innovative digital technologies and/or solutions to introduce </w:t>
            </w:r>
            <w:r w:rsidR="00FD2D8A" w:rsidRPr="004B2415">
              <w:rPr>
                <w:szCs w:val="24"/>
                <w:u w:val="single"/>
                <w:lang w:val="en-US"/>
              </w:rPr>
              <w:t>new services</w:t>
            </w:r>
            <w:r w:rsidR="00FD2D8A" w:rsidRPr="004B2415">
              <w:rPr>
                <w:szCs w:val="24"/>
                <w:lang w:val="en-US"/>
              </w:rPr>
              <w:t xml:space="preserve"> </w:t>
            </w:r>
            <w:r w:rsidR="00FD2D8A" w:rsidRPr="004B2415">
              <w:rPr>
                <w:szCs w:val="24"/>
                <w:u w:val="single"/>
                <w:lang w:val="en-US"/>
              </w:rPr>
              <w:t>and/or to improve</w:t>
            </w:r>
            <w:r w:rsidR="00FD2D8A" w:rsidRPr="004B2415">
              <w:rPr>
                <w:szCs w:val="24"/>
                <w:lang w:val="en-US"/>
              </w:rPr>
              <w:t xml:space="preserve"> and/or upgrade </w:t>
            </w:r>
            <w:r w:rsidR="00FD2D8A" w:rsidRPr="004B2415">
              <w:rPr>
                <w:szCs w:val="24"/>
                <w:u w:val="single"/>
                <w:lang w:val="en-US"/>
              </w:rPr>
              <w:t>existing processes, products or</w:t>
            </w:r>
            <w:r w:rsidR="00FD2D8A" w:rsidRPr="004B2415">
              <w:rPr>
                <w:szCs w:val="24"/>
                <w:lang w:val="en-US"/>
              </w:rPr>
              <w:t xml:space="preserve"> service functionalities”.” </w:t>
            </w:r>
          </w:p>
          <w:p w14:paraId="17A176E7" w14:textId="53071D88" w:rsidR="00DE09CC" w:rsidRPr="004B2415" w:rsidRDefault="003A5BD0" w:rsidP="000057D5">
            <w:pPr>
              <w:jc w:val="both"/>
              <w:rPr>
                <w:szCs w:val="24"/>
                <w:lang w:val="en-US"/>
              </w:rPr>
            </w:pPr>
            <w:r w:rsidRPr="004B2415">
              <w:rPr>
                <w:szCs w:val="24"/>
                <w:lang w:val="en-US"/>
              </w:rPr>
              <w:t>In addition</w:t>
            </w:r>
            <w:r w:rsidR="004B2415" w:rsidRPr="004B2415">
              <w:rPr>
                <w:szCs w:val="24"/>
                <w:lang w:val="en-US"/>
              </w:rPr>
              <w:t>,</w:t>
            </w:r>
            <w:r w:rsidRPr="004B2415">
              <w:rPr>
                <w:szCs w:val="24"/>
                <w:lang w:val="en-US"/>
              </w:rPr>
              <w:t xml:space="preserve"> we would advise to align the definition of “</w:t>
            </w:r>
            <w:proofErr w:type="spellStart"/>
            <w:r w:rsidRPr="004B2415">
              <w:rPr>
                <w:szCs w:val="24"/>
                <w:lang w:val="en-US"/>
              </w:rPr>
              <w:t>digitalisation</w:t>
            </w:r>
            <w:proofErr w:type="spellEnd"/>
            <w:r w:rsidRPr="004B2415">
              <w:rPr>
                <w:szCs w:val="24"/>
                <w:lang w:val="en-US"/>
              </w:rPr>
              <w:t>”  in all state aid documents.</w:t>
            </w:r>
          </w:p>
        </w:tc>
      </w:tr>
      <w:tr w:rsidR="004B2415" w:rsidRPr="004B2415" w14:paraId="5B09213C" w14:textId="77777777" w:rsidTr="00E86DE8">
        <w:tc>
          <w:tcPr>
            <w:tcW w:w="1594" w:type="dxa"/>
          </w:tcPr>
          <w:p w14:paraId="500D46A5" w14:textId="77777777" w:rsidR="00742B15" w:rsidRPr="004B2415" w:rsidRDefault="00742B15">
            <w:pPr>
              <w:pStyle w:val="ListParagraph"/>
              <w:numPr>
                <w:ilvl w:val="0"/>
                <w:numId w:val="1"/>
              </w:numPr>
              <w:jc w:val="both"/>
              <w:rPr>
                <w:sz w:val="24"/>
                <w:szCs w:val="24"/>
                <w:lang w:val="en-US"/>
              </w:rPr>
            </w:pPr>
          </w:p>
        </w:tc>
        <w:tc>
          <w:tcPr>
            <w:tcW w:w="5489" w:type="dxa"/>
          </w:tcPr>
          <w:p w14:paraId="285BFA84" w14:textId="77777777" w:rsidR="00E7237A" w:rsidRPr="004B2415" w:rsidRDefault="00FD2D8A">
            <w:pPr>
              <w:pStyle w:val="Default"/>
              <w:jc w:val="both"/>
              <w:rPr>
                <w:color w:val="auto"/>
                <w:lang w:val="en-US"/>
              </w:rPr>
            </w:pPr>
            <w:r w:rsidRPr="004B2415">
              <w:rPr>
                <w:b/>
                <w:color w:val="auto"/>
                <w:lang w:val="en-US"/>
              </w:rPr>
              <w:t>Point 17.</w:t>
            </w:r>
            <w:r w:rsidRPr="004B2415">
              <w:rPr>
                <w:color w:val="auto"/>
                <w:lang w:val="en-US"/>
              </w:rPr>
              <w:t xml:space="preserve"> </w:t>
            </w:r>
            <w:r w:rsidR="00E7237A" w:rsidRPr="004B2415">
              <w:rPr>
                <w:color w:val="auto"/>
                <w:lang w:val="en-US"/>
              </w:rPr>
              <w:t>For the purposes of this framework, the following definitions apply:</w:t>
            </w:r>
          </w:p>
          <w:p w14:paraId="6BA653DF" w14:textId="77777777" w:rsidR="00E7237A" w:rsidRPr="004B2415" w:rsidRDefault="00E7237A">
            <w:pPr>
              <w:pStyle w:val="Default"/>
              <w:jc w:val="both"/>
              <w:rPr>
                <w:color w:val="auto"/>
                <w:lang w:val="en-US"/>
              </w:rPr>
            </w:pPr>
            <w:r w:rsidRPr="004B2415">
              <w:rPr>
                <w:color w:val="auto"/>
                <w:lang w:val="en-US"/>
              </w:rPr>
              <w:t>(w) '</w:t>
            </w:r>
            <w:r w:rsidRPr="004B2415">
              <w:rPr>
                <w:b/>
                <w:bCs/>
                <w:color w:val="auto"/>
                <w:lang w:val="en-US"/>
              </w:rPr>
              <w:t>knowledge transfer</w:t>
            </w:r>
            <w:r w:rsidRPr="004B2415">
              <w:rPr>
                <w:color w:val="auto"/>
                <w:lang w:val="en-US"/>
              </w:rPr>
              <w:t xml:space="preserve">' means any process which has the aim of acquiring, collecting and sharing explicit and tacit knowledge, including skills and competence in both economic and non-economic activities such as research collaborations, consultancy, licensing, spin-off creation, publication and mobility of researchers and other personnel involved in those activities. Besides scientific and technological knowledge, it includes other kinds of knowledge such as knowledge on the use of standards and regulations embedding them and on conditions of real life operating environments and methods for </w:t>
            </w:r>
            <w:proofErr w:type="spellStart"/>
            <w:r w:rsidRPr="004B2415">
              <w:rPr>
                <w:color w:val="auto"/>
                <w:lang w:val="en-US"/>
              </w:rPr>
              <w:t>organisational</w:t>
            </w:r>
            <w:proofErr w:type="spellEnd"/>
            <w:r w:rsidRPr="004B2415">
              <w:rPr>
                <w:color w:val="auto"/>
                <w:lang w:val="en-US"/>
              </w:rPr>
              <w:t xml:space="preserve"> innovation, as well as management of knowledge </w:t>
            </w:r>
            <w:r w:rsidRPr="004B2415">
              <w:rPr>
                <w:color w:val="auto"/>
                <w:lang w:val="en-US"/>
              </w:rPr>
              <w:lastRenderedPageBreak/>
              <w:t>related to identifying, acquiring, protecting, defending and exploiting intangible assets;</w:t>
            </w:r>
          </w:p>
          <w:p w14:paraId="66EC7B82" w14:textId="77777777" w:rsidR="00742B15" w:rsidRPr="004B2415" w:rsidRDefault="00742B15">
            <w:pPr>
              <w:jc w:val="both"/>
              <w:rPr>
                <w:b/>
                <w:szCs w:val="24"/>
                <w:lang w:val="en-US"/>
              </w:rPr>
            </w:pPr>
          </w:p>
        </w:tc>
        <w:tc>
          <w:tcPr>
            <w:tcW w:w="7371" w:type="dxa"/>
          </w:tcPr>
          <w:p w14:paraId="194B20D7" w14:textId="77777777" w:rsidR="00ED054A" w:rsidRPr="004B2415" w:rsidRDefault="000F4078" w:rsidP="003F76A8">
            <w:pPr>
              <w:jc w:val="both"/>
              <w:rPr>
                <w:szCs w:val="24"/>
                <w:lang w:val="en-US"/>
              </w:rPr>
            </w:pPr>
            <w:r w:rsidRPr="004B2415">
              <w:rPr>
                <w:rFonts w:eastAsia="Times New Roman"/>
                <w:szCs w:val="24"/>
                <w:lang w:val="en-US"/>
              </w:rPr>
              <w:lastRenderedPageBreak/>
              <w:t>Taking into account that f</w:t>
            </w:r>
            <w:r w:rsidR="00ED054A" w:rsidRPr="004B2415">
              <w:rPr>
                <w:rFonts w:eastAsia="Times New Roman"/>
                <w:szCs w:val="24"/>
                <w:lang w:val="en-US"/>
              </w:rPr>
              <w:t xml:space="preserve">rom the definition </w:t>
            </w:r>
            <w:r w:rsidR="00ED054A" w:rsidRPr="004B2415">
              <w:rPr>
                <w:szCs w:val="24"/>
                <w:lang w:val="en-US"/>
              </w:rPr>
              <w:t>(w) '</w:t>
            </w:r>
            <w:r w:rsidR="00ED054A" w:rsidRPr="004B2415">
              <w:rPr>
                <w:b/>
                <w:bCs/>
                <w:szCs w:val="24"/>
                <w:lang w:val="en-US"/>
              </w:rPr>
              <w:t>knowledge transfer</w:t>
            </w:r>
            <w:r w:rsidR="00ED054A" w:rsidRPr="004B2415">
              <w:rPr>
                <w:szCs w:val="24"/>
                <w:lang w:val="en-US"/>
              </w:rPr>
              <w:t>' is not clear whether knowledge transfer also includes higher education organization activities in</w:t>
            </w:r>
            <w:r w:rsidR="008F13D8" w:rsidRPr="004B2415">
              <w:rPr>
                <w:szCs w:val="24"/>
                <w:lang w:val="en-US"/>
              </w:rPr>
              <w:t xml:space="preserve"> the</w:t>
            </w:r>
            <w:r w:rsidR="00ED054A" w:rsidRPr="004B2415">
              <w:rPr>
                <w:szCs w:val="24"/>
                <w:lang w:val="en-US"/>
              </w:rPr>
              <w:t xml:space="preserve"> education field, please specify the definition or include in footnote explanation</w:t>
            </w:r>
            <w:r w:rsidRPr="004B2415">
              <w:rPr>
                <w:szCs w:val="24"/>
                <w:lang w:val="en-US"/>
              </w:rPr>
              <w:t xml:space="preserve"> on th</w:t>
            </w:r>
            <w:r w:rsidR="009E2DCD" w:rsidRPr="004B2415">
              <w:rPr>
                <w:szCs w:val="24"/>
                <w:lang w:val="en-US"/>
              </w:rPr>
              <w:t>e</w:t>
            </w:r>
            <w:r w:rsidRPr="004B2415">
              <w:rPr>
                <w:szCs w:val="24"/>
                <w:lang w:val="en-US"/>
              </w:rPr>
              <w:t xml:space="preserve"> matter</w:t>
            </w:r>
            <w:r w:rsidR="00ED054A" w:rsidRPr="004B2415">
              <w:rPr>
                <w:szCs w:val="24"/>
                <w:lang w:val="en-US"/>
              </w:rPr>
              <w:t xml:space="preserve">. </w:t>
            </w:r>
          </w:p>
          <w:p w14:paraId="7237A02F" w14:textId="77777777" w:rsidR="00ED054A" w:rsidRPr="004B2415" w:rsidRDefault="00ED054A">
            <w:pPr>
              <w:spacing w:after="120"/>
              <w:ind w:right="567"/>
              <w:contextualSpacing/>
              <w:jc w:val="both"/>
              <w:rPr>
                <w:rFonts w:eastAsia="Times New Roman"/>
                <w:szCs w:val="24"/>
                <w:lang w:val="en-US"/>
              </w:rPr>
            </w:pPr>
          </w:p>
        </w:tc>
      </w:tr>
      <w:tr w:rsidR="004B2415" w:rsidRPr="004B2415" w14:paraId="210FA851" w14:textId="77777777" w:rsidTr="00E86DE8">
        <w:tc>
          <w:tcPr>
            <w:tcW w:w="1594" w:type="dxa"/>
          </w:tcPr>
          <w:p w14:paraId="084CE5E0" w14:textId="77777777" w:rsidR="00742B15" w:rsidRPr="004B2415" w:rsidRDefault="00742B15" w:rsidP="00441096">
            <w:pPr>
              <w:pStyle w:val="ListParagraph"/>
              <w:numPr>
                <w:ilvl w:val="0"/>
                <w:numId w:val="1"/>
              </w:numPr>
              <w:jc w:val="both"/>
              <w:rPr>
                <w:sz w:val="24"/>
                <w:szCs w:val="24"/>
                <w:lang w:val="en-US"/>
              </w:rPr>
            </w:pPr>
          </w:p>
        </w:tc>
        <w:tc>
          <w:tcPr>
            <w:tcW w:w="5489" w:type="dxa"/>
          </w:tcPr>
          <w:p w14:paraId="091B6525" w14:textId="77777777" w:rsidR="00E7237A" w:rsidRPr="004B2415" w:rsidRDefault="00FD2D8A">
            <w:pPr>
              <w:jc w:val="both"/>
              <w:rPr>
                <w:szCs w:val="24"/>
                <w:lang w:val="en-US"/>
              </w:rPr>
            </w:pPr>
            <w:r w:rsidRPr="004B2415">
              <w:rPr>
                <w:b/>
                <w:szCs w:val="24"/>
                <w:lang w:val="en-US"/>
              </w:rPr>
              <w:t>Point 17.</w:t>
            </w:r>
            <w:r w:rsidRPr="004B2415">
              <w:rPr>
                <w:szCs w:val="24"/>
                <w:lang w:val="en-US"/>
              </w:rPr>
              <w:t xml:space="preserve"> </w:t>
            </w:r>
            <w:r w:rsidR="00E7237A" w:rsidRPr="004B2415">
              <w:rPr>
                <w:szCs w:val="24"/>
                <w:lang w:val="en-US"/>
              </w:rPr>
              <w:t>For the purposes of this framework, the following definitions apply:</w:t>
            </w:r>
          </w:p>
          <w:p w14:paraId="7B03FAB4" w14:textId="77777777" w:rsidR="00E7237A" w:rsidRPr="004B2415" w:rsidRDefault="00E7237A">
            <w:pPr>
              <w:jc w:val="both"/>
              <w:rPr>
                <w:szCs w:val="24"/>
                <w:lang w:val="en-US"/>
              </w:rPr>
            </w:pPr>
            <w:r w:rsidRPr="004B2415">
              <w:rPr>
                <w:szCs w:val="24"/>
                <w:lang w:val="en-US"/>
              </w:rPr>
              <w:t>(</w:t>
            </w:r>
            <w:proofErr w:type="spellStart"/>
            <w:r w:rsidRPr="004B2415">
              <w:rPr>
                <w:szCs w:val="24"/>
                <w:lang w:val="en-US"/>
              </w:rPr>
              <w:t>ff</w:t>
            </w:r>
            <w:proofErr w:type="spellEnd"/>
            <w:r w:rsidRPr="004B2415">
              <w:rPr>
                <w:szCs w:val="24"/>
                <w:lang w:val="en-US"/>
              </w:rPr>
              <w:t xml:space="preserve">) 'research and knowledge dissemination </w:t>
            </w:r>
            <w:proofErr w:type="spellStart"/>
            <w:r w:rsidRPr="004B2415">
              <w:rPr>
                <w:szCs w:val="24"/>
                <w:lang w:val="en-US"/>
              </w:rPr>
              <w:t>organisation</w:t>
            </w:r>
            <w:proofErr w:type="spellEnd"/>
            <w:r w:rsidRPr="004B2415">
              <w:rPr>
                <w:szCs w:val="24"/>
                <w:lang w:val="en-US"/>
              </w:rPr>
              <w:t xml:space="preserve">' or 'research </w:t>
            </w:r>
            <w:proofErr w:type="spellStart"/>
            <w:r w:rsidRPr="004B2415">
              <w:rPr>
                <w:szCs w:val="24"/>
                <w:lang w:val="en-US"/>
              </w:rPr>
              <w:t>organisation</w:t>
            </w:r>
            <w:proofErr w:type="spellEnd"/>
            <w:r w:rsidRPr="004B2415">
              <w:rPr>
                <w:szCs w:val="24"/>
                <w:lang w:val="en-US"/>
              </w:rPr>
              <w:t>' means an entity (such as universities or research institutes, technology transfer agencies, innovation intermediaries, research-oriented physical or virtual collaborative entities), irrespective of its legal status (</w:t>
            </w:r>
            <w:proofErr w:type="spellStart"/>
            <w:r w:rsidRPr="004B2415">
              <w:rPr>
                <w:szCs w:val="24"/>
                <w:lang w:val="en-US"/>
              </w:rPr>
              <w:t>organised</w:t>
            </w:r>
            <w:proofErr w:type="spellEnd"/>
            <w:r w:rsidRPr="004B2415">
              <w:rPr>
                <w:szCs w:val="24"/>
                <w:lang w:val="en-US"/>
              </w:rPr>
              <w:t xml:space="preserve"> under public or private law) or way of financing, whose primary goal is to independently conduct fundamental research, industrial research or experimental development or to widely disseminate the results of such activities by way of teaching, publication or knowledge transfer. Where such entity also pursues economic activities, the financing, the costs and the revenues of those economic activities must be accounted for separately. Undertakings that can exert a decisive influence upon such an entity, for example in the quality of shareholders or members, may not enjoy a preferential access to the results generated by it;</w:t>
            </w:r>
          </w:p>
          <w:p w14:paraId="62B5C96B" w14:textId="77777777" w:rsidR="00742B15" w:rsidRPr="004B2415" w:rsidRDefault="00742B15">
            <w:pPr>
              <w:jc w:val="both"/>
              <w:rPr>
                <w:szCs w:val="24"/>
                <w:lang w:val="en-US"/>
              </w:rPr>
            </w:pPr>
          </w:p>
        </w:tc>
        <w:tc>
          <w:tcPr>
            <w:tcW w:w="7371" w:type="dxa"/>
          </w:tcPr>
          <w:p w14:paraId="72FCFBCA" w14:textId="1D8778CC" w:rsidR="000F4078" w:rsidRPr="004B2415" w:rsidRDefault="00385454" w:rsidP="003F76A8">
            <w:pPr>
              <w:jc w:val="both"/>
              <w:rPr>
                <w:szCs w:val="24"/>
                <w:lang w:val="en-US"/>
              </w:rPr>
            </w:pPr>
            <w:r w:rsidRPr="004B2415">
              <w:rPr>
                <w:rFonts w:eastAsia="Times New Roman"/>
                <w:szCs w:val="24"/>
                <w:lang w:val="en-US"/>
              </w:rPr>
              <w:t>From t</w:t>
            </w:r>
            <w:r w:rsidR="000F4078" w:rsidRPr="004B2415">
              <w:rPr>
                <w:rFonts w:eastAsia="Times New Roman"/>
                <w:szCs w:val="24"/>
                <w:lang w:val="en-US"/>
              </w:rPr>
              <w:t>he definition (</w:t>
            </w:r>
            <w:proofErr w:type="spellStart"/>
            <w:r w:rsidR="000F4078" w:rsidRPr="004B2415">
              <w:rPr>
                <w:szCs w:val="24"/>
                <w:lang w:val="en-US"/>
              </w:rPr>
              <w:t>ff</w:t>
            </w:r>
            <w:proofErr w:type="spellEnd"/>
            <w:r w:rsidR="000F4078" w:rsidRPr="004B2415">
              <w:rPr>
                <w:szCs w:val="24"/>
                <w:lang w:val="en-US"/>
              </w:rPr>
              <w:t xml:space="preserve">) 'research and knowledge dissemination </w:t>
            </w:r>
            <w:proofErr w:type="spellStart"/>
            <w:r w:rsidR="000F4078" w:rsidRPr="004B2415">
              <w:rPr>
                <w:szCs w:val="24"/>
                <w:lang w:val="en-US"/>
              </w:rPr>
              <w:t>organisation</w:t>
            </w:r>
            <w:proofErr w:type="spellEnd"/>
            <w:r w:rsidR="000F4078" w:rsidRPr="004B2415">
              <w:rPr>
                <w:szCs w:val="24"/>
                <w:lang w:val="en-US"/>
              </w:rPr>
              <w:t xml:space="preserve">' or 'research </w:t>
            </w:r>
            <w:proofErr w:type="spellStart"/>
            <w:r w:rsidR="000F4078" w:rsidRPr="004B2415">
              <w:rPr>
                <w:szCs w:val="24"/>
                <w:lang w:val="en-US"/>
              </w:rPr>
              <w:t>organisation</w:t>
            </w:r>
            <w:proofErr w:type="spellEnd"/>
            <w:r w:rsidR="000F4078" w:rsidRPr="004B2415">
              <w:rPr>
                <w:szCs w:val="24"/>
                <w:lang w:val="en-US"/>
              </w:rPr>
              <w:t xml:space="preserve">' (hereafter – RO) is not clear </w:t>
            </w:r>
            <w:r w:rsidRPr="004B2415">
              <w:rPr>
                <w:szCs w:val="24"/>
                <w:lang w:val="en-US"/>
              </w:rPr>
              <w:t>how to set RO</w:t>
            </w:r>
            <w:r w:rsidR="000F4078" w:rsidRPr="004B2415">
              <w:rPr>
                <w:szCs w:val="24"/>
                <w:lang w:val="en-US"/>
              </w:rPr>
              <w:t xml:space="preserve"> primary goal and whether it could be, for example, higher education organization activities in</w:t>
            </w:r>
            <w:r w:rsidR="008F13D8" w:rsidRPr="004B2415">
              <w:rPr>
                <w:szCs w:val="24"/>
                <w:lang w:val="en-US"/>
              </w:rPr>
              <w:t xml:space="preserve"> the</w:t>
            </w:r>
            <w:r w:rsidR="000F4078" w:rsidRPr="004B2415">
              <w:rPr>
                <w:szCs w:val="24"/>
                <w:lang w:val="en-US"/>
              </w:rPr>
              <w:t xml:space="preserve"> education field</w:t>
            </w:r>
            <w:r w:rsidR="009E2DCD" w:rsidRPr="004B2415">
              <w:rPr>
                <w:szCs w:val="24"/>
                <w:lang w:val="en-US"/>
              </w:rPr>
              <w:t xml:space="preserve"> or health improvement in the case of a</w:t>
            </w:r>
            <w:r w:rsidR="003A5BD0" w:rsidRPr="004B2415">
              <w:rPr>
                <w:szCs w:val="24"/>
                <w:lang w:val="en-US"/>
              </w:rPr>
              <w:t xml:space="preserve"> clinic</w:t>
            </w:r>
            <w:r w:rsidR="00206F69" w:rsidRPr="004B2415">
              <w:rPr>
                <w:szCs w:val="24"/>
                <w:lang w:val="en-US"/>
              </w:rPr>
              <w:t>al</w:t>
            </w:r>
            <w:r w:rsidR="009E2DCD" w:rsidRPr="004B2415">
              <w:rPr>
                <w:szCs w:val="24"/>
                <w:lang w:val="en-US"/>
              </w:rPr>
              <w:t xml:space="preserve"> </w:t>
            </w:r>
            <w:r w:rsidR="003A5BD0" w:rsidRPr="004B2415">
              <w:rPr>
                <w:szCs w:val="24"/>
                <w:lang w:val="en-US"/>
              </w:rPr>
              <w:t xml:space="preserve">university </w:t>
            </w:r>
            <w:r w:rsidR="009E2DCD" w:rsidRPr="004B2415">
              <w:rPr>
                <w:szCs w:val="24"/>
                <w:lang w:val="en-US"/>
              </w:rPr>
              <w:t>hospital</w:t>
            </w:r>
            <w:r w:rsidR="000F4078" w:rsidRPr="004B2415">
              <w:rPr>
                <w:szCs w:val="24"/>
                <w:lang w:val="en-US"/>
              </w:rPr>
              <w:t>. In addition</w:t>
            </w:r>
            <w:r w:rsidR="009E2DCD" w:rsidRPr="004B2415">
              <w:rPr>
                <w:szCs w:val="24"/>
                <w:lang w:val="en-US"/>
              </w:rPr>
              <w:t>,</w:t>
            </w:r>
            <w:r w:rsidR="000F4078" w:rsidRPr="004B2415">
              <w:rPr>
                <w:szCs w:val="24"/>
                <w:lang w:val="en-US"/>
              </w:rPr>
              <w:t xml:space="preserve"> for better understanding, please specify, whether RO is </w:t>
            </w:r>
            <w:r w:rsidRPr="004B2415">
              <w:rPr>
                <w:szCs w:val="24"/>
                <w:lang w:val="en-US"/>
              </w:rPr>
              <w:t xml:space="preserve">still </w:t>
            </w:r>
            <w:r w:rsidR="000F4078" w:rsidRPr="004B2415">
              <w:rPr>
                <w:szCs w:val="24"/>
                <w:lang w:val="en-US"/>
              </w:rPr>
              <w:t xml:space="preserve">qualified as RO if it carries out </w:t>
            </w:r>
            <w:r w:rsidRPr="004B2415">
              <w:rPr>
                <w:szCs w:val="24"/>
                <w:lang w:val="en-US"/>
              </w:rPr>
              <w:t>also</w:t>
            </w:r>
            <w:r w:rsidR="000F4078" w:rsidRPr="004B2415">
              <w:rPr>
                <w:szCs w:val="24"/>
                <w:lang w:val="en-US"/>
              </w:rPr>
              <w:t xml:space="preserve"> economic activities. </w:t>
            </w:r>
          </w:p>
          <w:p w14:paraId="6E546021" w14:textId="77777777" w:rsidR="000F4078" w:rsidRPr="004B2415" w:rsidRDefault="000F4078" w:rsidP="003F76A8">
            <w:pPr>
              <w:jc w:val="both"/>
              <w:rPr>
                <w:szCs w:val="24"/>
                <w:lang w:val="en-US"/>
              </w:rPr>
            </w:pPr>
            <w:r w:rsidRPr="004B2415">
              <w:rPr>
                <w:szCs w:val="24"/>
                <w:lang w:val="en-US"/>
              </w:rPr>
              <w:t>Please review the definition or include in footnote</w:t>
            </w:r>
            <w:r w:rsidR="008F13D8" w:rsidRPr="004B2415">
              <w:rPr>
                <w:szCs w:val="24"/>
                <w:lang w:val="en-US"/>
              </w:rPr>
              <w:t xml:space="preserve"> an</w:t>
            </w:r>
            <w:r w:rsidRPr="004B2415">
              <w:rPr>
                <w:szCs w:val="24"/>
                <w:lang w:val="en-US"/>
              </w:rPr>
              <w:t xml:space="preserve"> explanation on</w:t>
            </w:r>
            <w:r w:rsidR="009E2DCD" w:rsidRPr="004B2415">
              <w:rPr>
                <w:szCs w:val="24"/>
                <w:lang w:val="en-US"/>
              </w:rPr>
              <w:t xml:space="preserve"> both issues</w:t>
            </w:r>
            <w:r w:rsidRPr="004B2415">
              <w:rPr>
                <w:szCs w:val="24"/>
                <w:lang w:val="en-US"/>
              </w:rPr>
              <w:t xml:space="preserve">. </w:t>
            </w:r>
          </w:p>
          <w:p w14:paraId="35F8B39F" w14:textId="77777777" w:rsidR="000F4078" w:rsidRPr="004B2415" w:rsidRDefault="000F4078">
            <w:pPr>
              <w:spacing w:after="120"/>
              <w:ind w:right="567"/>
              <w:contextualSpacing/>
              <w:jc w:val="both"/>
              <w:rPr>
                <w:szCs w:val="24"/>
                <w:lang w:val="en-US"/>
              </w:rPr>
            </w:pPr>
          </w:p>
        </w:tc>
      </w:tr>
      <w:tr w:rsidR="004B2415" w:rsidRPr="004B2415" w14:paraId="408DEDC1" w14:textId="77777777" w:rsidTr="002F7BB3">
        <w:trPr>
          <w:trHeight w:val="15079"/>
        </w:trPr>
        <w:tc>
          <w:tcPr>
            <w:tcW w:w="1594" w:type="dxa"/>
          </w:tcPr>
          <w:p w14:paraId="70B8DED3" w14:textId="77777777" w:rsidR="00441096" w:rsidRPr="004B2415" w:rsidRDefault="00441096">
            <w:pPr>
              <w:pStyle w:val="ListParagraph"/>
              <w:numPr>
                <w:ilvl w:val="0"/>
                <w:numId w:val="1"/>
              </w:numPr>
              <w:jc w:val="both"/>
              <w:rPr>
                <w:sz w:val="24"/>
                <w:szCs w:val="24"/>
                <w:lang w:val="en-US"/>
              </w:rPr>
            </w:pPr>
          </w:p>
        </w:tc>
        <w:tc>
          <w:tcPr>
            <w:tcW w:w="5489" w:type="dxa"/>
          </w:tcPr>
          <w:p w14:paraId="7F4935B7" w14:textId="77777777" w:rsidR="00441096" w:rsidRPr="004B2415" w:rsidRDefault="00441096">
            <w:pPr>
              <w:pStyle w:val="Default"/>
              <w:jc w:val="both"/>
              <w:rPr>
                <w:color w:val="auto"/>
                <w:lang w:val="en-US"/>
              </w:rPr>
            </w:pPr>
            <w:r w:rsidRPr="004B2415">
              <w:rPr>
                <w:b/>
                <w:color w:val="auto"/>
                <w:lang w:val="en-US"/>
              </w:rPr>
              <w:t>Point 22.</w:t>
            </w:r>
            <w:r w:rsidRPr="004B2415">
              <w:rPr>
                <w:color w:val="auto"/>
                <w:lang w:val="en-US"/>
              </w:rPr>
              <w:t xml:space="preserve"> Where a research </w:t>
            </w:r>
            <w:proofErr w:type="spellStart"/>
            <w:r w:rsidRPr="004B2415">
              <w:rPr>
                <w:color w:val="auto"/>
                <w:lang w:val="en-US"/>
              </w:rPr>
              <w:t>organisation</w:t>
            </w:r>
            <w:proofErr w:type="spellEnd"/>
            <w:r w:rsidRPr="004B2415">
              <w:rPr>
                <w:color w:val="auto"/>
                <w:lang w:val="en-US"/>
              </w:rPr>
              <w:t xml:space="preserve"> or research infrastructure is used for both economic and non-economic activities, public funding falls under State aid rules only insofar as it covers costs linked to the economic activities33. Where the research </w:t>
            </w:r>
            <w:proofErr w:type="spellStart"/>
            <w:r w:rsidRPr="004B2415">
              <w:rPr>
                <w:color w:val="auto"/>
                <w:lang w:val="en-US"/>
              </w:rPr>
              <w:t>organisation</w:t>
            </w:r>
            <w:proofErr w:type="spellEnd"/>
            <w:r w:rsidRPr="004B2415">
              <w:rPr>
                <w:color w:val="auto"/>
                <w:lang w:val="en-US"/>
              </w:rPr>
              <w:t xml:space="preserve"> or research infrastructure is used almost exclusively for a non-economic activity, its funding may fall outside state aid rules in its entirety34, provided that the economic use remains purely ancillary, that is to say corresponds to an activity which is directly related to and necessary for the operation of the research </w:t>
            </w:r>
            <w:proofErr w:type="spellStart"/>
            <w:r w:rsidRPr="004B2415">
              <w:rPr>
                <w:color w:val="auto"/>
                <w:lang w:val="en-US"/>
              </w:rPr>
              <w:t>organisation</w:t>
            </w:r>
            <w:proofErr w:type="spellEnd"/>
            <w:r w:rsidRPr="004B2415">
              <w:rPr>
                <w:color w:val="auto"/>
                <w:lang w:val="en-US"/>
              </w:rPr>
              <w:t xml:space="preserve"> or research infrastructure or intrinsically linked to its main non-economic use, and which is limited in scope. For the purposes of this framework, the Commission will consider this to be the case where the economic activities consume exactly the same inputs (such as material, equipment, </w:t>
            </w:r>
            <w:proofErr w:type="spellStart"/>
            <w:r w:rsidRPr="004B2415">
              <w:rPr>
                <w:color w:val="auto"/>
                <w:lang w:val="en-US"/>
              </w:rPr>
              <w:t>labour</w:t>
            </w:r>
            <w:proofErr w:type="spellEnd"/>
            <w:r w:rsidRPr="004B2415">
              <w:rPr>
                <w:color w:val="auto"/>
                <w:lang w:val="en-US"/>
              </w:rPr>
              <w:t xml:space="preserve"> and fixed capital) as the non-economic activities and the capacity allocated each year to such economic activities does not exceed 20 % of the relevant entity's overall annual capacity. The monitoring of the ancillary character of the economic activity shall apply for at least 10 years from the start of operations of the research </w:t>
            </w:r>
            <w:proofErr w:type="spellStart"/>
            <w:r w:rsidRPr="004B2415">
              <w:rPr>
                <w:color w:val="auto"/>
                <w:lang w:val="en-US"/>
              </w:rPr>
              <w:t>organisation</w:t>
            </w:r>
            <w:proofErr w:type="spellEnd"/>
            <w:r w:rsidRPr="004B2415">
              <w:rPr>
                <w:color w:val="auto"/>
                <w:lang w:val="en-US"/>
              </w:rPr>
              <w:t xml:space="preserve"> or the research infrastructure. In case the research infrastructure or the research </w:t>
            </w:r>
            <w:proofErr w:type="spellStart"/>
            <w:r w:rsidRPr="004B2415">
              <w:rPr>
                <w:color w:val="auto"/>
                <w:lang w:val="en-US"/>
              </w:rPr>
              <w:t>organisation</w:t>
            </w:r>
            <w:proofErr w:type="spellEnd"/>
            <w:r w:rsidRPr="004B2415">
              <w:rPr>
                <w:color w:val="auto"/>
                <w:lang w:val="en-US"/>
              </w:rPr>
              <w:t xml:space="preserve"> increases its economic activity so that it cannot be considered as ancillary, the public funding of the whole economic activity will fall under State aid rules. </w:t>
            </w:r>
          </w:p>
          <w:p w14:paraId="369EB16E" w14:textId="77777777" w:rsidR="00441096" w:rsidRPr="004B2415" w:rsidRDefault="00441096">
            <w:pPr>
              <w:pStyle w:val="Default"/>
              <w:jc w:val="both"/>
              <w:rPr>
                <w:color w:val="auto"/>
                <w:lang w:val="en-US"/>
              </w:rPr>
            </w:pPr>
          </w:p>
          <w:p w14:paraId="01099DDC" w14:textId="77777777" w:rsidR="00441096" w:rsidRPr="004B2415" w:rsidRDefault="00441096">
            <w:pPr>
              <w:jc w:val="both"/>
              <w:rPr>
                <w:b/>
                <w:szCs w:val="24"/>
                <w:lang w:val="en-US"/>
              </w:rPr>
            </w:pPr>
          </w:p>
        </w:tc>
        <w:tc>
          <w:tcPr>
            <w:tcW w:w="7371" w:type="dxa"/>
          </w:tcPr>
          <w:p w14:paraId="68F9ACAE" w14:textId="77777777" w:rsidR="00441096" w:rsidRPr="004B2415" w:rsidRDefault="009E2DCD" w:rsidP="00C15948">
            <w:pPr>
              <w:spacing w:after="120"/>
              <w:ind w:right="34"/>
              <w:contextualSpacing/>
              <w:jc w:val="both"/>
              <w:rPr>
                <w:rFonts w:eastAsia="Times New Roman"/>
                <w:szCs w:val="24"/>
                <w:lang w:val="en-US"/>
              </w:rPr>
            </w:pPr>
            <w:r w:rsidRPr="004B2415">
              <w:rPr>
                <w:rFonts w:eastAsia="Times New Roman"/>
                <w:szCs w:val="24"/>
                <w:lang w:val="en-US"/>
              </w:rPr>
              <w:t>From the wording i</w:t>
            </w:r>
            <w:r w:rsidR="00441096" w:rsidRPr="004B2415">
              <w:rPr>
                <w:rFonts w:eastAsia="Times New Roman"/>
                <w:szCs w:val="24"/>
                <w:lang w:val="en-US"/>
              </w:rPr>
              <w:t>t is not clear</w:t>
            </w:r>
            <w:r w:rsidRPr="004B2415">
              <w:rPr>
                <w:rFonts w:eastAsia="Times New Roman"/>
                <w:szCs w:val="24"/>
                <w:lang w:val="en-US"/>
              </w:rPr>
              <w:t xml:space="preserve"> how the </w:t>
            </w:r>
            <w:r w:rsidRPr="004B2415">
              <w:rPr>
                <w:szCs w:val="24"/>
                <w:lang w:val="en-US"/>
              </w:rPr>
              <w:t>20 % of the relevant entity's overall annual capacity should be calculated. Previously, the Commission has clarified, that such</w:t>
            </w:r>
            <w:r w:rsidR="00441096" w:rsidRPr="004B2415">
              <w:rPr>
                <w:rFonts w:eastAsia="Times New Roman"/>
                <w:szCs w:val="24"/>
                <w:lang w:val="en-US"/>
              </w:rPr>
              <w:t xml:space="preserve"> </w:t>
            </w:r>
            <w:r w:rsidRPr="004B2415">
              <w:rPr>
                <w:rFonts w:eastAsia="Times New Roman"/>
                <w:szCs w:val="24"/>
                <w:lang w:val="en-US"/>
              </w:rPr>
              <w:t>c</w:t>
            </w:r>
            <w:r w:rsidR="00441096" w:rsidRPr="004B2415">
              <w:rPr>
                <w:rFonts w:eastAsia="Times New Roman"/>
                <w:szCs w:val="24"/>
                <w:lang w:val="en-US"/>
              </w:rPr>
              <w:t xml:space="preserve">riteria </w:t>
            </w:r>
            <w:r w:rsidRPr="004B2415">
              <w:rPr>
                <w:rFonts w:eastAsia="Times New Roman"/>
                <w:szCs w:val="24"/>
                <w:lang w:val="en-US"/>
              </w:rPr>
              <w:t>as time or space</w:t>
            </w:r>
            <w:r w:rsidR="00441096" w:rsidRPr="004B2415">
              <w:rPr>
                <w:rFonts w:eastAsia="Times New Roman"/>
                <w:szCs w:val="24"/>
                <w:lang w:val="en-US"/>
              </w:rPr>
              <w:t>,</w:t>
            </w:r>
            <w:r w:rsidRPr="004B2415">
              <w:rPr>
                <w:rFonts w:eastAsia="Times New Roman"/>
                <w:szCs w:val="24"/>
                <w:lang w:val="en-US"/>
              </w:rPr>
              <w:t xml:space="preserve"> or financing could be used</w:t>
            </w:r>
            <w:r w:rsidR="00441096" w:rsidRPr="004B2415">
              <w:rPr>
                <w:rFonts w:eastAsia="Times New Roman"/>
                <w:szCs w:val="24"/>
                <w:lang w:val="en-US"/>
              </w:rPr>
              <w:t xml:space="preserve"> as the main parameters for determining whether the 20% threshold is respected. </w:t>
            </w:r>
            <w:r w:rsidRPr="004B2415">
              <w:rPr>
                <w:rFonts w:eastAsia="Times New Roman"/>
                <w:szCs w:val="24"/>
                <w:lang w:val="en-US"/>
              </w:rPr>
              <w:t>Please add this clarification in the Guidelines.</w:t>
            </w:r>
          </w:p>
          <w:p w14:paraId="4D626C0C" w14:textId="77777777" w:rsidR="00441096" w:rsidRPr="004B2415" w:rsidRDefault="00441096">
            <w:pPr>
              <w:spacing w:after="120"/>
              <w:ind w:right="567"/>
              <w:contextualSpacing/>
              <w:jc w:val="both"/>
              <w:rPr>
                <w:rFonts w:eastAsia="Times New Roman"/>
                <w:szCs w:val="24"/>
                <w:lang w:val="en-US"/>
              </w:rPr>
            </w:pPr>
          </w:p>
          <w:p w14:paraId="53D7EFAF" w14:textId="77777777" w:rsidR="00441096" w:rsidRPr="004B2415" w:rsidRDefault="00441096">
            <w:pPr>
              <w:spacing w:after="120"/>
              <w:ind w:right="567"/>
              <w:contextualSpacing/>
              <w:jc w:val="both"/>
              <w:rPr>
                <w:rFonts w:eastAsia="Times New Roman"/>
                <w:szCs w:val="24"/>
                <w:lang w:val="en-US"/>
              </w:rPr>
            </w:pPr>
          </w:p>
          <w:p w14:paraId="1E12F8EC" w14:textId="77777777" w:rsidR="00441096" w:rsidRPr="004B2415" w:rsidRDefault="00441096" w:rsidP="002E1105">
            <w:pPr>
              <w:spacing w:after="120"/>
              <w:ind w:right="34"/>
              <w:contextualSpacing/>
              <w:jc w:val="both"/>
              <w:rPr>
                <w:rFonts w:eastAsia="Times New Roman"/>
                <w:szCs w:val="24"/>
                <w:lang w:val="en-US"/>
              </w:rPr>
            </w:pPr>
            <w:r w:rsidRPr="004B2415">
              <w:rPr>
                <w:rFonts w:eastAsia="Times New Roman"/>
                <w:szCs w:val="24"/>
                <w:lang w:val="en-US"/>
              </w:rPr>
              <w:t xml:space="preserve">It is not clear from the sentence “The complementary nature of economic activity will be monitored for at least 10 years after the beginning of the research </w:t>
            </w:r>
            <w:proofErr w:type="spellStart"/>
            <w:r w:rsidRPr="004B2415">
              <w:rPr>
                <w:rFonts w:eastAsia="Times New Roman"/>
                <w:szCs w:val="24"/>
                <w:lang w:val="en-US"/>
              </w:rPr>
              <w:t>organisation</w:t>
            </w:r>
            <w:proofErr w:type="spellEnd"/>
            <w:r w:rsidRPr="004B2415">
              <w:rPr>
                <w:rFonts w:eastAsia="Times New Roman"/>
                <w:szCs w:val="24"/>
                <w:lang w:val="en-US"/>
              </w:rPr>
              <w:t xml:space="preserve"> or research infrastructure.” –</w:t>
            </w:r>
            <w:r w:rsidR="00C414F8" w:rsidRPr="004B2415">
              <w:rPr>
                <w:rFonts w:eastAsia="Times New Roman"/>
                <w:szCs w:val="24"/>
                <w:lang w:val="en-US"/>
              </w:rPr>
              <w:t xml:space="preserve"> </w:t>
            </w:r>
            <w:r w:rsidRPr="004B2415">
              <w:rPr>
                <w:rFonts w:eastAsia="Times New Roman"/>
                <w:szCs w:val="24"/>
                <w:lang w:val="en-US"/>
              </w:rPr>
              <w:t xml:space="preserve">which moment </w:t>
            </w:r>
            <w:r w:rsidR="00C414F8" w:rsidRPr="004B2415">
              <w:rPr>
                <w:rFonts w:eastAsia="Times New Roman"/>
                <w:szCs w:val="24"/>
                <w:lang w:val="en-US"/>
              </w:rPr>
              <w:t xml:space="preserve">is the starting period for </w:t>
            </w:r>
            <w:r w:rsidRPr="004B2415">
              <w:rPr>
                <w:rFonts w:eastAsia="Times New Roman"/>
                <w:szCs w:val="24"/>
                <w:lang w:val="en-US"/>
              </w:rPr>
              <w:t xml:space="preserve">the monitoring. Does it start from each additional </w:t>
            </w:r>
            <w:r w:rsidR="00C414F8" w:rsidRPr="004B2415">
              <w:rPr>
                <w:rFonts w:eastAsia="Times New Roman"/>
                <w:szCs w:val="24"/>
                <w:lang w:val="en-US"/>
              </w:rPr>
              <w:t>project or investment into infrastructure</w:t>
            </w:r>
            <w:r w:rsidRPr="004B2415">
              <w:rPr>
                <w:rFonts w:eastAsia="Times New Roman"/>
                <w:szCs w:val="24"/>
                <w:lang w:val="en-US"/>
              </w:rPr>
              <w:t>? What exactly will be monitored, particularly if there is no link to the use of infrastructure</w:t>
            </w:r>
            <w:r w:rsidR="00C414F8" w:rsidRPr="004B2415">
              <w:rPr>
                <w:rFonts w:eastAsia="Times New Roman"/>
                <w:szCs w:val="24"/>
                <w:lang w:val="en-US"/>
              </w:rPr>
              <w:t xml:space="preserve"> (operation costs)</w:t>
            </w:r>
            <w:r w:rsidRPr="004B2415">
              <w:rPr>
                <w:rFonts w:eastAsia="Times New Roman"/>
                <w:szCs w:val="24"/>
                <w:lang w:val="en-US"/>
              </w:rPr>
              <w:t>?</w:t>
            </w:r>
          </w:p>
          <w:p w14:paraId="58E4423C" w14:textId="77777777" w:rsidR="00441096" w:rsidRPr="004B2415" w:rsidRDefault="00441096" w:rsidP="002E1105">
            <w:pPr>
              <w:spacing w:after="120"/>
              <w:ind w:right="34"/>
              <w:contextualSpacing/>
              <w:jc w:val="both"/>
              <w:rPr>
                <w:rFonts w:eastAsia="Times New Roman"/>
                <w:szCs w:val="24"/>
                <w:lang w:val="en-US"/>
              </w:rPr>
            </w:pPr>
          </w:p>
          <w:p w14:paraId="47CDE318" w14:textId="7B229CF3" w:rsidR="00441096" w:rsidRPr="004B2415" w:rsidRDefault="00441096" w:rsidP="003F76A8">
            <w:pPr>
              <w:autoSpaceDE w:val="0"/>
              <w:autoSpaceDN w:val="0"/>
              <w:adjustRightInd w:val="0"/>
              <w:jc w:val="both"/>
              <w:rPr>
                <w:rFonts w:eastAsia="Times New Roman"/>
                <w:szCs w:val="24"/>
                <w:lang w:val="en-US"/>
              </w:rPr>
            </w:pPr>
            <w:r w:rsidRPr="004B2415">
              <w:rPr>
                <w:szCs w:val="24"/>
                <w:lang w:val="en-US"/>
              </w:rPr>
              <w:t>Latvian authorities kindly ask the Commission to</w:t>
            </w:r>
            <w:r w:rsidR="00C414F8" w:rsidRPr="004B2415">
              <w:rPr>
                <w:szCs w:val="24"/>
                <w:lang w:val="en-US"/>
              </w:rPr>
              <w:t xml:space="preserve"> assess </w:t>
            </w:r>
            <w:r w:rsidR="00206F69" w:rsidRPr="004B2415">
              <w:rPr>
                <w:szCs w:val="24"/>
                <w:lang w:val="en-US"/>
              </w:rPr>
              <w:t xml:space="preserve">the possibility </w:t>
            </w:r>
            <w:r w:rsidR="00C414F8" w:rsidRPr="004B2415">
              <w:rPr>
                <w:szCs w:val="24"/>
                <w:lang w:val="en-US"/>
              </w:rPr>
              <w:t>in paragraph 22</w:t>
            </w:r>
            <w:r w:rsidR="00206F69" w:rsidRPr="004B2415">
              <w:rPr>
                <w:szCs w:val="24"/>
                <w:lang w:val="en-US"/>
              </w:rPr>
              <w:t xml:space="preserve"> to</w:t>
            </w:r>
            <w:r w:rsidR="00C414F8" w:rsidRPr="004B2415">
              <w:rPr>
                <w:szCs w:val="24"/>
                <w:lang w:val="en-US"/>
              </w:rPr>
              <w:t xml:space="preserve"> replac</w:t>
            </w:r>
            <w:r w:rsidR="00206F69" w:rsidRPr="004B2415">
              <w:rPr>
                <w:szCs w:val="24"/>
                <w:lang w:val="en-US"/>
              </w:rPr>
              <w:t>e</w:t>
            </w:r>
            <w:r w:rsidRPr="004B2415">
              <w:rPr>
                <w:szCs w:val="24"/>
                <w:lang w:val="en-US"/>
              </w:rPr>
              <w:t xml:space="preserve"> the word "at least" with the word "up to", providing that the complementary nature of the economic activity will be monitored up to 10 years</w:t>
            </w:r>
            <w:r w:rsidR="00C414F8" w:rsidRPr="004B2415">
              <w:rPr>
                <w:szCs w:val="24"/>
                <w:lang w:val="en-US"/>
              </w:rPr>
              <w:t xml:space="preserve"> or the depreciation period of the assets, whichever comes first</w:t>
            </w:r>
            <w:r w:rsidRPr="004B2415">
              <w:rPr>
                <w:szCs w:val="24"/>
                <w:lang w:val="en-US"/>
              </w:rPr>
              <w:t>. It should be taken into account that the depreciation period of the hardware</w:t>
            </w:r>
            <w:r w:rsidR="00C414F8" w:rsidRPr="004B2415">
              <w:rPr>
                <w:szCs w:val="24"/>
                <w:lang w:val="en-US"/>
              </w:rPr>
              <w:t>, for instance,</w:t>
            </w:r>
            <w:r w:rsidRPr="004B2415">
              <w:rPr>
                <w:szCs w:val="24"/>
                <w:lang w:val="en-US"/>
              </w:rPr>
              <w:t xml:space="preserve"> is less than 10 years. We would </w:t>
            </w:r>
            <w:r w:rsidR="00C414F8" w:rsidRPr="004B2415">
              <w:rPr>
                <w:szCs w:val="24"/>
                <w:lang w:val="en-US"/>
              </w:rPr>
              <w:t xml:space="preserve">also </w:t>
            </w:r>
            <w:r w:rsidRPr="004B2415">
              <w:rPr>
                <w:szCs w:val="24"/>
                <w:lang w:val="en-US"/>
              </w:rPr>
              <w:t>like to draw attention to the fact that reducing the monitoring period of infrastructure development projects in case of construction of research infrastructure will significantly reduce the administrative and financial burden for the cooperation institution and beneficiaries.</w:t>
            </w:r>
          </w:p>
        </w:tc>
      </w:tr>
      <w:tr w:rsidR="004B2415" w:rsidRPr="004B2415" w14:paraId="04AE4BD6" w14:textId="77777777" w:rsidTr="00E86DE8">
        <w:tc>
          <w:tcPr>
            <w:tcW w:w="1594" w:type="dxa"/>
          </w:tcPr>
          <w:p w14:paraId="1FE6DD62" w14:textId="77777777" w:rsidR="00742B15" w:rsidRPr="004B2415" w:rsidRDefault="00742B15">
            <w:pPr>
              <w:pStyle w:val="ListParagraph"/>
              <w:numPr>
                <w:ilvl w:val="0"/>
                <w:numId w:val="1"/>
              </w:numPr>
              <w:jc w:val="both"/>
              <w:rPr>
                <w:sz w:val="24"/>
                <w:szCs w:val="24"/>
                <w:lang w:val="en-US"/>
              </w:rPr>
            </w:pPr>
          </w:p>
        </w:tc>
        <w:tc>
          <w:tcPr>
            <w:tcW w:w="5489" w:type="dxa"/>
          </w:tcPr>
          <w:p w14:paraId="76C7AB06" w14:textId="77777777" w:rsidR="003F697E" w:rsidRPr="004B2415" w:rsidRDefault="00FD2D8A">
            <w:pPr>
              <w:pStyle w:val="Default"/>
              <w:jc w:val="both"/>
              <w:rPr>
                <w:color w:val="auto"/>
                <w:lang w:val="en-US"/>
              </w:rPr>
            </w:pPr>
            <w:r w:rsidRPr="004B2415">
              <w:rPr>
                <w:color w:val="auto"/>
                <w:lang w:val="en-US"/>
              </w:rPr>
              <w:t xml:space="preserve">Point </w:t>
            </w:r>
            <w:r w:rsidR="003F697E" w:rsidRPr="004B2415">
              <w:rPr>
                <w:color w:val="auto"/>
                <w:lang w:val="en-US"/>
              </w:rPr>
              <w:t xml:space="preserve">27. Where a research </w:t>
            </w:r>
            <w:proofErr w:type="spellStart"/>
            <w:r w:rsidR="003F697E" w:rsidRPr="004B2415">
              <w:rPr>
                <w:color w:val="auto"/>
                <w:lang w:val="en-US"/>
              </w:rPr>
              <w:t>organisation</w:t>
            </w:r>
            <w:proofErr w:type="spellEnd"/>
            <w:r w:rsidR="003F697E" w:rsidRPr="004B2415">
              <w:rPr>
                <w:color w:val="auto"/>
                <w:lang w:val="en-US"/>
              </w:rPr>
              <w:t xml:space="preserve"> or research infrastructure is used to perform contract research or provide a research service to an undertaking, which typically specifies the terms and conditions of the contract, owns the results of the research activities and carries the risk of failure, no State aid will usually be passed to the undertaking if the research </w:t>
            </w:r>
            <w:proofErr w:type="spellStart"/>
            <w:r w:rsidR="003F697E" w:rsidRPr="004B2415">
              <w:rPr>
                <w:color w:val="auto"/>
                <w:lang w:val="en-US"/>
              </w:rPr>
              <w:t>organisation</w:t>
            </w:r>
            <w:proofErr w:type="spellEnd"/>
            <w:r w:rsidR="003F697E" w:rsidRPr="004B2415">
              <w:rPr>
                <w:color w:val="auto"/>
                <w:lang w:val="en-US"/>
              </w:rPr>
              <w:t xml:space="preserve"> or research infrastructure receive payment of an adequate remuneration for its services, particularly where one of the following conditions is fulfilled:</w:t>
            </w:r>
          </w:p>
          <w:p w14:paraId="64F90EBF" w14:textId="77777777" w:rsidR="003F697E" w:rsidRPr="004B2415" w:rsidRDefault="003F697E">
            <w:pPr>
              <w:pStyle w:val="Default"/>
              <w:jc w:val="both"/>
              <w:rPr>
                <w:color w:val="auto"/>
                <w:lang w:val="en-US"/>
              </w:rPr>
            </w:pPr>
          </w:p>
          <w:p w14:paraId="41B7A21C" w14:textId="77777777" w:rsidR="003F697E" w:rsidRPr="004B2415" w:rsidRDefault="003F697E">
            <w:pPr>
              <w:pStyle w:val="Default"/>
              <w:jc w:val="both"/>
              <w:rPr>
                <w:color w:val="auto"/>
                <w:lang w:val="en-US"/>
              </w:rPr>
            </w:pPr>
            <w:r w:rsidRPr="004B2415">
              <w:rPr>
                <w:color w:val="auto"/>
                <w:lang w:val="en-US"/>
              </w:rPr>
              <w:t xml:space="preserve">(b) where there is no market price, the research </w:t>
            </w:r>
            <w:proofErr w:type="spellStart"/>
            <w:r w:rsidRPr="004B2415">
              <w:rPr>
                <w:color w:val="auto"/>
                <w:lang w:val="en-US"/>
              </w:rPr>
              <w:t>organisation</w:t>
            </w:r>
            <w:proofErr w:type="spellEnd"/>
            <w:r w:rsidRPr="004B2415">
              <w:rPr>
                <w:color w:val="auto"/>
                <w:lang w:val="en-US"/>
              </w:rPr>
              <w:t xml:space="preserve"> or research infrastructure provides its research service or contract research at a price which: </w:t>
            </w:r>
          </w:p>
          <w:p w14:paraId="3CD2D527" w14:textId="77777777" w:rsidR="003F697E" w:rsidRPr="004B2415" w:rsidRDefault="003F697E">
            <w:pPr>
              <w:pStyle w:val="Default"/>
              <w:jc w:val="both"/>
              <w:rPr>
                <w:color w:val="auto"/>
                <w:lang w:val="en-US"/>
              </w:rPr>
            </w:pPr>
            <w:r w:rsidRPr="004B2415">
              <w:rPr>
                <w:color w:val="auto"/>
                <w:lang w:val="en-US"/>
              </w:rPr>
              <w:t xml:space="preserve">- </w:t>
            </w:r>
            <w:r w:rsidRPr="004B2415">
              <w:rPr>
                <w:b/>
                <w:color w:val="auto"/>
                <w:lang w:val="en-US"/>
              </w:rPr>
              <w:t>reflects the full costs of the service and generally includes a margin established by reference to those commonly applied by undertakings active in the sector of the service concerned</w:t>
            </w:r>
            <w:r w:rsidRPr="004B2415">
              <w:rPr>
                <w:color w:val="auto"/>
                <w:lang w:val="en-US"/>
              </w:rPr>
              <w:t xml:space="preserve">, or </w:t>
            </w:r>
          </w:p>
          <w:p w14:paraId="7F480FDB" w14:textId="77777777" w:rsidR="00742B15" w:rsidRPr="004B2415" w:rsidRDefault="003F697E">
            <w:pPr>
              <w:jc w:val="both"/>
              <w:rPr>
                <w:b/>
                <w:szCs w:val="24"/>
                <w:lang w:val="en-US"/>
              </w:rPr>
            </w:pPr>
            <w:r w:rsidRPr="004B2415">
              <w:rPr>
                <w:szCs w:val="24"/>
                <w:lang w:val="en-US"/>
              </w:rPr>
              <w:t xml:space="preserve">- is the result of arm's length negotiations where the research </w:t>
            </w:r>
            <w:proofErr w:type="spellStart"/>
            <w:r w:rsidRPr="004B2415">
              <w:rPr>
                <w:szCs w:val="24"/>
                <w:lang w:val="en-US"/>
              </w:rPr>
              <w:t>organisation</w:t>
            </w:r>
            <w:proofErr w:type="spellEnd"/>
            <w:r w:rsidRPr="004B2415">
              <w:rPr>
                <w:szCs w:val="24"/>
                <w:lang w:val="en-US"/>
              </w:rPr>
              <w:t xml:space="preserve"> or research infrastructure, in its capacity as service provider, negotiates in order to obtain the maximum economic benefit at the moment when the contract is concluded and covers at least its marginal costs.</w:t>
            </w:r>
          </w:p>
        </w:tc>
        <w:tc>
          <w:tcPr>
            <w:tcW w:w="7371" w:type="dxa"/>
          </w:tcPr>
          <w:p w14:paraId="0A954AD5" w14:textId="77777777" w:rsidR="00C414F8" w:rsidRPr="004B2415" w:rsidRDefault="00926C99" w:rsidP="00C15948">
            <w:pPr>
              <w:spacing w:after="120"/>
              <w:contextualSpacing/>
              <w:jc w:val="both"/>
              <w:rPr>
                <w:rFonts w:eastAsia="Times New Roman"/>
                <w:szCs w:val="24"/>
                <w:lang w:val="en-US"/>
              </w:rPr>
            </w:pPr>
            <w:r w:rsidRPr="004B2415">
              <w:rPr>
                <w:szCs w:val="24"/>
                <w:lang w:val="en-US"/>
              </w:rPr>
              <w:t xml:space="preserve">Please clarify whether “the full costs of the service” reflects the full costs including amortization costs. </w:t>
            </w:r>
            <w:r w:rsidR="00C414F8" w:rsidRPr="004B2415">
              <w:rPr>
                <w:rFonts w:eastAsia="Times New Roman"/>
                <w:szCs w:val="24"/>
                <w:lang w:val="en-US"/>
              </w:rPr>
              <w:t xml:space="preserve"> Please add this clarification in the Guidelines.</w:t>
            </w:r>
          </w:p>
          <w:p w14:paraId="1C64940A" w14:textId="77777777" w:rsidR="00926C99" w:rsidRPr="004B2415" w:rsidRDefault="00926C99">
            <w:pPr>
              <w:spacing w:after="120"/>
              <w:ind w:right="567"/>
              <w:contextualSpacing/>
              <w:jc w:val="both"/>
              <w:rPr>
                <w:szCs w:val="24"/>
                <w:lang w:val="en-US"/>
              </w:rPr>
            </w:pPr>
          </w:p>
          <w:p w14:paraId="5990021F" w14:textId="77777777" w:rsidR="00926C99" w:rsidRPr="004B2415" w:rsidRDefault="00926C99">
            <w:pPr>
              <w:spacing w:after="120"/>
              <w:ind w:right="567"/>
              <w:contextualSpacing/>
              <w:jc w:val="both"/>
              <w:rPr>
                <w:rFonts w:eastAsia="Times New Roman"/>
                <w:szCs w:val="24"/>
                <w:lang w:val="en-US"/>
              </w:rPr>
            </w:pPr>
          </w:p>
        </w:tc>
      </w:tr>
      <w:tr w:rsidR="004B2415" w:rsidRPr="004B2415" w14:paraId="1027DB0A" w14:textId="77777777" w:rsidTr="003F76A8">
        <w:trPr>
          <w:trHeight w:val="2742"/>
        </w:trPr>
        <w:tc>
          <w:tcPr>
            <w:tcW w:w="1594" w:type="dxa"/>
            <w:vMerge w:val="restart"/>
          </w:tcPr>
          <w:p w14:paraId="2DA00BCA" w14:textId="77777777" w:rsidR="00742B15" w:rsidRPr="004B2415" w:rsidRDefault="00742B15">
            <w:pPr>
              <w:pStyle w:val="ListParagraph"/>
              <w:numPr>
                <w:ilvl w:val="0"/>
                <w:numId w:val="1"/>
              </w:numPr>
              <w:jc w:val="both"/>
              <w:rPr>
                <w:sz w:val="24"/>
                <w:szCs w:val="24"/>
                <w:lang w:val="en-US"/>
              </w:rPr>
            </w:pPr>
          </w:p>
        </w:tc>
        <w:tc>
          <w:tcPr>
            <w:tcW w:w="5489" w:type="dxa"/>
            <w:vMerge w:val="restart"/>
          </w:tcPr>
          <w:p w14:paraId="6FF0FCF3" w14:textId="77777777" w:rsidR="003F697E" w:rsidRPr="004B2415" w:rsidRDefault="00FD2D8A">
            <w:pPr>
              <w:pStyle w:val="Default"/>
              <w:jc w:val="both"/>
              <w:rPr>
                <w:color w:val="auto"/>
                <w:lang w:val="en-US"/>
              </w:rPr>
            </w:pPr>
            <w:r w:rsidRPr="004B2415">
              <w:rPr>
                <w:color w:val="auto"/>
                <w:lang w:val="en-US"/>
              </w:rPr>
              <w:t xml:space="preserve">Point </w:t>
            </w:r>
            <w:r w:rsidR="003F697E" w:rsidRPr="004B2415">
              <w:rPr>
                <w:color w:val="auto"/>
                <w:lang w:val="en-US"/>
              </w:rPr>
              <w:t xml:space="preserve">44. The Commission considers that aid does not present an incentive for the beneficiary wherever work on the relevant R&amp;D&amp;I activity44 has already started prior to the aid application by the beneficiary to the national authorities45. Where start of works takes place before the aid application is submitted by the beneficiary to the national authorities, the project will not be eligible for aid. </w:t>
            </w:r>
          </w:p>
          <w:p w14:paraId="0B24FBCE" w14:textId="77777777" w:rsidR="00742B15" w:rsidRPr="004B2415" w:rsidRDefault="00742B15">
            <w:pPr>
              <w:jc w:val="both"/>
              <w:rPr>
                <w:szCs w:val="24"/>
                <w:lang w:val="en-US"/>
              </w:rPr>
            </w:pPr>
          </w:p>
        </w:tc>
        <w:tc>
          <w:tcPr>
            <w:tcW w:w="7371" w:type="dxa"/>
          </w:tcPr>
          <w:p w14:paraId="37CEB5F9" w14:textId="63B43855" w:rsidR="00EB55B8" w:rsidRPr="004B2415" w:rsidRDefault="0008262A">
            <w:pPr>
              <w:jc w:val="both"/>
              <w:rPr>
                <w:szCs w:val="24"/>
                <w:lang w:val="en-US"/>
              </w:rPr>
            </w:pPr>
            <w:r w:rsidRPr="004B2415">
              <w:rPr>
                <w:szCs w:val="24"/>
                <w:lang w:val="en-US"/>
              </w:rPr>
              <w:t>Taking into consideration Commission</w:t>
            </w:r>
            <w:r w:rsidR="00FA4B27" w:rsidRPr="004B2415">
              <w:rPr>
                <w:szCs w:val="24"/>
                <w:lang w:val="en-US"/>
              </w:rPr>
              <w:t>’s</w:t>
            </w:r>
            <w:r w:rsidRPr="004B2415">
              <w:rPr>
                <w:szCs w:val="24"/>
                <w:lang w:val="en-US"/>
              </w:rPr>
              <w:t xml:space="preserve"> </w:t>
            </w:r>
            <w:r w:rsidR="00EB55B8" w:rsidRPr="004B2415">
              <w:rPr>
                <w:szCs w:val="24"/>
                <w:lang w:val="en-US"/>
              </w:rPr>
              <w:t xml:space="preserve">previously </w:t>
            </w:r>
            <w:r w:rsidRPr="004B2415">
              <w:rPr>
                <w:szCs w:val="24"/>
                <w:lang w:val="en-US"/>
              </w:rPr>
              <w:t xml:space="preserve">provided guidance, Latvia suggests to </w:t>
            </w:r>
            <w:r w:rsidR="00FA4B27" w:rsidRPr="004B2415">
              <w:rPr>
                <w:szCs w:val="24"/>
                <w:lang w:val="en-US"/>
              </w:rPr>
              <w:t>add to Point 44</w:t>
            </w:r>
            <w:r w:rsidR="004E55FA" w:rsidRPr="004B2415">
              <w:rPr>
                <w:szCs w:val="24"/>
                <w:lang w:val="en-US"/>
              </w:rPr>
              <w:t xml:space="preserve"> </w:t>
            </w:r>
            <w:r w:rsidRPr="004B2415">
              <w:rPr>
                <w:szCs w:val="24"/>
                <w:lang w:val="en-US"/>
              </w:rPr>
              <w:t>that the incentive effect</w:t>
            </w:r>
            <w:r w:rsidR="00EB55B8" w:rsidRPr="004B2415">
              <w:rPr>
                <w:szCs w:val="24"/>
                <w:lang w:val="en-US"/>
              </w:rPr>
              <w:t xml:space="preserve"> in case of notifications to the Commission</w:t>
            </w:r>
            <w:r w:rsidRPr="004B2415">
              <w:rPr>
                <w:szCs w:val="24"/>
                <w:lang w:val="en-US"/>
              </w:rPr>
              <w:t xml:space="preserve"> is fulfilled and the start of work can take place only after the Commission’s decision. </w:t>
            </w:r>
            <w:r w:rsidR="00F82486" w:rsidRPr="004B2415">
              <w:rPr>
                <w:szCs w:val="24"/>
                <w:lang w:val="en-US"/>
              </w:rPr>
              <w:t xml:space="preserve">Point 44 is clear in case GBER is applied that does not ask for a notification to the Commission. In the meanwhile, the Commission had clarified that if after the notification there were no positive Commission’s decision adopted then in case the aid recipient had already started the works the aid then should have been considered as not fulfilling the incentive effect. </w:t>
            </w:r>
            <w:r w:rsidR="00EB55B8" w:rsidRPr="004B2415">
              <w:rPr>
                <w:szCs w:val="24"/>
                <w:lang w:val="en-US"/>
              </w:rPr>
              <w:t xml:space="preserve">Please, be informed that </w:t>
            </w:r>
            <w:r w:rsidR="00F82486" w:rsidRPr="004B2415">
              <w:rPr>
                <w:szCs w:val="24"/>
                <w:lang w:val="en-US"/>
              </w:rPr>
              <w:t xml:space="preserve">this guidance was provided </w:t>
            </w:r>
            <w:r w:rsidR="00EB55B8" w:rsidRPr="004B2415">
              <w:rPr>
                <w:szCs w:val="24"/>
                <w:lang w:val="en-US"/>
              </w:rPr>
              <w:t>in case</w:t>
            </w:r>
            <w:r w:rsidR="00EB55B8" w:rsidRPr="004B2415">
              <w:rPr>
                <w:szCs w:val="24"/>
              </w:rPr>
              <w:t xml:space="preserve"> </w:t>
            </w:r>
            <w:r w:rsidR="00EB55B8" w:rsidRPr="004B2415">
              <w:rPr>
                <w:szCs w:val="24"/>
                <w:lang w:val="en-US"/>
              </w:rPr>
              <w:t xml:space="preserve">SA.46408 </w:t>
            </w:r>
            <w:r w:rsidR="00F82486" w:rsidRPr="004B2415">
              <w:rPr>
                <w:szCs w:val="24"/>
                <w:lang w:val="en-US"/>
              </w:rPr>
              <w:t xml:space="preserve">where the Aviation Guidelines were applied that have the same approach (wording) on the incentive effect as </w:t>
            </w:r>
            <w:r w:rsidR="00FA4B27" w:rsidRPr="004B2415">
              <w:rPr>
                <w:szCs w:val="24"/>
                <w:lang w:val="en-US"/>
              </w:rPr>
              <w:t xml:space="preserve">draft </w:t>
            </w:r>
            <w:r w:rsidR="00F82486" w:rsidRPr="004B2415">
              <w:rPr>
                <w:szCs w:val="24"/>
                <w:lang w:val="en-US"/>
              </w:rPr>
              <w:t>RDI Guidelines</w:t>
            </w:r>
            <w:r w:rsidR="00FA4B27" w:rsidRPr="004B2415">
              <w:rPr>
                <w:szCs w:val="24"/>
                <w:lang w:val="en-US"/>
              </w:rPr>
              <w:t>. Even though Aviation guidelines don’t restrict Member States to start works and sign an aid award agreement before Commission’s decision, i</w:t>
            </w:r>
            <w:r w:rsidR="00F82486" w:rsidRPr="004B2415">
              <w:rPr>
                <w:szCs w:val="24"/>
                <w:lang w:val="en-US"/>
              </w:rPr>
              <w:t xml:space="preserve">n case SA.46408 the aid recipient </w:t>
            </w:r>
            <w:r w:rsidR="00FA4B27" w:rsidRPr="004B2415">
              <w:rPr>
                <w:szCs w:val="24"/>
                <w:lang w:val="en-US"/>
              </w:rPr>
              <w:t>could only</w:t>
            </w:r>
            <w:r w:rsidR="00F82486" w:rsidRPr="004B2415">
              <w:rPr>
                <w:szCs w:val="24"/>
                <w:lang w:val="en-US"/>
              </w:rPr>
              <w:t xml:space="preserve"> start works after the Commission’s decision</w:t>
            </w:r>
            <w:r w:rsidR="00FA4B27" w:rsidRPr="004B2415">
              <w:rPr>
                <w:szCs w:val="24"/>
                <w:lang w:val="en-US"/>
              </w:rPr>
              <w:t>.</w:t>
            </w:r>
          </w:p>
        </w:tc>
      </w:tr>
      <w:tr w:rsidR="004B2415" w:rsidRPr="004B2415" w14:paraId="71C06CAB" w14:textId="77777777" w:rsidTr="00E86DE8">
        <w:trPr>
          <w:trHeight w:val="151"/>
        </w:trPr>
        <w:tc>
          <w:tcPr>
            <w:tcW w:w="1594" w:type="dxa"/>
            <w:vMerge/>
          </w:tcPr>
          <w:p w14:paraId="640AD058" w14:textId="77777777" w:rsidR="00742B15" w:rsidRPr="004B2415" w:rsidRDefault="00742B15">
            <w:pPr>
              <w:pStyle w:val="ListParagraph"/>
              <w:numPr>
                <w:ilvl w:val="0"/>
                <w:numId w:val="1"/>
              </w:numPr>
              <w:jc w:val="both"/>
              <w:rPr>
                <w:sz w:val="24"/>
                <w:szCs w:val="24"/>
                <w:lang w:val="en-US"/>
              </w:rPr>
            </w:pPr>
          </w:p>
        </w:tc>
        <w:tc>
          <w:tcPr>
            <w:tcW w:w="5489" w:type="dxa"/>
            <w:vMerge/>
          </w:tcPr>
          <w:p w14:paraId="0DE7A546" w14:textId="77777777" w:rsidR="00742B15" w:rsidRPr="004B2415" w:rsidRDefault="00742B15">
            <w:pPr>
              <w:pStyle w:val="Default"/>
              <w:jc w:val="both"/>
              <w:rPr>
                <w:color w:val="auto"/>
                <w:lang w:val="en-US"/>
              </w:rPr>
            </w:pPr>
          </w:p>
        </w:tc>
        <w:tc>
          <w:tcPr>
            <w:tcW w:w="7371" w:type="dxa"/>
          </w:tcPr>
          <w:p w14:paraId="0ABC3816" w14:textId="1100C980" w:rsidR="00742B15" w:rsidRPr="004B2415" w:rsidRDefault="00DD6E3E" w:rsidP="003323CC">
            <w:pPr>
              <w:pStyle w:val="NormalWeb"/>
              <w:jc w:val="both"/>
              <w:rPr>
                <w:lang w:val="en-US"/>
              </w:rPr>
            </w:pPr>
            <w:r w:rsidRPr="004B2415">
              <w:rPr>
                <w:lang w:val="en-US"/>
              </w:rPr>
              <w:t>T</w:t>
            </w:r>
            <w:r w:rsidR="00730C55" w:rsidRPr="004B2415">
              <w:rPr>
                <w:lang w:val="en-US"/>
              </w:rPr>
              <w:t xml:space="preserve">aking into consideration that the Commission has provided guidance on the incentive effect test for Seal of Excellence projects in a Staff Working Document, available </w:t>
            </w:r>
            <w:hyperlink r:id="rId8" w:history="1">
              <w:r w:rsidR="00730C55" w:rsidRPr="004B2415">
                <w:rPr>
                  <w:rStyle w:val="Hyperlink"/>
                  <w:color w:val="auto"/>
                  <w:lang w:val="en-US"/>
                </w:rPr>
                <w:t>HERE</w:t>
              </w:r>
            </w:hyperlink>
            <w:r w:rsidRPr="004B2415">
              <w:rPr>
                <w:lang w:val="en-US"/>
              </w:rPr>
              <w:t>, p</w:t>
            </w:r>
            <w:r w:rsidR="00730C55" w:rsidRPr="004B2415">
              <w:rPr>
                <w:lang w:val="en-US"/>
              </w:rPr>
              <w:t xml:space="preserve">lease add </w:t>
            </w:r>
            <w:r w:rsidR="00C414F8" w:rsidRPr="004B2415">
              <w:rPr>
                <w:lang w:val="en-US"/>
              </w:rPr>
              <w:t>in point 44</w:t>
            </w:r>
            <w:r w:rsidR="00730C55" w:rsidRPr="004B2415">
              <w:rPr>
                <w:lang w:val="en-US"/>
              </w:rPr>
              <w:t xml:space="preserve"> the exception that if </w:t>
            </w:r>
            <w:r w:rsidR="00C414F8" w:rsidRPr="004B2415">
              <w:rPr>
                <w:lang w:val="en-US"/>
              </w:rPr>
              <w:t>an application has been made for</w:t>
            </w:r>
            <w:r w:rsidR="00730C55" w:rsidRPr="004B2415">
              <w:rPr>
                <w:lang w:val="en-US"/>
              </w:rPr>
              <w:t xml:space="preserve"> centrally managed EU funding, for example,  under the Horizon 2020 SME-instrument, the incentive effect is fulfilled</w:t>
            </w:r>
            <w:r w:rsidR="00C414F8" w:rsidRPr="004B2415">
              <w:rPr>
                <w:lang w:val="en-US"/>
              </w:rPr>
              <w:t xml:space="preserve"> when later </w:t>
            </w:r>
            <w:r w:rsidR="003323CC" w:rsidRPr="004B2415">
              <w:rPr>
                <w:lang w:val="en-US"/>
              </w:rPr>
              <w:t xml:space="preserve">applying in the nationally managed </w:t>
            </w:r>
            <w:proofErr w:type="spellStart"/>
            <w:r w:rsidR="003323CC" w:rsidRPr="004B2415">
              <w:rPr>
                <w:lang w:val="en-US"/>
              </w:rPr>
              <w:t>programme</w:t>
            </w:r>
            <w:proofErr w:type="spellEnd"/>
            <w:r w:rsidR="003323CC" w:rsidRPr="004B2415">
              <w:rPr>
                <w:lang w:val="en-US"/>
              </w:rPr>
              <w:t xml:space="preserve"> </w:t>
            </w:r>
            <w:r w:rsidR="00C414F8" w:rsidRPr="004B2415">
              <w:rPr>
                <w:lang w:val="en-US"/>
              </w:rPr>
              <w:t>with th</w:t>
            </w:r>
            <w:r w:rsidR="003323CC" w:rsidRPr="004B2415">
              <w:rPr>
                <w:lang w:val="en-US"/>
              </w:rPr>
              <w:t>e project that had</w:t>
            </w:r>
            <w:r w:rsidR="00C414F8" w:rsidRPr="004B2415">
              <w:rPr>
                <w:lang w:val="en-US"/>
              </w:rPr>
              <w:t xml:space="preserve"> received </w:t>
            </w:r>
            <w:r w:rsidR="003323CC" w:rsidRPr="004B2415">
              <w:rPr>
                <w:lang w:val="en-US"/>
              </w:rPr>
              <w:t>Seal of Excellence</w:t>
            </w:r>
            <w:r w:rsidR="00730C55" w:rsidRPr="004B2415">
              <w:rPr>
                <w:lang w:val="en-US"/>
              </w:rPr>
              <w:t>.</w:t>
            </w:r>
          </w:p>
        </w:tc>
      </w:tr>
      <w:tr w:rsidR="004B2415" w:rsidRPr="004B2415" w14:paraId="0EA45EDB" w14:textId="77777777" w:rsidTr="003F76A8">
        <w:trPr>
          <w:trHeight w:val="109"/>
        </w:trPr>
        <w:tc>
          <w:tcPr>
            <w:tcW w:w="1594" w:type="dxa"/>
          </w:tcPr>
          <w:p w14:paraId="7E15E3AA" w14:textId="77777777" w:rsidR="00C608F6" w:rsidRPr="004B2415" w:rsidRDefault="00C608F6">
            <w:pPr>
              <w:pStyle w:val="ListParagraph"/>
              <w:numPr>
                <w:ilvl w:val="0"/>
                <w:numId w:val="1"/>
              </w:numPr>
              <w:jc w:val="both"/>
              <w:rPr>
                <w:sz w:val="24"/>
                <w:szCs w:val="24"/>
                <w:lang w:val="en-US"/>
              </w:rPr>
            </w:pPr>
          </w:p>
        </w:tc>
        <w:tc>
          <w:tcPr>
            <w:tcW w:w="5489" w:type="dxa"/>
          </w:tcPr>
          <w:p w14:paraId="28CBE13A" w14:textId="77777777" w:rsidR="00C608F6" w:rsidRPr="004B2415" w:rsidRDefault="00C608F6">
            <w:pPr>
              <w:pStyle w:val="Default"/>
              <w:jc w:val="both"/>
              <w:rPr>
                <w:i/>
                <w:color w:val="auto"/>
                <w:lang w:val="en-US"/>
              </w:rPr>
            </w:pPr>
            <w:r w:rsidRPr="004B2415">
              <w:rPr>
                <w:color w:val="auto"/>
                <w:lang w:val="en-US"/>
              </w:rPr>
              <w:t xml:space="preserve">81. The eligible costs shall be supported by the most recently available documentary evidence which shall be clear and specific. Indirect R&amp;D project costs may also be calculated on the basis of a simplified cost approach in the form of a flat-rate of up to 15%, applied to total eligible direct R&amp;D project costs. In the latter case, both categories of direct and indirect costs should be established on the basis of normal accounting practices, must comprise only eligible R&amp;D project costs listed in Annex I, and must be duly justified. </w:t>
            </w:r>
          </w:p>
        </w:tc>
        <w:tc>
          <w:tcPr>
            <w:tcW w:w="7371" w:type="dxa"/>
          </w:tcPr>
          <w:p w14:paraId="308C3A46" w14:textId="77777777" w:rsidR="00C608F6" w:rsidRPr="004B2415" w:rsidRDefault="00C608F6">
            <w:pPr>
              <w:jc w:val="both"/>
              <w:rPr>
                <w:rFonts w:cs="Times New Roman"/>
                <w:szCs w:val="24"/>
                <w:lang w:val="en-US"/>
              </w:rPr>
            </w:pPr>
            <w:r w:rsidRPr="004B2415">
              <w:rPr>
                <w:szCs w:val="24"/>
                <w:lang w:val="en-US"/>
              </w:rPr>
              <w:t xml:space="preserve">Latvian authorities </w:t>
            </w:r>
            <w:r w:rsidR="00DD6E3E" w:rsidRPr="004B2415">
              <w:rPr>
                <w:szCs w:val="24"/>
                <w:lang w:val="en-US"/>
              </w:rPr>
              <w:t>kindly ask</w:t>
            </w:r>
            <w:r w:rsidRPr="004B2415">
              <w:rPr>
                <w:szCs w:val="24"/>
                <w:lang w:val="en-US"/>
              </w:rPr>
              <w:t xml:space="preserve"> the Commission to assess the possibility to increase the flat rate of indirect costs from 15 % to 25 %: (a) justified by the practices applied in European universities and </w:t>
            </w:r>
            <w:proofErr w:type="spellStart"/>
            <w:r w:rsidRPr="004B2415">
              <w:rPr>
                <w:szCs w:val="24"/>
                <w:lang w:val="en-US"/>
              </w:rPr>
              <w:t>programme</w:t>
            </w:r>
            <w:proofErr w:type="spellEnd"/>
            <w:r w:rsidRPr="004B2415">
              <w:rPr>
                <w:szCs w:val="24"/>
                <w:lang w:val="en-US"/>
              </w:rPr>
              <w:t xml:space="preserve"> „Horizon 2020, or (b) to apply the approach planned under </w:t>
            </w:r>
            <w:proofErr w:type="spellStart"/>
            <w:r w:rsidRPr="004B2415">
              <w:rPr>
                <w:szCs w:val="24"/>
                <w:lang w:val="en-US"/>
              </w:rPr>
              <w:t>programme</w:t>
            </w:r>
            <w:proofErr w:type="spellEnd"/>
            <w:r w:rsidRPr="004B2415">
              <w:rPr>
                <w:szCs w:val="24"/>
                <w:lang w:val="en-US"/>
              </w:rPr>
              <w:t xml:space="preserve"> „Horizon Europe”, which provides possibility to accept actual indirect costs allocated via beneficiary’s usual key drivers in the unit cost calculation (paragraph 81). </w:t>
            </w:r>
          </w:p>
        </w:tc>
      </w:tr>
      <w:tr w:rsidR="004B2415" w:rsidRPr="004B2415" w14:paraId="07FE0A85" w14:textId="77777777" w:rsidTr="00963AEE">
        <w:trPr>
          <w:trHeight w:val="5302"/>
        </w:trPr>
        <w:tc>
          <w:tcPr>
            <w:tcW w:w="1594" w:type="dxa"/>
          </w:tcPr>
          <w:p w14:paraId="52D7BFB7" w14:textId="77777777" w:rsidR="00DD6E3E" w:rsidRPr="004B2415" w:rsidRDefault="00DD6E3E">
            <w:pPr>
              <w:pStyle w:val="ListParagraph"/>
              <w:numPr>
                <w:ilvl w:val="0"/>
                <w:numId w:val="1"/>
              </w:numPr>
              <w:jc w:val="both"/>
              <w:rPr>
                <w:sz w:val="24"/>
                <w:szCs w:val="24"/>
                <w:lang w:val="en-US"/>
              </w:rPr>
            </w:pPr>
          </w:p>
        </w:tc>
        <w:tc>
          <w:tcPr>
            <w:tcW w:w="5489" w:type="dxa"/>
          </w:tcPr>
          <w:p w14:paraId="4710A5C3" w14:textId="65F1E657" w:rsidR="00DD6E3E" w:rsidRPr="004B2415" w:rsidRDefault="00DD6E3E" w:rsidP="004B2415">
            <w:pPr>
              <w:pStyle w:val="Default"/>
              <w:jc w:val="both"/>
              <w:rPr>
                <w:b/>
                <w:color w:val="auto"/>
                <w:lang w:val="en-US"/>
              </w:rPr>
            </w:pPr>
            <w:r w:rsidRPr="004B2415">
              <w:rPr>
                <w:color w:val="auto"/>
                <w:lang w:val="en-US"/>
              </w:rPr>
              <w:t xml:space="preserve">Point 89. Aid may be awarded concurrently under several aid schemes or cumulated with </w:t>
            </w:r>
            <w:r w:rsidRPr="004B2415">
              <w:rPr>
                <w:i/>
                <w:iCs/>
                <w:color w:val="auto"/>
                <w:lang w:val="en-US"/>
              </w:rPr>
              <w:t xml:space="preserve">ad hoc </w:t>
            </w:r>
            <w:r w:rsidRPr="004B2415">
              <w:rPr>
                <w:color w:val="auto"/>
                <w:lang w:val="en-US"/>
              </w:rPr>
              <w:t xml:space="preserve">aid, provided that the total amount of State aid for an activity or project does not exceed the aid ceilings laid down in this framework. As noted in point 11, Union funding centrally managed by the institutions, agencies, joint undertakings or other bodies of the Union that is not directly or indirectly under the control of Member States does not constitute State aid and should not be taken into account. Where such Union funding is combined with State aid, the total amount of public funding awarded in relation to the same eligible costs must however not exceed the most </w:t>
            </w:r>
            <w:proofErr w:type="spellStart"/>
            <w:r w:rsidRPr="004B2415">
              <w:rPr>
                <w:color w:val="auto"/>
                <w:lang w:val="en-US"/>
              </w:rPr>
              <w:t>favourable</w:t>
            </w:r>
            <w:proofErr w:type="spellEnd"/>
            <w:r w:rsidRPr="004B2415">
              <w:rPr>
                <w:color w:val="auto"/>
                <w:lang w:val="en-US"/>
              </w:rPr>
              <w:t xml:space="preserve"> funding rate laid down in the applicable rules of Union law. </w:t>
            </w:r>
          </w:p>
        </w:tc>
        <w:tc>
          <w:tcPr>
            <w:tcW w:w="7371" w:type="dxa"/>
          </w:tcPr>
          <w:p w14:paraId="64B412BD" w14:textId="77777777" w:rsidR="00DD6E3E" w:rsidRPr="004B2415" w:rsidRDefault="00DD6E3E">
            <w:pPr>
              <w:pStyle w:val="mt-translation"/>
              <w:jc w:val="both"/>
              <w:rPr>
                <w:lang w:val="en-US" w:eastAsia="en-US"/>
              </w:rPr>
            </w:pPr>
            <w:r w:rsidRPr="004B2415">
              <w:rPr>
                <w:lang w:val="en-US" w:eastAsia="en-US"/>
              </w:rPr>
              <w:t xml:space="preserve">In order to ensure that state aid rules are correctly respected in the practice, including </w:t>
            </w:r>
            <w:proofErr w:type="spellStart"/>
            <w:r w:rsidRPr="004B2415">
              <w:rPr>
                <w:lang w:val="en-US" w:eastAsia="en-US"/>
              </w:rPr>
              <w:t>cumulation</w:t>
            </w:r>
            <w:proofErr w:type="spellEnd"/>
            <w:r w:rsidRPr="004B2415">
              <w:rPr>
                <w:lang w:val="en-US" w:eastAsia="en-US"/>
              </w:rPr>
              <w:t xml:space="preserve"> and the maximum aid intensity, Latvia suggest</w:t>
            </w:r>
            <w:r w:rsidR="005F4836" w:rsidRPr="004B2415">
              <w:rPr>
                <w:lang w:val="en-US" w:eastAsia="en-US"/>
              </w:rPr>
              <w:t>s</w:t>
            </w:r>
            <w:r w:rsidRPr="004B2415">
              <w:rPr>
                <w:lang w:val="en-US" w:eastAsia="en-US"/>
              </w:rPr>
              <w:t xml:space="preserve"> to define that works on the project should only be started after all the granting authorities have taken all decisions on the granting of aid. </w:t>
            </w:r>
          </w:p>
          <w:p w14:paraId="6B3FC1E3" w14:textId="77777777" w:rsidR="00DD6E3E" w:rsidRPr="004B2415" w:rsidRDefault="00DD6E3E">
            <w:pPr>
              <w:jc w:val="both"/>
              <w:rPr>
                <w:szCs w:val="24"/>
                <w:lang w:val="en-US"/>
              </w:rPr>
            </w:pPr>
          </w:p>
        </w:tc>
      </w:tr>
      <w:tr w:rsidR="004B2415" w:rsidRPr="004B2415" w14:paraId="3196D81B" w14:textId="77777777" w:rsidTr="00854FDF">
        <w:trPr>
          <w:trHeight w:val="3133"/>
        </w:trPr>
        <w:tc>
          <w:tcPr>
            <w:tcW w:w="1594" w:type="dxa"/>
            <w:vMerge w:val="restart"/>
          </w:tcPr>
          <w:p w14:paraId="37E636E8" w14:textId="77777777" w:rsidR="00854FDF" w:rsidRPr="004B2415" w:rsidRDefault="00854FDF">
            <w:pPr>
              <w:pStyle w:val="ListParagraph"/>
              <w:numPr>
                <w:ilvl w:val="0"/>
                <w:numId w:val="1"/>
              </w:numPr>
              <w:jc w:val="both"/>
              <w:rPr>
                <w:sz w:val="24"/>
                <w:szCs w:val="24"/>
                <w:lang w:val="en-US"/>
              </w:rPr>
            </w:pPr>
          </w:p>
        </w:tc>
        <w:tc>
          <w:tcPr>
            <w:tcW w:w="5489" w:type="dxa"/>
            <w:vMerge w:val="restart"/>
          </w:tcPr>
          <w:p w14:paraId="15D52AAA" w14:textId="7BEBAB88" w:rsidR="00854FDF" w:rsidRPr="004B2415" w:rsidRDefault="00FD2D8A" w:rsidP="003F76A8">
            <w:pPr>
              <w:pStyle w:val="Default"/>
              <w:jc w:val="both"/>
              <w:rPr>
                <w:color w:val="auto"/>
                <w:lang w:val="en-US"/>
              </w:rPr>
            </w:pPr>
            <w:r w:rsidRPr="004B2415">
              <w:rPr>
                <w:color w:val="auto"/>
                <w:lang w:val="en-US"/>
              </w:rPr>
              <w:t xml:space="preserve">Point </w:t>
            </w:r>
            <w:r w:rsidR="00854FDF" w:rsidRPr="004B2415">
              <w:rPr>
                <w:color w:val="auto"/>
                <w:lang w:val="en-US"/>
              </w:rPr>
              <w:t>101. With the exception of individual aid awards below EUR 100,000, Member States must publish on a comprehensive State aid website, at national or regional level, at least the following information on notified State aid measures: the full text of the aid scheme and its implementing provisions or legal basis for individual aid, or a link to it; the identity of the aid awarding authority; the identity of individual beneficiaries; the form and amount of aid awarded to each beneficiary; the date of award; the type of beneficiary (SME or large enterprise); the region in which the beneficiary is located (at NUTS level II); and the principal economic sector in which the beneficiary has its ac</w:t>
            </w:r>
            <w:r w:rsidR="004B2415">
              <w:rPr>
                <w:color w:val="auto"/>
                <w:lang w:val="en-US"/>
              </w:rPr>
              <w:t>tivities (at NACE group level)</w:t>
            </w:r>
            <w:r w:rsidR="00854FDF" w:rsidRPr="004B2415">
              <w:rPr>
                <w:color w:val="auto"/>
                <w:lang w:val="en-US"/>
              </w:rPr>
              <w:t xml:space="preserve">. Such information must be published within six months after the awarding decision has been taken or, for fiscal measures, within one year from the date </w:t>
            </w:r>
          </w:p>
          <w:p w14:paraId="2DD28111" w14:textId="402D05B9" w:rsidR="00854FDF" w:rsidRPr="004B2415" w:rsidRDefault="00854FDF" w:rsidP="003F76A8">
            <w:pPr>
              <w:pStyle w:val="Default"/>
              <w:jc w:val="both"/>
              <w:rPr>
                <w:color w:val="auto"/>
                <w:lang w:val="en-US"/>
              </w:rPr>
            </w:pPr>
            <w:r w:rsidRPr="004B2415">
              <w:rPr>
                <w:color w:val="auto"/>
                <w:lang w:val="en-US"/>
              </w:rPr>
              <w:t xml:space="preserve">of the tax declaration, must be kept for at least ten years and must be available to the general public without restrictions. </w:t>
            </w:r>
          </w:p>
        </w:tc>
        <w:tc>
          <w:tcPr>
            <w:tcW w:w="7371" w:type="dxa"/>
          </w:tcPr>
          <w:p w14:paraId="7FAE43B0" w14:textId="77777777" w:rsidR="00854FDF" w:rsidRPr="004B2415" w:rsidRDefault="00854FDF">
            <w:pPr>
              <w:jc w:val="both"/>
              <w:rPr>
                <w:szCs w:val="24"/>
                <w:lang w:val="en-US"/>
              </w:rPr>
            </w:pPr>
            <w:r w:rsidRPr="004B2415">
              <w:rPr>
                <w:szCs w:val="24"/>
                <w:lang w:val="en-US"/>
              </w:rPr>
              <w:t>Member states use the IT platform established by the European Commission (Transparency Award module)</w:t>
            </w:r>
            <w:r w:rsidR="00C414F8" w:rsidRPr="004B2415">
              <w:rPr>
                <w:szCs w:val="24"/>
                <w:lang w:val="en-US"/>
              </w:rPr>
              <w:t>. I</w:t>
            </w:r>
            <w:r w:rsidRPr="004B2415">
              <w:rPr>
                <w:szCs w:val="24"/>
                <w:lang w:val="en-US"/>
              </w:rPr>
              <w:t>n order to ensure common approach to transparency requirements in the State aid regulations we propose to use the wording, e.g., as in Temporary framework regulation Article 88:</w:t>
            </w:r>
          </w:p>
          <w:p w14:paraId="5B67A0F6" w14:textId="77777777" w:rsidR="00854FDF" w:rsidRPr="004B2415" w:rsidRDefault="00854FDF">
            <w:pPr>
              <w:jc w:val="both"/>
              <w:rPr>
                <w:szCs w:val="24"/>
                <w:lang w:val="en-US"/>
              </w:rPr>
            </w:pPr>
            <w:r w:rsidRPr="004B2415">
              <w:rPr>
                <w:szCs w:val="24"/>
                <w:lang w:val="en-US"/>
              </w:rPr>
              <w:t>“1. [..] the Member States must publish on a comprehensive State aid website, at national or regional level, or Commission’s IT tool[1] [..]”.</w:t>
            </w:r>
          </w:p>
        </w:tc>
      </w:tr>
      <w:tr w:rsidR="004B2415" w:rsidRPr="004B2415" w14:paraId="2F4FB83F" w14:textId="77777777" w:rsidTr="003F76A8">
        <w:trPr>
          <w:trHeight w:val="2290"/>
        </w:trPr>
        <w:tc>
          <w:tcPr>
            <w:tcW w:w="1594" w:type="dxa"/>
            <w:vMerge/>
          </w:tcPr>
          <w:p w14:paraId="02ED5C61" w14:textId="77777777" w:rsidR="00854FDF" w:rsidRPr="004B2415" w:rsidRDefault="00854FDF">
            <w:pPr>
              <w:pStyle w:val="ListParagraph"/>
              <w:numPr>
                <w:ilvl w:val="0"/>
                <w:numId w:val="1"/>
              </w:numPr>
              <w:jc w:val="both"/>
              <w:rPr>
                <w:sz w:val="24"/>
                <w:szCs w:val="24"/>
                <w:lang w:val="en-US"/>
              </w:rPr>
            </w:pPr>
          </w:p>
        </w:tc>
        <w:tc>
          <w:tcPr>
            <w:tcW w:w="5489" w:type="dxa"/>
            <w:vMerge/>
          </w:tcPr>
          <w:p w14:paraId="66FD9D2C" w14:textId="77777777" w:rsidR="00854FDF" w:rsidRPr="004B2415" w:rsidRDefault="00854FDF" w:rsidP="003F76A8">
            <w:pPr>
              <w:pStyle w:val="Default"/>
              <w:jc w:val="both"/>
              <w:rPr>
                <w:color w:val="auto"/>
                <w:lang w:val="en-US"/>
              </w:rPr>
            </w:pPr>
          </w:p>
        </w:tc>
        <w:tc>
          <w:tcPr>
            <w:tcW w:w="7371" w:type="dxa"/>
          </w:tcPr>
          <w:p w14:paraId="2A839A13" w14:textId="77777777" w:rsidR="00DD6E3E" w:rsidRPr="004B2415" w:rsidRDefault="00DD6E3E">
            <w:pPr>
              <w:pStyle w:val="mt-translation"/>
              <w:jc w:val="both"/>
              <w:rPr>
                <w:lang w:val="en-US" w:eastAsia="en-US"/>
              </w:rPr>
            </w:pPr>
            <w:r w:rsidRPr="004B2415">
              <w:rPr>
                <w:lang w:val="en-US" w:eastAsia="en-US"/>
              </w:rPr>
              <w:t>The initial concept of the transparency requirement covered individual grants above the threshold of EUR 500 000. In the case of RDI aid, there is a disproportionate administrative burden</w:t>
            </w:r>
            <w:r w:rsidR="00A7005A" w:rsidRPr="004B2415">
              <w:rPr>
                <w:lang w:val="en-US" w:eastAsia="en-US"/>
              </w:rPr>
              <w:t xml:space="preserve"> foreseen here</w:t>
            </w:r>
            <w:r w:rsidRPr="004B2415">
              <w:rPr>
                <w:lang w:val="en-US" w:eastAsia="en-US"/>
              </w:rPr>
              <w:t xml:space="preserve"> on the provision of transparency requirements for each aid award granted, regardless of its threshold. Therefore, Latvian authorities insist on keeping the initial concept that the transparency requirement </w:t>
            </w:r>
            <w:r w:rsidR="005F4836" w:rsidRPr="004B2415">
              <w:rPr>
                <w:lang w:val="en-US" w:eastAsia="en-US"/>
              </w:rPr>
              <w:t xml:space="preserve">applies </w:t>
            </w:r>
            <w:r w:rsidRPr="004B2415">
              <w:rPr>
                <w:lang w:val="en-US" w:eastAsia="en-US"/>
              </w:rPr>
              <w:t>to individual grants above the threshold of EUR 500 000.</w:t>
            </w:r>
          </w:p>
          <w:p w14:paraId="15BA8367" w14:textId="77777777" w:rsidR="00854FDF" w:rsidRPr="004B2415" w:rsidRDefault="00854FDF">
            <w:pPr>
              <w:jc w:val="both"/>
              <w:rPr>
                <w:szCs w:val="24"/>
                <w:lang w:val="en-US"/>
              </w:rPr>
            </w:pPr>
          </w:p>
        </w:tc>
      </w:tr>
      <w:tr w:rsidR="004B2415" w:rsidRPr="004B2415" w14:paraId="01FF3BF6" w14:textId="77777777" w:rsidTr="00E86DE8">
        <w:trPr>
          <w:trHeight w:val="1390"/>
        </w:trPr>
        <w:tc>
          <w:tcPr>
            <w:tcW w:w="1594" w:type="dxa"/>
          </w:tcPr>
          <w:p w14:paraId="205C1AB6" w14:textId="77777777" w:rsidR="00742B15" w:rsidRPr="004B2415" w:rsidRDefault="00742B15">
            <w:pPr>
              <w:pStyle w:val="ListParagraph"/>
              <w:numPr>
                <w:ilvl w:val="0"/>
                <w:numId w:val="1"/>
              </w:numPr>
              <w:jc w:val="both"/>
              <w:rPr>
                <w:sz w:val="24"/>
                <w:szCs w:val="24"/>
                <w:lang w:val="en-US"/>
              </w:rPr>
            </w:pPr>
          </w:p>
        </w:tc>
        <w:tc>
          <w:tcPr>
            <w:tcW w:w="5489" w:type="dxa"/>
          </w:tcPr>
          <w:p w14:paraId="08797915" w14:textId="77777777" w:rsidR="00FB5D94" w:rsidRPr="004B2415" w:rsidRDefault="00FD2D8A">
            <w:pPr>
              <w:pStyle w:val="Default"/>
              <w:jc w:val="both"/>
              <w:rPr>
                <w:color w:val="auto"/>
                <w:lang w:val="en-US"/>
              </w:rPr>
            </w:pPr>
            <w:r w:rsidRPr="004B2415">
              <w:rPr>
                <w:color w:val="auto"/>
                <w:lang w:val="en-US"/>
              </w:rPr>
              <w:t xml:space="preserve">Point </w:t>
            </w:r>
            <w:r w:rsidR="00FB5D94" w:rsidRPr="004B2415">
              <w:rPr>
                <w:color w:val="auto"/>
                <w:lang w:val="en-US"/>
              </w:rPr>
              <w:t xml:space="preserve">145. In the case of aid schemes excluded from the scope of a block exemption Regulation exclusively on the grounds of their large budget, the Commission will assess their compatibility solely on the basis of the evaluation plan. </w:t>
            </w:r>
          </w:p>
          <w:p w14:paraId="3726E09D" w14:textId="77777777" w:rsidR="00742B15" w:rsidRPr="004B2415" w:rsidRDefault="00742B15">
            <w:pPr>
              <w:jc w:val="both"/>
              <w:rPr>
                <w:szCs w:val="24"/>
                <w:lang w:val="en-US"/>
              </w:rPr>
            </w:pPr>
          </w:p>
        </w:tc>
        <w:tc>
          <w:tcPr>
            <w:tcW w:w="7371" w:type="dxa"/>
          </w:tcPr>
          <w:p w14:paraId="6983B389" w14:textId="77777777" w:rsidR="00A7005A" w:rsidRPr="004B2415" w:rsidRDefault="00A96D9D" w:rsidP="00B2262F">
            <w:pPr>
              <w:spacing w:after="120"/>
              <w:ind w:right="34"/>
              <w:contextualSpacing/>
              <w:jc w:val="both"/>
              <w:rPr>
                <w:rFonts w:eastAsia="Times New Roman"/>
                <w:szCs w:val="24"/>
                <w:lang w:val="en-US"/>
              </w:rPr>
            </w:pPr>
            <w:r w:rsidRPr="004B2415">
              <w:rPr>
                <w:szCs w:val="24"/>
                <w:lang w:val="en-US"/>
              </w:rPr>
              <w:t>For legal certainty</w:t>
            </w:r>
            <w:r w:rsidR="00A7005A" w:rsidRPr="004B2415">
              <w:rPr>
                <w:szCs w:val="24"/>
                <w:lang w:val="en-US"/>
              </w:rPr>
              <w:t>,</w:t>
            </w:r>
            <w:r w:rsidRPr="004B2415">
              <w:rPr>
                <w:szCs w:val="24"/>
                <w:lang w:val="en-US"/>
              </w:rPr>
              <w:t xml:space="preserve"> pleas</w:t>
            </w:r>
            <w:r w:rsidR="00A7005A" w:rsidRPr="004B2415">
              <w:rPr>
                <w:szCs w:val="24"/>
                <w:lang w:val="en-US"/>
              </w:rPr>
              <w:t>e clarify whether</w:t>
            </w:r>
            <w:r w:rsidRPr="004B2415">
              <w:rPr>
                <w:szCs w:val="24"/>
                <w:lang w:val="en-US"/>
              </w:rPr>
              <w:t xml:space="preserve"> in case of aid schemes excluded from the scope of a block exemption Regulation exclusively on the grounds of their large budget, the Commission will assess their compatibility based on the evaluation plan and block exemption Regulation or based on the evaluation plan and RDI</w:t>
            </w:r>
            <w:r w:rsidR="00A7005A" w:rsidRPr="004B2415">
              <w:rPr>
                <w:szCs w:val="24"/>
                <w:lang w:val="en-US"/>
              </w:rPr>
              <w:t xml:space="preserve"> Guidelines</w:t>
            </w:r>
            <w:r w:rsidRPr="004B2415">
              <w:rPr>
                <w:szCs w:val="24"/>
                <w:lang w:val="en-US"/>
              </w:rPr>
              <w:t>.</w:t>
            </w:r>
            <w:r w:rsidR="00A7005A" w:rsidRPr="004B2415">
              <w:rPr>
                <w:rFonts w:eastAsia="Times New Roman"/>
                <w:szCs w:val="24"/>
                <w:lang w:val="en-US"/>
              </w:rPr>
              <w:t xml:space="preserve"> Please add this clarification in the Guidelines.</w:t>
            </w:r>
          </w:p>
          <w:p w14:paraId="7C8B7A10" w14:textId="77777777" w:rsidR="00A96D9D" w:rsidRPr="004B2415" w:rsidRDefault="00A96D9D">
            <w:pPr>
              <w:pStyle w:val="Default"/>
              <w:jc w:val="both"/>
              <w:rPr>
                <w:color w:val="auto"/>
                <w:lang w:val="en-US"/>
              </w:rPr>
            </w:pPr>
          </w:p>
          <w:p w14:paraId="0DD6BC37" w14:textId="77777777" w:rsidR="00742B15" w:rsidRPr="004B2415" w:rsidRDefault="00742B15">
            <w:pPr>
              <w:jc w:val="both"/>
              <w:rPr>
                <w:szCs w:val="24"/>
                <w:lang w:val="en-US"/>
              </w:rPr>
            </w:pPr>
          </w:p>
        </w:tc>
      </w:tr>
      <w:tr w:rsidR="004B2415" w:rsidRPr="004B2415" w14:paraId="405D43D5" w14:textId="77777777" w:rsidTr="00E86DE8">
        <w:trPr>
          <w:trHeight w:val="1390"/>
        </w:trPr>
        <w:tc>
          <w:tcPr>
            <w:tcW w:w="1594" w:type="dxa"/>
          </w:tcPr>
          <w:p w14:paraId="37AC05C3" w14:textId="77777777" w:rsidR="005B2334" w:rsidRPr="004B2415" w:rsidRDefault="005B2334">
            <w:pPr>
              <w:pStyle w:val="ListParagraph"/>
              <w:numPr>
                <w:ilvl w:val="0"/>
                <w:numId w:val="1"/>
              </w:numPr>
              <w:jc w:val="both"/>
              <w:rPr>
                <w:sz w:val="24"/>
                <w:szCs w:val="24"/>
                <w:lang w:val="en-US"/>
              </w:rPr>
            </w:pPr>
          </w:p>
        </w:tc>
        <w:tc>
          <w:tcPr>
            <w:tcW w:w="5489" w:type="dxa"/>
          </w:tcPr>
          <w:p w14:paraId="5D65E8ED" w14:textId="77777777" w:rsidR="005B2334" w:rsidRPr="004B2415" w:rsidRDefault="00FD2D8A" w:rsidP="003F76A8">
            <w:pPr>
              <w:pStyle w:val="Default"/>
              <w:jc w:val="both"/>
              <w:rPr>
                <w:color w:val="auto"/>
                <w:lang w:val="en-US"/>
              </w:rPr>
            </w:pPr>
            <w:r w:rsidRPr="004B2415">
              <w:rPr>
                <w:color w:val="auto"/>
                <w:lang w:val="en-US"/>
              </w:rPr>
              <w:t xml:space="preserve">Point </w:t>
            </w:r>
            <w:r w:rsidR="005B2334" w:rsidRPr="004B2415">
              <w:rPr>
                <w:color w:val="auto"/>
                <w:lang w:val="en-US"/>
              </w:rPr>
              <w:t xml:space="preserve">147. In accordance with Council Regulation (EC) No 659/199964 and Commission Regulation (EC) No 794/200465 Member States must submit annual reports to the Commission. </w:t>
            </w:r>
          </w:p>
          <w:p w14:paraId="29A5A9D6" w14:textId="77777777" w:rsidR="005B2334" w:rsidRPr="004B2415" w:rsidRDefault="005B2334">
            <w:pPr>
              <w:pStyle w:val="Default"/>
              <w:jc w:val="both"/>
              <w:rPr>
                <w:color w:val="auto"/>
                <w:lang w:val="en-US"/>
              </w:rPr>
            </w:pPr>
          </w:p>
        </w:tc>
        <w:tc>
          <w:tcPr>
            <w:tcW w:w="7371" w:type="dxa"/>
          </w:tcPr>
          <w:p w14:paraId="53713322" w14:textId="77777777" w:rsidR="0029508E" w:rsidRPr="004B2415" w:rsidRDefault="002F0523">
            <w:pPr>
              <w:jc w:val="both"/>
              <w:rPr>
                <w:szCs w:val="24"/>
                <w:lang w:val="en-US"/>
              </w:rPr>
            </w:pPr>
            <w:r w:rsidRPr="004B2415">
              <w:rPr>
                <w:szCs w:val="24"/>
                <w:lang w:val="en-US"/>
              </w:rPr>
              <w:t>Technical</w:t>
            </w:r>
            <w:r w:rsidR="0029508E" w:rsidRPr="004B2415">
              <w:rPr>
                <w:szCs w:val="24"/>
                <w:lang w:val="en-US"/>
              </w:rPr>
              <w:t xml:space="preserve"> comment: </w:t>
            </w:r>
          </w:p>
          <w:p w14:paraId="38C388A0" w14:textId="77777777" w:rsidR="0029508E" w:rsidRPr="004B2415" w:rsidRDefault="0029508E">
            <w:pPr>
              <w:jc w:val="both"/>
              <w:rPr>
                <w:rFonts w:eastAsia="Times New Roman"/>
                <w:szCs w:val="24"/>
                <w:lang w:val="en-US"/>
              </w:rPr>
            </w:pPr>
            <w:r w:rsidRPr="004B2415">
              <w:rPr>
                <w:szCs w:val="24"/>
                <w:lang w:val="en-US"/>
              </w:rPr>
              <w:t>Please</w:t>
            </w:r>
            <w:r w:rsidR="00A7005A" w:rsidRPr="004B2415">
              <w:rPr>
                <w:szCs w:val="24"/>
                <w:lang w:val="en-US"/>
              </w:rPr>
              <w:t>, take note</w:t>
            </w:r>
            <w:r w:rsidRPr="004B2415">
              <w:rPr>
                <w:szCs w:val="24"/>
                <w:lang w:val="en-US"/>
              </w:rPr>
              <w:t xml:space="preserve"> that </w:t>
            </w:r>
            <w:r w:rsidR="00A7005A" w:rsidRPr="004B2415">
              <w:rPr>
                <w:szCs w:val="24"/>
                <w:lang w:val="en-US"/>
              </w:rPr>
              <w:t>in</w:t>
            </w:r>
            <w:r w:rsidRPr="004B2415">
              <w:rPr>
                <w:szCs w:val="24"/>
                <w:lang w:val="en-US"/>
              </w:rPr>
              <w:t xml:space="preserve"> point 147 and a</w:t>
            </w:r>
            <w:r w:rsidR="00A7005A" w:rsidRPr="004B2415">
              <w:rPr>
                <w:szCs w:val="24"/>
                <w:lang w:val="en-US"/>
              </w:rPr>
              <w:t>lso in footnote N</w:t>
            </w:r>
            <w:r w:rsidRPr="004B2415">
              <w:rPr>
                <w:szCs w:val="24"/>
                <w:lang w:val="en-US"/>
              </w:rPr>
              <w:t xml:space="preserve">o. </w:t>
            </w:r>
            <w:r w:rsidR="00A7005A" w:rsidRPr="004B2415">
              <w:rPr>
                <w:szCs w:val="24"/>
                <w:lang w:val="en-US"/>
              </w:rPr>
              <w:t>58,</w:t>
            </w:r>
            <w:r w:rsidRPr="004B2415">
              <w:rPr>
                <w:szCs w:val="24"/>
                <w:lang w:val="en-US"/>
              </w:rPr>
              <w:t xml:space="preserve"> 64</w:t>
            </w:r>
            <w:r w:rsidR="00A7005A" w:rsidRPr="004B2415">
              <w:rPr>
                <w:szCs w:val="24"/>
                <w:lang w:val="en-US"/>
              </w:rPr>
              <w:t>,</w:t>
            </w:r>
            <w:r w:rsidRPr="004B2415">
              <w:rPr>
                <w:szCs w:val="24"/>
                <w:lang w:val="en-US"/>
              </w:rPr>
              <w:t xml:space="preserve"> </w:t>
            </w:r>
            <w:r w:rsidR="00A7005A" w:rsidRPr="004B2415">
              <w:rPr>
                <w:szCs w:val="24"/>
                <w:lang w:val="en-US"/>
              </w:rPr>
              <w:t>and 65</w:t>
            </w:r>
            <w:r w:rsidRPr="004B2415">
              <w:rPr>
                <w:szCs w:val="24"/>
                <w:lang w:val="en-US"/>
              </w:rPr>
              <w:t xml:space="preserve"> the Council Regulation (EC) No 659/</w:t>
            </w:r>
            <w:r w:rsidR="008036D6" w:rsidRPr="004B2415">
              <w:rPr>
                <w:szCs w:val="24"/>
                <w:lang w:val="en-US"/>
              </w:rPr>
              <w:t>1999 is</w:t>
            </w:r>
            <w:r w:rsidR="00A7005A" w:rsidRPr="004B2415">
              <w:rPr>
                <w:szCs w:val="24"/>
                <w:lang w:val="en-US"/>
              </w:rPr>
              <w:t xml:space="preserve"> mentioned, however it is no longer in force and are</w:t>
            </w:r>
            <w:r w:rsidRPr="004B2415">
              <w:rPr>
                <w:szCs w:val="24"/>
                <w:lang w:val="en-US"/>
              </w:rPr>
              <w:t xml:space="preserve"> replaced by the Council Regulation (EU) 2015/1589 of 13 July 2015 laying down detailed rules for the application of Article 108 of the Treaty on the Functioning of the European Union. </w:t>
            </w:r>
          </w:p>
        </w:tc>
      </w:tr>
    </w:tbl>
    <w:p w14:paraId="550016D2" w14:textId="77777777" w:rsidR="00854A78" w:rsidRPr="004B2415" w:rsidRDefault="00854A78">
      <w:pPr>
        <w:jc w:val="both"/>
        <w:rPr>
          <w:lang w:val="en-US"/>
        </w:rPr>
      </w:pPr>
    </w:p>
    <w:p w14:paraId="7F786B53" w14:textId="77777777" w:rsidR="00C32B7B" w:rsidRPr="004B2415" w:rsidRDefault="00C32B7B">
      <w:pPr>
        <w:jc w:val="both"/>
        <w:rPr>
          <w:lang w:val="en-US"/>
        </w:rPr>
      </w:pPr>
    </w:p>
    <w:sectPr w:rsidR="00C32B7B" w:rsidRPr="004B2415" w:rsidSect="00C3312B">
      <w:headerReference w:type="default" r:id="rId9"/>
      <w:footerReference w:type="default" r:id="rId10"/>
      <w:pgSz w:w="16838" w:h="11906" w:orient="landscape"/>
      <w:pgMar w:top="1800" w:right="1440" w:bottom="180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1E802" w16cex:dateUtc="2021-06-0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BA44B7" w16cid:durableId="2461E0B9"/>
  <w16cid:commentId w16cid:paraId="7BB0D975" w16cid:durableId="2461E802"/>
  <w16cid:commentId w16cid:paraId="09EAFA2C" w16cid:durableId="2461E0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DAD2B" w14:textId="77777777" w:rsidR="009B5F76" w:rsidRDefault="009B5F76" w:rsidP="00ED6742">
      <w:r>
        <w:separator/>
      </w:r>
    </w:p>
  </w:endnote>
  <w:endnote w:type="continuationSeparator" w:id="0">
    <w:p w14:paraId="6ED0714E" w14:textId="77777777" w:rsidR="009B5F76" w:rsidRDefault="009B5F76" w:rsidP="00ED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7BB3C" w14:textId="3E5ED06D" w:rsidR="00ED6742" w:rsidRPr="008C2F35" w:rsidRDefault="004B2415" w:rsidP="008C2F35">
    <w:pPr>
      <w:pStyle w:val="Footer"/>
    </w:pPr>
    <w:fldSimple w:instr=" FILENAME \* MERGEFORMAT ">
      <w:r w:rsidR="00726B84">
        <w:rPr>
          <w:noProof/>
        </w:rPr>
        <w:t>Latvian comments HT.5</w:t>
      </w:r>
      <w:r w:rsidR="005F0210">
        <w:rPr>
          <w:noProof/>
        </w:rPr>
        <w:t>967</w:t>
      </w:r>
      <w:r w:rsidR="00726B84">
        <w:rPr>
          <w:noProof/>
        </w:rPr>
        <w:t>.docx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D8766" w14:textId="77777777" w:rsidR="009B5F76" w:rsidRDefault="009B5F76" w:rsidP="00ED6742">
      <w:r>
        <w:separator/>
      </w:r>
    </w:p>
  </w:footnote>
  <w:footnote w:type="continuationSeparator" w:id="0">
    <w:p w14:paraId="6A32DE95" w14:textId="77777777" w:rsidR="009B5F76" w:rsidRDefault="009B5F76" w:rsidP="00ED6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613989"/>
      <w:docPartObj>
        <w:docPartGallery w:val="Page Numbers (Top of Page)"/>
        <w:docPartUnique/>
      </w:docPartObj>
    </w:sdtPr>
    <w:sdtEndPr>
      <w:rPr>
        <w:noProof/>
      </w:rPr>
    </w:sdtEndPr>
    <w:sdtContent>
      <w:p w14:paraId="4044CD9F" w14:textId="5EF5A056" w:rsidR="003B16FB" w:rsidRDefault="003B16FB">
        <w:pPr>
          <w:pStyle w:val="Header"/>
          <w:jc w:val="center"/>
        </w:pPr>
        <w:r>
          <w:fldChar w:fldCharType="begin"/>
        </w:r>
        <w:r>
          <w:instrText xml:space="preserve"> PAGE   \* MERGEFORMAT </w:instrText>
        </w:r>
        <w:r>
          <w:fldChar w:fldCharType="separate"/>
        </w:r>
        <w:r w:rsidR="00856646">
          <w:rPr>
            <w:noProof/>
          </w:rPr>
          <w:t>1</w:t>
        </w:r>
        <w:r>
          <w:rPr>
            <w:noProof/>
          </w:rPr>
          <w:fldChar w:fldCharType="end"/>
        </w:r>
      </w:p>
    </w:sdtContent>
  </w:sdt>
  <w:p w14:paraId="2A9113CC" w14:textId="77777777" w:rsidR="003B16FB" w:rsidRDefault="003B1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4666"/>
    <w:multiLevelType w:val="hybridMultilevel"/>
    <w:tmpl w:val="DC9E254E"/>
    <w:lvl w:ilvl="0" w:tplc="04260001">
      <w:start w:val="1"/>
      <w:numFmt w:val="bullet"/>
      <w:lvlText w:val=""/>
      <w:lvlJc w:val="left"/>
      <w:pPr>
        <w:ind w:left="787" w:hanging="360"/>
      </w:pPr>
      <w:rPr>
        <w:rFonts w:ascii="Symbol" w:hAnsi="Symbol" w:hint="default"/>
      </w:rPr>
    </w:lvl>
    <w:lvl w:ilvl="1" w:tplc="04260003" w:tentative="1">
      <w:start w:val="1"/>
      <w:numFmt w:val="bullet"/>
      <w:lvlText w:val="o"/>
      <w:lvlJc w:val="left"/>
      <w:pPr>
        <w:ind w:left="1507" w:hanging="360"/>
      </w:pPr>
      <w:rPr>
        <w:rFonts w:ascii="Courier New" w:hAnsi="Courier New" w:cs="Courier New" w:hint="default"/>
      </w:rPr>
    </w:lvl>
    <w:lvl w:ilvl="2" w:tplc="04260005" w:tentative="1">
      <w:start w:val="1"/>
      <w:numFmt w:val="bullet"/>
      <w:lvlText w:val=""/>
      <w:lvlJc w:val="left"/>
      <w:pPr>
        <w:ind w:left="2227" w:hanging="360"/>
      </w:pPr>
      <w:rPr>
        <w:rFonts w:ascii="Wingdings" w:hAnsi="Wingdings" w:hint="default"/>
      </w:rPr>
    </w:lvl>
    <w:lvl w:ilvl="3" w:tplc="04260001" w:tentative="1">
      <w:start w:val="1"/>
      <w:numFmt w:val="bullet"/>
      <w:lvlText w:val=""/>
      <w:lvlJc w:val="left"/>
      <w:pPr>
        <w:ind w:left="2947" w:hanging="360"/>
      </w:pPr>
      <w:rPr>
        <w:rFonts w:ascii="Symbol" w:hAnsi="Symbol" w:hint="default"/>
      </w:rPr>
    </w:lvl>
    <w:lvl w:ilvl="4" w:tplc="04260003" w:tentative="1">
      <w:start w:val="1"/>
      <w:numFmt w:val="bullet"/>
      <w:lvlText w:val="o"/>
      <w:lvlJc w:val="left"/>
      <w:pPr>
        <w:ind w:left="3667" w:hanging="360"/>
      </w:pPr>
      <w:rPr>
        <w:rFonts w:ascii="Courier New" w:hAnsi="Courier New" w:cs="Courier New" w:hint="default"/>
      </w:rPr>
    </w:lvl>
    <w:lvl w:ilvl="5" w:tplc="04260005" w:tentative="1">
      <w:start w:val="1"/>
      <w:numFmt w:val="bullet"/>
      <w:lvlText w:val=""/>
      <w:lvlJc w:val="left"/>
      <w:pPr>
        <w:ind w:left="4387" w:hanging="360"/>
      </w:pPr>
      <w:rPr>
        <w:rFonts w:ascii="Wingdings" w:hAnsi="Wingdings" w:hint="default"/>
      </w:rPr>
    </w:lvl>
    <w:lvl w:ilvl="6" w:tplc="04260001" w:tentative="1">
      <w:start w:val="1"/>
      <w:numFmt w:val="bullet"/>
      <w:lvlText w:val=""/>
      <w:lvlJc w:val="left"/>
      <w:pPr>
        <w:ind w:left="5107" w:hanging="360"/>
      </w:pPr>
      <w:rPr>
        <w:rFonts w:ascii="Symbol" w:hAnsi="Symbol" w:hint="default"/>
      </w:rPr>
    </w:lvl>
    <w:lvl w:ilvl="7" w:tplc="04260003" w:tentative="1">
      <w:start w:val="1"/>
      <w:numFmt w:val="bullet"/>
      <w:lvlText w:val="o"/>
      <w:lvlJc w:val="left"/>
      <w:pPr>
        <w:ind w:left="5827" w:hanging="360"/>
      </w:pPr>
      <w:rPr>
        <w:rFonts w:ascii="Courier New" w:hAnsi="Courier New" w:cs="Courier New" w:hint="default"/>
      </w:rPr>
    </w:lvl>
    <w:lvl w:ilvl="8" w:tplc="04260005" w:tentative="1">
      <w:start w:val="1"/>
      <w:numFmt w:val="bullet"/>
      <w:lvlText w:val=""/>
      <w:lvlJc w:val="left"/>
      <w:pPr>
        <w:ind w:left="6547" w:hanging="360"/>
      </w:pPr>
      <w:rPr>
        <w:rFonts w:ascii="Wingdings" w:hAnsi="Wingdings" w:hint="default"/>
      </w:rPr>
    </w:lvl>
  </w:abstractNum>
  <w:abstractNum w:abstractNumId="1" w15:restartNumberingAfterBreak="0">
    <w:nsid w:val="198F4030"/>
    <w:multiLevelType w:val="hybridMultilevel"/>
    <w:tmpl w:val="69B0123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A1A0C55"/>
    <w:multiLevelType w:val="hybridMultilevel"/>
    <w:tmpl w:val="8ED62A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CE73C3"/>
    <w:multiLevelType w:val="hybridMultilevel"/>
    <w:tmpl w:val="CE1EE9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7103B76"/>
    <w:multiLevelType w:val="hybridMultilevel"/>
    <w:tmpl w:val="2F8C78B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9876A7F"/>
    <w:multiLevelType w:val="hybridMultilevel"/>
    <w:tmpl w:val="2E9EB34E"/>
    <w:lvl w:ilvl="0" w:tplc="5358CD4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66D3106"/>
    <w:multiLevelType w:val="hybridMultilevel"/>
    <w:tmpl w:val="30A8FD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7B972A8"/>
    <w:multiLevelType w:val="hybridMultilevel"/>
    <w:tmpl w:val="090A1928"/>
    <w:lvl w:ilvl="0" w:tplc="812E54D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7332737"/>
    <w:multiLevelType w:val="hybridMultilevel"/>
    <w:tmpl w:val="AB46202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78383DC3"/>
    <w:multiLevelType w:val="hybridMultilevel"/>
    <w:tmpl w:val="F7AAFCDC"/>
    <w:lvl w:ilvl="0" w:tplc="1B24787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12B"/>
    <w:rsid w:val="000052D9"/>
    <w:rsid w:val="000057D5"/>
    <w:rsid w:val="00020BF2"/>
    <w:rsid w:val="00037FC7"/>
    <w:rsid w:val="00040725"/>
    <w:rsid w:val="00056A31"/>
    <w:rsid w:val="00057C2D"/>
    <w:rsid w:val="00057E4E"/>
    <w:rsid w:val="00061E03"/>
    <w:rsid w:val="00065341"/>
    <w:rsid w:val="00080D7C"/>
    <w:rsid w:val="0008262A"/>
    <w:rsid w:val="00093891"/>
    <w:rsid w:val="000A33CF"/>
    <w:rsid w:val="000A6F52"/>
    <w:rsid w:val="000B3F18"/>
    <w:rsid w:val="000D17B1"/>
    <w:rsid w:val="000D1D54"/>
    <w:rsid w:val="000D21A4"/>
    <w:rsid w:val="000D45A8"/>
    <w:rsid w:val="000F4078"/>
    <w:rsid w:val="00101DA4"/>
    <w:rsid w:val="00104911"/>
    <w:rsid w:val="00121DA8"/>
    <w:rsid w:val="00160E65"/>
    <w:rsid w:val="00160EA1"/>
    <w:rsid w:val="00161292"/>
    <w:rsid w:val="0018032A"/>
    <w:rsid w:val="00181D5E"/>
    <w:rsid w:val="00185C1D"/>
    <w:rsid w:val="00185DED"/>
    <w:rsid w:val="001A0242"/>
    <w:rsid w:val="001C56FF"/>
    <w:rsid w:val="001D1ECB"/>
    <w:rsid w:val="00206F69"/>
    <w:rsid w:val="00216405"/>
    <w:rsid w:val="00221ABB"/>
    <w:rsid w:val="002272A4"/>
    <w:rsid w:val="00233ED9"/>
    <w:rsid w:val="00242EC6"/>
    <w:rsid w:val="0025663F"/>
    <w:rsid w:val="00256727"/>
    <w:rsid w:val="0026739C"/>
    <w:rsid w:val="00275201"/>
    <w:rsid w:val="00293366"/>
    <w:rsid w:val="0029508E"/>
    <w:rsid w:val="00297E3B"/>
    <w:rsid w:val="00297EAC"/>
    <w:rsid w:val="002A4148"/>
    <w:rsid w:val="002D328F"/>
    <w:rsid w:val="002D6766"/>
    <w:rsid w:val="002E1105"/>
    <w:rsid w:val="002F0523"/>
    <w:rsid w:val="00312171"/>
    <w:rsid w:val="003323CC"/>
    <w:rsid w:val="0034089F"/>
    <w:rsid w:val="00361561"/>
    <w:rsid w:val="00385454"/>
    <w:rsid w:val="003871C4"/>
    <w:rsid w:val="00394B9C"/>
    <w:rsid w:val="003A3293"/>
    <w:rsid w:val="003A5BD0"/>
    <w:rsid w:val="003B16FB"/>
    <w:rsid w:val="003B5B83"/>
    <w:rsid w:val="003D2939"/>
    <w:rsid w:val="003D2BCB"/>
    <w:rsid w:val="003E0E5C"/>
    <w:rsid w:val="003E1302"/>
    <w:rsid w:val="003E228D"/>
    <w:rsid w:val="003E668F"/>
    <w:rsid w:val="003E7A04"/>
    <w:rsid w:val="003F0156"/>
    <w:rsid w:val="003F21FC"/>
    <w:rsid w:val="003F697E"/>
    <w:rsid w:val="003F76A8"/>
    <w:rsid w:val="00403BB5"/>
    <w:rsid w:val="00441096"/>
    <w:rsid w:val="00452A0A"/>
    <w:rsid w:val="00491AC6"/>
    <w:rsid w:val="0049210E"/>
    <w:rsid w:val="00492AFE"/>
    <w:rsid w:val="004A26EF"/>
    <w:rsid w:val="004A3845"/>
    <w:rsid w:val="004A58E7"/>
    <w:rsid w:val="004B2415"/>
    <w:rsid w:val="004C4851"/>
    <w:rsid w:val="004D6281"/>
    <w:rsid w:val="004E55FA"/>
    <w:rsid w:val="004E6301"/>
    <w:rsid w:val="004E6353"/>
    <w:rsid w:val="004F755B"/>
    <w:rsid w:val="00505815"/>
    <w:rsid w:val="00514CC4"/>
    <w:rsid w:val="00524ED9"/>
    <w:rsid w:val="005400C8"/>
    <w:rsid w:val="005472D2"/>
    <w:rsid w:val="0055194A"/>
    <w:rsid w:val="00551DAB"/>
    <w:rsid w:val="00557B0F"/>
    <w:rsid w:val="005923EF"/>
    <w:rsid w:val="005B2334"/>
    <w:rsid w:val="005D5C5A"/>
    <w:rsid w:val="005F0210"/>
    <w:rsid w:val="005F4836"/>
    <w:rsid w:val="006010CA"/>
    <w:rsid w:val="00605FFD"/>
    <w:rsid w:val="006147DA"/>
    <w:rsid w:val="006322A6"/>
    <w:rsid w:val="0064187D"/>
    <w:rsid w:val="00671315"/>
    <w:rsid w:val="00683E67"/>
    <w:rsid w:val="006921BE"/>
    <w:rsid w:val="00693B03"/>
    <w:rsid w:val="006D001E"/>
    <w:rsid w:val="006F4FDA"/>
    <w:rsid w:val="006F799B"/>
    <w:rsid w:val="00713215"/>
    <w:rsid w:val="0071638A"/>
    <w:rsid w:val="00726B84"/>
    <w:rsid w:val="00730312"/>
    <w:rsid w:val="00730C55"/>
    <w:rsid w:val="007401C5"/>
    <w:rsid w:val="00742B15"/>
    <w:rsid w:val="00746551"/>
    <w:rsid w:val="00754843"/>
    <w:rsid w:val="00790DBF"/>
    <w:rsid w:val="007A2A4A"/>
    <w:rsid w:val="007A4748"/>
    <w:rsid w:val="007B648C"/>
    <w:rsid w:val="008036D6"/>
    <w:rsid w:val="00805C28"/>
    <w:rsid w:val="00810C35"/>
    <w:rsid w:val="00821A77"/>
    <w:rsid w:val="00835102"/>
    <w:rsid w:val="00847DB8"/>
    <w:rsid w:val="0085091C"/>
    <w:rsid w:val="00854A78"/>
    <w:rsid w:val="00854FDF"/>
    <w:rsid w:val="00856646"/>
    <w:rsid w:val="00872FC5"/>
    <w:rsid w:val="008834F2"/>
    <w:rsid w:val="00893FF2"/>
    <w:rsid w:val="008C2F35"/>
    <w:rsid w:val="008C509B"/>
    <w:rsid w:val="008D2A03"/>
    <w:rsid w:val="008E13C0"/>
    <w:rsid w:val="008F07E8"/>
    <w:rsid w:val="008F13D8"/>
    <w:rsid w:val="00903059"/>
    <w:rsid w:val="00903CDF"/>
    <w:rsid w:val="009128EB"/>
    <w:rsid w:val="0092625B"/>
    <w:rsid w:val="00926C99"/>
    <w:rsid w:val="00932450"/>
    <w:rsid w:val="0093441B"/>
    <w:rsid w:val="0093661F"/>
    <w:rsid w:val="00941775"/>
    <w:rsid w:val="00976766"/>
    <w:rsid w:val="00983A56"/>
    <w:rsid w:val="00997B3A"/>
    <w:rsid w:val="009B2C52"/>
    <w:rsid w:val="009B5F76"/>
    <w:rsid w:val="009C54DB"/>
    <w:rsid w:val="009E2DCD"/>
    <w:rsid w:val="009E49B1"/>
    <w:rsid w:val="00A01987"/>
    <w:rsid w:val="00A02606"/>
    <w:rsid w:val="00A15DAE"/>
    <w:rsid w:val="00A43F32"/>
    <w:rsid w:val="00A51C52"/>
    <w:rsid w:val="00A7005A"/>
    <w:rsid w:val="00A727CF"/>
    <w:rsid w:val="00A75799"/>
    <w:rsid w:val="00A86150"/>
    <w:rsid w:val="00A9245C"/>
    <w:rsid w:val="00A96D9D"/>
    <w:rsid w:val="00AA3F00"/>
    <w:rsid w:val="00AB0CD0"/>
    <w:rsid w:val="00AB778B"/>
    <w:rsid w:val="00AD61EF"/>
    <w:rsid w:val="00B21F7C"/>
    <w:rsid w:val="00B2262F"/>
    <w:rsid w:val="00B30BD0"/>
    <w:rsid w:val="00B4052D"/>
    <w:rsid w:val="00B4582C"/>
    <w:rsid w:val="00B60C84"/>
    <w:rsid w:val="00B72A45"/>
    <w:rsid w:val="00BB5128"/>
    <w:rsid w:val="00BC5AF9"/>
    <w:rsid w:val="00BD73F0"/>
    <w:rsid w:val="00BD7A28"/>
    <w:rsid w:val="00BE0937"/>
    <w:rsid w:val="00C02122"/>
    <w:rsid w:val="00C03689"/>
    <w:rsid w:val="00C03CE6"/>
    <w:rsid w:val="00C10E33"/>
    <w:rsid w:val="00C15948"/>
    <w:rsid w:val="00C32B7B"/>
    <w:rsid w:val="00C3312B"/>
    <w:rsid w:val="00C356E3"/>
    <w:rsid w:val="00C414F8"/>
    <w:rsid w:val="00C43340"/>
    <w:rsid w:val="00C53A50"/>
    <w:rsid w:val="00C608F6"/>
    <w:rsid w:val="00C6763D"/>
    <w:rsid w:val="00C7219F"/>
    <w:rsid w:val="00C74843"/>
    <w:rsid w:val="00C82301"/>
    <w:rsid w:val="00C94C6D"/>
    <w:rsid w:val="00CB52D5"/>
    <w:rsid w:val="00CB5690"/>
    <w:rsid w:val="00CC787B"/>
    <w:rsid w:val="00CD6261"/>
    <w:rsid w:val="00CD6CFB"/>
    <w:rsid w:val="00D01A79"/>
    <w:rsid w:val="00D02895"/>
    <w:rsid w:val="00D02EB4"/>
    <w:rsid w:val="00D157B1"/>
    <w:rsid w:val="00D21357"/>
    <w:rsid w:val="00D23303"/>
    <w:rsid w:val="00D27083"/>
    <w:rsid w:val="00D341FA"/>
    <w:rsid w:val="00D37C40"/>
    <w:rsid w:val="00D406E0"/>
    <w:rsid w:val="00D8327D"/>
    <w:rsid w:val="00D96194"/>
    <w:rsid w:val="00DA4253"/>
    <w:rsid w:val="00DA7B0A"/>
    <w:rsid w:val="00DB16E9"/>
    <w:rsid w:val="00DD6E3E"/>
    <w:rsid w:val="00DE09CC"/>
    <w:rsid w:val="00DF57B4"/>
    <w:rsid w:val="00E03D73"/>
    <w:rsid w:val="00E03EC5"/>
    <w:rsid w:val="00E1561F"/>
    <w:rsid w:val="00E214A4"/>
    <w:rsid w:val="00E369CD"/>
    <w:rsid w:val="00E36E00"/>
    <w:rsid w:val="00E43BD5"/>
    <w:rsid w:val="00E43DCB"/>
    <w:rsid w:val="00E670FB"/>
    <w:rsid w:val="00E7237A"/>
    <w:rsid w:val="00E748B6"/>
    <w:rsid w:val="00E85818"/>
    <w:rsid w:val="00E86DE8"/>
    <w:rsid w:val="00EB55B8"/>
    <w:rsid w:val="00EB5940"/>
    <w:rsid w:val="00EC062A"/>
    <w:rsid w:val="00EC7B18"/>
    <w:rsid w:val="00ED054A"/>
    <w:rsid w:val="00ED17C9"/>
    <w:rsid w:val="00ED272D"/>
    <w:rsid w:val="00ED5E35"/>
    <w:rsid w:val="00ED6742"/>
    <w:rsid w:val="00EE7FF8"/>
    <w:rsid w:val="00F1499B"/>
    <w:rsid w:val="00F21FAC"/>
    <w:rsid w:val="00F26F38"/>
    <w:rsid w:val="00F347B6"/>
    <w:rsid w:val="00F41B8B"/>
    <w:rsid w:val="00F7467B"/>
    <w:rsid w:val="00F82486"/>
    <w:rsid w:val="00FA4B27"/>
    <w:rsid w:val="00FB5D94"/>
    <w:rsid w:val="00FC08CC"/>
    <w:rsid w:val="00FC6704"/>
    <w:rsid w:val="00FC7FC7"/>
    <w:rsid w:val="00FD2D8A"/>
    <w:rsid w:val="00FD4029"/>
    <w:rsid w:val="00FE07B6"/>
    <w:rsid w:val="00FE7F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068684"/>
  <w15:chartTrackingRefBased/>
  <w15:docId w15:val="{31559DD8-625C-40E6-945D-7E5B8366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2A6"/>
    <w:pPr>
      <w:spacing w:after="0" w:line="240" w:lineRule="auto"/>
    </w:pPr>
    <w:rPr>
      <w:rFonts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2A6"/>
    <w:pPr>
      <w:ind w:left="720"/>
    </w:pPr>
    <w:rPr>
      <w:rFonts w:ascii="Calibri" w:hAnsi="Calibri" w:cs="Calibri"/>
      <w:sz w:val="22"/>
    </w:rPr>
  </w:style>
  <w:style w:type="table" w:styleId="TableGrid">
    <w:name w:val="Table Grid"/>
    <w:basedOn w:val="TableNormal"/>
    <w:uiPriority w:val="39"/>
    <w:rsid w:val="00632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6727"/>
    <w:pPr>
      <w:autoSpaceDE w:val="0"/>
      <w:autoSpaceDN w:val="0"/>
      <w:adjustRightInd w:val="0"/>
      <w:spacing w:after="0" w:line="240" w:lineRule="auto"/>
    </w:pPr>
    <w:rPr>
      <w:color w:val="000000"/>
    </w:rPr>
  </w:style>
  <w:style w:type="paragraph" w:styleId="Header">
    <w:name w:val="header"/>
    <w:basedOn w:val="Normal"/>
    <w:link w:val="HeaderChar"/>
    <w:uiPriority w:val="99"/>
    <w:unhideWhenUsed/>
    <w:rsid w:val="00ED6742"/>
    <w:pPr>
      <w:tabs>
        <w:tab w:val="center" w:pos="4153"/>
        <w:tab w:val="right" w:pos="8306"/>
      </w:tabs>
    </w:pPr>
  </w:style>
  <w:style w:type="character" w:customStyle="1" w:styleId="HeaderChar">
    <w:name w:val="Header Char"/>
    <w:basedOn w:val="DefaultParagraphFont"/>
    <w:link w:val="Header"/>
    <w:uiPriority w:val="99"/>
    <w:rsid w:val="00ED6742"/>
    <w:rPr>
      <w:rFonts w:cstheme="minorBidi"/>
      <w:szCs w:val="22"/>
    </w:rPr>
  </w:style>
  <w:style w:type="paragraph" w:styleId="Footer">
    <w:name w:val="footer"/>
    <w:basedOn w:val="Normal"/>
    <w:link w:val="FooterChar"/>
    <w:uiPriority w:val="99"/>
    <w:unhideWhenUsed/>
    <w:rsid w:val="00ED6742"/>
    <w:pPr>
      <w:tabs>
        <w:tab w:val="center" w:pos="4153"/>
        <w:tab w:val="right" w:pos="8306"/>
      </w:tabs>
    </w:pPr>
  </w:style>
  <w:style w:type="character" w:customStyle="1" w:styleId="FooterChar">
    <w:name w:val="Footer Char"/>
    <w:basedOn w:val="DefaultParagraphFont"/>
    <w:link w:val="Footer"/>
    <w:uiPriority w:val="99"/>
    <w:rsid w:val="00ED6742"/>
    <w:rPr>
      <w:rFonts w:cstheme="minorBidi"/>
      <w:szCs w:val="22"/>
    </w:rPr>
  </w:style>
  <w:style w:type="paragraph" w:styleId="BalloonText">
    <w:name w:val="Balloon Text"/>
    <w:basedOn w:val="Normal"/>
    <w:link w:val="BalloonTextChar"/>
    <w:uiPriority w:val="99"/>
    <w:semiHidden/>
    <w:unhideWhenUsed/>
    <w:rsid w:val="00F41B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B8B"/>
    <w:rPr>
      <w:rFonts w:ascii="Segoe UI" w:hAnsi="Segoe UI" w:cs="Segoe UI"/>
      <w:sz w:val="18"/>
      <w:szCs w:val="18"/>
    </w:rPr>
  </w:style>
  <w:style w:type="character" w:styleId="CommentReference">
    <w:name w:val="annotation reference"/>
    <w:basedOn w:val="DefaultParagraphFont"/>
    <w:uiPriority w:val="99"/>
    <w:semiHidden/>
    <w:unhideWhenUsed/>
    <w:rsid w:val="00DF57B4"/>
    <w:rPr>
      <w:sz w:val="16"/>
      <w:szCs w:val="16"/>
    </w:rPr>
  </w:style>
  <w:style w:type="paragraph" w:styleId="CommentText">
    <w:name w:val="annotation text"/>
    <w:basedOn w:val="Normal"/>
    <w:link w:val="CommentTextChar"/>
    <w:uiPriority w:val="99"/>
    <w:semiHidden/>
    <w:unhideWhenUsed/>
    <w:rsid w:val="00DF57B4"/>
    <w:rPr>
      <w:sz w:val="20"/>
      <w:szCs w:val="20"/>
    </w:rPr>
  </w:style>
  <w:style w:type="character" w:customStyle="1" w:styleId="CommentTextChar">
    <w:name w:val="Comment Text Char"/>
    <w:basedOn w:val="DefaultParagraphFont"/>
    <w:link w:val="CommentText"/>
    <w:uiPriority w:val="99"/>
    <w:semiHidden/>
    <w:rsid w:val="00DF57B4"/>
    <w:rPr>
      <w:rFonts w:cstheme="minorBidi"/>
      <w:sz w:val="20"/>
      <w:szCs w:val="20"/>
    </w:rPr>
  </w:style>
  <w:style w:type="paragraph" w:styleId="CommentSubject">
    <w:name w:val="annotation subject"/>
    <w:basedOn w:val="CommentText"/>
    <w:next w:val="CommentText"/>
    <w:link w:val="CommentSubjectChar"/>
    <w:uiPriority w:val="99"/>
    <w:semiHidden/>
    <w:unhideWhenUsed/>
    <w:rsid w:val="00DF57B4"/>
    <w:rPr>
      <w:b/>
      <w:bCs/>
    </w:rPr>
  </w:style>
  <w:style w:type="character" w:customStyle="1" w:styleId="CommentSubjectChar">
    <w:name w:val="Comment Subject Char"/>
    <w:basedOn w:val="CommentTextChar"/>
    <w:link w:val="CommentSubject"/>
    <w:uiPriority w:val="99"/>
    <w:semiHidden/>
    <w:rsid w:val="00DF57B4"/>
    <w:rPr>
      <w:rFonts w:cstheme="minorBidi"/>
      <w:b/>
      <w:bCs/>
      <w:sz w:val="20"/>
      <w:szCs w:val="20"/>
    </w:rPr>
  </w:style>
  <w:style w:type="paragraph" w:styleId="NormalWeb">
    <w:name w:val="Normal (Web)"/>
    <w:basedOn w:val="Normal"/>
    <w:uiPriority w:val="99"/>
    <w:unhideWhenUsed/>
    <w:rsid w:val="005D5C5A"/>
    <w:pPr>
      <w:spacing w:before="100" w:beforeAutospacing="1" w:after="100" w:afterAutospacing="1"/>
    </w:pPr>
    <w:rPr>
      <w:rFonts w:eastAsia="Times New Roman" w:cs="Times New Roman"/>
      <w:szCs w:val="24"/>
      <w:lang w:eastAsia="lv-LV"/>
    </w:rPr>
  </w:style>
  <w:style w:type="character" w:styleId="Emphasis">
    <w:name w:val="Emphasis"/>
    <w:basedOn w:val="DefaultParagraphFont"/>
    <w:uiPriority w:val="20"/>
    <w:qFormat/>
    <w:rsid w:val="005D5C5A"/>
    <w:rPr>
      <w:i/>
      <w:iCs/>
    </w:rPr>
  </w:style>
  <w:style w:type="character" w:styleId="Hyperlink">
    <w:name w:val="Hyperlink"/>
    <w:basedOn w:val="DefaultParagraphFont"/>
    <w:uiPriority w:val="99"/>
    <w:unhideWhenUsed/>
    <w:rsid w:val="00E670FB"/>
    <w:rPr>
      <w:color w:val="0563C1" w:themeColor="hyperlink"/>
      <w:u w:val="single"/>
    </w:rPr>
  </w:style>
  <w:style w:type="paragraph" w:customStyle="1" w:styleId="mt-translation">
    <w:name w:val="mt-translation"/>
    <w:basedOn w:val="Normal"/>
    <w:rsid w:val="00854FDF"/>
    <w:pPr>
      <w:spacing w:after="100" w:afterAutospacing="1"/>
    </w:pPr>
    <w:rPr>
      <w:rFonts w:cs="Times New Roman"/>
      <w:szCs w:val="24"/>
      <w:lang w:eastAsia="lv-LV"/>
    </w:rPr>
  </w:style>
  <w:style w:type="character" w:styleId="FollowedHyperlink">
    <w:name w:val="FollowedHyperlink"/>
    <w:basedOn w:val="DefaultParagraphFont"/>
    <w:uiPriority w:val="99"/>
    <w:semiHidden/>
    <w:unhideWhenUsed/>
    <w:rsid w:val="003B5B83"/>
    <w:rPr>
      <w:color w:val="954F72" w:themeColor="followedHyperlink"/>
      <w:u w:val="single"/>
    </w:rPr>
  </w:style>
  <w:style w:type="character" w:customStyle="1" w:styleId="UnresolvedMention">
    <w:name w:val="Unresolved Mention"/>
    <w:basedOn w:val="DefaultParagraphFont"/>
    <w:uiPriority w:val="99"/>
    <w:semiHidden/>
    <w:unhideWhenUsed/>
    <w:rsid w:val="009E4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06946">
      <w:bodyDiv w:val="1"/>
      <w:marLeft w:val="0"/>
      <w:marRight w:val="0"/>
      <w:marTop w:val="0"/>
      <w:marBottom w:val="0"/>
      <w:divBdr>
        <w:top w:val="none" w:sz="0" w:space="0" w:color="auto"/>
        <w:left w:val="none" w:sz="0" w:space="0" w:color="auto"/>
        <w:bottom w:val="none" w:sz="0" w:space="0" w:color="auto"/>
        <w:right w:val="none" w:sz="0" w:space="0" w:color="auto"/>
      </w:divBdr>
    </w:div>
    <w:div w:id="412164877">
      <w:bodyDiv w:val="1"/>
      <w:marLeft w:val="0"/>
      <w:marRight w:val="0"/>
      <w:marTop w:val="0"/>
      <w:marBottom w:val="0"/>
      <w:divBdr>
        <w:top w:val="none" w:sz="0" w:space="0" w:color="auto"/>
        <w:left w:val="none" w:sz="0" w:space="0" w:color="auto"/>
        <w:bottom w:val="none" w:sz="0" w:space="0" w:color="auto"/>
        <w:right w:val="none" w:sz="0" w:space="0" w:color="auto"/>
      </w:divBdr>
    </w:div>
    <w:div w:id="744229604">
      <w:bodyDiv w:val="1"/>
      <w:marLeft w:val="0"/>
      <w:marRight w:val="0"/>
      <w:marTop w:val="0"/>
      <w:marBottom w:val="0"/>
      <w:divBdr>
        <w:top w:val="none" w:sz="0" w:space="0" w:color="auto"/>
        <w:left w:val="none" w:sz="0" w:space="0" w:color="auto"/>
        <w:bottom w:val="none" w:sz="0" w:space="0" w:color="auto"/>
        <w:right w:val="none" w:sz="0" w:space="0" w:color="auto"/>
      </w:divBdr>
    </w:div>
    <w:div w:id="938757009">
      <w:bodyDiv w:val="1"/>
      <w:marLeft w:val="0"/>
      <w:marRight w:val="0"/>
      <w:marTop w:val="0"/>
      <w:marBottom w:val="0"/>
      <w:divBdr>
        <w:top w:val="none" w:sz="0" w:space="0" w:color="auto"/>
        <w:left w:val="none" w:sz="0" w:space="0" w:color="auto"/>
        <w:bottom w:val="none" w:sz="0" w:space="0" w:color="auto"/>
        <w:right w:val="none" w:sz="0" w:space="0" w:color="auto"/>
      </w:divBdr>
    </w:div>
    <w:div w:id="1019350192">
      <w:bodyDiv w:val="1"/>
      <w:marLeft w:val="0"/>
      <w:marRight w:val="0"/>
      <w:marTop w:val="0"/>
      <w:marBottom w:val="0"/>
      <w:divBdr>
        <w:top w:val="none" w:sz="0" w:space="0" w:color="auto"/>
        <w:left w:val="none" w:sz="0" w:space="0" w:color="auto"/>
        <w:bottom w:val="none" w:sz="0" w:space="0" w:color="auto"/>
        <w:right w:val="none" w:sz="0" w:space="0" w:color="auto"/>
      </w:divBdr>
    </w:div>
    <w:div w:id="1101145292">
      <w:bodyDiv w:val="1"/>
      <w:marLeft w:val="0"/>
      <w:marRight w:val="0"/>
      <w:marTop w:val="0"/>
      <w:marBottom w:val="0"/>
      <w:divBdr>
        <w:top w:val="none" w:sz="0" w:space="0" w:color="auto"/>
        <w:left w:val="none" w:sz="0" w:space="0" w:color="auto"/>
        <w:bottom w:val="none" w:sz="0" w:space="0" w:color="auto"/>
        <w:right w:val="none" w:sz="0" w:space="0" w:color="auto"/>
      </w:divBdr>
    </w:div>
    <w:div w:id="1321228127">
      <w:bodyDiv w:val="1"/>
      <w:marLeft w:val="0"/>
      <w:marRight w:val="0"/>
      <w:marTop w:val="0"/>
      <w:marBottom w:val="0"/>
      <w:divBdr>
        <w:top w:val="none" w:sz="0" w:space="0" w:color="auto"/>
        <w:left w:val="none" w:sz="0" w:space="0" w:color="auto"/>
        <w:bottom w:val="none" w:sz="0" w:space="0" w:color="auto"/>
        <w:right w:val="none" w:sz="0" w:space="0" w:color="auto"/>
      </w:divBdr>
    </w:div>
    <w:div w:id="1448230710">
      <w:bodyDiv w:val="1"/>
      <w:marLeft w:val="0"/>
      <w:marRight w:val="0"/>
      <w:marTop w:val="0"/>
      <w:marBottom w:val="0"/>
      <w:divBdr>
        <w:top w:val="none" w:sz="0" w:space="0" w:color="auto"/>
        <w:left w:val="none" w:sz="0" w:space="0" w:color="auto"/>
        <w:bottom w:val="none" w:sz="0" w:space="0" w:color="auto"/>
        <w:right w:val="none" w:sz="0" w:space="0" w:color="auto"/>
      </w:divBdr>
    </w:div>
    <w:div w:id="1530100021">
      <w:bodyDiv w:val="1"/>
      <w:marLeft w:val="0"/>
      <w:marRight w:val="0"/>
      <w:marTop w:val="0"/>
      <w:marBottom w:val="0"/>
      <w:divBdr>
        <w:top w:val="none" w:sz="0" w:space="0" w:color="auto"/>
        <w:left w:val="none" w:sz="0" w:space="0" w:color="auto"/>
        <w:bottom w:val="none" w:sz="0" w:space="0" w:color="auto"/>
        <w:right w:val="none" w:sz="0" w:space="0" w:color="auto"/>
      </w:divBdr>
      <w:divsChild>
        <w:div w:id="287975899">
          <w:marLeft w:val="0"/>
          <w:marRight w:val="0"/>
          <w:marTop w:val="0"/>
          <w:marBottom w:val="0"/>
          <w:divBdr>
            <w:top w:val="none" w:sz="0" w:space="0" w:color="auto"/>
            <w:left w:val="none" w:sz="0" w:space="0" w:color="auto"/>
            <w:bottom w:val="none" w:sz="0" w:space="0" w:color="auto"/>
            <w:right w:val="none" w:sz="0" w:space="0" w:color="auto"/>
          </w:divBdr>
        </w:div>
      </w:divsChild>
    </w:div>
    <w:div w:id="1858812916">
      <w:bodyDiv w:val="1"/>
      <w:marLeft w:val="0"/>
      <w:marRight w:val="0"/>
      <w:marTop w:val="0"/>
      <w:marBottom w:val="0"/>
      <w:divBdr>
        <w:top w:val="none" w:sz="0" w:space="0" w:color="auto"/>
        <w:left w:val="none" w:sz="0" w:space="0" w:color="auto"/>
        <w:bottom w:val="none" w:sz="0" w:space="0" w:color="auto"/>
        <w:right w:val="none" w:sz="0" w:space="0" w:color="auto"/>
      </w:divBdr>
    </w:div>
    <w:div w:id="1915045910">
      <w:bodyDiv w:val="1"/>
      <w:marLeft w:val="0"/>
      <w:marRight w:val="0"/>
      <w:marTop w:val="0"/>
      <w:marBottom w:val="0"/>
      <w:divBdr>
        <w:top w:val="none" w:sz="0" w:space="0" w:color="auto"/>
        <w:left w:val="none" w:sz="0" w:space="0" w:color="auto"/>
        <w:bottom w:val="none" w:sz="0" w:space="0" w:color="auto"/>
        <w:right w:val="none" w:sz="0" w:space="0" w:color="auto"/>
      </w:divBdr>
    </w:div>
    <w:div w:id="1997416082">
      <w:bodyDiv w:val="1"/>
      <w:marLeft w:val="0"/>
      <w:marRight w:val="0"/>
      <w:marTop w:val="0"/>
      <w:marBottom w:val="0"/>
      <w:divBdr>
        <w:top w:val="none" w:sz="0" w:space="0" w:color="auto"/>
        <w:left w:val="none" w:sz="0" w:space="0" w:color="auto"/>
        <w:bottom w:val="none" w:sz="0" w:space="0" w:color="auto"/>
        <w:right w:val="none" w:sz="0" w:space="0" w:color="auto"/>
      </w:divBdr>
    </w:div>
    <w:div w:id="21460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sources/docgener/guidelines/2017/application_of_state_aid_rul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A69E8-E2D0-480D-B5C7-B18D630A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2331</Words>
  <Characters>14713</Characters>
  <Application>Microsoft Office Word</Application>
  <DocSecurity>0</DocSecurity>
  <Lines>3678</Lines>
  <Paragraphs>852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Zakovska</dc:creator>
  <cp:keywords/>
  <dc:description/>
  <cp:lastModifiedBy>KAKD</cp:lastModifiedBy>
  <cp:revision>6</cp:revision>
  <cp:lastPrinted>2019-09-20T11:41:00Z</cp:lastPrinted>
  <dcterms:created xsi:type="dcterms:W3CDTF">2021-06-02T10:18:00Z</dcterms:created>
  <dcterms:modified xsi:type="dcterms:W3CDTF">2021-06-03T08:11:00Z</dcterms:modified>
</cp:coreProperties>
</file>